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3A3718">
      <w:pPr>
        <w:pageBreakBefore w:val="0"/>
        <w:kinsoku/>
        <w:wordWrap/>
        <w:overflowPunct/>
        <w:topLinePunct w:val="0"/>
        <w:bidi w:val="0"/>
        <w:spacing w:line="576" w:lineRule="exact"/>
        <w:jc w:val="center"/>
        <w:textAlignment w:val="auto"/>
        <w:outlineLvl w:val="0"/>
        <w:rPr>
          <w:rFonts w:ascii="方正小标宋简体" w:hAnsi="宋体" w:eastAsia="方正小标宋简体"/>
          <w:sz w:val="72"/>
          <w:szCs w:val="72"/>
        </w:rPr>
      </w:pPr>
      <w:bookmarkStart w:id="0" w:name="_Toc15396597"/>
      <w:bookmarkStart w:id="1" w:name="_Toc15396475"/>
      <w:bookmarkStart w:id="2" w:name="_Toc15378441"/>
      <w:bookmarkStart w:id="3" w:name="_Toc15377425"/>
      <w:bookmarkStart w:id="4" w:name="_Toc15306267"/>
      <w:bookmarkStart w:id="5" w:name="_Toc15377193"/>
    </w:p>
    <w:p w14:paraId="4CDF6F2E">
      <w:pPr>
        <w:pStyle w:val="9"/>
        <w:pageBreakBefore w:val="0"/>
        <w:kinsoku/>
        <w:wordWrap/>
        <w:overflowPunct/>
        <w:topLinePunct w:val="0"/>
        <w:bidi w:val="0"/>
        <w:spacing w:before="93" w:line="576" w:lineRule="exact"/>
        <w:textAlignment w:val="auto"/>
      </w:pPr>
    </w:p>
    <w:bookmarkEnd w:id="0"/>
    <w:bookmarkEnd w:id="1"/>
    <w:bookmarkEnd w:id="2"/>
    <w:bookmarkEnd w:id="3"/>
    <w:bookmarkEnd w:id="4"/>
    <w:bookmarkEnd w:id="5"/>
    <w:p w14:paraId="7D677AF4">
      <w:pPr>
        <w:pStyle w:val="18"/>
        <w:keepNext w:val="0"/>
        <w:keepLines w:val="0"/>
        <w:pageBreakBefore w:val="0"/>
        <w:widowControl/>
        <w:suppressLineNumbers w:val="0"/>
        <w:shd w:val="clear" w:color="auto" w:fill="auto"/>
        <w:kinsoku/>
        <w:wordWrap/>
        <w:topLinePunct w:val="0"/>
        <w:bidi w:val="0"/>
        <w:spacing w:line="576" w:lineRule="exact"/>
        <w:ind w:left="0" w:right="75"/>
        <w:jc w:val="center"/>
        <w:rPr>
          <w:rStyle w:val="21"/>
          <w:rFonts w:hint="eastAsia" w:ascii="方正小标宋简体" w:hAnsi="方正小标宋简体" w:eastAsia="方正小标宋简体" w:cs="方正小标宋简体"/>
          <w:sz w:val="60"/>
          <w:szCs w:val="60"/>
          <w:shd w:val="clear" w:color="auto" w:fill="FFFFFF"/>
        </w:rPr>
      </w:pPr>
      <w:r>
        <w:rPr>
          <w:rStyle w:val="21"/>
          <w:rFonts w:hint="eastAsia" w:ascii="方正小标宋简体" w:hAnsi="方正小标宋简体" w:eastAsia="方正小标宋简体" w:cs="方正小标宋简体"/>
          <w:sz w:val="60"/>
          <w:szCs w:val="60"/>
          <w:shd w:val="clear" w:color="auto" w:fill="FFFFFF"/>
        </w:rPr>
        <w:t>202</w:t>
      </w:r>
      <w:r>
        <w:rPr>
          <w:rStyle w:val="21"/>
          <w:rFonts w:hint="eastAsia" w:ascii="方正小标宋简体" w:hAnsi="方正小标宋简体" w:eastAsia="方正小标宋简体" w:cs="方正小标宋简体"/>
          <w:sz w:val="60"/>
          <w:szCs w:val="60"/>
          <w:shd w:val="clear" w:color="auto" w:fill="FFFFFF"/>
          <w:lang w:val="en-US" w:eastAsia="zh-CN"/>
        </w:rPr>
        <w:t>4</w:t>
      </w:r>
      <w:r>
        <w:rPr>
          <w:rStyle w:val="21"/>
          <w:rFonts w:hint="eastAsia" w:ascii="方正小标宋简体" w:hAnsi="方正小标宋简体" w:eastAsia="方正小标宋简体" w:cs="方正小标宋简体"/>
          <w:sz w:val="60"/>
          <w:szCs w:val="60"/>
          <w:shd w:val="clear" w:color="auto" w:fill="FFFFFF"/>
        </w:rPr>
        <w:t>年度</w:t>
      </w:r>
    </w:p>
    <w:p w14:paraId="29710AA5">
      <w:pPr>
        <w:pStyle w:val="18"/>
        <w:keepNext w:val="0"/>
        <w:keepLines w:val="0"/>
        <w:pageBreakBefore w:val="0"/>
        <w:widowControl/>
        <w:suppressLineNumbers w:val="0"/>
        <w:shd w:val="clear" w:color="auto" w:fill="auto"/>
        <w:kinsoku/>
        <w:wordWrap/>
        <w:topLinePunct w:val="0"/>
        <w:bidi w:val="0"/>
        <w:spacing w:line="576" w:lineRule="exact"/>
        <w:ind w:left="0" w:right="75"/>
        <w:jc w:val="center"/>
        <w:rPr>
          <w:rStyle w:val="21"/>
          <w:rFonts w:hint="eastAsia" w:ascii="方正小标宋简体" w:hAnsi="方正小标宋简体" w:eastAsia="方正小标宋简体" w:cs="方正小标宋简体"/>
          <w:sz w:val="60"/>
          <w:szCs w:val="60"/>
          <w:shd w:val="clear" w:color="auto" w:fill="FFFFFF"/>
          <w:lang w:eastAsia="zh-CN"/>
        </w:rPr>
      </w:pPr>
      <w:r>
        <w:rPr>
          <w:rStyle w:val="21"/>
          <w:rFonts w:hint="eastAsia" w:ascii="方正小标宋简体" w:hAnsi="方正小标宋简体" w:eastAsia="方正小标宋简体" w:cs="方正小标宋简体"/>
          <w:sz w:val="60"/>
          <w:szCs w:val="60"/>
          <w:shd w:val="clear" w:color="auto" w:fill="FFFFFF"/>
          <w:lang w:eastAsia="zh-CN"/>
        </w:rPr>
        <w:t>红原县邛溪镇人民政府</w:t>
      </w:r>
    </w:p>
    <w:p w14:paraId="7DAA1012">
      <w:pPr>
        <w:pStyle w:val="18"/>
        <w:keepNext w:val="0"/>
        <w:keepLines w:val="0"/>
        <w:pageBreakBefore w:val="0"/>
        <w:widowControl/>
        <w:suppressLineNumbers w:val="0"/>
        <w:shd w:val="clear" w:color="auto" w:fill="auto"/>
        <w:kinsoku/>
        <w:wordWrap/>
        <w:topLinePunct w:val="0"/>
        <w:bidi w:val="0"/>
        <w:spacing w:line="576" w:lineRule="exact"/>
        <w:ind w:left="0" w:right="75"/>
        <w:jc w:val="center"/>
        <w:rPr>
          <w:rStyle w:val="21"/>
          <w:rFonts w:hint="eastAsia" w:ascii="方正小标宋简体" w:hAnsi="方正小标宋简体" w:eastAsia="方正小标宋简体" w:cs="方正小标宋简体"/>
          <w:sz w:val="60"/>
          <w:szCs w:val="60"/>
          <w:shd w:val="clear" w:color="auto" w:fill="FFFFFF"/>
          <w:lang w:eastAsia="zh-CN"/>
        </w:rPr>
      </w:pPr>
      <w:r>
        <w:rPr>
          <w:rStyle w:val="21"/>
          <w:rFonts w:hint="eastAsia" w:ascii="方正小标宋简体" w:hAnsi="方正小标宋简体" w:eastAsia="方正小标宋简体" w:cs="方正小标宋简体"/>
          <w:sz w:val="60"/>
          <w:szCs w:val="60"/>
          <w:shd w:val="clear" w:color="auto" w:fill="FFFFFF"/>
          <w:lang w:eastAsia="zh-CN"/>
        </w:rPr>
        <w:t>部门决算公开编制说明</w:t>
      </w:r>
    </w:p>
    <w:p w14:paraId="763A4162">
      <w:pPr>
        <w:pStyle w:val="18"/>
        <w:keepNext w:val="0"/>
        <w:keepLines w:val="0"/>
        <w:pageBreakBefore w:val="0"/>
        <w:widowControl/>
        <w:suppressLineNumbers w:val="0"/>
        <w:kinsoku/>
        <w:wordWrap/>
        <w:topLinePunct w:val="0"/>
        <w:bidi w:val="0"/>
        <w:spacing w:line="576" w:lineRule="exact"/>
        <w:ind w:left="0" w:right="75"/>
        <w:jc w:val="left"/>
        <w:rPr>
          <w:rStyle w:val="21"/>
          <w:rFonts w:hint="eastAsia" w:ascii="方正小标宋简体" w:hAnsi="方正小标宋简体" w:eastAsia="方正小标宋简体" w:cs="方正小标宋简体"/>
          <w:sz w:val="44"/>
          <w:szCs w:val="44"/>
          <w:shd w:val="clear" w:color="auto" w:fill="FFFFFF"/>
          <w:lang w:eastAsia="zh-CN"/>
        </w:rPr>
      </w:pPr>
    </w:p>
    <w:p w14:paraId="7CC677B7">
      <w:pPr>
        <w:pStyle w:val="18"/>
        <w:keepNext w:val="0"/>
        <w:keepLines w:val="0"/>
        <w:pageBreakBefore w:val="0"/>
        <w:widowControl/>
        <w:suppressLineNumbers w:val="0"/>
        <w:kinsoku/>
        <w:wordWrap/>
        <w:topLinePunct w:val="0"/>
        <w:bidi w:val="0"/>
        <w:spacing w:line="576" w:lineRule="exact"/>
        <w:ind w:left="0" w:right="75"/>
        <w:jc w:val="left"/>
        <w:rPr>
          <w:rStyle w:val="21"/>
          <w:rFonts w:hint="eastAsia" w:ascii="方正小标宋简体" w:hAnsi="方正小标宋简体" w:eastAsia="方正小标宋简体" w:cs="方正小标宋简体"/>
          <w:sz w:val="44"/>
          <w:szCs w:val="44"/>
          <w:shd w:val="clear" w:color="auto" w:fill="FFFFFF"/>
          <w:lang w:eastAsia="zh-CN"/>
        </w:rPr>
      </w:pPr>
    </w:p>
    <w:p w14:paraId="31B924CB">
      <w:pPr>
        <w:pStyle w:val="18"/>
        <w:keepNext w:val="0"/>
        <w:keepLines w:val="0"/>
        <w:pageBreakBefore w:val="0"/>
        <w:widowControl/>
        <w:suppressLineNumbers w:val="0"/>
        <w:kinsoku/>
        <w:wordWrap/>
        <w:topLinePunct w:val="0"/>
        <w:bidi w:val="0"/>
        <w:spacing w:line="576" w:lineRule="exact"/>
        <w:ind w:left="0" w:right="75"/>
        <w:jc w:val="left"/>
        <w:rPr>
          <w:rStyle w:val="21"/>
          <w:rFonts w:hint="eastAsia" w:ascii="方正小标宋简体" w:hAnsi="方正小标宋简体" w:eastAsia="方正小标宋简体" w:cs="方正小标宋简体"/>
          <w:sz w:val="44"/>
          <w:szCs w:val="44"/>
          <w:shd w:val="clear" w:color="auto" w:fill="FFFFFF"/>
          <w:lang w:eastAsia="zh-CN"/>
        </w:rPr>
      </w:pPr>
    </w:p>
    <w:p w14:paraId="7E63DC1F">
      <w:pPr>
        <w:pStyle w:val="18"/>
        <w:keepNext w:val="0"/>
        <w:keepLines w:val="0"/>
        <w:pageBreakBefore w:val="0"/>
        <w:widowControl/>
        <w:suppressLineNumbers w:val="0"/>
        <w:kinsoku/>
        <w:wordWrap/>
        <w:topLinePunct w:val="0"/>
        <w:bidi w:val="0"/>
        <w:spacing w:line="576" w:lineRule="exact"/>
        <w:ind w:left="0" w:right="75"/>
        <w:jc w:val="left"/>
        <w:rPr>
          <w:rStyle w:val="21"/>
          <w:rFonts w:hint="eastAsia" w:ascii="方正小标宋简体" w:hAnsi="方正小标宋简体" w:eastAsia="方正小标宋简体" w:cs="方正小标宋简体"/>
          <w:sz w:val="44"/>
          <w:szCs w:val="44"/>
          <w:shd w:val="clear" w:color="auto" w:fill="FFFFFF"/>
          <w:lang w:eastAsia="zh-CN"/>
        </w:rPr>
      </w:pPr>
    </w:p>
    <w:p w14:paraId="120BB8F0">
      <w:pPr>
        <w:pStyle w:val="18"/>
        <w:keepNext w:val="0"/>
        <w:keepLines w:val="0"/>
        <w:pageBreakBefore w:val="0"/>
        <w:widowControl/>
        <w:suppressLineNumbers w:val="0"/>
        <w:kinsoku/>
        <w:wordWrap/>
        <w:topLinePunct w:val="0"/>
        <w:bidi w:val="0"/>
        <w:spacing w:line="576" w:lineRule="exact"/>
        <w:ind w:left="0" w:right="75"/>
        <w:jc w:val="left"/>
        <w:rPr>
          <w:sz w:val="24"/>
          <w:szCs w:val="24"/>
          <w:shd w:val="clear" w:color="auto" w:fill="FFFFFF"/>
        </w:rPr>
      </w:pPr>
    </w:p>
    <w:p w14:paraId="0F9BA769">
      <w:pPr>
        <w:pStyle w:val="18"/>
        <w:keepNext w:val="0"/>
        <w:keepLines w:val="0"/>
        <w:pageBreakBefore w:val="0"/>
        <w:widowControl/>
        <w:suppressLineNumbers w:val="0"/>
        <w:kinsoku/>
        <w:wordWrap/>
        <w:topLinePunct w:val="0"/>
        <w:bidi w:val="0"/>
        <w:spacing w:line="576" w:lineRule="exact"/>
        <w:ind w:left="0" w:right="75"/>
        <w:jc w:val="left"/>
        <w:rPr>
          <w:sz w:val="24"/>
          <w:szCs w:val="24"/>
          <w:shd w:val="clear" w:color="auto" w:fill="FFFFFF"/>
        </w:rPr>
      </w:pPr>
    </w:p>
    <w:p w14:paraId="13543C51">
      <w:pPr>
        <w:pStyle w:val="18"/>
        <w:keepNext w:val="0"/>
        <w:keepLines w:val="0"/>
        <w:pageBreakBefore w:val="0"/>
        <w:widowControl/>
        <w:suppressLineNumbers w:val="0"/>
        <w:kinsoku/>
        <w:wordWrap/>
        <w:topLinePunct w:val="0"/>
        <w:bidi w:val="0"/>
        <w:spacing w:line="576" w:lineRule="exact"/>
        <w:ind w:left="0" w:right="75"/>
        <w:jc w:val="left"/>
        <w:rPr>
          <w:sz w:val="24"/>
          <w:szCs w:val="24"/>
          <w:shd w:val="clear" w:color="auto" w:fill="FFFFFF"/>
        </w:rPr>
      </w:pPr>
    </w:p>
    <w:p w14:paraId="1501EBF0">
      <w:pPr>
        <w:pStyle w:val="18"/>
        <w:keepNext w:val="0"/>
        <w:keepLines w:val="0"/>
        <w:pageBreakBefore w:val="0"/>
        <w:widowControl/>
        <w:suppressLineNumbers w:val="0"/>
        <w:kinsoku/>
        <w:wordWrap/>
        <w:topLinePunct w:val="0"/>
        <w:bidi w:val="0"/>
        <w:spacing w:line="576" w:lineRule="exact"/>
        <w:ind w:left="0" w:right="75"/>
        <w:jc w:val="left"/>
      </w:pPr>
      <w:r>
        <w:rPr>
          <w:sz w:val="24"/>
          <w:szCs w:val="24"/>
          <w:shd w:val="clear" w:color="auto" w:fill="FFFFFF"/>
        </w:rPr>
        <w:t>保密审查情况：已审查，内容审定</w:t>
      </w:r>
    </w:p>
    <w:p w14:paraId="556533F4">
      <w:pPr>
        <w:pStyle w:val="18"/>
        <w:keepNext w:val="0"/>
        <w:keepLines w:val="0"/>
        <w:pageBreakBefore w:val="0"/>
        <w:widowControl/>
        <w:suppressLineNumbers w:val="0"/>
        <w:kinsoku/>
        <w:wordWrap/>
        <w:topLinePunct w:val="0"/>
        <w:bidi w:val="0"/>
        <w:spacing w:line="576" w:lineRule="exact"/>
        <w:ind w:left="0" w:right="75"/>
        <w:jc w:val="left"/>
        <w:rPr>
          <w:rStyle w:val="21"/>
          <w:sz w:val="30"/>
          <w:szCs w:val="30"/>
          <w:shd w:val="clear" w:color="auto" w:fill="FFFFFF"/>
        </w:rPr>
        <w:sectPr>
          <w:pgSz w:w="11906" w:h="16838"/>
          <w:pgMar w:top="1440" w:right="1800" w:bottom="1440" w:left="1800" w:header="851" w:footer="992" w:gutter="0"/>
          <w:cols w:space="720" w:num="1"/>
          <w:docGrid w:type="lines" w:linePitch="312" w:charSpace="0"/>
        </w:sectPr>
      </w:pPr>
      <w:r>
        <w:rPr>
          <w:sz w:val="24"/>
          <w:szCs w:val="24"/>
          <w:shd w:val="clear" w:color="auto" w:fill="FFFFFF"/>
        </w:rPr>
        <w:t>部门主要负责人审签情况：已审签，同意对外公开</w:t>
      </w:r>
    </w:p>
    <w:p w14:paraId="71EDB543">
      <w:pPr>
        <w:pageBreakBefore w:val="0"/>
        <w:widowControl/>
        <w:kinsoku/>
        <w:wordWrap/>
        <w:overflowPunct/>
        <w:topLinePunct w:val="0"/>
        <w:bidi w:val="0"/>
        <w:spacing w:line="576" w:lineRule="exact"/>
        <w:jc w:val="center"/>
        <w:textAlignment w:val="auto"/>
        <w:rPr>
          <w:rFonts w:ascii="黑体" w:hAnsi="黑体" w:eastAsia="黑体"/>
          <w:sz w:val="48"/>
          <w:szCs w:val="48"/>
        </w:rPr>
      </w:pPr>
      <w:r>
        <w:rPr>
          <w:rFonts w:hint="eastAsia" w:ascii="黑体" w:hAnsi="黑体" w:eastAsia="黑体"/>
          <w:sz w:val="48"/>
          <w:szCs w:val="48"/>
        </w:rPr>
        <w:t>目录</w:t>
      </w:r>
    </w:p>
    <w:p w14:paraId="2DE82DD6">
      <w:pPr>
        <w:pageBreakBefore w:val="0"/>
        <w:widowControl/>
        <w:kinsoku/>
        <w:wordWrap/>
        <w:overflowPunct/>
        <w:topLinePunct w:val="0"/>
        <w:bidi w:val="0"/>
        <w:spacing w:line="576" w:lineRule="exact"/>
        <w:jc w:val="center"/>
        <w:textAlignment w:val="auto"/>
        <w:rPr>
          <w:rFonts w:ascii="黑体" w:hAnsi="黑体" w:eastAsia="黑体" w:cstheme="minorBidi"/>
          <w:sz w:val="28"/>
          <w:szCs w:val="28"/>
        </w:rPr>
      </w:pPr>
    </w:p>
    <w:p w14:paraId="1D6D70B9">
      <w:pPr>
        <w:pageBreakBefore w:val="0"/>
        <w:widowControl/>
        <w:kinsoku/>
        <w:wordWrap/>
        <w:overflowPunct/>
        <w:topLinePunct w:val="0"/>
        <w:bidi w:val="0"/>
        <w:spacing w:line="576" w:lineRule="exact"/>
        <w:jc w:val="center"/>
        <w:textAlignment w:val="auto"/>
        <w:rPr>
          <w:rFonts w:ascii="黑体" w:hAnsi="黑体" w:eastAsia="黑体" w:cstheme="minorBidi"/>
          <w:sz w:val="28"/>
          <w:szCs w:val="28"/>
        </w:rPr>
      </w:pPr>
      <w:bookmarkStart w:id="6" w:name="_Toc15377196"/>
      <w:bookmarkStart w:id="7" w:name="_Toc15396599"/>
    </w:p>
    <w:p w14:paraId="2098FFA9">
      <w:pPr>
        <w:pStyle w:val="16"/>
        <w:pageBreakBefore w:val="0"/>
        <w:kinsoku/>
        <w:wordWrap/>
        <w:overflowPunct/>
        <w:topLinePunct w:val="0"/>
        <w:bidi w:val="0"/>
        <w:spacing w:line="576" w:lineRule="exact"/>
        <w:textAlignment w:val="auto"/>
      </w:pPr>
      <w:r>
        <w:rPr>
          <w:rFonts w:hint="eastAsia"/>
        </w:rPr>
        <w:t>公开时间：202</w:t>
      </w:r>
      <w:r>
        <w:rPr>
          <w:rFonts w:hint="eastAsia"/>
          <w:lang w:val="en-US" w:eastAsia="zh-CN"/>
        </w:rPr>
        <w:t>5</w:t>
      </w:r>
      <w:r>
        <w:rPr>
          <w:rFonts w:hint="eastAsia"/>
        </w:rPr>
        <w:t>年</w:t>
      </w:r>
      <w:r>
        <w:rPr>
          <w:rFonts w:hint="eastAsia"/>
          <w:lang w:val="en-US" w:eastAsia="zh-CN"/>
        </w:rPr>
        <w:t>9</w:t>
      </w:r>
      <w:r>
        <w:rPr>
          <w:rFonts w:hint="eastAsia"/>
        </w:rPr>
        <w:t>月</w:t>
      </w:r>
      <w:r>
        <w:rPr>
          <w:rFonts w:hint="eastAsia"/>
          <w:lang w:val="en-US" w:eastAsia="zh-CN"/>
        </w:rPr>
        <w:t>25</w:t>
      </w:r>
      <w:r>
        <w:rPr>
          <w:rFonts w:hint="eastAsia"/>
        </w:rPr>
        <w:t>日</w:t>
      </w:r>
    </w:p>
    <w:p w14:paraId="53B75319">
      <w:pPr>
        <w:pageBreakBefore w:val="0"/>
        <w:kinsoku/>
        <w:wordWrap/>
        <w:overflowPunct/>
        <w:topLinePunct w:val="0"/>
        <w:bidi w:val="0"/>
        <w:spacing w:line="576" w:lineRule="exact"/>
        <w:textAlignment w:val="auto"/>
      </w:pPr>
    </w:p>
    <w:p w14:paraId="0C0E8F16">
      <w:pPr>
        <w:pStyle w:val="16"/>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color w:val="auto"/>
        </w:rPr>
        <w:fldChar w:fldCharType="begin"/>
      </w:r>
      <w:r>
        <w:rPr>
          <w:color w:val="auto"/>
        </w:rPr>
        <w:instrText xml:space="preserve">TOC \o "1-2" \h \u </w:instrText>
      </w:r>
      <w:r>
        <w:rPr>
          <w:color w:val="auto"/>
        </w:rPr>
        <w:fldChar w:fldCharType="separate"/>
      </w: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_Toc10305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 xml:space="preserve">第一部分 </w:t>
      </w:r>
      <w:r>
        <w:rPr>
          <w:rFonts w:hint="eastAsia" w:ascii="仿宋_GB2312" w:hAnsi="仿宋_GB2312" w:eastAsia="仿宋_GB2312" w:cs="仿宋_GB2312"/>
          <w:bCs w:val="0"/>
          <w:sz w:val="30"/>
          <w:szCs w:val="30"/>
        </w:rPr>
        <w:t>部门概况</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color w:val="auto"/>
          <w:sz w:val="30"/>
          <w:szCs w:val="30"/>
        </w:rPr>
        <w:fldChar w:fldCharType="end"/>
      </w:r>
    </w:p>
    <w:p w14:paraId="7E20FD09">
      <w:pPr>
        <w:pStyle w:val="17"/>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_Toc5949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bCs/>
          <w:sz w:val="30"/>
          <w:szCs w:val="30"/>
        </w:rPr>
        <w:t>一、 部门职责</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color w:val="auto"/>
          <w:sz w:val="30"/>
          <w:szCs w:val="30"/>
        </w:rPr>
        <w:fldChar w:fldCharType="end"/>
      </w:r>
    </w:p>
    <w:p w14:paraId="61AC658B">
      <w:pPr>
        <w:pStyle w:val="17"/>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_Toc6464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bCs/>
          <w:sz w:val="30"/>
          <w:szCs w:val="30"/>
        </w:rPr>
        <w:t>二、机构设置</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_Toc6464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14:paraId="73BFDD67">
      <w:pPr>
        <w:pStyle w:val="16"/>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_Toc4287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第二部分 202</w:t>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年度</w:t>
      </w:r>
      <w:r>
        <w:rPr>
          <w:rFonts w:hint="eastAsia" w:ascii="仿宋_GB2312" w:hAnsi="仿宋_GB2312" w:eastAsia="仿宋_GB2312" w:cs="仿宋_GB2312"/>
          <w:bCs/>
          <w:sz w:val="30"/>
          <w:szCs w:val="30"/>
        </w:rPr>
        <w:t>部门决算情况说明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..9</w:t>
      </w:r>
      <w:r>
        <w:rPr>
          <w:rFonts w:hint="eastAsia" w:ascii="仿宋_GB2312" w:hAnsi="仿宋_GB2312" w:eastAsia="仿宋_GB2312" w:cs="仿宋_GB2312"/>
          <w:color w:val="auto"/>
          <w:sz w:val="30"/>
          <w:szCs w:val="30"/>
        </w:rPr>
        <w:fldChar w:fldCharType="end"/>
      </w:r>
    </w:p>
    <w:p w14:paraId="4F8906B5">
      <w:pPr>
        <w:pStyle w:val="17"/>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_Toc12888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一、 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lang w:val="en-US" w:eastAsia="zh-CN"/>
        </w:rPr>
        <w:t>.9</w:t>
      </w:r>
    </w:p>
    <w:p w14:paraId="2B1C30DF">
      <w:pPr>
        <w:pStyle w:val="17"/>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_Toc29497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二、 收入决算情况说明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.......9</w:t>
      </w:r>
      <w:r>
        <w:rPr>
          <w:rFonts w:hint="eastAsia" w:ascii="仿宋_GB2312" w:hAnsi="仿宋_GB2312" w:eastAsia="仿宋_GB2312" w:cs="仿宋_GB2312"/>
          <w:color w:val="auto"/>
          <w:sz w:val="30"/>
          <w:szCs w:val="30"/>
        </w:rPr>
        <w:fldChar w:fldCharType="end"/>
      </w:r>
    </w:p>
    <w:p w14:paraId="3E8C2159">
      <w:pPr>
        <w:pStyle w:val="17"/>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_Toc17859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三、 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lang w:val="en-US" w:eastAsia="zh-CN"/>
        </w:rPr>
        <w:t>0</w:t>
      </w:r>
    </w:p>
    <w:p w14:paraId="2A76D61A">
      <w:pPr>
        <w:pStyle w:val="17"/>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_Toc18206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四、财政拨款收入支出决算总体情况说明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lang w:val="en-US" w:eastAsia="zh-CN"/>
        </w:rPr>
        <w:t>1</w:t>
      </w:r>
    </w:p>
    <w:p w14:paraId="22602A8F">
      <w:pPr>
        <w:pStyle w:val="17"/>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_Toc29964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五、一般公共预算财政拨款支出决算情况说明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lang w:val="en-US" w:eastAsia="zh-CN"/>
        </w:rPr>
        <w:t>1</w:t>
      </w:r>
    </w:p>
    <w:p w14:paraId="0859ECEB">
      <w:pPr>
        <w:pStyle w:val="17"/>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_Toc29471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六、一般公共预算财政拨款基本支出决算情况说明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lang w:val="en-US" w:eastAsia="zh-CN"/>
        </w:rPr>
        <w:t>4</w:t>
      </w:r>
    </w:p>
    <w:p w14:paraId="27ED973E">
      <w:pPr>
        <w:pStyle w:val="17"/>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_Toc16831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七、财政拨款“三公”经费支出决算情况说明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lang w:val="en-US" w:eastAsia="zh-CN"/>
        </w:rPr>
        <w:t>5</w:t>
      </w:r>
    </w:p>
    <w:p w14:paraId="5B35B295">
      <w:pPr>
        <w:pStyle w:val="17"/>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_Toc6663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八、政府性基金预算支出决算情况说明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lang w:val="en-US" w:eastAsia="zh-CN"/>
        </w:rPr>
        <w:t>6</w:t>
      </w:r>
    </w:p>
    <w:p w14:paraId="197BB810">
      <w:pPr>
        <w:pStyle w:val="17"/>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_Toc10406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九、 国有资本经营预算支出决算情况说明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_Toc10406 \h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lang w:val="en-US" w:eastAsia="zh-CN"/>
        </w:rPr>
        <w:t>16</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14:paraId="0DB5B17C">
      <w:pPr>
        <w:pStyle w:val="17"/>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_Toc19090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十、 其他重要事项的情况说明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lang w:val="en-US" w:eastAsia="zh-CN"/>
        </w:rPr>
        <w:t>6</w:t>
      </w:r>
    </w:p>
    <w:p w14:paraId="7ACDE6EE">
      <w:pPr>
        <w:pStyle w:val="16"/>
        <w:pageBreakBefore w:val="0"/>
        <w:tabs>
          <w:tab w:val="right" w:leader="dot" w:pos="8306"/>
          <w:tab w:val="clear" w:pos="8296"/>
        </w:tabs>
        <w:kinsoku/>
        <w:wordWrap/>
        <w:overflowPunct/>
        <w:topLinePunct w:val="0"/>
        <w:bidi w:val="0"/>
        <w:spacing w:line="576" w:lineRule="exact"/>
        <w:textAlignment w:val="auto"/>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_Toc32480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第三部分 名词解释</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lang w:val="en-US" w:eastAsia="zh-CN"/>
        </w:rPr>
        <w:t>18</w:t>
      </w:r>
    </w:p>
    <w:p w14:paraId="5421D1A5">
      <w:pPr>
        <w:pStyle w:val="16"/>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_Toc2545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第四部分 附件</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lang w:val="en-US" w:eastAsia="zh-CN"/>
        </w:rPr>
        <w:t>3</w:t>
      </w:r>
    </w:p>
    <w:p w14:paraId="7F4A947B">
      <w:pPr>
        <w:pStyle w:val="16"/>
        <w:pageBreakBefore w:val="0"/>
        <w:tabs>
          <w:tab w:val="right" w:leader="dot" w:pos="8306"/>
          <w:tab w:val="clear" w:pos="8296"/>
        </w:tabs>
        <w:kinsoku/>
        <w:wordWrap/>
        <w:overflowPunct/>
        <w:topLinePunct w:val="0"/>
        <w:bidi w:val="0"/>
        <w:spacing w:line="576" w:lineRule="exact"/>
        <w:textAlignment w:val="auto"/>
        <w:rPr>
          <w:rFonts w:hint="default" w:eastAsia="仿宋_GB2312"/>
          <w:lang w:val="en-US" w:eastAsia="zh-CN"/>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_Toc63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第五部分 附表</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color w:val="auto"/>
          <w:sz w:val="30"/>
          <w:szCs w:val="30"/>
          <w:lang w:val="en-US" w:eastAsia="zh-CN"/>
        </w:rPr>
        <w:t>48</w:t>
      </w:r>
    </w:p>
    <w:p w14:paraId="5C1380C0">
      <w:pPr>
        <w:pageBreakBefore w:val="0"/>
        <w:kinsoku/>
        <w:wordWrap/>
        <w:overflowPunct/>
        <w:topLinePunct w:val="0"/>
        <w:bidi w:val="0"/>
        <w:spacing w:line="576" w:lineRule="exact"/>
        <w:textAlignment w:val="auto"/>
        <w:rPr>
          <w:color w:val="auto"/>
        </w:rPr>
      </w:pPr>
      <w:r>
        <w:rPr>
          <w:color w:val="auto"/>
        </w:rPr>
        <w:fldChar w:fldCharType="end"/>
      </w:r>
    </w:p>
    <w:p w14:paraId="7727C0FA">
      <w:pPr>
        <w:pStyle w:val="17"/>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一、收入支出决算总表</w:t>
      </w:r>
    </w:p>
    <w:p w14:paraId="070A3EB7">
      <w:pPr>
        <w:pStyle w:val="17"/>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二、收入决算表</w:t>
      </w:r>
    </w:p>
    <w:p w14:paraId="1F03D79F">
      <w:pPr>
        <w:pStyle w:val="17"/>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三、支出决算表</w:t>
      </w:r>
    </w:p>
    <w:p w14:paraId="14FBFF5E">
      <w:pPr>
        <w:pStyle w:val="17"/>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四、财政拨款收入支出决算总表</w:t>
      </w:r>
    </w:p>
    <w:p w14:paraId="37F956C8">
      <w:pPr>
        <w:pStyle w:val="17"/>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五、财政拨款支出决算明细表</w:t>
      </w:r>
    </w:p>
    <w:p w14:paraId="5452B71B">
      <w:pPr>
        <w:pStyle w:val="17"/>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六、一般公共预算财政拨款支出决算表</w:t>
      </w:r>
    </w:p>
    <w:p w14:paraId="1F2D8EF0">
      <w:pPr>
        <w:pStyle w:val="17"/>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七、一般公共预算财政拨款支出决算明细表</w:t>
      </w:r>
    </w:p>
    <w:p w14:paraId="2E2FBECA">
      <w:pPr>
        <w:pStyle w:val="17"/>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八、一般公共预算财政拨款基本支出决算明细表</w:t>
      </w:r>
    </w:p>
    <w:p w14:paraId="32263791">
      <w:pPr>
        <w:pStyle w:val="17"/>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九、一般公共预算财政拨款项目支出决算表</w:t>
      </w:r>
    </w:p>
    <w:p w14:paraId="5E70903E">
      <w:pPr>
        <w:pStyle w:val="17"/>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十、政府性基金预算财政拨款收入支出决算表</w:t>
      </w:r>
    </w:p>
    <w:p w14:paraId="6971AE75">
      <w:pPr>
        <w:pStyle w:val="17"/>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十一、国有资本经营预算财政拨款收入支出决算表</w:t>
      </w:r>
    </w:p>
    <w:p w14:paraId="35183571">
      <w:pPr>
        <w:pStyle w:val="17"/>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十二、国有资本经营预算财政拨款支出决算表</w:t>
      </w:r>
    </w:p>
    <w:p w14:paraId="491EAB6F">
      <w:pPr>
        <w:pStyle w:val="17"/>
        <w:pageBreakBefore w:val="0"/>
        <w:tabs>
          <w:tab w:val="right" w:leader="dot" w:pos="8306"/>
          <w:tab w:val="clear" w:pos="8296"/>
        </w:tabs>
        <w:kinsoku/>
        <w:wordWrap/>
        <w:overflowPunct/>
        <w:topLinePunct w:val="0"/>
        <w:bidi w:val="0"/>
        <w:spacing w:line="576"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十三、财政拨款“三公”经费支出决算表</w:t>
      </w:r>
    </w:p>
    <w:p w14:paraId="0411C6D8">
      <w:pPr>
        <w:pageBreakBefore w:val="0"/>
        <w:widowControl/>
        <w:kinsoku/>
        <w:wordWrap/>
        <w:overflowPunct/>
        <w:topLinePunct w:val="0"/>
        <w:bidi w:val="0"/>
        <w:adjustRightInd w:val="0"/>
        <w:snapToGrid w:val="0"/>
        <w:spacing w:line="576" w:lineRule="exact"/>
        <w:ind w:firstLine="1320" w:firstLineChars="550"/>
        <w:jc w:val="left"/>
        <w:textAlignment w:val="auto"/>
        <w:rPr>
          <w:rFonts w:ascii="仿宋" w:hAnsi="仿宋" w:eastAsia="仿宋"/>
          <w:sz w:val="24"/>
        </w:rPr>
      </w:pPr>
      <w:r>
        <w:rPr>
          <w:rFonts w:ascii="仿宋" w:hAnsi="仿宋" w:eastAsia="仿宋"/>
          <w:sz w:val="24"/>
        </w:rPr>
        <w:t>(注：</w:t>
      </w:r>
      <w:r>
        <w:rPr>
          <w:rFonts w:hint="eastAsia" w:ascii="仿宋" w:hAnsi="仿宋" w:eastAsia="仿宋"/>
          <w:sz w:val="24"/>
        </w:rPr>
        <w:t>请部门根据实际注明页码</w:t>
      </w:r>
      <w:r>
        <w:rPr>
          <w:rFonts w:ascii="仿宋" w:hAnsi="仿宋" w:eastAsia="仿宋"/>
          <w:sz w:val="24"/>
        </w:rPr>
        <w:t>)</w:t>
      </w:r>
    </w:p>
    <w:p w14:paraId="18A63CCD">
      <w:pPr>
        <w:pageBreakBefore w:val="0"/>
        <w:widowControl/>
        <w:kinsoku/>
        <w:wordWrap/>
        <w:overflowPunct/>
        <w:topLinePunct w:val="0"/>
        <w:bidi w:val="0"/>
        <w:spacing w:line="576" w:lineRule="exact"/>
        <w:jc w:val="left"/>
        <w:textAlignment w:val="auto"/>
        <w:rPr>
          <w:rFonts w:ascii="仿宋" w:hAnsi="仿宋" w:eastAsia="仿宋"/>
          <w:bCs/>
          <w:kern w:val="44"/>
          <w:sz w:val="24"/>
        </w:rPr>
      </w:pPr>
      <w:r>
        <w:rPr>
          <w:rFonts w:ascii="仿宋" w:hAnsi="仿宋" w:eastAsia="仿宋"/>
          <w:b/>
          <w:sz w:val="24"/>
        </w:rPr>
        <w:br w:type="page"/>
      </w:r>
    </w:p>
    <w:p w14:paraId="76B70A5C">
      <w:pPr>
        <w:pStyle w:val="2"/>
        <w:pageBreakBefore w:val="0"/>
        <w:kinsoku/>
        <w:wordWrap/>
        <w:overflowPunct/>
        <w:topLinePunct w:val="0"/>
        <w:bidi w:val="0"/>
        <w:spacing w:line="576" w:lineRule="exact"/>
        <w:jc w:val="center"/>
        <w:textAlignment w:val="auto"/>
        <w:rPr>
          <w:rStyle w:val="32"/>
          <w:rFonts w:ascii="黑体" w:hAnsi="黑体" w:eastAsia="黑体"/>
          <w:b/>
          <w:bCs w:val="0"/>
        </w:rPr>
      </w:pPr>
      <w:r>
        <w:rPr>
          <w:rFonts w:hint="eastAsia" w:ascii="黑体" w:hAnsi="黑体" w:eastAsia="黑体"/>
          <w:b w:val="0"/>
        </w:rPr>
        <w:t xml:space="preserve">第一部分 </w:t>
      </w:r>
      <w:r>
        <w:rPr>
          <w:rStyle w:val="32"/>
          <w:rFonts w:hint="eastAsia" w:ascii="黑体" w:hAnsi="黑体" w:eastAsia="黑体"/>
          <w:b w:val="0"/>
          <w:bCs w:val="0"/>
        </w:rPr>
        <w:t>部门概况</w:t>
      </w:r>
      <w:bookmarkEnd w:id="6"/>
      <w:bookmarkEnd w:id="7"/>
    </w:p>
    <w:p w14:paraId="3AC9D50D">
      <w:pPr>
        <w:pageBreakBefore w:val="0"/>
        <w:widowControl/>
        <w:kinsoku/>
        <w:wordWrap/>
        <w:overflowPunct/>
        <w:topLinePunct w:val="0"/>
        <w:bidi w:val="0"/>
        <w:spacing w:line="576" w:lineRule="exact"/>
        <w:jc w:val="left"/>
        <w:textAlignment w:val="auto"/>
        <w:rPr>
          <w:rFonts w:ascii="黑体" w:eastAsia="黑体"/>
          <w:sz w:val="32"/>
          <w:szCs w:val="32"/>
        </w:rPr>
      </w:pPr>
    </w:p>
    <w:p w14:paraId="5EA1C8D8">
      <w:pPr>
        <w:pStyle w:val="14"/>
        <w:pageBreakBefore w:val="0"/>
        <w:kinsoku/>
        <w:wordWrap/>
        <w:overflowPunct/>
        <w:topLinePunct w:val="0"/>
        <w:bidi w:val="0"/>
        <w:spacing w:line="576" w:lineRule="exact"/>
        <w:ind w:firstLine="640" w:firstLineChars="200"/>
        <w:textAlignment w:val="auto"/>
        <w:rPr>
          <w:rStyle w:val="40"/>
          <w:rFonts w:hint="eastAsia" w:ascii="黑体" w:hAnsi="黑体" w:eastAsia="黑体"/>
          <w:b w:val="0"/>
          <w:bCs w:val="0"/>
        </w:rPr>
      </w:pPr>
      <w:r>
        <w:rPr>
          <w:rStyle w:val="40"/>
          <w:rFonts w:hint="eastAsia" w:ascii="黑体" w:hAnsi="黑体" w:eastAsia="黑体"/>
          <w:b w:val="0"/>
          <w:bCs w:val="0"/>
          <w:lang w:eastAsia="zh-CN"/>
        </w:rPr>
        <w:t>一、</w:t>
      </w:r>
      <w:r>
        <w:rPr>
          <w:rStyle w:val="40"/>
          <w:rFonts w:hint="eastAsia" w:ascii="黑体" w:hAnsi="黑体" w:eastAsia="黑体"/>
          <w:b w:val="0"/>
          <w:bCs w:val="0"/>
        </w:rPr>
        <w:t>部门职责</w:t>
      </w:r>
      <w:bookmarkStart w:id="8" w:name="_Toc57146357"/>
    </w:p>
    <w:bookmarkEnd w:id="8"/>
    <w:p w14:paraId="1BE2E6E9">
      <w:pPr>
        <w:keepNext w:val="0"/>
        <w:keepLines w:val="0"/>
        <w:pageBreakBefore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shd w:val="clear" w:color="auto" w:fill="FFFFFF"/>
          <w:lang w:val="en-US" w:eastAsia="zh-CN"/>
        </w:rPr>
      </w:pPr>
      <w:r>
        <w:rPr>
          <w:rFonts w:hint="eastAsia" w:ascii="仿宋_GB2312" w:hAnsi="仿宋_GB2312" w:eastAsia="仿宋_GB2312" w:cs="仿宋_GB2312"/>
          <w:b/>
          <w:bCs/>
          <w:sz w:val="32"/>
          <w:szCs w:val="32"/>
          <w:shd w:val="clear" w:color="auto" w:fill="FFFFFF"/>
          <w:lang w:val="en-US" w:eastAsia="zh-CN"/>
        </w:rPr>
        <w:t>(一)镇党委工作职责</w:t>
      </w:r>
    </w:p>
    <w:p w14:paraId="2EB7476A">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(1)宣传和贯彻执行党的路线、方针、政策和党中央、上级党组织及辖区内党委(或党员大会)的决议;</w:t>
      </w:r>
    </w:p>
    <w:p w14:paraId="3EE079E5">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(2)领导镇政府机关、群众组织和其他各类组织，加强指导和规范,支持和保证这些机关和组织依照国家法律法规及各自章程履行职责;</w:t>
      </w:r>
    </w:p>
    <w:p w14:paraId="30D0F54E">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(3)讨论和决定辖区内经济建设、政治建设、文化建设、社会建设、生态文明建设、党的建设、乡村振兴中和社会发展中的重大问题。需由乡政权机关或集体经济组织决定的重要事项，经镇党委研究讨论后,由镇机关或集体经济组织依照法律和有关规定作出决定;</w:t>
      </w:r>
    </w:p>
    <w:p w14:paraId="173C28A8">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(4)加强党委自身建设和以党支部为核心的村级组织建设，以及其他隶属镇党委的党组织建设，抓好发展党员工作，加强党员队伍建设。维护和执行党的纪律，监督党员干部和其他任何工作人员严格遵守国家法律法规;</w:t>
      </w:r>
    </w:p>
    <w:p w14:paraId="3CF8BBED">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(5)按照干部管理权限，负责对本级镇村干部的教育、管理、选拔和监督工作。协助管理上级有关部门驻乡单位的干部。做好人才服务和引进工作;</w:t>
      </w:r>
    </w:p>
    <w:p w14:paraId="4E1D2C3D">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(6)领导本镇的基层治理，加强社会主义民主法治建设和精神文明建设，加强社会治安综合治理，做好生态环保、美丽乡村建设、民主保障、巩固脱贫成果、民族宗教、微网实格、群众工作等工作;</w:t>
      </w:r>
    </w:p>
    <w:p w14:paraId="1EECFE9B">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(7)完成县委交办的其他工作任务。</w:t>
      </w:r>
    </w:p>
    <w:p w14:paraId="0B3A3E62">
      <w:pPr>
        <w:keepNext w:val="0"/>
        <w:keepLines w:val="0"/>
        <w:pageBreakBefore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shd w:val="clear" w:color="auto" w:fill="FFFFFF"/>
          <w:lang w:val="en-US" w:eastAsia="zh-CN"/>
        </w:rPr>
      </w:pPr>
      <w:r>
        <w:rPr>
          <w:rFonts w:hint="eastAsia" w:ascii="仿宋_GB2312" w:hAnsi="仿宋_GB2312" w:eastAsia="仿宋_GB2312" w:cs="仿宋_GB2312"/>
          <w:b/>
          <w:bCs/>
          <w:sz w:val="32"/>
          <w:szCs w:val="32"/>
          <w:shd w:val="clear" w:color="auto" w:fill="FFFFFF"/>
          <w:lang w:val="en-US" w:eastAsia="zh-CN"/>
        </w:rPr>
        <w:t>(二)镇人民代表大会工作职责</w:t>
      </w:r>
    </w:p>
    <w:p w14:paraId="315D2553">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(1)坚持党的领导，监督保证宪法、法律、法规及镇人民代表大会和上级人民代表大会及其常务委员会的决议、决定在本行政区域内的遵守和执行;</w:t>
      </w:r>
    </w:p>
    <w:p w14:paraId="0DCBEAB8">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(2)决定召集和主持本届人民代表大会会议，对本届人民代表大会负责并报告工作,决定召集下届人民代表大会第一次会议;</w:t>
      </w:r>
    </w:p>
    <w:p w14:paraId="27583CF9">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(3)听取、审议本级人民政府工作报告，通过相应决议、决定，检查、督促本级人民政府对镇人民代表大会决议、决定的贯彻执行;</w:t>
      </w:r>
    </w:p>
    <w:p w14:paraId="35A6F906">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(4)讨论辖区内的重大事项，向镇人民政府提出建议或者决定;</w:t>
      </w:r>
    </w:p>
    <w:p w14:paraId="11C86E20">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(5)根据人民政府的建议，决定镇人民代表大会通过的建设计划、财政预算的部分变更;</w:t>
      </w:r>
    </w:p>
    <w:p w14:paraId="7CE5BF0A">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(6)督促镇人民政府研究办理镇人民代表大会代表的视察，和调查，指导代表小组开展活动，密切联系代表，听取和反映他们的意见和要求;</w:t>
      </w:r>
    </w:p>
    <w:p w14:paraId="78145381">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(7)受理人民群众对本级国家机关和工作人员的申诉和意见;</w:t>
      </w:r>
    </w:p>
    <w:p w14:paraId="2D1C6196">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(8)选举本级人民代表大会主席团成员、主席，镇人民政府镇长、副镇长;决定接受镇长、副镇长的辞职，并报下一次人民代表大会会议备案;镇长因故不能担任职务时，从副镇长中决定代理人选;</w:t>
      </w:r>
    </w:p>
    <w:p w14:paraId="68B4C6F8">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(9)指导选区依法罢免和补选人民代表大会代表;</w:t>
      </w:r>
    </w:p>
    <w:p w14:paraId="3B98205F">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(10)保护社会主义全民所有财产和劳动群众集体所有财产;保障公民人身、民主、财产等合法权利;保障各种经济组织合法权利;</w:t>
      </w:r>
    </w:p>
    <w:p w14:paraId="372DCD59">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(11)完成镇人民代表大会和上级人民代表大会常务委员会交办的其他事项。</w:t>
      </w:r>
    </w:p>
    <w:p w14:paraId="6575157D">
      <w:pPr>
        <w:keepNext w:val="0"/>
        <w:keepLines w:val="0"/>
        <w:pageBreakBefore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shd w:val="clear" w:color="auto" w:fill="FFFFFF"/>
          <w:lang w:val="en-US" w:eastAsia="zh-CN"/>
        </w:rPr>
      </w:pPr>
      <w:bookmarkStart w:id="46" w:name="_GoBack"/>
      <w:bookmarkEnd w:id="46"/>
      <w:r>
        <w:rPr>
          <w:rFonts w:hint="eastAsia" w:ascii="仿宋_GB2312" w:hAnsi="仿宋_GB2312" w:eastAsia="仿宋_GB2312" w:cs="仿宋_GB2312"/>
          <w:b/>
          <w:bCs/>
          <w:sz w:val="32"/>
          <w:szCs w:val="32"/>
          <w:shd w:val="clear" w:color="auto" w:fill="FFFFFF"/>
          <w:lang w:val="en-US" w:eastAsia="zh-CN"/>
        </w:rPr>
        <w:t>(三)镇人民政府工作职责</w:t>
      </w:r>
    </w:p>
    <w:p w14:paraId="4730E725">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落实国家政策，严格依法行政，发挥经济管理职能，加强政策引导，制定发展规划，服务市场主体和营造发展环境，搞好市场监管，大力促进社会事业发展，发展乡村经济、文化和提请镇人民代表大会会议审议决定;撤销本级人民政府不适当的社会事业，提供公共服务，维护社会稳定，构建社会主义和谐社会;</w:t>
      </w:r>
    </w:p>
    <w:p w14:paraId="710FF7AC">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(2)贯彻执行党的路线、方针、政策及国家法律法规，执行本级人民代表大会决议和上级国家行政机关决定、命令，发布决定、命令;</w:t>
      </w:r>
    </w:p>
    <w:p w14:paraId="08E402F3">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(3)制定辖区内经济建设和社会发展规划、政策，促进本行政区域内经济和社会发展，做好招商引资工作，努力提高本地区经济实力和可持续发展水平，提高人民群众生活水平和质量;负责乡村建设规划、实施、管理和服务工作，推动乡村振兴宜居宜业和美丽乡村建设;</w:t>
      </w:r>
    </w:p>
    <w:p w14:paraId="59DD4E09">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(4)编制和执行辖区内国民经济和社会发展计划，领导管理全镇经济、教育、科技、文化、卫生、城乡建设，环境保护事业和财政、民政、公安、司法行政、行政监察、审计、计划生育等行政工作，领导和协助辖区内机关和企事业单位;</w:t>
      </w:r>
    </w:p>
    <w:p w14:paraId="25163E22">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(5)保护社会主义的全民所有的财产和劳动群众集体所有的财产，保护公民私人所有的合法财产，维护社会秩序，保障公民的人身权利、民主权利和其他权利;</w:t>
      </w:r>
    </w:p>
    <w:p w14:paraId="6ED6451D">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(6)负责辖区内综合行政执法工作，维护社会秩序;</w:t>
      </w:r>
    </w:p>
    <w:p w14:paraId="1E0C3C35">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(7)保障公民人身、民主、财产等合法权利;</w:t>
      </w:r>
    </w:p>
    <w:p w14:paraId="709E2521">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(8)保护各种经济组织的合法权益;</w:t>
      </w:r>
    </w:p>
    <w:p w14:paraId="396D3D3C">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(9)保障少数民族的权利和尊重少数民族的风俗习惯;</w:t>
      </w:r>
    </w:p>
    <w:p w14:paraId="5331023B">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(10)统筹管理辖区内寺庙及僧侣工作,规范寺庙管理制度;</w:t>
      </w:r>
    </w:p>
    <w:p w14:paraId="63348407">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(11)履行法律规定赋予的其他职责;</w:t>
      </w:r>
    </w:p>
    <w:p w14:paraId="7984F281">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(12)完成县委、县政府交办的其他事项。</w:t>
      </w:r>
    </w:p>
    <w:p w14:paraId="61C7D0F0">
      <w:pPr>
        <w:keepNext w:val="0"/>
        <w:keepLines w:val="0"/>
        <w:pageBreakBefore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shd w:val="clear" w:color="auto" w:fill="FFFFFF"/>
          <w:lang w:val="en-US" w:eastAsia="zh-CN"/>
        </w:rPr>
      </w:pPr>
      <w:r>
        <w:rPr>
          <w:rFonts w:hint="eastAsia" w:ascii="仿宋_GB2312" w:hAnsi="仿宋_GB2312" w:eastAsia="仿宋_GB2312" w:cs="仿宋_GB2312"/>
          <w:b/>
          <w:bCs/>
          <w:sz w:val="32"/>
          <w:szCs w:val="32"/>
          <w:shd w:val="clear" w:color="auto" w:fill="FFFFFF"/>
          <w:lang w:val="en-US" w:eastAsia="zh-CN"/>
        </w:rPr>
        <w:t>(四)镇纪检监察工作职责</w:t>
      </w:r>
    </w:p>
    <w:p w14:paraId="5905DC7B">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(1)负责贯彻落实中央和上级党委、政府关于加强党风廉政的决定;维护党的章程和其他党内法规，检查党的路线、方针、政策和决议执行情况;负责对党风廉政建设责任制执行情况进行监督检查;</w:t>
      </w:r>
    </w:p>
    <w:p w14:paraId="535D5871">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(2)贯彻落实上级纪委相关工作决定，监督检查本镇各部门及其工作人员执行国家法律法规、政策和镇党委决定、决议情况;负责部署全镇纠正行业不正之风工作并进行监督、检查、指导;</w:t>
      </w:r>
    </w:p>
    <w:p w14:paraId="7B2318AB">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(3)负责组织协调全镇党风廉政建设及反腐败工作;协助镇党委抓好农村基层党风廉政建设工作;</w:t>
      </w:r>
    </w:p>
    <w:p w14:paraId="06B768AC">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(4)负责调查处理全镇各单位各部门及工作人员违反国家法律法规、政策或违反政纪行为，并根据责任人所犯错误，按有关程序，作出处分决定;</w:t>
      </w:r>
    </w:p>
    <w:p w14:paraId="7EC28AA5">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(5)受理基层党支部、党员和领导干部违反党纪政纪的信</w:t>
      </w:r>
    </w:p>
    <w:p w14:paraId="36CA022A">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访和举报;调查处理基层党支部和党员、领导干部违反党纪政纪的行为或提出处理建议;</w:t>
      </w:r>
    </w:p>
    <w:p w14:paraId="68860F5A">
      <w:pPr>
        <w:keepNext w:val="0"/>
        <w:keepLines w:val="0"/>
        <w:pageBreakBefore w:val="0"/>
        <w:numPr>
          <w:ilvl w:val="0"/>
          <w:numId w:val="2"/>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受理党员、党员领导干部及行政干部不服党纪政纪处分的申诉;受理监察对象不服政纪处分申诉，保护党员和国家工作人员正当权利及合法权益;</w:t>
      </w:r>
    </w:p>
    <w:p w14:paraId="20EE0B72">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(7)会同有关部门做好党风党纪和廉洁从政的教育、宣传、调研等工作，对镇、村党员及干部进行遵纪守法、廉洁从政教育;</w:t>
      </w:r>
    </w:p>
    <w:p w14:paraId="497AAC72">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(8)做好执法监察工作;</w:t>
      </w:r>
    </w:p>
    <w:p w14:paraId="3976B96A">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(9)完成镇党委、镇政府和上级纪检监察机关交办的有关工作。</w:t>
      </w:r>
    </w:p>
    <w:p w14:paraId="741F5228">
      <w:pPr>
        <w:keepNext w:val="0"/>
        <w:keepLines w:val="0"/>
        <w:pageBreakBefore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shd w:val="clear" w:color="auto" w:fill="FFFFFF"/>
          <w:lang w:val="en-US" w:eastAsia="zh-CN"/>
        </w:rPr>
      </w:pPr>
      <w:r>
        <w:rPr>
          <w:rFonts w:hint="eastAsia" w:ascii="仿宋_GB2312" w:hAnsi="仿宋_GB2312" w:eastAsia="仿宋_GB2312" w:cs="仿宋_GB2312"/>
          <w:b/>
          <w:bCs/>
          <w:sz w:val="32"/>
          <w:szCs w:val="32"/>
          <w:shd w:val="clear" w:color="auto" w:fill="FFFFFF"/>
          <w:lang w:val="en-US" w:eastAsia="zh-CN"/>
        </w:rPr>
        <w:t>(五)镇人民武装部工作职责</w:t>
      </w:r>
    </w:p>
    <w:p w14:paraId="384FD0D7">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(1)负责本区域的民兵组织建设、政治教育、军事训练、武器装备管理;</w:t>
      </w:r>
    </w:p>
    <w:p w14:paraId="030CF754">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(2)组织带领民兵完成战备执勤任务，配合公安部门维护社会治安。协助做好地方群防群治巡逻，协助地方维护社会政治稳定;</w:t>
      </w:r>
    </w:p>
    <w:p w14:paraId="10002DEF">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(3)发动和组织民兵参加三个文明建设，开展以劳养武活动，完成急难险重任务;</w:t>
      </w:r>
    </w:p>
    <w:p w14:paraId="493CBD01">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(4)战时组织带领民兵参军参战，支援前线;</w:t>
      </w:r>
    </w:p>
    <w:p w14:paraId="17FAE489">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(5)负责本区域的征兵工作和预备役士兵，预备役军官登记统计工作;</w:t>
      </w:r>
    </w:p>
    <w:p w14:paraId="13DC42CB">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(6)会同有关部门进行战争潜力调查，做好相关的动员准备工作;</w:t>
      </w:r>
    </w:p>
    <w:p w14:paraId="555852C4">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(7)协同预备役部(分)队落实参训人员，做好兵役管理、动员集结等工作;</w:t>
      </w:r>
    </w:p>
    <w:p w14:paraId="7C62BBA0">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(8)协助有关部门开展国防教育，做好退伍军人的安置和优烈军属的优抚工作;</w:t>
      </w:r>
    </w:p>
    <w:p w14:paraId="20565D3C">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(9)协助军队做好本区域的军事设施保护工作;</w:t>
      </w:r>
    </w:p>
    <w:p w14:paraId="12BCDA66">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(10)为退役退伍干部提供管理及服务;</w:t>
      </w:r>
    </w:p>
    <w:p w14:paraId="421E2BFD">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(11)完成镇党委、镇政府和上级军事机关交办的其他工作任务。</w:t>
      </w:r>
    </w:p>
    <w:p w14:paraId="63624D8B">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二、机构设置</w:t>
      </w:r>
    </w:p>
    <w:p w14:paraId="18755409">
      <w:pPr>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rPr>
      </w:pPr>
      <w:r>
        <w:rPr>
          <w:rFonts w:hint="eastAsia" w:ascii="仿宋_GB2312" w:hAnsi="仿宋_GB2312" w:eastAsia="仿宋_GB2312" w:cs="仿宋_GB2312"/>
          <w:b w:val="0"/>
          <w:bCs w:val="0"/>
          <w:color w:val="auto"/>
          <w:kern w:val="2"/>
          <w:sz w:val="32"/>
          <w:szCs w:val="32"/>
          <w:highlight w:val="none"/>
          <w:lang w:val="en-US" w:eastAsia="zh-CN" w:bidi="ar-SA"/>
        </w:rPr>
        <w:t>我单位为独立核算全额拨款行政单位，下设单位（股室）10个，其中行政单位6个，参照公务员法管理的事业单位6个。分别是：经济发展和乡村振兴办公室、社会事务和应急管理办公室、村镇规划建设办公室、财政工作办公室、社会事业服务中心、便民服务中心、农业农村服务中心、综合文化服务中心、退役军人服务。截止2024年年末编制人数43人，在编在职人数43人，其中公务员编制28个，行政工勤编制3个，事业编制12个。</w:t>
      </w:r>
      <w:bookmarkStart w:id="9" w:name="_Toc15377204"/>
      <w:bookmarkStart w:id="10" w:name="_Toc15396602"/>
    </w:p>
    <w:p w14:paraId="72B6EA4C">
      <w:pPr>
        <w:pStyle w:val="2"/>
        <w:pageBreakBefore w:val="0"/>
        <w:kinsoku/>
        <w:wordWrap/>
        <w:overflowPunct/>
        <w:topLinePunct w:val="0"/>
        <w:bidi w:val="0"/>
        <w:spacing w:line="576" w:lineRule="exact"/>
        <w:ind w:right="440"/>
        <w:jc w:val="center"/>
        <w:textAlignment w:val="auto"/>
      </w:pPr>
      <w:r>
        <w:rPr>
          <w:rFonts w:hint="eastAsia" w:ascii="黑体" w:hAnsi="黑体" w:eastAsia="黑体"/>
          <w:b w:val="0"/>
        </w:rPr>
        <w:t>第二部分 202</w:t>
      </w:r>
      <w:r>
        <w:rPr>
          <w:rFonts w:hint="eastAsia" w:ascii="黑体" w:hAnsi="黑体" w:eastAsia="黑体"/>
          <w:b w:val="0"/>
          <w:lang w:val="en-US" w:eastAsia="zh-CN"/>
        </w:rPr>
        <w:t>4</w:t>
      </w:r>
      <w:r>
        <w:rPr>
          <w:rFonts w:hint="eastAsia" w:ascii="黑体" w:hAnsi="黑体" w:eastAsia="黑体"/>
          <w:b w:val="0"/>
        </w:rPr>
        <w:t>年度</w:t>
      </w:r>
      <w:r>
        <w:rPr>
          <w:rStyle w:val="32"/>
          <w:rFonts w:hint="eastAsia" w:ascii="黑体" w:hAnsi="黑体" w:eastAsia="黑体"/>
          <w:b w:val="0"/>
          <w:bCs/>
        </w:rPr>
        <w:t>部门决算情况说明</w:t>
      </w:r>
      <w:bookmarkEnd w:id="9"/>
      <w:bookmarkEnd w:id="10"/>
    </w:p>
    <w:p w14:paraId="41B13D3D">
      <w:pPr>
        <w:pStyle w:val="31"/>
        <w:pageBreakBefore w:val="0"/>
        <w:numPr>
          <w:ilvl w:val="0"/>
          <w:numId w:val="3"/>
        </w:numPr>
        <w:kinsoku/>
        <w:wordWrap/>
        <w:overflowPunct/>
        <w:topLinePunct w:val="0"/>
        <w:bidi w:val="0"/>
        <w:spacing w:line="576" w:lineRule="exact"/>
        <w:ind w:firstLineChars="0"/>
        <w:textAlignment w:val="auto"/>
        <w:outlineLvl w:val="1"/>
        <w:rPr>
          <w:rStyle w:val="33"/>
          <w:rFonts w:ascii="黑体" w:hAnsi="黑体" w:eastAsia="黑体"/>
          <w:b w:val="0"/>
        </w:rPr>
      </w:pPr>
      <w:bookmarkStart w:id="11" w:name="_Toc15396603"/>
      <w:bookmarkStart w:id="12" w:name="_Toc15377205"/>
      <w:r>
        <w:rPr>
          <w:rFonts w:hint="eastAsia" w:ascii="黑体" w:hAnsi="黑体" w:eastAsia="黑体"/>
          <w:sz w:val="32"/>
          <w:szCs w:val="32"/>
        </w:rPr>
        <w:t>收</w:t>
      </w:r>
      <w:r>
        <w:rPr>
          <w:rStyle w:val="33"/>
          <w:rFonts w:hint="eastAsia" w:ascii="黑体" w:hAnsi="黑体" w:eastAsia="黑体"/>
          <w:b w:val="0"/>
        </w:rPr>
        <w:t>入支出决算总体情况说明</w:t>
      </w:r>
      <w:bookmarkEnd w:id="11"/>
      <w:bookmarkEnd w:id="12"/>
    </w:p>
    <w:p w14:paraId="3B0D7BB6">
      <w:pPr>
        <w:pageBreakBefore w:val="0"/>
        <w:kinsoku/>
        <w:wordWrap/>
        <w:overflowPunct/>
        <w:topLinePunct w:val="0"/>
        <w:bidi w:val="0"/>
        <w:spacing w:line="576" w:lineRule="exact"/>
        <w:ind w:firstLine="640" w:firstLineChars="200"/>
        <w:jc w:val="left"/>
        <w:textAlignment w:val="auto"/>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年度收、支总计均为2742.73万元</w:t>
      </w:r>
      <w:r>
        <w:rPr>
          <w:rFonts w:hint="eastAsia"/>
          <w:sz w:val="32"/>
          <w:szCs w:val="32"/>
        </w:rPr>
        <w:t>。</w:t>
      </w:r>
      <w:r>
        <w:rPr>
          <w:rFonts w:hint="eastAsia" w:ascii="仿宋" w:hAnsi="仿宋" w:eastAsia="仿宋"/>
          <w:sz w:val="32"/>
          <w:szCs w:val="32"/>
        </w:rPr>
        <w:t>与202</w:t>
      </w:r>
      <w:r>
        <w:rPr>
          <w:rFonts w:hint="eastAsia" w:ascii="仿宋" w:hAnsi="仿宋" w:eastAsia="仿宋"/>
          <w:sz w:val="32"/>
          <w:szCs w:val="32"/>
          <w:lang w:val="en-US" w:eastAsia="zh-CN"/>
        </w:rPr>
        <w:t>3</w:t>
      </w:r>
      <w:r>
        <w:rPr>
          <w:rFonts w:hint="eastAsia" w:ascii="仿宋" w:hAnsi="仿宋" w:eastAsia="仿宋"/>
          <w:sz w:val="32"/>
          <w:szCs w:val="32"/>
        </w:rPr>
        <w:t>年度相比，收、支总计各</w:t>
      </w:r>
      <w:r>
        <w:rPr>
          <w:rFonts w:hint="eastAsia" w:ascii="仿宋" w:hAnsi="仿宋" w:eastAsia="仿宋"/>
          <w:sz w:val="32"/>
          <w:szCs w:val="32"/>
          <w:lang w:eastAsia="zh-CN"/>
        </w:rPr>
        <w:t>增加</w:t>
      </w:r>
      <w:r>
        <w:rPr>
          <w:rFonts w:hint="eastAsia" w:ascii="仿宋" w:hAnsi="仿宋" w:eastAsia="仿宋"/>
          <w:sz w:val="32"/>
          <w:szCs w:val="32"/>
          <w:lang w:val="en-US" w:eastAsia="zh-CN"/>
        </w:rPr>
        <w:t>923.87</w:t>
      </w:r>
      <w:r>
        <w:rPr>
          <w:rFonts w:hint="eastAsia" w:ascii="仿宋" w:hAnsi="仿宋" w:eastAsia="仿宋"/>
          <w:sz w:val="32"/>
          <w:szCs w:val="32"/>
        </w:rPr>
        <w:t>万元，</w:t>
      </w:r>
      <w:r>
        <w:rPr>
          <w:rFonts w:hint="eastAsia" w:ascii="仿宋" w:hAnsi="仿宋" w:eastAsia="仿宋"/>
          <w:sz w:val="32"/>
          <w:szCs w:val="32"/>
          <w:lang w:eastAsia="zh-CN"/>
        </w:rPr>
        <w:t>增加</w:t>
      </w:r>
      <w:r>
        <w:rPr>
          <w:rFonts w:hint="eastAsia" w:ascii="仿宋" w:hAnsi="仿宋" w:eastAsia="仿宋"/>
          <w:sz w:val="32"/>
          <w:szCs w:val="32"/>
          <w:lang w:val="en-US" w:eastAsia="zh-CN"/>
        </w:rPr>
        <w:t>34</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人员经费增加</w:t>
      </w:r>
      <w:r>
        <w:rPr>
          <w:rFonts w:hint="eastAsia" w:ascii="仿宋" w:hAnsi="仿宋" w:eastAsia="仿宋"/>
          <w:sz w:val="32"/>
          <w:szCs w:val="32"/>
        </w:rPr>
        <w:t>。</w:t>
      </w:r>
    </w:p>
    <w:p w14:paraId="6A7A8A0F">
      <w:pPr>
        <w:pageBreakBefore w:val="0"/>
        <w:kinsoku/>
        <w:wordWrap/>
        <w:overflowPunct/>
        <w:topLinePunct w:val="0"/>
        <w:bidi w:val="0"/>
        <w:spacing w:line="576" w:lineRule="exact"/>
        <w:ind w:firstLine="640" w:firstLineChars="200"/>
        <w:jc w:val="left"/>
        <w:textAlignment w:val="auto"/>
        <w:rPr>
          <w:rFonts w:hint="eastAsia" w:ascii="仿宋" w:hAnsi="仿宋" w:eastAsia="仿宋"/>
          <w:sz w:val="32"/>
          <w:szCs w:val="32"/>
        </w:rPr>
      </w:pPr>
      <w:r>
        <w:rPr>
          <w:rFonts w:hint="eastAsia" w:ascii="仿宋" w:hAnsi="仿宋" w:eastAsia="仿宋"/>
          <w:color w:val="auto"/>
          <w:sz w:val="32"/>
          <w:szCs w:val="32"/>
          <w:highlight w:val="none"/>
        </w:rPr>
        <w:drawing>
          <wp:anchor distT="0" distB="0" distL="114300" distR="114300" simplePos="0" relativeHeight="251659264" behindDoc="0" locked="0" layoutInCell="1" allowOverlap="1">
            <wp:simplePos x="0" y="0"/>
            <wp:positionH relativeFrom="column">
              <wp:posOffset>29845</wp:posOffset>
            </wp:positionH>
            <wp:positionV relativeFrom="paragraph">
              <wp:posOffset>212725</wp:posOffset>
            </wp:positionV>
            <wp:extent cx="4686935" cy="2821940"/>
            <wp:effectExtent l="4445" t="5080" r="13970" b="1143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6240CF27">
      <w:pPr>
        <w:pStyle w:val="8"/>
        <w:pageBreakBefore w:val="0"/>
        <w:kinsoku/>
        <w:wordWrap/>
        <w:overflowPunct/>
        <w:topLinePunct w:val="0"/>
        <w:bidi w:val="0"/>
        <w:spacing w:line="576" w:lineRule="exact"/>
        <w:textAlignment w:val="auto"/>
        <w:rPr>
          <w:rFonts w:hint="eastAsia" w:ascii="仿宋" w:hAnsi="仿宋" w:eastAsia="仿宋"/>
          <w:sz w:val="32"/>
          <w:szCs w:val="32"/>
        </w:rPr>
      </w:pPr>
    </w:p>
    <w:p w14:paraId="22126BAE">
      <w:pPr>
        <w:pageBreakBefore w:val="0"/>
        <w:kinsoku/>
        <w:wordWrap/>
        <w:overflowPunct/>
        <w:topLinePunct w:val="0"/>
        <w:bidi w:val="0"/>
        <w:spacing w:line="576" w:lineRule="exact"/>
        <w:textAlignment w:val="auto"/>
      </w:pPr>
    </w:p>
    <w:p w14:paraId="151152AB">
      <w:pPr>
        <w:pStyle w:val="31"/>
        <w:pageBreakBefore w:val="0"/>
        <w:widowControl w:val="0"/>
        <w:numPr>
          <w:ilvl w:val="0"/>
          <w:numId w:val="0"/>
        </w:numPr>
        <w:kinsoku/>
        <w:wordWrap/>
        <w:overflowPunct/>
        <w:topLinePunct w:val="0"/>
        <w:bidi w:val="0"/>
        <w:spacing w:line="576" w:lineRule="exact"/>
        <w:jc w:val="both"/>
        <w:textAlignment w:val="auto"/>
        <w:outlineLvl w:val="1"/>
        <w:rPr>
          <w:rStyle w:val="33"/>
          <w:rFonts w:ascii="黑体" w:hAnsi="黑体" w:eastAsia="黑体"/>
          <w:b w:val="0"/>
        </w:rPr>
      </w:pPr>
      <w:bookmarkStart w:id="13" w:name="_Toc15377206"/>
      <w:bookmarkStart w:id="14" w:name="_Toc15396604"/>
    </w:p>
    <w:p w14:paraId="54BD99B1">
      <w:pPr>
        <w:pStyle w:val="31"/>
        <w:pageBreakBefore w:val="0"/>
        <w:widowControl w:val="0"/>
        <w:numPr>
          <w:ilvl w:val="0"/>
          <w:numId w:val="0"/>
        </w:numPr>
        <w:kinsoku/>
        <w:wordWrap/>
        <w:overflowPunct/>
        <w:topLinePunct w:val="0"/>
        <w:bidi w:val="0"/>
        <w:spacing w:line="576" w:lineRule="exact"/>
        <w:jc w:val="both"/>
        <w:textAlignment w:val="auto"/>
        <w:outlineLvl w:val="1"/>
        <w:rPr>
          <w:rStyle w:val="33"/>
          <w:rFonts w:ascii="黑体" w:hAnsi="黑体" w:eastAsia="黑体"/>
          <w:b w:val="0"/>
        </w:rPr>
      </w:pPr>
    </w:p>
    <w:p w14:paraId="0CF0B226">
      <w:pPr>
        <w:pStyle w:val="31"/>
        <w:pageBreakBefore w:val="0"/>
        <w:widowControl w:val="0"/>
        <w:numPr>
          <w:ilvl w:val="0"/>
          <w:numId w:val="0"/>
        </w:numPr>
        <w:kinsoku/>
        <w:wordWrap/>
        <w:overflowPunct/>
        <w:topLinePunct w:val="0"/>
        <w:bidi w:val="0"/>
        <w:spacing w:line="576" w:lineRule="exact"/>
        <w:jc w:val="both"/>
        <w:textAlignment w:val="auto"/>
        <w:outlineLvl w:val="1"/>
        <w:rPr>
          <w:rStyle w:val="33"/>
          <w:rFonts w:ascii="黑体" w:hAnsi="黑体" w:eastAsia="黑体"/>
          <w:b w:val="0"/>
        </w:rPr>
      </w:pPr>
    </w:p>
    <w:p w14:paraId="05B110C0">
      <w:pPr>
        <w:pStyle w:val="31"/>
        <w:pageBreakBefore w:val="0"/>
        <w:widowControl w:val="0"/>
        <w:numPr>
          <w:ilvl w:val="0"/>
          <w:numId w:val="0"/>
        </w:numPr>
        <w:kinsoku/>
        <w:wordWrap/>
        <w:overflowPunct/>
        <w:topLinePunct w:val="0"/>
        <w:bidi w:val="0"/>
        <w:spacing w:line="576" w:lineRule="exact"/>
        <w:jc w:val="both"/>
        <w:textAlignment w:val="auto"/>
        <w:outlineLvl w:val="1"/>
        <w:rPr>
          <w:rStyle w:val="33"/>
          <w:rFonts w:ascii="黑体" w:hAnsi="黑体" w:eastAsia="黑体"/>
          <w:b w:val="0"/>
        </w:rPr>
      </w:pPr>
    </w:p>
    <w:p w14:paraId="652D24B2">
      <w:pPr>
        <w:pStyle w:val="31"/>
        <w:pageBreakBefore w:val="0"/>
        <w:widowControl w:val="0"/>
        <w:numPr>
          <w:ilvl w:val="0"/>
          <w:numId w:val="0"/>
        </w:numPr>
        <w:kinsoku/>
        <w:wordWrap/>
        <w:overflowPunct/>
        <w:topLinePunct w:val="0"/>
        <w:bidi w:val="0"/>
        <w:spacing w:line="576" w:lineRule="exact"/>
        <w:jc w:val="both"/>
        <w:textAlignment w:val="auto"/>
        <w:outlineLvl w:val="1"/>
        <w:rPr>
          <w:rStyle w:val="33"/>
          <w:rFonts w:ascii="黑体" w:hAnsi="黑体" w:eastAsia="黑体"/>
          <w:b w:val="0"/>
        </w:rPr>
      </w:pPr>
    </w:p>
    <w:p w14:paraId="384227E6">
      <w:pPr>
        <w:pStyle w:val="31"/>
        <w:pageBreakBefore w:val="0"/>
        <w:widowControl w:val="0"/>
        <w:numPr>
          <w:ilvl w:val="0"/>
          <w:numId w:val="0"/>
        </w:numPr>
        <w:kinsoku/>
        <w:wordWrap/>
        <w:overflowPunct/>
        <w:topLinePunct w:val="0"/>
        <w:bidi w:val="0"/>
        <w:spacing w:line="576" w:lineRule="exact"/>
        <w:jc w:val="both"/>
        <w:textAlignment w:val="auto"/>
        <w:outlineLvl w:val="1"/>
        <w:rPr>
          <w:rStyle w:val="33"/>
          <w:rFonts w:ascii="黑体" w:hAnsi="黑体" w:eastAsia="黑体"/>
          <w:b w:val="0"/>
        </w:rPr>
      </w:pPr>
    </w:p>
    <w:p w14:paraId="755EF2C1">
      <w:pPr>
        <w:pStyle w:val="31"/>
        <w:pageBreakBefore w:val="0"/>
        <w:numPr>
          <w:ilvl w:val="0"/>
          <w:numId w:val="3"/>
        </w:numPr>
        <w:kinsoku/>
        <w:wordWrap/>
        <w:overflowPunct/>
        <w:topLinePunct w:val="0"/>
        <w:bidi w:val="0"/>
        <w:spacing w:line="576" w:lineRule="exact"/>
        <w:ind w:firstLineChars="0"/>
        <w:textAlignment w:val="auto"/>
        <w:outlineLvl w:val="1"/>
        <w:rPr>
          <w:rStyle w:val="33"/>
          <w:rFonts w:ascii="黑体" w:hAnsi="黑体" w:eastAsia="黑体"/>
          <w:b w:val="0"/>
        </w:rPr>
      </w:pPr>
      <w:r>
        <w:rPr>
          <w:rFonts w:hint="eastAsia" w:ascii="黑体" w:hAnsi="黑体" w:eastAsia="黑体"/>
          <w:sz w:val="32"/>
          <w:szCs w:val="32"/>
        </w:rPr>
        <w:t>收</w:t>
      </w:r>
      <w:r>
        <w:rPr>
          <w:rStyle w:val="33"/>
          <w:rFonts w:hint="eastAsia" w:ascii="黑体" w:hAnsi="黑体" w:eastAsia="黑体"/>
          <w:b w:val="0"/>
        </w:rPr>
        <w:t>入决算情况说明</w:t>
      </w:r>
      <w:bookmarkEnd w:id="13"/>
      <w:bookmarkEnd w:id="14"/>
    </w:p>
    <w:p w14:paraId="13E1A329">
      <w:pPr>
        <w:pageBreakBefore w:val="0"/>
        <w:kinsoku/>
        <w:wordWrap/>
        <w:overflowPunct/>
        <w:topLinePunct w:val="0"/>
        <w:bidi w:val="0"/>
        <w:spacing w:line="576" w:lineRule="exact"/>
        <w:ind w:firstLine="640" w:firstLineChars="200"/>
        <w:jc w:val="left"/>
        <w:textAlignment w:val="auto"/>
        <w:outlineLvl w:val="1"/>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年度本年收入合计2742.73万元，其中：一般公共预算财政拨款收入</w:t>
      </w:r>
      <w:r>
        <w:rPr>
          <w:rFonts w:hint="eastAsia" w:eastAsia="仿宋"/>
          <w:sz w:val="32"/>
          <w:szCs w:val="32"/>
          <w:lang w:val="en-US" w:eastAsia="zh-CN"/>
        </w:rPr>
        <w:t>2737.62</w:t>
      </w:r>
      <w:r>
        <w:rPr>
          <w:rFonts w:hint="eastAsia" w:ascii="仿宋" w:hAnsi="仿宋" w:eastAsia="仿宋"/>
          <w:sz w:val="32"/>
          <w:szCs w:val="32"/>
        </w:rPr>
        <w:t>万元，占</w:t>
      </w:r>
      <w:r>
        <w:rPr>
          <w:rFonts w:hint="eastAsia" w:eastAsia="仿宋"/>
          <w:sz w:val="32"/>
          <w:szCs w:val="32"/>
          <w:lang w:val="en-US" w:eastAsia="zh-CN"/>
        </w:rPr>
        <w:t>99.7</w:t>
      </w:r>
      <w:r>
        <w:rPr>
          <w:rFonts w:ascii="仿宋" w:hAnsi="仿宋" w:eastAsia="仿宋"/>
          <w:sz w:val="32"/>
          <w:szCs w:val="32"/>
        </w:rPr>
        <w:t>%</w:t>
      </w:r>
      <w:r>
        <w:rPr>
          <w:rFonts w:hint="eastAsia" w:ascii="仿宋" w:hAnsi="仿宋" w:eastAsia="仿宋"/>
          <w:sz w:val="32"/>
          <w:szCs w:val="32"/>
        </w:rPr>
        <w:t>；政府性基金预算财政拨款收入</w:t>
      </w:r>
      <w:r>
        <w:rPr>
          <w:rFonts w:hint="eastAsia"/>
          <w:sz w:val="32"/>
          <w:szCs w:val="32"/>
        </w:rPr>
        <w:t>4.95</w:t>
      </w:r>
      <w:r>
        <w:rPr>
          <w:rFonts w:hint="eastAsia" w:ascii="仿宋" w:hAnsi="仿宋" w:eastAsia="仿宋"/>
          <w:sz w:val="32"/>
          <w:szCs w:val="32"/>
        </w:rPr>
        <w:t>万元，占</w:t>
      </w:r>
      <w:r>
        <w:rPr>
          <w:rFonts w:hint="eastAsia" w:eastAsia="仿宋"/>
          <w:sz w:val="32"/>
          <w:szCs w:val="32"/>
          <w:lang w:val="en-US" w:eastAsia="zh-CN"/>
        </w:rPr>
        <w:t>0.2</w:t>
      </w:r>
      <w:r>
        <w:rPr>
          <w:rFonts w:ascii="仿宋" w:hAnsi="仿宋" w:eastAsia="仿宋"/>
          <w:sz w:val="32"/>
          <w:szCs w:val="32"/>
        </w:rPr>
        <w:t>%</w:t>
      </w:r>
      <w:r>
        <w:rPr>
          <w:rFonts w:hint="eastAsia" w:ascii="仿宋" w:hAnsi="仿宋" w:eastAsia="仿宋"/>
          <w:sz w:val="32"/>
          <w:szCs w:val="32"/>
        </w:rPr>
        <w:t>；国有资本经营预算财政拨款收入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；上级补助收入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；事业收入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；附属单位上缴收入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；其他收入</w:t>
      </w:r>
      <w:r>
        <w:rPr>
          <w:rFonts w:hint="eastAsia" w:eastAsia="仿宋"/>
          <w:sz w:val="32"/>
          <w:szCs w:val="32"/>
          <w:lang w:val="en-US" w:eastAsia="zh-CN"/>
        </w:rPr>
        <w:t>0.16</w:t>
      </w:r>
      <w:r>
        <w:rPr>
          <w:rFonts w:hint="eastAsia" w:ascii="仿宋" w:hAnsi="仿宋" w:eastAsia="仿宋"/>
          <w:sz w:val="32"/>
          <w:szCs w:val="32"/>
        </w:rPr>
        <w:t>万元，占</w:t>
      </w:r>
      <w:r>
        <w:rPr>
          <w:rFonts w:hint="eastAsia" w:eastAsia="仿宋"/>
          <w:sz w:val="32"/>
          <w:szCs w:val="32"/>
          <w:lang w:val="en-US" w:eastAsia="zh-CN"/>
        </w:rPr>
        <w:t>0.1</w:t>
      </w:r>
      <w:r>
        <w:rPr>
          <w:rFonts w:ascii="仿宋" w:hAnsi="仿宋" w:eastAsia="仿宋"/>
          <w:sz w:val="32"/>
          <w:szCs w:val="32"/>
        </w:rPr>
        <w:t>%</w:t>
      </w:r>
      <w:r>
        <w:rPr>
          <w:rFonts w:hint="eastAsia" w:ascii="仿宋" w:hAnsi="仿宋" w:eastAsia="仿宋"/>
          <w:sz w:val="32"/>
          <w:szCs w:val="32"/>
        </w:rPr>
        <w:t>。</w:t>
      </w:r>
    </w:p>
    <w:p w14:paraId="18FEB648">
      <w:pPr>
        <w:pageBreakBefore w:val="0"/>
        <w:kinsoku/>
        <w:wordWrap/>
        <w:overflowPunct/>
        <w:topLinePunct w:val="0"/>
        <w:bidi w:val="0"/>
        <w:spacing w:line="576" w:lineRule="exact"/>
        <w:ind w:firstLine="643" w:firstLineChars="200"/>
        <w:textAlignment w:val="auto"/>
        <w:outlineLvl w:val="1"/>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01表</w:t>
      </w:r>
      <w:r>
        <w:rPr>
          <w:rFonts w:hint="eastAsia" w:ascii="仿宋" w:hAnsi="仿宋" w:eastAsia="仿宋"/>
          <w:b/>
          <w:sz w:val="32"/>
          <w:szCs w:val="32"/>
        </w:rPr>
        <w:t>，仅罗列本部门涉及的收入。</w:t>
      </w:r>
      <w:r>
        <w:rPr>
          <w:rFonts w:ascii="仿宋" w:hAnsi="仿宋" w:eastAsia="仿宋"/>
          <w:b/>
          <w:sz w:val="32"/>
          <w:szCs w:val="32"/>
        </w:rPr>
        <w:t>）</w:t>
      </w:r>
    </w:p>
    <w:p w14:paraId="6CAD37E2">
      <w:pPr>
        <w:pageBreakBefore w:val="0"/>
        <w:kinsoku/>
        <w:wordWrap/>
        <w:overflowPunct/>
        <w:topLinePunct w:val="0"/>
        <w:bidi w:val="0"/>
        <w:spacing w:line="576" w:lineRule="exact"/>
        <w:ind w:firstLine="640" w:firstLineChars="200"/>
        <w:textAlignment w:val="auto"/>
        <w:outlineLvl w:val="1"/>
        <w:rPr>
          <w:rFonts w:ascii="仿宋" w:hAnsi="仿宋" w:eastAsia="仿宋"/>
          <w:sz w:val="32"/>
          <w:szCs w:val="32"/>
        </w:rPr>
      </w:pPr>
      <w:r>
        <w:rPr>
          <w:rFonts w:hint="eastAsia" w:ascii="仿宋" w:hAnsi="仿宋" w:eastAsia="仿宋"/>
          <w:color w:val="auto"/>
          <w:sz w:val="32"/>
          <w:szCs w:val="32"/>
          <w:highlight w:val="none"/>
        </w:rPr>
        <w:drawing>
          <wp:anchor distT="0" distB="0" distL="114300" distR="114300" simplePos="0" relativeHeight="251665408" behindDoc="1" locked="0" layoutInCell="1" allowOverlap="1">
            <wp:simplePos x="0" y="0"/>
            <wp:positionH relativeFrom="column">
              <wp:posOffset>100965</wp:posOffset>
            </wp:positionH>
            <wp:positionV relativeFrom="paragraph">
              <wp:posOffset>102870</wp:posOffset>
            </wp:positionV>
            <wp:extent cx="3983990" cy="2489835"/>
            <wp:effectExtent l="4445" t="4445" r="69215" b="58420"/>
            <wp:wrapTight wrapText="bothSides">
              <wp:wrapPolygon>
                <wp:start x="-24" y="-39"/>
                <wp:lineTo x="-24" y="21446"/>
                <wp:lineTo x="21562" y="21446"/>
                <wp:lineTo x="21562" y="-39"/>
                <wp:lineTo x="-24" y="-39"/>
              </wp:wrapPolygon>
            </wp:wrapTight>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16A15931">
      <w:pPr>
        <w:pageBreakBefore w:val="0"/>
        <w:kinsoku/>
        <w:wordWrap/>
        <w:overflowPunct/>
        <w:topLinePunct w:val="0"/>
        <w:bidi w:val="0"/>
        <w:spacing w:line="576" w:lineRule="exact"/>
        <w:ind w:firstLine="640" w:firstLineChars="200"/>
        <w:textAlignment w:val="auto"/>
        <w:rPr>
          <w:rFonts w:hint="eastAsia" w:ascii="仿宋" w:hAnsi="仿宋" w:eastAsia="仿宋"/>
          <w:sz w:val="32"/>
          <w:szCs w:val="32"/>
        </w:rPr>
      </w:pPr>
    </w:p>
    <w:p w14:paraId="14302AC2">
      <w:pPr>
        <w:pageBreakBefore w:val="0"/>
        <w:kinsoku/>
        <w:wordWrap/>
        <w:overflowPunct/>
        <w:topLinePunct w:val="0"/>
        <w:bidi w:val="0"/>
        <w:spacing w:line="576" w:lineRule="exact"/>
        <w:ind w:firstLine="640" w:firstLineChars="200"/>
        <w:textAlignment w:val="auto"/>
        <w:rPr>
          <w:rFonts w:hint="eastAsia" w:ascii="仿宋" w:hAnsi="仿宋" w:eastAsia="仿宋"/>
          <w:sz w:val="32"/>
          <w:szCs w:val="32"/>
        </w:rPr>
      </w:pPr>
    </w:p>
    <w:p w14:paraId="06092384">
      <w:pPr>
        <w:pageBreakBefore w:val="0"/>
        <w:kinsoku/>
        <w:wordWrap/>
        <w:overflowPunct/>
        <w:topLinePunct w:val="0"/>
        <w:bidi w:val="0"/>
        <w:spacing w:line="576" w:lineRule="exact"/>
        <w:ind w:firstLine="640" w:firstLineChars="200"/>
        <w:textAlignment w:val="auto"/>
        <w:rPr>
          <w:rFonts w:hint="eastAsia" w:ascii="仿宋" w:hAnsi="仿宋" w:eastAsia="仿宋"/>
          <w:sz w:val="32"/>
          <w:szCs w:val="32"/>
        </w:rPr>
      </w:pPr>
    </w:p>
    <w:p w14:paraId="33D8BF28">
      <w:pPr>
        <w:pageBreakBefore w:val="0"/>
        <w:kinsoku/>
        <w:wordWrap/>
        <w:overflowPunct/>
        <w:topLinePunct w:val="0"/>
        <w:bidi w:val="0"/>
        <w:spacing w:line="576" w:lineRule="exact"/>
        <w:ind w:firstLine="640" w:firstLineChars="200"/>
        <w:textAlignment w:val="auto"/>
        <w:rPr>
          <w:rFonts w:hint="eastAsia" w:ascii="仿宋" w:hAnsi="仿宋" w:eastAsia="仿宋"/>
          <w:sz w:val="32"/>
          <w:szCs w:val="32"/>
        </w:rPr>
      </w:pPr>
    </w:p>
    <w:p w14:paraId="713222F5">
      <w:pPr>
        <w:pageBreakBefore w:val="0"/>
        <w:kinsoku/>
        <w:wordWrap/>
        <w:overflowPunct/>
        <w:topLinePunct w:val="0"/>
        <w:bidi w:val="0"/>
        <w:spacing w:line="576" w:lineRule="exact"/>
        <w:ind w:firstLine="640" w:firstLineChars="200"/>
        <w:textAlignment w:val="auto"/>
        <w:rPr>
          <w:rFonts w:hint="eastAsia" w:ascii="仿宋" w:hAnsi="仿宋" w:eastAsia="仿宋"/>
          <w:sz w:val="32"/>
          <w:szCs w:val="32"/>
        </w:rPr>
      </w:pPr>
    </w:p>
    <w:p w14:paraId="54E75820">
      <w:pPr>
        <w:pageBreakBefore w:val="0"/>
        <w:kinsoku/>
        <w:wordWrap/>
        <w:overflowPunct/>
        <w:topLinePunct w:val="0"/>
        <w:bidi w:val="0"/>
        <w:spacing w:line="576" w:lineRule="exact"/>
        <w:ind w:firstLine="640" w:firstLineChars="200"/>
        <w:textAlignment w:val="auto"/>
        <w:rPr>
          <w:rFonts w:hint="eastAsia" w:ascii="仿宋" w:hAnsi="仿宋" w:eastAsia="仿宋"/>
          <w:sz w:val="32"/>
          <w:szCs w:val="32"/>
        </w:rPr>
      </w:pPr>
    </w:p>
    <w:p w14:paraId="0AFEC696">
      <w:pPr>
        <w:pageBreakBefore w:val="0"/>
        <w:kinsoku/>
        <w:wordWrap/>
        <w:overflowPunct/>
        <w:topLinePunct w:val="0"/>
        <w:bidi w:val="0"/>
        <w:spacing w:line="576" w:lineRule="exact"/>
        <w:ind w:firstLine="640" w:firstLineChars="200"/>
        <w:textAlignment w:val="auto"/>
        <w:rPr>
          <w:rFonts w:ascii="仿宋" w:hAnsi="仿宋" w:eastAsia="仿宋"/>
          <w:sz w:val="32"/>
          <w:szCs w:val="32"/>
        </w:rPr>
      </w:pPr>
      <w:r>
        <w:rPr>
          <w:rFonts w:hint="eastAsia" w:ascii="仿宋" w:hAnsi="仿宋" w:eastAsia="仿宋"/>
          <w:sz w:val="32"/>
          <w:szCs w:val="32"/>
        </w:rPr>
        <w:t>（图2：收入决算结构图）（饼状图）</w:t>
      </w:r>
    </w:p>
    <w:p w14:paraId="7D6407B7">
      <w:pPr>
        <w:pageBreakBefore w:val="0"/>
        <w:kinsoku/>
        <w:wordWrap/>
        <w:overflowPunct/>
        <w:topLinePunct w:val="0"/>
        <w:bidi w:val="0"/>
        <w:spacing w:line="576" w:lineRule="exact"/>
        <w:ind w:firstLine="640" w:firstLineChars="200"/>
        <w:textAlignment w:val="auto"/>
        <w:rPr>
          <w:rFonts w:ascii="仿宋_GB2312" w:eastAsia="仿宋_GB2312"/>
          <w:sz w:val="32"/>
          <w:szCs w:val="32"/>
        </w:rPr>
      </w:pPr>
    </w:p>
    <w:p w14:paraId="45C66AE6">
      <w:pPr>
        <w:pStyle w:val="31"/>
        <w:pageBreakBefore w:val="0"/>
        <w:numPr>
          <w:ilvl w:val="0"/>
          <w:numId w:val="3"/>
        </w:numPr>
        <w:kinsoku/>
        <w:wordWrap/>
        <w:overflowPunct/>
        <w:topLinePunct w:val="0"/>
        <w:bidi w:val="0"/>
        <w:spacing w:line="576" w:lineRule="exact"/>
        <w:ind w:firstLineChars="0"/>
        <w:textAlignment w:val="auto"/>
        <w:outlineLvl w:val="1"/>
        <w:rPr>
          <w:rStyle w:val="33"/>
          <w:rFonts w:ascii="黑体" w:hAnsi="黑体" w:eastAsia="黑体"/>
          <w:b w:val="0"/>
        </w:rPr>
      </w:pPr>
      <w:bookmarkStart w:id="15" w:name="_Toc15377207"/>
      <w:bookmarkStart w:id="16" w:name="_Toc15396605"/>
      <w:r>
        <w:rPr>
          <w:rFonts w:hint="eastAsia" w:ascii="黑体" w:hAnsi="黑体" w:eastAsia="黑体"/>
          <w:sz w:val="32"/>
          <w:szCs w:val="32"/>
        </w:rPr>
        <w:t>支</w:t>
      </w:r>
      <w:r>
        <w:rPr>
          <w:rStyle w:val="33"/>
          <w:rFonts w:hint="eastAsia" w:ascii="黑体" w:hAnsi="黑体" w:eastAsia="黑体"/>
          <w:b w:val="0"/>
        </w:rPr>
        <w:t>出决算情况说明</w:t>
      </w:r>
      <w:bookmarkEnd w:id="15"/>
      <w:bookmarkEnd w:id="16"/>
    </w:p>
    <w:p w14:paraId="2FAC8C94">
      <w:pPr>
        <w:pageBreakBefore w:val="0"/>
        <w:kinsoku/>
        <w:wordWrap/>
        <w:overflowPunct/>
        <w:topLinePunct w:val="0"/>
        <w:bidi w:val="0"/>
        <w:spacing w:line="576" w:lineRule="exact"/>
        <w:ind w:firstLine="640" w:firstLineChars="200"/>
        <w:textAlignment w:val="auto"/>
        <w:outlineLvl w:val="1"/>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年度本年支出合计2742.73万元，其中：基本支出</w:t>
      </w:r>
      <w:r>
        <w:rPr>
          <w:rFonts w:hint="eastAsia"/>
          <w:sz w:val="32"/>
          <w:szCs w:val="32"/>
        </w:rPr>
        <w:t>1516.93</w:t>
      </w:r>
      <w:r>
        <w:rPr>
          <w:rFonts w:hint="eastAsia" w:ascii="仿宋" w:hAnsi="仿宋" w:eastAsia="仿宋"/>
          <w:sz w:val="32"/>
          <w:szCs w:val="32"/>
        </w:rPr>
        <w:t>万元，占</w:t>
      </w:r>
      <w:r>
        <w:rPr>
          <w:rFonts w:hint="eastAsia" w:eastAsia="仿宋"/>
          <w:sz w:val="32"/>
          <w:szCs w:val="32"/>
          <w:lang w:val="en-US" w:eastAsia="zh-CN"/>
        </w:rPr>
        <w:t>55</w:t>
      </w:r>
      <w:r>
        <w:rPr>
          <w:rFonts w:ascii="仿宋" w:hAnsi="仿宋" w:eastAsia="仿宋"/>
          <w:sz w:val="32"/>
          <w:szCs w:val="32"/>
        </w:rPr>
        <w:t>%</w:t>
      </w:r>
      <w:r>
        <w:rPr>
          <w:rFonts w:hint="eastAsia" w:ascii="仿宋" w:hAnsi="仿宋" w:eastAsia="仿宋"/>
          <w:sz w:val="32"/>
          <w:szCs w:val="32"/>
        </w:rPr>
        <w:t>；项目支出</w:t>
      </w:r>
      <w:r>
        <w:rPr>
          <w:rFonts w:hint="eastAsia"/>
          <w:sz w:val="32"/>
          <w:szCs w:val="32"/>
        </w:rPr>
        <w:t>1225.80</w:t>
      </w:r>
      <w:r>
        <w:rPr>
          <w:rFonts w:hint="eastAsia" w:ascii="仿宋" w:hAnsi="仿宋" w:eastAsia="仿宋"/>
          <w:sz w:val="32"/>
          <w:szCs w:val="32"/>
        </w:rPr>
        <w:t>万元，占</w:t>
      </w:r>
      <w:r>
        <w:rPr>
          <w:rFonts w:hint="eastAsia" w:eastAsia="仿宋"/>
          <w:sz w:val="32"/>
          <w:szCs w:val="32"/>
          <w:lang w:val="en-US" w:eastAsia="zh-CN"/>
        </w:rPr>
        <w:t>45</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14:paraId="14292DD6">
      <w:pPr>
        <w:pageBreakBefore w:val="0"/>
        <w:kinsoku/>
        <w:wordWrap/>
        <w:overflowPunct/>
        <w:topLinePunct w:val="0"/>
        <w:bidi w:val="0"/>
        <w:spacing w:line="576" w:lineRule="exact"/>
        <w:ind w:firstLine="643" w:firstLineChars="200"/>
        <w:textAlignment w:val="auto"/>
        <w:outlineLvl w:val="1"/>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04</w:t>
      </w:r>
      <w:r>
        <w:rPr>
          <w:rFonts w:hint="eastAsia" w:ascii="仿宋" w:hAnsi="仿宋" w:eastAsia="仿宋"/>
          <w:b/>
          <w:sz w:val="32"/>
          <w:szCs w:val="32"/>
        </w:rPr>
        <w:t>表，仅罗列本部门涉及的支出。）</w:t>
      </w:r>
    </w:p>
    <w:p w14:paraId="175CA01E">
      <w:pPr>
        <w:pageBreakBefore w:val="0"/>
        <w:kinsoku/>
        <w:wordWrap/>
        <w:overflowPunct/>
        <w:topLinePunct w:val="0"/>
        <w:bidi w:val="0"/>
        <w:spacing w:line="576" w:lineRule="exact"/>
        <w:ind w:firstLine="640"/>
        <w:textAlignment w:val="auto"/>
        <w:rPr>
          <w:rFonts w:ascii="仿宋" w:hAnsi="仿宋" w:eastAsia="仿宋"/>
          <w:sz w:val="32"/>
          <w:szCs w:val="32"/>
          <w:shd w:val="pct10" w:color="auto" w:fill="FFFFFF"/>
        </w:rPr>
      </w:pPr>
      <w:r>
        <w:rPr>
          <w:rFonts w:hint="eastAsia" w:ascii="仿宋_GB2312" w:hAnsi="仿宋_GB2312" w:eastAsia="仿宋_GB2312" w:cs="仿宋_GB2312"/>
          <w:color w:val="auto"/>
          <w:sz w:val="32"/>
          <w:szCs w:val="32"/>
          <w:highlight w:val="none"/>
          <w:shd w:val="clear" w:color="auto" w:fill="FFFFFF"/>
        </w:rPr>
        <w:drawing>
          <wp:anchor distT="0" distB="0" distL="114300" distR="114300" simplePos="0" relativeHeight="251660288" behindDoc="1" locked="0" layoutInCell="1" allowOverlap="1">
            <wp:simplePos x="0" y="0"/>
            <wp:positionH relativeFrom="column">
              <wp:posOffset>469900</wp:posOffset>
            </wp:positionH>
            <wp:positionV relativeFrom="paragraph">
              <wp:posOffset>42545</wp:posOffset>
            </wp:positionV>
            <wp:extent cx="4247515" cy="2262505"/>
            <wp:effectExtent l="4445" t="4445" r="15240" b="19050"/>
            <wp:wrapTight wrapText="bothSides">
              <wp:wrapPolygon>
                <wp:start x="-23" y="-42"/>
                <wp:lineTo x="-23" y="21418"/>
                <wp:lineTo x="21484" y="21418"/>
                <wp:lineTo x="21484" y="-42"/>
                <wp:lineTo x="-23" y="-42"/>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7957BFCB">
      <w:pPr>
        <w:pageBreakBefore w:val="0"/>
        <w:kinsoku/>
        <w:wordWrap/>
        <w:overflowPunct/>
        <w:topLinePunct w:val="0"/>
        <w:bidi w:val="0"/>
        <w:spacing w:line="576" w:lineRule="exact"/>
        <w:ind w:firstLine="640" w:firstLineChars="200"/>
        <w:textAlignment w:val="auto"/>
        <w:rPr>
          <w:rFonts w:ascii="仿宋" w:hAnsi="仿宋" w:eastAsia="仿宋"/>
          <w:sz w:val="32"/>
          <w:szCs w:val="32"/>
        </w:rPr>
      </w:pPr>
      <w:r>
        <w:rPr>
          <w:rFonts w:hint="eastAsia" w:ascii="仿宋" w:hAnsi="仿宋" w:eastAsia="仿宋"/>
          <w:sz w:val="32"/>
          <w:szCs w:val="32"/>
        </w:rPr>
        <w:t>（图3：支出决算结构图）（饼状图）</w:t>
      </w:r>
    </w:p>
    <w:p w14:paraId="29B58C63">
      <w:pPr>
        <w:pageBreakBefore w:val="0"/>
        <w:kinsoku/>
        <w:wordWrap/>
        <w:overflowPunct/>
        <w:topLinePunct w:val="0"/>
        <w:bidi w:val="0"/>
        <w:spacing w:line="576" w:lineRule="exact"/>
        <w:ind w:firstLine="640" w:firstLineChars="200"/>
        <w:textAlignment w:val="auto"/>
        <w:rPr>
          <w:rFonts w:ascii="仿宋_GB2312" w:eastAsia="仿宋_GB2312"/>
          <w:sz w:val="32"/>
          <w:szCs w:val="32"/>
        </w:rPr>
      </w:pPr>
    </w:p>
    <w:p w14:paraId="62ACD8E6">
      <w:pPr>
        <w:pageBreakBefore w:val="0"/>
        <w:kinsoku/>
        <w:wordWrap/>
        <w:overflowPunct/>
        <w:topLinePunct w:val="0"/>
        <w:bidi w:val="0"/>
        <w:spacing w:line="576" w:lineRule="exact"/>
        <w:ind w:firstLine="640" w:firstLineChars="200"/>
        <w:textAlignment w:val="auto"/>
        <w:outlineLvl w:val="1"/>
        <w:rPr>
          <w:rStyle w:val="33"/>
          <w:rFonts w:ascii="黑体" w:hAnsi="黑体" w:eastAsia="黑体"/>
          <w:b w:val="0"/>
        </w:rPr>
      </w:pPr>
      <w:bookmarkStart w:id="17" w:name="_Toc15377208"/>
      <w:bookmarkStart w:id="18" w:name="_Toc15396606"/>
      <w:r>
        <w:rPr>
          <w:rFonts w:hint="eastAsia" w:ascii="黑体" w:hAnsi="黑体" w:eastAsia="黑体"/>
          <w:sz w:val="32"/>
          <w:szCs w:val="32"/>
        </w:rPr>
        <w:t>四、财</w:t>
      </w:r>
      <w:r>
        <w:rPr>
          <w:rStyle w:val="33"/>
          <w:rFonts w:hint="eastAsia" w:ascii="黑体" w:hAnsi="黑体" w:eastAsia="黑体"/>
          <w:b w:val="0"/>
        </w:rPr>
        <w:t>政拨款收入支出决算总体情况说明</w:t>
      </w:r>
      <w:bookmarkEnd w:id="17"/>
      <w:bookmarkEnd w:id="18"/>
    </w:p>
    <w:p w14:paraId="0E876F31">
      <w:pPr>
        <w:pageBreakBefore w:val="0"/>
        <w:kinsoku/>
        <w:wordWrap/>
        <w:overflowPunct/>
        <w:topLinePunct w:val="0"/>
        <w:bidi w:val="0"/>
        <w:spacing w:line="576" w:lineRule="exact"/>
        <w:ind w:firstLine="640"/>
        <w:textAlignment w:val="auto"/>
        <w:rPr>
          <w:rFonts w:hint="eastAsia" w:ascii="仿宋" w:hAnsi="仿宋" w:eastAsia="仿宋"/>
          <w:sz w:val="32"/>
          <w:szCs w:val="32"/>
          <w:lang w:eastAsia="zh-CN"/>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年度财政拨款收、支总计均为</w:t>
      </w:r>
      <w:r>
        <w:rPr>
          <w:rFonts w:hint="eastAsia" w:eastAsia="仿宋"/>
          <w:sz w:val="32"/>
          <w:szCs w:val="32"/>
          <w:lang w:val="en-US" w:eastAsia="zh-CN"/>
        </w:rPr>
        <w:t>2737.62</w:t>
      </w:r>
      <w:r>
        <w:rPr>
          <w:rFonts w:hint="eastAsia" w:ascii="仿宋" w:hAnsi="仿宋" w:eastAsia="仿宋"/>
          <w:sz w:val="32"/>
          <w:szCs w:val="32"/>
        </w:rPr>
        <w:t>万元。与202</w:t>
      </w:r>
      <w:r>
        <w:rPr>
          <w:rFonts w:hint="eastAsia" w:ascii="仿宋" w:hAnsi="仿宋" w:eastAsia="仿宋"/>
          <w:sz w:val="32"/>
          <w:szCs w:val="32"/>
          <w:lang w:val="en-US" w:eastAsia="zh-CN"/>
        </w:rPr>
        <w:t>3</w:t>
      </w:r>
      <w:r>
        <w:rPr>
          <w:rFonts w:hint="eastAsia" w:ascii="仿宋" w:hAnsi="仿宋" w:eastAsia="仿宋"/>
          <w:sz w:val="32"/>
          <w:szCs w:val="32"/>
        </w:rPr>
        <w:t>年度相比，财政拨款收、支总计各</w:t>
      </w:r>
      <w:r>
        <w:rPr>
          <w:rFonts w:hint="eastAsia" w:ascii="仿宋" w:hAnsi="仿宋" w:eastAsia="仿宋"/>
          <w:sz w:val="32"/>
          <w:szCs w:val="32"/>
          <w:lang w:eastAsia="zh-CN"/>
        </w:rPr>
        <w:t>增加</w:t>
      </w:r>
      <w:r>
        <w:rPr>
          <w:rFonts w:hint="eastAsia" w:ascii="仿宋" w:hAnsi="仿宋" w:eastAsia="仿宋"/>
          <w:sz w:val="32"/>
          <w:szCs w:val="32"/>
          <w:lang w:val="en-US" w:eastAsia="zh-CN"/>
        </w:rPr>
        <w:t>998.02</w:t>
      </w:r>
      <w:r>
        <w:rPr>
          <w:rFonts w:hint="eastAsia" w:ascii="仿宋" w:hAnsi="仿宋" w:eastAsia="仿宋"/>
          <w:sz w:val="32"/>
          <w:szCs w:val="32"/>
        </w:rPr>
        <w:t>万元，</w:t>
      </w:r>
      <w:r>
        <w:rPr>
          <w:rFonts w:hint="eastAsia" w:ascii="仿宋" w:hAnsi="仿宋" w:eastAsia="仿宋"/>
          <w:sz w:val="32"/>
          <w:szCs w:val="32"/>
          <w:lang w:eastAsia="zh-CN"/>
        </w:rPr>
        <w:t>上升</w:t>
      </w:r>
      <w:r>
        <w:rPr>
          <w:rFonts w:hint="eastAsia" w:ascii="仿宋" w:hAnsi="仿宋" w:eastAsia="仿宋"/>
          <w:sz w:val="32"/>
          <w:szCs w:val="32"/>
          <w:lang w:val="en-US" w:eastAsia="zh-CN"/>
        </w:rPr>
        <w:t>36</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人员经费增加。</w:t>
      </w:r>
    </w:p>
    <w:p w14:paraId="4A62B4BA">
      <w:pPr>
        <w:pageBreakBefore w:val="0"/>
        <w:kinsoku/>
        <w:wordWrap/>
        <w:overflowPunct/>
        <w:topLinePunct w:val="0"/>
        <w:bidi w:val="0"/>
        <w:spacing w:line="576" w:lineRule="exact"/>
        <w:ind w:firstLine="640"/>
        <w:textAlignment w:val="auto"/>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01-1</w:t>
      </w:r>
      <w:r>
        <w:rPr>
          <w:rFonts w:hint="eastAsia" w:ascii="仿宋" w:hAnsi="仿宋" w:eastAsia="仿宋"/>
          <w:b/>
          <w:sz w:val="32"/>
          <w:szCs w:val="32"/>
        </w:rPr>
        <w:t>表</w:t>
      </w:r>
      <w:r>
        <w:rPr>
          <w:rFonts w:ascii="仿宋" w:hAnsi="仿宋" w:eastAsia="仿宋"/>
          <w:b/>
          <w:sz w:val="32"/>
          <w:szCs w:val="32"/>
        </w:rPr>
        <w:t>）</w:t>
      </w:r>
    </w:p>
    <w:p w14:paraId="1373128E">
      <w:pPr>
        <w:pStyle w:val="8"/>
        <w:pageBreakBefore w:val="0"/>
        <w:kinsoku/>
        <w:wordWrap/>
        <w:overflowPunct/>
        <w:topLinePunct w:val="0"/>
        <w:bidi w:val="0"/>
        <w:spacing w:line="576" w:lineRule="exact"/>
        <w:textAlignment w:val="auto"/>
      </w:pPr>
      <w:r>
        <w:rPr>
          <w:rFonts w:hint="eastAsia"/>
          <w:color w:val="auto"/>
          <w:highlight w:val="none"/>
        </w:rPr>
        <w:drawing>
          <wp:anchor distT="0" distB="0" distL="114300" distR="114300" simplePos="0" relativeHeight="251661312" behindDoc="1" locked="0" layoutInCell="1" allowOverlap="1">
            <wp:simplePos x="0" y="0"/>
            <wp:positionH relativeFrom="column">
              <wp:posOffset>280035</wp:posOffset>
            </wp:positionH>
            <wp:positionV relativeFrom="paragraph">
              <wp:posOffset>159385</wp:posOffset>
            </wp:positionV>
            <wp:extent cx="4686935" cy="2334260"/>
            <wp:effectExtent l="5080" t="5080" r="13335" b="22860"/>
            <wp:wrapTight wrapText="bothSides">
              <wp:wrapPolygon>
                <wp:start x="-23" y="-47"/>
                <wp:lineTo x="-23" y="21459"/>
                <wp:lineTo x="21574" y="21459"/>
                <wp:lineTo x="21574" y="-47"/>
                <wp:lineTo x="-23" y="-47"/>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2DB3B280">
      <w:pPr>
        <w:pageBreakBefore w:val="0"/>
        <w:kinsoku/>
        <w:wordWrap/>
        <w:overflowPunct/>
        <w:topLinePunct w:val="0"/>
        <w:bidi w:val="0"/>
        <w:spacing w:line="576" w:lineRule="exact"/>
        <w:textAlignment w:val="auto"/>
        <w:rPr>
          <w:rFonts w:ascii="仿宋" w:hAnsi="仿宋" w:eastAsia="仿宋"/>
          <w:sz w:val="32"/>
          <w:szCs w:val="32"/>
        </w:rPr>
      </w:pPr>
    </w:p>
    <w:p w14:paraId="042ACFDD">
      <w:pPr>
        <w:pageBreakBefore w:val="0"/>
        <w:kinsoku/>
        <w:wordWrap/>
        <w:overflowPunct/>
        <w:topLinePunct w:val="0"/>
        <w:bidi w:val="0"/>
        <w:spacing w:line="576" w:lineRule="exact"/>
        <w:ind w:firstLine="640" w:firstLineChars="200"/>
        <w:textAlignment w:val="auto"/>
        <w:rPr>
          <w:rFonts w:ascii="仿宋" w:hAnsi="仿宋" w:eastAsia="仿宋"/>
          <w:sz w:val="32"/>
          <w:szCs w:val="32"/>
        </w:rPr>
      </w:pPr>
      <w:r>
        <w:rPr>
          <w:rFonts w:hint="eastAsia" w:ascii="仿宋" w:hAnsi="仿宋" w:eastAsia="仿宋"/>
          <w:sz w:val="32"/>
          <w:szCs w:val="32"/>
        </w:rPr>
        <w:t>（图4：财政拨款收、支决算总计变动情况）（柱状图）</w:t>
      </w:r>
    </w:p>
    <w:p w14:paraId="029488F3">
      <w:pPr>
        <w:pageBreakBefore w:val="0"/>
        <w:kinsoku/>
        <w:wordWrap/>
        <w:overflowPunct/>
        <w:topLinePunct w:val="0"/>
        <w:bidi w:val="0"/>
        <w:spacing w:line="576" w:lineRule="exact"/>
        <w:ind w:firstLine="640" w:firstLineChars="200"/>
        <w:textAlignment w:val="auto"/>
        <w:outlineLvl w:val="1"/>
        <w:rPr>
          <w:rStyle w:val="33"/>
          <w:rFonts w:ascii="黑体" w:hAnsi="黑体" w:eastAsia="黑体"/>
          <w:b w:val="0"/>
        </w:rPr>
      </w:pPr>
      <w:bookmarkStart w:id="19" w:name="_Toc15377209"/>
      <w:bookmarkStart w:id="20" w:name="_Toc15396607"/>
      <w:r>
        <w:rPr>
          <w:rFonts w:hint="eastAsia" w:ascii="黑体" w:hAnsi="黑体" w:eastAsia="黑体"/>
          <w:sz w:val="32"/>
          <w:szCs w:val="32"/>
        </w:rPr>
        <w:t>五、</w:t>
      </w:r>
      <w:r>
        <w:rPr>
          <w:rFonts w:hint="eastAsia" w:ascii="黑体" w:hAnsi="黑体" w:eastAsia="黑体"/>
          <w:b/>
          <w:sz w:val="32"/>
          <w:szCs w:val="32"/>
        </w:rPr>
        <w:t>一</w:t>
      </w:r>
      <w:r>
        <w:rPr>
          <w:rStyle w:val="33"/>
          <w:rFonts w:hint="eastAsia" w:ascii="黑体" w:hAnsi="黑体" w:eastAsia="黑体"/>
          <w:b w:val="0"/>
        </w:rPr>
        <w:t>般公共预算财政拨款支出决算情况说明</w:t>
      </w:r>
      <w:bookmarkEnd w:id="19"/>
      <w:bookmarkEnd w:id="20"/>
    </w:p>
    <w:p w14:paraId="5888B266">
      <w:pPr>
        <w:pageBreakBefore w:val="0"/>
        <w:kinsoku/>
        <w:wordWrap/>
        <w:overflowPunct/>
        <w:topLinePunct w:val="0"/>
        <w:bidi w:val="0"/>
        <w:spacing w:line="576" w:lineRule="exact"/>
        <w:ind w:firstLine="643" w:firstLineChars="200"/>
        <w:textAlignment w:val="auto"/>
        <w:outlineLvl w:val="2"/>
        <w:rPr>
          <w:rFonts w:ascii="仿宋" w:hAnsi="仿宋" w:eastAsia="仿宋"/>
          <w:b/>
          <w:sz w:val="32"/>
          <w:szCs w:val="32"/>
        </w:rPr>
      </w:pPr>
      <w:bookmarkStart w:id="21" w:name="_Toc15377210"/>
      <w:r>
        <w:rPr>
          <w:rFonts w:hint="eastAsia" w:ascii="仿宋" w:hAnsi="仿宋" w:eastAsia="仿宋"/>
          <w:b/>
          <w:sz w:val="32"/>
          <w:szCs w:val="32"/>
        </w:rPr>
        <w:t>（一）一般公共预算财政拨款支出决算总体情况</w:t>
      </w:r>
      <w:bookmarkEnd w:id="21"/>
    </w:p>
    <w:p w14:paraId="49D1527C">
      <w:pPr>
        <w:pageBreakBefore w:val="0"/>
        <w:kinsoku/>
        <w:wordWrap/>
        <w:overflowPunct/>
        <w:topLinePunct w:val="0"/>
        <w:bidi w:val="0"/>
        <w:spacing w:line="576" w:lineRule="exact"/>
        <w:ind w:firstLine="640" w:firstLineChars="200"/>
        <w:textAlignment w:val="auto"/>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年度一般公共预算财政拨款支出</w:t>
      </w:r>
      <w:r>
        <w:rPr>
          <w:rFonts w:hint="eastAsia" w:eastAsia="仿宋"/>
          <w:sz w:val="32"/>
          <w:szCs w:val="32"/>
          <w:lang w:val="en-US" w:eastAsia="zh-CN"/>
        </w:rPr>
        <w:t>2737.62</w:t>
      </w:r>
      <w:r>
        <w:rPr>
          <w:rFonts w:hint="eastAsia" w:ascii="仿宋" w:hAnsi="仿宋" w:eastAsia="仿宋"/>
          <w:sz w:val="32"/>
          <w:szCs w:val="32"/>
        </w:rPr>
        <w:t>万元，占本年支出合计的</w:t>
      </w:r>
      <w:r>
        <w:rPr>
          <w:rFonts w:hint="eastAsia" w:eastAsia="仿宋"/>
          <w:sz w:val="32"/>
          <w:szCs w:val="32"/>
          <w:lang w:val="en-US" w:eastAsia="zh-CN"/>
        </w:rPr>
        <w:t>99.7</w:t>
      </w:r>
      <w:r>
        <w:rPr>
          <w:rFonts w:ascii="仿宋" w:hAnsi="仿宋" w:eastAsia="仿宋"/>
          <w:sz w:val="32"/>
          <w:szCs w:val="32"/>
        </w:rPr>
        <w:t>%</w:t>
      </w:r>
      <w:r>
        <w:rPr>
          <w:rFonts w:hint="eastAsia" w:ascii="仿宋" w:hAnsi="仿宋" w:eastAsia="仿宋"/>
          <w:sz w:val="32"/>
          <w:szCs w:val="32"/>
        </w:rPr>
        <w:t>。与202</w:t>
      </w:r>
      <w:r>
        <w:rPr>
          <w:rFonts w:hint="eastAsia" w:ascii="仿宋" w:hAnsi="仿宋" w:eastAsia="仿宋"/>
          <w:sz w:val="32"/>
          <w:szCs w:val="32"/>
          <w:lang w:val="en-US" w:eastAsia="zh-CN"/>
        </w:rPr>
        <w:t>3</w:t>
      </w:r>
      <w:r>
        <w:rPr>
          <w:rFonts w:hint="eastAsia" w:ascii="仿宋" w:hAnsi="仿宋" w:eastAsia="仿宋"/>
          <w:sz w:val="32"/>
          <w:szCs w:val="32"/>
        </w:rPr>
        <w:t>年度相比，一般公共预算财政拨款支出</w:t>
      </w:r>
      <w:r>
        <w:rPr>
          <w:rFonts w:hint="eastAsia" w:ascii="仿宋" w:hAnsi="仿宋" w:eastAsia="仿宋"/>
          <w:sz w:val="32"/>
          <w:szCs w:val="32"/>
          <w:lang w:eastAsia="zh-CN"/>
        </w:rPr>
        <w:t>增加</w:t>
      </w:r>
      <w:r>
        <w:rPr>
          <w:rFonts w:hint="eastAsia" w:ascii="仿宋" w:hAnsi="仿宋" w:eastAsia="仿宋"/>
          <w:sz w:val="32"/>
          <w:szCs w:val="32"/>
          <w:lang w:val="en-US" w:eastAsia="zh-CN"/>
        </w:rPr>
        <w:t>998.02</w:t>
      </w:r>
      <w:r>
        <w:rPr>
          <w:rFonts w:hint="eastAsia" w:ascii="仿宋" w:hAnsi="仿宋" w:eastAsia="仿宋"/>
          <w:sz w:val="32"/>
          <w:szCs w:val="32"/>
        </w:rPr>
        <w:t>万元，</w:t>
      </w:r>
      <w:r>
        <w:rPr>
          <w:rFonts w:hint="eastAsia" w:ascii="仿宋" w:hAnsi="仿宋" w:eastAsia="仿宋"/>
          <w:sz w:val="32"/>
          <w:szCs w:val="32"/>
          <w:lang w:eastAsia="zh-CN"/>
        </w:rPr>
        <w:t>上升</w:t>
      </w:r>
      <w:r>
        <w:rPr>
          <w:rFonts w:hint="eastAsia" w:ascii="仿宋" w:hAnsi="仿宋" w:eastAsia="仿宋"/>
          <w:sz w:val="32"/>
          <w:szCs w:val="32"/>
          <w:lang w:val="en-US" w:eastAsia="zh-CN"/>
        </w:rPr>
        <w:t>36</w:t>
      </w:r>
      <w:r>
        <w:rPr>
          <w:rFonts w:ascii="仿宋" w:hAnsi="仿宋" w:eastAsia="仿宋"/>
          <w:sz w:val="32"/>
          <w:szCs w:val="32"/>
        </w:rPr>
        <w:t>%</w:t>
      </w:r>
      <w:r>
        <w:rPr>
          <w:rFonts w:hint="eastAsia" w:ascii="仿宋" w:hAnsi="仿宋" w:eastAsia="仿宋"/>
          <w:sz w:val="32"/>
          <w:szCs w:val="32"/>
        </w:rPr>
        <w:t>。</w:t>
      </w:r>
    </w:p>
    <w:p w14:paraId="290E8358">
      <w:pPr>
        <w:pageBreakBefore w:val="0"/>
        <w:kinsoku/>
        <w:wordWrap/>
        <w:overflowPunct/>
        <w:topLinePunct w:val="0"/>
        <w:bidi w:val="0"/>
        <w:spacing w:line="576" w:lineRule="exact"/>
        <w:ind w:firstLine="640" w:firstLineChars="200"/>
        <w:textAlignment w:val="auto"/>
        <w:rPr>
          <w:rFonts w:ascii="仿宋" w:hAnsi="仿宋" w:eastAsia="仿宋"/>
          <w:sz w:val="32"/>
          <w:szCs w:val="32"/>
        </w:rPr>
      </w:pPr>
      <w:r>
        <w:rPr>
          <w:rFonts w:ascii="仿宋" w:hAnsi="仿宋" w:eastAsia="仿宋"/>
          <w:color w:val="auto"/>
          <w:sz w:val="32"/>
          <w:szCs w:val="32"/>
          <w:highlight w:val="none"/>
        </w:rPr>
        <w:drawing>
          <wp:anchor distT="0" distB="0" distL="114300" distR="114300" simplePos="0" relativeHeight="251662336" behindDoc="1" locked="0" layoutInCell="1" allowOverlap="1">
            <wp:simplePos x="0" y="0"/>
            <wp:positionH relativeFrom="column">
              <wp:posOffset>120650</wp:posOffset>
            </wp:positionH>
            <wp:positionV relativeFrom="paragraph">
              <wp:posOffset>64135</wp:posOffset>
            </wp:positionV>
            <wp:extent cx="4925060" cy="1779270"/>
            <wp:effectExtent l="4445" t="4445" r="23495" b="6985"/>
            <wp:wrapTight wrapText="bothSides">
              <wp:wrapPolygon>
                <wp:start x="-19" y="-54"/>
                <wp:lineTo x="-19" y="21454"/>
                <wp:lineTo x="21536" y="21454"/>
                <wp:lineTo x="21536" y="-54"/>
                <wp:lineTo x="-19" y="-54"/>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738D532D">
      <w:pPr>
        <w:pageBreakBefore w:val="0"/>
        <w:kinsoku/>
        <w:wordWrap/>
        <w:overflowPunct/>
        <w:topLinePunct w:val="0"/>
        <w:bidi w:val="0"/>
        <w:spacing w:line="576" w:lineRule="exact"/>
        <w:ind w:firstLine="640" w:firstLineChars="200"/>
        <w:textAlignment w:val="auto"/>
        <w:rPr>
          <w:rFonts w:hint="eastAsia" w:ascii="仿宋" w:hAnsi="仿宋" w:eastAsia="仿宋"/>
          <w:sz w:val="32"/>
          <w:szCs w:val="32"/>
        </w:rPr>
      </w:pPr>
    </w:p>
    <w:p w14:paraId="33419443">
      <w:pPr>
        <w:pageBreakBefore w:val="0"/>
        <w:kinsoku/>
        <w:wordWrap/>
        <w:overflowPunct/>
        <w:topLinePunct w:val="0"/>
        <w:bidi w:val="0"/>
        <w:spacing w:line="576" w:lineRule="exact"/>
        <w:ind w:firstLine="640" w:firstLineChars="200"/>
        <w:textAlignment w:val="auto"/>
        <w:rPr>
          <w:rFonts w:hint="eastAsia" w:ascii="仿宋" w:hAnsi="仿宋" w:eastAsia="仿宋"/>
          <w:sz w:val="32"/>
          <w:szCs w:val="32"/>
        </w:rPr>
      </w:pPr>
    </w:p>
    <w:p w14:paraId="6CE05972">
      <w:pPr>
        <w:pageBreakBefore w:val="0"/>
        <w:kinsoku/>
        <w:wordWrap/>
        <w:overflowPunct/>
        <w:topLinePunct w:val="0"/>
        <w:bidi w:val="0"/>
        <w:spacing w:line="576" w:lineRule="exact"/>
        <w:ind w:firstLine="640" w:firstLineChars="200"/>
        <w:textAlignment w:val="auto"/>
        <w:rPr>
          <w:rFonts w:hint="eastAsia" w:ascii="仿宋" w:hAnsi="仿宋" w:eastAsia="仿宋"/>
          <w:sz w:val="32"/>
          <w:szCs w:val="32"/>
        </w:rPr>
      </w:pPr>
    </w:p>
    <w:p w14:paraId="4A44DAEE">
      <w:pPr>
        <w:pageBreakBefore w:val="0"/>
        <w:kinsoku/>
        <w:wordWrap/>
        <w:overflowPunct/>
        <w:topLinePunct w:val="0"/>
        <w:bidi w:val="0"/>
        <w:spacing w:line="576" w:lineRule="exact"/>
        <w:ind w:firstLine="640" w:firstLineChars="200"/>
        <w:textAlignment w:val="auto"/>
        <w:rPr>
          <w:rFonts w:hint="eastAsia" w:ascii="仿宋" w:hAnsi="仿宋" w:eastAsia="仿宋"/>
          <w:sz w:val="32"/>
          <w:szCs w:val="32"/>
        </w:rPr>
      </w:pPr>
    </w:p>
    <w:p w14:paraId="2776A2ED">
      <w:pPr>
        <w:pageBreakBefore w:val="0"/>
        <w:kinsoku/>
        <w:wordWrap/>
        <w:overflowPunct/>
        <w:topLinePunct w:val="0"/>
        <w:bidi w:val="0"/>
        <w:spacing w:line="576" w:lineRule="exact"/>
        <w:ind w:firstLine="640" w:firstLineChars="200"/>
        <w:textAlignment w:val="auto"/>
        <w:rPr>
          <w:rFonts w:ascii="仿宋" w:hAnsi="仿宋" w:eastAsia="仿宋"/>
          <w:sz w:val="32"/>
          <w:szCs w:val="32"/>
        </w:rPr>
      </w:pPr>
      <w:r>
        <w:rPr>
          <w:rFonts w:hint="eastAsia" w:ascii="仿宋" w:hAnsi="仿宋" w:eastAsia="仿宋"/>
          <w:sz w:val="32"/>
          <w:szCs w:val="32"/>
        </w:rPr>
        <w:t>（图5：一般公共预算财政拨款支出决算变动情况）（柱状图）</w:t>
      </w:r>
    </w:p>
    <w:p w14:paraId="12E79F5E">
      <w:pPr>
        <w:pageBreakBefore w:val="0"/>
        <w:kinsoku/>
        <w:wordWrap/>
        <w:overflowPunct/>
        <w:topLinePunct w:val="0"/>
        <w:bidi w:val="0"/>
        <w:spacing w:line="576" w:lineRule="exact"/>
        <w:ind w:firstLine="321" w:firstLineChars="100"/>
        <w:textAlignment w:val="auto"/>
        <w:outlineLvl w:val="2"/>
        <w:rPr>
          <w:rFonts w:ascii="仿宋" w:hAnsi="仿宋" w:eastAsia="仿宋"/>
          <w:b/>
          <w:sz w:val="32"/>
          <w:szCs w:val="32"/>
        </w:rPr>
      </w:pPr>
      <w:bookmarkStart w:id="22" w:name="_Toc15377211"/>
      <w:r>
        <w:rPr>
          <w:rFonts w:hint="eastAsia" w:ascii="仿宋" w:hAnsi="仿宋" w:eastAsia="仿宋"/>
          <w:b/>
          <w:sz w:val="32"/>
          <w:szCs w:val="32"/>
        </w:rPr>
        <w:t>（二）一般公共预算财政拨款支出决算结构情况</w:t>
      </w:r>
      <w:bookmarkEnd w:id="22"/>
    </w:p>
    <w:p w14:paraId="62F2BD89">
      <w:pPr>
        <w:pageBreakBefore w:val="0"/>
        <w:kinsoku/>
        <w:wordWrap/>
        <w:overflowPunct/>
        <w:topLinePunct w:val="0"/>
        <w:bidi w:val="0"/>
        <w:spacing w:line="576" w:lineRule="exact"/>
        <w:ind w:firstLine="640"/>
        <w:textAlignment w:val="auto"/>
        <w:rPr>
          <w:rFonts w:hint="eastAsia" w:ascii="仿宋" w:hAnsi="仿宋" w:eastAsia="仿宋"/>
          <w:sz w:val="32"/>
          <w:szCs w:val="32"/>
          <w:lang w:eastAsia="zh-CN"/>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年度一般公共预算财政拨款支出</w:t>
      </w:r>
      <w:r>
        <w:rPr>
          <w:rFonts w:hint="eastAsia" w:eastAsia="仿宋"/>
          <w:sz w:val="32"/>
          <w:szCs w:val="32"/>
          <w:lang w:val="en-US" w:eastAsia="zh-CN"/>
        </w:rPr>
        <w:t>2737.62</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rPr>
        <w:t>1019.24万元，占</w:t>
      </w:r>
      <w:r>
        <w:rPr>
          <w:rFonts w:hint="eastAsia" w:ascii="仿宋" w:hAnsi="仿宋" w:eastAsia="仿宋"/>
          <w:sz w:val="32"/>
          <w:szCs w:val="32"/>
          <w:lang w:val="en-US" w:eastAsia="zh-CN"/>
        </w:rPr>
        <w:t>37.23</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sz w:val="32"/>
          <w:szCs w:val="32"/>
          <w:lang w:eastAsia="zh-CN"/>
        </w:rPr>
        <w:t>国防支出</w:t>
      </w:r>
      <w:r>
        <w:rPr>
          <w:rFonts w:hint="eastAsia" w:ascii="仿宋" w:hAnsi="仿宋" w:eastAsia="仿宋"/>
          <w:sz w:val="32"/>
          <w:szCs w:val="32"/>
          <w:lang w:val="en-US" w:eastAsia="zh-CN"/>
        </w:rPr>
        <w:t>2万元，</w:t>
      </w:r>
      <w:r>
        <w:rPr>
          <w:rFonts w:hint="eastAsia" w:ascii="仿宋" w:hAnsi="仿宋" w:eastAsia="仿宋"/>
          <w:sz w:val="32"/>
          <w:szCs w:val="32"/>
        </w:rPr>
        <w:t>占</w:t>
      </w:r>
      <w:r>
        <w:rPr>
          <w:rFonts w:hint="eastAsia" w:ascii="仿宋" w:hAnsi="仿宋" w:eastAsia="仿宋"/>
          <w:sz w:val="32"/>
          <w:szCs w:val="32"/>
          <w:lang w:val="en-US" w:eastAsia="zh-CN"/>
        </w:rPr>
        <w:t>0.07</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文化旅游体育与传媒支出</w:t>
      </w:r>
      <w:r>
        <w:rPr>
          <w:rFonts w:hint="eastAsia" w:ascii="仿宋" w:hAnsi="仿宋" w:eastAsia="仿宋"/>
          <w:b/>
          <w:bCs/>
          <w:sz w:val="32"/>
          <w:szCs w:val="32"/>
          <w:lang w:val="en-US" w:eastAsia="zh-CN"/>
        </w:rPr>
        <w:t>9.74</w:t>
      </w:r>
      <w:r>
        <w:rPr>
          <w:rFonts w:hint="eastAsia" w:ascii="仿宋" w:hAnsi="仿宋" w:eastAsia="仿宋"/>
          <w:b/>
          <w:bCs/>
          <w:sz w:val="32"/>
          <w:szCs w:val="32"/>
        </w:rPr>
        <w:t>万元，占</w:t>
      </w:r>
      <w:r>
        <w:rPr>
          <w:rFonts w:hint="eastAsia" w:ascii="仿宋" w:hAnsi="仿宋" w:eastAsia="仿宋"/>
          <w:b/>
          <w:bCs/>
          <w:sz w:val="32"/>
          <w:szCs w:val="32"/>
          <w:lang w:val="en-US" w:eastAsia="zh-CN"/>
        </w:rPr>
        <w:t>0.35</w:t>
      </w:r>
      <w:r>
        <w:rPr>
          <w:rFonts w:ascii="仿宋" w:hAnsi="仿宋" w:eastAsia="仿宋"/>
          <w:b/>
          <w:bCs/>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lang w:val="en-US" w:eastAsia="zh-CN"/>
        </w:rPr>
        <w:t>183.42</w:t>
      </w:r>
      <w:r>
        <w:rPr>
          <w:rFonts w:hint="eastAsia" w:ascii="仿宋" w:hAnsi="仿宋" w:eastAsia="仿宋"/>
          <w:sz w:val="32"/>
          <w:szCs w:val="32"/>
        </w:rPr>
        <w:t>万元，占</w:t>
      </w:r>
      <w:r>
        <w:rPr>
          <w:rFonts w:hint="eastAsia" w:ascii="仿宋" w:hAnsi="仿宋" w:eastAsia="仿宋"/>
          <w:sz w:val="32"/>
          <w:szCs w:val="32"/>
          <w:lang w:val="en-US" w:eastAsia="zh-CN"/>
        </w:rPr>
        <w:t>6.69</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64.38</w:t>
      </w:r>
      <w:r>
        <w:rPr>
          <w:rFonts w:hint="eastAsia" w:ascii="仿宋" w:hAnsi="仿宋" w:eastAsia="仿宋"/>
          <w:sz w:val="32"/>
          <w:szCs w:val="32"/>
        </w:rPr>
        <w:t>万元，占</w:t>
      </w:r>
      <w:r>
        <w:rPr>
          <w:rFonts w:hint="eastAsia" w:ascii="仿宋" w:hAnsi="仿宋" w:eastAsia="仿宋"/>
          <w:sz w:val="32"/>
          <w:szCs w:val="32"/>
          <w:lang w:val="en-US" w:eastAsia="zh-CN"/>
        </w:rPr>
        <w:t>2.35</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sz w:val="32"/>
          <w:szCs w:val="32"/>
          <w:lang w:eastAsia="zh-CN"/>
        </w:rPr>
        <w:t>城乡社区支出</w:t>
      </w:r>
      <w:r>
        <w:rPr>
          <w:rFonts w:hint="eastAsia" w:ascii="仿宋" w:hAnsi="仿宋" w:eastAsia="仿宋"/>
          <w:sz w:val="32"/>
          <w:szCs w:val="32"/>
        </w:rPr>
        <w:t>19.74</w:t>
      </w:r>
      <w:r>
        <w:rPr>
          <w:rFonts w:hint="eastAsia" w:ascii="仿宋" w:hAnsi="仿宋" w:eastAsia="仿宋"/>
          <w:sz w:val="32"/>
          <w:szCs w:val="32"/>
          <w:lang w:eastAsia="zh-CN"/>
        </w:rPr>
        <w:t>万元，</w:t>
      </w:r>
      <w:r>
        <w:rPr>
          <w:rFonts w:hint="eastAsia" w:ascii="仿宋" w:hAnsi="仿宋" w:eastAsia="仿宋"/>
          <w:sz w:val="32"/>
          <w:szCs w:val="32"/>
        </w:rPr>
        <w:t>占</w:t>
      </w:r>
      <w:r>
        <w:rPr>
          <w:rFonts w:hint="eastAsia" w:ascii="仿宋" w:hAnsi="仿宋" w:eastAsia="仿宋"/>
          <w:sz w:val="32"/>
          <w:szCs w:val="32"/>
          <w:lang w:val="en-US" w:eastAsia="zh-CN"/>
        </w:rPr>
        <w:t>0.72</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sz w:val="32"/>
          <w:szCs w:val="32"/>
          <w:lang w:val="en-US" w:eastAsia="zh-CN"/>
        </w:rPr>
        <w:t>农林水支出</w:t>
      </w:r>
      <w:r>
        <w:rPr>
          <w:rFonts w:hint="eastAsia" w:ascii="仿宋" w:hAnsi="仿宋" w:eastAsia="仿宋"/>
          <w:sz w:val="32"/>
          <w:szCs w:val="32"/>
          <w:lang w:eastAsia="zh-CN"/>
        </w:rPr>
        <w:t>1258.71万元，</w:t>
      </w:r>
      <w:r>
        <w:rPr>
          <w:rFonts w:hint="eastAsia" w:ascii="仿宋" w:hAnsi="仿宋" w:eastAsia="仿宋"/>
          <w:sz w:val="32"/>
          <w:szCs w:val="32"/>
        </w:rPr>
        <w:t>占</w:t>
      </w:r>
      <w:r>
        <w:rPr>
          <w:rFonts w:hint="eastAsia" w:ascii="仿宋" w:hAnsi="仿宋" w:eastAsia="仿宋"/>
          <w:sz w:val="32"/>
          <w:szCs w:val="32"/>
          <w:lang w:val="en-US" w:eastAsia="zh-CN"/>
        </w:rPr>
        <w:t>45.97</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sz w:val="32"/>
          <w:szCs w:val="32"/>
          <w:lang w:eastAsia="zh-CN"/>
        </w:rPr>
        <w:t>商业服务业支出93.88万元，</w:t>
      </w:r>
      <w:r>
        <w:rPr>
          <w:rFonts w:hint="eastAsia" w:ascii="仿宋" w:hAnsi="仿宋" w:eastAsia="仿宋"/>
          <w:sz w:val="32"/>
          <w:szCs w:val="32"/>
        </w:rPr>
        <w:t>占</w:t>
      </w:r>
      <w:r>
        <w:rPr>
          <w:rFonts w:hint="eastAsia" w:ascii="仿宋" w:hAnsi="仿宋" w:eastAsia="仿宋"/>
          <w:sz w:val="32"/>
          <w:szCs w:val="32"/>
          <w:lang w:val="en-US" w:eastAsia="zh-CN"/>
        </w:rPr>
        <w:t>3.42</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91.09</w:t>
      </w:r>
      <w:r>
        <w:rPr>
          <w:rFonts w:hint="eastAsia" w:ascii="仿宋" w:hAnsi="仿宋" w:eastAsia="仿宋"/>
          <w:sz w:val="32"/>
          <w:szCs w:val="32"/>
        </w:rPr>
        <w:t>万元，占</w:t>
      </w:r>
      <w:r>
        <w:rPr>
          <w:rFonts w:hint="eastAsia" w:ascii="仿宋" w:hAnsi="仿宋" w:eastAsia="仿宋"/>
          <w:sz w:val="32"/>
          <w:szCs w:val="32"/>
          <w:lang w:val="en-US" w:eastAsia="zh-CN"/>
        </w:rPr>
        <w:t>3.32</w:t>
      </w:r>
      <w:r>
        <w:rPr>
          <w:rFonts w:ascii="仿宋" w:hAnsi="仿宋" w:eastAsia="仿宋"/>
          <w:sz w:val="32"/>
          <w:szCs w:val="32"/>
        </w:rPr>
        <w:t>%</w:t>
      </w:r>
      <w:r>
        <w:rPr>
          <w:rFonts w:hint="eastAsia" w:ascii="仿宋" w:hAnsi="仿宋" w:eastAsia="仿宋"/>
          <w:sz w:val="32"/>
          <w:szCs w:val="32"/>
        </w:rPr>
        <w:t>；灾害防治及应急管理支出0.37</w:t>
      </w:r>
      <w:r>
        <w:rPr>
          <w:rFonts w:hint="eastAsia" w:ascii="仿宋" w:hAnsi="仿宋" w:eastAsia="仿宋"/>
          <w:sz w:val="32"/>
          <w:szCs w:val="32"/>
          <w:lang w:eastAsia="zh-CN"/>
        </w:rPr>
        <w:t>万元，</w:t>
      </w:r>
      <w:r>
        <w:rPr>
          <w:rFonts w:hint="eastAsia" w:ascii="仿宋" w:hAnsi="仿宋" w:eastAsia="仿宋"/>
          <w:sz w:val="32"/>
          <w:szCs w:val="32"/>
        </w:rPr>
        <w:t>占</w:t>
      </w:r>
      <w:r>
        <w:rPr>
          <w:rFonts w:hint="eastAsia" w:ascii="仿宋" w:hAnsi="仿宋" w:eastAsia="仿宋"/>
          <w:sz w:val="32"/>
          <w:szCs w:val="32"/>
          <w:lang w:val="en-US" w:eastAsia="zh-CN"/>
        </w:rPr>
        <w:t>0.01</w:t>
      </w:r>
      <w:r>
        <w:rPr>
          <w:rFonts w:ascii="仿宋" w:hAnsi="仿宋" w:eastAsia="仿宋"/>
          <w:sz w:val="32"/>
          <w:szCs w:val="32"/>
        </w:rPr>
        <w:t>%</w:t>
      </w:r>
      <w:r>
        <w:rPr>
          <w:rFonts w:hint="eastAsia" w:ascii="仿宋" w:hAnsi="仿宋" w:eastAsia="仿宋"/>
          <w:sz w:val="32"/>
          <w:szCs w:val="32"/>
          <w:lang w:eastAsia="zh-CN"/>
        </w:rPr>
        <w:t>。</w:t>
      </w:r>
    </w:p>
    <w:p w14:paraId="5209C5D0">
      <w:pPr>
        <w:pageBreakBefore w:val="0"/>
        <w:kinsoku/>
        <w:wordWrap/>
        <w:overflowPunct/>
        <w:topLinePunct w:val="0"/>
        <w:bidi w:val="0"/>
        <w:spacing w:line="576" w:lineRule="exact"/>
        <w:ind w:firstLine="640"/>
        <w:textAlignment w:val="auto"/>
        <w:rPr>
          <w:rFonts w:ascii="仿宋" w:hAnsi="仿宋" w:eastAsia="仿宋"/>
          <w:b/>
          <w:sz w:val="32"/>
          <w:szCs w:val="32"/>
        </w:rPr>
      </w:pPr>
      <w:r>
        <w:rPr>
          <w:rFonts w:hint="eastAsia" w:ascii="仿宋" w:hAnsi="仿宋" w:eastAsia="仿宋"/>
          <w:b/>
          <w:sz w:val="32"/>
          <w:szCs w:val="32"/>
        </w:rPr>
        <w:t>（注：数据来源于财决01-1表，仅罗列本部门涉及的</w:t>
      </w:r>
      <w:r>
        <w:rPr>
          <w:rFonts w:hint="eastAsia" w:ascii="仿宋" w:hAnsi="仿宋" w:eastAsia="仿宋"/>
          <w:color w:val="auto"/>
          <w:sz w:val="32"/>
          <w:szCs w:val="32"/>
          <w:highlight w:val="none"/>
        </w:rPr>
        <w:drawing>
          <wp:anchor distT="0" distB="0" distL="114300" distR="114300" simplePos="0" relativeHeight="251663360" behindDoc="1" locked="0" layoutInCell="1" allowOverlap="1">
            <wp:simplePos x="0" y="0"/>
            <wp:positionH relativeFrom="column">
              <wp:posOffset>333375</wp:posOffset>
            </wp:positionH>
            <wp:positionV relativeFrom="paragraph">
              <wp:posOffset>1068705</wp:posOffset>
            </wp:positionV>
            <wp:extent cx="4496435" cy="2857500"/>
            <wp:effectExtent l="5080" t="4445" r="13335" b="14605"/>
            <wp:wrapTight wrapText="bothSides">
              <wp:wrapPolygon>
                <wp:start x="-24" y="-34"/>
                <wp:lineTo x="-24" y="21566"/>
                <wp:lineTo x="21573" y="21566"/>
                <wp:lineTo x="21573" y="-34"/>
                <wp:lineTo x="-24" y="-34"/>
              </wp:wrapPolygon>
            </wp:wrapTight>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hAnsi="仿宋" w:eastAsia="仿宋"/>
          <w:b/>
          <w:sz w:val="32"/>
          <w:szCs w:val="32"/>
        </w:rPr>
        <w:t>全部功能分类科目，至类级。）</w:t>
      </w:r>
    </w:p>
    <w:p w14:paraId="07531E51">
      <w:pPr>
        <w:pageBreakBefore w:val="0"/>
        <w:kinsoku/>
        <w:wordWrap/>
        <w:overflowPunct/>
        <w:topLinePunct w:val="0"/>
        <w:bidi w:val="0"/>
        <w:spacing w:line="576" w:lineRule="exact"/>
        <w:ind w:firstLine="640"/>
        <w:textAlignment w:val="auto"/>
        <w:rPr>
          <w:rFonts w:ascii="仿宋" w:hAnsi="仿宋" w:eastAsia="仿宋"/>
          <w:sz w:val="32"/>
          <w:szCs w:val="32"/>
        </w:rPr>
      </w:pPr>
    </w:p>
    <w:p w14:paraId="2C12E6EA">
      <w:pPr>
        <w:pageBreakBefore w:val="0"/>
        <w:kinsoku/>
        <w:wordWrap/>
        <w:overflowPunct/>
        <w:topLinePunct w:val="0"/>
        <w:bidi w:val="0"/>
        <w:spacing w:line="576" w:lineRule="exact"/>
        <w:ind w:firstLine="640" w:firstLineChars="200"/>
        <w:textAlignment w:val="auto"/>
        <w:rPr>
          <w:rFonts w:ascii="仿宋" w:hAnsi="仿宋" w:eastAsia="仿宋"/>
          <w:sz w:val="32"/>
          <w:szCs w:val="32"/>
        </w:rPr>
      </w:pPr>
      <w:r>
        <w:rPr>
          <w:rFonts w:hint="eastAsia" w:ascii="仿宋" w:hAnsi="仿宋" w:eastAsia="仿宋"/>
          <w:sz w:val="32"/>
          <w:szCs w:val="32"/>
        </w:rPr>
        <w:t>（图6：一般公共预算财政拨款支出决算结构）（饼状图）</w:t>
      </w:r>
    </w:p>
    <w:p w14:paraId="403A7BE5">
      <w:pPr>
        <w:pageBreakBefore w:val="0"/>
        <w:kinsoku/>
        <w:wordWrap/>
        <w:overflowPunct/>
        <w:topLinePunct w:val="0"/>
        <w:bidi w:val="0"/>
        <w:spacing w:line="576" w:lineRule="exact"/>
        <w:ind w:firstLine="643" w:firstLineChars="200"/>
        <w:textAlignment w:val="auto"/>
        <w:outlineLvl w:val="2"/>
        <w:rPr>
          <w:rFonts w:ascii="仿宋" w:hAnsi="仿宋" w:eastAsia="仿宋"/>
          <w:b/>
          <w:sz w:val="32"/>
          <w:szCs w:val="32"/>
        </w:rPr>
      </w:pPr>
      <w:bookmarkStart w:id="23" w:name="_Toc15377212"/>
      <w:r>
        <w:rPr>
          <w:rFonts w:hint="eastAsia" w:ascii="仿宋" w:hAnsi="仿宋" w:eastAsia="仿宋"/>
          <w:b/>
          <w:sz w:val="32"/>
          <w:szCs w:val="32"/>
        </w:rPr>
        <w:t>（三）一般公共预算财政拨款支出决算具体情况</w:t>
      </w:r>
      <w:bookmarkEnd w:id="23"/>
    </w:p>
    <w:p w14:paraId="3A2616B6">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lang w:val="en-US" w:eastAsia="zh-CN"/>
        </w:rPr>
      </w:pPr>
      <w:bookmarkStart w:id="24" w:name="_Toc15377213"/>
      <w:bookmarkStart w:id="25" w:name="_Toc15378460"/>
      <w:bookmarkStart w:id="26" w:name="_Toc15377444"/>
      <w:r>
        <w:rPr>
          <w:rFonts w:hint="eastAsia" w:ascii="仿宋_GB2312" w:hAnsi="仿宋_GB2312" w:eastAsia="仿宋_GB2312" w:cs="仿宋_GB2312"/>
          <w:sz w:val="32"/>
          <w:szCs w:val="32"/>
          <w:lang w:val="en-US" w:eastAsia="zh-CN"/>
        </w:rPr>
        <w:t>2024年度一般公共预算支出决算数为2737.62，完成预算100%。其中：</w:t>
      </w:r>
      <w:bookmarkEnd w:id="24"/>
      <w:bookmarkEnd w:id="25"/>
      <w:bookmarkEnd w:id="26"/>
    </w:p>
    <w:p w14:paraId="29E94C30">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2010104人大会议2.59万元</w:t>
      </w:r>
    </w:p>
    <w:p w14:paraId="43A87F7C">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2010107人大代表履职能力提升1万元</w:t>
      </w:r>
    </w:p>
    <w:p w14:paraId="443B8ED7">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2010108代表工作5.19万元</w:t>
      </w:r>
    </w:p>
    <w:p w14:paraId="243FB17E">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2010202一般行政管理事务1万元</w:t>
      </w:r>
    </w:p>
    <w:p w14:paraId="4A578589">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2010301行政运行678.23万元</w:t>
      </w:r>
    </w:p>
    <w:p w14:paraId="52963A21">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2010302一般行政管理事务28.56万元</w:t>
      </w:r>
    </w:p>
    <w:p w14:paraId="0834CACC">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2010350事业运行278.31万元</w:t>
      </w:r>
    </w:p>
    <w:p w14:paraId="18D496E2">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2010399其他政府办公厅（室）及相关机构事务支出0.95万元</w:t>
      </w:r>
    </w:p>
    <w:p w14:paraId="78870A47">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2013499其他统战事务支出23.42万元</w:t>
      </w:r>
    </w:p>
    <w:p w14:paraId="6931B5B9">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2030607国防支出2万元</w:t>
      </w:r>
    </w:p>
    <w:p w14:paraId="4E4FC840">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2070105文化展示机纪念机构0.44万元</w:t>
      </w:r>
    </w:p>
    <w:p w14:paraId="093412D6">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2070199其他文化和旅游支出5.21万元</w:t>
      </w:r>
    </w:p>
    <w:p w14:paraId="27579C26">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207999其他文化旅游体育与传媒支出4.09万元</w:t>
      </w:r>
    </w:p>
    <w:p w14:paraId="02EBB622">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2080208基层政权建设和社区治理28.18万元</w:t>
      </w:r>
    </w:p>
    <w:p w14:paraId="18558EB0">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2080505机关事业单位基本养老保险缴费支出103.50万元</w:t>
      </w:r>
    </w:p>
    <w:p w14:paraId="75F1155C">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2080506机关事业单位职业年金缴费支出51.75万元</w:t>
      </w:r>
    </w:p>
    <w:p w14:paraId="1F87F791">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2101101行政单位医疗35.84万元</w:t>
      </w:r>
    </w:p>
    <w:p w14:paraId="742E3A91">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2101102事业单位医疗15.18万元</w:t>
      </w:r>
    </w:p>
    <w:p w14:paraId="2928DD08">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2101103公务员医疗补助10.52万元</w:t>
      </w:r>
    </w:p>
    <w:p w14:paraId="6DC0D2BD">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2101199其他行政事业单位医疗支出2.84万元</w:t>
      </w:r>
    </w:p>
    <w:p w14:paraId="0D970C16">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2120501城乡社区环境卫生14.79万元</w:t>
      </w:r>
    </w:p>
    <w:p w14:paraId="0DBD40FE">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2130199其他农业农村支出1.61万元</w:t>
      </w:r>
    </w:p>
    <w:p w14:paraId="74AE6F04">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2130299其他林业和草原支出82.20万元</w:t>
      </w:r>
    </w:p>
    <w:p w14:paraId="44BCD1F0">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2130504农村基础设施建设508.02万元</w:t>
      </w:r>
    </w:p>
    <w:p w14:paraId="7EB87DE5">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2130505生产发展236.79万元</w:t>
      </w:r>
    </w:p>
    <w:p w14:paraId="2244F1EC">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2130599其他巩固脱贫攻坚成果衔接乡村振兴支出8万元</w:t>
      </w:r>
    </w:p>
    <w:p w14:paraId="4043DAC0">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2130705对村民委员会和村党支部的补助402.17万元</w:t>
      </w:r>
    </w:p>
    <w:p w14:paraId="560AA844">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2130706对村集体经济组织的补助19.92万元</w:t>
      </w:r>
    </w:p>
    <w:p w14:paraId="78AF789F">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2169999其他商业服务业等支出93.88万元</w:t>
      </w:r>
    </w:p>
    <w:p w14:paraId="1B5AA005">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2210201住房公积金91.09万元</w:t>
      </w:r>
    </w:p>
    <w:p w14:paraId="093993F3">
      <w:pPr>
        <w:pageBreakBefore w:val="0"/>
        <w:kinsoku/>
        <w:wordWrap/>
        <w:overflowPunct/>
        <w:topLinePunct w:val="0"/>
        <w:bidi w:val="0"/>
        <w:spacing w:line="576" w:lineRule="exact"/>
        <w:ind w:firstLine="645"/>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2240106安全监管0.37万元</w:t>
      </w:r>
    </w:p>
    <w:p w14:paraId="7A2428F9">
      <w:pPr>
        <w:pageBreakBefore w:val="0"/>
        <w:tabs>
          <w:tab w:val="right" w:pos="8306"/>
        </w:tabs>
        <w:kinsoku/>
        <w:wordWrap/>
        <w:overflowPunct/>
        <w:topLinePunct w:val="0"/>
        <w:bidi w:val="0"/>
        <w:spacing w:line="576" w:lineRule="exact"/>
        <w:ind w:firstLine="640"/>
        <w:textAlignment w:val="auto"/>
        <w:outlineLvl w:val="1"/>
        <w:rPr>
          <w:rStyle w:val="33"/>
        </w:rPr>
      </w:pPr>
      <w:bookmarkStart w:id="27" w:name="_Toc15377214"/>
      <w:bookmarkStart w:id="28" w:name="_Toc15396608"/>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3"/>
          <w:rFonts w:hint="eastAsia" w:ascii="黑体" w:hAnsi="黑体" w:eastAsia="黑体"/>
          <w:b w:val="0"/>
        </w:rPr>
        <w:t>般公共预算财政拨款基本支出决算情况说明</w:t>
      </w:r>
      <w:bookmarkEnd w:id="27"/>
      <w:bookmarkEnd w:id="28"/>
      <w:r>
        <w:rPr>
          <w:rStyle w:val="33"/>
          <w:rFonts w:ascii="黑体" w:hAnsi="黑体" w:eastAsia="黑体"/>
          <w:b w:val="0"/>
        </w:rPr>
        <w:tab/>
      </w:r>
    </w:p>
    <w:p w14:paraId="4995AD21">
      <w:pPr>
        <w:pageBreakBefore w:val="0"/>
        <w:kinsoku/>
        <w:wordWrap/>
        <w:overflowPunct/>
        <w:topLinePunct w:val="0"/>
        <w:bidi w:val="0"/>
        <w:spacing w:line="576" w:lineRule="exact"/>
        <w:ind w:firstLine="645"/>
        <w:textAlignment w:val="auto"/>
        <w:rPr>
          <w:rFonts w:ascii="仿宋" w:hAnsi="仿宋" w:eastAsia="仿宋"/>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年度一般公共预算财政拨款基本支出1516.93万元，其中</w:t>
      </w:r>
      <w:r>
        <w:rPr>
          <w:rFonts w:hint="eastAsia" w:ascii="仿宋" w:hAnsi="仿宋" w:eastAsia="仿宋"/>
          <w:sz w:val="32"/>
          <w:szCs w:val="32"/>
        </w:rPr>
        <w:t>：</w:t>
      </w:r>
    </w:p>
    <w:p w14:paraId="695A5045">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1170.14</w:t>
      </w:r>
      <w:r>
        <w:rPr>
          <w:rFonts w:hint="eastAsia" w:ascii="仿宋_GB2312" w:hAnsi="仿宋_GB2312" w:eastAsia="仿宋_GB2312" w:cs="仿宋_GB2312"/>
          <w:sz w:val="32"/>
          <w:szCs w:val="32"/>
        </w:rPr>
        <w:t>万元，主要包括：基本工资</w:t>
      </w:r>
      <w:r>
        <w:rPr>
          <w:rFonts w:hint="eastAsia" w:ascii="仿宋_GB2312" w:hAnsi="仿宋_GB2312" w:eastAsia="仿宋_GB2312" w:cs="仿宋_GB2312"/>
          <w:sz w:val="32"/>
          <w:szCs w:val="32"/>
          <w:lang w:val="en-US" w:eastAsia="zh-CN"/>
        </w:rPr>
        <w:t>179.58万元、</w:t>
      </w:r>
      <w:r>
        <w:rPr>
          <w:rFonts w:hint="eastAsia" w:ascii="仿宋_GB2312" w:hAnsi="仿宋_GB2312" w:eastAsia="仿宋_GB2312" w:cs="仿宋_GB2312"/>
          <w:sz w:val="32"/>
          <w:szCs w:val="32"/>
        </w:rPr>
        <w:t>津贴补贴</w:t>
      </w:r>
      <w:r>
        <w:rPr>
          <w:rFonts w:hint="eastAsia" w:ascii="仿宋_GB2312" w:hAnsi="仿宋_GB2312" w:eastAsia="仿宋_GB2312" w:cs="仿宋_GB2312"/>
          <w:sz w:val="32"/>
          <w:szCs w:val="32"/>
          <w:lang w:val="en-US" w:eastAsia="zh-CN"/>
        </w:rPr>
        <w:t>356万元</w:t>
      </w:r>
      <w:r>
        <w:rPr>
          <w:rFonts w:hint="eastAsia" w:ascii="仿宋_GB2312" w:hAnsi="仿宋_GB2312" w:eastAsia="仿宋_GB2312" w:cs="仿宋_GB2312"/>
          <w:sz w:val="32"/>
          <w:szCs w:val="32"/>
        </w:rPr>
        <w:t>、奖金</w:t>
      </w:r>
      <w:r>
        <w:rPr>
          <w:rFonts w:hint="eastAsia" w:ascii="仿宋_GB2312" w:hAnsi="仿宋_GB2312" w:eastAsia="仿宋_GB2312" w:cs="仿宋_GB2312"/>
          <w:sz w:val="32"/>
          <w:szCs w:val="32"/>
          <w:lang w:val="en-US" w:eastAsia="zh-CN"/>
        </w:rPr>
        <w:t>265.76万元</w:t>
      </w:r>
      <w:r>
        <w:rPr>
          <w:rFonts w:hint="eastAsia" w:ascii="仿宋_GB2312" w:hAnsi="仿宋_GB2312" w:eastAsia="仿宋_GB2312" w:cs="仿宋_GB2312"/>
          <w:sz w:val="32"/>
          <w:szCs w:val="32"/>
        </w:rPr>
        <w:t>、绩效工资</w:t>
      </w:r>
      <w:r>
        <w:rPr>
          <w:rFonts w:hint="eastAsia" w:ascii="仿宋_GB2312" w:hAnsi="仿宋_GB2312" w:eastAsia="仿宋_GB2312" w:cs="仿宋_GB2312"/>
          <w:sz w:val="32"/>
          <w:szCs w:val="32"/>
          <w:lang w:val="en-US" w:eastAsia="zh-CN"/>
        </w:rPr>
        <w:t>39.36万元</w:t>
      </w:r>
      <w:r>
        <w:rPr>
          <w:rFonts w:hint="eastAsia" w:ascii="仿宋_GB2312" w:hAnsi="仿宋_GB2312" w:eastAsia="仿宋_GB2312" w:cs="仿宋_GB2312"/>
          <w:sz w:val="32"/>
          <w:szCs w:val="32"/>
        </w:rPr>
        <w:t>、机关事业单位基本养老保险缴费</w:t>
      </w:r>
      <w:r>
        <w:rPr>
          <w:rFonts w:hint="eastAsia" w:ascii="仿宋_GB2312" w:hAnsi="仿宋_GB2312" w:eastAsia="仿宋_GB2312" w:cs="仿宋_GB2312"/>
          <w:sz w:val="32"/>
          <w:szCs w:val="32"/>
          <w:lang w:val="en-US" w:eastAsia="zh-CN"/>
        </w:rPr>
        <w:t>103.5万元</w:t>
      </w:r>
      <w:r>
        <w:rPr>
          <w:rFonts w:hint="eastAsia" w:ascii="仿宋_GB2312" w:hAnsi="仿宋_GB2312" w:eastAsia="仿宋_GB2312" w:cs="仿宋_GB2312"/>
          <w:sz w:val="32"/>
          <w:szCs w:val="32"/>
        </w:rPr>
        <w:t>、职业年金缴费</w:t>
      </w:r>
      <w:r>
        <w:rPr>
          <w:rFonts w:hint="eastAsia" w:ascii="仿宋_GB2312" w:hAnsi="仿宋_GB2312" w:eastAsia="仿宋_GB2312" w:cs="仿宋_GB2312"/>
          <w:sz w:val="32"/>
          <w:szCs w:val="32"/>
          <w:lang w:val="en-US" w:eastAsia="zh-CN"/>
        </w:rPr>
        <w:t>51.75万元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基本医疗保险费</w:t>
      </w:r>
      <w:r>
        <w:rPr>
          <w:rFonts w:hint="eastAsia" w:ascii="仿宋_GB2312" w:hAnsi="仿宋_GB2312" w:eastAsia="仿宋_GB2312" w:cs="仿宋_GB2312"/>
          <w:sz w:val="32"/>
          <w:szCs w:val="32"/>
          <w:lang w:val="en-US" w:eastAsia="zh-CN"/>
        </w:rPr>
        <w:t>51.02万元、公务员补助缴费13.36万元、</w:t>
      </w:r>
      <w:r>
        <w:rPr>
          <w:rFonts w:hint="eastAsia" w:ascii="仿宋_GB2312" w:hAnsi="仿宋_GB2312" w:eastAsia="仿宋_GB2312" w:cs="仿宋_GB2312"/>
          <w:sz w:val="32"/>
          <w:szCs w:val="32"/>
        </w:rPr>
        <w:t>其他社会保障缴费</w:t>
      </w:r>
      <w:r>
        <w:rPr>
          <w:rFonts w:hint="eastAsia" w:ascii="仿宋_GB2312" w:hAnsi="仿宋_GB2312" w:eastAsia="仿宋_GB2312" w:cs="仿宋_GB2312"/>
          <w:sz w:val="32"/>
          <w:szCs w:val="32"/>
          <w:lang w:val="en-US" w:eastAsia="zh-CN"/>
        </w:rPr>
        <w:t>15.1万元</w:t>
      </w:r>
      <w:r>
        <w:rPr>
          <w:rFonts w:hint="eastAsia" w:ascii="仿宋_GB2312" w:hAnsi="仿宋_GB2312" w:eastAsia="仿宋_GB2312" w:cs="仿宋_GB2312"/>
          <w:sz w:val="32"/>
          <w:szCs w:val="32"/>
        </w:rPr>
        <w:t>、住房公积金</w:t>
      </w:r>
      <w:r>
        <w:rPr>
          <w:rFonts w:hint="eastAsia" w:ascii="仿宋_GB2312" w:hAnsi="仿宋_GB2312" w:eastAsia="仿宋_GB2312" w:cs="仿宋_GB2312"/>
          <w:sz w:val="32"/>
          <w:szCs w:val="32"/>
          <w:lang w:val="en-US" w:eastAsia="zh-CN"/>
        </w:rPr>
        <w:t>91.09万元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医疗费</w:t>
      </w:r>
      <w:r>
        <w:rPr>
          <w:rFonts w:hint="eastAsia" w:ascii="仿宋_GB2312" w:hAnsi="仿宋_GB2312" w:eastAsia="仿宋_GB2312" w:cs="仿宋_GB2312"/>
          <w:sz w:val="32"/>
          <w:szCs w:val="32"/>
          <w:lang w:val="en-US" w:eastAsia="zh-CN"/>
        </w:rPr>
        <w:t>3.63万元、对个人和家庭的补助282.96万元、生活补助280.44万元、医疗补助2.52万元、奖励金0.01万元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公用经费</w:t>
      </w:r>
      <w:r>
        <w:rPr>
          <w:rFonts w:hint="eastAsia" w:ascii="仿宋_GB2312" w:hAnsi="仿宋_GB2312" w:eastAsia="仿宋_GB2312" w:cs="仿宋_GB2312"/>
          <w:sz w:val="32"/>
          <w:szCs w:val="32"/>
          <w:lang w:val="en-US" w:eastAsia="zh-CN"/>
        </w:rPr>
        <w:t>62.05</w:t>
      </w:r>
      <w:r>
        <w:rPr>
          <w:rFonts w:hint="eastAsia" w:ascii="仿宋_GB2312" w:hAnsi="仿宋_GB2312" w:eastAsia="仿宋_GB2312" w:cs="仿宋_GB2312"/>
          <w:sz w:val="32"/>
          <w:szCs w:val="32"/>
        </w:rPr>
        <w:t>万元，主要包括：办公费</w:t>
      </w:r>
      <w:r>
        <w:rPr>
          <w:rFonts w:hint="eastAsia" w:ascii="仿宋_GB2312" w:hAnsi="仿宋_GB2312" w:eastAsia="仿宋_GB2312" w:cs="仿宋_GB2312"/>
          <w:sz w:val="32"/>
          <w:szCs w:val="32"/>
          <w:lang w:val="en-US" w:eastAsia="zh-CN"/>
        </w:rPr>
        <w:t>9.68万元</w:t>
      </w:r>
      <w:r>
        <w:rPr>
          <w:rFonts w:hint="eastAsia" w:ascii="仿宋_GB2312" w:hAnsi="仿宋_GB2312" w:eastAsia="仿宋_GB2312" w:cs="仿宋_GB2312"/>
          <w:sz w:val="32"/>
          <w:szCs w:val="32"/>
        </w:rPr>
        <w:t>、印刷费</w:t>
      </w:r>
      <w:r>
        <w:rPr>
          <w:rFonts w:hint="eastAsia" w:ascii="仿宋_GB2312" w:hAnsi="仿宋_GB2312" w:eastAsia="仿宋_GB2312" w:cs="仿宋_GB2312"/>
          <w:sz w:val="32"/>
          <w:szCs w:val="32"/>
          <w:lang w:val="en-US" w:eastAsia="zh-CN"/>
        </w:rPr>
        <w:t>6.37万元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水费0.16万元、</w:t>
      </w:r>
      <w:r>
        <w:rPr>
          <w:rFonts w:hint="eastAsia" w:ascii="仿宋_GB2312" w:hAnsi="仿宋_GB2312" w:eastAsia="仿宋_GB2312" w:cs="仿宋_GB2312"/>
          <w:sz w:val="32"/>
          <w:szCs w:val="32"/>
        </w:rPr>
        <w:t>电费</w:t>
      </w:r>
      <w:r>
        <w:rPr>
          <w:rFonts w:hint="eastAsia" w:ascii="仿宋_GB2312" w:hAnsi="仿宋_GB2312" w:eastAsia="仿宋_GB2312" w:cs="仿宋_GB2312"/>
          <w:sz w:val="32"/>
          <w:szCs w:val="32"/>
          <w:lang w:val="en-US" w:eastAsia="zh-CN"/>
        </w:rPr>
        <w:t>11.01万元</w:t>
      </w:r>
      <w:r>
        <w:rPr>
          <w:rFonts w:hint="eastAsia" w:ascii="仿宋_GB2312" w:hAnsi="仿宋_GB2312" w:eastAsia="仿宋_GB2312" w:cs="仿宋_GB2312"/>
          <w:sz w:val="32"/>
          <w:szCs w:val="32"/>
        </w:rPr>
        <w:t>、邮电费</w:t>
      </w:r>
      <w:r>
        <w:rPr>
          <w:rFonts w:hint="eastAsia" w:ascii="仿宋_GB2312" w:hAnsi="仿宋_GB2312" w:eastAsia="仿宋_GB2312" w:cs="仿宋_GB2312"/>
          <w:sz w:val="32"/>
          <w:szCs w:val="32"/>
          <w:lang w:val="en-US" w:eastAsia="zh-CN"/>
        </w:rPr>
        <w:t>5.59万元</w:t>
      </w:r>
      <w:r>
        <w:rPr>
          <w:rFonts w:hint="eastAsia" w:ascii="仿宋_GB2312" w:hAnsi="仿宋_GB2312" w:eastAsia="仿宋_GB2312" w:cs="仿宋_GB2312"/>
          <w:sz w:val="32"/>
          <w:szCs w:val="32"/>
        </w:rPr>
        <w:t>、取暖费</w:t>
      </w:r>
      <w:r>
        <w:rPr>
          <w:rFonts w:hint="eastAsia" w:ascii="仿宋_GB2312" w:hAnsi="仿宋_GB2312" w:eastAsia="仿宋_GB2312" w:cs="仿宋_GB2312"/>
          <w:sz w:val="32"/>
          <w:szCs w:val="32"/>
          <w:lang w:val="en-US" w:eastAsia="zh-CN"/>
        </w:rPr>
        <w:t>1万元</w:t>
      </w:r>
      <w:r>
        <w:rPr>
          <w:rFonts w:hint="eastAsia" w:ascii="仿宋_GB2312" w:hAnsi="仿宋_GB2312" w:eastAsia="仿宋_GB2312" w:cs="仿宋_GB2312"/>
          <w:sz w:val="32"/>
          <w:szCs w:val="32"/>
        </w:rPr>
        <w:t>、差旅费</w:t>
      </w:r>
      <w:r>
        <w:rPr>
          <w:rFonts w:hint="eastAsia" w:ascii="仿宋_GB2312" w:hAnsi="仿宋_GB2312" w:eastAsia="仿宋_GB2312" w:cs="仿宋_GB2312"/>
          <w:sz w:val="32"/>
          <w:szCs w:val="32"/>
          <w:lang w:val="en-US" w:eastAsia="zh-CN"/>
        </w:rPr>
        <w:t>5.78万元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维修（护）费</w:t>
      </w:r>
      <w:r>
        <w:rPr>
          <w:rFonts w:hint="eastAsia" w:ascii="仿宋_GB2312" w:hAnsi="仿宋_GB2312" w:eastAsia="仿宋_GB2312" w:cs="仿宋_GB2312"/>
          <w:sz w:val="32"/>
          <w:szCs w:val="32"/>
          <w:lang w:val="en-US" w:eastAsia="zh-CN"/>
        </w:rPr>
        <w:t>3.22万元</w:t>
      </w:r>
      <w:r>
        <w:rPr>
          <w:rFonts w:hint="eastAsia" w:ascii="仿宋_GB2312" w:hAnsi="仿宋_GB2312" w:eastAsia="仿宋_GB2312" w:cs="仿宋_GB2312"/>
          <w:sz w:val="32"/>
          <w:szCs w:val="32"/>
        </w:rPr>
        <w:t>、培训费</w:t>
      </w:r>
      <w:r>
        <w:rPr>
          <w:rFonts w:hint="eastAsia" w:ascii="仿宋_GB2312" w:hAnsi="仿宋_GB2312" w:eastAsia="仿宋_GB2312" w:cs="仿宋_GB2312"/>
          <w:sz w:val="32"/>
          <w:szCs w:val="32"/>
          <w:lang w:val="en-US" w:eastAsia="zh-CN"/>
        </w:rPr>
        <w:t>0.14万元</w:t>
      </w:r>
      <w:r>
        <w:rPr>
          <w:rFonts w:hint="eastAsia" w:ascii="仿宋_GB2312" w:hAnsi="仿宋_GB2312" w:eastAsia="仿宋_GB2312" w:cs="仿宋_GB2312"/>
          <w:sz w:val="32"/>
          <w:szCs w:val="32"/>
        </w:rPr>
        <w:t>、劳务费</w:t>
      </w:r>
      <w:r>
        <w:rPr>
          <w:rFonts w:hint="eastAsia" w:ascii="仿宋_GB2312" w:hAnsi="仿宋_GB2312" w:eastAsia="仿宋_GB2312" w:cs="仿宋_GB2312"/>
          <w:sz w:val="32"/>
          <w:szCs w:val="32"/>
          <w:lang w:val="en-US" w:eastAsia="zh-CN"/>
        </w:rPr>
        <w:t>3.9万元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委托业务费</w:t>
      </w:r>
      <w:r>
        <w:rPr>
          <w:rFonts w:hint="eastAsia" w:ascii="仿宋_GB2312" w:hAnsi="仿宋_GB2312" w:eastAsia="仿宋_GB2312" w:cs="仿宋_GB2312"/>
          <w:sz w:val="32"/>
          <w:szCs w:val="32"/>
          <w:lang w:val="en-US" w:eastAsia="zh-CN"/>
        </w:rPr>
        <w:t>1.66万元、</w:t>
      </w:r>
      <w:r>
        <w:rPr>
          <w:rFonts w:hint="eastAsia" w:ascii="仿宋_GB2312" w:hAnsi="仿宋_GB2312" w:eastAsia="仿宋_GB2312" w:cs="仿宋_GB2312"/>
          <w:sz w:val="32"/>
          <w:szCs w:val="32"/>
        </w:rPr>
        <w:t>工会经费</w:t>
      </w:r>
      <w:r>
        <w:rPr>
          <w:rFonts w:hint="eastAsia" w:ascii="仿宋_GB2312" w:hAnsi="仿宋_GB2312" w:eastAsia="仿宋_GB2312" w:cs="仿宋_GB2312"/>
          <w:sz w:val="32"/>
          <w:szCs w:val="32"/>
          <w:lang w:val="en-US" w:eastAsia="zh-CN"/>
        </w:rPr>
        <w:t>8.73万元</w:t>
      </w:r>
      <w:r>
        <w:rPr>
          <w:rFonts w:hint="eastAsia" w:ascii="仿宋_GB2312" w:hAnsi="仿宋_GB2312" w:eastAsia="仿宋_GB2312" w:cs="仿宋_GB2312"/>
          <w:sz w:val="32"/>
          <w:szCs w:val="32"/>
        </w:rPr>
        <w:t>、公务用车运行维护费</w:t>
      </w:r>
      <w:r>
        <w:rPr>
          <w:rFonts w:hint="eastAsia" w:ascii="仿宋_GB2312" w:hAnsi="仿宋_GB2312" w:eastAsia="仿宋_GB2312" w:cs="仿宋_GB2312"/>
          <w:sz w:val="32"/>
          <w:szCs w:val="32"/>
          <w:lang w:val="en-US" w:eastAsia="zh-CN"/>
        </w:rPr>
        <w:t>4.81万元</w:t>
      </w:r>
      <w:r>
        <w:rPr>
          <w:rFonts w:hint="eastAsia" w:ascii="仿宋_GB2312" w:hAnsi="仿宋_GB2312" w:eastAsia="仿宋_GB2312" w:cs="仿宋_GB2312"/>
          <w:sz w:val="32"/>
          <w:szCs w:val="32"/>
        </w:rPr>
        <w:t>、办公设备购置</w:t>
      </w:r>
      <w:r>
        <w:rPr>
          <w:rFonts w:hint="eastAsia" w:ascii="仿宋_GB2312" w:hAnsi="仿宋_GB2312" w:eastAsia="仿宋_GB2312" w:cs="仿宋_GB2312"/>
          <w:sz w:val="32"/>
          <w:szCs w:val="32"/>
          <w:lang w:val="en-US" w:eastAsia="zh-CN"/>
        </w:rPr>
        <w:t>1.78万元</w:t>
      </w:r>
      <w:r>
        <w:rPr>
          <w:rFonts w:hint="eastAsia" w:ascii="仿宋_GB2312" w:hAnsi="仿宋_GB2312" w:eastAsia="仿宋_GB2312" w:cs="仿宋_GB2312"/>
          <w:sz w:val="32"/>
          <w:szCs w:val="32"/>
        </w:rPr>
        <w:t>等。</w:t>
      </w:r>
    </w:p>
    <w:p w14:paraId="144821E8">
      <w:pPr>
        <w:pageBreakBefore w:val="0"/>
        <w:kinsoku/>
        <w:wordWrap/>
        <w:overflowPunct/>
        <w:topLinePunct w:val="0"/>
        <w:bidi w:val="0"/>
        <w:spacing w:line="576" w:lineRule="exact"/>
        <w:ind w:firstLine="640" w:firstLineChars="200"/>
        <w:textAlignment w:val="auto"/>
        <w:outlineLvl w:val="1"/>
        <w:rPr>
          <w:rStyle w:val="33"/>
          <w:rFonts w:ascii="黑体" w:hAnsi="黑体" w:eastAsia="黑体"/>
          <w:b w:val="0"/>
        </w:rPr>
      </w:pPr>
      <w:bookmarkStart w:id="29" w:name="_Toc15396609"/>
      <w:bookmarkStart w:id="30" w:name="_Toc15377215"/>
      <w:r>
        <w:rPr>
          <w:rFonts w:hint="eastAsia" w:ascii="黑体" w:eastAsia="黑体"/>
          <w:sz w:val="32"/>
          <w:szCs w:val="32"/>
        </w:rPr>
        <w:t>七、</w:t>
      </w:r>
      <w:r>
        <w:rPr>
          <w:rStyle w:val="33"/>
          <w:rFonts w:hint="eastAsia" w:ascii="黑体" w:hAnsi="黑体" w:eastAsia="黑体"/>
          <w:b w:val="0"/>
        </w:rPr>
        <w:t>财政拨款</w:t>
      </w:r>
      <w:r>
        <w:rPr>
          <w:rStyle w:val="33"/>
          <w:rFonts w:hint="eastAsia" w:ascii="黑体" w:hAnsi="黑体" w:eastAsia="黑体"/>
        </w:rPr>
        <w:t>“</w:t>
      </w:r>
      <w:r>
        <w:rPr>
          <w:rStyle w:val="33"/>
          <w:rFonts w:hint="eastAsia" w:ascii="黑体" w:hAnsi="黑体" w:eastAsia="黑体"/>
          <w:b w:val="0"/>
        </w:rPr>
        <w:t>三公”经费支出决算情况说明</w:t>
      </w:r>
      <w:bookmarkEnd w:id="29"/>
      <w:bookmarkEnd w:id="30"/>
    </w:p>
    <w:p w14:paraId="59CA3620">
      <w:pPr>
        <w:pageBreakBefore w:val="0"/>
        <w:kinsoku/>
        <w:wordWrap/>
        <w:overflowPunct/>
        <w:topLinePunct w:val="0"/>
        <w:bidi w:val="0"/>
        <w:spacing w:line="576" w:lineRule="exact"/>
        <w:ind w:firstLine="640"/>
        <w:textAlignment w:val="auto"/>
        <w:outlineLvl w:val="2"/>
        <w:rPr>
          <w:rFonts w:ascii="仿宋" w:hAnsi="仿宋" w:eastAsia="仿宋"/>
          <w:b/>
          <w:sz w:val="32"/>
          <w:szCs w:val="32"/>
        </w:rPr>
      </w:pPr>
      <w:bookmarkStart w:id="31" w:name="_Toc15377216"/>
      <w:r>
        <w:rPr>
          <w:rFonts w:hint="eastAsia" w:ascii="仿宋" w:hAnsi="仿宋" w:eastAsia="仿宋"/>
          <w:b/>
          <w:sz w:val="32"/>
          <w:szCs w:val="32"/>
        </w:rPr>
        <w:t>（一）“三公”经费财政拨款支出决算总体情况说明</w:t>
      </w:r>
      <w:bookmarkEnd w:id="31"/>
    </w:p>
    <w:p w14:paraId="766C9FE2">
      <w:pPr>
        <w:pageBreakBefore w:val="0"/>
        <w:kinsoku/>
        <w:wordWrap/>
        <w:overflowPunct/>
        <w:topLinePunct w:val="0"/>
        <w:bidi w:val="0"/>
        <w:spacing w:line="576" w:lineRule="exact"/>
        <w:ind w:firstLine="645"/>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2024年度“三公”经费财政拨款支出决算为4.81万元，完成预算100%，决算数与预算数持平。</w:t>
      </w:r>
    </w:p>
    <w:p w14:paraId="5046ED70">
      <w:pPr>
        <w:pageBreakBefore w:val="0"/>
        <w:kinsoku/>
        <w:wordWrap/>
        <w:overflowPunct/>
        <w:topLinePunct w:val="0"/>
        <w:bidi w:val="0"/>
        <w:spacing w:line="576" w:lineRule="exact"/>
        <w:ind w:firstLine="640"/>
        <w:textAlignment w:val="auto"/>
        <w:rPr>
          <w:rFonts w:ascii="仿宋" w:hAnsi="仿宋" w:eastAsia="仿宋"/>
          <w:b/>
          <w:sz w:val="32"/>
          <w:szCs w:val="32"/>
        </w:rPr>
      </w:pPr>
      <w:r>
        <w:rPr>
          <w:rFonts w:hint="eastAsia" w:ascii="仿宋" w:hAnsi="仿宋" w:eastAsia="仿宋"/>
          <w:b/>
          <w:sz w:val="32"/>
          <w:szCs w:val="32"/>
        </w:rPr>
        <w:t>（注：上述“预算”口径为全年预算数，包括一般公共预算和政府性基金预算财政拨款支出决算情况。）</w:t>
      </w:r>
    </w:p>
    <w:p w14:paraId="50A402CE">
      <w:pPr>
        <w:pageBreakBefore w:val="0"/>
        <w:kinsoku/>
        <w:wordWrap/>
        <w:overflowPunct/>
        <w:topLinePunct w:val="0"/>
        <w:bidi w:val="0"/>
        <w:spacing w:line="576" w:lineRule="exact"/>
        <w:ind w:firstLine="640"/>
        <w:textAlignment w:val="auto"/>
        <w:outlineLvl w:val="2"/>
        <w:rPr>
          <w:rFonts w:ascii="仿宋" w:hAnsi="仿宋" w:eastAsia="仿宋"/>
          <w:b/>
          <w:sz w:val="32"/>
          <w:szCs w:val="32"/>
        </w:rPr>
      </w:pPr>
      <w:bookmarkStart w:id="32" w:name="_Toc15377217"/>
      <w:r>
        <w:rPr>
          <w:rFonts w:hint="eastAsia" w:ascii="仿宋" w:hAnsi="仿宋" w:eastAsia="仿宋"/>
          <w:b/>
          <w:sz w:val="32"/>
          <w:szCs w:val="32"/>
        </w:rPr>
        <w:t>（二）“三公”经费财政拨款支出决算具体情况说明</w:t>
      </w:r>
      <w:bookmarkEnd w:id="32"/>
    </w:p>
    <w:p w14:paraId="5D99BB79">
      <w:pPr>
        <w:pageBreakBefore w:val="0"/>
        <w:kinsoku/>
        <w:wordWrap/>
        <w:overflowPunct/>
        <w:topLinePunct w:val="0"/>
        <w:bidi w:val="0"/>
        <w:spacing w:line="576" w:lineRule="exact"/>
        <w:ind w:firstLine="645"/>
        <w:textAlignment w:val="auto"/>
        <w:rPr>
          <w:rFonts w:hint="eastAsia" w:ascii="仿宋" w:hAnsi="仿宋" w:eastAsia="仿宋"/>
          <w:sz w:val="32"/>
          <w:szCs w:val="32"/>
        </w:rPr>
      </w:pPr>
      <w:r>
        <w:rPr>
          <w:rFonts w:hint="eastAsia" w:ascii="仿宋_GB2312" w:hAnsi="仿宋_GB2312" w:eastAsia="仿宋_GB2312" w:cs="仿宋_GB2312"/>
          <w:sz w:val="32"/>
          <w:szCs w:val="32"/>
          <w:lang w:val="en-US" w:eastAsia="zh-CN"/>
        </w:rPr>
        <w:t>2024年度“三公”经费财政拨款支出决算中，因公出国（境）费支出决算0万元，占0%；公务用车购置及运行维护费支出决算4.81万元，占100%；公务接待费支出决算0万元，占0%。具体情况如下：</w:t>
      </w:r>
    </w:p>
    <w:p w14:paraId="0539072F">
      <w:pPr>
        <w:pStyle w:val="8"/>
        <w:pageBreakBefore w:val="0"/>
        <w:kinsoku/>
        <w:wordWrap/>
        <w:overflowPunct/>
        <w:topLinePunct w:val="0"/>
        <w:bidi w:val="0"/>
        <w:spacing w:line="576" w:lineRule="exact"/>
        <w:textAlignment w:val="auto"/>
      </w:pPr>
      <w:r>
        <w:rPr>
          <w:rFonts w:hint="eastAsia" w:ascii="仿宋" w:hAnsi="仿宋" w:eastAsia="仿宋"/>
          <w:color w:val="auto"/>
          <w:sz w:val="32"/>
          <w:szCs w:val="32"/>
          <w:highlight w:val="none"/>
        </w:rPr>
        <w:drawing>
          <wp:anchor distT="0" distB="0" distL="114300" distR="114300" simplePos="0" relativeHeight="251664384" behindDoc="1" locked="0" layoutInCell="1" allowOverlap="1">
            <wp:simplePos x="0" y="0"/>
            <wp:positionH relativeFrom="column">
              <wp:posOffset>439420</wp:posOffset>
            </wp:positionH>
            <wp:positionV relativeFrom="paragraph">
              <wp:posOffset>137795</wp:posOffset>
            </wp:positionV>
            <wp:extent cx="4657090" cy="2202180"/>
            <wp:effectExtent l="5080" t="4445" r="5080" b="22225"/>
            <wp:wrapTight wrapText="bothSides">
              <wp:wrapPolygon>
                <wp:start x="-24" y="-44"/>
                <wp:lineTo x="-24" y="21444"/>
                <wp:lineTo x="21535" y="21444"/>
                <wp:lineTo x="21535" y="-44"/>
                <wp:lineTo x="-24" y="-44"/>
              </wp:wrapPolygon>
            </wp:wrapTight>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74D88163">
      <w:pPr>
        <w:pageBreakBefore w:val="0"/>
        <w:kinsoku/>
        <w:wordWrap/>
        <w:overflowPunct/>
        <w:topLinePunct w:val="0"/>
        <w:bidi w:val="0"/>
        <w:spacing w:line="576" w:lineRule="exact"/>
        <w:ind w:firstLine="640"/>
        <w:textAlignment w:val="auto"/>
        <w:rPr>
          <w:rFonts w:hint="eastAsia" w:ascii="仿宋" w:hAnsi="仿宋" w:eastAsia="仿宋"/>
          <w:sz w:val="32"/>
          <w:szCs w:val="32"/>
        </w:rPr>
      </w:pPr>
    </w:p>
    <w:p w14:paraId="763F847E">
      <w:pPr>
        <w:pageBreakBefore w:val="0"/>
        <w:kinsoku/>
        <w:wordWrap/>
        <w:overflowPunct/>
        <w:topLinePunct w:val="0"/>
        <w:bidi w:val="0"/>
        <w:spacing w:line="576" w:lineRule="exact"/>
        <w:ind w:firstLine="640" w:firstLineChars="200"/>
        <w:textAlignment w:val="auto"/>
        <w:rPr>
          <w:rFonts w:ascii="仿宋" w:hAnsi="仿宋" w:eastAsia="仿宋"/>
          <w:sz w:val="32"/>
          <w:szCs w:val="32"/>
        </w:rPr>
      </w:pPr>
      <w:r>
        <w:rPr>
          <w:rFonts w:hint="eastAsia" w:ascii="仿宋" w:hAnsi="仿宋" w:eastAsia="仿宋"/>
          <w:sz w:val="32"/>
          <w:szCs w:val="32"/>
        </w:rPr>
        <w:t>（图7：“三公”经费财政拨款支出结构）（饼状图）</w:t>
      </w:r>
    </w:p>
    <w:p w14:paraId="46BBC79A">
      <w:pPr>
        <w:pageBreakBefore w:val="0"/>
        <w:kinsoku/>
        <w:wordWrap/>
        <w:overflowPunct/>
        <w:topLinePunct w:val="0"/>
        <w:bidi w:val="0"/>
        <w:spacing w:line="576" w:lineRule="exact"/>
        <w:ind w:firstLine="640"/>
        <w:textAlignment w:val="auto"/>
        <w:rPr>
          <w:rFonts w:ascii="仿宋_GB2312" w:eastAsia="仿宋_GB2312"/>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p>
    <w:p w14:paraId="42B41946">
      <w:pPr>
        <w:pageBreakBefore w:val="0"/>
        <w:kinsoku/>
        <w:wordWrap/>
        <w:overflowPunct/>
        <w:topLinePunct w:val="0"/>
        <w:bidi w:val="0"/>
        <w:spacing w:line="576" w:lineRule="exact"/>
        <w:ind w:firstLine="643" w:firstLineChars="200"/>
        <w:textAlignment w:val="auto"/>
        <w:rPr>
          <w:rFonts w:ascii="仿宋_GB2312" w:hAnsi="仿宋_GB2312" w:eastAsia="仿宋_GB2312" w:cs="仿宋_GB2312"/>
          <w:color w:val="auto"/>
          <w:sz w:val="32"/>
          <w:szCs w:val="32"/>
          <w:highlight w:val="none"/>
          <w:shd w:val="clear" w:color="auto" w:fill="FFFFFF"/>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eastAsia="仿宋_GB2312"/>
          <w:sz w:val="32"/>
          <w:szCs w:val="32"/>
          <w:lang w:val="en-US" w:eastAsia="zh-CN"/>
        </w:rPr>
        <w:t>4.81</w:t>
      </w:r>
      <w:r>
        <w:rPr>
          <w:rFonts w:hint="eastAsia" w:ascii="仿宋_GB2312" w:eastAsia="仿宋_GB2312"/>
          <w:sz w:val="32"/>
          <w:szCs w:val="32"/>
        </w:rPr>
        <w:t>万元,</w:t>
      </w:r>
      <w:r>
        <w:rPr>
          <w:rStyle w:val="21"/>
          <w:rFonts w:hint="eastAsia" w:ascii="仿宋" w:hAnsi="仿宋" w:eastAsia="仿宋"/>
          <w:b w:val="0"/>
          <w:bCs/>
          <w:sz w:val="32"/>
          <w:szCs w:val="32"/>
        </w:rPr>
        <w:t>完成预算</w:t>
      </w:r>
      <w:r>
        <w:rPr>
          <w:rFonts w:hint="eastAsia" w:eastAsia="仿宋"/>
          <w:sz w:val="32"/>
          <w:szCs w:val="32"/>
          <w:lang w:val="en-US" w:eastAsia="zh-CN"/>
        </w:rPr>
        <w:t>100</w:t>
      </w:r>
      <w:r>
        <w:rPr>
          <w:rStyle w:val="21"/>
          <w:rFonts w:ascii="仿宋" w:hAnsi="仿宋" w:eastAsia="仿宋"/>
          <w:b w:val="0"/>
          <w:bCs/>
          <w:sz w:val="32"/>
          <w:szCs w:val="32"/>
        </w:rPr>
        <w:t>%</w:t>
      </w:r>
      <w:r>
        <w:rPr>
          <w:rStyle w:val="21"/>
          <w:rFonts w:hint="eastAsia" w:ascii="仿宋" w:hAnsi="仿宋" w:eastAsia="仿宋"/>
          <w:b w:val="0"/>
          <w:bCs/>
          <w:sz w:val="32"/>
          <w:szCs w:val="32"/>
        </w:rPr>
        <w:t>。</w:t>
      </w:r>
      <w:r>
        <w:rPr>
          <w:rFonts w:hint="eastAsia" w:ascii="仿宋_GB2312" w:eastAsia="仿宋_GB2312"/>
          <w:sz w:val="32"/>
          <w:szCs w:val="32"/>
        </w:rPr>
        <w:t>公务用车购置及运行维护费支出决算比202</w:t>
      </w:r>
      <w:r>
        <w:rPr>
          <w:rFonts w:hint="eastAsia" w:ascii="仿宋_GB2312" w:eastAsia="仿宋_GB2312"/>
          <w:sz w:val="32"/>
          <w:szCs w:val="32"/>
          <w:lang w:val="en-US" w:eastAsia="zh-CN"/>
        </w:rPr>
        <w:t>3</w:t>
      </w:r>
      <w:r>
        <w:rPr>
          <w:rFonts w:hint="eastAsia" w:ascii="仿宋_GB2312" w:eastAsia="仿宋_GB2312"/>
          <w:sz w:val="32"/>
          <w:szCs w:val="32"/>
        </w:rPr>
        <w:t>年度</w:t>
      </w:r>
      <w:r>
        <w:rPr>
          <w:rFonts w:hint="eastAsia" w:ascii="仿宋_GB2312" w:eastAsia="仿宋_GB2312"/>
          <w:sz w:val="32"/>
          <w:szCs w:val="32"/>
          <w:lang w:eastAsia="zh-CN"/>
        </w:rPr>
        <w:t>增加</w:t>
      </w:r>
      <w:r>
        <w:rPr>
          <w:rFonts w:hint="eastAsia" w:ascii="仿宋_GB2312" w:eastAsia="仿宋_GB2312"/>
          <w:sz w:val="32"/>
          <w:szCs w:val="32"/>
          <w:lang w:val="en-US" w:eastAsia="zh-CN"/>
        </w:rPr>
        <w:t>0.36</w:t>
      </w:r>
      <w:r>
        <w:rPr>
          <w:rFonts w:hint="eastAsia" w:ascii="仿宋_GB2312" w:eastAsia="仿宋_GB2312"/>
          <w:sz w:val="32"/>
          <w:szCs w:val="32"/>
        </w:rPr>
        <w:t>万元，</w:t>
      </w:r>
      <w:r>
        <w:rPr>
          <w:rFonts w:hint="eastAsia" w:ascii="仿宋_GB2312" w:hAnsi="仿宋_GB2312" w:eastAsia="仿宋_GB2312" w:cs="仿宋_GB2312"/>
          <w:color w:val="auto"/>
          <w:sz w:val="32"/>
          <w:szCs w:val="32"/>
          <w:highlight w:val="none"/>
          <w:shd w:val="clear" w:color="auto" w:fill="FFFFFF"/>
        </w:rPr>
        <w:t>主要原因是</w:t>
      </w:r>
      <w:r>
        <w:rPr>
          <w:rFonts w:hint="eastAsia" w:ascii="仿宋_GB2312" w:eastAsia="仿宋_GB2312"/>
          <w:color w:val="auto"/>
          <w:sz w:val="32"/>
          <w:szCs w:val="32"/>
          <w:highlight w:val="none"/>
        </w:rPr>
        <w:t>用于下村、出差等所需的公务用车燃料费、维修费、过路费、保险费等支出。</w:t>
      </w:r>
    </w:p>
    <w:p w14:paraId="14DCFD22">
      <w:pPr>
        <w:pageBreakBefore w:val="0"/>
        <w:kinsoku/>
        <w:wordWrap/>
        <w:overflowPunct/>
        <w:topLinePunct w:val="0"/>
        <w:bidi w:val="0"/>
        <w:spacing w:line="576" w:lineRule="exact"/>
        <w:ind w:firstLine="640" w:firstLineChars="200"/>
        <w:textAlignment w:val="auto"/>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w:t>
      </w:r>
    </w:p>
    <w:p w14:paraId="3E5AD447">
      <w:pPr>
        <w:pageBreakBefore w:val="0"/>
        <w:kinsoku/>
        <w:wordWrap/>
        <w:overflowPunct/>
        <w:topLinePunct w:val="0"/>
        <w:bidi w:val="0"/>
        <w:spacing w:line="576" w:lineRule="exact"/>
        <w:ind w:firstLine="643" w:firstLineChars="200"/>
        <w:textAlignment w:val="auto"/>
        <w:rPr>
          <w:rFonts w:hint="eastAsia"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lang w:val="en-US" w:eastAsia="zh-CN"/>
        </w:rPr>
        <w:t>4.81</w:t>
      </w:r>
      <w:r>
        <w:rPr>
          <w:rFonts w:hint="eastAsia" w:ascii="仿宋_GB2312" w:eastAsia="仿宋_GB2312"/>
          <w:sz w:val="32"/>
          <w:szCs w:val="32"/>
        </w:rPr>
        <w:t>万元。主要用于下村、出差等所需的公务用车燃料费、维修费、过路费、保险费等支出。</w:t>
      </w:r>
    </w:p>
    <w:p w14:paraId="15E31F2B">
      <w:pPr>
        <w:pageBreakBefore w:val="0"/>
        <w:numPr>
          <w:ilvl w:val="0"/>
          <w:numId w:val="0"/>
        </w:numPr>
        <w:kinsoku/>
        <w:wordWrap/>
        <w:overflowPunct/>
        <w:topLinePunct w:val="0"/>
        <w:bidi w:val="0"/>
        <w:spacing w:line="576" w:lineRule="exact"/>
        <w:ind w:firstLine="643" w:firstLineChars="200"/>
        <w:textAlignment w:val="auto"/>
        <w:outlineLvl w:val="1"/>
        <w:rPr>
          <w:rStyle w:val="21"/>
          <w:rFonts w:hint="eastAsia" w:ascii="仿宋" w:hAnsi="仿宋" w:eastAsia="仿宋"/>
          <w:b w:val="0"/>
          <w:bCs/>
          <w:sz w:val="32"/>
          <w:szCs w:val="32"/>
        </w:rPr>
      </w:pPr>
      <w:r>
        <w:rPr>
          <w:rFonts w:hint="eastAsia" w:ascii="仿宋_GB2312" w:eastAsia="仿宋_GB2312"/>
          <w:b/>
          <w:sz w:val="32"/>
          <w:szCs w:val="32"/>
          <w:lang w:val="en-US" w:eastAsia="zh-CN"/>
        </w:rPr>
        <w:t>3.</w:t>
      </w:r>
      <w:r>
        <w:rPr>
          <w:rFonts w:hint="eastAsia" w:ascii="仿宋_GB2312" w:eastAsia="仿宋_GB2312"/>
          <w:b/>
          <w:sz w:val="32"/>
          <w:szCs w:val="32"/>
        </w:rPr>
        <w:t>公务接待费支出</w:t>
      </w:r>
      <w:r>
        <w:rPr>
          <w:sz w:val="32"/>
          <w:szCs w:val="32"/>
        </w:rPr>
        <w:t>0</w:t>
      </w:r>
      <w:r>
        <w:rPr>
          <w:rFonts w:hint="eastAsia" w:ascii="仿宋_GB2312" w:eastAsia="仿宋_GB2312"/>
          <w:sz w:val="32"/>
          <w:szCs w:val="32"/>
        </w:rPr>
        <w:t>万元，</w:t>
      </w:r>
      <w:r>
        <w:rPr>
          <w:rStyle w:val="21"/>
          <w:rFonts w:hint="eastAsia" w:ascii="仿宋" w:hAnsi="仿宋" w:eastAsia="仿宋"/>
          <w:b w:val="0"/>
          <w:bCs/>
          <w:sz w:val="32"/>
          <w:szCs w:val="32"/>
        </w:rPr>
        <w:t>完成预算</w:t>
      </w:r>
      <w:r>
        <w:rPr>
          <w:rFonts w:hint="eastAsia" w:eastAsia="仿宋"/>
          <w:sz w:val="32"/>
          <w:szCs w:val="32"/>
          <w:lang w:val="en-US" w:eastAsia="zh-CN"/>
        </w:rPr>
        <w:t>100</w:t>
      </w:r>
      <w:r>
        <w:rPr>
          <w:sz w:val="32"/>
          <w:szCs w:val="32"/>
        </w:rPr>
        <w:t>%</w:t>
      </w:r>
      <w:r>
        <w:rPr>
          <w:rStyle w:val="21"/>
          <w:rFonts w:hint="eastAsia" w:ascii="仿宋" w:hAnsi="仿宋" w:eastAsia="仿宋"/>
          <w:b w:val="0"/>
          <w:bCs/>
          <w:sz w:val="32"/>
          <w:szCs w:val="32"/>
        </w:rPr>
        <w:t>。</w:t>
      </w:r>
      <w:bookmarkStart w:id="33" w:name="_Toc15396610"/>
      <w:bookmarkStart w:id="34" w:name="_Toc15377218"/>
    </w:p>
    <w:p w14:paraId="2E57AA2C">
      <w:pPr>
        <w:pageBreakBefore w:val="0"/>
        <w:numPr>
          <w:ilvl w:val="0"/>
          <w:numId w:val="0"/>
        </w:numPr>
        <w:kinsoku/>
        <w:wordWrap/>
        <w:overflowPunct/>
        <w:topLinePunct w:val="0"/>
        <w:bidi w:val="0"/>
        <w:spacing w:line="576" w:lineRule="exact"/>
        <w:ind w:firstLine="640" w:firstLineChars="200"/>
        <w:textAlignment w:val="auto"/>
        <w:outlineLvl w:val="1"/>
        <w:rPr>
          <w:rStyle w:val="33"/>
          <w:rFonts w:ascii="黑体" w:hAnsi="黑体" w:eastAsia="黑体"/>
        </w:rPr>
      </w:pPr>
      <w:r>
        <w:rPr>
          <w:rFonts w:hint="eastAsia" w:ascii="黑体" w:eastAsia="黑体"/>
          <w:sz w:val="32"/>
          <w:szCs w:val="32"/>
        </w:rPr>
        <w:t>八、</w:t>
      </w:r>
      <w:r>
        <w:rPr>
          <w:rStyle w:val="33"/>
          <w:rFonts w:hint="eastAsia" w:ascii="黑体" w:hAnsi="黑体" w:eastAsia="黑体"/>
          <w:b w:val="0"/>
        </w:rPr>
        <w:t>政府性基金预算支出决算情况说明</w:t>
      </w:r>
      <w:bookmarkEnd w:id="33"/>
      <w:bookmarkEnd w:id="34"/>
    </w:p>
    <w:p w14:paraId="07C748A3">
      <w:pPr>
        <w:pageBreakBefore w:val="0"/>
        <w:kinsoku/>
        <w:wordWrap/>
        <w:overflowPunct/>
        <w:topLinePunct w:val="0"/>
        <w:bidi w:val="0"/>
        <w:spacing w:line="576"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2024年度政府性基金预算财政拨款支出4.95万元。</w:t>
      </w:r>
    </w:p>
    <w:p w14:paraId="734FC2E8">
      <w:pPr>
        <w:pageBreakBefore w:val="0"/>
        <w:numPr>
          <w:ilvl w:val="0"/>
          <w:numId w:val="4"/>
        </w:numPr>
        <w:kinsoku/>
        <w:wordWrap/>
        <w:overflowPunct/>
        <w:topLinePunct w:val="0"/>
        <w:bidi w:val="0"/>
        <w:spacing w:line="576" w:lineRule="exact"/>
        <w:ind w:firstLine="640"/>
        <w:textAlignment w:val="auto"/>
        <w:outlineLvl w:val="1"/>
        <w:rPr>
          <w:rStyle w:val="33"/>
          <w:rFonts w:ascii="黑体" w:hAnsi="黑体" w:eastAsia="黑体"/>
          <w:b w:val="0"/>
        </w:rPr>
      </w:pPr>
      <w:bookmarkStart w:id="35" w:name="_Toc15396611"/>
      <w:bookmarkStart w:id="36" w:name="_Toc15377219"/>
      <w:r>
        <w:rPr>
          <w:rStyle w:val="33"/>
          <w:rFonts w:hint="eastAsia" w:ascii="黑体" w:hAnsi="黑体" w:eastAsia="黑体"/>
          <w:b w:val="0"/>
        </w:rPr>
        <w:t>国有资本经营预算支出决算情况说明</w:t>
      </w:r>
      <w:bookmarkEnd w:id="35"/>
      <w:bookmarkEnd w:id="36"/>
    </w:p>
    <w:p w14:paraId="502128F6">
      <w:pPr>
        <w:pageBreakBefore w:val="0"/>
        <w:kinsoku/>
        <w:wordWrap/>
        <w:overflowPunct/>
        <w:topLinePunct w:val="0"/>
        <w:bidi w:val="0"/>
        <w:spacing w:line="576"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2024年度国有资本经营预算财政拨款支出0万元。</w:t>
      </w:r>
    </w:p>
    <w:p w14:paraId="78AABEB2">
      <w:pPr>
        <w:pageBreakBefore w:val="0"/>
        <w:numPr>
          <w:ilvl w:val="0"/>
          <w:numId w:val="4"/>
        </w:numPr>
        <w:kinsoku/>
        <w:wordWrap/>
        <w:overflowPunct/>
        <w:topLinePunct w:val="0"/>
        <w:bidi w:val="0"/>
        <w:spacing w:line="576" w:lineRule="exact"/>
        <w:ind w:firstLine="640"/>
        <w:textAlignment w:val="auto"/>
        <w:outlineLvl w:val="1"/>
        <w:rPr>
          <w:rStyle w:val="33"/>
          <w:rFonts w:ascii="黑体" w:hAnsi="黑体" w:eastAsia="黑体"/>
          <w:b w:val="0"/>
        </w:rPr>
      </w:pPr>
      <w:bookmarkStart w:id="37" w:name="_Toc15396612"/>
      <w:bookmarkStart w:id="38" w:name="_Toc15377221"/>
      <w:r>
        <w:rPr>
          <w:rStyle w:val="33"/>
          <w:rFonts w:hint="eastAsia" w:ascii="黑体" w:hAnsi="黑体" w:eastAsia="黑体"/>
          <w:b w:val="0"/>
        </w:rPr>
        <w:t>其他重要事项的情况说明</w:t>
      </w:r>
      <w:bookmarkEnd w:id="37"/>
      <w:bookmarkEnd w:id="38"/>
    </w:p>
    <w:p w14:paraId="573A0C4F">
      <w:pPr>
        <w:pageBreakBefore w:val="0"/>
        <w:kinsoku/>
        <w:wordWrap/>
        <w:overflowPunct/>
        <w:topLinePunct w:val="0"/>
        <w:bidi w:val="0"/>
        <w:spacing w:line="576" w:lineRule="exact"/>
        <w:ind w:firstLine="643" w:firstLineChars="200"/>
        <w:textAlignment w:val="auto"/>
        <w:outlineLvl w:val="2"/>
        <w:rPr>
          <w:rFonts w:ascii="仿宋" w:hAnsi="仿宋" w:eastAsia="仿宋"/>
          <w:sz w:val="32"/>
          <w:szCs w:val="32"/>
        </w:rPr>
      </w:pPr>
      <w:bookmarkStart w:id="39" w:name="_Toc15377222"/>
      <w:r>
        <w:rPr>
          <w:rFonts w:hint="eastAsia" w:ascii="仿宋" w:hAnsi="仿宋" w:eastAsia="仿宋"/>
          <w:b/>
          <w:sz w:val="32"/>
          <w:szCs w:val="32"/>
        </w:rPr>
        <w:t>（一）机关运行经费支出情况</w:t>
      </w:r>
      <w:bookmarkEnd w:id="39"/>
    </w:p>
    <w:p w14:paraId="0FB24059">
      <w:pPr>
        <w:pageBreakBefore w:val="0"/>
        <w:kinsoku/>
        <w:wordWrap/>
        <w:overflowPunct/>
        <w:topLinePunct w:val="0"/>
        <w:bidi w:val="0"/>
        <w:spacing w:line="576"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2024年度，红原县邛溪镇人民政府机关运行经费支出1019.24万元。</w:t>
      </w:r>
    </w:p>
    <w:p w14:paraId="23435CA8">
      <w:pPr>
        <w:pageBreakBefore w:val="0"/>
        <w:kinsoku/>
        <w:wordWrap/>
        <w:overflowPunct/>
        <w:topLinePunct w:val="0"/>
        <w:bidi w:val="0"/>
        <w:spacing w:line="576" w:lineRule="exact"/>
        <w:ind w:firstLine="643" w:firstLineChars="200"/>
        <w:textAlignment w:val="auto"/>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14:paraId="74B11758">
      <w:pPr>
        <w:pageBreakBefore w:val="0"/>
        <w:kinsoku/>
        <w:wordWrap/>
        <w:overflowPunct/>
        <w:topLinePunct w:val="0"/>
        <w:autoSpaceDE w:val="0"/>
        <w:autoSpaceDN w:val="0"/>
        <w:bidi w:val="0"/>
        <w:adjustRightInd w:val="0"/>
        <w:spacing w:line="576" w:lineRule="exact"/>
        <w:ind w:firstLine="643" w:firstLineChars="200"/>
        <w:jc w:val="left"/>
        <w:textAlignment w:val="auto"/>
        <w:outlineLvl w:val="2"/>
        <w:rPr>
          <w:rFonts w:ascii="仿宋" w:hAnsi="仿宋" w:eastAsia="仿宋"/>
          <w:b/>
          <w:sz w:val="32"/>
          <w:szCs w:val="32"/>
        </w:rPr>
      </w:pPr>
      <w:bookmarkStart w:id="40" w:name="_Toc15377223"/>
      <w:r>
        <w:rPr>
          <w:rFonts w:hint="eastAsia" w:ascii="仿宋" w:hAnsi="仿宋" w:eastAsia="仿宋"/>
          <w:b/>
          <w:sz w:val="32"/>
          <w:szCs w:val="32"/>
        </w:rPr>
        <w:t>（二）政府采购支出情况</w:t>
      </w:r>
      <w:bookmarkEnd w:id="40"/>
    </w:p>
    <w:p w14:paraId="35EB9370">
      <w:pPr>
        <w:pageBreakBefore w:val="0"/>
        <w:kinsoku/>
        <w:wordWrap/>
        <w:overflowPunct/>
        <w:topLinePunct w:val="0"/>
        <w:bidi w:val="0"/>
        <w:spacing w:line="576"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2024年度，红原县邛溪镇人民政府政府采购支出总额0万元。</w:t>
      </w:r>
    </w:p>
    <w:p w14:paraId="2BA6A179">
      <w:pPr>
        <w:pageBreakBefore w:val="0"/>
        <w:kinsoku/>
        <w:wordWrap/>
        <w:overflowPunct/>
        <w:topLinePunct w:val="0"/>
        <w:bidi w:val="0"/>
        <w:spacing w:line="576" w:lineRule="exact"/>
        <w:ind w:firstLine="643" w:firstLineChars="200"/>
        <w:textAlignment w:val="auto"/>
        <w:rPr>
          <w:rFonts w:ascii="仿宋" w:hAnsi="仿宋" w:eastAsia="仿宋"/>
          <w:b/>
          <w:sz w:val="32"/>
          <w:szCs w:val="32"/>
        </w:rPr>
      </w:pPr>
      <w:bookmarkStart w:id="41" w:name="_Toc15377224"/>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14:paraId="05265D9D">
      <w:pPr>
        <w:pageBreakBefore w:val="0"/>
        <w:kinsoku/>
        <w:wordWrap/>
        <w:overflowPunct/>
        <w:topLinePunct w:val="0"/>
        <w:autoSpaceDE w:val="0"/>
        <w:autoSpaceDN w:val="0"/>
        <w:bidi w:val="0"/>
        <w:adjustRightInd w:val="0"/>
        <w:spacing w:line="576" w:lineRule="exact"/>
        <w:ind w:firstLine="643" w:firstLineChars="200"/>
        <w:jc w:val="left"/>
        <w:textAlignment w:val="auto"/>
        <w:outlineLvl w:val="2"/>
        <w:rPr>
          <w:rFonts w:ascii="仿宋" w:hAnsi="仿宋" w:eastAsia="仿宋"/>
          <w:b/>
          <w:sz w:val="32"/>
          <w:szCs w:val="32"/>
        </w:rPr>
      </w:pPr>
      <w:r>
        <w:rPr>
          <w:rFonts w:hint="eastAsia" w:ascii="仿宋" w:hAnsi="仿宋" w:eastAsia="仿宋"/>
          <w:b/>
          <w:sz w:val="32"/>
          <w:szCs w:val="32"/>
        </w:rPr>
        <w:t>（三）国有资产占有使用情况</w:t>
      </w:r>
      <w:bookmarkEnd w:id="41"/>
    </w:p>
    <w:p w14:paraId="0EF3740E">
      <w:pPr>
        <w:pageBreakBefore w:val="0"/>
        <w:kinsoku/>
        <w:wordWrap/>
        <w:overflowPunct/>
        <w:topLinePunct w:val="0"/>
        <w:bidi w:val="0"/>
        <w:spacing w:line="576"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截至2024年12月31日，红原县邛溪镇人民政府共有车辆2辆，其中：主要领导干部用车0辆、一般公务用车2辆，主要是用于日常出差、下村开展工作等方面使用。</w:t>
      </w:r>
    </w:p>
    <w:p w14:paraId="449C9F56">
      <w:pPr>
        <w:pageBreakBefore w:val="0"/>
        <w:kinsoku/>
        <w:wordWrap/>
        <w:overflowPunct/>
        <w:topLinePunct w:val="0"/>
        <w:autoSpaceDE w:val="0"/>
        <w:autoSpaceDN w:val="0"/>
        <w:bidi w:val="0"/>
        <w:adjustRightInd w:val="0"/>
        <w:spacing w:line="576" w:lineRule="exact"/>
        <w:ind w:firstLine="643" w:firstLineChars="200"/>
        <w:jc w:val="left"/>
        <w:textAlignment w:val="auto"/>
        <w:rPr>
          <w:rFonts w:hint="eastAsia"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表，按部门决算报表填报数据罗列车辆情况。）</w:t>
      </w:r>
    </w:p>
    <w:p w14:paraId="2EC27B73">
      <w:pPr>
        <w:pageBreakBefore w:val="0"/>
        <w:kinsoku/>
        <w:wordWrap/>
        <w:overflowPunct/>
        <w:topLinePunct w:val="0"/>
        <w:autoSpaceDE w:val="0"/>
        <w:autoSpaceDN w:val="0"/>
        <w:bidi w:val="0"/>
        <w:adjustRightInd w:val="0"/>
        <w:spacing w:line="576" w:lineRule="exact"/>
        <w:ind w:firstLine="643" w:firstLineChars="200"/>
        <w:jc w:val="left"/>
        <w:textAlignment w:val="auto"/>
        <w:rPr>
          <w:rFonts w:hint="eastAsia" w:ascii="仿宋" w:hAnsi="仿宋" w:eastAsia="仿宋"/>
          <w:b/>
          <w:sz w:val="32"/>
          <w:szCs w:val="32"/>
        </w:rPr>
      </w:pPr>
    </w:p>
    <w:p w14:paraId="6687071F">
      <w:pPr>
        <w:pageBreakBefore w:val="0"/>
        <w:kinsoku/>
        <w:wordWrap/>
        <w:overflowPunct/>
        <w:topLinePunct w:val="0"/>
        <w:autoSpaceDE w:val="0"/>
        <w:autoSpaceDN w:val="0"/>
        <w:bidi w:val="0"/>
        <w:adjustRightInd w:val="0"/>
        <w:spacing w:line="576" w:lineRule="exact"/>
        <w:ind w:firstLine="643" w:firstLineChars="200"/>
        <w:jc w:val="left"/>
        <w:textAlignment w:val="auto"/>
        <w:rPr>
          <w:rFonts w:hint="eastAsia" w:ascii="仿宋" w:hAnsi="仿宋" w:eastAsia="仿宋"/>
          <w:b/>
          <w:sz w:val="32"/>
          <w:szCs w:val="32"/>
        </w:rPr>
      </w:pPr>
    </w:p>
    <w:p w14:paraId="0123BC97">
      <w:pPr>
        <w:pageBreakBefore w:val="0"/>
        <w:kinsoku/>
        <w:wordWrap/>
        <w:overflowPunct/>
        <w:topLinePunct w:val="0"/>
        <w:autoSpaceDE w:val="0"/>
        <w:autoSpaceDN w:val="0"/>
        <w:bidi w:val="0"/>
        <w:adjustRightInd w:val="0"/>
        <w:spacing w:line="576" w:lineRule="exact"/>
        <w:jc w:val="left"/>
        <w:textAlignment w:val="auto"/>
        <w:rPr>
          <w:rFonts w:hint="eastAsia" w:ascii="仿宋" w:hAnsi="仿宋" w:eastAsia="仿宋"/>
          <w:b/>
          <w:sz w:val="32"/>
          <w:szCs w:val="32"/>
        </w:rPr>
      </w:pPr>
    </w:p>
    <w:p w14:paraId="3CE2A8DC">
      <w:pPr>
        <w:pageBreakBefore w:val="0"/>
        <w:kinsoku/>
        <w:wordWrap/>
        <w:overflowPunct/>
        <w:topLinePunct w:val="0"/>
        <w:autoSpaceDE w:val="0"/>
        <w:autoSpaceDN w:val="0"/>
        <w:bidi w:val="0"/>
        <w:adjustRightInd w:val="0"/>
        <w:spacing w:line="576" w:lineRule="exact"/>
        <w:ind w:firstLine="643" w:firstLineChars="200"/>
        <w:jc w:val="left"/>
        <w:textAlignment w:val="auto"/>
        <w:rPr>
          <w:rFonts w:hint="eastAsia" w:ascii="仿宋" w:hAnsi="仿宋" w:eastAsia="仿宋"/>
          <w:b/>
          <w:sz w:val="32"/>
          <w:szCs w:val="32"/>
        </w:rPr>
      </w:pPr>
    </w:p>
    <w:p w14:paraId="34DB9355">
      <w:pPr>
        <w:pageBreakBefore w:val="0"/>
        <w:kinsoku/>
        <w:wordWrap/>
        <w:overflowPunct/>
        <w:topLinePunct w:val="0"/>
        <w:autoSpaceDE w:val="0"/>
        <w:autoSpaceDN w:val="0"/>
        <w:bidi w:val="0"/>
        <w:adjustRightInd w:val="0"/>
        <w:spacing w:line="576" w:lineRule="exact"/>
        <w:ind w:firstLine="643" w:firstLineChars="200"/>
        <w:jc w:val="left"/>
        <w:textAlignment w:val="auto"/>
        <w:rPr>
          <w:rFonts w:hint="eastAsia" w:ascii="仿宋" w:hAnsi="仿宋" w:eastAsia="仿宋"/>
          <w:b/>
          <w:sz w:val="32"/>
          <w:szCs w:val="32"/>
        </w:rPr>
      </w:pPr>
    </w:p>
    <w:p w14:paraId="224624D5">
      <w:pPr>
        <w:pageBreakBefore w:val="0"/>
        <w:kinsoku/>
        <w:wordWrap/>
        <w:overflowPunct/>
        <w:topLinePunct w:val="0"/>
        <w:autoSpaceDE w:val="0"/>
        <w:autoSpaceDN w:val="0"/>
        <w:bidi w:val="0"/>
        <w:adjustRightInd w:val="0"/>
        <w:spacing w:line="576" w:lineRule="exact"/>
        <w:ind w:firstLine="643" w:firstLineChars="200"/>
        <w:jc w:val="left"/>
        <w:textAlignment w:val="auto"/>
        <w:rPr>
          <w:rFonts w:hint="eastAsia" w:ascii="仿宋" w:hAnsi="仿宋" w:eastAsia="仿宋"/>
          <w:b/>
          <w:sz w:val="32"/>
          <w:szCs w:val="32"/>
        </w:rPr>
      </w:pPr>
    </w:p>
    <w:p w14:paraId="29DAE3CD">
      <w:pPr>
        <w:pageBreakBefore w:val="0"/>
        <w:kinsoku/>
        <w:wordWrap/>
        <w:overflowPunct/>
        <w:topLinePunct w:val="0"/>
        <w:autoSpaceDE w:val="0"/>
        <w:autoSpaceDN w:val="0"/>
        <w:bidi w:val="0"/>
        <w:adjustRightInd w:val="0"/>
        <w:spacing w:line="576" w:lineRule="exact"/>
        <w:ind w:firstLine="643" w:firstLineChars="200"/>
        <w:jc w:val="left"/>
        <w:textAlignment w:val="auto"/>
        <w:rPr>
          <w:rFonts w:hint="eastAsia" w:ascii="仿宋" w:hAnsi="仿宋" w:eastAsia="仿宋"/>
          <w:b/>
          <w:sz w:val="32"/>
          <w:szCs w:val="32"/>
        </w:rPr>
      </w:pPr>
    </w:p>
    <w:p w14:paraId="1AE69C5B">
      <w:pPr>
        <w:pageBreakBefore w:val="0"/>
        <w:kinsoku/>
        <w:wordWrap/>
        <w:overflowPunct/>
        <w:topLinePunct w:val="0"/>
        <w:autoSpaceDE w:val="0"/>
        <w:autoSpaceDN w:val="0"/>
        <w:bidi w:val="0"/>
        <w:adjustRightInd w:val="0"/>
        <w:spacing w:line="576" w:lineRule="exact"/>
        <w:ind w:firstLine="643" w:firstLineChars="200"/>
        <w:jc w:val="left"/>
        <w:textAlignment w:val="auto"/>
        <w:rPr>
          <w:rFonts w:hint="eastAsia" w:ascii="仿宋" w:hAnsi="仿宋" w:eastAsia="仿宋"/>
          <w:b/>
          <w:sz w:val="32"/>
          <w:szCs w:val="32"/>
        </w:rPr>
      </w:pPr>
    </w:p>
    <w:p w14:paraId="23B4EEA1">
      <w:pPr>
        <w:pageBreakBefore w:val="0"/>
        <w:kinsoku/>
        <w:wordWrap/>
        <w:overflowPunct/>
        <w:topLinePunct w:val="0"/>
        <w:autoSpaceDE w:val="0"/>
        <w:autoSpaceDN w:val="0"/>
        <w:bidi w:val="0"/>
        <w:adjustRightInd w:val="0"/>
        <w:spacing w:line="576" w:lineRule="exact"/>
        <w:ind w:firstLine="643" w:firstLineChars="200"/>
        <w:jc w:val="left"/>
        <w:textAlignment w:val="auto"/>
        <w:rPr>
          <w:rFonts w:hint="eastAsia" w:ascii="仿宋" w:hAnsi="仿宋" w:eastAsia="仿宋"/>
          <w:b/>
          <w:sz w:val="32"/>
          <w:szCs w:val="32"/>
        </w:rPr>
      </w:pPr>
    </w:p>
    <w:p w14:paraId="1035F8FA">
      <w:pPr>
        <w:pageBreakBefore w:val="0"/>
        <w:kinsoku/>
        <w:wordWrap/>
        <w:overflowPunct/>
        <w:topLinePunct w:val="0"/>
        <w:autoSpaceDE w:val="0"/>
        <w:autoSpaceDN w:val="0"/>
        <w:bidi w:val="0"/>
        <w:adjustRightInd w:val="0"/>
        <w:spacing w:line="576" w:lineRule="exact"/>
        <w:ind w:firstLine="643" w:firstLineChars="200"/>
        <w:jc w:val="left"/>
        <w:textAlignment w:val="auto"/>
        <w:rPr>
          <w:rFonts w:hint="eastAsia" w:ascii="仿宋" w:hAnsi="仿宋" w:eastAsia="仿宋"/>
          <w:b/>
          <w:sz w:val="32"/>
          <w:szCs w:val="32"/>
        </w:rPr>
      </w:pPr>
    </w:p>
    <w:p w14:paraId="6E754CB3">
      <w:pPr>
        <w:pageBreakBefore w:val="0"/>
        <w:kinsoku/>
        <w:wordWrap/>
        <w:overflowPunct/>
        <w:topLinePunct w:val="0"/>
        <w:autoSpaceDE w:val="0"/>
        <w:autoSpaceDN w:val="0"/>
        <w:bidi w:val="0"/>
        <w:adjustRightInd w:val="0"/>
        <w:spacing w:line="576" w:lineRule="exact"/>
        <w:ind w:firstLine="643" w:firstLineChars="200"/>
        <w:jc w:val="left"/>
        <w:textAlignment w:val="auto"/>
        <w:rPr>
          <w:rFonts w:hint="eastAsia" w:ascii="仿宋" w:hAnsi="仿宋" w:eastAsia="仿宋"/>
          <w:b/>
          <w:sz w:val="32"/>
          <w:szCs w:val="32"/>
        </w:rPr>
      </w:pPr>
    </w:p>
    <w:p w14:paraId="4DB58423">
      <w:pPr>
        <w:pageBreakBefore w:val="0"/>
        <w:kinsoku/>
        <w:wordWrap/>
        <w:overflowPunct/>
        <w:topLinePunct w:val="0"/>
        <w:autoSpaceDE w:val="0"/>
        <w:autoSpaceDN w:val="0"/>
        <w:bidi w:val="0"/>
        <w:adjustRightInd w:val="0"/>
        <w:spacing w:line="576" w:lineRule="exact"/>
        <w:ind w:firstLine="643" w:firstLineChars="200"/>
        <w:jc w:val="left"/>
        <w:textAlignment w:val="auto"/>
        <w:rPr>
          <w:rFonts w:hint="eastAsia" w:ascii="仿宋" w:hAnsi="仿宋" w:eastAsia="仿宋"/>
          <w:b/>
          <w:sz w:val="32"/>
          <w:szCs w:val="32"/>
        </w:rPr>
      </w:pPr>
    </w:p>
    <w:p w14:paraId="28BE2BEF">
      <w:pPr>
        <w:pageBreakBefore w:val="0"/>
        <w:kinsoku/>
        <w:wordWrap/>
        <w:overflowPunct/>
        <w:topLinePunct w:val="0"/>
        <w:autoSpaceDE w:val="0"/>
        <w:autoSpaceDN w:val="0"/>
        <w:bidi w:val="0"/>
        <w:adjustRightInd w:val="0"/>
        <w:spacing w:line="576" w:lineRule="exact"/>
        <w:ind w:firstLine="643" w:firstLineChars="200"/>
        <w:jc w:val="left"/>
        <w:textAlignment w:val="auto"/>
        <w:rPr>
          <w:rFonts w:hint="eastAsia" w:ascii="仿宋" w:hAnsi="仿宋" w:eastAsia="仿宋"/>
          <w:b/>
          <w:sz w:val="32"/>
          <w:szCs w:val="32"/>
        </w:rPr>
      </w:pPr>
    </w:p>
    <w:p w14:paraId="26500B0F">
      <w:pPr>
        <w:pageBreakBefore w:val="0"/>
        <w:kinsoku/>
        <w:wordWrap/>
        <w:overflowPunct/>
        <w:topLinePunct w:val="0"/>
        <w:autoSpaceDE w:val="0"/>
        <w:autoSpaceDN w:val="0"/>
        <w:bidi w:val="0"/>
        <w:adjustRightInd w:val="0"/>
        <w:spacing w:line="576" w:lineRule="exact"/>
        <w:ind w:firstLine="643" w:firstLineChars="200"/>
        <w:jc w:val="left"/>
        <w:textAlignment w:val="auto"/>
        <w:rPr>
          <w:rFonts w:hint="eastAsia" w:ascii="仿宋" w:hAnsi="仿宋" w:eastAsia="仿宋"/>
          <w:b/>
          <w:sz w:val="32"/>
          <w:szCs w:val="32"/>
        </w:rPr>
      </w:pPr>
    </w:p>
    <w:p w14:paraId="3A9E1B93">
      <w:pPr>
        <w:pageBreakBefore w:val="0"/>
        <w:kinsoku/>
        <w:wordWrap/>
        <w:overflowPunct/>
        <w:topLinePunct w:val="0"/>
        <w:autoSpaceDE w:val="0"/>
        <w:autoSpaceDN w:val="0"/>
        <w:bidi w:val="0"/>
        <w:adjustRightInd w:val="0"/>
        <w:spacing w:line="576" w:lineRule="exact"/>
        <w:ind w:firstLine="643" w:firstLineChars="200"/>
        <w:jc w:val="left"/>
        <w:textAlignment w:val="auto"/>
        <w:rPr>
          <w:rFonts w:hint="eastAsia" w:ascii="仿宋" w:hAnsi="仿宋" w:eastAsia="仿宋"/>
          <w:b/>
          <w:sz w:val="32"/>
          <w:szCs w:val="32"/>
        </w:rPr>
      </w:pPr>
    </w:p>
    <w:p w14:paraId="2F4B196A">
      <w:pPr>
        <w:pageBreakBefore w:val="0"/>
        <w:kinsoku/>
        <w:wordWrap/>
        <w:overflowPunct/>
        <w:topLinePunct w:val="0"/>
        <w:autoSpaceDE w:val="0"/>
        <w:autoSpaceDN w:val="0"/>
        <w:bidi w:val="0"/>
        <w:adjustRightInd w:val="0"/>
        <w:spacing w:line="576" w:lineRule="exact"/>
        <w:ind w:firstLine="643" w:firstLineChars="200"/>
        <w:jc w:val="left"/>
        <w:textAlignment w:val="auto"/>
        <w:rPr>
          <w:rFonts w:hint="eastAsia" w:ascii="仿宋" w:hAnsi="仿宋" w:eastAsia="仿宋"/>
          <w:b/>
          <w:sz w:val="32"/>
          <w:szCs w:val="32"/>
        </w:rPr>
      </w:pPr>
    </w:p>
    <w:p w14:paraId="1DEABF8C">
      <w:pPr>
        <w:pageBreakBefore w:val="0"/>
        <w:kinsoku/>
        <w:wordWrap/>
        <w:overflowPunct/>
        <w:topLinePunct w:val="0"/>
        <w:autoSpaceDE w:val="0"/>
        <w:autoSpaceDN w:val="0"/>
        <w:bidi w:val="0"/>
        <w:adjustRightInd w:val="0"/>
        <w:spacing w:line="576" w:lineRule="exact"/>
        <w:ind w:firstLine="643" w:firstLineChars="200"/>
        <w:jc w:val="left"/>
        <w:textAlignment w:val="auto"/>
        <w:rPr>
          <w:rFonts w:hint="eastAsia" w:ascii="仿宋" w:hAnsi="仿宋" w:eastAsia="仿宋"/>
          <w:b/>
          <w:sz w:val="32"/>
          <w:szCs w:val="32"/>
        </w:rPr>
      </w:pPr>
    </w:p>
    <w:p w14:paraId="3631529E">
      <w:pPr>
        <w:pageBreakBefore w:val="0"/>
        <w:numPr>
          <w:ilvl w:val="0"/>
          <w:numId w:val="5"/>
        </w:numPr>
        <w:kinsoku/>
        <w:wordWrap/>
        <w:overflowPunct/>
        <w:topLinePunct w:val="0"/>
        <w:bidi w:val="0"/>
        <w:spacing w:line="576" w:lineRule="exact"/>
        <w:ind w:firstLine="660" w:firstLineChars="150"/>
        <w:jc w:val="center"/>
        <w:textAlignment w:val="auto"/>
        <w:outlineLvl w:val="0"/>
        <w:rPr>
          <w:rFonts w:ascii="宋体"/>
          <w:b/>
          <w:color w:val="auto"/>
          <w:sz w:val="44"/>
          <w:szCs w:val="44"/>
          <w:highlight w:val="none"/>
        </w:rPr>
      </w:pPr>
      <w:bookmarkStart w:id="42" w:name="_Toc15396613"/>
      <w:bookmarkStart w:id="43" w:name="_Toc15377225"/>
      <w:bookmarkStart w:id="44" w:name="_Toc57146381"/>
      <w:r>
        <w:rPr>
          <w:rFonts w:hint="eastAsia" w:ascii="黑体" w:hAnsi="黑体" w:eastAsia="黑体"/>
          <w:color w:val="auto"/>
          <w:sz w:val="44"/>
          <w:szCs w:val="44"/>
          <w:highlight w:val="none"/>
        </w:rPr>
        <w:t>名</w:t>
      </w:r>
      <w:r>
        <w:rPr>
          <w:rStyle w:val="32"/>
          <w:rFonts w:hint="eastAsia" w:ascii="黑体" w:hAnsi="黑体" w:eastAsia="黑体"/>
          <w:b w:val="0"/>
          <w:color w:val="auto"/>
          <w:highlight w:val="none"/>
        </w:rPr>
        <w:t>词解释</w:t>
      </w:r>
      <w:bookmarkEnd w:id="42"/>
      <w:bookmarkEnd w:id="43"/>
      <w:bookmarkEnd w:id="44"/>
    </w:p>
    <w:p w14:paraId="347418A9">
      <w:pPr>
        <w:pageBreakBefore w:val="0"/>
        <w:numPr>
          <w:ilvl w:val="0"/>
          <w:numId w:val="0"/>
        </w:numPr>
        <w:kinsoku/>
        <w:wordWrap/>
        <w:overflowPunct/>
        <w:topLinePunct w:val="0"/>
        <w:bidi w:val="0"/>
        <w:spacing w:line="576" w:lineRule="exact"/>
        <w:jc w:val="both"/>
        <w:textAlignment w:val="auto"/>
        <w:outlineLvl w:val="0"/>
        <w:rPr>
          <w:rFonts w:ascii="宋体"/>
          <w:b/>
          <w:color w:val="auto"/>
          <w:sz w:val="44"/>
          <w:szCs w:val="44"/>
          <w:highlight w:val="none"/>
        </w:rPr>
      </w:pPr>
    </w:p>
    <w:p w14:paraId="41381D05">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1.财政拨款收入：指单位从同级财政部门取得的财政预算资金。</w:t>
      </w:r>
    </w:p>
    <w:p w14:paraId="5CF3C884">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2.其他收入：指单位取得财政拨款收入以外的各项收入。主要是眉山援建项目收入等。</w:t>
      </w:r>
    </w:p>
    <w:p w14:paraId="37CB1A6A">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3.年初结转和结余：指以前年度尚未完成、结转到本年按有关规定继续使用的资金。</w:t>
      </w:r>
    </w:p>
    <w:p w14:paraId="4DA9E24B">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4、年末结转和结余：指单位按有关规定结转到下年或以后年度继续使用的资金。</w:t>
      </w:r>
    </w:p>
    <w:p w14:paraId="270E0BE0">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5. 一般公共服务（类）201（款）01（项）01——行政运行：反映行政单位（包括实行公务员管理的事业单位）的基本支出反映行政单位（包括实行公务员管理的事业单位）的基本支出。</w:t>
      </w:r>
    </w:p>
    <w:p w14:paraId="1D04881E">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6. 一般公共服务（类）201（款）01（项）04——人大会议费：反映各级人大召开"人代会"等专门会议的支出</w:t>
      </w:r>
    </w:p>
    <w:p w14:paraId="4227B8A4">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7. 一般公共服务（类）201（款03（项）01——行政运行：反映各级政府办公厅（室）及相关机构的支出</w:t>
      </w:r>
    </w:p>
    <w:p w14:paraId="0E8A88F1">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8. 一般公共服务（类）201（款）03（项）99——其他政府办公厅（室）及相关机构事务支出：反映除上述项目以外的其他政府办公厅（室）及相关机构事务支出。</w:t>
      </w:r>
    </w:p>
    <w:p w14:paraId="03C78A69">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9. 一般公共服务（类）201（款）06（项）01—行政运行: 反映财政事务方面的支出。</w:t>
      </w:r>
    </w:p>
    <w:p w14:paraId="23848E31">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 xml:space="preserve">10. 一般公共服务（类）201（款）31（项）01—其它政府办公厅及相关事务支出:反映行政单位（包括实行公务员管理的事业单位）的基本支出 </w:t>
      </w:r>
    </w:p>
    <w:p w14:paraId="38BF84FE">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11.社会保障和就业支出（类）208（款）05（项）05——机关事业单位基本养老保险缴费支出：反映机关事业单位实施养老保险制度的单位缴纳的基本养老保险费支出。</w:t>
      </w:r>
    </w:p>
    <w:p w14:paraId="6D4641EC">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12. 社会保障和就业支出（类）208（款）05（项）06——机关事业单位职业年金缴费支出：反映机关事业单位实施养老保险制度匝单位缴纳的职业年金支出。</w:t>
      </w:r>
    </w:p>
    <w:p w14:paraId="2429077D">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13.医疗卫生与计划生育支出(类）210（款）11（项）01——行政单位医疗：反映财政部门集中安排的公务员医疗补助经费。</w:t>
      </w:r>
    </w:p>
    <w:p w14:paraId="7B99B71D">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14.医疗卫生与计划生育支出(类）210（款）11（项）02——事业单位医疗：反映除为行政单位（包括实行公务员管理的事业单位）提供后勤服务的各类后勤服务中心、医务室等附属事业单位外的其他事业单位基本支出</w:t>
      </w:r>
    </w:p>
    <w:p w14:paraId="5BDB3345">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15.农林水支出（类）213（款）01（项）42—农村道路建设：反映用于农村公路、乡村道路建设方面的支出。</w:t>
      </w:r>
    </w:p>
    <w:p w14:paraId="35CFD29E">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16.农林水支出（类）213（款）01（项）52—对高校毕业生到基层任职补助：反映按规定对高校毕业生到基层任职的补助支出</w:t>
      </w:r>
    </w:p>
    <w:p w14:paraId="515EF962">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17.农林水支出（类）213（款）02（项）04—林业事业机构：反映用于林业事业单位的基本支出</w:t>
      </w:r>
    </w:p>
    <w:p w14:paraId="3F30C4EA">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18.农林水支出（类）213（款）03（项）14—防汛：反映防汛业务支出。有关事项包括防汛物资购置管护，防汛通信设施设备、网络系统、车船设备运行维护，防汛值班、水情报汛、防汛指挥系统运行维护、水毁修复以及防汛组织（如防汛预案编制、检查、演习、宣传、培训、会议等），汛期调用民工及劳动保护，水利设施灾后重建，退田还湖，蓄滞洪区补偿、水情、雨情、决策支持，防汛视频会商，山洪灾害防治等。。</w:t>
      </w:r>
    </w:p>
    <w:p w14:paraId="34043CDB">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19.农林水支出（类）213（款）07（项）05—对村民委员会和党支部补助：反映各级财政对村民委员会和村党支部的补助支出，以及支持建立县级基本财力保障机制安排的村级组织运转奖补资金</w:t>
      </w:r>
    </w:p>
    <w:p w14:paraId="28C8A00D">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20.住房保障支出(类）221（款）02（项）01—住房公积金：反映行政事业单位按人力资源和社会保障部、财政部规定的基本工资和津贴补贴以及规定比例为职工缴纳的住房公积金。</w:t>
      </w:r>
    </w:p>
    <w:p w14:paraId="4A44495D">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21.其他支出(类）229（款）99（项）01—其他支出：反映除上述项目以外其他不能划分到具体功能科目中的支出项目</w:t>
      </w:r>
    </w:p>
    <w:p w14:paraId="24DA3F38">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22.年末结转和结余：指本年度或以前年度预算安排、因客观条件发生变化无法按原计划实施，需延迟到以后年度按有关规定继续使用的资金。</w:t>
      </w:r>
    </w:p>
    <w:p w14:paraId="7777B29A">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23.基本支出：指为保障机构正常运转、完成日常工作任务而发生的人员支出和公用支出。</w:t>
      </w:r>
    </w:p>
    <w:p w14:paraId="7A0D2CAA">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24.项目支出：指在基本支出之外为完成特定行政任务和事业发展目标所发生的支出。</w:t>
      </w:r>
    </w:p>
    <w:p w14:paraId="7CA24884">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25.“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6AF7D926">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14:paraId="4C48E53A">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27.基本支出：指为保障机构正常运转、完成日常工作任务而发生的人员支出和公用支出。</w:t>
      </w:r>
    </w:p>
    <w:p w14:paraId="2990213D">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 xml:space="preserve">28.项目支出：指在基本支出之外为完成特定行政任务和事业发展目标所发生的支出。 </w:t>
      </w:r>
    </w:p>
    <w:p w14:paraId="50FF84DA">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29.经营支出：指事业单位在专业业务活动及其辅助活动之外开展非独立核算经营活动发生的支出。</w:t>
      </w:r>
    </w:p>
    <w:p w14:paraId="697F32F6">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E7019E3">
      <w:pPr>
        <w:pageBreakBefore w:val="0"/>
        <w:kinsoku/>
        <w:wordWrap/>
        <w:overflowPunct/>
        <w:topLinePunct w:val="0"/>
        <w:autoSpaceDE w:val="0"/>
        <w:autoSpaceDN w:val="0"/>
        <w:bidi w:val="0"/>
        <w:adjustRightInd w:val="0"/>
        <w:spacing w:line="576" w:lineRule="exact"/>
        <w:ind w:firstLine="640" w:firstLineChars="200"/>
        <w:jc w:val="left"/>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43A38D0">
      <w:pPr>
        <w:pStyle w:val="14"/>
        <w:pageBreakBefore w:val="0"/>
        <w:kinsoku/>
        <w:wordWrap/>
        <w:overflowPunct/>
        <w:topLinePunct w:val="0"/>
        <w:bidi w:val="0"/>
        <w:spacing w:line="576" w:lineRule="exact"/>
        <w:textAlignment w:val="auto"/>
        <w:rPr>
          <w:rFonts w:ascii="仿宋" w:hAnsi="仿宋" w:eastAsia="仿宋"/>
          <w:b/>
          <w:sz w:val="32"/>
          <w:szCs w:val="32"/>
        </w:rPr>
      </w:pPr>
    </w:p>
    <w:p w14:paraId="10ECBFC3">
      <w:pPr>
        <w:pageBreakBefore w:val="0"/>
        <w:kinsoku/>
        <w:wordWrap/>
        <w:overflowPunct/>
        <w:topLinePunct w:val="0"/>
        <w:bidi w:val="0"/>
        <w:spacing w:line="576" w:lineRule="exact"/>
        <w:textAlignment w:val="auto"/>
        <w:rPr>
          <w:rFonts w:ascii="仿宋" w:hAnsi="仿宋" w:eastAsia="仿宋"/>
          <w:b/>
          <w:sz w:val="32"/>
          <w:szCs w:val="32"/>
        </w:rPr>
      </w:pPr>
    </w:p>
    <w:p w14:paraId="22CB4F28">
      <w:pPr>
        <w:pStyle w:val="2"/>
        <w:pageBreakBefore w:val="0"/>
        <w:kinsoku/>
        <w:wordWrap/>
        <w:overflowPunct/>
        <w:topLinePunct w:val="0"/>
        <w:bidi w:val="0"/>
        <w:spacing w:line="576" w:lineRule="exact"/>
        <w:ind w:firstLine="2640" w:firstLineChars="600"/>
        <w:jc w:val="both"/>
        <w:textAlignment w:val="auto"/>
        <w:rPr>
          <w:rFonts w:hint="eastAsia" w:ascii="黑体" w:hAnsi="黑体" w:eastAsia="黑体"/>
          <w:b w:val="0"/>
        </w:rPr>
      </w:pPr>
    </w:p>
    <w:p w14:paraId="3457D3C8">
      <w:pPr>
        <w:rPr>
          <w:rFonts w:hint="eastAsia" w:ascii="黑体" w:hAnsi="黑体" w:eastAsia="黑体"/>
          <w:b w:val="0"/>
        </w:rPr>
      </w:pPr>
    </w:p>
    <w:p w14:paraId="62B206CD">
      <w:pPr>
        <w:rPr>
          <w:rFonts w:hint="eastAsia" w:ascii="黑体" w:hAnsi="黑体" w:eastAsia="黑体"/>
          <w:b w:val="0"/>
        </w:rPr>
      </w:pPr>
    </w:p>
    <w:p w14:paraId="5C8496C7">
      <w:pPr>
        <w:rPr>
          <w:rFonts w:hint="eastAsia" w:ascii="黑体" w:hAnsi="黑体" w:eastAsia="黑体"/>
          <w:b w:val="0"/>
        </w:rPr>
      </w:pPr>
    </w:p>
    <w:p w14:paraId="412B311D">
      <w:pPr>
        <w:rPr>
          <w:rFonts w:hint="eastAsia" w:ascii="黑体" w:hAnsi="黑体" w:eastAsia="黑体"/>
          <w:b w:val="0"/>
        </w:rPr>
      </w:pPr>
    </w:p>
    <w:p w14:paraId="503254E6">
      <w:pPr>
        <w:rPr>
          <w:rFonts w:hint="eastAsia" w:ascii="黑体" w:hAnsi="黑体" w:eastAsia="黑体"/>
          <w:b w:val="0"/>
        </w:rPr>
      </w:pPr>
    </w:p>
    <w:p w14:paraId="1E8559E5">
      <w:pPr>
        <w:rPr>
          <w:rFonts w:hint="eastAsia" w:ascii="黑体" w:hAnsi="黑体" w:eastAsia="黑体"/>
          <w:b w:val="0"/>
        </w:rPr>
      </w:pPr>
    </w:p>
    <w:p w14:paraId="2F77C495">
      <w:pPr>
        <w:rPr>
          <w:rFonts w:hint="eastAsia" w:ascii="黑体" w:hAnsi="黑体" w:eastAsia="黑体"/>
          <w:b w:val="0"/>
        </w:rPr>
      </w:pPr>
    </w:p>
    <w:p w14:paraId="69A0C900">
      <w:pPr>
        <w:rPr>
          <w:rFonts w:hint="eastAsia" w:ascii="黑体" w:hAnsi="黑体" w:eastAsia="黑体"/>
          <w:b w:val="0"/>
        </w:rPr>
      </w:pPr>
    </w:p>
    <w:p w14:paraId="4618893A">
      <w:pPr>
        <w:rPr>
          <w:rFonts w:hint="eastAsia" w:ascii="黑体" w:hAnsi="黑体" w:eastAsia="黑体"/>
          <w:b w:val="0"/>
        </w:rPr>
      </w:pPr>
    </w:p>
    <w:p w14:paraId="4B6EDB49">
      <w:pPr>
        <w:rPr>
          <w:rFonts w:hint="eastAsia" w:ascii="黑体" w:hAnsi="黑体" w:eastAsia="黑体"/>
          <w:b w:val="0"/>
        </w:rPr>
      </w:pPr>
    </w:p>
    <w:p w14:paraId="7CC5C054">
      <w:pPr>
        <w:rPr>
          <w:rFonts w:hint="eastAsia" w:ascii="黑体" w:hAnsi="黑体" w:eastAsia="黑体"/>
          <w:b w:val="0"/>
        </w:rPr>
      </w:pPr>
    </w:p>
    <w:p w14:paraId="769C74B3">
      <w:pPr>
        <w:rPr>
          <w:rFonts w:hint="eastAsia" w:ascii="黑体" w:hAnsi="黑体" w:eastAsia="黑体"/>
          <w:b w:val="0"/>
        </w:rPr>
      </w:pPr>
    </w:p>
    <w:p w14:paraId="2862C039">
      <w:pPr>
        <w:rPr>
          <w:rFonts w:hint="eastAsia" w:ascii="黑体" w:hAnsi="黑体" w:eastAsia="黑体"/>
          <w:b w:val="0"/>
        </w:rPr>
      </w:pPr>
    </w:p>
    <w:p w14:paraId="5B5FDA8A">
      <w:pPr>
        <w:rPr>
          <w:rFonts w:hint="eastAsia" w:ascii="黑体" w:hAnsi="黑体" w:eastAsia="黑体"/>
          <w:b w:val="0"/>
        </w:rPr>
      </w:pPr>
    </w:p>
    <w:p w14:paraId="20371B46">
      <w:pPr>
        <w:pStyle w:val="2"/>
        <w:pageBreakBefore w:val="0"/>
        <w:kinsoku/>
        <w:wordWrap/>
        <w:overflowPunct/>
        <w:topLinePunct w:val="0"/>
        <w:autoSpaceDE/>
        <w:autoSpaceDN/>
        <w:bidi w:val="0"/>
        <w:spacing w:line="576" w:lineRule="exact"/>
        <w:ind w:firstLine="2640" w:firstLineChars="600"/>
        <w:jc w:val="both"/>
        <w:textAlignment w:val="auto"/>
        <w:rPr>
          <w:rFonts w:ascii="黑体" w:hAnsi="黑体" w:eastAsia="黑体"/>
          <w:b w:val="0"/>
        </w:rPr>
      </w:pPr>
      <w:r>
        <w:rPr>
          <w:rFonts w:hint="eastAsia" w:ascii="黑体" w:hAnsi="黑体" w:eastAsia="黑体"/>
          <w:b w:val="0"/>
        </w:rPr>
        <w:t>第四部分 附件</w:t>
      </w:r>
    </w:p>
    <w:p w14:paraId="27D7ED99">
      <w:pPr>
        <w:pageBreakBefore w:val="0"/>
        <w:kinsoku/>
        <w:wordWrap/>
        <w:overflowPunct/>
        <w:topLinePunct w:val="0"/>
        <w:autoSpaceDE/>
        <w:autoSpaceDN/>
        <w:bidi w:val="0"/>
        <w:spacing w:line="576" w:lineRule="exact"/>
        <w:textAlignment w:val="auto"/>
      </w:pPr>
    </w:p>
    <w:p w14:paraId="59520ECF">
      <w:pPr>
        <w:pageBreakBefore w:val="0"/>
        <w:kinsoku/>
        <w:wordWrap/>
        <w:overflowPunct/>
        <w:topLinePunct w:val="0"/>
        <w:autoSpaceDE/>
        <w:autoSpaceDN/>
        <w:bidi w:val="0"/>
        <w:spacing w:line="576" w:lineRule="exact"/>
        <w:textAlignment w:val="auto"/>
        <w:rPr>
          <w:rFonts w:ascii="黑体" w:hAnsi="黑体" w:eastAsia="黑体"/>
          <w:sz w:val="32"/>
          <w:szCs w:val="32"/>
        </w:rPr>
      </w:pPr>
      <w:r>
        <w:rPr>
          <w:rFonts w:hint="eastAsia" w:ascii="黑体" w:hAnsi="黑体" w:eastAsia="黑体"/>
          <w:sz w:val="32"/>
          <w:szCs w:val="32"/>
        </w:rPr>
        <w:t>附件1</w:t>
      </w:r>
    </w:p>
    <w:p w14:paraId="11D612B1">
      <w:pPr>
        <w:pageBreakBefore w:val="0"/>
        <w:widowControl/>
        <w:kinsoku/>
        <w:wordWrap/>
        <w:overflowPunct/>
        <w:topLinePunct w:val="0"/>
        <w:autoSpaceDE/>
        <w:autoSpaceDN/>
        <w:bidi w:val="0"/>
        <w:spacing w:line="576" w:lineRule="exact"/>
        <w:contextualSpacing/>
        <w:jc w:val="center"/>
        <w:textAlignment w:val="auto"/>
        <w:rPr>
          <w:rFonts w:hint="eastAsia" w:ascii="方正小标宋_GBK" w:hAnsi="方正小标宋_GBK" w:eastAsia="方正小标宋_GBK" w:cs="方正小标宋_GBK"/>
          <w:b w:val="0"/>
          <w:bCs/>
          <w:sz w:val="44"/>
          <w:szCs w:val="44"/>
          <w:highlight w:val="none"/>
          <w:shd w:val="clear" w:color="auto" w:fill="FFFFFF"/>
          <w:lang w:val="en-US" w:eastAsia="zh-CN" w:bidi="ar-SA"/>
        </w:rPr>
      </w:pPr>
      <w:r>
        <w:rPr>
          <w:rFonts w:hint="eastAsia" w:ascii="方正小标宋_GBK" w:hAnsi="方正小标宋_GBK" w:eastAsia="方正小标宋_GBK" w:cs="方正小标宋_GBK"/>
          <w:b w:val="0"/>
          <w:bCs/>
          <w:sz w:val="44"/>
          <w:szCs w:val="44"/>
          <w:highlight w:val="none"/>
          <w:shd w:val="clear" w:color="auto" w:fill="FFFFFF"/>
          <w:lang w:eastAsia="zh-CN" w:bidi="ar-SA"/>
        </w:rPr>
        <w:t>红原县邛溪镇</w:t>
      </w:r>
      <w:r>
        <w:rPr>
          <w:rFonts w:hint="eastAsia" w:ascii="方正小标宋_GBK" w:hAnsi="方正小标宋_GBK" w:eastAsia="方正小标宋_GBK" w:cs="方正小标宋_GBK"/>
          <w:b w:val="0"/>
          <w:bCs/>
          <w:sz w:val="44"/>
          <w:szCs w:val="44"/>
          <w:highlight w:val="none"/>
          <w:shd w:val="clear" w:color="auto" w:fill="FFFFFF"/>
          <w:lang w:val="en-US" w:eastAsia="zh-CN" w:bidi="ar-SA"/>
        </w:rPr>
        <w:t>人民政府</w:t>
      </w:r>
    </w:p>
    <w:p w14:paraId="17AEA261">
      <w:pPr>
        <w:pageBreakBefore w:val="0"/>
        <w:widowControl/>
        <w:kinsoku/>
        <w:wordWrap/>
        <w:overflowPunct/>
        <w:topLinePunct w:val="0"/>
        <w:autoSpaceDE/>
        <w:autoSpaceDN/>
        <w:bidi w:val="0"/>
        <w:spacing w:line="576" w:lineRule="exact"/>
        <w:contextualSpacing/>
        <w:jc w:val="center"/>
        <w:textAlignment w:val="auto"/>
        <w:rPr>
          <w:rFonts w:hint="eastAsia" w:ascii="方正小标宋_GBK" w:hAnsi="方正小标宋_GBK" w:eastAsia="方正小标宋_GBK" w:cs="方正小标宋_GBK"/>
          <w:b w:val="0"/>
          <w:bCs/>
          <w:sz w:val="44"/>
          <w:szCs w:val="44"/>
          <w:highlight w:val="none"/>
          <w:shd w:val="clear" w:color="auto" w:fill="FFFFFF"/>
          <w:lang w:bidi="ar-SA"/>
        </w:rPr>
      </w:pPr>
      <w:r>
        <w:rPr>
          <w:rFonts w:hint="eastAsia" w:ascii="方正小标宋_GBK" w:hAnsi="方正小标宋_GBK" w:eastAsia="方正小标宋_GBK" w:cs="方正小标宋_GBK"/>
          <w:b w:val="0"/>
          <w:bCs/>
          <w:sz w:val="44"/>
          <w:szCs w:val="44"/>
          <w:highlight w:val="none"/>
          <w:shd w:val="clear" w:color="auto" w:fill="FFFFFF"/>
          <w:lang w:eastAsia="zh-CN" w:bidi="ar-SA"/>
        </w:rPr>
        <w:t>关于</w:t>
      </w:r>
      <w:r>
        <w:rPr>
          <w:rFonts w:hint="eastAsia" w:ascii="方正小标宋_GBK" w:hAnsi="方正小标宋_GBK" w:eastAsia="方正小标宋_GBK" w:cs="方正小标宋_GBK"/>
          <w:b w:val="0"/>
          <w:bCs/>
          <w:sz w:val="44"/>
          <w:szCs w:val="44"/>
          <w:highlight w:val="none"/>
          <w:shd w:val="clear" w:color="auto" w:fill="FFFFFF"/>
          <w:lang w:bidi="ar-SA"/>
        </w:rPr>
        <w:t>2</w:t>
      </w:r>
      <w:r>
        <w:rPr>
          <w:rFonts w:hint="eastAsia" w:ascii="方正小标宋_GBK" w:hAnsi="方正小标宋_GBK" w:eastAsia="方正小标宋_GBK" w:cs="方正小标宋_GBK"/>
          <w:b w:val="0"/>
          <w:bCs/>
          <w:sz w:val="44"/>
          <w:szCs w:val="44"/>
          <w:highlight w:val="none"/>
          <w:shd w:val="clear" w:color="auto" w:fill="FFFFFF"/>
          <w:lang w:val="en-US" w:eastAsia="zh-CN" w:bidi="ar-SA"/>
        </w:rPr>
        <w:t>024</w:t>
      </w:r>
      <w:r>
        <w:rPr>
          <w:rFonts w:hint="eastAsia" w:ascii="方正小标宋_GBK" w:hAnsi="方正小标宋_GBK" w:eastAsia="方正小标宋_GBK" w:cs="方正小标宋_GBK"/>
          <w:b w:val="0"/>
          <w:bCs/>
          <w:sz w:val="44"/>
          <w:szCs w:val="44"/>
          <w:highlight w:val="none"/>
          <w:shd w:val="clear" w:color="auto" w:fill="FFFFFF"/>
          <w:lang w:bidi="ar-SA"/>
        </w:rPr>
        <w:t>年</w:t>
      </w:r>
      <w:r>
        <w:rPr>
          <w:rFonts w:hint="eastAsia" w:ascii="方正小标宋_GBK" w:hAnsi="方正小标宋_GBK" w:eastAsia="方正小标宋_GBK" w:cs="方正小标宋_GBK"/>
          <w:b w:val="0"/>
          <w:bCs/>
          <w:sz w:val="44"/>
          <w:szCs w:val="44"/>
          <w:highlight w:val="none"/>
          <w:shd w:val="clear" w:color="auto" w:fill="FFFFFF"/>
          <w:lang w:eastAsia="zh-CN" w:bidi="ar-SA"/>
        </w:rPr>
        <w:t>度</w:t>
      </w:r>
      <w:r>
        <w:rPr>
          <w:rFonts w:hint="eastAsia" w:ascii="方正小标宋_GBK" w:hAnsi="方正小标宋_GBK" w:eastAsia="方正小标宋_GBK" w:cs="方正小标宋_GBK"/>
          <w:b w:val="0"/>
          <w:bCs/>
          <w:sz w:val="44"/>
          <w:szCs w:val="44"/>
          <w:highlight w:val="none"/>
          <w:shd w:val="clear" w:color="auto" w:fill="FFFFFF"/>
          <w:lang w:bidi="ar-SA"/>
        </w:rPr>
        <w:t>部门整体支出绩效评价</w:t>
      </w:r>
    </w:p>
    <w:p w14:paraId="068D613A">
      <w:pPr>
        <w:pageBreakBefore w:val="0"/>
        <w:widowControl/>
        <w:kinsoku/>
        <w:wordWrap/>
        <w:overflowPunct/>
        <w:topLinePunct w:val="0"/>
        <w:autoSpaceDE/>
        <w:autoSpaceDN/>
        <w:bidi w:val="0"/>
        <w:spacing w:line="576" w:lineRule="exact"/>
        <w:contextualSpacing/>
        <w:jc w:val="center"/>
        <w:textAlignment w:val="auto"/>
        <w:rPr>
          <w:rFonts w:ascii="黑体" w:hAnsi="宋体" w:eastAsia="黑体" w:cs="宋体"/>
          <w:color w:val="000000"/>
          <w:kern w:val="0"/>
          <w:sz w:val="24"/>
          <w:szCs w:val="32"/>
          <w:highlight w:val="none"/>
          <w:shd w:val="clear" w:color="auto" w:fill="FFFFFF"/>
          <w:lang w:bidi="ar-SA"/>
        </w:rPr>
      </w:pPr>
      <w:r>
        <w:rPr>
          <w:rFonts w:hint="eastAsia" w:ascii="方正小标宋_GBK" w:hAnsi="方正小标宋_GBK" w:eastAsia="方正小标宋_GBK" w:cs="方正小标宋_GBK"/>
          <w:b w:val="0"/>
          <w:bCs/>
          <w:sz w:val="44"/>
          <w:szCs w:val="44"/>
          <w:highlight w:val="none"/>
          <w:shd w:val="clear" w:color="auto" w:fill="FFFFFF"/>
          <w:lang w:eastAsia="zh-CN" w:bidi="ar-SA"/>
        </w:rPr>
        <w:t>自评</w:t>
      </w:r>
      <w:r>
        <w:rPr>
          <w:rFonts w:hint="eastAsia" w:ascii="方正小标宋_GBK" w:hAnsi="方正小标宋_GBK" w:eastAsia="方正小标宋_GBK" w:cs="方正小标宋_GBK"/>
          <w:b w:val="0"/>
          <w:bCs/>
          <w:sz w:val="44"/>
          <w:szCs w:val="44"/>
          <w:highlight w:val="none"/>
          <w:shd w:val="clear" w:color="auto" w:fill="FFFFFF"/>
          <w:lang w:bidi="ar-SA"/>
        </w:rPr>
        <w:t>报告</w:t>
      </w:r>
    </w:p>
    <w:p w14:paraId="1248B40C">
      <w:pPr>
        <w:pageBreakBefore w:val="0"/>
        <w:kinsoku/>
        <w:wordWrap/>
        <w:overflowPunct/>
        <w:topLinePunct w:val="0"/>
        <w:autoSpaceDE/>
        <w:autoSpaceDN/>
        <w:bidi w:val="0"/>
        <w:spacing w:line="576" w:lineRule="exact"/>
        <w:jc w:val="center"/>
        <w:textAlignment w:val="auto"/>
        <w:rPr>
          <w:rFonts w:ascii="仿宋_GB2312" w:eastAsia="仿宋_GB2312"/>
          <w:sz w:val="32"/>
          <w:szCs w:val="32"/>
        </w:rPr>
      </w:pPr>
      <w:r>
        <w:rPr>
          <w:rFonts w:hint="eastAsia" w:ascii="仿宋_GB2312" w:eastAsia="仿宋_GB2312"/>
          <w:sz w:val="32"/>
          <w:szCs w:val="32"/>
        </w:rPr>
        <w:t>（报告范围包括机关和下属单位）</w:t>
      </w:r>
    </w:p>
    <w:p w14:paraId="4D65DCFF">
      <w:pPr>
        <w:pageBreakBefore w:val="0"/>
        <w:kinsoku/>
        <w:wordWrap/>
        <w:overflowPunct/>
        <w:topLinePunct w:val="0"/>
        <w:autoSpaceDE/>
        <w:autoSpaceDN/>
        <w:bidi w:val="0"/>
        <w:spacing w:line="576" w:lineRule="exact"/>
        <w:textAlignment w:val="auto"/>
      </w:pPr>
    </w:p>
    <w:p w14:paraId="1D5CBFC8">
      <w:pPr>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zh-CN"/>
        </w:rPr>
      </w:pPr>
      <w:r>
        <w:rPr>
          <w:rFonts w:hint="eastAsia" w:eastAsia="仿宋_GB2312"/>
          <w:sz w:val="32"/>
          <w:szCs w:val="32"/>
          <w:lang w:val="zh-CN"/>
        </w:rPr>
        <w:t>一、</w:t>
      </w:r>
      <w:r>
        <w:rPr>
          <w:rFonts w:hint="default" w:eastAsia="仿宋_GB2312"/>
          <w:sz w:val="32"/>
          <w:szCs w:val="32"/>
          <w:lang w:val="zh-CN"/>
        </w:rPr>
        <w:t>部门基本情况</w:t>
      </w:r>
    </w:p>
    <w:p w14:paraId="5D0FF6DC">
      <w:pPr>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zh-CN"/>
        </w:rPr>
      </w:pPr>
      <w:r>
        <w:rPr>
          <w:rFonts w:hint="eastAsia" w:eastAsia="仿宋_GB2312"/>
          <w:sz w:val="32"/>
          <w:szCs w:val="32"/>
          <w:lang w:val="zh-CN"/>
        </w:rPr>
        <w:t>（一）</w:t>
      </w:r>
      <w:r>
        <w:rPr>
          <w:rFonts w:hint="default" w:eastAsia="仿宋_GB2312"/>
          <w:sz w:val="32"/>
          <w:szCs w:val="32"/>
          <w:lang w:val="zh-CN"/>
        </w:rPr>
        <w:t>机构组成。</w:t>
      </w:r>
    </w:p>
    <w:p w14:paraId="512C6CC6">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ascii="仿宋_GB2312" w:hAnsi="仿宋_GB2312" w:eastAsia="仿宋_GB2312" w:cs="仿宋_GB2312"/>
          <w:b w:val="0"/>
          <w:bCs w:val="0"/>
          <w:color w:val="auto"/>
          <w:kern w:val="2"/>
          <w:sz w:val="32"/>
          <w:szCs w:val="32"/>
          <w:highlight w:val="none"/>
          <w:lang w:val="en-US" w:eastAsia="zh-CN" w:bidi="ar-SA"/>
        </w:rPr>
        <w:t>我单位为独立核算全额拨款行政单位，下设单位（股室）10个，其中行政单位6个，参照公务员法管理的事业单位6个。分别是：经济发展和乡村振兴办公室、社会事务和应急管理办公室、村镇规划建设办公室、财政工作办公室、社会事业服务中心、便民服务中心、社会事业服务中心、农业农村服务中心、综合文化服务中心、退役军人服务。</w:t>
      </w:r>
      <w:r>
        <w:rPr>
          <w:rFonts w:hint="eastAsia" w:eastAsia="仿宋_GB2312"/>
          <w:sz w:val="32"/>
          <w:szCs w:val="32"/>
          <w:lang w:val="zh-CN" w:eastAsia="zh-CN"/>
        </w:rPr>
        <w:t>邛溪镇辖5个行政村，2个社区，总共</w:t>
      </w:r>
      <w:r>
        <w:rPr>
          <w:rFonts w:hint="eastAsia" w:eastAsia="仿宋_GB2312"/>
          <w:sz w:val="32"/>
          <w:szCs w:val="32"/>
          <w:lang w:val="en-US" w:eastAsia="zh-CN"/>
        </w:rPr>
        <w:t>35</w:t>
      </w:r>
      <w:r>
        <w:rPr>
          <w:rFonts w:hint="eastAsia" w:eastAsia="仿宋_GB2312"/>
          <w:sz w:val="32"/>
          <w:szCs w:val="32"/>
          <w:lang w:val="zh-CN" w:eastAsia="zh-CN"/>
        </w:rPr>
        <w:t>名村社干部。</w:t>
      </w:r>
    </w:p>
    <w:p w14:paraId="33EFC1CE">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rPr>
      </w:pPr>
      <w:r>
        <w:rPr>
          <w:rFonts w:hint="default" w:eastAsia="仿宋_GB2312"/>
          <w:sz w:val="32"/>
          <w:szCs w:val="32"/>
          <w:lang w:val="zh-CN"/>
        </w:rPr>
        <w:t>机构职能</w:t>
      </w:r>
      <w:r>
        <w:rPr>
          <w:rFonts w:hint="eastAsia" w:eastAsia="仿宋_GB2312"/>
          <w:sz w:val="32"/>
          <w:szCs w:val="32"/>
          <w:lang w:val="zh-CN"/>
        </w:rPr>
        <w:t>。</w:t>
      </w:r>
    </w:p>
    <w:p w14:paraId="0CD70EBF">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根据邛溪镇三定方案（红委办【202</w:t>
      </w:r>
      <w:r>
        <w:rPr>
          <w:rFonts w:hint="eastAsia" w:eastAsia="仿宋_GB2312"/>
          <w:sz w:val="32"/>
          <w:szCs w:val="32"/>
          <w:lang w:val="en-US" w:eastAsia="zh-CN"/>
        </w:rPr>
        <w:t>4</w:t>
      </w:r>
      <w:r>
        <w:rPr>
          <w:rFonts w:hint="eastAsia" w:eastAsia="仿宋_GB2312"/>
          <w:sz w:val="32"/>
          <w:szCs w:val="32"/>
          <w:lang w:val="zh-CN" w:eastAsia="zh-CN"/>
        </w:rPr>
        <w:t>】</w:t>
      </w:r>
      <w:r>
        <w:rPr>
          <w:rFonts w:hint="eastAsia" w:eastAsia="仿宋_GB2312"/>
          <w:sz w:val="32"/>
          <w:szCs w:val="32"/>
          <w:lang w:val="en-US" w:eastAsia="zh-CN"/>
        </w:rPr>
        <w:t>72</w:t>
      </w:r>
      <w:r>
        <w:rPr>
          <w:rFonts w:hint="eastAsia" w:eastAsia="仿宋_GB2312"/>
          <w:sz w:val="32"/>
          <w:szCs w:val="32"/>
          <w:lang w:val="zh-CN" w:eastAsia="zh-CN"/>
        </w:rPr>
        <w:t>号）。</w:t>
      </w:r>
    </w:p>
    <w:p w14:paraId="7DC09AC7">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rPr>
      </w:pPr>
      <w:r>
        <w:rPr>
          <w:rFonts w:hint="eastAsia" w:eastAsia="仿宋_GB2312"/>
          <w:sz w:val="32"/>
          <w:szCs w:val="32"/>
          <w:lang w:val="zh-CN"/>
        </w:rPr>
        <w:t>（</w:t>
      </w:r>
      <w:r>
        <w:rPr>
          <w:rFonts w:hint="eastAsia" w:eastAsia="仿宋_GB2312"/>
          <w:sz w:val="32"/>
          <w:szCs w:val="32"/>
          <w:lang w:val="zh-CN" w:eastAsia="zh-CN"/>
        </w:rPr>
        <w:t>1</w:t>
      </w:r>
      <w:r>
        <w:rPr>
          <w:rFonts w:hint="eastAsia" w:eastAsia="仿宋_GB2312"/>
          <w:sz w:val="32"/>
          <w:szCs w:val="32"/>
          <w:lang w:val="zh-CN"/>
        </w:rPr>
        <w:t>）</w:t>
      </w:r>
      <w:r>
        <w:rPr>
          <w:rFonts w:hint="eastAsia" w:eastAsia="仿宋_GB2312"/>
          <w:sz w:val="32"/>
          <w:szCs w:val="32"/>
          <w:lang w:val="zh-CN" w:eastAsia="zh-CN"/>
        </w:rPr>
        <w:t>镇</w:t>
      </w:r>
      <w:r>
        <w:rPr>
          <w:rFonts w:hint="eastAsia" w:eastAsia="仿宋_GB2312"/>
          <w:sz w:val="32"/>
          <w:szCs w:val="32"/>
          <w:lang w:val="zh-CN"/>
        </w:rPr>
        <w:t>党委工作职责</w:t>
      </w:r>
    </w:p>
    <w:p w14:paraId="6A406B91">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镇</w:t>
      </w:r>
      <w:r>
        <w:rPr>
          <w:rFonts w:hint="eastAsia" w:eastAsia="仿宋_GB2312"/>
          <w:sz w:val="32"/>
          <w:szCs w:val="32"/>
          <w:lang w:val="zh-CN"/>
        </w:rPr>
        <w:t>党委工作职责：</w:t>
      </w:r>
      <w:r>
        <w:rPr>
          <w:rFonts w:hint="eastAsia" w:eastAsia="仿宋_GB2312"/>
          <w:sz w:val="32"/>
          <w:szCs w:val="32"/>
          <w:lang w:val="zh-CN" w:eastAsia="zh-CN"/>
        </w:rPr>
        <w:t>镇党委是本镇各项工作的领导核心，是农村改革和经济建设的直接组织者和领导者，其主要职责:</w:t>
      </w:r>
    </w:p>
    <w:p w14:paraId="23EADA75">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1.负责贯彻执行党的路线方针政策和上级党组织及本镇党员代表大会的决议;</w:t>
      </w:r>
    </w:p>
    <w:p w14:paraId="46F2534A">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2.讨论决定本镇经济建设和社会发展的重大问题;</w:t>
      </w:r>
    </w:p>
    <w:p w14:paraId="58ACC385">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3.领导镇政权机关和群众组织，支持和保证这些机机关和组织依照国家法律法规及各自章程充分行使职权;</w:t>
      </w:r>
    </w:p>
    <w:p w14:paraId="2EF1631F">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4.加强镇党委自身建设和以党支部为核心的村级组织建设;</w:t>
      </w:r>
    </w:p>
    <w:p w14:paraId="06E71618">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5.按照干部管理权限，负责对干部的教育、培养、选拔、考核和监督工作;</w:t>
      </w:r>
    </w:p>
    <w:p w14:paraId="2F1982AE">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6.领导本镇的社会主义民主法制建设和精神文明建设，以及社会治安综合治理、维护稳定、党风廉政和计划生育等工作。</w:t>
      </w:r>
    </w:p>
    <w:p w14:paraId="7EF3BFAE">
      <w:pPr>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zh-CN" w:eastAsia="zh-CN"/>
        </w:rPr>
      </w:pPr>
      <w:r>
        <w:rPr>
          <w:rFonts w:hint="eastAsia" w:eastAsia="仿宋_GB2312"/>
          <w:sz w:val="32"/>
          <w:szCs w:val="32"/>
          <w:lang w:val="zh-CN" w:eastAsia="zh-CN"/>
        </w:rPr>
        <w:t>镇</w:t>
      </w:r>
      <w:r>
        <w:rPr>
          <w:rFonts w:hint="eastAsia" w:eastAsia="仿宋_GB2312"/>
          <w:sz w:val="32"/>
          <w:szCs w:val="32"/>
          <w:lang w:val="zh-CN"/>
        </w:rPr>
        <w:t>人民代表大会工作职责：</w:t>
      </w:r>
      <w:r>
        <w:rPr>
          <w:rFonts w:hint="eastAsia" w:eastAsia="仿宋_GB2312"/>
          <w:sz w:val="32"/>
          <w:szCs w:val="32"/>
          <w:lang w:val="zh-CN" w:eastAsia="zh-CN"/>
        </w:rPr>
        <w:t>1.负责召开本级人民代表大会会议的具体准备工作;</w:t>
      </w:r>
    </w:p>
    <w:p w14:paraId="36D75E92">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2.负责联系本级人民代表大会代表，组织代表开展活动，总结交流代表小组活动经验；</w:t>
      </w:r>
    </w:p>
    <w:p w14:paraId="7A5B5EC5">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3.反映代表和群众对本级人民政府工作的建议、批评</w:t>
      </w:r>
    </w:p>
    <w:p w14:paraId="1DA2BC8B">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意见；</w:t>
      </w:r>
    </w:p>
    <w:p w14:paraId="5AE0C6D2">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4.参加本级人民政府的重要会议;</w:t>
      </w:r>
    </w:p>
    <w:p w14:paraId="59FCAA01">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5.组织实施本级人民代表大会和主席团决定的事项；</w:t>
      </w:r>
    </w:p>
    <w:p w14:paraId="033A172C">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6.督促办理代表和人民群众的来信来访。</w:t>
      </w:r>
    </w:p>
    <w:p w14:paraId="23C99EE0">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镇</w:t>
      </w:r>
      <w:r>
        <w:rPr>
          <w:rFonts w:hint="eastAsia" w:eastAsia="仿宋_GB2312"/>
          <w:sz w:val="32"/>
          <w:szCs w:val="32"/>
          <w:lang w:val="zh-CN"/>
        </w:rPr>
        <w:t>人民政府工作职责</w:t>
      </w:r>
      <w:r>
        <w:rPr>
          <w:rFonts w:eastAsia="仿宋_GB2312"/>
          <w:sz w:val="32"/>
          <w:szCs w:val="32"/>
          <w:lang w:val="zh-CN"/>
        </w:rPr>
        <w:t>:</w:t>
      </w:r>
      <w:r>
        <w:rPr>
          <w:rFonts w:hint="eastAsia" w:eastAsia="仿宋_GB2312"/>
          <w:sz w:val="32"/>
          <w:szCs w:val="32"/>
          <w:lang w:val="zh-CN" w:eastAsia="zh-CN"/>
        </w:rPr>
        <w:t>1.贯彻执行党的路线方针政策和国家法律法规，贯彻执</w:t>
      </w:r>
    </w:p>
    <w:p w14:paraId="670A588D">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行上级行政机关的决议、命令及同级党委的决定，执行镇人民代表大会的决议;</w:t>
      </w:r>
    </w:p>
    <w:p w14:paraId="5E2BE5E2">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2.对镇人民代表大会及其主席团和上级行政机关负责</w:t>
      </w:r>
    </w:p>
    <w:p w14:paraId="576F33BE">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并报告工作;</w:t>
      </w:r>
    </w:p>
    <w:p w14:paraId="4E6AE84B">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3.编制和执行镇国民经济和社会发展计划，编制并执</w:t>
      </w:r>
    </w:p>
    <w:p w14:paraId="45B8F922">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执行行政预算;</w:t>
      </w:r>
    </w:p>
    <w:p w14:paraId="6D5F45E2">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4.管理本行政区域经济和各项社会事业的行政工作；</w:t>
      </w:r>
    </w:p>
    <w:p w14:paraId="7B78ABE4">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5.负责辖区内法律赋予的行政执法工作，维护社会秩序，保护公民人身、民主、财产等权利，保护各种经济组织的合法权益;</w:t>
      </w:r>
    </w:p>
    <w:p w14:paraId="3F690E48">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6.指导、支持和帮助村民委员会工作;</w:t>
      </w:r>
    </w:p>
    <w:p w14:paraId="61207A7A">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7.法律规定赋予的其它职责。</w:t>
      </w:r>
    </w:p>
    <w:p w14:paraId="468DE4EE">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纪委（派出监察室）工作职责1.负责镇党委的纪律检查工作。督促农村基层党组织和党员、干部践行“两个维护”，遵守党章和其他党内法规；检查党的路线、方针、政策和决议在基层的执行情况；协助镇党委推进全面从严治党、加强党风建设和反腐败工作。</w:t>
      </w:r>
    </w:p>
    <w:p w14:paraId="14F6239C">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2.依照党章和其他党内法规履行监督、执纪、问责职责负责经常对党员进行遵守纪律的教育，作出维护党纪的决定；对下辖的党组织和管理的党员干部履行职责、行使权力进行监督受理处置党员群众检举举报，开展谈话提醒，约谈函询；按照权限检查和处理上述党组织和党员违纪案件；进行问责或者提出责任追究的建议；受理党员的控告和申诉；保障党员的权利。</w:t>
      </w:r>
    </w:p>
    <w:p w14:paraId="5526DC42">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3.领导下辖纪检组织的工作，指导村务监督机构的工作。</w:t>
      </w:r>
    </w:p>
    <w:p w14:paraId="6E912FEB">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4.负责村（社）纪检监察组织的自身建设。</w:t>
      </w:r>
    </w:p>
    <w:p w14:paraId="7CC0C027">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5.完成县纪委监委和乡镇党委交办的其他任务。</w:t>
      </w:r>
    </w:p>
    <w:p w14:paraId="65389FB2">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镇人民武装部工作职责</w:t>
      </w:r>
    </w:p>
    <w:p w14:paraId="741016E1">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1.负责民兵组织建设、政治教育、军事训练;</w:t>
      </w:r>
    </w:p>
    <w:p w14:paraId="4CA2A4DE">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2.为本系统自主择业转业干部提供管理和服务;</w:t>
      </w:r>
    </w:p>
    <w:p w14:paraId="69BF4A07">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3.组织带领民兵完成战备执勤任务，配合公安部门维护社会治安;</w:t>
      </w:r>
    </w:p>
    <w:p w14:paraId="5A4F7C69">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4.战时组织带领民兵参军参战，支援前线;</w:t>
      </w:r>
    </w:p>
    <w:p w14:paraId="5BBE7DC6">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5.负责征兵工作和预备役士兵、预备役军官登记统计等工作;</w:t>
      </w:r>
    </w:p>
    <w:p w14:paraId="31C994CE">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6.协同预备役部(分)队落实参训人员，做好兵员管理、动员集结等工作;</w:t>
      </w:r>
    </w:p>
    <w:p w14:paraId="3054B4C6">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7.协助有关部门开展国防教育，做好退伍人员的安置和烈军属的优抚工作;</w:t>
      </w:r>
    </w:p>
    <w:p w14:paraId="3019F955">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8.完成地方党委、人民政府和上级军事机关交给的其他工作任务。</w:t>
      </w:r>
    </w:p>
    <w:p w14:paraId="6CD70C02">
      <w:pPr>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zh-CN" w:eastAsia="zh-CN"/>
        </w:rPr>
      </w:pPr>
      <w:r>
        <w:rPr>
          <w:rFonts w:hint="eastAsia" w:eastAsia="仿宋_GB2312"/>
          <w:sz w:val="32"/>
          <w:szCs w:val="32"/>
          <w:lang w:val="zh-CN" w:eastAsia="zh-CN"/>
        </w:rPr>
        <w:t>镇寺庙管理所工作职责</w:t>
      </w:r>
    </w:p>
    <w:p w14:paraId="6D549975">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1.负责明确职责，落实寺院管理责任制。;</w:t>
      </w:r>
    </w:p>
    <w:p w14:paraId="1D0FCE40">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2.负责创新方式，深化寺院法制宣传教育;</w:t>
      </w:r>
    </w:p>
    <w:p w14:paraId="0710913E">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3.负责整合资源，加强民管会班子建设;</w:t>
      </w:r>
    </w:p>
    <w:p w14:paraId="0E4CAA8F">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4.负责统筹谋划，推动寺院公共服务建设：</w:t>
      </w:r>
    </w:p>
    <w:p w14:paraId="47AAC6C2">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5.完成地方党委、人民政府和上级部门交给的其他工作任务。</w:t>
      </w:r>
    </w:p>
    <w:p w14:paraId="1D17E8F9">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黑体" w:hAnsi="黑体" w:eastAsia="黑体" w:cs="黑体"/>
          <w:color w:val="000000"/>
          <w:kern w:val="0"/>
          <w:sz w:val="32"/>
          <w:szCs w:val="32"/>
          <w:highlight w:val="none"/>
          <w:shd w:val="clear" w:color="auto" w:fill="FFFFFF"/>
        </w:rPr>
      </w:pPr>
      <w:r>
        <w:rPr>
          <w:rFonts w:hint="eastAsia" w:ascii="黑体" w:hAnsi="黑体" w:eastAsia="黑体" w:cs="黑体"/>
          <w:color w:val="000000"/>
          <w:kern w:val="0"/>
          <w:sz w:val="32"/>
          <w:szCs w:val="32"/>
          <w:highlight w:val="none"/>
          <w:shd w:val="clear" w:color="auto" w:fill="FFFFFF"/>
        </w:rPr>
        <w:t>二、</w:t>
      </w:r>
      <w:r>
        <w:rPr>
          <w:rFonts w:hint="eastAsia" w:ascii="黑体" w:hAnsi="黑体" w:eastAsia="黑体" w:cs="黑体"/>
          <w:color w:val="000000"/>
          <w:kern w:val="0"/>
          <w:sz w:val="32"/>
          <w:szCs w:val="32"/>
          <w:highlight w:val="none"/>
          <w:shd w:val="clear" w:color="auto" w:fill="FFFFFF"/>
          <w:lang w:eastAsia="zh-CN"/>
        </w:rPr>
        <w:t>部门</w:t>
      </w:r>
      <w:r>
        <w:rPr>
          <w:rFonts w:hint="eastAsia" w:ascii="黑体" w:hAnsi="黑体" w:eastAsia="黑体" w:cs="黑体"/>
          <w:color w:val="000000"/>
          <w:kern w:val="0"/>
          <w:sz w:val="32"/>
          <w:szCs w:val="32"/>
          <w:highlight w:val="none"/>
          <w:shd w:val="clear" w:color="auto" w:fill="FFFFFF"/>
        </w:rPr>
        <w:t>资金收支情况</w:t>
      </w:r>
    </w:p>
    <w:p w14:paraId="4EAE32FC">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kern w:val="0"/>
          <w:sz w:val="32"/>
          <w:szCs w:val="32"/>
          <w:highlight w:val="none"/>
          <w:shd w:val="clear" w:color="auto" w:fill="FFFFFF"/>
          <w:lang w:val="zh-CN"/>
        </w:rPr>
        <w:t>（一）收入情况。</w:t>
      </w:r>
    </w:p>
    <w:p w14:paraId="563C6228">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2024年年初预算收入总额为1723.03万元，决算收入数2742.73万元，其中：当年财政拨款收入2742.73万元。</w:t>
      </w:r>
    </w:p>
    <w:p w14:paraId="5635029F">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Chars="200"/>
        <w:contextualSpacing/>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00"/>
          <w:kern w:val="0"/>
          <w:sz w:val="32"/>
          <w:szCs w:val="32"/>
          <w:highlight w:val="none"/>
          <w:shd w:val="clear" w:color="auto" w:fill="FFFFFF"/>
          <w:lang w:val="zh-CN"/>
        </w:rPr>
        <w:t>（二）支出情况。</w:t>
      </w:r>
    </w:p>
    <w:p w14:paraId="09B2BB12">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2024年年初预算支出总额为1723.03万元，决算支出数2742.73万元，其中基本支出1516.93万元，人员经费1453.11万元，公用经费63.83万元，项目支出1225.80万元。</w:t>
      </w:r>
    </w:p>
    <w:p w14:paraId="4DD033A8">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Chars="200"/>
        <w:contextualSpacing/>
        <w:jc w:val="both"/>
        <w:textAlignment w:val="auto"/>
        <w:outlineLvl w:val="9"/>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zh-CN"/>
        </w:rPr>
        <w:t>（三）“三公”经费预算执行情况</w:t>
      </w:r>
    </w:p>
    <w:p w14:paraId="3D5260A8">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202</w:t>
      </w:r>
      <w:r>
        <w:rPr>
          <w:rFonts w:hint="eastAsia" w:eastAsia="仿宋_GB2312"/>
          <w:sz w:val="32"/>
          <w:szCs w:val="32"/>
          <w:lang w:val="en-US" w:eastAsia="zh-CN"/>
        </w:rPr>
        <w:t>4</w:t>
      </w:r>
      <w:r>
        <w:rPr>
          <w:rFonts w:hint="eastAsia" w:eastAsia="仿宋_GB2312"/>
          <w:sz w:val="32"/>
          <w:szCs w:val="32"/>
          <w:lang w:val="zh-CN" w:eastAsia="zh-CN"/>
        </w:rPr>
        <w:t>年度三公经费预算安排支出为</w:t>
      </w:r>
      <w:r>
        <w:rPr>
          <w:rFonts w:hint="eastAsia" w:eastAsia="仿宋_GB2312"/>
          <w:sz w:val="32"/>
          <w:szCs w:val="32"/>
          <w:lang w:val="en-US" w:eastAsia="zh-CN"/>
        </w:rPr>
        <w:t>9.20</w:t>
      </w:r>
      <w:r>
        <w:rPr>
          <w:rFonts w:hint="eastAsia" w:eastAsia="仿宋_GB2312"/>
          <w:sz w:val="32"/>
          <w:szCs w:val="32"/>
          <w:lang w:val="zh-CN" w:eastAsia="zh-CN"/>
        </w:rPr>
        <w:t>万元，其中：出国费0万元，与上年持平，主要原因为未安排因公出国；公车购置费0元，与上年持平；公务用车运行费支出</w:t>
      </w:r>
      <w:r>
        <w:rPr>
          <w:rFonts w:hint="eastAsia" w:eastAsia="仿宋_GB2312"/>
          <w:sz w:val="32"/>
          <w:szCs w:val="32"/>
          <w:lang w:val="en-US" w:eastAsia="zh-CN"/>
        </w:rPr>
        <w:t>9.20</w:t>
      </w:r>
      <w:r>
        <w:rPr>
          <w:rFonts w:hint="eastAsia" w:eastAsia="仿宋_GB2312"/>
          <w:sz w:val="32"/>
          <w:szCs w:val="32"/>
          <w:lang w:val="zh-CN" w:eastAsia="zh-CN"/>
        </w:rPr>
        <w:t>万元，较上年增加</w:t>
      </w:r>
      <w:r>
        <w:rPr>
          <w:rFonts w:hint="eastAsia" w:eastAsia="仿宋_GB2312"/>
          <w:sz w:val="32"/>
          <w:szCs w:val="32"/>
          <w:lang w:val="en-US" w:eastAsia="zh-CN"/>
        </w:rPr>
        <w:t>2</w:t>
      </w:r>
      <w:r>
        <w:rPr>
          <w:rFonts w:hint="eastAsia" w:eastAsia="仿宋_GB2312"/>
          <w:sz w:val="32"/>
          <w:szCs w:val="32"/>
          <w:lang w:val="zh-CN" w:eastAsia="zh-CN"/>
        </w:rPr>
        <w:t>%，原因增加了相关开支；公务接待费</w:t>
      </w:r>
      <w:r>
        <w:rPr>
          <w:rFonts w:hint="eastAsia" w:eastAsia="仿宋_GB2312"/>
          <w:sz w:val="32"/>
          <w:szCs w:val="32"/>
          <w:lang w:val="en-US" w:eastAsia="zh-CN"/>
        </w:rPr>
        <w:t>0</w:t>
      </w:r>
      <w:r>
        <w:rPr>
          <w:rFonts w:hint="eastAsia" w:eastAsia="仿宋_GB2312"/>
          <w:sz w:val="32"/>
          <w:szCs w:val="32"/>
          <w:lang w:val="zh-CN" w:eastAsia="zh-CN"/>
        </w:rPr>
        <w:t>万元，较上年度预算持平，本年度我们将严格执行“八项规定、六项禁令”，结合本年度工作需要，减少不必要的开支。</w:t>
      </w:r>
    </w:p>
    <w:p w14:paraId="65000ABC">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黑体" w:hAnsi="宋体" w:eastAsia="黑体" w:cs="宋体"/>
          <w:color w:val="auto"/>
          <w:kern w:val="0"/>
          <w:sz w:val="32"/>
          <w:szCs w:val="32"/>
          <w:highlight w:val="none"/>
          <w:shd w:val="clear" w:color="auto" w:fill="FFFFFF"/>
        </w:rPr>
      </w:pPr>
      <w:r>
        <w:rPr>
          <w:rFonts w:hint="eastAsia" w:ascii="黑体" w:hAnsi="宋体" w:eastAsia="黑体" w:cs="宋体"/>
          <w:color w:val="auto"/>
          <w:kern w:val="0"/>
          <w:sz w:val="32"/>
          <w:szCs w:val="32"/>
          <w:highlight w:val="none"/>
          <w:shd w:val="clear" w:color="auto" w:fill="FFFFFF"/>
        </w:rPr>
        <w:t>三、部门整体预算绩效管理情况</w:t>
      </w:r>
    </w:p>
    <w:p w14:paraId="59CB228D">
      <w:pPr>
        <w:pStyle w:val="9"/>
        <w:pageBreakBefore w:val="0"/>
        <w:numPr>
          <w:ilvl w:val="0"/>
          <w:numId w:val="6"/>
        </w:numPr>
        <w:kinsoku/>
        <w:wordWrap/>
        <w:overflowPunct/>
        <w:topLinePunct w:val="0"/>
        <w:autoSpaceDE/>
        <w:autoSpaceDN/>
        <w:bidi w:val="0"/>
        <w:spacing w:before="93" w:line="576" w:lineRule="exact"/>
        <w:ind w:left="420" w:leftChars="200"/>
        <w:textAlignment w:val="auto"/>
        <w:rPr>
          <w:rFonts w:ascii="楷体_GB2312" w:hAnsi="楷体_GB2312" w:eastAsia="楷体_GB2312" w:cs="楷体_GB2312"/>
          <w:b/>
          <w:bCs/>
          <w:color w:val="auto"/>
          <w:sz w:val="32"/>
          <w:szCs w:val="32"/>
          <w:highlight w:val="none"/>
        </w:rPr>
      </w:pPr>
      <w:r>
        <w:rPr>
          <w:rFonts w:hint="eastAsia" w:ascii="楷体_GB2312" w:hAnsi="楷体_GB2312" w:eastAsia="楷体_GB2312" w:cs="楷体_GB2312"/>
          <w:b/>
          <w:bCs/>
          <w:color w:val="auto"/>
          <w:sz w:val="32"/>
          <w:szCs w:val="32"/>
          <w:highlight w:val="none"/>
        </w:rPr>
        <w:t>预算编制情况</w:t>
      </w:r>
    </w:p>
    <w:p w14:paraId="2F8AD510">
      <w:pPr>
        <w:pStyle w:val="9"/>
        <w:pageBreakBefore w:val="0"/>
        <w:kinsoku/>
        <w:wordWrap/>
        <w:overflowPunct/>
        <w:topLinePunct w:val="0"/>
        <w:autoSpaceDE/>
        <w:autoSpaceDN/>
        <w:bidi w:val="0"/>
        <w:spacing w:before="93" w:line="576" w:lineRule="exact"/>
        <w:textAlignment w:val="auto"/>
        <w:rPr>
          <w:rFonts w:hAnsi="仿宋_GB2312" w:cs="仿宋_GB2312"/>
          <w:color w:val="auto"/>
          <w:sz w:val="32"/>
          <w:szCs w:val="32"/>
          <w:highlight w:val="none"/>
        </w:rPr>
      </w:pPr>
      <w:r>
        <w:rPr>
          <w:rFonts w:hint="eastAsia" w:ascii="楷体" w:hAnsi="楷体" w:eastAsia="楷体" w:cs="楷体"/>
          <w:color w:val="auto"/>
          <w:sz w:val="32"/>
          <w:szCs w:val="32"/>
          <w:highlight w:val="none"/>
        </w:rPr>
        <w:t xml:space="preserve">    </w:t>
      </w:r>
      <w:r>
        <w:rPr>
          <w:rFonts w:hint="eastAsia" w:hAnsi="仿宋_GB2312" w:cs="仿宋_GB2312"/>
          <w:color w:val="auto"/>
          <w:sz w:val="32"/>
          <w:szCs w:val="32"/>
          <w:highlight w:val="none"/>
        </w:rPr>
        <w:t>按照县财政预算编制工作要求，我镇组织财务人员积极参与预算编制培训会，及时掌握预算编制口径等相关知识，结合单位工作实际，按照“两上两下”编制方式，全面、及时、完整地编制了单位预算，并经财政部门审核下达。</w:t>
      </w:r>
    </w:p>
    <w:p w14:paraId="7988EEB3">
      <w:pPr>
        <w:pStyle w:val="9"/>
        <w:pageBreakBefore w:val="0"/>
        <w:numPr>
          <w:ilvl w:val="0"/>
          <w:numId w:val="6"/>
        </w:numPr>
        <w:kinsoku/>
        <w:wordWrap/>
        <w:overflowPunct/>
        <w:topLinePunct w:val="0"/>
        <w:autoSpaceDE/>
        <w:autoSpaceDN/>
        <w:bidi w:val="0"/>
        <w:spacing w:before="93" w:line="576" w:lineRule="exact"/>
        <w:ind w:left="420" w:leftChars="200"/>
        <w:textAlignment w:val="auto"/>
        <w:rPr>
          <w:rFonts w:ascii="楷体_GB2312" w:hAnsi="楷体_GB2312" w:eastAsia="楷体_GB2312" w:cs="楷体_GB2312"/>
          <w:b/>
          <w:bCs/>
          <w:color w:val="auto"/>
          <w:sz w:val="32"/>
          <w:szCs w:val="32"/>
          <w:highlight w:val="none"/>
        </w:rPr>
      </w:pPr>
      <w:r>
        <w:rPr>
          <w:rFonts w:hint="eastAsia" w:ascii="楷体_GB2312" w:hAnsi="楷体_GB2312" w:eastAsia="楷体_GB2312" w:cs="楷体_GB2312"/>
          <w:b/>
          <w:bCs/>
          <w:color w:val="auto"/>
          <w:sz w:val="32"/>
          <w:szCs w:val="32"/>
          <w:highlight w:val="none"/>
        </w:rPr>
        <w:t>执行管理情况</w:t>
      </w:r>
    </w:p>
    <w:p w14:paraId="0FF612C5">
      <w:pPr>
        <w:pStyle w:val="9"/>
        <w:pageBreakBefore w:val="0"/>
        <w:kinsoku/>
        <w:wordWrap/>
        <w:overflowPunct/>
        <w:topLinePunct w:val="0"/>
        <w:autoSpaceDE/>
        <w:autoSpaceDN/>
        <w:bidi w:val="0"/>
        <w:spacing w:before="93" w:line="576" w:lineRule="exact"/>
        <w:ind w:firstLine="640"/>
        <w:textAlignment w:val="auto"/>
        <w:rPr>
          <w:rFonts w:hAnsi="仿宋_GB2312" w:cs="仿宋_GB2312"/>
          <w:color w:val="auto"/>
          <w:sz w:val="32"/>
          <w:szCs w:val="32"/>
          <w:highlight w:val="none"/>
        </w:rPr>
      </w:pPr>
      <w:r>
        <w:rPr>
          <w:rFonts w:hint="eastAsia" w:hAnsi="仿宋_GB2312" w:cs="仿宋_GB2312"/>
          <w:color w:val="auto"/>
          <w:sz w:val="32"/>
          <w:szCs w:val="32"/>
          <w:highlight w:val="none"/>
        </w:rPr>
        <w:t>在预算执行中，我镇严格按工作开展进度、预算资金计划等执行，分管财务领导定期不定期督查单位预算执行情况，并加强与财政部门的衔接沟通。对涉及的项目资金严格按项目实施进度拨付预算资金，加强了财政资金的事前、事中、事后监管，无超进度、超预算拨付资金。</w:t>
      </w:r>
    </w:p>
    <w:p w14:paraId="5CBC2C4A">
      <w:pPr>
        <w:pStyle w:val="9"/>
        <w:pageBreakBefore w:val="0"/>
        <w:kinsoku/>
        <w:wordWrap/>
        <w:overflowPunct/>
        <w:topLinePunct w:val="0"/>
        <w:autoSpaceDE/>
        <w:autoSpaceDN/>
        <w:bidi w:val="0"/>
        <w:spacing w:before="93" w:line="576" w:lineRule="exact"/>
        <w:ind w:firstLine="640"/>
        <w:textAlignment w:val="auto"/>
        <w:rPr>
          <w:rFonts w:hint="eastAsia" w:hAnsi="仿宋_GB2312" w:cs="仿宋_GB2312"/>
          <w:color w:val="auto"/>
          <w:sz w:val="32"/>
          <w:szCs w:val="32"/>
          <w:highlight w:val="none"/>
        </w:rPr>
      </w:pPr>
      <w:r>
        <w:rPr>
          <w:rFonts w:hint="eastAsia" w:hAnsi="仿宋_GB2312" w:cs="仿宋_GB2312"/>
          <w:color w:val="auto"/>
          <w:sz w:val="32"/>
          <w:szCs w:val="32"/>
          <w:highlight w:val="none"/>
          <w:lang w:eastAsia="zh-CN"/>
        </w:rPr>
        <w:t>202</w:t>
      </w:r>
      <w:r>
        <w:rPr>
          <w:rFonts w:hint="eastAsia" w:hAnsi="仿宋_GB2312" w:cs="仿宋_GB2312"/>
          <w:color w:val="auto"/>
          <w:sz w:val="32"/>
          <w:szCs w:val="32"/>
          <w:highlight w:val="none"/>
          <w:lang w:val="en-US" w:eastAsia="zh-CN"/>
        </w:rPr>
        <w:t>4</w:t>
      </w:r>
      <w:r>
        <w:rPr>
          <w:rFonts w:hint="eastAsia" w:hAnsi="仿宋_GB2312" w:cs="仿宋_GB2312"/>
          <w:color w:val="auto"/>
          <w:sz w:val="32"/>
          <w:szCs w:val="32"/>
          <w:highlight w:val="none"/>
          <w:lang w:eastAsia="zh-CN"/>
        </w:rPr>
        <w:t>年</w:t>
      </w:r>
      <w:r>
        <w:rPr>
          <w:rFonts w:hint="eastAsia" w:hAnsi="仿宋_GB2312" w:cs="仿宋_GB2312"/>
          <w:color w:val="auto"/>
          <w:sz w:val="32"/>
          <w:szCs w:val="32"/>
          <w:highlight w:val="none"/>
        </w:rPr>
        <w:t>度“三公“经费支出情况：无出国出境及接待费用；公务用车运行费为</w:t>
      </w:r>
      <w:r>
        <w:rPr>
          <w:rFonts w:hint="eastAsia" w:hAnsi="仿宋_GB2312" w:cs="仿宋_GB2312"/>
          <w:color w:val="auto"/>
          <w:sz w:val="32"/>
          <w:szCs w:val="32"/>
          <w:highlight w:val="none"/>
          <w:lang w:val="en-US" w:eastAsia="zh-CN"/>
        </w:rPr>
        <w:t>9.20万</w:t>
      </w:r>
      <w:r>
        <w:rPr>
          <w:rFonts w:hint="eastAsia" w:hAnsi="仿宋_GB2312" w:cs="仿宋_GB2312"/>
          <w:color w:val="auto"/>
          <w:sz w:val="32"/>
          <w:szCs w:val="32"/>
          <w:highlight w:val="none"/>
        </w:rPr>
        <w:t>元。</w:t>
      </w:r>
    </w:p>
    <w:p w14:paraId="135BDF50">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包括部门绩效目标制定、目标实现、预算编制准确、支出控制、预算动态调整、执行进度、预算完成情况和违规记录等情况。</w:t>
      </w:r>
    </w:p>
    <w:p w14:paraId="245287DD">
      <w:pPr>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ascii="楷体_GB2312" w:hAnsi="楷体_GB2312" w:eastAsia="楷体_GB2312" w:cs="楷体_GB2312"/>
          <w:b/>
          <w:bCs/>
          <w:color w:val="auto"/>
          <w:kern w:val="0"/>
          <w:sz w:val="32"/>
          <w:szCs w:val="32"/>
          <w:highlight w:val="none"/>
          <w:shd w:val="clear" w:color="auto" w:fill="FFFFFF"/>
          <w:lang w:val="zh-CN"/>
        </w:rPr>
      </w:pPr>
      <w:r>
        <w:rPr>
          <w:rFonts w:hint="eastAsia" w:ascii="楷体_GB2312" w:hAnsi="楷体_GB2312" w:eastAsia="楷体_GB2312" w:cs="楷体_GB2312"/>
          <w:b/>
          <w:bCs/>
          <w:color w:val="auto"/>
          <w:kern w:val="0"/>
          <w:sz w:val="32"/>
          <w:szCs w:val="32"/>
          <w:highlight w:val="none"/>
          <w:shd w:val="clear" w:color="auto" w:fill="FFFFFF"/>
          <w:lang w:val="zh-CN"/>
        </w:rPr>
        <w:t>（</w:t>
      </w:r>
      <w:r>
        <w:rPr>
          <w:rFonts w:hint="eastAsia" w:ascii="楷体_GB2312" w:hAnsi="楷体_GB2312" w:eastAsia="楷体_GB2312" w:cs="楷体_GB2312"/>
          <w:b/>
          <w:bCs/>
          <w:color w:val="auto"/>
          <w:kern w:val="0"/>
          <w:sz w:val="32"/>
          <w:szCs w:val="32"/>
          <w:highlight w:val="none"/>
          <w:shd w:val="clear" w:color="auto" w:fill="FFFFFF"/>
        </w:rPr>
        <w:t>三</w:t>
      </w:r>
      <w:r>
        <w:rPr>
          <w:rFonts w:hint="eastAsia" w:ascii="楷体_GB2312" w:hAnsi="楷体_GB2312" w:eastAsia="楷体_GB2312" w:cs="楷体_GB2312"/>
          <w:b/>
          <w:bCs/>
          <w:color w:val="auto"/>
          <w:kern w:val="0"/>
          <w:sz w:val="32"/>
          <w:szCs w:val="32"/>
          <w:highlight w:val="none"/>
          <w:shd w:val="clear" w:color="auto" w:fill="FFFFFF"/>
          <w:lang w:val="zh-CN"/>
        </w:rPr>
        <w:t>）结果应用情况。</w:t>
      </w:r>
    </w:p>
    <w:p w14:paraId="0B652122">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包括绩效自评公开、评价结果整改和应用结果反馈等情况。</w:t>
      </w:r>
    </w:p>
    <w:p w14:paraId="14B337B3">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default" w:ascii="黑体" w:hAnsi="宋体" w:eastAsia="黑体" w:cs="宋体"/>
          <w:color w:val="auto"/>
          <w:kern w:val="0"/>
          <w:sz w:val="32"/>
          <w:szCs w:val="32"/>
          <w:highlight w:val="none"/>
          <w:shd w:val="clear" w:color="auto" w:fill="FFFFFF"/>
          <w:lang w:val="zh-CN"/>
        </w:rPr>
      </w:pPr>
      <w:r>
        <w:rPr>
          <w:rFonts w:hint="default" w:ascii="黑体" w:hAnsi="宋体" w:eastAsia="黑体" w:cs="宋体"/>
          <w:color w:val="auto"/>
          <w:kern w:val="0"/>
          <w:sz w:val="32"/>
          <w:szCs w:val="32"/>
          <w:highlight w:val="none"/>
          <w:shd w:val="clear" w:color="auto" w:fill="FFFFFF"/>
          <w:lang w:val="zh-CN" w:eastAsia="zh-CN"/>
        </w:rPr>
        <w:t>四、</w:t>
      </w:r>
      <w:r>
        <w:rPr>
          <w:rFonts w:hint="default" w:ascii="黑体" w:hAnsi="宋体" w:eastAsia="黑体" w:cs="宋体"/>
          <w:color w:val="auto"/>
          <w:kern w:val="0"/>
          <w:sz w:val="32"/>
          <w:szCs w:val="32"/>
          <w:highlight w:val="none"/>
          <w:shd w:val="clear" w:color="auto" w:fill="FFFFFF"/>
          <w:lang w:val="zh-CN"/>
        </w:rPr>
        <w:t>评价结论及建议</w:t>
      </w:r>
    </w:p>
    <w:p w14:paraId="42D53FED">
      <w:pPr>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hint="eastAsia" w:ascii="楷体_GB2312" w:hAnsi="楷体_GB2312" w:eastAsia="楷体_GB2312" w:cs="楷体_GB2312"/>
          <w:b/>
          <w:bCs/>
          <w:color w:val="auto"/>
          <w:kern w:val="0"/>
          <w:sz w:val="32"/>
          <w:szCs w:val="32"/>
          <w:highlight w:val="none"/>
          <w:shd w:val="clear" w:color="auto" w:fill="FFFFFF"/>
          <w:lang w:val="zh-CN" w:eastAsia="zh-CN"/>
        </w:rPr>
      </w:pPr>
      <w:r>
        <w:rPr>
          <w:rFonts w:hint="eastAsia" w:ascii="楷体_GB2312" w:hAnsi="楷体_GB2312" w:eastAsia="楷体_GB2312" w:cs="楷体_GB2312"/>
          <w:b/>
          <w:bCs/>
          <w:color w:val="auto"/>
          <w:kern w:val="0"/>
          <w:sz w:val="32"/>
          <w:szCs w:val="32"/>
          <w:highlight w:val="none"/>
          <w:shd w:val="clear" w:color="auto" w:fill="FFFFFF"/>
          <w:lang w:val="zh-CN" w:eastAsia="zh-CN"/>
        </w:rPr>
        <w:t>（一）评价结论</w:t>
      </w:r>
    </w:p>
    <w:p w14:paraId="5B9DFCF3">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我镇预算绩效及管理整体评价良好，预算收入和支出相符。</w:t>
      </w:r>
    </w:p>
    <w:p w14:paraId="201F487F">
      <w:pPr>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hint="eastAsia" w:ascii="楷体_GB2312" w:hAnsi="楷体_GB2312" w:eastAsia="楷体_GB2312" w:cs="楷体_GB2312"/>
          <w:b/>
          <w:bCs/>
          <w:color w:val="auto"/>
          <w:kern w:val="0"/>
          <w:sz w:val="32"/>
          <w:szCs w:val="32"/>
          <w:highlight w:val="none"/>
          <w:shd w:val="clear" w:color="auto" w:fill="FFFFFF"/>
          <w:lang w:val="zh-CN" w:eastAsia="zh-CN"/>
        </w:rPr>
      </w:pPr>
      <w:r>
        <w:rPr>
          <w:rFonts w:hint="eastAsia" w:ascii="楷体_GB2312" w:hAnsi="楷体_GB2312" w:eastAsia="楷体_GB2312" w:cs="楷体_GB2312"/>
          <w:b/>
          <w:bCs/>
          <w:color w:val="auto"/>
          <w:kern w:val="0"/>
          <w:sz w:val="32"/>
          <w:szCs w:val="32"/>
          <w:highlight w:val="none"/>
          <w:shd w:val="clear" w:color="auto" w:fill="FFFFFF"/>
          <w:lang w:val="zh-CN" w:eastAsia="zh-CN"/>
        </w:rPr>
        <w:t>（二）存在问题</w:t>
      </w:r>
    </w:p>
    <w:p w14:paraId="7B53446A">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bookmarkStart w:id="45" w:name="_Toc18861"/>
      <w:r>
        <w:rPr>
          <w:rFonts w:hint="eastAsia" w:eastAsia="仿宋_GB2312"/>
          <w:sz w:val="32"/>
          <w:szCs w:val="32"/>
          <w:lang w:val="zh-CN" w:eastAsia="zh-CN"/>
        </w:rPr>
        <w:t>一是内控制度建立的不够健全、完善、责任划分不够明确、执行力度不强；二是绩效目标设立不够明确、细化和量化。虽然设立了项目资金绩效目标，但目标不够明确、细化和量化</w:t>
      </w:r>
      <w:bookmarkEnd w:id="45"/>
      <w:r>
        <w:rPr>
          <w:rFonts w:hint="eastAsia" w:eastAsia="仿宋_GB2312"/>
          <w:sz w:val="32"/>
          <w:szCs w:val="32"/>
          <w:lang w:val="zh-CN" w:eastAsia="zh-CN"/>
        </w:rPr>
        <w:t>；三是财务人员业务能力较弱，理解不到位。</w:t>
      </w:r>
    </w:p>
    <w:p w14:paraId="5494028A">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改进建议</w:t>
      </w:r>
    </w:p>
    <w:p w14:paraId="78ABEBBF">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rPr>
      </w:pPr>
      <w:r>
        <w:rPr>
          <w:rFonts w:hint="eastAsia" w:eastAsia="仿宋_GB2312"/>
          <w:sz w:val="32"/>
          <w:szCs w:val="32"/>
          <w:lang w:val="zh-CN" w:eastAsia="zh-CN"/>
        </w:rPr>
        <w:t xml:space="preserve"> 1.</w:t>
      </w:r>
      <w:r>
        <w:rPr>
          <w:rFonts w:hint="eastAsia" w:eastAsia="仿宋_GB2312"/>
          <w:sz w:val="32"/>
          <w:szCs w:val="32"/>
          <w:lang w:val="zh-CN"/>
        </w:rPr>
        <w:t>单位资产管理由办公室总负责，使用人具体负责管理，对不能继续使用的资产由使用人交回办公室并提出申请，由办公室提供材料交给财务室按照相关程序统一处置。财政所应及时在系统中录入资产信息，每年对单位资产进行一次集中清理，对不能使用的资产及时报相关部门进行报废处理。</w:t>
      </w:r>
    </w:p>
    <w:p w14:paraId="0459E348">
      <w:pPr>
        <w:pageBreakBefore w:val="0"/>
        <w:kinsoku/>
        <w:wordWrap/>
        <w:overflowPunct/>
        <w:topLinePunct w:val="0"/>
        <w:autoSpaceDE/>
        <w:autoSpaceDN/>
        <w:bidi w:val="0"/>
        <w:spacing w:line="576" w:lineRule="exact"/>
        <w:ind w:firstLine="640" w:firstLineChars="200"/>
        <w:textAlignment w:val="auto"/>
        <w:rPr>
          <w:rFonts w:hint="eastAsia" w:eastAsia="仿宋_GB2312"/>
          <w:sz w:val="32"/>
          <w:szCs w:val="32"/>
          <w:lang w:val="zh-CN" w:eastAsia="zh-CN"/>
        </w:rPr>
      </w:pPr>
      <w:r>
        <w:rPr>
          <w:rFonts w:hint="eastAsia" w:eastAsia="仿宋_GB2312"/>
          <w:sz w:val="32"/>
          <w:szCs w:val="32"/>
          <w:lang w:val="zh-CN" w:eastAsia="zh-CN"/>
        </w:rPr>
        <w:t>2.进一步完善内部管理制度，提升管理效能，更好地履行生态文明建设职能。</w:t>
      </w:r>
    </w:p>
    <w:p w14:paraId="666EA5E2">
      <w:pPr>
        <w:pageBreakBefore w:val="0"/>
        <w:kinsoku/>
        <w:wordWrap/>
        <w:overflowPunct/>
        <w:topLinePunct w:val="0"/>
        <w:autoSpaceDE/>
        <w:autoSpaceDN/>
        <w:bidi w:val="0"/>
        <w:spacing w:line="576" w:lineRule="exact"/>
        <w:ind w:firstLine="640" w:firstLineChars="200"/>
        <w:textAlignment w:val="auto"/>
        <w:rPr>
          <w:rFonts w:eastAsia="仿宋_GB2312"/>
          <w:sz w:val="32"/>
          <w:szCs w:val="32"/>
          <w:lang w:val="zh-CN"/>
        </w:rPr>
      </w:pPr>
      <w:r>
        <w:rPr>
          <w:rFonts w:hint="eastAsia" w:eastAsia="仿宋_GB2312"/>
          <w:sz w:val="32"/>
          <w:szCs w:val="32"/>
          <w:lang w:val="zh-CN" w:eastAsia="zh-CN"/>
        </w:rPr>
        <w:t>3.</w:t>
      </w:r>
      <w:r>
        <w:rPr>
          <w:rFonts w:hint="eastAsia" w:eastAsia="仿宋_GB2312"/>
          <w:sz w:val="32"/>
          <w:szCs w:val="32"/>
          <w:lang w:val="zh-CN"/>
        </w:rPr>
        <w:t>规范账务处理，提高财务信息质量</w:t>
      </w:r>
    </w:p>
    <w:p w14:paraId="38A2AF51">
      <w:pPr>
        <w:pageBreakBefore w:val="0"/>
        <w:kinsoku/>
        <w:wordWrap/>
        <w:overflowPunct/>
        <w:topLinePunct w:val="0"/>
        <w:autoSpaceDE/>
        <w:autoSpaceDN/>
        <w:bidi w:val="0"/>
        <w:spacing w:line="576" w:lineRule="exact"/>
        <w:ind w:firstLine="640" w:firstLineChars="200"/>
        <w:textAlignment w:val="auto"/>
        <w:rPr>
          <w:rFonts w:eastAsia="仿宋_GB2312"/>
          <w:sz w:val="32"/>
          <w:szCs w:val="32"/>
          <w:lang w:val="zh-CN"/>
        </w:rPr>
      </w:pPr>
      <w:r>
        <w:rPr>
          <w:rFonts w:hint="eastAsia" w:eastAsia="仿宋_GB2312"/>
          <w:sz w:val="32"/>
          <w:szCs w:val="32"/>
          <w:lang w:val="zh-CN"/>
        </w:rPr>
        <w:t>严格按照《会计法》、《行政单位会计制度》、《行政单位财务规则》等规定，结合实际情况，科学设置支出科目，规范财务核算，完整披露相关信息。</w:t>
      </w:r>
    </w:p>
    <w:p w14:paraId="23E75AF8">
      <w:pPr>
        <w:pageBreakBefore w:val="0"/>
        <w:kinsoku/>
        <w:wordWrap/>
        <w:overflowPunct/>
        <w:topLinePunct w:val="0"/>
        <w:autoSpaceDE/>
        <w:autoSpaceDN/>
        <w:bidi w:val="0"/>
        <w:spacing w:line="576" w:lineRule="exact"/>
        <w:ind w:firstLine="640" w:firstLineChars="200"/>
        <w:textAlignment w:val="auto"/>
        <w:rPr>
          <w:rFonts w:eastAsia="仿宋_GB2312"/>
          <w:sz w:val="32"/>
          <w:szCs w:val="32"/>
          <w:lang w:val="zh-CN"/>
        </w:rPr>
      </w:pPr>
    </w:p>
    <w:p w14:paraId="68D2A952">
      <w:pPr>
        <w:pageBreakBefore w:val="0"/>
        <w:kinsoku/>
        <w:wordWrap/>
        <w:overflowPunct/>
        <w:topLinePunct w:val="0"/>
        <w:bidi w:val="0"/>
        <w:spacing w:line="576" w:lineRule="exact"/>
        <w:textAlignment w:val="auto"/>
      </w:pPr>
    </w:p>
    <w:p w14:paraId="1892BB95">
      <w:pPr>
        <w:pageBreakBefore w:val="0"/>
        <w:kinsoku/>
        <w:wordWrap/>
        <w:overflowPunct/>
        <w:topLinePunct w:val="0"/>
        <w:bidi w:val="0"/>
        <w:spacing w:line="576" w:lineRule="exact"/>
        <w:textAlignment w:val="auto"/>
      </w:pPr>
    </w:p>
    <w:p w14:paraId="5C038939">
      <w:pPr>
        <w:pageBreakBefore w:val="0"/>
        <w:kinsoku/>
        <w:wordWrap/>
        <w:overflowPunct/>
        <w:topLinePunct w:val="0"/>
        <w:bidi w:val="0"/>
        <w:spacing w:line="576" w:lineRule="exact"/>
        <w:textAlignment w:val="auto"/>
        <w:rPr>
          <w:rFonts w:hint="eastAsia" w:ascii="黑体" w:hAnsi="黑体" w:eastAsia="黑体"/>
          <w:color w:val="000000" w:themeColor="text1"/>
          <w:sz w:val="32"/>
          <w:szCs w:val="32"/>
          <w14:textFill>
            <w14:solidFill>
              <w14:schemeClr w14:val="tx1"/>
            </w14:solidFill>
          </w14:textFill>
        </w:rPr>
      </w:pPr>
    </w:p>
    <w:p w14:paraId="7EE5EC83">
      <w:pPr>
        <w:pageBreakBefore w:val="0"/>
        <w:kinsoku/>
        <w:wordWrap/>
        <w:overflowPunct/>
        <w:topLinePunct w:val="0"/>
        <w:bidi w:val="0"/>
        <w:spacing w:line="576" w:lineRule="exact"/>
        <w:textAlignment w:val="auto"/>
        <w:rPr>
          <w:rFonts w:hint="eastAsia" w:ascii="黑体" w:hAnsi="黑体" w:eastAsia="黑体"/>
          <w:color w:val="000000" w:themeColor="text1"/>
          <w:sz w:val="32"/>
          <w:szCs w:val="32"/>
          <w14:textFill>
            <w14:solidFill>
              <w14:schemeClr w14:val="tx1"/>
            </w14:solidFill>
          </w14:textFill>
        </w:rPr>
      </w:pPr>
    </w:p>
    <w:p w14:paraId="226E45A5">
      <w:pPr>
        <w:pageBreakBefore w:val="0"/>
        <w:kinsoku/>
        <w:wordWrap/>
        <w:overflowPunct/>
        <w:topLinePunct w:val="0"/>
        <w:bidi w:val="0"/>
        <w:spacing w:line="576" w:lineRule="exact"/>
        <w:textAlignment w:val="auto"/>
        <w:rPr>
          <w:rFonts w:hint="eastAsia" w:ascii="黑体" w:hAnsi="黑体" w:eastAsia="黑体"/>
          <w:color w:val="000000" w:themeColor="text1"/>
          <w:sz w:val="32"/>
          <w:szCs w:val="32"/>
          <w14:textFill>
            <w14:solidFill>
              <w14:schemeClr w14:val="tx1"/>
            </w14:solidFill>
          </w14:textFill>
        </w:rPr>
      </w:pPr>
    </w:p>
    <w:p w14:paraId="4F13CC98">
      <w:pPr>
        <w:pageBreakBefore w:val="0"/>
        <w:kinsoku/>
        <w:wordWrap/>
        <w:overflowPunct/>
        <w:topLinePunct w:val="0"/>
        <w:bidi w:val="0"/>
        <w:spacing w:line="576" w:lineRule="exact"/>
        <w:textAlignment w:val="auto"/>
        <w:rPr>
          <w:rFonts w:hint="eastAsia" w:ascii="黑体" w:hAnsi="黑体" w:eastAsia="黑体"/>
          <w:color w:val="000000" w:themeColor="text1"/>
          <w:sz w:val="32"/>
          <w:szCs w:val="32"/>
          <w14:textFill>
            <w14:solidFill>
              <w14:schemeClr w14:val="tx1"/>
            </w14:solidFill>
          </w14:textFill>
        </w:rPr>
      </w:pPr>
    </w:p>
    <w:p w14:paraId="08B325D0">
      <w:pPr>
        <w:pageBreakBefore w:val="0"/>
        <w:kinsoku/>
        <w:wordWrap/>
        <w:overflowPunct/>
        <w:topLinePunct w:val="0"/>
        <w:bidi w:val="0"/>
        <w:spacing w:line="576" w:lineRule="exact"/>
        <w:textAlignment w:val="auto"/>
        <w:rPr>
          <w:rFonts w:hint="eastAsia" w:ascii="黑体" w:hAnsi="黑体" w:eastAsia="黑体"/>
          <w:color w:val="000000" w:themeColor="text1"/>
          <w:sz w:val="32"/>
          <w:szCs w:val="32"/>
          <w14:textFill>
            <w14:solidFill>
              <w14:schemeClr w14:val="tx1"/>
            </w14:solidFill>
          </w14:textFill>
        </w:rPr>
      </w:pPr>
    </w:p>
    <w:p w14:paraId="5F1BD3F4">
      <w:pPr>
        <w:pageBreakBefore w:val="0"/>
        <w:kinsoku/>
        <w:wordWrap/>
        <w:overflowPunct/>
        <w:topLinePunct w:val="0"/>
        <w:bidi w:val="0"/>
        <w:spacing w:line="576" w:lineRule="exact"/>
        <w:textAlignment w:val="auto"/>
        <w:rPr>
          <w:rFonts w:hint="eastAsia" w:ascii="黑体" w:hAnsi="黑体" w:eastAsia="黑体"/>
          <w:color w:val="000000" w:themeColor="text1"/>
          <w:sz w:val="32"/>
          <w:szCs w:val="32"/>
          <w14:textFill>
            <w14:solidFill>
              <w14:schemeClr w14:val="tx1"/>
            </w14:solidFill>
          </w14:textFill>
        </w:rPr>
      </w:pPr>
    </w:p>
    <w:p w14:paraId="3E567307">
      <w:pPr>
        <w:pageBreakBefore w:val="0"/>
        <w:kinsoku/>
        <w:wordWrap/>
        <w:overflowPunct/>
        <w:topLinePunct w:val="0"/>
        <w:bidi w:val="0"/>
        <w:spacing w:line="576" w:lineRule="exact"/>
        <w:textAlignment w:val="auto"/>
        <w:rPr>
          <w:rFonts w:hint="eastAsia" w:ascii="黑体" w:hAnsi="黑体" w:eastAsia="黑体"/>
          <w:color w:val="000000" w:themeColor="text1"/>
          <w:sz w:val="32"/>
          <w:szCs w:val="32"/>
          <w14:textFill>
            <w14:solidFill>
              <w14:schemeClr w14:val="tx1"/>
            </w14:solidFill>
          </w14:textFill>
        </w:rPr>
      </w:pPr>
    </w:p>
    <w:p w14:paraId="4EEFCBAD">
      <w:pPr>
        <w:pageBreakBefore w:val="0"/>
        <w:kinsoku/>
        <w:wordWrap/>
        <w:overflowPunct/>
        <w:topLinePunct w:val="0"/>
        <w:bidi w:val="0"/>
        <w:spacing w:line="576" w:lineRule="exact"/>
        <w:textAlignment w:val="auto"/>
        <w:rPr>
          <w:rFonts w:hint="eastAsia" w:ascii="黑体" w:hAnsi="黑体" w:eastAsia="黑体"/>
          <w:color w:val="000000" w:themeColor="text1"/>
          <w:sz w:val="32"/>
          <w:szCs w:val="32"/>
          <w14:textFill>
            <w14:solidFill>
              <w14:schemeClr w14:val="tx1"/>
            </w14:solidFill>
          </w14:textFill>
        </w:rPr>
      </w:pPr>
    </w:p>
    <w:p w14:paraId="7CBD5FB0">
      <w:pPr>
        <w:pageBreakBefore w:val="0"/>
        <w:kinsoku/>
        <w:wordWrap/>
        <w:overflowPunct/>
        <w:topLinePunct w:val="0"/>
        <w:bidi w:val="0"/>
        <w:spacing w:line="576" w:lineRule="exact"/>
        <w:textAlignment w:val="auto"/>
        <w:rPr>
          <w:rFonts w:hint="eastAsia" w:ascii="黑体" w:hAnsi="黑体" w:eastAsia="黑体"/>
          <w:color w:val="000000" w:themeColor="text1"/>
          <w:sz w:val="32"/>
          <w:szCs w:val="32"/>
          <w14:textFill>
            <w14:solidFill>
              <w14:schemeClr w14:val="tx1"/>
            </w14:solidFill>
          </w14:textFill>
        </w:rPr>
      </w:pPr>
    </w:p>
    <w:p w14:paraId="4115222C">
      <w:pPr>
        <w:pageBreakBefore w:val="0"/>
        <w:kinsoku/>
        <w:wordWrap/>
        <w:overflowPunct/>
        <w:topLinePunct w:val="0"/>
        <w:bidi w:val="0"/>
        <w:spacing w:line="576" w:lineRule="exact"/>
        <w:textAlignment w:val="auto"/>
        <w:rPr>
          <w:rFonts w:hint="eastAsia" w:ascii="黑体" w:hAnsi="黑体" w:eastAsia="黑体"/>
          <w:color w:val="000000" w:themeColor="text1"/>
          <w:sz w:val="32"/>
          <w:szCs w:val="32"/>
          <w14:textFill>
            <w14:solidFill>
              <w14:schemeClr w14:val="tx1"/>
            </w14:solidFill>
          </w14:textFill>
        </w:rPr>
      </w:pPr>
    </w:p>
    <w:p w14:paraId="4634AF93">
      <w:pPr>
        <w:pageBreakBefore w:val="0"/>
        <w:kinsoku/>
        <w:wordWrap/>
        <w:overflowPunct/>
        <w:topLinePunct w:val="0"/>
        <w:bidi w:val="0"/>
        <w:spacing w:line="576" w:lineRule="exact"/>
        <w:textAlignment w:val="auto"/>
        <w:rPr>
          <w:rFonts w:hint="eastAsia" w:ascii="黑体" w:hAnsi="黑体" w:eastAsia="黑体"/>
          <w:color w:val="000000" w:themeColor="text1"/>
          <w:sz w:val="32"/>
          <w:szCs w:val="32"/>
          <w14:textFill>
            <w14:solidFill>
              <w14:schemeClr w14:val="tx1"/>
            </w14:solidFill>
          </w14:textFill>
        </w:rPr>
      </w:pPr>
    </w:p>
    <w:p w14:paraId="5598B3E4">
      <w:pPr>
        <w:pageBreakBefore w:val="0"/>
        <w:kinsoku/>
        <w:wordWrap/>
        <w:overflowPunct/>
        <w:topLinePunct w:val="0"/>
        <w:bidi w:val="0"/>
        <w:spacing w:line="576" w:lineRule="exact"/>
        <w:textAlignment w:val="auto"/>
        <w:rPr>
          <w:rFonts w:hint="eastAsia" w:ascii="黑体" w:hAnsi="黑体" w:eastAsia="黑体"/>
          <w:color w:val="000000" w:themeColor="text1"/>
          <w:sz w:val="32"/>
          <w:szCs w:val="32"/>
          <w14:textFill>
            <w14:solidFill>
              <w14:schemeClr w14:val="tx1"/>
            </w14:solidFill>
          </w14:textFill>
        </w:rPr>
      </w:pPr>
    </w:p>
    <w:p w14:paraId="6F0F69C8">
      <w:pPr>
        <w:pageBreakBefore w:val="0"/>
        <w:kinsoku/>
        <w:wordWrap/>
        <w:overflowPunct/>
        <w:topLinePunct w:val="0"/>
        <w:bidi w:val="0"/>
        <w:spacing w:line="576" w:lineRule="exact"/>
        <w:textAlignment w:val="auto"/>
        <w:rPr>
          <w:rFonts w:hint="eastAsia" w:ascii="黑体" w:hAnsi="黑体" w:eastAsia="黑体"/>
          <w:color w:val="000000" w:themeColor="text1"/>
          <w:sz w:val="32"/>
          <w:szCs w:val="32"/>
          <w14:textFill>
            <w14:solidFill>
              <w14:schemeClr w14:val="tx1"/>
            </w14:solidFill>
          </w14:textFill>
        </w:rPr>
      </w:pPr>
    </w:p>
    <w:p w14:paraId="581A7349">
      <w:pPr>
        <w:pageBreakBefore w:val="0"/>
        <w:kinsoku/>
        <w:wordWrap/>
        <w:overflowPunct/>
        <w:topLinePunct w:val="0"/>
        <w:bidi w:val="0"/>
        <w:spacing w:line="576" w:lineRule="exact"/>
        <w:textAlignment w:val="auto"/>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附件2</w:t>
      </w:r>
    </w:p>
    <w:p w14:paraId="63A34B5C">
      <w:pPr>
        <w:pageBreakBefore w:val="0"/>
        <w:kinsoku/>
        <w:wordWrap/>
        <w:overflowPunct/>
        <w:topLinePunct w:val="0"/>
        <w:bidi w:val="0"/>
        <w:spacing w:line="576" w:lineRule="exact"/>
        <w:textAlignment w:val="auto"/>
        <w:rPr>
          <w:rFonts w:eastAsia="仿宋_GB2312"/>
          <w:color w:val="0000FF"/>
          <w:sz w:val="32"/>
          <w:szCs w:val="32"/>
          <w:lang w:val="zh-CN"/>
        </w:rPr>
      </w:pPr>
    </w:p>
    <w:p w14:paraId="37DA2980">
      <w:pPr>
        <w:pStyle w:val="38"/>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0"/>
        <w:rPr>
          <w:rFonts w:hint="eastAsia" w:ascii="方正小标宋简体" w:hAnsi="宋体" w:eastAsia="方正小标宋简体"/>
          <w:sz w:val="44"/>
          <w:szCs w:val="44"/>
          <w:lang w:eastAsia="zh-CN"/>
        </w:rPr>
      </w:pPr>
      <w:r>
        <w:rPr>
          <w:rFonts w:hint="eastAsia" w:ascii="仿宋_GB2312" w:hAnsi="宋体" w:eastAsia="仿宋_GB2312" w:cs="仿宋_GB2312"/>
          <w:kern w:val="2"/>
          <w:sz w:val="32"/>
          <w:szCs w:val="24"/>
          <w:lang w:val="en-US" w:eastAsia="zh-CN" w:bidi="ar"/>
        </w:rPr>
        <w:t xml:space="preserve"> </w:t>
      </w:r>
      <w:r>
        <w:rPr>
          <w:rFonts w:hint="eastAsia" w:ascii="方正小标宋简体" w:hAnsi="宋体" w:eastAsia="方正小标宋简体"/>
          <w:sz w:val="44"/>
          <w:szCs w:val="44"/>
          <w:lang w:eastAsia="zh-CN"/>
        </w:rPr>
        <w:t>红原县邛溪镇人民政府</w:t>
      </w:r>
    </w:p>
    <w:p w14:paraId="29356392">
      <w:pPr>
        <w:pStyle w:val="38"/>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0"/>
        <w:rPr>
          <w:rFonts w:hint="eastAsia" w:ascii="方正小标宋简体" w:hAnsi="宋体" w:eastAsia="方正小标宋简体"/>
          <w:sz w:val="44"/>
          <w:szCs w:val="44"/>
          <w:lang w:val="en-US" w:eastAsia="zh-CN"/>
        </w:rPr>
      </w:pPr>
      <w:r>
        <w:rPr>
          <w:rFonts w:hint="eastAsia" w:ascii="方正小标宋简体" w:hAnsi="宋体" w:eastAsia="方正小标宋简体"/>
          <w:sz w:val="44"/>
          <w:szCs w:val="44"/>
          <w:lang w:val="en-US" w:eastAsia="zh-CN"/>
        </w:rPr>
        <w:t>关于邛溪镇各村生产性道路维修项目绩效</w:t>
      </w:r>
    </w:p>
    <w:p w14:paraId="2C70730F">
      <w:pPr>
        <w:pStyle w:val="38"/>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0"/>
        <w:rPr>
          <w:rFonts w:ascii="仿宋_GB2312" w:hAnsi="宋体" w:eastAsia="仿宋_GB2312"/>
          <w:color w:val="auto"/>
          <w:kern w:val="2"/>
          <w:sz w:val="32"/>
          <w:szCs w:val="32"/>
        </w:rPr>
      </w:pPr>
      <w:r>
        <w:rPr>
          <w:rFonts w:hint="eastAsia" w:ascii="方正小标宋简体" w:hAnsi="宋体" w:eastAsia="方正小标宋简体"/>
          <w:sz w:val="44"/>
          <w:szCs w:val="44"/>
        </w:rPr>
        <w:t>自评报告</w:t>
      </w:r>
    </w:p>
    <w:p w14:paraId="33B5090E">
      <w:pPr>
        <w:pStyle w:val="38"/>
        <w:keepNext w:val="0"/>
        <w:keepLines w:val="0"/>
        <w:pageBreakBefore w:val="0"/>
        <w:widowControl w:val="0"/>
        <w:kinsoku/>
        <w:wordWrap/>
        <w:overflowPunct/>
        <w:topLinePunct w:val="0"/>
        <w:autoSpaceDE/>
        <w:autoSpaceDN/>
        <w:bidi w:val="0"/>
        <w:spacing w:line="576" w:lineRule="exact"/>
        <w:ind w:firstLine="640"/>
        <w:jc w:val="center"/>
        <w:textAlignment w:val="auto"/>
        <w:rPr>
          <w:rFonts w:ascii="宋体" w:hAnsi="宋体"/>
          <w:color w:val="auto"/>
          <w:kern w:val="2"/>
          <w:sz w:val="32"/>
          <w:szCs w:val="32"/>
        </w:rPr>
      </w:pPr>
    </w:p>
    <w:p w14:paraId="525E0FEE">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0"/>
        <w:rPr>
          <w:rFonts w:hint="eastAsia"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14:paraId="6B5C8A6A">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576" w:lineRule="exact"/>
        <w:ind w:left="0" w:right="0" w:firstLine="72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sz w:val="32"/>
          <w:szCs w:val="32"/>
          <w:lang w:val="zh-CN"/>
        </w:rPr>
        <w:t>（一）项目资金申报及批复情况。</w:t>
      </w:r>
      <w:r>
        <w:rPr>
          <w:rFonts w:hint="eastAsia" w:ascii="仿宋_GB2312" w:hAnsi="仿宋_GB2312" w:eastAsia="仿宋_GB2312" w:cs="仿宋_GB2312"/>
          <w:sz w:val="32"/>
          <w:szCs w:val="32"/>
          <w:lang w:val="en-US" w:eastAsia="zh-CN"/>
        </w:rPr>
        <w:t>邛溪镇各村生产性道路维修项目</w:t>
      </w:r>
      <w:r>
        <w:rPr>
          <w:rFonts w:hint="eastAsia" w:ascii="仿宋_GB2312" w:hAnsi="仿宋_GB2312" w:eastAsia="仿宋_GB2312" w:cs="仿宋_GB2312"/>
          <w:kern w:val="2"/>
          <w:sz w:val="32"/>
          <w:szCs w:val="32"/>
          <w:lang w:val="en-US" w:eastAsia="zh-CN" w:bidi="ar"/>
        </w:rPr>
        <w:t>，项目下达资金50万元，资金来源文号为：红财发〔2024〕50号，资金来源于</w:t>
      </w:r>
      <w:r>
        <w:rPr>
          <w:rFonts w:hint="eastAsia" w:ascii="仿宋_GB2312" w:hAnsi="仿宋_GB2312" w:eastAsia="仿宋_GB2312" w:cs="仿宋_GB2312"/>
          <w:kern w:val="2"/>
          <w:sz w:val="32"/>
          <w:szCs w:val="32"/>
          <w:lang w:val="zh-CN" w:eastAsia="zh-CN" w:bidi="ar"/>
        </w:rPr>
        <w:t>20</w:t>
      </w:r>
      <w:r>
        <w:rPr>
          <w:rFonts w:hint="eastAsia" w:ascii="仿宋_GB2312" w:hAnsi="仿宋_GB2312" w:eastAsia="仿宋_GB2312" w:cs="仿宋_GB2312"/>
          <w:kern w:val="2"/>
          <w:sz w:val="32"/>
          <w:szCs w:val="32"/>
          <w:lang w:val="en-US" w:eastAsia="zh-CN" w:bidi="ar"/>
        </w:rPr>
        <w:t>24</w:t>
      </w:r>
      <w:r>
        <w:rPr>
          <w:rFonts w:hint="eastAsia" w:ascii="仿宋_GB2312" w:hAnsi="仿宋_GB2312" w:eastAsia="仿宋_GB2312" w:cs="仿宋_GB2312"/>
          <w:kern w:val="2"/>
          <w:sz w:val="32"/>
          <w:szCs w:val="32"/>
          <w:lang w:val="zh-CN" w:eastAsia="zh-CN" w:bidi="ar"/>
        </w:rPr>
        <w:t>年乡村振兴衔接</w:t>
      </w:r>
      <w:r>
        <w:rPr>
          <w:rFonts w:hint="eastAsia" w:ascii="仿宋_GB2312" w:hAnsi="仿宋_GB2312" w:eastAsia="仿宋_GB2312" w:cs="仿宋_GB2312"/>
          <w:kern w:val="2"/>
          <w:sz w:val="32"/>
          <w:szCs w:val="32"/>
          <w:lang w:val="en-US" w:eastAsia="zh-CN" w:bidi="ar"/>
        </w:rPr>
        <w:t>资金（第一批）。</w:t>
      </w:r>
    </w:p>
    <w:p w14:paraId="4DA07F34">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（二）项目绩效目标。</w:t>
      </w:r>
    </w:p>
    <w:p w14:paraId="616D6C8B">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建设内容：维修生产线道路50km。</w:t>
      </w:r>
    </w:p>
    <w:p w14:paraId="6167225B">
      <w:pPr>
        <w:pStyle w:val="8"/>
        <w:pageBreakBefore w:val="0"/>
        <w:widowControl w:val="0"/>
        <w:kinsoku/>
        <w:wordWrap/>
        <w:topLinePunct w:val="0"/>
        <w:bidi w:val="0"/>
        <w:spacing w:before="0"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主要目标：完成维修牧道50km；绩效指标：牧道维修≥50km，验收合格100%，验收及时率100%，施工工期≤180天，维修每公里成本≤1万元，受益人口数≥1000人，受益脱贫人口数≥400人，受益群众满意度≥95%。</w:t>
      </w:r>
    </w:p>
    <w:p w14:paraId="0BF33B3B">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b/>
          <w:sz w:val="32"/>
          <w:szCs w:val="32"/>
          <w:lang w:val="zh-CN"/>
        </w:rPr>
        <w:t>（三）项目资金申报相符性。</w:t>
      </w:r>
      <w:r>
        <w:rPr>
          <w:rFonts w:hint="eastAsia" w:ascii="仿宋_GB2312" w:hAnsi="仿宋_GB2312" w:eastAsia="仿宋_GB2312" w:cs="仿宋_GB2312"/>
          <w:sz w:val="32"/>
          <w:szCs w:val="32"/>
          <w:lang w:val="zh-CN" w:eastAsia="zh-CN"/>
        </w:rPr>
        <w:t>项目申报内容与具体实施内容相符、申报目标合理可行。</w:t>
      </w:r>
    </w:p>
    <w:p w14:paraId="44FC63E2">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0"/>
        <w:rPr>
          <w:rFonts w:hint="eastAsia" w:ascii="黑体" w:hAnsi="黑体" w:eastAsia="黑体" w:cs="黑体"/>
          <w:sz w:val="32"/>
          <w:szCs w:val="32"/>
        </w:rPr>
      </w:pPr>
      <w:r>
        <w:rPr>
          <w:rFonts w:hint="eastAsia" w:ascii="黑体" w:hAnsi="黑体" w:eastAsia="黑体" w:cs="黑体"/>
          <w:sz w:val="32"/>
          <w:szCs w:val="32"/>
        </w:rPr>
        <w:t>二、项目实施及管理情况</w:t>
      </w:r>
    </w:p>
    <w:p w14:paraId="665A74FB">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1"/>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lang w:val="zh-CN"/>
        </w:rPr>
        <w:tab/>
      </w:r>
      <w:r>
        <w:rPr>
          <w:rFonts w:hint="eastAsia" w:ascii="仿宋_GB2312" w:hAnsi="仿宋_GB2312" w:eastAsia="仿宋_GB2312" w:cs="仿宋_GB2312"/>
          <w:b/>
          <w:sz w:val="32"/>
          <w:szCs w:val="32"/>
          <w:lang w:val="zh-CN"/>
        </w:rPr>
        <w:t>（一）资金计划、到位及使用情况。</w:t>
      </w:r>
    </w:p>
    <w:p w14:paraId="25BADEF1">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576" w:lineRule="exact"/>
        <w:ind w:left="0" w:right="0" w:firstLine="720"/>
        <w:jc w:val="both"/>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bCs/>
          <w:sz w:val="32"/>
          <w:szCs w:val="32"/>
          <w:lang w:val="zh-CN"/>
        </w:rPr>
        <w:t>1．资金计划及到位。</w:t>
      </w:r>
      <w:r>
        <w:rPr>
          <w:rFonts w:hint="eastAsia" w:ascii="仿宋_GB2312" w:hAnsi="仿宋_GB2312" w:eastAsia="仿宋_GB2312" w:cs="仿宋_GB2312"/>
          <w:kern w:val="2"/>
          <w:sz w:val="32"/>
          <w:szCs w:val="32"/>
          <w:lang w:val="en-US" w:eastAsia="zh-CN" w:bidi="ar"/>
        </w:rPr>
        <w:t>该项目概算总投资50万元，全部为2024</w:t>
      </w:r>
      <w:r>
        <w:rPr>
          <w:rFonts w:hint="eastAsia" w:ascii="仿宋_GB2312" w:hAnsi="仿宋_GB2312" w:eastAsia="仿宋_GB2312" w:cs="仿宋_GB2312"/>
          <w:kern w:val="2"/>
          <w:sz w:val="32"/>
          <w:szCs w:val="32"/>
          <w:lang w:val="zh-CN" w:eastAsia="zh-CN" w:bidi="ar"/>
        </w:rPr>
        <w:t>年乡村振兴衔接</w:t>
      </w:r>
      <w:r>
        <w:rPr>
          <w:rFonts w:hint="eastAsia" w:ascii="仿宋_GB2312" w:hAnsi="仿宋_GB2312" w:eastAsia="仿宋_GB2312" w:cs="仿宋_GB2312"/>
          <w:kern w:val="2"/>
          <w:sz w:val="32"/>
          <w:szCs w:val="32"/>
          <w:lang w:val="en-US" w:eastAsia="zh-CN" w:bidi="ar"/>
        </w:rPr>
        <w:t>资金，资金到位及时，资金到位率100%。</w:t>
      </w:r>
    </w:p>
    <w:p w14:paraId="1DECD136">
      <w:pPr>
        <w:keepNext w:val="0"/>
        <w:keepLines w:val="0"/>
        <w:pageBreakBefore w:val="0"/>
        <w:widowControl w:val="0"/>
        <w:kinsoku/>
        <w:wordWrap/>
        <w:overflowPunct w:val="0"/>
        <w:topLinePunct w:val="0"/>
        <w:autoSpaceDE w:val="0"/>
        <w:autoSpaceDN w:val="0"/>
        <w:bidi w:val="0"/>
        <w:spacing w:after="0" w:line="576" w:lineRule="exact"/>
        <w:ind w:firstLine="643" w:firstLineChars="200"/>
        <w:jc w:val="both"/>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bCs/>
          <w:sz w:val="32"/>
          <w:szCs w:val="32"/>
          <w:lang w:val="zh-CN"/>
        </w:rPr>
        <w:t>2．资金使用。</w:t>
      </w:r>
      <w:r>
        <w:rPr>
          <w:rFonts w:hint="eastAsia" w:ascii="仿宋_GB2312" w:hAnsi="仿宋_GB2312" w:eastAsia="仿宋_GB2312" w:cs="仿宋_GB2312"/>
          <w:kern w:val="2"/>
          <w:sz w:val="32"/>
          <w:szCs w:val="32"/>
          <w:lang w:val="en-US" w:eastAsia="zh-CN" w:bidi="ar"/>
        </w:rPr>
        <w:t>该项目资金严格按照相关规程及工程施工合同约定进行拨付，按照合同约定拨付499840元。</w:t>
      </w:r>
    </w:p>
    <w:p w14:paraId="08B490D2">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textAlignment w:val="auto"/>
        <w:outlineLvl w:val="1"/>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（二）项目财务管理情况。</w:t>
      </w:r>
    </w:p>
    <w:p w14:paraId="5CA8F3E3">
      <w:pPr>
        <w:keepNext w:val="0"/>
        <w:keepLines w:val="0"/>
        <w:pageBreakBefore w:val="0"/>
        <w:widowControl w:val="0"/>
        <w:suppressLineNumbers w:val="0"/>
        <w:kinsoku/>
        <w:wordWrap/>
        <w:overflowPunct w:val="0"/>
        <w:topLinePunct w:val="0"/>
        <w:autoSpaceDE w:val="0"/>
        <w:autoSpaceDN w:val="0"/>
        <w:bidi w:val="0"/>
        <w:adjustRightInd w:val="0"/>
        <w:snapToGrid w:val="0"/>
        <w:spacing w:beforeAutospacing="0" w:after="0" w:afterAutospacing="0" w:line="576" w:lineRule="exact"/>
        <w:ind w:left="0" w:right="0" w:firstLine="720"/>
        <w:jc w:val="both"/>
        <w:textAlignment w:val="auto"/>
        <w:rPr>
          <w:rFonts w:hint="eastAsia" w:ascii="仿宋_GB2312" w:hAnsi="仿宋_GB2312" w:eastAsia="仿宋_GB2312" w:cs="仿宋_GB2312"/>
          <w:color w:val="auto"/>
          <w:kern w:val="2"/>
          <w:sz w:val="32"/>
          <w:szCs w:val="32"/>
          <w:lang w:val="zh-CN" w:eastAsia="zh-CN" w:bidi="ar"/>
        </w:rPr>
      </w:pPr>
      <w:r>
        <w:rPr>
          <w:rFonts w:hint="eastAsia" w:ascii="仿宋_GB2312" w:hAnsi="仿宋_GB2312" w:eastAsia="仿宋_GB2312" w:cs="仿宋_GB2312"/>
          <w:sz w:val="32"/>
          <w:szCs w:val="32"/>
          <w:lang w:val="en-US" w:eastAsia="zh-CN"/>
        </w:rPr>
        <w:t>溪镇各村生产性道路维修项目</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kern w:val="2"/>
          <w:sz w:val="32"/>
          <w:szCs w:val="32"/>
          <w:lang w:val="zh-CN" w:eastAsia="zh-CN" w:bidi="ar"/>
        </w:rPr>
        <w:t>实施单位</w:t>
      </w:r>
      <w:r>
        <w:rPr>
          <w:rFonts w:hint="eastAsia" w:ascii="仿宋_GB2312" w:hAnsi="仿宋_GB2312" w:eastAsia="仿宋_GB2312" w:cs="仿宋_GB2312"/>
          <w:color w:val="auto"/>
          <w:kern w:val="2"/>
          <w:sz w:val="32"/>
          <w:szCs w:val="32"/>
          <w:lang w:val="en-US" w:eastAsia="zh-CN" w:bidi="ar"/>
        </w:rPr>
        <w:t>是红原县邛溪镇人民政府，实施部门</w:t>
      </w:r>
      <w:r>
        <w:rPr>
          <w:rFonts w:hint="eastAsia" w:ascii="仿宋_GB2312" w:hAnsi="仿宋_GB2312" w:eastAsia="仿宋_GB2312" w:cs="仿宋_GB2312"/>
          <w:color w:val="auto"/>
          <w:kern w:val="2"/>
          <w:sz w:val="32"/>
          <w:szCs w:val="32"/>
          <w:lang w:val="zh-CN" w:eastAsia="zh-CN" w:bidi="ar"/>
        </w:rPr>
        <w:t>财务管理制度健全，</w:t>
      </w:r>
      <w:r>
        <w:rPr>
          <w:rFonts w:hint="eastAsia" w:ascii="仿宋_GB2312" w:hAnsi="仿宋_GB2312" w:eastAsia="仿宋_GB2312" w:cs="仿宋_GB2312"/>
          <w:color w:val="auto"/>
          <w:kern w:val="2"/>
          <w:sz w:val="32"/>
          <w:szCs w:val="32"/>
          <w:lang w:val="en-US" w:eastAsia="zh-CN" w:bidi="ar"/>
        </w:rPr>
        <w:t>能</w:t>
      </w:r>
      <w:r>
        <w:rPr>
          <w:rFonts w:hint="eastAsia" w:ascii="仿宋_GB2312" w:hAnsi="仿宋_GB2312" w:eastAsia="仿宋_GB2312" w:cs="仿宋_GB2312"/>
          <w:color w:val="auto"/>
          <w:kern w:val="2"/>
          <w:sz w:val="32"/>
          <w:szCs w:val="32"/>
          <w:lang w:val="zh-CN" w:eastAsia="zh-CN" w:bidi="ar"/>
        </w:rPr>
        <w:t>严格执行财务管理制度，账务处理及时，会计、</w:t>
      </w:r>
      <w:r>
        <w:rPr>
          <w:rFonts w:hint="eastAsia" w:ascii="仿宋_GB2312" w:hAnsi="仿宋_GB2312" w:eastAsia="仿宋_GB2312" w:cs="仿宋_GB2312"/>
          <w:color w:val="auto"/>
          <w:kern w:val="2"/>
          <w:sz w:val="32"/>
          <w:szCs w:val="32"/>
          <w:lang w:val="en-US" w:eastAsia="zh-CN" w:bidi="ar"/>
        </w:rPr>
        <w:t>出纳</w:t>
      </w:r>
      <w:r>
        <w:rPr>
          <w:rFonts w:hint="eastAsia" w:ascii="仿宋_GB2312" w:hAnsi="仿宋_GB2312" w:eastAsia="仿宋_GB2312" w:cs="仿宋_GB2312"/>
          <w:color w:val="auto"/>
          <w:kern w:val="2"/>
          <w:sz w:val="32"/>
          <w:szCs w:val="32"/>
          <w:lang w:val="zh-CN" w:eastAsia="zh-CN" w:bidi="ar"/>
        </w:rPr>
        <w:t>核算</w:t>
      </w:r>
      <w:r>
        <w:rPr>
          <w:rFonts w:hint="eastAsia" w:ascii="仿宋_GB2312" w:hAnsi="仿宋_GB2312" w:eastAsia="仿宋_GB2312" w:cs="仿宋_GB2312"/>
          <w:color w:val="auto"/>
          <w:kern w:val="2"/>
          <w:sz w:val="32"/>
          <w:szCs w:val="32"/>
          <w:lang w:val="en-US" w:eastAsia="zh-CN" w:bidi="ar"/>
        </w:rPr>
        <w:t>较为准确规范。</w:t>
      </w:r>
    </w:p>
    <w:p w14:paraId="2DE27E59">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textAlignment w:val="auto"/>
        <w:outlineLvl w:val="1"/>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（三）项目组织实施情况。</w:t>
      </w:r>
    </w:p>
    <w:p w14:paraId="703D90E6">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textAlignment w:val="auto"/>
        <w:outlineLvl w:val="0"/>
        <w:rPr>
          <w:rFonts w:hint="eastAsia" w:ascii="仿宋_GB2312" w:hAnsi="仿宋_GB2312" w:eastAsia="仿宋_GB2312" w:cs="仿宋_GB2312"/>
          <w:color w:val="FF0000"/>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本项目由红原县邛溪镇人民政府负责具体实施，县科农局负责项目监管，县财政局负责监管项目资金。项目实施严格按照相关流程进行，包括：资金下达、项目选址、确定建设户、方案编制、项目公示、确定施工方、进场施工、资金拨付、资料收集归档。</w:t>
      </w:r>
    </w:p>
    <w:p w14:paraId="40F96840">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textAlignment w:val="auto"/>
        <w:outlineLvl w:val="0"/>
        <w:rPr>
          <w:rFonts w:hint="eastAsia" w:ascii="仿宋_GB2312" w:hAnsi="仿宋_GB2312" w:eastAsia="仿宋_GB2312" w:cs="仿宋_GB2312"/>
          <w:sz w:val="32"/>
          <w:szCs w:val="32"/>
          <w:lang w:val="zh-CN"/>
        </w:rPr>
      </w:pPr>
      <w:r>
        <w:rPr>
          <w:rFonts w:hint="eastAsia" w:ascii="黑体" w:hAnsi="黑体" w:eastAsia="黑体" w:cs="黑体"/>
          <w:sz w:val="32"/>
          <w:szCs w:val="32"/>
        </w:rPr>
        <w:t>三、项目绩效情况</w:t>
      </w:r>
      <w:r>
        <w:rPr>
          <w:rFonts w:hint="eastAsia" w:ascii="仿宋_GB2312" w:hAnsi="仿宋_GB2312" w:eastAsia="仿宋_GB2312" w:cs="仿宋_GB2312"/>
          <w:sz w:val="32"/>
          <w:szCs w:val="32"/>
          <w:lang w:val="zh-CN"/>
        </w:rPr>
        <w:tab/>
      </w:r>
    </w:p>
    <w:p w14:paraId="13A0D01D">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（一）项目完成情况。</w:t>
      </w:r>
    </w:p>
    <w:p w14:paraId="12646FFA">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项目于 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日开工，</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日完工并竣工验收合格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zh-CN"/>
        </w:rPr>
        <w:t>该项目已全面保质保量顺利完成。</w:t>
      </w:r>
    </w:p>
    <w:p w14:paraId="568E9B1A">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（二）项目效益情况。</w:t>
      </w:r>
    </w:p>
    <w:p w14:paraId="21EFC930">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auto"/>
          <w:sz w:val="32"/>
          <w:szCs w:val="32"/>
          <w:lang w:val="en-US" w:eastAsia="zh-CN"/>
        </w:rPr>
        <w:t>经济效益：</w:t>
      </w:r>
      <w:r>
        <w:rPr>
          <w:rFonts w:hint="eastAsia" w:ascii="仿宋_GB2312" w:hAnsi="仿宋_GB2312" w:eastAsia="仿宋_GB2312" w:cs="仿宋_GB2312"/>
          <w:sz w:val="32"/>
          <w:szCs w:val="32"/>
          <w:lang w:val="en-US" w:eastAsia="zh-CN"/>
        </w:rPr>
        <w:t>溪镇各村生产性道路维修项目，通过实施该项目，能够进一步牧区生产性道路，极大绩效牧民从事畜牧成产活动所花费的交通运输成本和时间成本。项目建成后，大大提升畜牧产业发展，积极应对恶劣天气影响，也将极大改善邛溪镇畜牧产品生产条件，本项目惠及各村全部牧民群众。</w:t>
      </w:r>
    </w:p>
    <w:p w14:paraId="1C65881D">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社会效益：该项目的实施</w:t>
      </w:r>
      <w:r>
        <w:rPr>
          <w:rFonts w:hint="eastAsia" w:ascii="仿宋_GB2312" w:hAnsi="仿宋_GB2312" w:eastAsia="仿宋_GB2312" w:cs="仿宋_GB2312"/>
          <w:sz w:val="32"/>
          <w:szCs w:val="32"/>
          <w:lang w:val="en-US" w:eastAsia="zh-CN"/>
        </w:rPr>
        <w:t>是巩固脱贫攻坚战略的重要举措。项目建设有利于保护牧民发展畜牧业，提高农牧民群众生活质量；有利于推动我镇城乡统筹发展，对我镇的国民经济和社会发展助推作用显著。该项目的实施不仅可改善牧区群众生活条件，促进社会稳定，而且可以极大地推动乡村振兴战略实施。方便牧民群众产业发展。</w:t>
      </w:r>
    </w:p>
    <w:p w14:paraId="2310743B">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0"/>
        <w:rPr>
          <w:rFonts w:hint="eastAsia" w:ascii="黑体" w:hAnsi="黑体" w:eastAsia="黑体" w:cs="黑体"/>
          <w:sz w:val="32"/>
          <w:szCs w:val="32"/>
        </w:rPr>
      </w:pPr>
      <w:r>
        <w:rPr>
          <w:rFonts w:hint="eastAsia" w:ascii="黑体" w:hAnsi="黑体" w:eastAsia="黑体" w:cs="黑体"/>
          <w:sz w:val="32"/>
          <w:szCs w:val="32"/>
        </w:rPr>
        <w:t>四、问题及建议</w:t>
      </w:r>
    </w:p>
    <w:p w14:paraId="141D9B38">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1"/>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（一）存在的问题。</w:t>
      </w:r>
    </w:p>
    <w:p w14:paraId="03B0B8F3">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无。</w:t>
      </w:r>
    </w:p>
    <w:p w14:paraId="3868EF5B">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1"/>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（二）相关建议。</w:t>
      </w:r>
    </w:p>
    <w:p w14:paraId="2DFF23A1">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无。</w:t>
      </w:r>
    </w:p>
    <w:tbl>
      <w:tblPr>
        <w:tblStyle w:val="19"/>
        <w:tblpPr w:leftFromText="180" w:rightFromText="180" w:vertAnchor="text" w:horzAnchor="page" w:tblpX="1004" w:tblpY="526"/>
        <w:tblOverlap w:val="never"/>
        <w:tblW w:w="105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5"/>
        <w:gridCol w:w="1110"/>
        <w:gridCol w:w="1515"/>
        <w:gridCol w:w="1620"/>
        <w:gridCol w:w="2730"/>
        <w:gridCol w:w="1410"/>
        <w:gridCol w:w="1380"/>
      </w:tblGrid>
      <w:tr w14:paraId="641A6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500" w:type="dxa"/>
            <w:gridSpan w:val="7"/>
            <w:tcBorders>
              <w:top w:val="nil"/>
              <w:left w:val="nil"/>
              <w:bottom w:val="nil"/>
              <w:right w:val="nil"/>
            </w:tcBorders>
            <w:shd w:val="clear" w:color="auto" w:fill="FFFFFF"/>
            <w:vAlign w:val="center"/>
          </w:tcPr>
          <w:p w14:paraId="09D84A9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绩效目标</w:t>
            </w:r>
            <w:r>
              <w:rPr>
                <w:rFonts w:hint="eastAsia" w:ascii="宋体" w:hAnsi="宋体" w:cs="宋体"/>
                <w:b/>
                <w:bCs/>
                <w:i w:val="0"/>
                <w:iCs w:val="0"/>
                <w:color w:val="000000"/>
                <w:kern w:val="0"/>
                <w:sz w:val="32"/>
                <w:szCs w:val="32"/>
                <w:u w:val="none"/>
                <w:lang w:val="en-US" w:eastAsia="zh-CN" w:bidi="ar"/>
              </w:rPr>
              <w:t>自评</w:t>
            </w:r>
            <w:r>
              <w:rPr>
                <w:rFonts w:hint="eastAsia" w:ascii="宋体" w:hAnsi="宋体" w:eastAsia="宋体" w:cs="宋体"/>
                <w:b/>
                <w:bCs/>
                <w:i w:val="0"/>
                <w:iCs w:val="0"/>
                <w:color w:val="000000"/>
                <w:kern w:val="0"/>
                <w:sz w:val="32"/>
                <w:szCs w:val="32"/>
                <w:u w:val="none"/>
                <w:lang w:val="en-US" w:eastAsia="zh-CN" w:bidi="ar"/>
              </w:rPr>
              <w:t>表</w:t>
            </w:r>
          </w:p>
        </w:tc>
      </w:tr>
      <w:tr w14:paraId="56124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0500" w:type="dxa"/>
            <w:gridSpan w:val="7"/>
            <w:tcBorders>
              <w:top w:val="nil"/>
              <w:left w:val="nil"/>
              <w:bottom w:val="single" w:color="000000" w:sz="4" w:space="0"/>
              <w:right w:val="nil"/>
            </w:tcBorders>
            <w:shd w:val="clear" w:color="auto" w:fill="FFFFFF"/>
            <w:vAlign w:val="top"/>
          </w:tcPr>
          <w:p w14:paraId="4CD24E15">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（2024年度）</w:t>
            </w:r>
          </w:p>
        </w:tc>
      </w:tr>
      <w:tr w14:paraId="42357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84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FF9B6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96830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2024年生产性道路维修</w:t>
            </w:r>
          </w:p>
        </w:tc>
        <w:tc>
          <w:tcPr>
            <w:tcW w:w="2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DEEF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项目负责人及电话</w:t>
            </w:r>
          </w:p>
        </w:tc>
        <w:tc>
          <w:tcPr>
            <w:tcW w:w="279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DC6AE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曹俊</w:t>
            </w:r>
            <w:r>
              <w:rPr>
                <w:rFonts w:hint="eastAsia" w:ascii="宋体" w:hAnsi="宋体" w:cs="宋体"/>
                <w:i w:val="0"/>
                <w:iCs w:val="0"/>
                <w:color w:val="000000"/>
                <w:kern w:val="0"/>
                <w:sz w:val="20"/>
                <w:szCs w:val="20"/>
                <w:u w:val="none"/>
                <w:lang w:val="en-US" w:eastAsia="zh-CN" w:bidi="ar"/>
              </w:rPr>
              <w:t>2662632</w:t>
            </w:r>
          </w:p>
        </w:tc>
      </w:tr>
      <w:tr w14:paraId="1212D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84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D5772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91AEA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科农局</w:t>
            </w:r>
          </w:p>
        </w:tc>
        <w:tc>
          <w:tcPr>
            <w:tcW w:w="2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F9B7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279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C0517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邛溪镇人民政府</w:t>
            </w:r>
          </w:p>
        </w:tc>
      </w:tr>
      <w:tr w14:paraId="6E245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845"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397DA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D9019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552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7A88D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r>
      <w:tr w14:paraId="02488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84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B63D05">
            <w:pPr>
              <w:jc w:val="center"/>
              <w:rPr>
                <w:rFonts w:hint="eastAsia" w:ascii="宋体" w:hAnsi="宋体" w:eastAsia="宋体" w:cs="宋体"/>
                <w:i w:val="0"/>
                <w:iCs w:val="0"/>
                <w:color w:val="000000"/>
                <w:sz w:val="20"/>
                <w:szCs w:val="20"/>
                <w:u w:val="none"/>
              </w:rPr>
            </w:pP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098F2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其中：财政拨款</w:t>
            </w:r>
          </w:p>
        </w:tc>
        <w:tc>
          <w:tcPr>
            <w:tcW w:w="552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F45C6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r>
      <w:tr w14:paraId="2BAC7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84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6FFB28">
            <w:pPr>
              <w:jc w:val="center"/>
              <w:rPr>
                <w:rFonts w:hint="eastAsia" w:ascii="宋体" w:hAnsi="宋体" w:eastAsia="宋体" w:cs="宋体"/>
                <w:i w:val="0"/>
                <w:iCs w:val="0"/>
                <w:color w:val="000000"/>
                <w:sz w:val="20"/>
                <w:szCs w:val="20"/>
                <w:u w:val="none"/>
              </w:rPr>
            </w:pP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7E588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552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0973164">
            <w:pPr>
              <w:jc w:val="center"/>
              <w:rPr>
                <w:rFonts w:hint="eastAsia" w:ascii="宋体" w:hAnsi="宋体" w:eastAsia="宋体" w:cs="宋体"/>
                <w:i w:val="0"/>
                <w:iCs w:val="0"/>
                <w:color w:val="000000"/>
                <w:sz w:val="20"/>
                <w:szCs w:val="20"/>
                <w:u w:val="none"/>
              </w:rPr>
            </w:pPr>
          </w:p>
        </w:tc>
      </w:tr>
      <w:tr w14:paraId="7503F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A3A9B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p>
        </w:tc>
        <w:tc>
          <w:tcPr>
            <w:tcW w:w="9765"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01E51E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年度目标</w:t>
            </w:r>
          </w:p>
        </w:tc>
      </w:tr>
      <w:tr w14:paraId="69832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C3694A">
            <w:pPr>
              <w:jc w:val="center"/>
              <w:rPr>
                <w:rFonts w:hint="eastAsia" w:ascii="宋体" w:hAnsi="宋体" w:eastAsia="宋体" w:cs="宋体"/>
                <w:i w:val="0"/>
                <w:iCs w:val="0"/>
                <w:color w:val="000000"/>
                <w:sz w:val="20"/>
                <w:szCs w:val="20"/>
                <w:u w:val="none"/>
              </w:rPr>
            </w:pPr>
          </w:p>
        </w:tc>
        <w:tc>
          <w:tcPr>
            <w:tcW w:w="9765"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6CA60D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完成维修牧道50km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w:t>
            </w:r>
          </w:p>
        </w:tc>
      </w:tr>
      <w:tr w14:paraId="579AD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74428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1466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094A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73BA1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4E74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指标值</w:t>
            </w:r>
          </w:p>
        </w:tc>
      </w:tr>
      <w:tr w14:paraId="60F46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230E8D">
            <w:pPr>
              <w:jc w:val="center"/>
              <w:rPr>
                <w:rFonts w:hint="eastAsia" w:ascii="宋体" w:hAnsi="宋体" w:eastAsia="宋体" w:cs="宋体"/>
                <w:i w:val="0"/>
                <w:iCs w:val="0"/>
                <w:color w:val="000000"/>
                <w:sz w:val="20"/>
                <w:szCs w:val="20"/>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6859D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74C00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DF476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牧道维修</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DD70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50公里</w:t>
            </w:r>
          </w:p>
        </w:tc>
      </w:tr>
      <w:tr w14:paraId="7862D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138629">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8E1D04">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308094">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581B6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EA9B05">
            <w:pPr>
              <w:rPr>
                <w:rFonts w:hint="eastAsia" w:ascii="宋体" w:hAnsi="宋体" w:eastAsia="宋体" w:cs="宋体"/>
                <w:i w:val="0"/>
                <w:iCs w:val="0"/>
                <w:color w:val="000000"/>
                <w:sz w:val="20"/>
                <w:szCs w:val="20"/>
                <w:u w:val="none"/>
              </w:rPr>
            </w:pPr>
          </w:p>
        </w:tc>
      </w:tr>
      <w:tr w14:paraId="631C2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BDD5B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01BB3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48A27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9690C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验收合格率</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D7F6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24BEE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7C56F4F">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1ED3EC">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53782C">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FA443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09564B">
            <w:pPr>
              <w:rPr>
                <w:rFonts w:hint="eastAsia" w:ascii="宋体" w:hAnsi="宋体" w:eastAsia="宋体" w:cs="宋体"/>
                <w:i w:val="0"/>
                <w:iCs w:val="0"/>
                <w:color w:val="000000"/>
                <w:sz w:val="20"/>
                <w:szCs w:val="20"/>
                <w:u w:val="none"/>
              </w:rPr>
            </w:pPr>
          </w:p>
        </w:tc>
      </w:tr>
      <w:tr w14:paraId="70144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7C15DA">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78E0E0">
            <w:pPr>
              <w:jc w:val="center"/>
              <w:rPr>
                <w:rFonts w:hint="eastAsia" w:ascii="宋体" w:hAnsi="宋体" w:eastAsia="宋体" w:cs="宋体"/>
                <w:i w:val="0"/>
                <w:iCs w:val="0"/>
                <w:color w:val="000000"/>
                <w:sz w:val="20"/>
                <w:szCs w:val="20"/>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9DF1C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957DF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项目验收及时率</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84C5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04370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876C8A">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ECEBE5">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059673E">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20D8A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施工工期</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B8D4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≤180天</w:t>
            </w:r>
          </w:p>
        </w:tc>
      </w:tr>
      <w:tr w14:paraId="60655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959C7B">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5622C7">
            <w:pPr>
              <w:jc w:val="center"/>
              <w:rPr>
                <w:rFonts w:hint="eastAsia" w:ascii="宋体" w:hAnsi="宋体" w:eastAsia="宋体" w:cs="宋体"/>
                <w:i w:val="0"/>
                <w:iCs w:val="0"/>
                <w:color w:val="000000"/>
                <w:sz w:val="20"/>
                <w:szCs w:val="20"/>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84BF8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0C9D3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维修成本每公里</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4DD95E">
            <w:pPr>
              <w:keepNext w:val="0"/>
              <w:keepLines w:val="0"/>
              <w:widowControl/>
              <w:suppressLineNumbers w:val="0"/>
              <w:jc w:val="center"/>
              <w:textAlignment w:val="center"/>
              <w:rPr>
                <w:rFonts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万元</w:t>
            </w:r>
          </w:p>
        </w:tc>
      </w:tr>
      <w:tr w14:paraId="2734B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DA4159">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CF2A3A">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B6056E">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B0CBA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8A76AF">
            <w:pPr>
              <w:rPr>
                <w:rFonts w:hint="eastAsia" w:ascii="宋体" w:hAnsi="宋体" w:eastAsia="宋体" w:cs="宋体"/>
                <w:i w:val="0"/>
                <w:iCs w:val="0"/>
                <w:color w:val="000000"/>
                <w:sz w:val="20"/>
                <w:szCs w:val="20"/>
                <w:u w:val="none"/>
              </w:rPr>
            </w:pPr>
          </w:p>
        </w:tc>
      </w:tr>
      <w:tr w14:paraId="5897E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4C3F60">
            <w:pPr>
              <w:jc w:val="center"/>
              <w:rPr>
                <w:rFonts w:hint="eastAsia" w:ascii="宋体" w:hAnsi="宋体" w:eastAsia="宋体" w:cs="宋体"/>
                <w:i w:val="0"/>
                <w:iCs w:val="0"/>
                <w:color w:val="000000"/>
                <w:sz w:val="20"/>
                <w:szCs w:val="20"/>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777E6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3BB22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经济效益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1AEA97D">
            <w:pPr>
              <w:jc w:val="left"/>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B517CB">
            <w:pPr>
              <w:jc w:val="center"/>
              <w:rPr>
                <w:rFonts w:hint="eastAsia" w:ascii="宋体" w:hAnsi="宋体" w:eastAsia="宋体" w:cs="宋体"/>
                <w:i w:val="0"/>
                <w:iCs w:val="0"/>
                <w:color w:val="000000"/>
                <w:sz w:val="20"/>
                <w:szCs w:val="20"/>
                <w:u w:val="none"/>
              </w:rPr>
            </w:pPr>
          </w:p>
        </w:tc>
      </w:tr>
      <w:tr w14:paraId="14517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8F991B">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0A65F2">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B8BE40">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50B46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BCAD14">
            <w:pPr>
              <w:rPr>
                <w:rFonts w:hint="eastAsia" w:ascii="宋体" w:hAnsi="宋体" w:eastAsia="宋体" w:cs="宋体"/>
                <w:i w:val="0"/>
                <w:iCs w:val="0"/>
                <w:color w:val="000000"/>
                <w:sz w:val="20"/>
                <w:szCs w:val="20"/>
                <w:u w:val="none"/>
              </w:rPr>
            </w:pPr>
          </w:p>
        </w:tc>
      </w:tr>
      <w:tr w14:paraId="6AE6A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009D30">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E3B79A">
            <w:pPr>
              <w:jc w:val="center"/>
              <w:rPr>
                <w:rFonts w:hint="eastAsia" w:ascii="宋体" w:hAnsi="宋体" w:eastAsia="宋体" w:cs="宋体"/>
                <w:i w:val="0"/>
                <w:iCs w:val="0"/>
                <w:color w:val="000000"/>
                <w:sz w:val="20"/>
                <w:szCs w:val="20"/>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46BF1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14:paraId="36E606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受益人口数</w:t>
            </w:r>
          </w:p>
        </w:tc>
        <w:tc>
          <w:tcPr>
            <w:tcW w:w="138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1EEC5A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≥1000人</w:t>
            </w:r>
          </w:p>
        </w:tc>
      </w:tr>
      <w:tr w14:paraId="0C73F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8D88C0">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435595C">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0BE090">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5947F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受益脱贫人口数</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85FB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≥400人</w:t>
            </w:r>
          </w:p>
        </w:tc>
      </w:tr>
      <w:tr w14:paraId="4EC67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CD6883">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28B9F9">
            <w:pPr>
              <w:jc w:val="center"/>
              <w:rPr>
                <w:rFonts w:hint="eastAsia" w:ascii="宋体" w:hAnsi="宋体" w:eastAsia="宋体" w:cs="宋体"/>
                <w:i w:val="0"/>
                <w:iCs w:val="0"/>
                <w:color w:val="000000"/>
                <w:sz w:val="20"/>
                <w:szCs w:val="20"/>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C3481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A19DF11">
            <w:pPr>
              <w:jc w:val="left"/>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2102E4">
            <w:pPr>
              <w:jc w:val="center"/>
              <w:rPr>
                <w:rFonts w:hint="eastAsia" w:ascii="宋体" w:hAnsi="宋体" w:eastAsia="宋体" w:cs="宋体"/>
                <w:i w:val="0"/>
                <w:iCs w:val="0"/>
                <w:color w:val="000000"/>
                <w:sz w:val="20"/>
                <w:szCs w:val="20"/>
                <w:u w:val="none"/>
              </w:rPr>
            </w:pPr>
          </w:p>
        </w:tc>
      </w:tr>
      <w:tr w14:paraId="64D6B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9B98E7">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799CA34">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1F20F1">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DE701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C79C9D">
            <w:pPr>
              <w:rPr>
                <w:rFonts w:hint="eastAsia" w:ascii="宋体" w:hAnsi="宋体" w:eastAsia="宋体" w:cs="宋体"/>
                <w:i w:val="0"/>
                <w:iCs w:val="0"/>
                <w:color w:val="000000"/>
                <w:sz w:val="20"/>
                <w:szCs w:val="20"/>
                <w:u w:val="none"/>
              </w:rPr>
            </w:pPr>
          </w:p>
        </w:tc>
      </w:tr>
      <w:tr w14:paraId="2DFF4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F84247">
            <w:pPr>
              <w:jc w:val="center"/>
              <w:rPr>
                <w:rFonts w:hint="eastAsia" w:ascii="宋体" w:hAnsi="宋体" w:eastAsia="宋体" w:cs="宋体"/>
                <w:i w:val="0"/>
                <w:iCs w:val="0"/>
                <w:color w:val="000000"/>
                <w:sz w:val="20"/>
                <w:szCs w:val="20"/>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7D7BE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8B523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满意度指标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3CE65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受益群众满意度</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DD52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r>
      <w:tr w14:paraId="3B411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B81430">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EDAFA6">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694429">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B76ED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6A5ACA">
            <w:pPr>
              <w:rPr>
                <w:rFonts w:hint="eastAsia" w:ascii="宋体" w:hAnsi="宋体" w:eastAsia="宋体" w:cs="宋体"/>
                <w:i w:val="0"/>
                <w:iCs w:val="0"/>
                <w:color w:val="000000"/>
                <w:sz w:val="20"/>
                <w:szCs w:val="20"/>
                <w:u w:val="none"/>
              </w:rPr>
            </w:pPr>
          </w:p>
        </w:tc>
      </w:tr>
    </w:tbl>
    <w:p w14:paraId="0037DE72">
      <w:pPr>
        <w:pStyle w:val="38"/>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0"/>
        <w:rPr>
          <w:rFonts w:hint="eastAsia" w:ascii="方正小标宋简体" w:hAnsi="宋体" w:eastAsia="方正小标宋简体"/>
          <w:sz w:val="44"/>
          <w:szCs w:val="44"/>
          <w:lang w:eastAsia="zh-CN"/>
        </w:rPr>
      </w:pPr>
    </w:p>
    <w:p w14:paraId="312BC29F">
      <w:pPr>
        <w:pStyle w:val="38"/>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0"/>
        <w:rPr>
          <w:rFonts w:hint="eastAsia" w:ascii="方正小标宋简体" w:hAnsi="宋体" w:eastAsia="方正小标宋简体"/>
          <w:sz w:val="44"/>
          <w:szCs w:val="44"/>
          <w:lang w:eastAsia="zh-CN"/>
        </w:rPr>
      </w:pPr>
    </w:p>
    <w:p w14:paraId="7574C80C">
      <w:pPr>
        <w:pStyle w:val="38"/>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0"/>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红原县邛溪镇人民政府</w:t>
      </w:r>
    </w:p>
    <w:p w14:paraId="03E09E5F">
      <w:pPr>
        <w:pStyle w:val="38"/>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0"/>
        <w:rPr>
          <w:rFonts w:hint="eastAsia" w:ascii="方正小标宋简体" w:hAnsi="宋体" w:eastAsia="方正小标宋简体"/>
          <w:sz w:val="44"/>
          <w:szCs w:val="44"/>
          <w:lang w:val="en-US" w:eastAsia="zh-CN"/>
        </w:rPr>
      </w:pPr>
      <w:r>
        <w:rPr>
          <w:rFonts w:hint="eastAsia" w:ascii="方正小标宋简体" w:hAnsi="宋体" w:eastAsia="方正小标宋简体"/>
          <w:sz w:val="44"/>
          <w:szCs w:val="44"/>
          <w:lang w:val="en-US" w:eastAsia="zh-CN"/>
        </w:rPr>
        <w:t>关于邛溪镇各村基础设施提升项目绩效</w:t>
      </w:r>
    </w:p>
    <w:p w14:paraId="61FE1991">
      <w:pPr>
        <w:pStyle w:val="38"/>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0"/>
        <w:rPr>
          <w:rFonts w:ascii="仿宋_GB2312" w:hAnsi="宋体" w:eastAsia="仿宋_GB2312"/>
          <w:color w:val="auto"/>
          <w:kern w:val="2"/>
          <w:sz w:val="32"/>
          <w:szCs w:val="32"/>
        </w:rPr>
      </w:pPr>
      <w:r>
        <w:rPr>
          <w:rFonts w:hint="eastAsia" w:ascii="方正小标宋简体" w:hAnsi="宋体" w:eastAsia="方正小标宋简体"/>
          <w:sz w:val="44"/>
          <w:szCs w:val="44"/>
        </w:rPr>
        <w:t>自评报告</w:t>
      </w:r>
    </w:p>
    <w:p w14:paraId="6104CFDF">
      <w:pPr>
        <w:pStyle w:val="38"/>
        <w:keepNext w:val="0"/>
        <w:keepLines w:val="0"/>
        <w:pageBreakBefore w:val="0"/>
        <w:widowControl w:val="0"/>
        <w:kinsoku/>
        <w:wordWrap/>
        <w:overflowPunct/>
        <w:topLinePunct w:val="0"/>
        <w:autoSpaceDE/>
        <w:autoSpaceDN/>
        <w:bidi w:val="0"/>
        <w:spacing w:line="576" w:lineRule="exact"/>
        <w:ind w:firstLine="640"/>
        <w:jc w:val="center"/>
        <w:textAlignment w:val="auto"/>
        <w:rPr>
          <w:rFonts w:ascii="宋体" w:hAnsi="宋体"/>
          <w:color w:val="auto"/>
          <w:kern w:val="2"/>
          <w:sz w:val="32"/>
          <w:szCs w:val="32"/>
        </w:rPr>
      </w:pPr>
    </w:p>
    <w:p w14:paraId="5AB5EA29">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0"/>
        <w:rPr>
          <w:rFonts w:hint="eastAsia"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14:paraId="67BAFC13">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576" w:lineRule="exact"/>
        <w:ind w:left="0" w:right="0" w:firstLine="72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sz w:val="32"/>
          <w:szCs w:val="32"/>
          <w:lang w:val="zh-CN"/>
        </w:rPr>
        <w:t>（一）项目资金申报及批复情况。</w:t>
      </w:r>
      <w:r>
        <w:rPr>
          <w:rFonts w:hint="eastAsia" w:ascii="仿宋_GB2312" w:hAnsi="仿宋_GB2312" w:eastAsia="仿宋_GB2312" w:cs="仿宋_GB2312"/>
          <w:kern w:val="2"/>
          <w:sz w:val="32"/>
          <w:szCs w:val="32"/>
          <w:lang w:val="zh-CN" w:eastAsia="zh-CN" w:bidi="ar"/>
        </w:rPr>
        <w:t>邛溪镇各村基础设施提升项目</w:t>
      </w:r>
      <w:r>
        <w:rPr>
          <w:rFonts w:hint="eastAsia" w:ascii="仿宋_GB2312" w:hAnsi="仿宋_GB2312" w:eastAsia="仿宋_GB2312" w:cs="仿宋_GB2312"/>
          <w:kern w:val="2"/>
          <w:sz w:val="32"/>
          <w:szCs w:val="32"/>
          <w:lang w:val="en-US" w:eastAsia="zh-CN" w:bidi="ar"/>
        </w:rPr>
        <w:t>，下达资金880万元，资金来源文号为：红财发〔2024〕50号，资金来源于</w:t>
      </w:r>
      <w:r>
        <w:rPr>
          <w:rFonts w:hint="eastAsia" w:ascii="仿宋_GB2312" w:hAnsi="仿宋_GB2312" w:eastAsia="仿宋_GB2312" w:cs="仿宋_GB2312"/>
          <w:kern w:val="2"/>
          <w:sz w:val="32"/>
          <w:szCs w:val="32"/>
          <w:lang w:val="zh-CN" w:eastAsia="zh-CN" w:bidi="ar"/>
        </w:rPr>
        <w:t>20</w:t>
      </w:r>
      <w:r>
        <w:rPr>
          <w:rFonts w:hint="eastAsia" w:ascii="仿宋_GB2312" w:hAnsi="仿宋_GB2312" w:eastAsia="仿宋_GB2312" w:cs="仿宋_GB2312"/>
          <w:kern w:val="2"/>
          <w:sz w:val="32"/>
          <w:szCs w:val="32"/>
          <w:lang w:val="en-US" w:eastAsia="zh-CN" w:bidi="ar"/>
        </w:rPr>
        <w:t>24</w:t>
      </w:r>
      <w:r>
        <w:rPr>
          <w:rFonts w:hint="eastAsia" w:ascii="仿宋_GB2312" w:hAnsi="仿宋_GB2312" w:eastAsia="仿宋_GB2312" w:cs="仿宋_GB2312"/>
          <w:kern w:val="2"/>
          <w:sz w:val="32"/>
          <w:szCs w:val="32"/>
          <w:lang w:val="zh-CN" w:eastAsia="zh-CN" w:bidi="ar"/>
        </w:rPr>
        <w:t>年乡村振兴衔接</w:t>
      </w:r>
      <w:r>
        <w:rPr>
          <w:rFonts w:hint="eastAsia" w:ascii="仿宋_GB2312" w:hAnsi="仿宋_GB2312" w:eastAsia="仿宋_GB2312" w:cs="仿宋_GB2312"/>
          <w:kern w:val="2"/>
          <w:sz w:val="32"/>
          <w:szCs w:val="32"/>
          <w:lang w:val="en-US" w:eastAsia="zh-CN" w:bidi="ar"/>
        </w:rPr>
        <w:t>资金（第一批）。</w:t>
      </w:r>
    </w:p>
    <w:p w14:paraId="47215D65">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（二）项目绩效目标。</w:t>
      </w:r>
    </w:p>
    <w:p w14:paraId="5FC4A97D">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建设内容：1.达格龙村、玛萨村村内道路硬化2.8公里，平均宽度4m;通村主干道人行道提升3公里,平均宽度1.2m；村内支路新建排水沟3.5km排水沟（明沟）及村口整治提升；支路新增5.5m高太阳能路灯50盏；2.热坤村村口整治提升，包括村口道路改造等配套设施；3.麻色阳德村新增污水泵房、采购7米高太阳能路灯15盏、5.5高太阳能路灯76盏及入户道路建设；4.热多村村口提升改造。</w:t>
      </w:r>
    </w:p>
    <w:p w14:paraId="3CA40A3E">
      <w:pPr>
        <w:pStyle w:val="8"/>
        <w:pageBreakBefore w:val="0"/>
        <w:widowControl w:val="0"/>
        <w:kinsoku/>
        <w:wordWrap/>
        <w:topLinePunct w:val="0"/>
        <w:bidi w:val="0"/>
        <w:spacing w:before="0"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目标：完成各村基础设施提升项目建设。完成道路硬化、排水沟建设、村内路灯安装、各村村口提升整治建设。绩效指标：村内道路硬化≥11500㎡，新增污水泵房1座，新增太阳能路灯≥140盏，施工工期≤180天，项目总投资≤880万元，受益群众户数≥400户，受益脱贫人口数≥500人，受益群众满意度≥98%，验收合格率100%，验收及时率100%，脱贫户人均补助标准3000，监测户补助标准6000，促进脱贫户年人均增收≥500元，受益户数≥200户，受益脱贫人口≥900人，受益群众满意度≥98%。</w:t>
      </w:r>
    </w:p>
    <w:p w14:paraId="193ECAFA">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b/>
          <w:sz w:val="32"/>
          <w:szCs w:val="32"/>
          <w:lang w:val="zh-CN"/>
        </w:rPr>
        <w:t>（三）项目资金申报相符性。</w:t>
      </w:r>
      <w:r>
        <w:rPr>
          <w:rFonts w:hint="eastAsia" w:ascii="仿宋_GB2312" w:hAnsi="仿宋_GB2312" w:eastAsia="仿宋_GB2312" w:cs="仿宋_GB2312"/>
          <w:sz w:val="32"/>
          <w:szCs w:val="32"/>
          <w:lang w:val="zh-CN" w:eastAsia="zh-CN"/>
        </w:rPr>
        <w:t>项目申报内容与具体实施内容相符、申报目标合理可行。</w:t>
      </w:r>
    </w:p>
    <w:p w14:paraId="57C9F646">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0"/>
        <w:rPr>
          <w:rFonts w:hint="eastAsia" w:ascii="黑体" w:hAnsi="黑体" w:eastAsia="黑体" w:cs="黑体"/>
          <w:sz w:val="32"/>
          <w:szCs w:val="32"/>
        </w:rPr>
      </w:pPr>
      <w:r>
        <w:rPr>
          <w:rFonts w:hint="eastAsia" w:ascii="黑体" w:hAnsi="黑体" w:eastAsia="黑体" w:cs="黑体"/>
          <w:sz w:val="32"/>
          <w:szCs w:val="32"/>
        </w:rPr>
        <w:t>二、项目实施及管理情况</w:t>
      </w:r>
    </w:p>
    <w:p w14:paraId="5C5EF5AA">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1"/>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lang w:val="zh-CN"/>
        </w:rPr>
        <w:tab/>
      </w:r>
      <w:r>
        <w:rPr>
          <w:rFonts w:hint="eastAsia" w:ascii="仿宋_GB2312" w:hAnsi="仿宋_GB2312" w:eastAsia="仿宋_GB2312" w:cs="仿宋_GB2312"/>
          <w:b/>
          <w:sz w:val="32"/>
          <w:szCs w:val="32"/>
          <w:lang w:val="zh-CN"/>
        </w:rPr>
        <w:t>（一）资金计划、到位及使用情况。</w:t>
      </w:r>
    </w:p>
    <w:p w14:paraId="65F3EF9F">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576" w:lineRule="exact"/>
        <w:ind w:left="0" w:right="0" w:firstLine="720"/>
        <w:jc w:val="both"/>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bCs/>
          <w:sz w:val="32"/>
          <w:szCs w:val="32"/>
          <w:lang w:val="zh-CN"/>
        </w:rPr>
        <w:t>1．资金计划及到位。</w:t>
      </w:r>
      <w:r>
        <w:rPr>
          <w:rFonts w:hint="eastAsia" w:ascii="仿宋_GB2312" w:hAnsi="仿宋_GB2312" w:eastAsia="仿宋_GB2312" w:cs="仿宋_GB2312"/>
          <w:kern w:val="2"/>
          <w:sz w:val="32"/>
          <w:szCs w:val="32"/>
          <w:lang w:val="en-US" w:eastAsia="zh-CN" w:bidi="ar"/>
        </w:rPr>
        <w:t>该项目概算总投资880万元，全部为2024</w:t>
      </w:r>
      <w:r>
        <w:rPr>
          <w:rFonts w:hint="eastAsia" w:ascii="仿宋_GB2312" w:hAnsi="仿宋_GB2312" w:eastAsia="仿宋_GB2312" w:cs="仿宋_GB2312"/>
          <w:kern w:val="2"/>
          <w:sz w:val="32"/>
          <w:szCs w:val="32"/>
          <w:lang w:val="zh-CN" w:eastAsia="zh-CN" w:bidi="ar"/>
        </w:rPr>
        <w:t>年乡村振兴衔接</w:t>
      </w:r>
      <w:r>
        <w:rPr>
          <w:rFonts w:hint="eastAsia" w:ascii="仿宋_GB2312" w:hAnsi="仿宋_GB2312" w:eastAsia="仿宋_GB2312" w:cs="仿宋_GB2312"/>
          <w:kern w:val="2"/>
          <w:sz w:val="32"/>
          <w:szCs w:val="32"/>
          <w:lang w:val="en-US" w:eastAsia="zh-CN" w:bidi="ar"/>
        </w:rPr>
        <w:t>资金，资金到位及时，资金到位率100%。</w:t>
      </w:r>
    </w:p>
    <w:p w14:paraId="408CF698">
      <w:pPr>
        <w:keepNext w:val="0"/>
        <w:keepLines w:val="0"/>
        <w:pageBreakBefore w:val="0"/>
        <w:widowControl w:val="0"/>
        <w:kinsoku/>
        <w:wordWrap/>
        <w:overflowPunct w:val="0"/>
        <w:topLinePunct w:val="0"/>
        <w:autoSpaceDE w:val="0"/>
        <w:autoSpaceDN w:val="0"/>
        <w:bidi w:val="0"/>
        <w:spacing w:after="0" w:line="576" w:lineRule="exact"/>
        <w:ind w:firstLine="643" w:firstLineChars="200"/>
        <w:jc w:val="both"/>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bCs/>
          <w:sz w:val="32"/>
          <w:szCs w:val="32"/>
          <w:lang w:val="zh-CN"/>
        </w:rPr>
        <w:t>2．资金使用。</w:t>
      </w:r>
      <w:r>
        <w:rPr>
          <w:rFonts w:hint="eastAsia" w:ascii="仿宋_GB2312" w:hAnsi="仿宋_GB2312" w:eastAsia="仿宋_GB2312" w:cs="仿宋_GB2312"/>
          <w:kern w:val="2"/>
          <w:sz w:val="32"/>
          <w:szCs w:val="32"/>
          <w:lang w:val="en-US" w:eastAsia="zh-CN" w:bidi="ar"/>
        </w:rPr>
        <w:t>该项目资金严格按照相关规程及补助标准全额拨付到位。</w:t>
      </w:r>
    </w:p>
    <w:p w14:paraId="2017C11E">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textAlignment w:val="auto"/>
        <w:outlineLvl w:val="1"/>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（二）项目财务管理情况。</w:t>
      </w:r>
    </w:p>
    <w:p w14:paraId="1DC6D0B3">
      <w:pPr>
        <w:keepNext w:val="0"/>
        <w:keepLines w:val="0"/>
        <w:pageBreakBefore w:val="0"/>
        <w:widowControl w:val="0"/>
        <w:suppressLineNumbers w:val="0"/>
        <w:kinsoku/>
        <w:wordWrap/>
        <w:overflowPunct w:val="0"/>
        <w:topLinePunct w:val="0"/>
        <w:autoSpaceDE w:val="0"/>
        <w:autoSpaceDN w:val="0"/>
        <w:bidi w:val="0"/>
        <w:adjustRightInd w:val="0"/>
        <w:snapToGrid w:val="0"/>
        <w:spacing w:beforeAutospacing="0" w:after="0" w:afterAutospacing="0" w:line="576" w:lineRule="exact"/>
        <w:ind w:left="0" w:right="0" w:firstLine="720"/>
        <w:jc w:val="both"/>
        <w:textAlignment w:val="auto"/>
        <w:rPr>
          <w:rFonts w:hint="eastAsia" w:ascii="仿宋_GB2312" w:hAnsi="仿宋_GB2312" w:eastAsia="仿宋_GB2312" w:cs="仿宋_GB2312"/>
          <w:color w:val="auto"/>
          <w:kern w:val="2"/>
          <w:sz w:val="32"/>
          <w:szCs w:val="32"/>
          <w:lang w:val="zh-CN" w:eastAsia="zh-CN" w:bidi="ar"/>
        </w:rPr>
      </w:pPr>
      <w:r>
        <w:rPr>
          <w:rFonts w:hint="eastAsia" w:ascii="仿宋_GB2312" w:hAnsi="仿宋_GB2312" w:eastAsia="仿宋_GB2312" w:cs="仿宋_GB2312"/>
          <w:sz w:val="32"/>
          <w:szCs w:val="32"/>
          <w:lang w:val="en-US" w:eastAsia="zh-CN"/>
        </w:rPr>
        <w:t>该项目</w:t>
      </w:r>
      <w:r>
        <w:rPr>
          <w:rFonts w:hint="eastAsia" w:ascii="仿宋_GB2312" w:hAnsi="仿宋_GB2312" w:eastAsia="仿宋_GB2312" w:cs="仿宋_GB2312"/>
          <w:color w:val="auto"/>
          <w:kern w:val="2"/>
          <w:sz w:val="32"/>
          <w:szCs w:val="32"/>
          <w:lang w:val="zh-CN" w:eastAsia="zh-CN" w:bidi="ar"/>
        </w:rPr>
        <w:t>实施单位</w:t>
      </w:r>
      <w:r>
        <w:rPr>
          <w:rFonts w:hint="eastAsia" w:ascii="仿宋_GB2312" w:hAnsi="仿宋_GB2312" w:eastAsia="仿宋_GB2312" w:cs="仿宋_GB2312"/>
          <w:color w:val="auto"/>
          <w:kern w:val="2"/>
          <w:sz w:val="32"/>
          <w:szCs w:val="32"/>
          <w:lang w:val="en-US" w:eastAsia="zh-CN" w:bidi="ar"/>
        </w:rPr>
        <w:t>是红原县邛溪镇人民政府，实施部门</w:t>
      </w:r>
      <w:r>
        <w:rPr>
          <w:rFonts w:hint="eastAsia" w:ascii="仿宋_GB2312" w:hAnsi="仿宋_GB2312" w:eastAsia="仿宋_GB2312" w:cs="仿宋_GB2312"/>
          <w:color w:val="auto"/>
          <w:kern w:val="2"/>
          <w:sz w:val="32"/>
          <w:szCs w:val="32"/>
          <w:lang w:val="zh-CN" w:eastAsia="zh-CN" w:bidi="ar"/>
        </w:rPr>
        <w:t>财务管理制度健全，</w:t>
      </w:r>
      <w:r>
        <w:rPr>
          <w:rFonts w:hint="eastAsia" w:ascii="仿宋_GB2312" w:hAnsi="仿宋_GB2312" w:eastAsia="仿宋_GB2312" w:cs="仿宋_GB2312"/>
          <w:color w:val="auto"/>
          <w:kern w:val="2"/>
          <w:sz w:val="32"/>
          <w:szCs w:val="32"/>
          <w:lang w:val="en-US" w:eastAsia="zh-CN" w:bidi="ar"/>
        </w:rPr>
        <w:t>能</w:t>
      </w:r>
      <w:r>
        <w:rPr>
          <w:rFonts w:hint="eastAsia" w:ascii="仿宋_GB2312" w:hAnsi="仿宋_GB2312" w:eastAsia="仿宋_GB2312" w:cs="仿宋_GB2312"/>
          <w:color w:val="auto"/>
          <w:kern w:val="2"/>
          <w:sz w:val="32"/>
          <w:szCs w:val="32"/>
          <w:lang w:val="zh-CN" w:eastAsia="zh-CN" w:bidi="ar"/>
        </w:rPr>
        <w:t>严格执行财务管理制度，账务处理及时，会计、</w:t>
      </w:r>
      <w:r>
        <w:rPr>
          <w:rFonts w:hint="eastAsia" w:ascii="仿宋_GB2312" w:hAnsi="仿宋_GB2312" w:eastAsia="仿宋_GB2312" w:cs="仿宋_GB2312"/>
          <w:color w:val="auto"/>
          <w:kern w:val="2"/>
          <w:sz w:val="32"/>
          <w:szCs w:val="32"/>
          <w:lang w:val="en-US" w:eastAsia="zh-CN" w:bidi="ar"/>
        </w:rPr>
        <w:t>出纳</w:t>
      </w:r>
      <w:r>
        <w:rPr>
          <w:rFonts w:hint="eastAsia" w:ascii="仿宋_GB2312" w:hAnsi="仿宋_GB2312" w:eastAsia="仿宋_GB2312" w:cs="仿宋_GB2312"/>
          <w:color w:val="auto"/>
          <w:kern w:val="2"/>
          <w:sz w:val="32"/>
          <w:szCs w:val="32"/>
          <w:lang w:val="zh-CN" w:eastAsia="zh-CN" w:bidi="ar"/>
        </w:rPr>
        <w:t>核算</w:t>
      </w:r>
      <w:r>
        <w:rPr>
          <w:rFonts w:hint="eastAsia" w:ascii="仿宋_GB2312" w:hAnsi="仿宋_GB2312" w:eastAsia="仿宋_GB2312" w:cs="仿宋_GB2312"/>
          <w:color w:val="auto"/>
          <w:kern w:val="2"/>
          <w:sz w:val="32"/>
          <w:szCs w:val="32"/>
          <w:lang w:val="en-US" w:eastAsia="zh-CN" w:bidi="ar"/>
        </w:rPr>
        <w:t>较为准确规范。</w:t>
      </w:r>
    </w:p>
    <w:p w14:paraId="657DA76C">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textAlignment w:val="auto"/>
        <w:outlineLvl w:val="1"/>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（三）项目组织实施情况。</w:t>
      </w:r>
    </w:p>
    <w:p w14:paraId="73368572">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textAlignment w:val="auto"/>
        <w:outlineLvl w:val="0"/>
        <w:rPr>
          <w:rFonts w:hint="eastAsia" w:ascii="仿宋_GB2312" w:hAnsi="仿宋_GB2312" w:eastAsia="仿宋_GB2312" w:cs="仿宋_GB2312"/>
          <w:color w:val="FF0000"/>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本项目由红原县邛溪镇人民政府负责具体实施，县科农局负责项目监管，县财政局负责监管项目资金。项目实施严格按照相关流程进行，包括：资金下达、项目选址、确定建设户、方案编制、项目公示、确定施工方、进场施工、资金拨付、资料收集归档。</w:t>
      </w:r>
    </w:p>
    <w:p w14:paraId="0853637A">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textAlignment w:val="auto"/>
        <w:outlineLvl w:val="0"/>
        <w:rPr>
          <w:rFonts w:hint="eastAsia" w:ascii="黑体" w:hAnsi="黑体" w:eastAsia="黑体" w:cs="黑体"/>
          <w:sz w:val="32"/>
          <w:szCs w:val="32"/>
          <w:lang w:val="zh-CN"/>
        </w:rPr>
      </w:pPr>
      <w:r>
        <w:rPr>
          <w:rFonts w:hint="eastAsia" w:ascii="黑体" w:hAnsi="黑体" w:eastAsia="黑体" w:cs="黑体"/>
          <w:sz w:val="32"/>
          <w:szCs w:val="32"/>
        </w:rPr>
        <w:t>三、项目绩效情况</w:t>
      </w:r>
      <w:r>
        <w:rPr>
          <w:rFonts w:hint="eastAsia" w:ascii="黑体" w:hAnsi="黑体" w:eastAsia="黑体" w:cs="黑体"/>
          <w:sz w:val="32"/>
          <w:szCs w:val="32"/>
          <w:lang w:val="zh-CN"/>
        </w:rPr>
        <w:tab/>
      </w:r>
    </w:p>
    <w:p w14:paraId="22883EF0">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（一）项目完成情况。</w:t>
      </w:r>
    </w:p>
    <w:p w14:paraId="09466AA3">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rPr>
        <w:t>项目于 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实施完成</w:t>
      </w:r>
      <w:r>
        <w:rPr>
          <w:rFonts w:hint="eastAsia" w:ascii="仿宋_GB2312" w:hAnsi="仿宋_GB2312" w:eastAsia="仿宋_GB2312" w:cs="仿宋_GB2312"/>
          <w:sz w:val="32"/>
          <w:szCs w:val="32"/>
          <w:lang w:val="zh-CN"/>
        </w:rPr>
        <w:t>。</w:t>
      </w:r>
    </w:p>
    <w:p w14:paraId="779C35A3">
      <w:pPr>
        <w:pStyle w:val="3"/>
        <w:pageBreakBefore w:val="0"/>
        <w:widowControl w:val="0"/>
        <w:numPr>
          <w:ilvl w:val="0"/>
          <w:numId w:val="0"/>
        </w:numPr>
        <w:kinsoku/>
        <w:wordWrap/>
        <w:topLinePunct w:val="0"/>
        <w:bidi w:val="0"/>
        <w:spacing w:line="576" w:lineRule="exact"/>
        <w:ind w:firstLine="643" w:firstLineChars="200"/>
        <w:jc w:val="both"/>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（二）项目效益情况。</w:t>
      </w:r>
    </w:p>
    <w:p w14:paraId="5E06B454">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b/>
          <w:bCs/>
          <w:sz w:val="32"/>
          <w:szCs w:val="32"/>
          <w:lang w:val="en-US" w:eastAsia="zh-CN"/>
        </w:rPr>
        <w:t>社会效益：</w:t>
      </w:r>
      <w:r>
        <w:rPr>
          <w:rFonts w:hint="eastAsia" w:ascii="仿宋_GB2312" w:hAnsi="仿宋_GB2312" w:eastAsia="仿宋_GB2312" w:cs="仿宋_GB2312"/>
          <w:color w:val="auto"/>
          <w:kern w:val="2"/>
          <w:sz w:val="32"/>
          <w:szCs w:val="32"/>
          <w:lang w:val="en-US" w:eastAsia="zh-CN" w:bidi="ar"/>
        </w:rPr>
        <w:t>该项目的实施能把文化传承、教育引导、社会治理等效应充分融入到居民生活中，能够进一步体现党和国家对红色美丽村庄项目的支持态度。项目建成后也能够为不断深入发展城乡一体化建设，提升当地群众的生活质量，更加体现当地居民对建设红色美丽村庄的支持态度，提升居民生活的幸福感，改善乡镇居住环境，为推动城乡一体化建设和全面建设小康社会做出应有的贡献。</w:t>
      </w:r>
    </w:p>
    <w:p w14:paraId="57628E1D">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0"/>
        <w:rPr>
          <w:rFonts w:hint="eastAsia" w:ascii="黑体" w:hAnsi="黑体" w:eastAsia="黑体" w:cs="黑体"/>
          <w:sz w:val="32"/>
          <w:szCs w:val="32"/>
        </w:rPr>
      </w:pPr>
      <w:r>
        <w:rPr>
          <w:rFonts w:hint="eastAsia" w:ascii="黑体" w:hAnsi="黑体" w:eastAsia="黑体" w:cs="黑体"/>
          <w:sz w:val="32"/>
          <w:szCs w:val="32"/>
        </w:rPr>
        <w:t>四、问题及建议</w:t>
      </w:r>
    </w:p>
    <w:p w14:paraId="6617E190">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1"/>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（一）存在的问题。</w:t>
      </w:r>
    </w:p>
    <w:p w14:paraId="19AE3C20">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无。</w:t>
      </w:r>
    </w:p>
    <w:p w14:paraId="38C12B90">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1"/>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（二）相关建议。</w:t>
      </w:r>
    </w:p>
    <w:p w14:paraId="03F48DA4">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无。</w:t>
      </w:r>
    </w:p>
    <w:tbl>
      <w:tblPr>
        <w:tblW w:w="873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34"/>
        <w:gridCol w:w="1109"/>
        <w:gridCol w:w="1513"/>
        <w:gridCol w:w="1518"/>
        <w:gridCol w:w="1734"/>
        <w:gridCol w:w="743"/>
        <w:gridCol w:w="1379"/>
      </w:tblGrid>
      <w:tr w14:paraId="2E691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8740" w:type="dxa"/>
            <w:gridSpan w:val="7"/>
            <w:tcBorders>
              <w:top w:val="nil"/>
              <w:left w:val="nil"/>
              <w:bottom w:val="nil"/>
              <w:right w:val="nil"/>
            </w:tcBorders>
            <w:shd w:val="clear" w:color="auto" w:fill="FFFFFF"/>
            <w:vAlign w:val="center"/>
          </w:tcPr>
          <w:p w14:paraId="15572C77">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绩效目标自评表</w:t>
            </w:r>
          </w:p>
        </w:tc>
      </w:tr>
      <w:tr w14:paraId="14917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740" w:type="dxa"/>
            <w:gridSpan w:val="7"/>
            <w:tcBorders>
              <w:top w:val="nil"/>
              <w:left w:val="nil"/>
              <w:bottom w:val="single" w:color="000000" w:sz="4" w:space="0"/>
              <w:right w:val="nil"/>
            </w:tcBorders>
            <w:shd w:val="clear" w:color="auto" w:fill="FFFFFF"/>
            <w:vAlign w:val="top"/>
          </w:tcPr>
          <w:p w14:paraId="4C365906">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（2024年度）</w:t>
            </w:r>
          </w:p>
        </w:tc>
      </w:tr>
      <w:tr w14:paraId="5FBBF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84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597C9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项目名称</w:t>
            </w:r>
          </w:p>
        </w:tc>
        <w:tc>
          <w:tcPr>
            <w:tcW w:w="30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12D2F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邛溪镇各村基础设施提升项目</w:t>
            </w:r>
          </w:p>
        </w:tc>
        <w:tc>
          <w:tcPr>
            <w:tcW w:w="17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10B7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项目负责人及电话</w:t>
            </w:r>
          </w:p>
        </w:tc>
        <w:tc>
          <w:tcPr>
            <w:tcW w:w="212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50144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曹俊2662632</w:t>
            </w:r>
          </w:p>
        </w:tc>
      </w:tr>
      <w:tr w14:paraId="1CDE2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184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6CE74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主管部门</w:t>
            </w:r>
          </w:p>
        </w:tc>
        <w:tc>
          <w:tcPr>
            <w:tcW w:w="30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DA2FE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县住建局</w:t>
            </w:r>
          </w:p>
        </w:tc>
        <w:tc>
          <w:tcPr>
            <w:tcW w:w="17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683E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实施单位</w:t>
            </w:r>
          </w:p>
        </w:tc>
        <w:tc>
          <w:tcPr>
            <w:tcW w:w="212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6C1DA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邛溪镇人民政府</w:t>
            </w:r>
          </w:p>
        </w:tc>
      </w:tr>
      <w:tr w14:paraId="04F22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1845"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AA1F0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资金情况</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（万元）</w:t>
            </w:r>
          </w:p>
        </w:tc>
        <w:tc>
          <w:tcPr>
            <w:tcW w:w="30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0CA6A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年度资金总额：</w:t>
            </w:r>
          </w:p>
        </w:tc>
        <w:tc>
          <w:tcPr>
            <w:tcW w:w="38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6F47E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880</w:t>
            </w:r>
          </w:p>
        </w:tc>
      </w:tr>
      <w:tr w14:paraId="4D730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184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7B2F10C">
            <w:pPr>
              <w:jc w:val="center"/>
              <w:rPr>
                <w:rFonts w:hint="eastAsia" w:ascii="宋体" w:hAnsi="宋体" w:eastAsia="宋体" w:cs="宋体"/>
                <w:i w:val="0"/>
                <w:iCs w:val="0"/>
                <w:color w:val="000000"/>
                <w:sz w:val="20"/>
                <w:szCs w:val="20"/>
                <w:u w:val="none"/>
              </w:rPr>
            </w:pPr>
          </w:p>
        </w:tc>
        <w:tc>
          <w:tcPr>
            <w:tcW w:w="30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42855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其中：财政拨款</w:t>
            </w:r>
          </w:p>
        </w:tc>
        <w:tc>
          <w:tcPr>
            <w:tcW w:w="38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0300E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880</w:t>
            </w:r>
          </w:p>
        </w:tc>
      </w:tr>
      <w:tr w14:paraId="03CD3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184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EBBCC2">
            <w:pPr>
              <w:jc w:val="center"/>
              <w:rPr>
                <w:rFonts w:hint="eastAsia" w:ascii="宋体" w:hAnsi="宋体" w:eastAsia="宋体" w:cs="宋体"/>
                <w:i w:val="0"/>
                <w:iCs w:val="0"/>
                <w:color w:val="000000"/>
                <w:sz w:val="20"/>
                <w:szCs w:val="20"/>
                <w:u w:val="none"/>
              </w:rPr>
            </w:pPr>
          </w:p>
        </w:tc>
        <w:tc>
          <w:tcPr>
            <w:tcW w:w="30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008B6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其他资金</w:t>
            </w:r>
          </w:p>
        </w:tc>
        <w:tc>
          <w:tcPr>
            <w:tcW w:w="38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F87D1D0">
            <w:pPr>
              <w:jc w:val="center"/>
              <w:rPr>
                <w:rFonts w:hint="eastAsia" w:ascii="宋体" w:hAnsi="宋体" w:eastAsia="宋体" w:cs="宋体"/>
                <w:i w:val="0"/>
                <w:iCs w:val="0"/>
                <w:color w:val="000000"/>
                <w:sz w:val="20"/>
                <w:szCs w:val="20"/>
                <w:u w:val="none"/>
              </w:rPr>
            </w:pPr>
          </w:p>
        </w:tc>
      </w:tr>
      <w:tr w14:paraId="01C95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7774B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总</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体</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目</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标</w:t>
            </w:r>
          </w:p>
        </w:tc>
        <w:tc>
          <w:tcPr>
            <w:tcW w:w="8005"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4D58B7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年度目标</w:t>
            </w:r>
          </w:p>
        </w:tc>
      </w:tr>
      <w:tr w14:paraId="14DE9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16EBBD2">
            <w:pPr>
              <w:jc w:val="center"/>
              <w:rPr>
                <w:rFonts w:hint="eastAsia" w:ascii="宋体" w:hAnsi="宋体" w:eastAsia="宋体" w:cs="宋体"/>
                <w:i w:val="0"/>
                <w:iCs w:val="0"/>
                <w:color w:val="000000"/>
                <w:sz w:val="20"/>
                <w:szCs w:val="20"/>
                <w:u w:val="none"/>
              </w:rPr>
            </w:pPr>
          </w:p>
        </w:tc>
        <w:tc>
          <w:tcPr>
            <w:tcW w:w="8005"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466DE6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完成各村基础设施提升项目建设。完成道路硬化、排水沟建设、村内路灯安装、各村村口提升整治建设。</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r>
      <w:tr w14:paraId="1826D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94575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绩</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效</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指</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标</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FAAE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AE01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二级指标</w:t>
            </w:r>
          </w:p>
        </w:tc>
        <w:tc>
          <w:tcPr>
            <w:tcW w:w="400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CD5E6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三级指标</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A7B4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指标值</w:t>
            </w:r>
          </w:p>
        </w:tc>
      </w:tr>
      <w:tr w14:paraId="3A807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85B77A">
            <w:pPr>
              <w:jc w:val="center"/>
              <w:rPr>
                <w:rFonts w:hint="eastAsia" w:ascii="宋体" w:hAnsi="宋体" w:eastAsia="宋体" w:cs="宋体"/>
                <w:i w:val="0"/>
                <w:iCs w:val="0"/>
                <w:color w:val="000000"/>
                <w:sz w:val="20"/>
                <w:szCs w:val="20"/>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0D815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80753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数量指标</w:t>
            </w:r>
          </w:p>
        </w:tc>
        <w:tc>
          <w:tcPr>
            <w:tcW w:w="400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72CD2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村内道路硬化</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1D1C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≥11500㎡</w:t>
            </w:r>
          </w:p>
        </w:tc>
      </w:tr>
      <w:tr w14:paraId="04146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F4D492">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581415">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2E472C">
            <w:pPr>
              <w:jc w:val="center"/>
              <w:rPr>
                <w:rFonts w:hint="eastAsia" w:ascii="宋体" w:hAnsi="宋体" w:eastAsia="宋体" w:cs="宋体"/>
                <w:i w:val="0"/>
                <w:iCs w:val="0"/>
                <w:color w:val="000000"/>
                <w:sz w:val="20"/>
                <w:szCs w:val="20"/>
                <w:u w:val="none"/>
              </w:rPr>
            </w:pPr>
          </w:p>
        </w:tc>
        <w:tc>
          <w:tcPr>
            <w:tcW w:w="400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78451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新增污水泵房</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B7BB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=1套</w:t>
            </w:r>
          </w:p>
        </w:tc>
      </w:tr>
      <w:tr w14:paraId="0F8C0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092069">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B3A230">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3174531">
            <w:pPr>
              <w:jc w:val="center"/>
              <w:rPr>
                <w:rFonts w:hint="eastAsia" w:ascii="宋体" w:hAnsi="宋体" w:eastAsia="宋体" w:cs="宋体"/>
                <w:i w:val="0"/>
                <w:iCs w:val="0"/>
                <w:color w:val="000000"/>
                <w:sz w:val="20"/>
                <w:szCs w:val="20"/>
                <w:u w:val="none"/>
              </w:rPr>
            </w:pPr>
          </w:p>
        </w:tc>
        <w:tc>
          <w:tcPr>
            <w:tcW w:w="400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6AADF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新增太阳能路灯</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976F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≥140盏</w:t>
            </w:r>
          </w:p>
        </w:tc>
      </w:tr>
      <w:tr w14:paraId="59923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EE88E7">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A56328">
            <w:pPr>
              <w:jc w:val="center"/>
              <w:rPr>
                <w:rFonts w:hint="eastAsia" w:ascii="宋体" w:hAnsi="宋体" w:eastAsia="宋体" w:cs="宋体"/>
                <w:i w:val="0"/>
                <w:iCs w:val="0"/>
                <w:color w:val="000000"/>
                <w:sz w:val="20"/>
                <w:szCs w:val="20"/>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8529B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质量指标</w:t>
            </w:r>
          </w:p>
        </w:tc>
        <w:tc>
          <w:tcPr>
            <w:tcW w:w="400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5044C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验收合格率</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FAE2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w:t>
            </w:r>
          </w:p>
        </w:tc>
      </w:tr>
      <w:tr w14:paraId="32BAE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59FEA1">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0FCF52">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7F297F">
            <w:pPr>
              <w:jc w:val="center"/>
              <w:rPr>
                <w:rFonts w:hint="eastAsia" w:ascii="宋体" w:hAnsi="宋体" w:eastAsia="宋体" w:cs="宋体"/>
                <w:i w:val="0"/>
                <w:iCs w:val="0"/>
                <w:color w:val="000000"/>
                <w:sz w:val="20"/>
                <w:szCs w:val="20"/>
                <w:u w:val="none"/>
              </w:rPr>
            </w:pPr>
          </w:p>
        </w:tc>
        <w:tc>
          <w:tcPr>
            <w:tcW w:w="400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BF18E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1B51CC">
            <w:pPr>
              <w:rPr>
                <w:rFonts w:hint="eastAsia" w:ascii="宋体" w:hAnsi="宋体" w:eastAsia="宋体" w:cs="宋体"/>
                <w:i w:val="0"/>
                <w:iCs w:val="0"/>
                <w:color w:val="000000"/>
                <w:sz w:val="20"/>
                <w:szCs w:val="20"/>
                <w:u w:val="none"/>
              </w:rPr>
            </w:pPr>
          </w:p>
        </w:tc>
      </w:tr>
      <w:tr w14:paraId="4D09D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1CDA4F">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4AA746">
            <w:pPr>
              <w:jc w:val="center"/>
              <w:rPr>
                <w:rFonts w:hint="eastAsia" w:ascii="宋体" w:hAnsi="宋体" w:eastAsia="宋体" w:cs="宋体"/>
                <w:i w:val="0"/>
                <w:iCs w:val="0"/>
                <w:color w:val="000000"/>
                <w:sz w:val="20"/>
                <w:szCs w:val="20"/>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7064C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时效指标</w:t>
            </w:r>
          </w:p>
        </w:tc>
        <w:tc>
          <w:tcPr>
            <w:tcW w:w="400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DFD14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施工工期</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4704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≤180天</w:t>
            </w:r>
          </w:p>
        </w:tc>
      </w:tr>
      <w:tr w14:paraId="575E1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2210FA">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46EDFB">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32114D8">
            <w:pPr>
              <w:jc w:val="center"/>
              <w:rPr>
                <w:rFonts w:hint="eastAsia" w:ascii="宋体" w:hAnsi="宋体" w:eastAsia="宋体" w:cs="宋体"/>
                <w:i w:val="0"/>
                <w:iCs w:val="0"/>
                <w:color w:val="000000"/>
                <w:sz w:val="20"/>
                <w:szCs w:val="20"/>
                <w:u w:val="none"/>
              </w:rPr>
            </w:pPr>
          </w:p>
        </w:tc>
        <w:tc>
          <w:tcPr>
            <w:tcW w:w="400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7C9DE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8EC6E2">
            <w:pPr>
              <w:rPr>
                <w:rFonts w:hint="eastAsia" w:ascii="宋体" w:hAnsi="宋体" w:eastAsia="宋体" w:cs="宋体"/>
                <w:i w:val="0"/>
                <w:iCs w:val="0"/>
                <w:color w:val="000000"/>
                <w:sz w:val="20"/>
                <w:szCs w:val="20"/>
                <w:u w:val="none"/>
              </w:rPr>
            </w:pPr>
          </w:p>
        </w:tc>
      </w:tr>
      <w:tr w14:paraId="0C4F4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78020FE">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DD9CAC">
            <w:pPr>
              <w:jc w:val="center"/>
              <w:rPr>
                <w:rFonts w:hint="eastAsia" w:ascii="宋体" w:hAnsi="宋体" w:eastAsia="宋体" w:cs="宋体"/>
                <w:i w:val="0"/>
                <w:iCs w:val="0"/>
                <w:color w:val="000000"/>
                <w:sz w:val="20"/>
                <w:szCs w:val="20"/>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01BC2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成本指标</w:t>
            </w:r>
          </w:p>
        </w:tc>
        <w:tc>
          <w:tcPr>
            <w:tcW w:w="400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1169DE8">
            <w:pPr>
              <w:jc w:val="left"/>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695C22">
            <w:pPr>
              <w:rPr>
                <w:rFonts w:hint="eastAsia" w:ascii="宋体" w:hAnsi="宋体" w:eastAsia="宋体" w:cs="宋体"/>
                <w:i w:val="0"/>
                <w:iCs w:val="0"/>
                <w:color w:val="000000"/>
                <w:sz w:val="20"/>
                <w:szCs w:val="20"/>
                <w:u w:val="none"/>
              </w:rPr>
            </w:pPr>
          </w:p>
        </w:tc>
      </w:tr>
      <w:tr w14:paraId="1F80D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057644">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756196">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8DA19D">
            <w:pPr>
              <w:jc w:val="center"/>
              <w:rPr>
                <w:rFonts w:hint="eastAsia" w:ascii="宋体" w:hAnsi="宋体" w:eastAsia="宋体" w:cs="宋体"/>
                <w:i w:val="0"/>
                <w:iCs w:val="0"/>
                <w:color w:val="000000"/>
                <w:sz w:val="20"/>
                <w:szCs w:val="20"/>
                <w:u w:val="none"/>
              </w:rPr>
            </w:pPr>
          </w:p>
        </w:tc>
        <w:tc>
          <w:tcPr>
            <w:tcW w:w="400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C9EC3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项目总投资</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F91F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≤880万元</w:t>
            </w:r>
          </w:p>
        </w:tc>
      </w:tr>
      <w:tr w14:paraId="124AD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83A07F">
            <w:pPr>
              <w:jc w:val="center"/>
              <w:rPr>
                <w:rFonts w:hint="eastAsia" w:ascii="宋体" w:hAnsi="宋体" w:eastAsia="宋体" w:cs="宋体"/>
                <w:i w:val="0"/>
                <w:iCs w:val="0"/>
                <w:color w:val="000000"/>
                <w:sz w:val="20"/>
                <w:szCs w:val="20"/>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B2420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效益指标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1E35D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经济效益</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指标</w:t>
            </w:r>
          </w:p>
        </w:tc>
        <w:tc>
          <w:tcPr>
            <w:tcW w:w="400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34F3E90">
            <w:pPr>
              <w:jc w:val="left"/>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D17201">
            <w:pPr>
              <w:jc w:val="center"/>
              <w:rPr>
                <w:rFonts w:hint="eastAsia" w:ascii="宋体" w:hAnsi="宋体" w:eastAsia="宋体" w:cs="宋体"/>
                <w:i w:val="0"/>
                <w:iCs w:val="0"/>
                <w:color w:val="000000"/>
                <w:sz w:val="20"/>
                <w:szCs w:val="20"/>
                <w:u w:val="none"/>
              </w:rPr>
            </w:pPr>
          </w:p>
        </w:tc>
      </w:tr>
      <w:tr w14:paraId="736F1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D8403F">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A6E81B">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A34066">
            <w:pPr>
              <w:jc w:val="center"/>
              <w:rPr>
                <w:rFonts w:hint="eastAsia" w:ascii="宋体" w:hAnsi="宋体" w:eastAsia="宋体" w:cs="宋体"/>
                <w:i w:val="0"/>
                <w:iCs w:val="0"/>
                <w:color w:val="000000"/>
                <w:sz w:val="20"/>
                <w:szCs w:val="20"/>
                <w:u w:val="none"/>
              </w:rPr>
            </w:pPr>
          </w:p>
        </w:tc>
        <w:tc>
          <w:tcPr>
            <w:tcW w:w="400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A51D7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D4386E">
            <w:pPr>
              <w:rPr>
                <w:rFonts w:hint="eastAsia" w:ascii="宋体" w:hAnsi="宋体" w:eastAsia="宋体" w:cs="宋体"/>
                <w:i w:val="0"/>
                <w:iCs w:val="0"/>
                <w:color w:val="000000"/>
                <w:sz w:val="20"/>
                <w:szCs w:val="20"/>
                <w:u w:val="none"/>
              </w:rPr>
            </w:pPr>
          </w:p>
        </w:tc>
      </w:tr>
      <w:tr w14:paraId="14A93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8AE02D">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4F7B38">
            <w:pPr>
              <w:jc w:val="center"/>
              <w:rPr>
                <w:rFonts w:hint="eastAsia" w:ascii="宋体" w:hAnsi="宋体" w:eastAsia="宋体" w:cs="宋体"/>
                <w:i w:val="0"/>
                <w:iCs w:val="0"/>
                <w:color w:val="000000"/>
                <w:sz w:val="20"/>
                <w:szCs w:val="20"/>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15D07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社会效益</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指标</w:t>
            </w:r>
          </w:p>
        </w:tc>
        <w:tc>
          <w:tcPr>
            <w:tcW w:w="400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64743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受益群众户数</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A1EB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≥400户</w:t>
            </w:r>
          </w:p>
        </w:tc>
      </w:tr>
      <w:tr w14:paraId="799C8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13DFB4">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5CEBD3">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BB5923">
            <w:pPr>
              <w:jc w:val="center"/>
              <w:rPr>
                <w:rFonts w:hint="eastAsia" w:ascii="宋体" w:hAnsi="宋体" w:eastAsia="宋体" w:cs="宋体"/>
                <w:i w:val="0"/>
                <w:iCs w:val="0"/>
                <w:color w:val="000000"/>
                <w:sz w:val="20"/>
                <w:szCs w:val="20"/>
                <w:u w:val="none"/>
              </w:rPr>
            </w:pPr>
          </w:p>
        </w:tc>
        <w:tc>
          <w:tcPr>
            <w:tcW w:w="400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65285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受益脱贫人口数</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1CF0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≥500人</w:t>
            </w:r>
          </w:p>
        </w:tc>
      </w:tr>
      <w:tr w14:paraId="79390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1E85F12">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56D0FF">
            <w:pPr>
              <w:jc w:val="center"/>
              <w:rPr>
                <w:rFonts w:hint="eastAsia" w:ascii="宋体" w:hAnsi="宋体" w:eastAsia="宋体" w:cs="宋体"/>
                <w:i w:val="0"/>
                <w:iCs w:val="0"/>
                <w:color w:val="000000"/>
                <w:sz w:val="20"/>
                <w:szCs w:val="20"/>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6E650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生态效益</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指标</w:t>
            </w:r>
          </w:p>
        </w:tc>
        <w:tc>
          <w:tcPr>
            <w:tcW w:w="400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73C6B25">
            <w:pPr>
              <w:jc w:val="left"/>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438413">
            <w:pPr>
              <w:rPr>
                <w:rFonts w:hint="eastAsia" w:ascii="宋体" w:hAnsi="宋体" w:eastAsia="宋体" w:cs="宋体"/>
                <w:i w:val="0"/>
                <w:iCs w:val="0"/>
                <w:color w:val="000000"/>
                <w:sz w:val="20"/>
                <w:szCs w:val="20"/>
                <w:u w:val="none"/>
              </w:rPr>
            </w:pPr>
          </w:p>
        </w:tc>
      </w:tr>
      <w:tr w14:paraId="23F2C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22634D">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76B0C7">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7030EC">
            <w:pPr>
              <w:jc w:val="center"/>
              <w:rPr>
                <w:rFonts w:hint="eastAsia" w:ascii="宋体" w:hAnsi="宋体" w:eastAsia="宋体" w:cs="宋体"/>
                <w:i w:val="0"/>
                <w:iCs w:val="0"/>
                <w:color w:val="000000"/>
                <w:sz w:val="20"/>
                <w:szCs w:val="20"/>
                <w:u w:val="none"/>
              </w:rPr>
            </w:pPr>
          </w:p>
        </w:tc>
        <w:tc>
          <w:tcPr>
            <w:tcW w:w="400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9A0C6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2ABAB9">
            <w:pPr>
              <w:rPr>
                <w:rFonts w:hint="eastAsia" w:ascii="宋体" w:hAnsi="宋体" w:eastAsia="宋体" w:cs="宋体"/>
                <w:i w:val="0"/>
                <w:iCs w:val="0"/>
                <w:color w:val="000000"/>
                <w:sz w:val="20"/>
                <w:szCs w:val="20"/>
                <w:u w:val="none"/>
              </w:rPr>
            </w:pPr>
          </w:p>
        </w:tc>
      </w:tr>
      <w:tr w14:paraId="1D1AC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B90C84">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BA0850">
            <w:pPr>
              <w:jc w:val="center"/>
              <w:rPr>
                <w:rFonts w:hint="eastAsia" w:ascii="宋体" w:hAnsi="宋体" w:eastAsia="宋体" w:cs="宋体"/>
                <w:i w:val="0"/>
                <w:iCs w:val="0"/>
                <w:color w:val="000000"/>
                <w:sz w:val="20"/>
                <w:szCs w:val="20"/>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D5AC9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可持续影响</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指标</w:t>
            </w:r>
          </w:p>
        </w:tc>
        <w:tc>
          <w:tcPr>
            <w:tcW w:w="400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8439A53">
            <w:pPr>
              <w:jc w:val="left"/>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24A165">
            <w:pPr>
              <w:rPr>
                <w:rFonts w:hint="eastAsia" w:ascii="宋体" w:hAnsi="宋体" w:eastAsia="宋体" w:cs="宋体"/>
                <w:i w:val="0"/>
                <w:iCs w:val="0"/>
                <w:color w:val="000000"/>
                <w:sz w:val="20"/>
                <w:szCs w:val="20"/>
                <w:u w:val="none"/>
              </w:rPr>
            </w:pPr>
          </w:p>
        </w:tc>
      </w:tr>
      <w:tr w14:paraId="579D8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78566B">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EC0659">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E5C681">
            <w:pPr>
              <w:jc w:val="center"/>
              <w:rPr>
                <w:rFonts w:hint="eastAsia" w:ascii="宋体" w:hAnsi="宋体" w:eastAsia="宋体" w:cs="宋体"/>
                <w:i w:val="0"/>
                <w:iCs w:val="0"/>
                <w:color w:val="000000"/>
                <w:sz w:val="20"/>
                <w:szCs w:val="20"/>
                <w:u w:val="none"/>
              </w:rPr>
            </w:pPr>
          </w:p>
        </w:tc>
        <w:tc>
          <w:tcPr>
            <w:tcW w:w="400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8E662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ED2712">
            <w:pPr>
              <w:rPr>
                <w:rFonts w:hint="eastAsia" w:ascii="宋体" w:hAnsi="宋体" w:eastAsia="宋体" w:cs="宋体"/>
                <w:i w:val="0"/>
                <w:iCs w:val="0"/>
                <w:color w:val="000000"/>
                <w:sz w:val="20"/>
                <w:szCs w:val="20"/>
                <w:u w:val="none"/>
              </w:rPr>
            </w:pPr>
          </w:p>
        </w:tc>
      </w:tr>
      <w:tr w14:paraId="454DA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3733E5">
            <w:pPr>
              <w:jc w:val="center"/>
              <w:rPr>
                <w:rFonts w:hint="eastAsia" w:ascii="宋体" w:hAnsi="宋体" w:eastAsia="宋体" w:cs="宋体"/>
                <w:i w:val="0"/>
                <w:iCs w:val="0"/>
                <w:color w:val="000000"/>
                <w:sz w:val="20"/>
                <w:szCs w:val="20"/>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540D9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满意度指标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78026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服务对象</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满意度指标</w:t>
            </w:r>
          </w:p>
        </w:tc>
        <w:tc>
          <w:tcPr>
            <w:tcW w:w="400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8374E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受益群众满意度</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A2A3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≥98%</w:t>
            </w:r>
          </w:p>
        </w:tc>
      </w:tr>
      <w:tr w14:paraId="4CC78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515E30F">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5F138E">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E1F298">
            <w:pPr>
              <w:jc w:val="center"/>
              <w:rPr>
                <w:rFonts w:hint="eastAsia" w:ascii="宋体" w:hAnsi="宋体" w:eastAsia="宋体" w:cs="宋体"/>
                <w:i w:val="0"/>
                <w:iCs w:val="0"/>
                <w:color w:val="000000"/>
                <w:sz w:val="20"/>
                <w:szCs w:val="20"/>
                <w:u w:val="none"/>
              </w:rPr>
            </w:pPr>
          </w:p>
        </w:tc>
        <w:tc>
          <w:tcPr>
            <w:tcW w:w="400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75BA5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7C69B0">
            <w:pPr>
              <w:rPr>
                <w:rFonts w:hint="eastAsia" w:ascii="宋体" w:hAnsi="宋体" w:eastAsia="宋体" w:cs="宋体"/>
                <w:i w:val="0"/>
                <w:iCs w:val="0"/>
                <w:color w:val="000000"/>
                <w:sz w:val="20"/>
                <w:szCs w:val="20"/>
                <w:u w:val="none"/>
              </w:rPr>
            </w:pPr>
          </w:p>
        </w:tc>
      </w:tr>
      <w:tr w14:paraId="187D3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740" w:type="dxa"/>
            <w:gridSpan w:val="7"/>
            <w:tcBorders>
              <w:top w:val="single" w:color="000000" w:sz="4" w:space="0"/>
              <w:left w:val="nil"/>
              <w:bottom w:val="nil"/>
              <w:right w:val="single" w:color="000000" w:sz="4" w:space="0"/>
            </w:tcBorders>
            <w:shd w:val="clear" w:color="auto" w:fill="FFFFFF"/>
            <w:vAlign w:val="center"/>
          </w:tcPr>
          <w:p w14:paraId="42D144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r>
    </w:tbl>
    <w:p w14:paraId="37AEFF07">
      <w:pPr>
        <w:pStyle w:val="38"/>
        <w:keepNext w:val="0"/>
        <w:keepLines w:val="0"/>
        <w:pageBreakBefore w:val="0"/>
        <w:widowControl w:val="0"/>
        <w:kinsoku/>
        <w:wordWrap/>
        <w:overflowPunct/>
        <w:topLinePunct w:val="0"/>
        <w:autoSpaceDE/>
        <w:autoSpaceDN/>
        <w:bidi w:val="0"/>
        <w:spacing w:line="576" w:lineRule="exact"/>
        <w:ind w:left="0" w:leftChars="0"/>
        <w:jc w:val="both"/>
        <w:textAlignment w:val="auto"/>
        <w:rPr>
          <w:rFonts w:hint="eastAsia" w:ascii="仿宋_GB2312" w:hAnsi="仿宋_GB2312" w:eastAsia="仿宋_GB2312" w:cs="仿宋_GB2312"/>
          <w:color w:val="auto"/>
          <w:kern w:val="2"/>
          <w:sz w:val="32"/>
          <w:szCs w:val="32"/>
          <w:highlight w:val="none"/>
          <w:lang w:val="en-US" w:eastAsia="zh-CN"/>
        </w:rPr>
      </w:pPr>
    </w:p>
    <w:p w14:paraId="16B95045">
      <w:pPr>
        <w:pStyle w:val="38"/>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0"/>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红原县邛溪镇人民政府</w:t>
      </w:r>
    </w:p>
    <w:p w14:paraId="75ADEEED">
      <w:pPr>
        <w:pStyle w:val="38"/>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0"/>
        <w:rPr>
          <w:rFonts w:hint="eastAsia" w:ascii="方正小标宋简体" w:hAnsi="宋体" w:eastAsia="方正小标宋简体"/>
          <w:sz w:val="44"/>
          <w:szCs w:val="44"/>
          <w:lang w:val="en-US" w:eastAsia="zh-CN"/>
        </w:rPr>
      </w:pPr>
      <w:r>
        <w:rPr>
          <w:rFonts w:hint="eastAsia" w:ascii="方正小标宋简体" w:hAnsi="宋体" w:eastAsia="方正小标宋简体"/>
          <w:sz w:val="44"/>
          <w:szCs w:val="44"/>
          <w:lang w:val="en-US" w:eastAsia="zh-CN"/>
        </w:rPr>
        <w:t>关于脱贫户监测户公益性岗位项目绩效</w:t>
      </w:r>
    </w:p>
    <w:p w14:paraId="3B5B53A1">
      <w:pPr>
        <w:pStyle w:val="38"/>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0"/>
        <w:rPr>
          <w:rFonts w:ascii="仿宋_GB2312" w:hAnsi="宋体" w:eastAsia="仿宋_GB2312"/>
          <w:color w:val="auto"/>
          <w:kern w:val="2"/>
          <w:sz w:val="32"/>
          <w:szCs w:val="32"/>
        </w:rPr>
      </w:pPr>
      <w:r>
        <w:rPr>
          <w:rFonts w:hint="eastAsia" w:ascii="方正小标宋简体" w:hAnsi="宋体" w:eastAsia="方正小标宋简体"/>
          <w:sz w:val="44"/>
          <w:szCs w:val="44"/>
        </w:rPr>
        <w:t>自评报告</w:t>
      </w:r>
    </w:p>
    <w:p w14:paraId="46B44406">
      <w:pPr>
        <w:pStyle w:val="38"/>
        <w:keepNext w:val="0"/>
        <w:keepLines w:val="0"/>
        <w:pageBreakBefore w:val="0"/>
        <w:widowControl w:val="0"/>
        <w:kinsoku/>
        <w:wordWrap/>
        <w:overflowPunct/>
        <w:topLinePunct w:val="0"/>
        <w:autoSpaceDE/>
        <w:autoSpaceDN/>
        <w:bidi w:val="0"/>
        <w:spacing w:line="576" w:lineRule="exact"/>
        <w:ind w:firstLine="640"/>
        <w:jc w:val="center"/>
        <w:textAlignment w:val="auto"/>
        <w:rPr>
          <w:rFonts w:ascii="宋体" w:hAnsi="宋体"/>
          <w:color w:val="auto"/>
          <w:kern w:val="2"/>
          <w:sz w:val="32"/>
          <w:szCs w:val="32"/>
        </w:rPr>
      </w:pPr>
    </w:p>
    <w:p w14:paraId="33751E8F">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zh-CN"/>
        </w:rPr>
        <w:t>项目概况</w:t>
      </w:r>
    </w:p>
    <w:p w14:paraId="63292A44">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576" w:lineRule="exact"/>
        <w:ind w:left="0" w:right="0" w:firstLine="72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sz w:val="32"/>
          <w:szCs w:val="32"/>
          <w:lang w:val="zh-CN"/>
        </w:rPr>
        <w:t>（一）项目资金申报及批复情况。</w:t>
      </w:r>
      <w:r>
        <w:rPr>
          <w:rFonts w:hint="eastAsia" w:ascii="仿宋_GB2312" w:hAnsi="仿宋_GB2312" w:eastAsia="仿宋_GB2312" w:cs="仿宋_GB2312"/>
          <w:sz w:val="32"/>
          <w:szCs w:val="32"/>
          <w:lang w:val="en-US" w:eastAsia="zh-CN"/>
        </w:rPr>
        <w:t>脱贫户监测户公益性岗位项目</w:t>
      </w:r>
      <w:r>
        <w:rPr>
          <w:rFonts w:hint="eastAsia" w:ascii="仿宋_GB2312" w:hAnsi="仿宋_GB2312" w:eastAsia="仿宋_GB2312" w:cs="仿宋_GB2312"/>
          <w:kern w:val="2"/>
          <w:sz w:val="32"/>
          <w:szCs w:val="32"/>
          <w:lang w:val="en-US" w:eastAsia="zh-CN" w:bidi="ar"/>
        </w:rPr>
        <w:t>，下达资金71.9838万元，资金来源文号为：红财发〔2024〕126号，资金来源于</w:t>
      </w:r>
      <w:r>
        <w:rPr>
          <w:rFonts w:hint="eastAsia" w:ascii="仿宋_GB2312" w:hAnsi="仿宋_GB2312" w:eastAsia="仿宋_GB2312" w:cs="仿宋_GB2312"/>
          <w:kern w:val="2"/>
          <w:sz w:val="32"/>
          <w:szCs w:val="32"/>
          <w:lang w:val="zh-CN" w:eastAsia="zh-CN" w:bidi="ar"/>
        </w:rPr>
        <w:t>20</w:t>
      </w:r>
      <w:r>
        <w:rPr>
          <w:rFonts w:hint="eastAsia" w:ascii="仿宋_GB2312" w:hAnsi="仿宋_GB2312" w:eastAsia="仿宋_GB2312" w:cs="仿宋_GB2312"/>
          <w:kern w:val="2"/>
          <w:sz w:val="32"/>
          <w:szCs w:val="32"/>
          <w:lang w:val="en-US" w:eastAsia="zh-CN" w:bidi="ar"/>
        </w:rPr>
        <w:t>24</w:t>
      </w:r>
      <w:r>
        <w:rPr>
          <w:rFonts w:hint="eastAsia" w:ascii="仿宋_GB2312" w:hAnsi="仿宋_GB2312" w:eastAsia="仿宋_GB2312" w:cs="仿宋_GB2312"/>
          <w:kern w:val="2"/>
          <w:sz w:val="32"/>
          <w:szCs w:val="32"/>
          <w:lang w:val="zh-CN" w:eastAsia="zh-CN" w:bidi="ar"/>
        </w:rPr>
        <w:t>年乡村振兴衔接</w:t>
      </w:r>
      <w:r>
        <w:rPr>
          <w:rFonts w:hint="eastAsia" w:ascii="仿宋_GB2312" w:hAnsi="仿宋_GB2312" w:eastAsia="仿宋_GB2312" w:cs="仿宋_GB2312"/>
          <w:kern w:val="2"/>
          <w:sz w:val="32"/>
          <w:szCs w:val="32"/>
          <w:lang w:val="en-US" w:eastAsia="zh-CN" w:bidi="ar"/>
        </w:rPr>
        <w:t>资金（第二批）。</w:t>
      </w:r>
    </w:p>
    <w:p w14:paraId="5AD54411">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（二）项目绩效目标。</w:t>
      </w:r>
    </w:p>
    <w:p w14:paraId="34A3A06C">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建设内容：在脱贫户监测户中聘任公益性岗位。</w:t>
      </w:r>
    </w:p>
    <w:p w14:paraId="7427D964">
      <w:pPr>
        <w:pStyle w:val="8"/>
        <w:pageBreakBefore w:val="0"/>
        <w:widowControl w:val="0"/>
        <w:kinsoku/>
        <w:wordWrap/>
        <w:topLinePunct w:val="0"/>
        <w:bidi w:val="0"/>
        <w:spacing w:before="0"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目标：完成项目实施及资金拨付；绩效指标：提供公益性就业岗位≥80，惠及行政村数量5个，公益性岗位工资及时拨付率100%，公益岗位每人每月工资1379元，受益脱贫户、监测户户均增收8274元，受益户数≥80，受益脱贫人口（监测户）数≥80，受益群众满意度≥95%。</w:t>
      </w:r>
    </w:p>
    <w:p w14:paraId="5E4496FB">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b/>
          <w:sz w:val="32"/>
          <w:szCs w:val="32"/>
          <w:lang w:val="zh-CN"/>
        </w:rPr>
        <w:t>（三）项目资金申报相符性。</w:t>
      </w:r>
      <w:r>
        <w:rPr>
          <w:rFonts w:hint="eastAsia" w:ascii="仿宋_GB2312" w:hAnsi="仿宋_GB2312" w:eastAsia="仿宋_GB2312" w:cs="仿宋_GB2312"/>
          <w:sz w:val="32"/>
          <w:szCs w:val="32"/>
          <w:lang w:val="zh-CN" w:eastAsia="zh-CN"/>
        </w:rPr>
        <w:t>项目申报内容与具体实施内容相符、申报目标合理可行。</w:t>
      </w:r>
    </w:p>
    <w:p w14:paraId="6E46F234">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二、项目实施及管理情况</w:t>
      </w:r>
    </w:p>
    <w:p w14:paraId="075081C2">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1"/>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lang w:val="zh-CN"/>
        </w:rPr>
        <w:tab/>
      </w:r>
      <w:r>
        <w:rPr>
          <w:rFonts w:hint="eastAsia" w:ascii="仿宋_GB2312" w:hAnsi="仿宋_GB2312" w:eastAsia="仿宋_GB2312" w:cs="仿宋_GB2312"/>
          <w:b/>
          <w:sz w:val="32"/>
          <w:szCs w:val="32"/>
          <w:lang w:val="zh-CN"/>
        </w:rPr>
        <w:t>（一）资金计划、到位及使用情况。</w:t>
      </w:r>
    </w:p>
    <w:p w14:paraId="4DFC092C">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576" w:lineRule="exact"/>
        <w:ind w:left="0" w:right="0" w:firstLine="720"/>
        <w:jc w:val="both"/>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bCs/>
          <w:sz w:val="32"/>
          <w:szCs w:val="32"/>
          <w:lang w:val="zh-CN"/>
        </w:rPr>
        <w:t>1．资金计划及到位。</w:t>
      </w:r>
      <w:r>
        <w:rPr>
          <w:rFonts w:hint="eastAsia" w:ascii="仿宋_GB2312" w:hAnsi="仿宋_GB2312" w:eastAsia="仿宋_GB2312" w:cs="仿宋_GB2312"/>
          <w:kern w:val="2"/>
          <w:sz w:val="32"/>
          <w:szCs w:val="32"/>
          <w:lang w:val="en-US" w:eastAsia="zh-CN" w:bidi="ar"/>
        </w:rPr>
        <w:t>该项目概算总投资71.9838万元，全部为2024</w:t>
      </w:r>
      <w:r>
        <w:rPr>
          <w:rFonts w:hint="eastAsia" w:ascii="仿宋_GB2312" w:hAnsi="仿宋_GB2312" w:eastAsia="仿宋_GB2312" w:cs="仿宋_GB2312"/>
          <w:kern w:val="2"/>
          <w:sz w:val="32"/>
          <w:szCs w:val="32"/>
          <w:lang w:val="zh-CN" w:eastAsia="zh-CN" w:bidi="ar"/>
        </w:rPr>
        <w:t>年乡村振兴衔接</w:t>
      </w:r>
      <w:r>
        <w:rPr>
          <w:rFonts w:hint="eastAsia" w:ascii="仿宋_GB2312" w:hAnsi="仿宋_GB2312" w:eastAsia="仿宋_GB2312" w:cs="仿宋_GB2312"/>
          <w:kern w:val="2"/>
          <w:sz w:val="32"/>
          <w:szCs w:val="32"/>
          <w:lang w:val="en-US" w:eastAsia="zh-CN" w:bidi="ar"/>
        </w:rPr>
        <w:t>资金，资金到位及时，资金到位率100%。</w:t>
      </w:r>
    </w:p>
    <w:p w14:paraId="7180132C">
      <w:pPr>
        <w:keepNext w:val="0"/>
        <w:keepLines w:val="0"/>
        <w:pageBreakBefore w:val="0"/>
        <w:widowControl w:val="0"/>
        <w:kinsoku/>
        <w:wordWrap/>
        <w:overflowPunct w:val="0"/>
        <w:topLinePunct w:val="0"/>
        <w:autoSpaceDE w:val="0"/>
        <w:autoSpaceDN w:val="0"/>
        <w:bidi w:val="0"/>
        <w:spacing w:after="0" w:line="576" w:lineRule="exact"/>
        <w:ind w:firstLine="643" w:firstLineChars="200"/>
        <w:jc w:val="both"/>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bCs/>
          <w:sz w:val="32"/>
          <w:szCs w:val="32"/>
          <w:lang w:val="zh-CN"/>
        </w:rPr>
        <w:t>2．资金使用。</w:t>
      </w:r>
      <w:r>
        <w:rPr>
          <w:rFonts w:hint="eastAsia" w:ascii="仿宋_GB2312" w:hAnsi="仿宋_GB2312" w:eastAsia="仿宋_GB2312" w:cs="仿宋_GB2312"/>
          <w:kern w:val="2"/>
          <w:sz w:val="32"/>
          <w:szCs w:val="32"/>
          <w:lang w:val="en-US" w:eastAsia="zh-CN" w:bidi="ar"/>
        </w:rPr>
        <w:t>该项目资金严格按照相关规程及工程施工合同约定进行拨付。71.9838万元全额拨付。</w:t>
      </w:r>
    </w:p>
    <w:p w14:paraId="7546CD34">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textAlignment w:val="auto"/>
        <w:outlineLvl w:val="1"/>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（二）项目财务管理情况。</w:t>
      </w:r>
    </w:p>
    <w:p w14:paraId="0D21FC0B">
      <w:pPr>
        <w:keepNext w:val="0"/>
        <w:keepLines w:val="0"/>
        <w:pageBreakBefore w:val="0"/>
        <w:widowControl w:val="0"/>
        <w:suppressLineNumbers w:val="0"/>
        <w:kinsoku/>
        <w:wordWrap/>
        <w:overflowPunct w:val="0"/>
        <w:topLinePunct w:val="0"/>
        <w:autoSpaceDE w:val="0"/>
        <w:autoSpaceDN w:val="0"/>
        <w:bidi w:val="0"/>
        <w:adjustRightInd w:val="0"/>
        <w:snapToGrid w:val="0"/>
        <w:spacing w:beforeAutospacing="0" w:after="0" w:afterAutospacing="0" w:line="576" w:lineRule="exact"/>
        <w:ind w:left="0" w:right="0" w:firstLine="720"/>
        <w:jc w:val="both"/>
        <w:textAlignment w:val="auto"/>
        <w:rPr>
          <w:rFonts w:hint="eastAsia" w:ascii="仿宋_GB2312" w:hAnsi="仿宋_GB2312" w:eastAsia="仿宋_GB2312" w:cs="仿宋_GB2312"/>
          <w:color w:val="auto"/>
          <w:kern w:val="2"/>
          <w:sz w:val="32"/>
          <w:szCs w:val="32"/>
          <w:lang w:val="zh-CN" w:eastAsia="zh-CN" w:bidi="ar"/>
        </w:rPr>
      </w:pPr>
      <w:r>
        <w:rPr>
          <w:rFonts w:hint="eastAsia" w:ascii="仿宋_GB2312" w:hAnsi="仿宋_GB2312" w:eastAsia="仿宋_GB2312" w:cs="仿宋_GB2312"/>
          <w:sz w:val="32"/>
          <w:szCs w:val="32"/>
          <w:lang w:val="en-US" w:eastAsia="zh-CN"/>
        </w:rPr>
        <w:t>该项目</w:t>
      </w:r>
      <w:r>
        <w:rPr>
          <w:rFonts w:hint="eastAsia" w:ascii="仿宋_GB2312" w:hAnsi="仿宋_GB2312" w:eastAsia="仿宋_GB2312" w:cs="仿宋_GB2312"/>
          <w:color w:val="auto"/>
          <w:kern w:val="2"/>
          <w:sz w:val="32"/>
          <w:szCs w:val="32"/>
          <w:lang w:val="zh-CN" w:eastAsia="zh-CN" w:bidi="ar"/>
        </w:rPr>
        <w:t>实施单位</w:t>
      </w:r>
      <w:r>
        <w:rPr>
          <w:rFonts w:hint="eastAsia" w:ascii="仿宋_GB2312" w:hAnsi="仿宋_GB2312" w:eastAsia="仿宋_GB2312" w:cs="仿宋_GB2312"/>
          <w:color w:val="auto"/>
          <w:kern w:val="2"/>
          <w:sz w:val="32"/>
          <w:szCs w:val="32"/>
          <w:lang w:val="en-US" w:eastAsia="zh-CN" w:bidi="ar"/>
        </w:rPr>
        <w:t>是红原县邛溪镇人民政府，实施部门</w:t>
      </w:r>
      <w:r>
        <w:rPr>
          <w:rFonts w:hint="eastAsia" w:ascii="仿宋_GB2312" w:hAnsi="仿宋_GB2312" w:eastAsia="仿宋_GB2312" w:cs="仿宋_GB2312"/>
          <w:color w:val="auto"/>
          <w:kern w:val="2"/>
          <w:sz w:val="32"/>
          <w:szCs w:val="32"/>
          <w:lang w:val="zh-CN" w:eastAsia="zh-CN" w:bidi="ar"/>
        </w:rPr>
        <w:t>财务管理制度健全，</w:t>
      </w:r>
      <w:r>
        <w:rPr>
          <w:rFonts w:hint="eastAsia" w:ascii="仿宋_GB2312" w:hAnsi="仿宋_GB2312" w:eastAsia="仿宋_GB2312" w:cs="仿宋_GB2312"/>
          <w:color w:val="auto"/>
          <w:kern w:val="2"/>
          <w:sz w:val="32"/>
          <w:szCs w:val="32"/>
          <w:lang w:val="en-US" w:eastAsia="zh-CN" w:bidi="ar"/>
        </w:rPr>
        <w:t>能</w:t>
      </w:r>
      <w:r>
        <w:rPr>
          <w:rFonts w:hint="eastAsia" w:ascii="仿宋_GB2312" w:hAnsi="仿宋_GB2312" w:eastAsia="仿宋_GB2312" w:cs="仿宋_GB2312"/>
          <w:color w:val="auto"/>
          <w:kern w:val="2"/>
          <w:sz w:val="32"/>
          <w:szCs w:val="32"/>
          <w:lang w:val="zh-CN" w:eastAsia="zh-CN" w:bidi="ar"/>
        </w:rPr>
        <w:t>严格执行财务管理制度，账务处理及时，会计、</w:t>
      </w:r>
      <w:r>
        <w:rPr>
          <w:rFonts w:hint="eastAsia" w:ascii="仿宋_GB2312" w:hAnsi="仿宋_GB2312" w:eastAsia="仿宋_GB2312" w:cs="仿宋_GB2312"/>
          <w:color w:val="auto"/>
          <w:kern w:val="2"/>
          <w:sz w:val="32"/>
          <w:szCs w:val="32"/>
          <w:lang w:val="en-US" w:eastAsia="zh-CN" w:bidi="ar"/>
        </w:rPr>
        <w:t>出纳</w:t>
      </w:r>
      <w:r>
        <w:rPr>
          <w:rFonts w:hint="eastAsia" w:ascii="仿宋_GB2312" w:hAnsi="仿宋_GB2312" w:eastAsia="仿宋_GB2312" w:cs="仿宋_GB2312"/>
          <w:color w:val="auto"/>
          <w:kern w:val="2"/>
          <w:sz w:val="32"/>
          <w:szCs w:val="32"/>
          <w:lang w:val="zh-CN" w:eastAsia="zh-CN" w:bidi="ar"/>
        </w:rPr>
        <w:t>核算</w:t>
      </w:r>
      <w:r>
        <w:rPr>
          <w:rFonts w:hint="eastAsia" w:ascii="仿宋_GB2312" w:hAnsi="仿宋_GB2312" w:eastAsia="仿宋_GB2312" w:cs="仿宋_GB2312"/>
          <w:color w:val="auto"/>
          <w:kern w:val="2"/>
          <w:sz w:val="32"/>
          <w:szCs w:val="32"/>
          <w:lang w:val="en-US" w:eastAsia="zh-CN" w:bidi="ar"/>
        </w:rPr>
        <w:t>较为准确规范。</w:t>
      </w:r>
    </w:p>
    <w:p w14:paraId="54B62EE6">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textAlignment w:val="auto"/>
        <w:outlineLvl w:val="1"/>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（三）项目组织实施情况。</w:t>
      </w:r>
    </w:p>
    <w:p w14:paraId="2BB3D368">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textAlignment w:val="auto"/>
        <w:outlineLvl w:val="0"/>
        <w:rPr>
          <w:rFonts w:hint="eastAsia" w:ascii="仿宋_GB2312" w:hAnsi="仿宋_GB2312" w:eastAsia="仿宋_GB2312" w:cs="仿宋_GB2312"/>
          <w:color w:val="FF0000"/>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本项目由红原县邛溪镇人民政府负责具体实施，县科农局负责项目监管，严格按照自愿申报，逐级审核的程序确定建岗位人员，在履职过程中强化全过程监督考核，并按照履职情况发放工资到位。</w:t>
      </w:r>
    </w:p>
    <w:p w14:paraId="6E02D860">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textAlignment w:val="auto"/>
        <w:outlineLvl w:val="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三、项目绩效情况</w:t>
      </w:r>
      <w:r>
        <w:rPr>
          <w:rFonts w:hint="eastAsia" w:ascii="仿宋_GB2312" w:hAnsi="仿宋_GB2312" w:eastAsia="仿宋_GB2312" w:cs="仿宋_GB2312"/>
          <w:sz w:val="32"/>
          <w:szCs w:val="32"/>
          <w:lang w:val="zh-CN"/>
        </w:rPr>
        <w:tab/>
      </w:r>
    </w:p>
    <w:p w14:paraId="7EEC3608">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（一）项目完成情况。</w:t>
      </w:r>
    </w:p>
    <w:p w14:paraId="7FAEC5C7">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rPr>
        <w:t>项目于 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实施完成</w:t>
      </w:r>
      <w:r>
        <w:rPr>
          <w:rFonts w:hint="eastAsia" w:ascii="仿宋_GB2312" w:hAnsi="仿宋_GB2312" w:eastAsia="仿宋_GB2312" w:cs="仿宋_GB2312"/>
          <w:sz w:val="32"/>
          <w:szCs w:val="32"/>
          <w:lang w:val="zh-CN"/>
        </w:rPr>
        <w:t>。</w:t>
      </w:r>
    </w:p>
    <w:p w14:paraId="08766EA9">
      <w:pPr>
        <w:pStyle w:val="3"/>
        <w:pageBreakBefore w:val="0"/>
        <w:widowControl w:val="0"/>
        <w:numPr>
          <w:ilvl w:val="0"/>
          <w:numId w:val="0"/>
        </w:numPr>
        <w:kinsoku/>
        <w:wordWrap/>
        <w:topLinePunct w:val="0"/>
        <w:bidi w:val="0"/>
        <w:spacing w:line="576" w:lineRule="exact"/>
        <w:ind w:firstLine="643" w:firstLineChars="200"/>
        <w:jc w:val="both"/>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（二）项目效益情况。</w:t>
      </w:r>
    </w:p>
    <w:p w14:paraId="6B622ADB">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auto"/>
          <w:sz w:val="32"/>
          <w:szCs w:val="32"/>
          <w:lang w:val="en-US" w:eastAsia="zh-CN"/>
        </w:rPr>
        <w:t>经济效益：</w:t>
      </w:r>
      <w:r>
        <w:rPr>
          <w:rFonts w:hint="eastAsia" w:ascii="仿宋_GB2312" w:hAnsi="仿宋_GB2312" w:eastAsia="仿宋_GB2312" w:cs="仿宋_GB2312"/>
          <w:sz w:val="32"/>
          <w:szCs w:val="32"/>
          <w:lang w:val="en-US" w:eastAsia="zh-CN"/>
        </w:rPr>
        <w:t>通过实施该项目，能有效促进脱贫户监测户通过就近就业务工增加家庭收入，预计可实现人均增收8724元，有效提高了监测对象防返贫能力。</w:t>
      </w:r>
    </w:p>
    <w:p w14:paraId="5306FE11">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社会效益：</w:t>
      </w:r>
      <w:r>
        <w:rPr>
          <w:rFonts w:hint="eastAsia" w:ascii="仿宋_GB2312" w:hAnsi="仿宋_GB2312" w:eastAsia="仿宋_GB2312" w:cs="仿宋_GB2312"/>
          <w:sz w:val="32"/>
          <w:szCs w:val="32"/>
          <w:lang w:val="en-US" w:eastAsia="zh-CN"/>
        </w:rPr>
        <w:t>该项目的实施是巩固脱贫攻坚战略的重要举措。村内公益性岗位能有效解决村内环境政治、资产管理、村级治理等方面资金人员短缺的问题，全面提升村级各项工作能力。</w:t>
      </w:r>
    </w:p>
    <w:p w14:paraId="7331F60D">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四、问题及建议</w:t>
      </w:r>
    </w:p>
    <w:p w14:paraId="115DC0BD">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1"/>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（一）存在的问题。</w:t>
      </w:r>
    </w:p>
    <w:p w14:paraId="658E660C">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无。</w:t>
      </w:r>
    </w:p>
    <w:p w14:paraId="3E82309B">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1"/>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（二）相关建议。</w:t>
      </w:r>
    </w:p>
    <w:p w14:paraId="2928911B">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无。</w:t>
      </w:r>
    </w:p>
    <w:p w14:paraId="0C472F86">
      <w:pPr>
        <w:pStyle w:val="38"/>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仿宋_GB2312" w:eastAsia="仿宋_GB2312" w:cs="仿宋_GB2312"/>
          <w:color w:val="auto"/>
          <w:kern w:val="2"/>
          <w:sz w:val="32"/>
          <w:szCs w:val="32"/>
          <w:highlight w:val="none"/>
          <w:lang w:val="en-US" w:eastAsia="zh-CN"/>
        </w:rPr>
      </w:pPr>
    </w:p>
    <w:p w14:paraId="3FA9A7C0">
      <w:pPr>
        <w:pStyle w:val="38"/>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仿宋_GB2312" w:eastAsia="仿宋_GB2312" w:cs="仿宋_GB2312"/>
          <w:color w:val="auto"/>
          <w:kern w:val="2"/>
          <w:sz w:val="32"/>
          <w:szCs w:val="32"/>
          <w:highlight w:val="none"/>
          <w:lang w:val="en-US" w:eastAsia="zh-CN"/>
        </w:rPr>
      </w:pPr>
    </w:p>
    <w:tbl>
      <w:tblPr>
        <w:tblStyle w:val="19"/>
        <w:tblpPr w:leftFromText="180" w:rightFromText="180" w:vertAnchor="text" w:horzAnchor="page" w:tblpX="1143" w:tblpY="562"/>
        <w:tblOverlap w:val="never"/>
        <w:tblW w:w="105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5"/>
        <w:gridCol w:w="1110"/>
        <w:gridCol w:w="1515"/>
        <w:gridCol w:w="1620"/>
        <w:gridCol w:w="2730"/>
        <w:gridCol w:w="1410"/>
        <w:gridCol w:w="1380"/>
      </w:tblGrid>
      <w:tr w14:paraId="74E25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500" w:type="dxa"/>
            <w:gridSpan w:val="7"/>
            <w:tcBorders>
              <w:top w:val="nil"/>
              <w:left w:val="nil"/>
              <w:bottom w:val="nil"/>
              <w:right w:val="nil"/>
            </w:tcBorders>
            <w:shd w:val="clear" w:color="auto" w:fill="FFFFFF"/>
            <w:vAlign w:val="center"/>
          </w:tcPr>
          <w:p w14:paraId="015EBC72">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绩效目标</w:t>
            </w:r>
            <w:r>
              <w:rPr>
                <w:rFonts w:hint="eastAsia" w:ascii="宋体" w:hAnsi="宋体" w:cs="宋体"/>
                <w:b/>
                <w:bCs/>
                <w:i w:val="0"/>
                <w:iCs w:val="0"/>
                <w:color w:val="000000"/>
                <w:kern w:val="0"/>
                <w:sz w:val="32"/>
                <w:szCs w:val="32"/>
                <w:u w:val="none"/>
                <w:lang w:val="en-US" w:eastAsia="zh-CN" w:bidi="ar"/>
              </w:rPr>
              <w:t>自评</w:t>
            </w:r>
            <w:r>
              <w:rPr>
                <w:rFonts w:hint="eastAsia" w:ascii="宋体" w:hAnsi="宋体" w:eastAsia="宋体" w:cs="宋体"/>
                <w:b/>
                <w:bCs/>
                <w:i w:val="0"/>
                <w:iCs w:val="0"/>
                <w:color w:val="000000"/>
                <w:kern w:val="0"/>
                <w:sz w:val="32"/>
                <w:szCs w:val="32"/>
                <w:u w:val="none"/>
                <w:lang w:val="en-US" w:eastAsia="zh-CN" w:bidi="ar"/>
              </w:rPr>
              <w:t>表</w:t>
            </w:r>
          </w:p>
        </w:tc>
      </w:tr>
      <w:tr w14:paraId="3992E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0500" w:type="dxa"/>
            <w:gridSpan w:val="7"/>
            <w:tcBorders>
              <w:top w:val="nil"/>
              <w:left w:val="nil"/>
              <w:bottom w:val="single" w:color="000000" w:sz="4" w:space="0"/>
              <w:right w:val="nil"/>
            </w:tcBorders>
            <w:shd w:val="clear" w:color="auto" w:fill="FFFFFF"/>
            <w:vAlign w:val="top"/>
          </w:tcPr>
          <w:p w14:paraId="0C652011">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（2024年度）</w:t>
            </w:r>
          </w:p>
        </w:tc>
      </w:tr>
      <w:tr w14:paraId="30E83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84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81846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9E555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脱贫户监测户公益性岗位项目</w:t>
            </w:r>
          </w:p>
        </w:tc>
        <w:tc>
          <w:tcPr>
            <w:tcW w:w="2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7D77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项目负责人及电话</w:t>
            </w:r>
          </w:p>
        </w:tc>
        <w:tc>
          <w:tcPr>
            <w:tcW w:w="279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7FCD3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曹俊</w:t>
            </w:r>
            <w:r>
              <w:rPr>
                <w:rFonts w:hint="eastAsia" w:ascii="宋体" w:hAnsi="宋体" w:cs="宋体"/>
                <w:i w:val="0"/>
                <w:iCs w:val="0"/>
                <w:color w:val="000000"/>
                <w:kern w:val="0"/>
                <w:sz w:val="20"/>
                <w:szCs w:val="20"/>
                <w:u w:val="none"/>
                <w:lang w:val="en-US" w:eastAsia="zh-CN" w:bidi="ar"/>
              </w:rPr>
              <w:t>2662632</w:t>
            </w:r>
          </w:p>
        </w:tc>
      </w:tr>
      <w:tr w14:paraId="1A4C6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84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A8F90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DA961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科农局</w:t>
            </w:r>
          </w:p>
        </w:tc>
        <w:tc>
          <w:tcPr>
            <w:tcW w:w="2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3D1C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279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2768D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邛溪镇人民政府</w:t>
            </w:r>
          </w:p>
        </w:tc>
      </w:tr>
      <w:tr w14:paraId="6F110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845"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3EA3B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C59C0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552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9EBB5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71.9838</w:t>
            </w:r>
          </w:p>
        </w:tc>
      </w:tr>
      <w:tr w14:paraId="15308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84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909964">
            <w:pPr>
              <w:jc w:val="center"/>
              <w:rPr>
                <w:rFonts w:hint="eastAsia" w:ascii="宋体" w:hAnsi="宋体" w:eastAsia="宋体" w:cs="宋体"/>
                <w:i w:val="0"/>
                <w:iCs w:val="0"/>
                <w:color w:val="000000"/>
                <w:sz w:val="20"/>
                <w:szCs w:val="20"/>
                <w:u w:val="none"/>
              </w:rPr>
            </w:pP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2C21F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其中：财政拨款</w:t>
            </w:r>
          </w:p>
        </w:tc>
        <w:tc>
          <w:tcPr>
            <w:tcW w:w="552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46CD9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71.9838</w:t>
            </w:r>
          </w:p>
        </w:tc>
      </w:tr>
      <w:tr w14:paraId="564A9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84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A8B252">
            <w:pPr>
              <w:jc w:val="center"/>
              <w:rPr>
                <w:rFonts w:hint="eastAsia" w:ascii="宋体" w:hAnsi="宋体" w:eastAsia="宋体" w:cs="宋体"/>
                <w:i w:val="0"/>
                <w:iCs w:val="0"/>
                <w:color w:val="000000"/>
                <w:sz w:val="20"/>
                <w:szCs w:val="20"/>
                <w:u w:val="none"/>
              </w:rPr>
            </w:pP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9EA3A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552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138742B">
            <w:pPr>
              <w:jc w:val="center"/>
              <w:rPr>
                <w:rFonts w:hint="eastAsia" w:ascii="宋体" w:hAnsi="宋体" w:eastAsia="宋体" w:cs="宋体"/>
                <w:i w:val="0"/>
                <w:iCs w:val="0"/>
                <w:color w:val="000000"/>
                <w:sz w:val="20"/>
                <w:szCs w:val="20"/>
                <w:u w:val="none"/>
              </w:rPr>
            </w:pPr>
          </w:p>
        </w:tc>
      </w:tr>
      <w:tr w14:paraId="7AA00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78062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p>
        </w:tc>
        <w:tc>
          <w:tcPr>
            <w:tcW w:w="9765"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5FDE3C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年度目标</w:t>
            </w:r>
          </w:p>
        </w:tc>
      </w:tr>
      <w:tr w14:paraId="0E13F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A7CEE6">
            <w:pPr>
              <w:jc w:val="center"/>
              <w:rPr>
                <w:rFonts w:hint="eastAsia" w:ascii="宋体" w:hAnsi="宋体" w:eastAsia="宋体" w:cs="宋体"/>
                <w:i w:val="0"/>
                <w:iCs w:val="0"/>
                <w:color w:val="000000"/>
                <w:sz w:val="20"/>
                <w:szCs w:val="20"/>
                <w:u w:val="none"/>
              </w:rPr>
            </w:pPr>
          </w:p>
        </w:tc>
        <w:tc>
          <w:tcPr>
            <w:tcW w:w="9765"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5B33A9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目标：完成项目实施及资金拨付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w:t>
            </w:r>
          </w:p>
        </w:tc>
      </w:tr>
      <w:tr w14:paraId="05467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4DB13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209E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2522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42455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E82A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指标值</w:t>
            </w:r>
          </w:p>
        </w:tc>
      </w:tr>
      <w:tr w14:paraId="7F2AA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1C6FCF">
            <w:pPr>
              <w:jc w:val="center"/>
              <w:rPr>
                <w:rFonts w:hint="eastAsia" w:ascii="宋体" w:hAnsi="宋体" w:eastAsia="宋体" w:cs="宋体"/>
                <w:i w:val="0"/>
                <w:iCs w:val="0"/>
                <w:color w:val="000000"/>
                <w:sz w:val="20"/>
                <w:szCs w:val="20"/>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160D5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8109F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3313A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提供公益性就业岗位</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45D0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r>
      <w:tr w14:paraId="69050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28F5C7">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1620D8">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9CD3E7">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93525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惠及行政村数量</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B792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5个</w:t>
            </w:r>
          </w:p>
        </w:tc>
      </w:tr>
      <w:tr w14:paraId="1098B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12920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9DC6C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3AD21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C4EFD2F">
            <w:pPr>
              <w:jc w:val="left"/>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0543B9">
            <w:pPr>
              <w:jc w:val="center"/>
              <w:rPr>
                <w:rFonts w:hint="eastAsia" w:ascii="宋体" w:hAnsi="宋体" w:eastAsia="宋体" w:cs="宋体"/>
                <w:i w:val="0"/>
                <w:iCs w:val="0"/>
                <w:color w:val="000000"/>
                <w:sz w:val="20"/>
                <w:szCs w:val="20"/>
                <w:u w:val="none"/>
              </w:rPr>
            </w:pPr>
          </w:p>
        </w:tc>
      </w:tr>
      <w:tr w14:paraId="30B48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6BBA54">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997D0F">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576BD7">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74544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FF225F">
            <w:pPr>
              <w:rPr>
                <w:rFonts w:hint="eastAsia" w:ascii="宋体" w:hAnsi="宋体" w:eastAsia="宋体" w:cs="宋体"/>
                <w:i w:val="0"/>
                <w:iCs w:val="0"/>
                <w:color w:val="000000"/>
                <w:sz w:val="20"/>
                <w:szCs w:val="20"/>
                <w:u w:val="none"/>
              </w:rPr>
            </w:pPr>
          </w:p>
        </w:tc>
      </w:tr>
      <w:tr w14:paraId="1BA90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C6D45A">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EF8C84">
            <w:pPr>
              <w:jc w:val="center"/>
              <w:rPr>
                <w:rFonts w:hint="eastAsia" w:ascii="宋体" w:hAnsi="宋体" w:eastAsia="宋体" w:cs="宋体"/>
                <w:i w:val="0"/>
                <w:iCs w:val="0"/>
                <w:color w:val="000000"/>
                <w:sz w:val="20"/>
                <w:szCs w:val="20"/>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3D89D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EA77C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公益性岗位工资及时拨付率</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CEC2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05AA5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8A1997">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8C80DB">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9C7707">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F76E4F9">
            <w:pPr>
              <w:jc w:val="left"/>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B880B0">
            <w:pPr>
              <w:rPr>
                <w:rFonts w:hint="eastAsia" w:ascii="宋体" w:hAnsi="宋体" w:eastAsia="宋体" w:cs="宋体"/>
                <w:i w:val="0"/>
                <w:iCs w:val="0"/>
                <w:color w:val="000000"/>
                <w:sz w:val="20"/>
                <w:szCs w:val="20"/>
                <w:u w:val="none"/>
              </w:rPr>
            </w:pPr>
          </w:p>
        </w:tc>
      </w:tr>
      <w:tr w14:paraId="642CE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591AB0">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80EEA9">
            <w:pPr>
              <w:jc w:val="center"/>
              <w:rPr>
                <w:rFonts w:hint="eastAsia" w:ascii="宋体" w:hAnsi="宋体" w:eastAsia="宋体" w:cs="宋体"/>
                <w:i w:val="0"/>
                <w:iCs w:val="0"/>
                <w:color w:val="000000"/>
                <w:sz w:val="20"/>
                <w:szCs w:val="20"/>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99BF9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86225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公益岗位每人每月工资</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98FE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1379元</w:t>
            </w:r>
          </w:p>
        </w:tc>
      </w:tr>
      <w:tr w14:paraId="2AC28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F69494">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ACE930">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3E9BC3">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9B40F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140B62">
            <w:pPr>
              <w:rPr>
                <w:rFonts w:hint="eastAsia" w:ascii="宋体" w:hAnsi="宋体" w:eastAsia="宋体" w:cs="宋体"/>
                <w:i w:val="0"/>
                <w:iCs w:val="0"/>
                <w:color w:val="000000"/>
                <w:sz w:val="20"/>
                <w:szCs w:val="20"/>
                <w:u w:val="none"/>
              </w:rPr>
            </w:pPr>
          </w:p>
        </w:tc>
      </w:tr>
      <w:tr w14:paraId="0EA5A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E26180">
            <w:pPr>
              <w:jc w:val="center"/>
              <w:rPr>
                <w:rFonts w:hint="eastAsia" w:ascii="宋体" w:hAnsi="宋体" w:eastAsia="宋体" w:cs="宋体"/>
                <w:i w:val="0"/>
                <w:iCs w:val="0"/>
                <w:color w:val="000000"/>
                <w:sz w:val="20"/>
                <w:szCs w:val="20"/>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77BC4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61746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经济效益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8EEBA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受益脱贫户、监测户户均增收</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815E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8274元</w:t>
            </w:r>
          </w:p>
        </w:tc>
      </w:tr>
      <w:tr w14:paraId="0F83A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128D2A">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6EEA1C">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CC154A">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18F88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68D7D6">
            <w:pPr>
              <w:rPr>
                <w:rFonts w:hint="eastAsia" w:ascii="宋体" w:hAnsi="宋体" w:eastAsia="宋体" w:cs="宋体"/>
                <w:i w:val="0"/>
                <w:iCs w:val="0"/>
                <w:color w:val="000000"/>
                <w:sz w:val="20"/>
                <w:szCs w:val="20"/>
                <w:u w:val="none"/>
              </w:rPr>
            </w:pPr>
          </w:p>
        </w:tc>
      </w:tr>
      <w:tr w14:paraId="520C4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CEC6DB">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C634FF">
            <w:pPr>
              <w:jc w:val="center"/>
              <w:rPr>
                <w:rFonts w:hint="eastAsia" w:ascii="宋体" w:hAnsi="宋体" w:eastAsia="宋体" w:cs="宋体"/>
                <w:i w:val="0"/>
                <w:iCs w:val="0"/>
                <w:color w:val="000000"/>
                <w:sz w:val="20"/>
                <w:szCs w:val="20"/>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D7DC5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14:paraId="3BE6E8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受益户数</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01D7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r>
      <w:tr w14:paraId="38623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825E98">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9955F6">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A7CF08">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15986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受益脱贫人口（监测户）数</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DB1A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r>
      <w:tr w14:paraId="31639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BAC6B5">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84E3B6">
            <w:pPr>
              <w:jc w:val="center"/>
              <w:rPr>
                <w:rFonts w:hint="eastAsia" w:ascii="宋体" w:hAnsi="宋体" w:eastAsia="宋体" w:cs="宋体"/>
                <w:i w:val="0"/>
                <w:iCs w:val="0"/>
                <w:color w:val="000000"/>
                <w:sz w:val="20"/>
                <w:szCs w:val="20"/>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D95DB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775B35E">
            <w:pPr>
              <w:jc w:val="left"/>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A61CD5">
            <w:pPr>
              <w:jc w:val="center"/>
              <w:rPr>
                <w:rFonts w:hint="eastAsia" w:ascii="宋体" w:hAnsi="宋体" w:eastAsia="宋体" w:cs="宋体"/>
                <w:i w:val="0"/>
                <w:iCs w:val="0"/>
                <w:color w:val="000000"/>
                <w:sz w:val="20"/>
                <w:szCs w:val="20"/>
                <w:u w:val="none"/>
              </w:rPr>
            </w:pPr>
          </w:p>
        </w:tc>
      </w:tr>
      <w:tr w14:paraId="32F7A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367793">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F0EA13">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265556">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DBAE0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2F488B">
            <w:pPr>
              <w:rPr>
                <w:rFonts w:hint="eastAsia" w:ascii="宋体" w:hAnsi="宋体" w:eastAsia="宋体" w:cs="宋体"/>
                <w:i w:val="0"/>
                <w:iCs w:val="0"/>
                <w:color w:val="000000"/>
                <w:sz w:val="20"/>
                <w:szCs w:val="20"/>
                <w:u w:val="none"/>
              </w:rPr>
            </w:pPr>
          </w:p>
        </w:tc>
      </w:tr>
      <w:tr w14:paraId="19F64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8AFE86">
            <w:pPr>
              <w:jc w:val="center"/>
              <w:rPr>
                <w:rFonts w:hint="eastAsia" w:ascii="宋体" w:hAnsi="宋体" w:eastAsia="宋体" w:cs="宋体"/>
                <w:i w:val="0"/>
                <w:iCs w:val="0"/>
                <w:color w:val="000000"/>
                <w:sz w:val="20"/>
                <w:szCs w:val="20"/>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4D9DC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DFB64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满意度指标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428D4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受益群众满意度</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99AF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r>
      <w:tr w14:paraId="62B34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24CE41">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F8E231">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D5234C">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85F91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DDB925">
            <w:pPr>
              <w:rPr>
                <w:rFonts w:hint="eastAsia" w:ascii="宋体" w:hAnsi="宋体" w:eastAsia="宋体" w:cs="宋体"/>
                <w:i w:val="0"/>
                <w:iCs w:val="0"/>
                <w:color w:val="000000"/>
                <w:sz w:val="20"/>
                <w:szCs w:val="20"/>
                <w:u w:val="none"/>
              </w:rPr>
            </w:pPr>
          </w:p>
        </w:tc>
      </w:tr>
    </w:tbl>
    <w:p w14:paraId="2E2C61CC">
      <w:pPr>
        <w:pStyle w:val="38"/>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仿宋_GB2312" w:eastAsia="仿宋_GB2312" w:cs="仿宋_GB2312"/>
          <w:color w:val="auto"/>
          <w:kern w:val="2"/>
          <w:sz w:val="32"/>
          <w:szCs w:val="32"/>
          <w:highlight w:val="none"/>
          <w:lang w:val="en-US" w:eastAsia="zh-CN"/>
        </w:rPr>
      </w:pPr>
    </w:p>
    <w:p w14:paraId="2E736C3E">
      <w:pPr>
        <w:pStyle w:val="38"/>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仿宋_GB2312" w:eastAsia="仿宋_GB2312" w:cs="仿宋_GB2312"/>
          <w:color w:val="auto"/>
          <w:kern w:val="2"/>
          <w:sz w:val="32"/>
          <w:szCs w:val="32"/>
          <w:highlight w:val="none"/>
          <w:lang w:val="en-US" w:eastAsia="zh-CN"/>
        </w:rPr>
      </w:pPr>
    </w:p>
    <w:p w14:paraId="3A5DC8E1">
      <w:pPr>
        <w:pStyle w:val="38"/>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仿宋_GB2312" w:hAnsi="仿宋_GB2312" w:eastAsia="仿宋_GB2312" w:cs="仿宋_GB2312"/>
          <w:color w:val="auto"/>
          <w:kern w:val="2"/>
          <w:sz w:val="32"/>
          <w:szCs w:val="32"/>
          <w:highlight w:val="none"/>
          <w:lang w:val="en-US" w:eastAsia="zh-CN"/>
        </w:rPr>
      </w:pPr>
    </w:p>
    <w:p w14:paraId="0F45B1EB">
      <w:pPr>
        <w:pStyle w:val="38"/>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0"/>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红原县邛溪镇人民政府</w:t>
      </w:r>
    </w:p>
    <w:p w14:paraId="481196A6">
      <w:pPr>
        <w:pStyle w:val="38"/>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0"/>
        <w:rPr>
          <w:rFonts w:hint="eastAsia" w:ascii="方正小标宋简体" w:hAnsi="宋体" w:eastAsia="方正小标宋简体"/>
          <w:sz w:val="44"/>
          <w:szCs w:val="44"/>
          <w:lang w:val="en-US" w:eastAsia="zh-CN"/>
        </w:rPr>
      </w:pPr>
      <w:r>
        <w:rPr>
          <w:rFonts w:hint="eastAsia" w:ascii="方正小标宋简体" w:hAnsi="宋体" w:eastAsia="方正小标宋简体"/>
          <w:sz w:val="44"/>
          <w:szCs w:val="44"/>
          <w:lang w:val="en-US" w:eastAsia="zh-CN"/>
        </w:rPr>
        <w:t>关于邛溪镇玛萨村育肥中心提升项目绩效</w:t>
      </w:r>
    </w:p>
    <w:p w14:paraId="4C085602">
      <w:pPr>
        <w:pStyle w:val="38"/>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0"/>
        <w:rPr>
          <w:rFonts w:ascii="仿宋_GB2312" w:hAnsi="宋体" w:eastAsia="仿宋_GB2312"/>
          <w:color w:val="auto"/>
          <w:kern w:val="2"/>
          <w:sz w:val="32"/>
          <w:szCs w:val="32"/>
        </w:rPr>
      </w:pPr>
      <w:r>
        <w:rPr>
          <w:rFonts w:hint="eastAsia" w:ascii="方正小标宋简体" w:hAnsi="宋体" w:eastAsia="方正小标宋简体"/>
          <w:sz w:val="44"/>
          <w:szCs w:val="44"/>
        </w:rPr>
        <w:t>自评报告</w:t>
      </w:r>
    </w:p>
    <w:p w14:paraId="0A196936">
      <w:pPr>
        <w:pStyle w:val="38"/>
        <w:keepNext w:val="0"/>
        <w:keepLines w:val="0"/>
        <w:pageBreakBefore w:val="0"/>
        <w:widowControl w:val="0"/>
        <w:kinsoku/>
        <w:wordWrap/>
        <w:overflowPunct/>
        <w:topLinePunct w:val="0"/>
        <w:autoSpaceDE/>
        <w:autoSpaceDN/>
        <w:bidi w:val="0"/>
        <w:spacing w:line="576" w:lineRule="exact"/>
        <w:ind w:firstLine="640"/>
        <w:jc w:val="center"/>
        <w:textAlignment w:val="auto"/>
        <w:rPr>
          <w:rFonts w:ascii="宋体" w:hAnsi="宋体"/>
          <w:color w:val="auto"/>
          <w:kern w:val="2"/>
          <w:sz w:val="32"/>
          <w:szCs w:val="32"/>
        </w:rPr>
      </w:pPr>
    </w:p>
    <w:p w14:paraId="78ECEC0A">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zh-CN"/>
        </w:rPr>
        <w:t>项目概况</w:t>
      </w:r>
    </w:p>
    <w:p w14:paraId="4EA77464">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576" w:lineRule="exact"/>
        <w:ind w:left="0" w:right="0" w:firstLine="72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sz w:val="32"/>
          <w:szCs w:val="32"/>
          <w:lang w:val="zh-CN"/>
        </w:rPr>
        <w:t>（一）项目资金申报及批复情况。</w:t>
      </w:r>
      <w:r>
        <w:rPr>
          <w:rFonts w:hint="eastAsia" w:ascii="仿宋_GB2312" w:hAnsi="仿宋_GB2312" w:eastAsia="仿宋_GB2312" w:cs="仿宋_GB2312"/>
          <w:sz w:val="32"/>
          <w:szCs w:val="32"/>
          <w:lang w:val="en-US" w:eastAsia="zh-CN"/>
        </w:rPr>
        <w:t>邛溪镇玛萨村育肥中心提升项目</w:t>
      </w:r>
      <w:r>
        <w:rPr>
          <w:rFonts w:hint="eastAsia" w:ascii="仿宋_GB2312" w:hAnsi="仿宋_GB2312" w:eastAsia="仿宋_GB2312" w:cs="仿宋_GB2312"/>
          <w:kern w:val="2"/>
          <w:sz w:val="32"/>
          <w:szCs w:val="32"/>
          <w:lang w:val="en-US" w:eastAsia="zh-CN" w:bidi="ar"/>
        </w:rPr>
        <w:t>，项目下达资金230万元，资金来源文号为：红财发〔2024〕50号，资金来源于</w:t>
      </w:r>
      <w:r>
        <w:rPr>
          <w:rFonts w:hint="eastAsia" w:ascii="仿宋_GB2312" w:hAnsi="仿宋_GB2312" w:eastAsia="仿宋_GB2312" w:cs="仿宋_GB2312"/>
          <w:kern w:val="2"/>
          <w:sz w:val="32"/>
          <w:szCs w:val="32"/>
          <w:lang w:val="zh-CN" w:eastAsia="zh-CN" w:bidi="ar"/>
        </w:rPr>
        <w:t>20</w:t>
      </w:r>
      <w:r>
        <w:rPr>
          <w:rFonts w:hint="eastAsia" w:ascii="仿宋_GB2312" w:hAnsi="仿宋_GB2312" w:eastAsia="仿宋_GB2312" w:cs="仿宋_GB2312"/>
          <w:kern w:val="2"/>
          <w:sz w:val="32"/>
          <w:szCs w:val="32"/>
          <w:lang w:val="en-US" w:eastAsia="zh-CN" w:bidi="ar"/>
        </w:rPr>
        <w:t>24</w:t>
      </w:r>
      <w:r>
        <w:rPr>
          <w:rFonts w:hint="eastAsia" w:ascii="仿宋_GB2312" w:hAnsi="仿宋_GB2312" w:eastAsia="仿宋_GB2312" w:cs="仿宋_GB2312"/>
          <w:kern w:val="2"/>
          <w:sz w:val="32"/>
          <w:szCs w:val="32"/>
          <w:lang w:val="zh-CN" w:eastAsia="zh-CN" w:bidi="ar"/>
        </w:rPr>
        <w:t>年乡村振兴衔接</w:t>
      </w:r>
      <w:r>
        <w:rPr>
          <w:rFonts w:hint="eastAsia" w:ascii="仿宋_GB2312" w:hAnsi="仿宋_GB2312" w:eastAsia="仿宋_GB2312" w:cs="仿宋_GB2312"/>
          <w:kern w:val="2"/>
          <w:sz w:val="32"/>
          <w:szCs w:val="32"/>
          <w:lang w:val="en-US" w:eastAsia="zh-CN" w:bidi="ar"/>
        </w:rPr>
        <w:t>资金（第一批）。</w:t>
      </w:r>
    </w:p>
    <w:p w14:paraId="7C08B013">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（二）项目绩效目标。</w:t>
      </w:r>
    </w:p>
    <w:p w14:paraId="431C3303">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建设内容：新建圈舍460㎡（含草料库），及附属设施；采购网围栏1.2万米；采购种公牛3头，带仔优质牦母牛130头。</w:t>
      </w:r>
    </w:p>
    <w:p w14:paraId="0CDC2CAB">
      <w:pPr>
        <w:pStyle w:val="8"/>
        <w:pageBreakBefore w:val="0"/>
        <w:widowControl w:val="0"/>
        <w:kinsoku/>
        <w:wordWrap/>
        <w:topLinePunct w:val="0"/>
        <w:bidi w:val="0"/>
        <w:spacing w:before="0"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目标：完成圈舍及附属设施建设，完成牲畜和网围栏采购；绩效指标：带仔优质牦母牛≥130头，新建圈舍≥450㎡，采购种公牛≥3头，验收及时率100%，项目总投资小于等于230万元，村集体经济增收≥预计10000元，受益群众户数≥200户，受益脱贫人口数≥150人，受益群众满意度≥98%。</w:t>
      </w:r>
    </w:p>
    <w:p w14:paraId="4E2109B2">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b/>
          <w:sz w:val="32"/>
          <w:szCs w:val="32"/>
          <w:lang w:val="zh-CN"/>
        </w:rPr>
        <w:t>（三）项目资金申报相符性。</w:t>
      </w:r>
      <w:r>
        <w:rPr>
          <w:rFonts w:hint="eastAsia" w:ascii="仿宋_GB2312" w:hAnsi="仿宋_GB2312" w:eastAsia="仿宋_GB2312" w:cs="仿宋_GB2312"/>
          <w:sz w:val="32"/>
          <w:szCs w:val="32"/>
          <w:lang w:val="zh-CN" w:eastAsia="zh-CN"/>
        </w:rPr>
        <w:t>项目申报内容与具体实施内容相符、申报目标合理可行。</w:t>
      </w:r>
    </w:p>
    <w:p w14:paraId="4E65B279">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二、项目实施及管理情况</w:t>
      </w:r>
    </w:p>
    <w:p w14:paraId="2C6100A2">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1"/>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lang w:val="zh-CN"/>
        </w:rPr>
        <w:tab/>
      </w:r>
      <w:r>
        <w:rPr>
          <w:rFonts w:hint="eastAsia" w:ascii="仿宋_GB2312" w:hAnsi="仿宋_GB2312" w:eastAsia="仿宋_GB2312" w:cs="仿宋_GB2312"/>
          <w:b/>
          <w:sz w:val="32"/>
          <w:szCs w:val="32"/>
          <w:lang w:val="zh-CN"/>
        </w:rPr>
        <w:t>（一）资金计划、到位及使用情况。</w:t>
      </w:r>
    </w:p>
    <w:p w14:paraId="296C05D9">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576" w:lineRule="exact"/>
        <w:ind w:left="0" w:right="0" w:firstLine="720"/>
        <w:jc w:val="both"/>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bCs/>
          <w:sz w:val="32"/>
          <w:szCs w:val="32"/>
          <w:lang w:val="zh-CN"/>
        </w:rPr>
        <w:t>1．资金计划及到位。</w:t>
      </w:r>
      <w:r>
        <w:rPr>
          <w:rFonts w:hint="eastAsia" w:ascii="仿宋_GB2312" w:hAnsi="仿宋_GB2312" w:eastAsia="仿宋_GB2312" w:cs="仿宋_GB2312"/>
          <w:kern w:val="2"/>
          <w:sz w:val="32"/>
          <w:szCs w:val="32"/>
          <w:lang w:val="en-US" w:eastAsia="zh-CN" w:bidi="ar"/>
        </w:rPr>
        <w:t>该项目概算总投资230万元，全部为2024</w:t>
      </w:r>
      <w:r>
        <w:rPr>
          <w:rFonts w:hint="eastAsia" w:ascii="仿宋_GB2312" w:hAnsi="仿宋_GB2312" w:eastAsia="仿宋_GB2312" w:cs="仿宋_GB2312"/>
          <w:kern w:val="2"/>
          <w:sz w:val="32"/>
          <w:szCs w:val="32"/>
          <w:lang w:val="zh-CN" w:eastAsia="zh-CN" w:bidi="ar"/>
        </w:rPr>
        <w:t>年乡村振兴衔接</w:t>
      </w:r>
      <w:r>
        <w:rPr>
          <w:rFonts w:hint="eastAsia" w:ascii="仿宋_GB2312" w:hAnsi="仿宋_GB2312" w:eastAsia="仿宋_GB2312" w:cs="仿宋_GB2312"/>
          <w:kern w:val="2"/>
          <w:sz w:val="32"/>
          <w:szCs w:val="32"/>
          <w:lang w:val="en-US" w:eastAsia="zh-CN" w:bidi="ar"/>
        </w:rPr>
        <w:t>资金，资金到位及时，资金到位率100%。</w:t>
      </w:r>
    </w:p>
    <w:p w14:paraId="1FCEF5E5">
      <w:pPr>
        <w:keepNext w:val="0"/>
        <w:keepLines w:val="0"/>
        <w:pageBreakBefore w:val="0"/>
        <w:widowControl w:val="0"/>
        <w:kinsoku/>
        <w:wordWrap/>
        <w:overflowPunct w:val="0"/>
        <w:topLinePunct w:val="0"/>
        <w:autoSpaceDE w:val="0"/>
        <w:autoSpaceDN w:val="0"/>
        <w:bidi w:val="0"/>
        <w:spacing w:after="0" w:line="576" w:lineRule="exact"/>
        <w:ind w:firstLine="643" w:firstLineChars="200"/>
        <w:jc w:val="both"/>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bCs/>
          <w:sz w:val="32"/>
          <w:szCs w:val="32"/>
          <w:lang w:val="zh-CN"/>
        </w:rPr>
        <w:t>2．资金使用。</w:t>
      </w:r>
      <w:r>
        <w:rPr>
          <w:rFonts w:hint="eastAsia" w:ascii="仿宋_GB2312" w:hAnsi="仿宋_GB2312" w:eastAsia="仿宋_GB2312" w:cs="仿宋_GB2312"/>
          <w:kern w:val="2"/>
          <w:sz w:val="32"/>
          <w:szCs w:val="32"/>
          <w:lang w:val="en-US" w:eastAsia="zh-CN" w:bidi="ar"/>
        </w:rPr>
        <w:t>该项目资金严格按照相关规程及工程施工合同约定进行拨付。其中圈舍及草料库建设部分合同金额873880.00元,已拨付847.663.60元(拨付至97%,预留3%质保金),网围栏采购部分合同金额136900.00元(拨付至100%),牲畜采购部分合同金额1193920.00元,已拨付1134224(拨付至95%,预留5%质。</w:t>
      </w:r>
    </w:p>
    <w:p w14:paraId="65C633B7">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textAlignment w:val="auto"/>
        <w:outlineLvl w:val="1"/>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（二）项目财务管理情况。</w:t>
      </w:r>
    </w:p>
    <w:p w14:paraId="4318842C">
      <w:pPr>
        <w:keepNext w:val="0"/>
        <w:keepLines w:val="0"/>
        <w:pageBreakBefore w:val="0"/>
        <w:widowControl w:val="0"/>
        <w:suppressLineNumbers w:val="0"/>
        <w:kinsoku/>
        <w:wordWrap/>
        <w:overflowPunct w:val="0"/>
        <w:topLinePunct w:val="0"/>
        <w:autoSpaceDE w:val="0"/>
        <w:autoSpaceDN w:val="0"/>
        <w:bidi w:val="0"/>
        <w:adjustRightInd w:val="0"/>
        <w:snapToGrid w:val="0"/>
        <w:spacing w:beforeAutospacing="0" w:after="0" w:afterAutospacing="0" w:line="576" w:lineRule="exact"/>
        <w:ind w:left="0" w:right="0" w:firstLine="720"/>
        <w:jc w:val="both"/>
        <w:textAlignment w:val="auto"/>
        <w:rPr>
          <w:rFonts w:hint="eastAsia" w:ascii="仿宋_GB2312" w:hAnsi="仿宋_GB2312" w:eastAsia="仿宋_GB2312" w:cs="仿宋_GB2312"/>
          <w:color w:val="auto"/>
          <w:kern w:val="2"/>
          <w:sz w:val="32"/>
          <w:szCs w:val="32"/>
          <w:lang w:val="zh-CN" w:eastAsia="zh-CN" w:bidi="ar"/>
        </w:rPr>
      </w:pPr>
      <w:r>
        <w:rPr>
          <w:rFonts w:hint="eastAsia" w:ascii="仿宋_GB2312" w:hAnsi="仿宋_GB2312" w:eastAsia="仿宋_GB2312" w:cs="仿宋_GB2312"/>
          <w:sz w:val="32"/>
          <w:szCs w:val="32"/>
          <w:lang w:val="en-US" w:eastAsia="zh-CN"/>
        </w:rPr>
        <w:t>邛溪镇玛萨村育肥中心提升项目</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kern w:val="2"/>
          <w:sz w:val="32"/>
          <w:szCs w:val="32"/>
          <w:lang w:val="zh-CN" w:eastAsia="zh-CN" w:bidi="ar"/>
        </w:rPr>
        <w:t>实施单位</w:t>
      </w:r>
      <w:r>
        <w:rPr>
          <w:rFonts w:hint="eastAsia" w:ascii="仿宋_GB2312" w:hAnsi="仿宋_GB2312" w:eastAsia="仿宋_GB2312" w:cs="仿宋_GB2312"/>
          <w:color w:val="auto"/>
          <w:kern w:val="2"/>
          <w:sz w:val="32"/>
          <w:szCs w:val="32"/>
          <w:lang w:val="en-US" w:eastAsia="zh-CN" w:bidi="ar"/>
        </w:rPr>
        <w:t>是红原县邛溪镇人民政府，实施部门</w:t>
      </w:r>
      <w:r>
        <w:rPr>
          <w:rFonts w:hint="eastAsia" w:ascii="仿宋_GB2312" w:hAnsi="仿宋_GB2312" w:eastAsia="仿宋_GB2312" w:cs="仿宋_GB2312"/>
          <w:color w:val="auto"/>
          <w:kern w:val="2"/>
          <w:sz w:val="32"/>
          <w:szCs w:val="32"/>
          <w:lang w:val="zh-CN" w:eastAsia="zh-CN" w:bidi="ar"/>
        </w:rPr>
        <w:t>财务管理制度健全，</w:t>
      </w:r>
      <w:r>
        <w:rPr>
          <w:rFonts w:hint="eastAsia" w:ascii="仿宋_GB2312" w:hAnsi="仿宋_GB2312" w:eastAsia="仿宋_GB2312" w:cs="仿宋_GB2312"/>
          <w:color w:val="auto"/>
          <w:kern w:val="2"/>
          <w:sz w:val="32"/>
          <w:szCs w:val="32"/>
          <w:lang w:val="en-US" w:eastAsia="zh-CN" w:bidi="ar"/>
        </w:rPr>
        <w:t>能</w:t>
      </w:r>
      <w:r>
        <w:rPr>
          <w:rFonts w:hint="eastAsia" w:ascii="仿宋_GB2312" w:hAnsi="仿宋_GB2312" w:eastAsia="仿宋_GB2312" w:cs="仿宋_GB2312"/>
          <w:color w:val="auto"/>
          <w:kern w:val="2"/>
          <w:sz w:val="32"/>
          <w:szCs w:val="32"/>
          <w:lang w:val="zh-CN" w:eastAsia="zh-CN" w:bidi="ar"/>
        </w:rPr>
        <w:t>严格执行财务管理制度，账务处理及时，会计、</w:t>
      </w:r>
      <w:r>
        <w:rPr>
          <w:rFonts w:hint="eastAsia" w:ascii="仿宋_GB2312" w:hAnsi="仿宋_GB2312" w:eastAsia="仿宋_GB2312" w:cs="仿宋_GB2312"/>
          <w:color w:val="auto"/>
          <w:kern w:val="2"/>
          <w:sz w:val="32"/>
          <w:szCs w:val="32"/>
          <w:lang w:val="en-US" w:eastAsia="zh-CN" w:bidi="ar"/>
        </w:rPr>
        <w:t>出纳</w:t>
      </w:r>
      <w:r>
        <w:rPr>
          <w:rFonts w:hint="eastAsia" w:ascii="仿宋_GB2312" w:hAnsi="仿宋_GB2312" w:eastAsia="仿宋_GB2312" w:cs="仿宋_GB2312"/>
          <w:color w:val="auto"/>
          <w:kern w:val="2"/>
          <w:sz w:val="32"/>
          <w:szCs w:val="32"/>
          <w:lang w:val="zh-CN" w:eastAsia="zh-CN" w:bidi="ar"/>
        </w:rPr>
        <w:t>核算</w:t>
      </w:r>
      <w:r>
        <w:rPr>
          <w:rFonts w:hint="eastAsia" w:ascii="仿宋_GB2312" w:hAnsi="仿宋_GB2312" w:eastAsia="仿宋_GB2312" w:cs="仿宋_GB2312"/>
          <w:color w:val="auto"/>
          <w:kern w:val="2"/>
          <w:sz w:val="32"/>
          <w:szCs w:val="32"/>
          <w:lang w:val="en-US" w:eastAsia="zh-CN" w:bidi="ar"/>
        </w:rPr>
        <w:t>较为准确规范。</w:t>
      </w:r>
    </w:p>
    <w:p w14:paraId="5881D1EE">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textAlignment w:val="auto"/>
        <w:outlineLvl w:val="1"/>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（三）项目组织实施情况。</w:t>
      </w:r>
    </w:p>
    <w:p w14:paraId="50865AE1">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textAlignment w:val="auto"/>
        <w:outlineLvl w:val="0"/>
        <w:rPr>
          <w:rFonts w:hint="eastAsia" w:ascii="仿宋_GB2312" w:hAnsi="仿宋_GB2312" w:eastAsia="仿宋_GB2312" w:cs="仿宋_GB2312"/>
          <w:color w:val="FF0000"/>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本项目由红原县邛溪镇人民政府负责具体实施，县委组织部、科农局负责项目监管，县财政局负责监管项目资金。项目实施严格按照相关流程进行，包括：资金下达、项目选址、确定建设户、方案编制、项目公示、确定施工方、进场施工、资金拨付、资料收集归档。</w:t>
      </w:r>
    </w:p>
    <w:p w14:paraId="13B6C304">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textAlignment w:val="auto"/>
        <w:outlineLvl w:val="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三、项目绩效情况</w:t>
      </w:r>
      <w:r>
        <w:rPr>
          <w:rFonts w:hint="eastAsia" w:ascii="仿宋_GB2312" w:hAnsi="仿宋_GB2312" w:eastAsia="仿宋_GB2312" w:cs="仿宋_GB2312"/>
          <w:sz w:val="32"/>
          <w:szCs w:val="32"/>
          <w:lang w:val="zh-CN"/>
        </w:rPr>
        <w:tab/>
      </w:r>
    </w:p>
    <w:p w14:paraId="11BC8889">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（一）项目完成情况。</w:t>
      </w:r>
    </w:p>
    <w:p w14:paraId="49A222E5">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rPr>
        <w:t>项目于 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日开工，</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日完工并竣工验收合格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zh-CN"/>
        </w:rPr>
        <w:t>该项目已全面保质保量顺利完成。</w:t>
      </w:r>
    </w:p>
    <w:p w14:paraId="31B329E3">
      <w:pPr>
        <w:pStyle w:val="3"/>
        <w:pageBreakBefore w:val="0"/>
        <w:widowControl w:val="0"/>
        <w:numPr>
          <w:ilvl w:val="0"/>
          <w:numId w:val="0"/>
        </w:numPr>
        <w:kinsoku/>
        <w:wordWrap/>
        <w:topLinePunct w:val="0"/>
        <w:bidi w:val="0"/>
        <w:spacing w:line="576" w:lineRule="exact"/>
        <w:ind w:firstLine="643" w:firstLineChars="200"/>
        <w:jc w:val="both"/>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（二）项目效益情况。</w:t>
      </w:r>
    </w:p>
    <w:p w14:paraId="17094CEF">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auto"/>
          <w:sz w:val="32"/>
          <w:szCs w:val="32"/>
          <w:lang w:val="en-US" w:eastAsia="zh-CN"/>
        </w:rPr>
        <w:t>经济效益：</w:t>
      </w:r>
      <w:r>
        <w:rPr>
          <w:rFonts w:hint="eastAsia" w:ascii="仿宋_GB2312" w:hAnsi="仿宋_GB2312" w:eastAsia="仿宋_GB2312" w:cs="仿宋_GB2312"/>
          <w:sz w:val="32"/>
          <w:szCs w:val="32"/>
          <w:lang w:val="en-US" w:eastAsia="zh-CN"/>
        </w:rPr>
        <w:t>邛溪镇玛萨村育肥中心提升项目，通过实施该项目，能够进一步完善村集体经畜牧养殖配套基础设施，进一步促畜牧产业从传统畜牧业向现代标准化养殖模式转变，极大提高牦牛养殖效率，从而增加集体经济收入。项目建成后，大大提升畜牧产业发展，积极应对恶劣天气影响，也将极大改善邛溪镇畜牧产品生产条件，预计能够为集体经济增收达10万元以上，通过集体经济分红，可以为脱贫户、监测户增收共计达3万元以上。</w:t>
      </w:r>
    </w:p>
    <w:p w14:paraId="6FA37EBE">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社会效益：</w:t>
      </w:r>
      <w:r>
        <w:rPr>
          <w:rFonts w:hint="eastAsia" w:ascii="仿宋_GB2312" w:hAnsi="仿宋_GB2312" w:eastAsia="仿宋_GB2312" w:cs="仿宋_GB2312"/>
          <w:sz w:val="32"/>
          <w:szCs w:val="32"/>
          <w:lang w:val="en-US" w:eastAsia="zh-CN"/>
        </w:rPr>
        <w:t>该项目符合乡村振兴战略，是巩固脱贫攻坚战略的重要举措。项目建设有利于保护牧民发展畜牧业，提高农牧民群众生活质量；有利于推动我镇城乡统筹发展，对我镇的国民经济和社会发展助推作用显著。该项目的实施不仅可改善牧区群众生活条件，促进社会稳定，而且可以极大地推动乡村振兴战略实施。方便牧民群众产业发展。同时该项目的建成，将为村集体发展畜牧产品生产提供较好的基础条件，减少不必要的损失。项目建设惠及玛萨村脱贫户60户275人、监测户2户8人。</w:t>
      </w:r>
    </w:p>
    <w:p w14:paraId="13C513D1">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四、问题及建议</w:t>
      </w:r>
    </w:p>
    <w:p w14:paraId="76E20D1D">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1"/>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（一）存在的问题。</w:t>
      </w:r>
    </w:p>
    <w:p w14:paraId="0AAD4B1E">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无。</w:t>
      </w:r>
    </w:p>
    <w:p w14:paraId="00120DC0">
      <w:pPr>
        <w:keepNext w:val="0"/>
        <w:keepLines w:val="0"/>
        <w:pageBreakBefore w:val="0"/>
        <w:widowControl w:val="0"/>
        <w:numPr>
          <w:ilvl w:val="0"/>
          <w:numId w:val="6"/>
        </w:numPr>
        <w:kinsoku/>
        <w:wordWrap/>
        <w:overflowPunct/>
        <w:topLinePunct w:val="0"/>
        <w:autoSpaceDE/>
        <w:autoSpaceDN/>
        <w:bidi w:val="0"/>
        <w:adjustRightInd w:val="0"/>
        <w:snapToGrid w:val="0"/>
        <w:spacing w:line="576" w:lineRule="exact"/>
        <w:ind w:left="420" w:leftChars="200" w:firstLine="0" w:firstLineChars="0"/>
        <w:textAlignment w:val="auto"/>
        <w:outlineLvl w:val="1"/>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相关建议。</w:t>
      </w:r>
    </w:p>
    <w:p w14:paraId="7392807A">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无。</w:t>
      </w:r>
    </w:p>
    <w:tbl>
      <w:tblPr>
        <w:tblStyle w:val="19"/>
        <w:tblpPr w:leftFromText="180" w:rightFromText="180" w:vertAnchor="text" w:horzAnchor="page" w:tblpX="637" w:tblpY="1067"/>
        <w:tblOverlap w:val="never"/>
        <w:tblW w:w="105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5"/>
        <w:gridCol w:w="1110"/>
        <w:gridCol w:w="1515"/>
        <w:gridCol w:w="1620"/>
        <w:gridCol w:w="2730"/>
        <w:gridCol w:w="1410"/>
        <w:gridCol w:w="1380"/>
      </w:tblGrid>
      <w:tr w14:paraId="4A753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500" w:type="dxa"/>
            <w:gridSpan w:val="7"/>
            <w:tcBorders>
              <w:top w:val="nil"/>
              <w:left w:val="nil"/>
              <w:bottom w:val="nil"/>
              <w:right w:val="nil"/>
            </w:tcBorders>
            <w:shd w:val="clear" w:color="auto" w:fill="FFFFFF"/>
            <w:vAlign w:val="center"/>
          </w:tcPr>
          <w:p w14:paraId="44DB886B">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绩效目标自评表</w:t>
            </w:r>
          </w:p>
        </w:tc>
      </w:tr>
      <w:tr w14:paraId="6DB83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0500" w:type="dxa"/>
            <w:gridSpan w:val="7"/>
            <w:tcBorders>
              <w:top w:val="nil"/>
              <w:left w:val="nil"/>
              <w:bottom w:val="single" w:color="000000" w:sz="4" w:space="0"/>
              <w:right w:val="nil"/>
            </w:tcBorders>
            <w:shd w:val="clear" w:color="auto" w:fill="FFFFFF"/>
            <w:vAlign w:val="top"/>
          </w:tcPr>
          <w:p w14:paraId="311BA6A5">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（2024年度）</w:t>
            </w:r>
          </w:p>
        </w:tc>
      </w:tr>
      <w:tr w14:paraId="51E33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184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E591E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7EFF6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邛溪镇玛萨村育肥中心提升项目</w:t>
            </w:r>
          </w:p>
        </w:tc>
        <w:tc>
          <w:tcPr>
            <w:tcW w:w="2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1E30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项目负责人及电话</w:t>
            </w:r>
          </w:p>
        </w:tc>
        <w:tc>
          <w:tcPr>
            <w:tcW w:w="279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8395E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曹俊</w:t>
            </w:r>
            <w:r>
              <w:rPr>
                <w:rFonts w:hint="eastAsia" w:ascii="宋体" w:hAnsi="宋体" w:cs="宋体"/>
                <w:i w:val="0"/>
                <w:iCs w:val="0"/>
                <w:color w:val="000000"/>
                <w:kern w:val="0"/>
                <w:sz w:val="20"/>
                <w:szCs w:val="20"/>
                <w:u w:val="none"/>
                <w:lang w:val="en-US" w:eastAsia="zh-CN" w:bidi="ar"/>
              </w:rPr>
              <w:t>2662632</w:t>
            </w:r>
          </w:p>
        </w:tc>
      </w:tr>
      <w:tr w14:paraId="4A265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184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0223E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8676A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县科农局</w:t>
            </w:r>
          </w:p>
        </w:tc>
        <w:tc>
          <w:tcPr>
            <w:tcW w:w="2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CE77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279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E4748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邛溪镇人民政府</w:t>
            </w:r>
          </w:p>
        </w:tc>
      </w:tr>
      <w:tr w14:paraId="43BDD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1845"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C7E86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3B4A0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552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51561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w:t>
            </w:r>
          </w:p>
        </w:tc>
      </w:tr>
      <w:tr w14:paraId="049FB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184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0F70E92">
            <w:pPr>
              <w:jc w:val="center"/>
              <w:rPr>
                <w:rFonts w:hint="eastAsia" w:ascii="宋体" w:hAnsi="宋体" w:eastAsia="宋体" w:cs="宋体"/>
                <w:i w:val="0"/>
                <w:iCs w:val="0"/>
                <w:color w:val="000000"/>
                <w:sz w:val="20"/>
                <w:szCs w:val="20"/>
                <w:u w:val="none"/>
              </w:rPr>
            </w:pP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F4314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其中：财政拨款</w:t>
            </w:r>
          </w:p>
        </w:tc>
        <w:tc>
          <w:tcPr>
            <w:tcW w:w="552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67E10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w:t>
            </w:r>
          </w:p>
        </w:tc>
      </w:tr>
      <w:tr w14:paraId="590F9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184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AED9FC">
            <w:pPr>
              <w:jc w:val="center"/>
              <w:rPr>
                <w:rFonts w:hint="eastAsia" w:ascii="宋体" w:hAnsi="宋体" w:eastAsia="宋体" w:cs="宋体"/>
                <w:i w:val="0"/>
                <w:iCs w:val="0"/>
                <w:color w:val="000000"/>
                <w:sz w:val="20"/>
                <w:szCs w:val="20"/>
                <w:u w:val="none"/>
              </w:rPr>
            </w:pP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5A5AE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552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3A98241">
            <w:pPr>
              <w:jc w:val="center"/>
              <w:rPr>
                <w:rFonts w:hint="eastAsia" w:ascii="宋体" w:hAnsi="宋体" w:eastAsia="宋体" w:cs="宋体"/>
                <w:i w:val="0"/>
                <w:iCs w:val="0"/>
                <w:color w:val="000000"/>
                <w:sz w:val="20"/>
                <w:szCs w:val="20"/>
                <w:u w:val="none"/>
              </w:rPr>
            </w:pPr>
          </w:p>
        </w:tc>
      </w:tr>
      <w:tr w14:paraId="74A35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4A2A3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p>
        </w:tc>
        <w:tc>
          <w:tcPr>
            <w:tcW w:w="9765"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29356F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年度目标</w:t>
            </w:r>
          </w:p>
        </w:tc>
      </w:tr>
      <w:tr w14:paraId="1DAB8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F3D0D5">
            <w:pPr>
              <w:jc w:val="center"/>
              <w:rPr>
                <w:rFonts w:hint="eastAsia" w:ascii="宋体" w:hAnsi="宋体" w:eastAsia="宋体" w:cs="宋体"/>
                <w:i w:val="0"/>
                <w:iCs w:val="0"/>
                <w:color w:val="000000"/>
                <w:sz w:val="20"/>
                <w:szCs w:val="20"/>
                <w:u w:val="none"/>
              </w:rPr>
            </w:pPr>
          </w:p>
        </w:tc>
        <w:tc>
          <w:tcPr>
            <w:tcW w:w="9765"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3741D9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完成圈舍及附属设施建设，完成牲畜和网围栏采购</w:t>
            </w:r>
          </w:p>
        </w:tc>
      </w:tr>
      <w:tr w14:paraId="037C9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A6737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2269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386F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EA0E2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A01C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指标值</w:t>
            </w:r>
          </w:p>
        </w:tc>
      </w:tr>
      <w:tr w14:paraId="21287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3E60DA">
            <w:pPr>
              <w:jc w:val="center"/>
              <w:rPr>
                <w:rFonts w:hint="eastAsia" w:ascii="宋体" w:hAnsi="宋体" w:eastAsia="宋体" w:cs="宋体"/>
                <w:i w:val="0"/>
                <w:iCs w:val="0"/>
                <w:color w:val="000000"/>
                <w:sz w:val="20"/>
                <w:szCs w:val="20"/>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55D1F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4AC46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61096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带仔优质牦母牛</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666B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≥130头</w:t>
            </w:r>
          </w:p>
        </w:tc>
      </w:tr>
      <w:tr w14:paraId="4FBED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F2B75C">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04A556">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B74EB7">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88A81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新建圈舍</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95E7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≥450平方米</w:t>
            </w:r>
          </w:p>
        </w:tc>
      </w:tr>
      <w:tr w14:paraId="3F5C3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FF9934">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A47FAD">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3D4BE0">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034E5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采购种公牛</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26B9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≥3头</w:t>
            </w:r>
          </w:p>
        </w:tc>
      </w:tr>
      <w:tr w14:paraId="4A09F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0126B1B">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9693B8">
            <w:pPr>
              <w:jc w:val="center"/>
              <w:rPr>
                <w:rFonts w:hint="eastAsia" w:ascii="宋体" w:hAnsi="宋体" w:eastAsia="宋体" w:cs="宋体"/>
                <w:i w:val="0"/>
                <w:iCs w:val="0"/>
                <w:color w:val="000000"/>
                <w:sz w:val="20"/>
                <w:szCs w:val="20"/>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20F52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C8758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项目（工程）验收合格率</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00FA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4FF51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952FD5">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9C2939">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E3D4B1">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069BA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0E7DDB">
            <w:pPr>
              <w:jc w:val="center"/>
              <w:rPr>
                <w:rFonts w:hint="eastAsia" w:ascii="宋体" w:hAnsi="宋体" w:eastAsia="宋体" w:cs="宋体"/>
                <w:i w:val="0"/>
                <w:iCs w:val="0"/>
                <w:color w:val="000000"/>
                <w:sz w:val="20"/>
                <w:szCs w:val="20"/>
                <w:u w:val="none"/>
              </w:rPr>
            </w:pPr>
          </w:p>
        </w:tc>
      </w:tr>
      <w:tr w14:paraId="24081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4D944E">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31D4DF">
            <w:pPr>
              <w:jc w:val="center"/>
              <w:rPr>
                <w:rFonts w:hint="eastAsia" w:ascii="宋体" w:hAnsi="宋体" w:eastAsia="宋体" w:cs="宋体"/>
                <w:i w:val="0"/>
                <w:iCs w:val="0"/>
                <w:color w:val="000000"/>
                <w:sz w:val="20"/>
                <w:szCs w:val="20"/>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864F8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475D0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项目（工程）完成及时率</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8E28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1DDB0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A538D0E">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6726BC">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E89C61">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8A692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192094">
            <w:pPr>
              <w:jc w:val="center"/>
              <w:rPr>
                <w:rFonts w:hint="eastAsia" w:ascii="宋体" w:hAnsi="宋体" w:eastAsia="宋体" w:cs="宋体"/>
                <w:i w:val="0"/>
                <w:iCs w:val="0"/>
                <w:color w:val="000000"/>
                <w:sz w:val="20"/>
                <w:szCs w:val="20"/>
                <w:u w:val="none"/>
              </w:rPr>
            </w:pPr>
          </w:p>
        </w:tc>
      </w:tr>
      <w:tr w14:paraId="0410C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F6253F">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D09206">
            <w:pPr>
              <w:jc w:val="center"/>
              <w:rPr>
                <w:rFonts w:hint="eastAsia" w:ascii="宋体" w:hAnsi="宋体" w:eastAsia="宋体" w:cs="宋体"/>
                <w:i w:val="0"/>
                <w:iCs w:val="0"/>
                <w:color w:val="000000"/>
                <w:sz w:val="20"/>
                <w:szCs w:val="20"/>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A4AA5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7766E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项目总投资</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45F0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≤230万元</w:t>
            </w:r>
          </w:p>
        </w:tc>
      </w:tr>
      <w:tr w14:paraId="7CD2D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271FA7">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CA0E66">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E3D0AF">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2FF26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4E8EEC">
            <w:pPr>
              <w:jc w:val="center"/>
              <w:rPr>
                <w:rFonts w:hint="eastAsia" w:ascii="宋体" w:hAnsi="宋体" w:eastAsia="宋体" w:cs="宋体"/>
                <w:i w:val="0"/>
                <w:iCs w:val="0"/>
                <w:color w:val="000000"/>
                <w:sz w:val="20"/>
                <w:szCs w:val="20"/>
                <w:u w:val="none"/>
              </w:rPr>
            </w:pPr>
          </w:p>
        </w:tc>
      </w:tr>
      <w:tr w14:paraId="0D591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671A69">
            <w:pPr>
              <w:jc w:val="center"/>
              <w:rPr>
                <w:rFonts w:hint="eastAsia" w:ascii="宋体" w:hAnsi="宋体" w:eastAsia="宋体" w:cs="宋体"/>
                <w:i w:val="0"/>
                <w:iCs w:val="0"/>
                <w:color w:val="000000"/>
                <w:sz w:val="20"/>
                <w:szCs w:val="20"/>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2EDEB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7A70C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18690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村级集体经济增收</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5986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≥10000元</w:t>
            </w:r>
          </w:p>
        </w:tc>
      </w:tr>
      <w:tr w14:paraId="4433B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0D7669">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1150AF">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FE6059">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17D4E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8D5600">
            <w:pPr>
              <w:jc w:val="center"/>
              <w:rPr>
                <w:rFonts w:hint="eastAsia" w:ascii="宋体" w:hAnsi="宋体" w:eastAsia="宋体" w:cs="宋体"/>
                <w:i w:val="0"/>
                <w:iCs w:val="0"/>
                <w:color w:val="000000"/>
                <w:sz w:val="20"/>
                <w:szCs w:val="20"/>
                <w:u w:val="none"/>
              </w:rPr>
            </w:pPr>
          </w:p>
        </w:tc>
      </w:tr>
      <w:tr w14:paraId="3FA7B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0437F3">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19D0C7A">
            <w:pPr>
              <w:jc w:val="center"/>
              <w:rPr>
                <w:rFonts w:hint="eastAsia" w:ascii="宋体" w:hAnsi="宋体" w:eastAsia="宋体" w:cs="宋体"/>
                <w:i w:val="0"/>
                <w:iCs w:val="0"/>
                <w:color w:val="000000"/>
                <w:sz w:val="20"/>
                <w:szCs w:val="20"/>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FC63F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14:paraId="1F39D0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受益脱贫人口</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4E56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≥150人</w:t>
            </w:r>
          </w:p>
        </w:tc>
      </w:tr>
      <w:tr w14:paraId="3204B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2245FA">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1B21F92">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29AE31">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14:paraId="58AD9B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受益户数</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8E4E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≥200户</w:t>
            </w:r>
          </w:p>
        </w:tc>
      </w:tr>
      <w:tr w14:paraId="291F6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3DCA922">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EC7538">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FD7E83">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FB35C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6E59A9">
            <w:pPr>
              <w:jc w:val="center"/>
              <w:rPr>
                <w:rFonts w:hint="eastAsia" w:ascii="宋体" w:hAnsi="宋体" w:eastAsia="宋体" w:cs="宋体"/>
                <w:i w:val="0"/>
                <w:iCs w:val="0"/>
                <w:color w:val="000000"/>
                <w:sz w:val="20"/>
                <w:szCs w:val="20"/>
                <w:u w:val="none"/>
              </w:rPr>
            </w:pPr>
          </w:p>
        </w:tc>
      </w:tr>
      <w:tr w14:paraId="43F28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8A094C">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32168A">
            <w:pPr>
              <w:jc w:val="center"/>
              <w:rPr>
                <w:rFonts w:hint="eastAsia" w:ascii="宋体" w:hAnsi="宋体" w:eastAsia="宋体" w:cs="宋体"/>
                <w:i w:val="0"/>
                <w:iCs w:val="0"/>
                <w:color w:val="000000"/>
                <w:sz w:val="20"/>
                <w:szCs w:val="20"/>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DE574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2F3E257">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747F125C">
            <w:pPr>
              <w:jc w:val="center"/>
              <w:rPr>
                <w:rFonts w:hint="eastAsia" w:ascii="宋体" w:hAnsi="宋体" w:eastAsia="宋体" w:cs="宋体"/>
                <w:i w:val="0"/>
                <w:iCs w:val="0"/>
                <w:color w:val="000000"/>
                <w:sz w:val="20"/>
                <w:szCs w:val="20"/>
                <w:u w:val="none"/>
              </w:rPr>
            </w:pPr>
          </w:p>
        </w:tc>
      </w:tr>
      <w:tr w14:paraId="5E496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75F5364">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72165C1">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0B098B">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9FB74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414EBB">
            <w:pPr>
              <w:jc w:val="center"/>
              <w:rPr>
                <w:rFonts w:hint="eastAsia" w:ascii="宋体" w:hAnsi="宋体" w:eastAsia="宋体" w:cs="宋体"/>
                <w:i w:val="0"/>
                <w:iCs w:val="0"/>
                <w:color w:val="000000"/>
                <w:sz w:val="20"/>
                <w:szCs w:val="20"/>
                <w:u w:val="none"/>
              </w:rPr>
            </w:pPr>
          </w:p>
        </w:tc>
      </w:tr>
      <w:tr w14:paraId="6FC18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C003BD">
            <w:pPr>
              <w:jc w:val="center"/>
              <w:rPr>
                <w:rFonts w:hint="eastAsia" w:ascii="宋体" w:hAnsi="宋体" w:eastAsia="宋体" w:cs="宋体"/>
                <w:i w:val="0"/>
                <w:iCs w:val="0"/>
                <w:color w:val="000000"/>
                <w:sz w:val="20"/>
                <w:szCs w:val="20"/>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751CB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45EFE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满意度指标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ABE54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受益人口满意度</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2C6C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r>
      <w:tr w14:paraId="71882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A016E6">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F7FC0F8">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12DAE4">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77850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DF81C">
            <w:pPr>
              <w:jc w:val="center"/>
              <w:rPr>
                <w:rFonts w:hint="eastAsia" w:ascii="宋体" w:hAnsi="宋体" w:eastAsia="宋体" w:cs="宋体"/>
                <w:i w:val="0"/>
                <w:iCs w:val="0"/>
                <w:color w:val="000000"/>
                <w:sz w:val="20"/>
                <w:szCs w:val="20"/>
                <w:u w:val="none"/>
              </w:rPr>
            </w:pPr>
          </w:p>
        </w:tc>
      </w:tr>
    </w:tbl>
    <w:p w14:paraId="4F77373A">
      <w:pPr>
        <w:keepNext w:val="0"/>
        <w:keepLines w:val="0"/>
        <w:pageBreakBefore w:val="0"/>
        <w:widowControl w:val="0"/>
        <w:numPr>
          <w:numId w:val="0"/>
        </w:numPr>
        <w:kinsoku/>
        <w:wordWrap/>
        <w:overflowPunct/>
        <w:topLinePunct w:val="0"/>
        <w:autoSpaceDE/>
        <w:autoSpaceDN/>
        <w:bidi w:val="0"/>
        <w:adjustRightInd w:val="0"/>
        <w:snapToGrid w:val="0"/>
        <w:spacing w:line="576" w:lineRule="exact"/>
        <w:textAlignment w:val="auto"/>
        <w:outlineLvl w:val="1"/>
        <w:rPr>
          <w:rFonts w:hint="eastAsia" w:ascii="仿宋_GB2312" w:hAnsi="仿宋_GB2312" w:eastAsia="仿宋_GB2312" w:cs="仿宋_GB2312"/>
          <w:b/>
          <w:sz w:val="32"/>
          <w:szCs w:val="32"/>
          <w:lang w:val="zh-CN"/>
        </w:rPr>
      </w:pPr>
    </w:p>
    <w:p w14:paraId="1F40E57D">
      <w:pPr>
        <w:pStyle w:val="38"/>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0"/>
        <w:rPr>
          <w:rFonts w:hint="eastAsia" w:ascii="方正小标宋简体" w:hAnsi="宋体" w:eastAsia="方正小标宋简体"/>
          <w:sz w:val="44"/>
          <w:szCs w:val="44"/>
          <w:lang w:eastAsia="zh-CN"/>
        </w:rPr>
      </w:pPr>
    </w:p>
    <w:p w14:paraId="57681170">
      <w:pPr>
        <w:pStyle w:val="38"/>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0"/>
        <w:rPr>
          <w:rFonts w:hint="eastAsia" w:ascii="方正小标宋简体" w:hAnsi="宋体" w:eastAsia="方正小标宋简体"/>
          <w:sz w:val="44"/>
          <w:szCs w:val="44"/>
          <w:lang w:eastAsia="zh-CN"/>
        </w:rPr>
      </w:pPr>
    </w:p>
    <w:p w14:paraId="62E30708">
      <w:pPr>
        <w:pStyle w:val="38"/>
        <w:keepNext w:val="0"/>
        <w:keepLines w:val="0"/>
        <w:pageBreakBefore w:val="0"/>
        <w:widowControl w:val="0"/>
        <w:kinsoku/>
        <w:wordWrap/>
        <w:overflowPunct/>
        <w:topLinePunct w:val="0"/>
        <w:autoSpaceDE/>
        <w:autoSpaceDN/>
        <w:bidi w:val="0"/>
        <w:adjustRightInd/>
        <w:snapToGrid/>
        <w:spacing w:line="576" w:lineRule="exact"/>
        <w:jc w:val="both"/>
        <w:textAlignment w:val="auto"/>
        <w:outlineLvl w:val="0"/>
        <w:rPr>
          <w:rFonts w:hint="eastAsia" w:ascii="方正小标宋简体" w:hAnsi="宋体" w:eastAsia="方正小标宋简体"/>
          <w:sz w:val="44"/>
          <w:szCs w:val="44"/>
          <w:lang w:eastAsia="zh-CN"/>
        </w:rPr>
      </w:pPr>
    </w:p>
    <w:p w14:paraId="54F19FAE">
      <w:pPr>
        <w:pStyle w:val="38"/>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0"/>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红原县邛溪镇人民政府</w:t>
      </w:r>
    </w:p>
    <w:p w14:paraId="4B5E4D39">
      <w:pPr>
        <w:pStyle w:val="38"/>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0"/>
        <w:rPr>
          <w:rFonts w:hint="eastAsia" w:ascii="方正小标宋简体" w:hAnsi="宋体" w:eastAsia="方正小标宋简体"/>
          <w:sz w:val="44"/>
          <w:szCs w:val="44"/>
          <w:lang w:val="en-US" w:eastAsia="zh-CN"/>
        </w:rPr>
      </w:pPr>
      <w:r>
        <w:rPr>
          <w:rFonts w:hint="eastAsia" w:ascii="方正小标宋简体" w:hAnsi="宋体" w:eastAsia="方正小标宋简体"/>
          <w:sz w:val="44"/>
          <w:szCs w:val="44"/>
          <w:lang w:val="en-US" w:eastAsia="zh-CN"/>
        </w:rPr>
        <w:t>关于受灾损毁牧道、涵洞维修项目绩效</w:t>
      </w:r>
    </w:p>
    <w:p w14:paraId="426BAB88">
      <w:pPr>
        <w:pStyle w:val="38"/>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0"/>
        <w:rPr>
          <w:rFonts w:ascii="仿宋_GB2312" w:hAnsi="宋体" w:eastAsia="仿宋_GB2312"/>
          <w:color w:val="auto"/>
          <w:kern w:val="2"/>
          <w:sz w:val="32"/>
          <w:szCs w:val="32"/>
        </w:rPr>
      </w:pPr>
      <w:r>
        <w:rPr>
          <w:rFonts w:hint="eastAsia" w:ascii="方正小标宋简体" w:hAnsi="宋体" w:eastAsia="方正小标宋简体"/>
          <w:sz w:val="44"/>
          <w:szCs w:val="44"/>
        </w:rPr>
        <w:t>自评报告</w:t>
      </w:r>
    </w:p>
    <w:p w14:paraId="0297F9B9">
      <w:pPr>
        <w:pStyle w:val="38"/>
        <w:keepNext w:val="0"/>
        <w:keepLines w:val="0"/>
        <w:pageBreakBefore w:val="0"/>
        <w:widowControl w:val="0"/>
        <w:kinsoku/>
        <w:wordWrap/>
        <w:overflowPunct/>
        <w:topLinePunct w:val="0"/>
        <w:autoSpaceDE/>
        <w:autoSpaceDN/>
        <w:bidi w:val="0"/>
        <w:spacing w:line="576" w:lineRule="exact"/>
        <w:ind w:firstLine="640"/>
        <w:jc w:val="center"/>
        <w:textAlignment w:val="auto"/>
        <w:rPr>
          <w:rFonts w:ascii="宋体" w:hAnsi="宋体"/>
          <w:color w:val="auto"/>
          <w:kern w:val="2"/>
          <w:sz w:val="32"/>
          <w:szCs w:val="32"/>
        </w:rPr>
      </w:pPr>
    </w:p>
    <w:p w14:paraId="5B2485E1">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0"/>
        <w:rPr>
          <w:rFonts w:hint="eastAsia"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14:paraId="24DAC3EA">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576" w:lineRule="exact"/>
        <w:ind w:left="0" w:right="0" w:firstLine="72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sz w:val="32"/>
          <w:szCs w:val="32"/>
          <w:lang w:val="zh-CN"/>
        </w:rPr>
        <w:t>（一）项目资金申报及批复情况。</w:t>
      </w:r>
      <w:r>
        <w:rPr>
          <w:rFonts w:hint="eastAsia" w:ascii="仿宋_GB2312" w:hAnsi="仿宋_GB2312" w:eastAsia="仿宋_GB2312" w:cs="仿宋_GB2312"/>
          <w:sz w:val="32"/>
          <w:szCs w:val="32"/>
          <w:lang w:val="en-US" w:eastAsia="zh-CN"/>
        </w:rPr>
        <w:t>受灾损毁牧道、涵洞维修项目</w:t>
      </w:r>
      <w:r>
        <w:rPr>
          <w:rFonts w:hint="eastAsia" w:ascii="仿宋_GB2312" w:hAnsi="仿宋_GB2312" w:eastAsia="仿宋_GB2312" w:cs="仿宋_GB2312"/>
          <w:kern w:val="2"/>
          <w:sz w:val="32"/>
          <w:szCs w:val="32"/>
          <w:lang w:val="en-US" w:eastAsia="zh-CN" w:bidi="ar"/>
        </w:rPr>
        <w:t>，项目下达资金26万元，资金来源文号为：红财发〔2024〕126号，资金来源于</w:t>
      </w:r>
      <w:r>
        <w:rPr>
          <w:rFonts w:hint="eastAsia" w:ascii="仿宋_GB2312" w:hAnsi="仿宋_GB2312" w:eastAsia="仿宋_GB2312" w:cs="仿宋_GB2312"/>
          <w:kern w:val="2"/>
          <w:sz w:val="32"/>
          <w:szCs w:val="32"/>
          <w:lang w:val="zh-CN" w:eastAsia="zh-CN" w:bidi="ar"/>
        </w:rPr>
        <w:t>20</w:t>
      </w:r>
      <w:r>
        <w:rPr>
          <w:rFonts w:hint="eastAsia" w:ascii="仿宋_GB2312" w:hAnsi="仿宋_GB2312" w:eastAsia="仿宋_GB2312" w:cs="仿宋_GB2312"/>
          <w:kern w:val="2"/>
          <w:sz w:val="32"/>
          <w:szCs w:val="32"/>
          <w:lang w:val="en-US" w:eastAsia="zh-CN" w:bidi="ar"/>
        </w:rPr>
        <w:t>24</w:t>
      </w:r>
      <w:r>
        <w:rPr>
          <w:rFonts w:hint="eastAsia" w:ascii="仿宋_GB2312" w:hAnsi="仿宋_GB2312" w:eastAsia="仿宋_GB2312" w:cs="仿宋_GB2312"/>
          <w:kern w:val="2"/>
          <w:sz w:val="32"/>
          <w:szCs w:val="32"/>
          <w:lang w:val="zh-CN" w:eastAsia="zh-CN" w:bidi="ar"/>
        </w:rPr>
        <w:t>年乡村振兴衔接</w:t>
      </w:r>
      <w:r>
        <w:rPr>
          <w:rFonts w:hint="eastAsia" w:ascii="仿宋_GB2312" w:hAnsi="仿宋_GB2312" w:eastAsia="仿宋_GB2312" w:cs="仿宋_GB2312"/>
          <w:kern w:val="2"/>
          <w:sz w:val="32"/>
          <w:szCs w:val="32"/>
          <w:lang w:val="en-US" w:eastAsia="zh-CN" w:bidi="ar"/>
        </w:rPr>
        <w:t>资金（第二批）。</w:t>
      </w:r>
    </w:p>
    <w:p w14:paraId="2A88BA94">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（二）项目绩效目标。</w:t>
      </w:r>
    </w:p>
    <w:p w14:paraId="4653DDF4">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建设内容：维修牧道26km。</w:t>
      </w:r>
    </w:p>
    <w:p w14:paraId="45764F64">
      <w:pPr>
        <w:pStyle w:val="8"/>
        <w:pageBreakBefore w:val="0"/>
        <w:widowControl w:val="0"/>
        <w:kinsoku/>
        <w:wordWrap/>
        <w:topLinePunct w:val="0"/>
        <w:bidi w:val="0"/>
        <w:spacing w:before="0"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目标：完成圈舍及附属设施建设，完成牲畜和网围栏采购；绩效指标：牧道维修≥20头，验收合格率100%，验收及时率100%，施工工期≤180天，维修成本≤1万元，受益人口数≥200人，受益脱贫人口数≥24人，受益群众满意度≥98%。</w:t>
      </w:r>
    </w:p>
    <w:p w14:paraId="2855DF32">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b/>
          <w:sz w:val="32"/>
          <w:szCs w:val="32"/>
          <w:lang w:val="zh-CN"/>
        </w:rPr>
        <w:t>（三）项目资金申报相符性。</w:t>
      </w:r>
      <w:r>
        <w:rPr>
          <w:rFonts w:hint="eastAsia" w:ascii="仿宋_GB2312" w:hAnsi="仿宋_GB2312" w:eastAsia="仿宋_GB2312" w:cs="仿宋_GB2312"/>
          <w:sz w:val="32"/>
          <w:szCs w:val="32"/>
          <w:lang w:val="zh-CN" w:eastAsia="zh-CN"/>
        </w:rPr>
        <w:t>项目申报内容与具体实施内容相符、申报目标合理可行。</w:t>
      </w:r>
    </w:p>
    <w:p w14:paraId="41EE91AE">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0"/>
        <w:rPr>
          <w:rFonts w:hint="eastAsia" w:ascii="黑体" w:hAnsi="黑体" w:eastAsia="黑体" w:cs="黑体"/>
          <w:sz w:val="32"/>
          <w:szCs w:val="32"/>
        </w:rPr>
      </w:pPr>
      <w:r>
        <w:rPr>
          <w:rFonts w:hint="eastAsia" w:ascii="黑体" w:hAnsi="黑体" w:eastAsia="黑体" w:cs="黑体"/>
          <w:sz w:val="32"/>
          <w:szCs w:val="32"/>
        </w:rPr>
        <w:t>二、项目实施及管理情况</w:t>
      </w:r>
    </w:p>
    <w:p w14:paraId="25CF8A67">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1"/>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lang w:val="zh-CN"/>
        </w:rPr>
        <w:tab/>
      </w:r>
      <w:r>
        <w:rPr>
          <w:rFonts w:hint="eastAsia" w:ascii="仿宋_GB2312" w:hAnsi="仿宋_GB2312" w:eastAsia="仿宋_GB2312" w:cs="仿宋_GB2312"/>
          <w:b/>
          <w:sz w:val="32"/>
          <w:szCs w:val="32"/>
          <w:lang w:val="zh-CN"/>
        </w:rPr>
        <w:t>（一）资金计划、到位及使用情况。</w:t>
      </w:r>
    </w:p>
    <w:p w14:paraId="3474AF34">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576" w:lineRule="exact"/>
        <w:ind w:left="0" w:right="0" w:firstLine="720"/>
        <w:jc w:val="both"/>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bCs/>
          <w:sz w:val="32"/>
          <w:szCs w:val="32"/>
          <w:lang w:val="zh-CN"/>
        </w:rPr>
        <w:t>1．资金计划及到位。</w:t>
      </w:r>
      <w:r>
        <w:rPr>
          <w:rFonts w:hint="eastAsia" w:ascii="仿宋_GB2312" w:hAnsi="仿宋_GB2312" w:eastAsia="仿宋_GB2312" w:cs="仿宋_GB2312"/>
          <w:kern w:val="2"/>
          <w:sz w:val="32"/>
          <w:szCs w:val="32"/>
          <w:lang w:val="en-US" w:eastAsia="zh-CN" w:bidi="ar"/>
        </w:rPr>
        <w:t>该项目概算总投资26万元，全部为2024</w:t>
      </w:r>
      <w:r>
        <w:rPr>
          <w:rFonts w:hint="eastAsia" w:ascii="仿宋_GB2312" w:hAnsi="仿宋_GB2312" w:eastAsia="仿宋_GB2312" w:cs="仿宋_GB2312"/>
          <w:kern w:val="2"/>
          <w:sz w:val="32"/>
          <w:szCs w:val="32"/>
          <w:lang w:val="zh-CN" w:eastAsia="zh-CN" w:bidi="ar"/>
        </w:rPr>
        <w:t>年乡村振兴衔接</w:t>
      </w:r>
      <w:r>
        <w:rPr>
          <w:rFonts w:hint="eastAsia" w:ascii="仿宋_GB2312" w:hAnsi="仿宋_GB2312" w:eastAsia="仿宋_GB2312" w:cs="仿宋_GB2312"/>
          <w:kern w:val="2"/>
          <w:sz w:val="32"/>
          <w:szCs w:val="32"/>
          <w:lang w:val="en-US" w:eastAsia="zh-CN" w:bidi="ar"/>
        </w:rPr>
        <w:t>资金，资金到位及时，资金到位率100%。</w:t>
      </w:r>
    </w:p>
    <w:p w14:paraId="772AD7AC">
      <w:pPr>
        <w:keepNext w:val="0"/>
        <w:keepLines w:val="0"/>
        <w:pageBreakBefore w:val="0"/>
        <w:widowControl w:val="0"/>
        <w:kinsoku/>
        <w:wordWrap/>
        <w:overflowPunct w:val="0"/>
        <w:topLinePunct w:val="0"/>
        <w:autoSpaceDE w:val="0"/>
        <w:autoSpaceDN w:val="0"/>
        <w:bidi w:val="0"/>
        <w:spacing w:after="0" w:line="576" w:lineRule="exact"/>
        <w:ind w:firstLine="643" w:firstLineChars="200"/>
        <w:jc w:val="both"/>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bCs/>
          <w:sz w:val="32"/>
          <w:szCs w:val="32"/>
          <w:lang w:val="zh-CN"/>
        </w:rPr>
        <w:t>2．资金使用。</w:t>
      </w:r>
      <w:r>
        <w:rPr>
          <w:rFonts w:hint="eastAsia" w:ascii="仿宋_GB2312" w:hAnsi="仿宋_GB2312" w:eastAsia="仿宋_GB2312" w:cs="仿宋_GB2312"/>
          <w:kern w:val="2"/>
          <w:sz w:val="32"/>
          <w:szCs w:val="32"/>
          <w:lang w:val="en-US" w:eastAsia="zh-CN" w:bidi="ar"/>
        </w:rPr>
        <w:t>该项目资金严格按照相关规程及工程施工合同约定进行拨付。26万元全额拨付。</w:t>
      </w:r>
    </w:p>
    <w:p w14:paraId="40E22192">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textAlignment w:val="auto"/>
        <w:outlineLvl w:val="1"/>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（二）项目财务管理情况。</w:t>
      </w:r>
    </w:p>
    <w:p w14:paraId="419ACCE2">
      <w:pPr>
        <w:keepNext w:val="0"/>
        <w:keepLines w:val="0"/>
        <w:pageBreakBefore w:val="0"/>
        <w:widowControl w:val="0"/>
        <w:suppressLineNumbers w:val="0"/>
        <w:kinsoku/>
        <w:wordWrap/>
        <w:overflowPunct w:val="0"/>
        <w:topLinePunct w:val="0"/>
        <w:autoSpaceDE w:val="0"/>
        <w:autoSpaceDN w:val="0"/>
        <w:bidi w:val="0"/>
        <w:adjustRightInd w:val="0"/>
        <w:snapToGrid w:val="0"/>
        <w:spacing w:beforeAutospacing="0" w:after="0" w:afterAutospacing="0" w:line="576" w:lineRule="exact"/>
        <w:ind w:left="0" w:right="0" w:firstLine="720"/>
        <w:jc w:val="both"/>
        <w:textAlignment w:val="auto"/>
        <w:rPr>
          <w:rFonts w:hint="eastAsia" w:ascii="仿宋_GB2312" w:hAnsi="仿宋_GB2312" w:eastAsia="仿宋_GB2312" w:cs="仿宋_GB2312"/>
          <w:color w:val="auto"/>
          <w:kern w:val="2"/>
          <w:sz w:val="32"/>
          <w:szCs w:val="32"/>
          <w:lang w:val="zh-CN" w:eastAsia="zh-CN" w:bidi="ar"/>
        </w:rPr>
      </w:pPr>
      <w:r>
        <w:rPr>
          <w:rFonts w:hint="eastAsia" w:ascii="仿宋_GB2312" w:hAnsi="仿宋_GB2312" w:eastAsia="仿宋_GB2312" w:cs="仿宋_GB2312"/>
          <w:sz w:val="32"/>
          <w:szCs w:val="32"/>
          <w:lang w:val="en-US" w:eastAsia="zh-CN"/>
        </w:rPr>
        <w:t>该项目</w:t>
      </w:r>
      <w:r>
        <w:rPr>
          <w:rFonts w:hint="eastAsia" w:ascii="仿宋_GB2312" w:hAnsi="仿宋_GB2312" w:eastAsia="仿宋_GB2312" w:cs="仿宋_GB2312"/>
          <w:color w:val="auto"/>
          <w:kern w:val="2"/>
          <w:sz w:val="32"/>
          <w:szCs w:val="32"/>
          <w:lang w:val="zh-CN" w:eastAsia="zh-CN" w:bidi="ar"/>
        </w:rPr>
        <w:t>实施单位</w:t>
      </w:r>
      <w:r>
        <w:rPr>
          <w:rFonts w:hint="eastAsia" w:ascii="仿宋_GB2312" w:hAnsi="仿宋_GB2312" w:eastAsia="仿宋_GB2312" w:cs="仿宋_GB2312"/>
          <w:color w:val="auto"/>
          <w:kern w:val="2"/>
          <w:sz w:val="32"/>
          <w:szCs w:val="32"/>
          <w:lang w:val="en-US" w:eastAsia="zh-CN" w:bidi="ar"/>
        </w:rPr>
        <w:t>是红原县邛溪镇人民政府，实施部门</w:t>
      </w:r>
      <w:r>
        <w:rPr>
          <w:rFonts w:hint="eastAsia" w:ascii="仿宋_GB2312" w:hAnsi="仿宋_GB2312" w:eastAsia="仿宋_GB2312" w:cs="仿宋_GB2312"/>
          <w:color w:val="auto"/>
          <w:kern w:val="2"/>
          <w:sz w:val="32"/>
          <w:szCs w:val="32"/>
          <w:lang w:val="zh-CN" w:eastAsia="zh-CN" w:bidi="ar"/>
        </w:rPr>
        <w:t>财务管理制度健全，</w:t>
      </w:r>
      <w:r>
        <w:rPr>
          <w:rFonts w:hint="eastAsia" w:ascii="仿宋_GB2312" w:hAnsi="仿宋_GB2312" w:eastAsia="仿宋_GB2312" w:cs="仿宋_GB2312"/>
          <w:color w:val="auto"/>
          <w:kern w:val="2"/>
          <w:sz w:val="32"/>
          <w:szCs w:val="32"/>
          <w:lang w:val="en-US" w:eastAsia="zh-CN" w:bidi="ar"/>
        </w:rPr>
        <w:t>能</w:t>
      </w:r>
      <w:r>
        <w:rPr>
          <w:rFonts w:hint="eastAsia" w:ascii="仿宋_GB2312" w:hAnsi="仿宋_GB2312" w:eastAsia="仿宋_GB2312" w:cs="仿宋_GB2312"/>
          <w:color w:val="auto"/>
          <w:kern w:val="2"/>
          <w:sz w:val="32"/>
          <w:szCs w:val="32"/>
          <w:lang w:val="zh-CN" w:eastAsia="zh-CN" w:bidi="ar"/>
        </w:rPr>
        <w:t>严格执行财务管理制度，账务处理及时，会计、</w:t>
      </w:r>
      <w:r>
        <w:rPr>
          <w:rFonts w:hint="eastAsia" w:ascii="仿宋_GB2312" w:hAnsi="仿宋_GB2312" w:eastAsia="仿宋_GB2312" w:cs="仿宋_GB2312"/>
          <w:color w:val="auto"/>
          <w:kern w:val="2"/>
          <w:sz w:val="32"/>
          <w:szCs w:val="32"/>
          <w:lang w:val="en-US" w:eastAsia="zh-CN" w:bidi="ar"/>
        </w:rPr>
        <w:t>出纳</w:t>
      </w:r>
      <w:r>
        <w:rPr>
          <w:rFonts w:hint="eastAsia" w:ascii="仿宋_GB2312" w:hAnsi="仿宋_GB2312" w:eastAsia="仿宋_GB2312" w:cs="仿宋_GB2312"/>
          <w:color w:val="auto"/>
          <w:kern w:val="2"/>
          <w:sz w:val="32"/>
          <w:szCs w:val="32"/>
          <w:lang w:val="zh-CN" w:eastAsia="zh-CN" w:bidi="ar"/>
        </w:rPr>
        <w:t>核算</w:t>
      </w:r>
      <w:r>
        <w:rPr>
          <w:rFonts w:hint="eastAsia" w:ascii="仿宋_GB2312" w:hAnsi="仿宋_GB2312" w:eastAsia="仿宋_GB2312" w:cs="仿宋_GB2312"/>
          <w:color w:val="auto"/>
          <w:kern w:val="2"/>
          <w:sz w:val="32"/>
          <w:szCs w:val="32"/>
          <w:lang w:val="en-US" w:eastAsia="zh-CN" w:bidi="ar"/>
        </w:rPr>
        <w:t>较为准确规范。</w:t>
      </w:r>
    </w:p>
    <w:p w14:paraId="0517D28C">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textAlignment w:val="auto"/>
        <w:outlineLvl w:val="1"/>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（三）项目组织实施情况。</w:t>
      </w:r>
    </w:p>
    <w:p w14:paraId="6A7E6156">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textAlignment w:val="auto"/>
        <w:outlineLvl w:val="0"/>
        <w:rPr>
          <w:rFonts w:hint="eastAsia" w:ascii="仿宋_GB2312" w:hAnsi="仿宋_GB2312" w:eastAsia="仿宋_GB2312" w:cs="仿宋_GB2312"/>
          <w:color w:val="FF0000"/>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本项目由红原县邛溪镇人民政府负责具体实施，县科农局负责项目监管，县财政局负责监管项目资金。项目实施严格按照相关流程进行，包括：资金下达、项目选址、确定建设户、方案编制、项目公示、确定施工方、进场施工、资金拨付、资料收集归档。</w:t>
      </w:r>
    </w:p>
    <w:p w14:paraId="554AE818">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textAlignment w:val="auto"/>
        <w:outlineLvl w:val="0"/>
        <w:rPr>
          <w:rFonts w:hint="eastAsia" w:ascii="黑体" w:hAnsi="黑体" w:eastAsia="黑体" w:cs="黑体"/>
          <w:sz w:val="32"/>
          <w:szCs w:val="32"/>
          <w:lang w:val="zh-CN"/>
        </w:rPr>
      </w:pPr>
      <w:r>
        <w:rPr>
          <w:rFonts w:hint="eastAsia" w:ascii="黑体" w:hAnsi="黑体" w:eastAsia="黑体" w:cs="黑体"/>
          <w:sz w:val="32"/>
          <w:szCs w:val="32"/>
        </w:rPr>
        <w:t>三、项目绩效情况</w:t>
      </w:r>
      <w:r>
        <w:rPr>
          <w:rFonts w:hint="eastAsia" w:ascii="黑体" w:hAnsi="黑体" w:eastAsia="黑体" w:cs="黑体"/>
          <w:sz w:val="32"/>
          <w:szCs w:val="32"/>
          <w:lang w:val="zh-CN"/>
        </w:rPr>
        <w:tab/>
      </w:r>
    </w:p>
    <w:p w14:paraId="24C0C1AC">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（一）项目完成情况。</w:t>
      </w:r>
    </w:p>
    <w:p w14:paraId="4308D368">
      <w:pPr>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rPr>
        <w:t>项目于 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日开工，</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日完工并竣工验收合格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zh-CN"/>
        </w:rPr>
        <w:t>该项目已全面保质保量顺利完成。</w:t>
      </w:r>
    </w:p>
    <w:p w14:paraId="432DBACD">
      <w:pPr>
        <w:pStyle w:val="3"/>
        <w:pageBreakBefore w:val="0"/>
        <w:widowControl w:val="0"/>
        <w:numPr>
          <w:ilvl w:val="0"/>
          <w:numId w:val="0"/>
        </w:numPr>
        <w:kinsoku/>
        <w:wordWrap/>
        <w:topLinePunct w:val="0"/>
        <w:bidi w:val="0"/>
        <w:spacing w:line="576" w:lineRule="exact"/>
        <w:ind w:firstLine="643" w:firstLineChars="200"/>
        <w:jc w:val="both"/>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（二）项目效益情况。</w:t>
      </w:r>
    </w:p>
    <w:p w14:paraId="155B5F68">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auto"/>
          <w:sz w:val="32"/>
          <w:szCs w:val="32"/>
          <w:lang w:val="en-US" w:eastAsia="zh-CN"/>
        </w:rPr>
        <w:t>经济效益：</w:t>
      </w:r>
      <w:r>
        <w:rPr>
          <w:rFonts w:hint="eastAsia" w:ascii="仿宋_GB2312" w:hAnsi="仿宋_GB2312" w:eastAsia="仿宋_GB2312" w:cs="仿宋_GB2312"/>
          <w:sz w:val="32"/>
          <w:szCs w:val="32"/>
          <w:lang w:val="en-US" w:eastAsia="zh-CN"/>
        </w:rPr>
        <w:t>溪镇各村生产性道路维修项目，通过实施该项目，能够进一步牧区生产性道路，极大绩效牧民从事畜牧成产活动所花费的交通运输成本和时间成本。项目建成后，大大提升畜牧产业发展，积极应对恶劣天气影响，也将极大改善邛溪镇畜牧产品生产条件，本项目惠及热多村全村牧民群众。</w:t>
      </w:r>
    </w:p>
    <w:p w14:paraId="083FC4A7">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社会效益：</w:t>
      </w:r>
      <w:r>
        <w:rPr>
          <w:rFonts w:hint="eastAsia" w:ascii="仿宋_GB2312" w:hAnsi="仿宋_GB2312" w:eastAsia="仿宋_GB2312" w:cs="仿宋_GB2312"/>
          <w:sz w:val="32"/>
          <w:szCs w:val="32"/>
          <w:lang w:val="en-US" w:eastAsia="zh-CN"/>
        </w:rPr>
        <w:t>该项目的实施是巩固脱贫攻坚战略的重要举措。项目建设有利于保护牧民发展畜牧业，提高农牧民群众生活质量；有利于推动我镇城乡统筹发展，对我镇的国民经济和社会发展助推作用显著。该项目的实施不仅可改善牧区群众生活条件，促进社会稳定，而且可以极大地推动乡村振兴战略实施。方便牧民群众产业发展。</w:t>
      </w:r>
    </w:p>
    <w:p w14:paraId="3D03095F">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0"/>
        <w:rPr>
          <w:rFonts w:hint="eastAsia" w:ascii="黑体" w:hAnsi="黑体" w:eastAsia="黑体" w:cs="黑体"/>
          <w:sz w:val="32"/>
          <w:szCs w:val="32"/>
        </w:rPr>
      </w:pPr>
      <w:r>
        <w:rPr>
          <w:rFonts w:hint="eastAsia" w:ascii="黑体" w:hAnsi="黑体" w:eastAsia="黑体" w:cs="黑体"/>
          <w:sz w:val="32"/>
          <w:szCs w:val="32"/>
        </w:rPr>
        <w:t>四、问题及建议</w:t>
      </w:r>
    </w:p>
    <w:p w14:paraId="501BAFDC">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1"/>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（一）存在的问题。</w:t>
      </w:r>
    </w:p>
    <w:p w14:paraId="5B03A68E">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无。</w:t>
      </w:r>
    </w:p>
    <w:p w14:paraId="37E6B8F6">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outlineLvl w:val="1"/>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（二）相关建议。</w:t>
      </w:r>
    </w:p>
    <w:p w14:paraId="610153D3">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无。</w:t>
      </w:r>
    </w:p>
    <w:p w14:paraId="609B8B2B">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仿宋_GB2312" w:eastAsia="仿宋_GB2312" w:cs="仿宋_GB2312"/>
          <w:b w:val="0"/>
          <w:color w:val="000000"/>
          <w:sz w:val="32"/>
          <w:szCs w:val="32"/>
          <w:lang w:val="en-US" w:eastAsia="zh-CN"/>
        </w:rPr>
      </w:pPr>
    </w:p>
    <w:tbl>
      <w:tblPr>
        <w:tblpPr w:leftFromText="180" w:rightFromText="180" w:vertAnchor="text" w:horzAnchor="page" w:tblpX="1161" w:tblpY="597"/>
        <w:tblOverlap w:val="never"/>
        <w:tblW w:w="105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35"/>
        <w:gridCol w:w="1110"/>
        <w:gridCol w:w="1515"/>
        <w:gridCol w:w="1620"/>
        <w:gridCol w:w="2730"/>
        <w:gridCol w:w="1410"/>
        <w:gridCol w:w="1380"/>
      </w:tblGrid>
      <w:tr w14:paraId="26DB0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0500" w:type="dxa"/>
            <w:gridSpan w:val="7"/>
            <w:tcBorders>
              <w:top w:val="nil"/>
              <w:left w:val="nil"/>
              <w:bottom w:val="nil"/>
              <w:right w:val="nil"/>
            </w:tcBorders>
            <w:shd w:val="clear" w:color="auto" w:fill="FFFFFF"/>
            <w:vAlign w:val="center"/>
          </w:tcPr>
          <w:p w14:paraId="63585F8F">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绩效目标自评表</w:t>
            </w:r>
          </w:p>
        </w:tc>
      </w:tr>
      <w:tr w14:paraId="12710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0500" w:type="dxa"/>
            <w:gridSpan w:val="7"/>
            <w:tcBorders>
              <w:top w:val="nil"/>
              <w:left w:val="nil"/>
              <w:bottom w:val="single" w:color="000000" w:sz="4" w:space="0"/>
              <w:right w:val="nil"/>
            </w:tcBorders>
            <w:shd w:val="clear" w:color="auto" w:fill="FFFFFF"/>
            <w:vAlign w:val="top"/>
          </w:tcPr>
          <w:p w14:paraId="05A63809">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（2024年度）</w:t>
            </w:r>
          </w:p>
        </w:tc>
      </w:tr>
      <w:tr w14:paraId="4FD6B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84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DF4E0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项目名称</w:t>
            </w: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27C6B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受灾损毁牧道、涵洞维修项目</w:t>
            </w:r>
          </w:p>
        </w:tc>
        <w:tc>
          <w:tcPr>
            <w:tcW w:w="2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CAE2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项目负责人及电话</w:t>
            </w:r>
          </w:p>
        </w:tc>
        <w:tc>
          <w:tcPr>
            <w:tcW w:w="279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53E92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曹俊2662632</w:t>
            </w:r>
          </w:p>
        </w:tc>
      </w:tr>
      <w:tr w14:paraId="0AC6A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84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538F8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主管部门</w:t>
            </w: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12998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科农局</w:t>
            </w:r>
          </w:p>
        </w:tc>
        <w:tc>
          <w:tcPr>
            <w:tcW w:w="27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D91B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实施单位</w:t>
            </w:r>
          </w:p>
        </w:tc>
        <w:tc>
          <w:tcPr>
            <w:tcW w:w="279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14C3A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邛溪镇人民政府</w:t>
            </w:r>
          </w:p>
        </w:tc>
      </w:tr>
      <w:tr w14:paraId="3C0C3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845"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DF617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资金情况</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（万元）</w:t>
            </w: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D2373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年度资金总额：</w:t>
            </w:r>
          </w:p>
        </w:tc>
        <w:tc>
          <w:tcPr>
            <w:tcW w:w="552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BEC6D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26</w:t>
            </w:r>
          </w:p>
        </w:tc>
      </w:tr>
      <w:tr w14:paraId="28D88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84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2695AF">
            <w:pPr>
              <w:jc w:val="center"/>
              <w:rPr>
                <w:rFonts w:hint="eastAsia" w:ascii="宋体" w:hAnsi="宋体" w:eastAsia="宋体" w:cs="宋体"/>
                <w:i w:val="0"/>
                <w:iCs w:val="0"/>
                <w:color w:val="000000"/>
                <w:sz w:val="20"/>
                <w:szCs w:val="20"/>
                <w:u w:val="none"/>
              </w:rPr>
            </w:pP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9D016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其中：财政拨款</w:t>
            </w:r>
          </w:p>
        </w:tc>
        <w:tc>
          <w:tcPr>
            <w:tcW w:w="552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D481D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26</w:t>
            </w:r>
          </w:p>
        </w:tc>
      </w:tr>
      <w:tr w14:paraId="40ADD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84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BA3523">
            <w:pPr>
              <w:jc w:val="center"/>
              <w:rPr>
                <w:rFonts w:hint="eastAsia" w:ascii="宋体" w:hAnsi="宋体" w:eastAsia="宋体" w:cs="宋体"/>
                <w:i w:val="0"/>
                <w:iCs w:val="0"/>
                <w:color w:val="000000"/>
                <w:sz w:val="20"/>
                <w:szCs w:val="20"/>
                <w:u w:val="none"/>
              </w:rPr>
            </w:pPr>
          </w:p>
        </w:tc>
        <w:tc>
          <w:tcPr>
            <w:tcW w:w="313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364C0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其他资金</w:t>
            </w:r>
          </w:p>
        </w:tc>
        <w:tc>
          <w:tcPr>
            <w:tcW w:w="552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78BE768">
            <w:pPr>
              <w:jc w:val="center"/>
              <w:rPr>
                <w:rFonts w:hint="eastAsia" w:ascii="宋体" w:hAnsi="宋体" w:eastAsia="宋体" w:cs="宋体"/>
                <w:i w:val="0"/>
                <w:iCs w:val="0"/>
                <w:color w:val="000000"/>
                <w:sz w:val="20"/>
                <w:szCs w:val="20"/>
                <w:u w:val="none"/>
              </w:rPr>
            </w:pPr>
          </w:p>
        </w:tc>
      </w:tr>
      <w:tr w14:paraId="1E385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79897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总</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体</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目</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标</w:t>
            </w:r>
          </w:p>
        </w:tc>
        <w:tc>
          <w:tcPr>
            <w:tcW w:w="9765"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1BFD89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年度目标</w:t>
            </w:r>
          </w:p>
        </w:tc>
      </w:tr>
      <w:tr w14:paraId="5C9C1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FF2CD6">
            <w:pPr>
              <w:jc w:val="center"/>
              <w:rPr>
                <w:rFonts w:hint="eastAsia" w:ascii="宋体" w:hAnsi="宋体" w:eastAsia="宋体" w:cs="宋体"/>
                <w:i w:val="0"/>
                <w:iCs w:val="0"/>
                <w:color w:val="000000"/>
                <w:sz w:val="20"/>
                <w:szCs w:val="20"/>
                <w:u w:val="none"/>
              </w:rPr>
            </w:pPr>
          </w:p>
        </w:tc>
        <w:tc>
          <w:tcPr>
            <w:tcW w:w="9765"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375A76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完成灾毁段维修并及时拨付项目资金</w:t>
            </w:r>
          </w:p>
        </w:tc>
      </w:tr>
      <w:tr w14:paraId="4D27A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442A4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绩</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效</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指</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标</w:t>
            </w:r>
          </w:p>
        </w:tc>
        <w:tc>
          <w:tcPr>
            <w:tcW w:w="11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E49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AFCB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二级指标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98ABF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三级指标</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58AF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指标值</w:t>
            </w:r>
          </w:p>
        </w:tc>
      </w:tr>
      <w:tr w14:paraId="40A41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63A191">
            <w:pPr>
              <w:jc w:val="center"/>
              <w:rPr>
                <w:rFonts w:hint="eastAsia" w:ascii="宋体" w:hAnsi="宋体" w:eastAsia="宋体" w:cs="宋体"/>
                <w:i w:val="0"/>
                <w:iCs w:val="0"/>
                <w:color w:val="000000"/>
                <w:sz w:val="20"/>
                <w:szCs w:val="20"/>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2CC71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F24A5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数量指标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99AB9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牧道维修</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4D19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≥20km</w:t>
            </w:r>
          </w:p>
        </w:tc>
      </w:tr>
      <w:tr w14:paraId="6BB23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42DF13">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89750B">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45EF56">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740A861">
            <w:pPr>
              <w:jc w:val="left"/>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56E950">
            <w:pPr>
              <w:jc w:val="center"/>
              <w:rPr>
                <w:rFonts w:hint="eastAsia" w:ascii="宋体" w:hAnsi="宋体" w:eastAsia="宋体" w:cs="宋体"/>
                <w:i w:val="0"/>
                <w:iCs w:val="0"/>
                <w:color w:val="000000"/>
                <w:sz w:val="20"/>
                <w:szCs w:val="20"/>
                <w:u w:val="none"/>
              </w:rPr>
            </w:pPr>
          </w:p>
        </w:tc>
      </w:tr>
      <w:tr w14:paraId="020FA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292E4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绩</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效</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指</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标</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16544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AA0A8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质量指标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CFEF2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验收合格率</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C0B3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w:t>
            </w:r>
          </w:p>
        </w:tc>
      </w:tr>
      <w:tr w14:paraId="121E9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2E464F">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0C7DFC">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8500B2">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F339B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47F2BF">
            <w:pPr>
              <w:jc w:val="center"/>
              <w:rPr>
                <w:rFonts w:hint="eastAsia" w:ascii="宋体" w:hAnsi="宋体" w:eastAsia="宋体" w:cs="宋体"/>
                <w:i w:val="0"/>
                <w:iCs w:val="0"/>
                <w:color w:val="000000"/>
                <w:sz w:val="20"/>
                <w:szCs w:val="20"/>
                <w:u w:val="none"/>
              </w:rPr>
            </w:pPr>
          </w:p>
        </w:tc>
      </w:tr>
      <w:tr w14:paraId="24195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EB6F16">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57BAA1">
            <w:pPr>
              <w:jc w:val="center"/>
              <w:rPr>
                <w:rFonts w:hint="eastAsia" w:ascii="宋体" w:hAnsi="宋体" w:eastAsia="宋体" w:cs="宋体"/>
                <w:i w:val="0"/>
                <w:iCs w:val="0"/>
                <w:color w:val="000000"/>
                <w:sz w:val="20"/>
                <w:szCs w:val="20"/>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70A4D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时效指标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804D1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项目验收及时率</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D27C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w:t>
            </w:r>
          </w:p>
        </w:tc>
      </w:tr>
      <w:tr w14:paraId="7D6EF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A65D42">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7B51D0">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036582">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46C8F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施工工期</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FBEE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≤180天</w:t>
            </w:r>
          </w:p>
        </w:tc>
      </w:tr>
      <w:tr w14:paraId="3DB38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B182AC">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D550034">
            <w:pPr>
              <w:jc w:val="center"/>
              <w:rPr>
                <w:rFonts w:hint="eastAsia" w:ascii="宋体" w:hAnsi="宋体" w:eastAsia="宋体" w:cs="宋体"/>
                <w:i w:val="0"/>
                <w:iCs w:val="0"/>
                <w:color w:val="000000"/>
                <w:sz w:val="20"/>
                <w:szCs w:val="20"/>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E1858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成本指标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46C86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维修成本每公里</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A698A7">
            <w:pPr>
              <w:keepNext w:val="0"/>
              <w:keepLines w:val="0"/>
              <w:widowControl/>
              <w:suppressLineNumbers w:val="0"/>
              <w:jc w:val="center"/>
              <w:textAlignment w:val="center"/>
              <w:rPr>
                <w:rFonts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none" w:color="auto" w:sz="0" w:space="0"/>
                <w:lang w:val="en-US" w:eastAsia="zh-CN" w:bidi="ar"/>
              </w:rPr>
              <w:t>≦1</w:t>
            </w:r>
            <w:r>
              <w:rPr>
                <w:rFonts w:hint="eastAsia" w:ascii="宋体" w:hAnsi="宋体" w:eastAsia="宋体" w:cs="宋体"/>
                <w:i w:val="0"/>
                <w:iCs w:val="0"/>
                <w:color w:val="000000"/>
                <w:kern w:val="0"/>
                <w:sz w:val="20"/>
                <w:szCs w:val="20"/>
                <w:u w:val="none"/>
                <w:bdr w:val="none" w:color="auto" w:sz="0" w:space="0"/>
                <w:lang w:val="en-US" w:eastAsia="zh-CN" w:bidi="ar"/>
              </w:rPr>
              <w:t>万元</w:t>
            </w:r>
          </w:p>
        </w:tc>
      </w:tr>
      <w:tr w14:paraId="045B8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E6D475">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FB83DE">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FDEF14">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F68E0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4420F5">
            <w:pPr>
              <w:jc w:val="center"/>
              <w:rPr>
                <w:rFonts w:hint="eastAsia" w:ascii="宋体" w:hAnsi="宋体" w:eastAsia="宋体" w:cs="宋体"/>
                <w:i w:val="0"/>
                <w:iCs w:val="0"/>
                <w:color w:val="000000"/>
                <w:sz w:val="20"/>
                <w:szCs w:val="20"/>
                <w:u w:val="none"/>
              </w:rPr>
            </w:pPr>
          </w:p>
        </w:tc>
      </w:tr>
      <w:tr w14:paraId="4B5C7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1D41F4">
            <w:pPr>
              <w:jc w:val="center"/>
              <w:rPr>
                <w:rFonts w:hint="eastAsia" w:ascii="宋体" w:hAnsi="宋体" w:eastAsia="宋体" w:cs="宋体"/>
                <w:i w:val="0"/>
                <w:iCs w:val="0"/>
                <w:color w:val="000000"/>
                <w:sz w:val="20"/>
                <w:szCs w:val="20"/>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A2CA0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效益指标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16274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经济效益</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C4C354D">
            <w:pPr>
              <w:jc w:val="left"/>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22821D">
            <w:pPr>
              <w:jc w:val="center"/>
              <w:rPr>
                <w:rFonts w:hint="eastAsia" w:ascii="宋体" w:hAnsi="宋体" w:eastAsia="宋体" w:cs="宋体"/>
                <w:i w:val="0"/>
                <w:iCs w:val="0"/>
                <w:color w:val="000000"/>
                <w:sz w:val="20"/>
                <w:szCs w:val="20"/>
                <w:u w:val="none"/>
              </w:rPr>
            </w:pPr>
          </w:p>
        </w:tc>
      </w:tr>
      <w:tr w14:paraId="42F0B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1953741">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68EBA3">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11114C">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EFCF7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416899">
            <w:pPr>
              <w:jc w:val="center"/>
              <w:rPr>
                <w:rFonts w:hint="eastAsia" w:ascii="宋体" w:hAnsi="宋体" w:eastAsia="宋体" w:cs="宋体"/>
                <w:i w:val="0"/>
                <w:iCs w:val="0"/>
                <w:color w:val="000000"/>
                <w:sz w:val="20"/>
                <w:szCs w:val="20"/>
                <w:u w:val="none"/>
              </w:rPr>
            </w:pPr>
          </w:p>
        </w:tc>
      </w:tr>
      <w:tr w14:paraId="702AC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E29DDA">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92C843">
            <w:pPr>
              <w:jc w:val="center"/>
              <w:rPr>
                <w:rFonts w:hint="eastAsia" w:ascii="宋体" w:hAnsi="宋体" w:eastAsia="宋体" w:cs="宋体"/>
                <w:i w:val="0"/>
                <w:iCs w:val="0"/>
                <w:color w:val="000000"/>
                <w:sz w:val="20"/>
                <w:szCs w:val="20"/>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8FE54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社会效益</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14:paraId="0E5098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受益人口数</w:t>
            </w:r>
          </w:p>
        </w:tc>
        <w:tc>
          <w:tcPr>
            <w:tcW w:w="1380" w:type="dxa"/>
            <w:tcBorders>
              <w:top w:val="single" w:color="000000" w:sz="4" w:space="0"/>
              <w:left w:val="single" w:color="000000" w:sz="4" w:space="0"/>
              <w:bottom w:val="single" w:color="000000" w:sz="4" w:space="0"/>
              <w:right w:val="single" w:color="000000" w:sz="4" w:space="0"/>
            </w:tcBorders>
            <w:shd w:val="clear" w:color="000000" w:fill="FFFFFF"/>
            <w:vAlign w:val="center"/>
          </w:tcPr>
          <w:p w14:paraId="246CC4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≥200人</w:t>
            </w:r>
          </w:p>
        </w:tc>
      </w:tr>
      <w:tr w14:paraId="06D4C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753D2A">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D8C7C2">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947F96">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89E09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受益脱贫人口</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FA7B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≥20人</w:t>
            </w:r>
          </w:p>
        </w:tc>
      </w:tr>
      <w:tr w14:paraId="48791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15EF6D">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430542">
            <w:pPr>
              <w:jc w:val="center"/>
              <w:rPr>
                <w:rFonts w:hint="eastAsia" w:ascii="宋体" w:hAnsi="宋体" w:eastAsia="宋体" w:cs="宋体"/>
                <w:i w:val="0"/>
                <w:iCs w:val="0"/>
                <w:color w:val="000000"/>
                <w:sz w:val="20"/>
                <w:szCs w:val="20"/>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67AC2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可持续影响</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2A84C60">
            <w:pPr>
              <w:jc w:val="left"/>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E3A046">
            <w:pPr>
              <w:jc w:val="center"/>
              <w:rPr>
                <w:rFonts w:hint="eastAsia" w:ascii="宋体" w:hAnsi="宋体" w:eastAsia="宋体" w:cs="宋体"/>
                <w:i w:val="0"/>
                <w:iCs w:val="0"/>
                <w:color w:val="000000"/>
                <w:sz w:val="20"/>
                <w:szCs w:val="20"/>
                <w:u w:val="none"/>
              </w:rPr>
            </w:pPr>
          </w:p>
        </w:tc>
      </w:tr>
      <w:tr w14:paraId="22902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F79EC5">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F175DF">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DA32ED">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69722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DFA8F7">
            <w:pPr>
              <w:jc w:val="center"/>
              <w:rPr>
                <w:rFonts w:hint="eastAsia" w:ascii="宋体" w:hAnsi="宋体" w:eastAsia="宋体" w:cs="宋体"/>
                <w:i w:val="0"/>
                <w:iCs w:val="0"/>
                <w:color w:val="000000"/>
                <w:sz w:val="20"/>
                <w:szCs w:val="20"/>
                <w:u w:val="none"/>
              </w:rPr>
            </w:pPr>
          </w:p>
        </w:tc>
      </w:tr>
      <w:tr w14:paraId="6DD2D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34B4BB">
            <w:pPr>
              <w:jc w:val="center"/>
              <w:rPr>
                <w:rFonts w:hint="eastAsia" w:ascii="宋体" w:hAnsi="宋体" w:eastAsia="宋体" w:cs="宋体"/>
                <w:i w:val="0"/>
                <w:iCs w:val="0"/>
                <w:color w:val="000000"/>
                <w:sz w:val="20"/>
                <w:szCs w:val="20"/>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39C6D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满意度指标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624DD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服务对象</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满意度指标</w:t>
            </w: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23B50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受益群众满意度</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B4BE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≥95%</w:t>
            </w:r>
          </w:p>
        </w:tc>
      </w:tr>
      <w:tr w14:paraId="701DC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409F57">
            <w:pPr>
              <w:jc w:val="center"/>
              <w:rPr>
                <w:rFonts w:hint="eastAsia" w:ascii="宋体" w:hAnsi="宋体" w:eastAsia="宋体" w:cs="宋体"/>
                <w:i w:val="0"/>
                <w:iCs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6BA3EA">
            <w:pPr>
              <w:jc w:val="center"/>
              <w:rPr>
                <w:rFonts w:hint="eastAsia" w:ascii="宋体" w:hAnsi="宋体" w:eastAsia="宋体" w:cs="宋体"/>
                <w:i w:val="0"/>
                <w:iCs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115D4F">
            <w:pPr>
              <w:jc w:val="center"/>
              <w:rPr>
                <w:rFonts w:hint="eastAsia" w:ascii="宋体" w:hAnsi="宋体" w:eastAsia="宋体" w:cs="宋体"/>
                <w:i w:val="0"/>
                <w:iCs w:val="0"/>
                <w:color w:val="000000"/>
                <w:sz w:val="20"/>
                <w:szCs w:val="20"/>
                <w:u w:val="none"/>
              </w:rPr>
            </w:pPr>
          </w:p>
        </w:tc>
        <w:tc>
          <w:tcPr>
            <w:tcW w:w="576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B1854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 ……</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AD8BA8">
            <w:pPr>
              <w:jc w:val="center"/>
              <w:rPr>
                <w:rFonts w:hint="eastAsia" w:ascii="宋体" w:hAnsi="宋体" w:eastAsia="宋体" w:cs="宋体"/>
                <w:i w:val="0"/>
                <w:iCs w:val="0"/>
                <w:color w:val="000000"/>
                <w:sz w:val="20"/>
                <w:szCs w:val="20"/>
                <w:u w:val="none"/>
              </w:rPr>
            </w:pPr>
          </w:p>
        </w:tc>
      </w:tr>
    </w:tbl>
    <w:p w14:paraId="7221C32D">
      <w:pPr>
        <w:rPr>
          <w:rFonts w:hint="eastAsia" w:ascii="黑体" w:hAnsi="黑体" w:eastAsia="黑体"/>
        </w:rPr>
      </w:pPr>
    </w:p>
    <w:p w14:paraId="28690392">
      <w:pPr>
        <w:rPr>
          <w:rFonts w:hint="eastAsia" w:ascii="黑体" w:hAnsi="黑体" w:eastAsia="黑体"/>
        </w:rPr>
      </w:pPr>
    </w:p>
    <w:p w14:paraId="3B3F6E54">
      <w:pPr>
        <w:rPr>
          <w:rFonts w:hint="eastAsia" w:ascii="黑体" w:hAnsi="黑体" w:eastAsia="黑体"/>
        </w:rPr>
      </w:pPr>
    </w:p>
    <w:p w14:paraId="0FAFAB74">
      <w:pPr>
        <w:rPr>
          <w:rFonts w:hint="eastAsia" w:ascii="黑体" w:hAnsi="黑体" w:eastAsia="黑体"/>
        </w:rPr>
      </w:pPr>
    </w:p>
    <w:p w14:paraId="2085CCCF">
      <w:pPr>
        <w:rPr>
          <w:rFonts w:hint="eastAsia" w:ascii="黑体" w:hAnsi="黑体" w:eastAsia="黑体"/>
        </w:rPr>
      </w:pPr>
    </w:p>
    <w:p w14:paraId="484FB029">
      <w:pPr>
        <w:rPr>
          <w:rFonts w:hint="eastAsia" w:ascii="黑体" w:hAnsi="黑体" w:eastAsia="黑体"/>
        </w:rPr>
      </w:pPr>
    </w:p>
    <w:p w14:paraId="0A1E5F5D">
      <w:pPr>
        <w:rPr>
          <w:rFonts w:hint="eastAsia" w:ascii="黑体" w:hAnsi="黑体" w:eastAsia="黑体"/>
        </w:rPr>
      </w:pPr>
    </w:p>
    <w:p w14:paraId="521DB91C">
      <w:pPr>
        <w:rPr>
          <w:rFonts w:hint="eastAsia" w:ascii="黑体" w:hAnsi="黑体" w:eastAsia="黑体"/>
        </w:rPr>
      </w:pPr>
    </w:p>
    <w:p w14:paraId="27B2CA8A">
      <w:pPr>
        <w:rPr>
          <w:rFonts w:hint="eastAsia" w:ascii="黑体" w:hAnsi="黑体" w:eastAsia="黑体"/>
        </w:rPr>
      </w:pPr>
    </w:p>
    <w:p w14:paraId="73165D61">
      <w:pPr>
        <w:rPr>
          <w:rFonts w:hint="eastAsia" w:ascii="黑体" w:hAnsi="黑体" w:eastAsia="黑体"/>
        </w:rPr>
      </w:pPr>
    </w:p>
    <w:p w14:paraId="5F03C927">
      <w:pPr>
        <w:rPr>
          <w:rFonts w:hint="eastAsia" w:ascii="黑体" w:hAnsi="黑体" w:eastAsia="黑体"/>
        </w:rPr>
      </w:pPr>
    </w:p>
    <w:p w14:paraId="3DFA560A">
      <w:pPr>
        <w:rPr>
          <w:rFonts w:hint="eastAsia" w:ascii="黑体" w:hAnsi="黑体" w:eastAsia="黑体"/>
        </w:rPr>
      </w:pPr>
    </w:p>
    <w:p w14:paraId="4FDDFFF2">
      <w:pPr>
        <w:rPr>
          <w:rFonts w:hint="eastAsia" w:ascii="黑体" w:hAnsi="黑体" w:eastAsia="黑体"/>
        </w:rPr>
      </w:pPr>
    </w:p>
    <w:p w14:paraId="786FF529">
      <w:pPr>
        <w:rPr>
          <w:rFonts w:hint="eastAsia" w:ascii="黑体" w:hAnsi="黑体" w:eastAsia="黑体"/>
        </w:rPr>
      </w:pPr>
    </w:p>
    <w:p w14:paraId="228E52CC">
      <w:pPr>
        <w:rPr>
          <w:rFonts w:hint="eastAsia" w:ascii="黑体" w:hAnsi="黑体" w:eastAsia="黑体"/>
        </w:rPr>
      </w:pPr>
    </w:p>
    <w:p w14:paraId="223A727F">
      <w:pPr>
        <w:rPr>
          <w:rFonts w:hint="eastAsia" w:ascii="黑体" w:hAnsi="黑体" w:eastAsia="黑体"/>
        </w:rPr>
      </w:pPr>
    </w:p>
    <w:p w14:paraId="218954C2">
      <w:pPr>
        <w:rPr>
          <w:rFonts w:hint="eastAsia" w:ascii="黑体" w:hAnsi="黑体" w:eastAsia="黑体"/>
        </w:rPr>
      </w:pPr>
    </w:p>
    <w:p w14:paraId="3128C963">
      <w:pPr>
        <w:rPr>
          <w:rFonts w:hint="eastAsia" w:ascii="黑体" w:hAnsi="黑体" w:eastAsia="黑体"/>
        </w:rPr>
      </w:pPr>
    </w:p>
    <w:p w14:paraId="642F6019">
      <w:pPr>
        <w:rPr>
          <w:rFonts w:hint="eastAsia" w:ascii="黑体" w:hAnsi="黑体" w:eastAsia="黑体"/>
        </w:rPr>
      </w:pPr>
    </w:p>
    <w:p w14:paraId="562F4011">
      <w:pPr>
        <w:rPr>
          <w:rFonts w:hint="eastAsia" w:ascii="黑体" w:hAnsi="黑体" w:eastAsia="黑体"/>
        </w:rPr>
      </w:pPr>
    </w:p>
    <w:p w14:paraId="338DCF06">
      <w:pPr>
        <w:rPr>
          <w:rFonts w:hint="eastAsia" w:ascii="黑体" w:hAnsi="黑体" w:eastAsia="黑体"/>
        </w:rPr>
      </w:pPr>
    </w:p>
    <w:p w14:paraId="1085CCBB">
      <w:pPr>
        <w:rPr>
          <w:rFonts w:hint="eastAsia" w:ascii="黑体" w:hAnsi="黑体" w:eastAsia="黑体"/>
        </w:rPr>
      </w:pPr>
    </w:p>
    <w:p w14:paraId="5B3A1ABD">
      <w:pPr>
        <w:rPr>
          <w:rFonts w:hint="eastAsia" w:ascii="黑体" w:hAnsi="黑体" w:eastAsia="黑体"/>
        </w:rPr>
      </w:pPr>
    </w:p>
    <w:p w14:paraId="16678C08">
      <w:pPr>
        <w:rPr>
          <w:rFonts w:hint="eastAsia" w:ascii="黑体" w:hAnsi="黑体" w:eastAsia="黑体"/>
        </w:rPr>
      </w:pPr>
    </w:p>
    <w:p w14:paraId="5C145BF9">
      <w:pPr>
        <w:rPr>
          <w:rFonts w:hint="eastAsia" w:ascii="黑体" w:hAnsi="黑体" w:eastAsia="黑体"/>
        </w:rPr>
      </w:pPr>
    </w:p>
    <w:p w14:paraId="63700F3C">
      <w:pPr>
        <w:rPr>
          <w:rFonts w:hint="eastAsia" w:ascii="黑体" w:hAnsi="黑体" w:eastAsia="黑体"/>
        </w:rPr>
      </w:pPr>
    </w:p>
    <w:p w14:paraId="2133EA76">
      <w:pPr>
        <w:rPr>
          <w:rFonts w:hint="eastAsia" w:ascii="黑体" w:hAnsi="黑体" w:eastAsia="黑体"/>
        </w:rPr>
      </w:pPr>
    </w:p>
    <w:p w14:paraId="2115ED3B">
      <w:pPr>
        <w:pStyle w:val="2"/>
        <w:pageBreakBefore w:val="0"/>
        <w:kinsoku/>
        <w:wordWrap/>
        <w:overflowPunct/>
        <w:topLinePunct w:val="0"/>
        <w:bidi w:val="0"/>
        <w:spacing w:line="576" w:lineRule="exact"/>
        <w:jc w:val="center"/>
        <w:textAlignment w:val="auto"/>
        <w:rPr>
          <w:rFonts w:ascii="黑体" w:hAnsi="黑体" w:eastAsia="黑体"/>
        </w:rPr>
      </w:pPr>
      <w:r>
        <w:rPr>
          <w:rFonts w:hint="eastAsia" w:ascii="黑体" w:hAnsi="黑体" w:eastAsia="黑体"/>
        </w:rPr>
        <w:t>第五部分 附表</w:t>
      </w:r>
    </w:p>
    <w:p w14:paraId="165D0723">
      <w:pPr>
        <w:pageBreakBefore w:val="0"/>
        <w:kinsoku/>
        <w:wordWrap/>
        <w:overflowPunct/>
        <w:topLinePunct w:val="0"/>
        <w:bidi w:val="0"/>
        <w:spacing w:line="576" w:lineRule="exact"/>
        <w:textAlignment w:val="auto"/>
        <w:rPr>
          <w:rFonts w:ascii="仿宋" w:hAnsi="仿宋" w:eastAsia="仿宋"/>
          <w:sz w:val="32"/>
          <w:szCs w:val="32"/>
        </w:rPr>
      </w:pPr>
      <w:r>
        <w:rPr>
          <w:rFonts w:hint="eastAsia" w:ascii="仿宋" w:hAnsi="仿宋" w:eastAsia="仿宋"/>
          <w:sz w:val="32"/>
          <w:szCs w:val="32"/>
        </w:rPr>
        <w:t>一、收入支出决算总表</w:t>
      </w:r>
    </w:p>
    <w:p w14:paraId="40E74CD0">
      <w:pPr>
        <w:pageBreakBefore w:val="0"/>
        <w:kinsoku/>
        <w:wordWrap/>
        <w:overflowPunct/>
        <w:topLinePunct w:val="0"/>
        <w:bidi w:val="0"/>
        <w:spacing w:line="576" w:lineRule="exact"/>
        <w:textAlignment w:val="auto"/>
        <w:rPr>
          <w:rFonts w:ascii="仿宋" w:hAnsi="仿宋" w:eastAsia="仿宋"/>
          <w:sz w:val="32"/>
          <w:szCs w:val="32"/>
        </w:rPr>
      </w:pPr>
      <w:r>
        <w:rPr>
          <w:rFonts w:hint="eastAsia" w:ascii="仿宋" w:hAnsi="仿宋" w:eastAsia="仿宋"/>
          <w:sz w:val="32"/>
          <w:szCs w:val="32"/>
        </w:rPr>
        <w:t>二、收入决算表</w:t>
      </w:r>
    </w:p>
    <w:p w14:paraId="49AEC6D0">
      <w:pPr>
        <w:pageBreakBefore w:val="0"/>
        <w:kinsoku/>
        <w:wordWrap/>
        <w:overflowPunct/>
        <w:topLinePunct w:val="0"/>
        <w:bidi w:val="0"/>
        <w:spacing w:line="576" w:lineRule="exact"/>
        <w:textAlignment w:val="auto"/>
        <w:rPr>
          <w:rFonts w:ascii="仿宋" w:hAnsi="仿宋" w:eastAsia="仿宋"/>
          <w:sz w:val="32"/>
          <w:szCs w:val="32"/>
        </w:rPr>
      </w:pPr>
      <w:r>
        <w:rPr>
          <w:rFonts w:hint="eastAsia" w:ascii="仿宋" w:hAnsi="仿宋" w:eastAsia="仿宋"/>
          <w:sz w:val="32"/>
          <w:szCs w:val="32"/>
        </w:rPr>
        <w:t>三、支出决算表</w:t>
      </w:r>
    </w:p>
    <w:p w14:paraId="7C4E3146">
      <w:pPr>
        <w:pageBreakBefore w:val="0"/>
        <w:kinsoku/>
        <w:wordWrap/>
        <w:overflowPunct/>
        <w:topLinePunct w:val="0"/>
        <w:bidi w:val="0"/>
        <w:spacing w:line="576" w:lineRule="exact"/>
        <w:textAlignment w:val="auto"/>
        <w:rPr>
          <w:rFonts w:ascii="仿宋" w:hAnsi="仿宋" w:eastAsia="仿宋"/>
          <w:sz w:val="32"/>
          <w:szCs w:val="32"/>
        </w:rPr>
      </w:pPr>
      <w:r>
        <w:rPr>
          <w:rFonts w:hint="eastAsia" w:ascii="仿宋" w:hAnsi="仿宋" w:eastAsia="仿宋"/>
          <w:sz w:val="32"/>
          <w:szCs w:val="32"/>
        </w:rPr>
        <w:t>四、财政拨款收入支出决算总表</w:t>
      </w:r>
    </w:p>
    <w:p w14:paraId="11AA0495">
      <w:pPr>
        <w:pageBreakBefore w:val="0"/>
        <w:kinsoku/>
        <w:wordWrap/>
        <w:overflowPunct/>
        <w:topLinePunct w:val="0"/>
        <w:bidi w:val="0"/>
        <w:spacing w:line="576" w:lineRule="exact"/>
        <w:textAlignment w:val="auto"/>
        <w:rPr>
          <w:rFonts w:ascii="仿宋" w:hAnsi="仿宋" w:eastAsia="仿宋"/>
          <w:sz w:val="32"/>
          <w:szCs w:val="32"/>
        </w:rPr>
      </w:pPr>
      <w:r>
        <w:rPr>
          <w:rFonts w:hint="eastAsia" w:ascii="仿宋" w:hAnsi="仿宋" w:eastAsia="仿宋"/>
          <w:sz w:val="32"/>
          <w:szCs w:val="32"/>
        </w:rPr>
        <w:t>五、财政拨款支出决算明细表</w:t>
      </w:r>
    </w:p>
    <w:p w14:paraId="19447A87">
      <w:pPr>
        <w:pageBreakBefore w:val="0"/>
        <w:kinsoku/>
        <w:wordWrap/>
        <w:overflowPunct/>
        <w:topLinePunct w:val="0"/>
        <w:bidi w:val="0"/>
        <w:spacing w:line="576" w:lineRule="exact"/>
        <w:textAlignment w:val="auto"/>
        <w:rPr>
          <w:rFonts w:ascii="仿宋" w:hAnsi="仿宋" w:eastAsia="仿宋"/>
          <w:sz w:val="32"/>
          <w:szCs w:val="32"/>
        </w:rPr>
      </w:pPr>
      <w:r>
        <w:rPr>
          <w:rFonts w:hint="eastAsia" w:ascii="仿宋" w:hAnsi="仿宋" w:eastAsia="仿宋"/>
          <w:sz w:val="32"/>
          <w:szCs w:val="32"/>
        </w:rPr>
        <w:t>六、一般公共预算财政拨款支出决算表</w:t>
      </w:r>
    </w:p>
    <w:p w14:paraId="7062547D">
      <w:pPr>
        <w:pageBreakBefore w:val="0"/>
        <w:kinsoku/>
        <w:wordWrap/>
        <w:overflowPunct/>
        <w:topLinePunct w:val="0"/>
        <w:bidi w:val="0"/>
        <w:spacing w:line="576" w:lineRule="exact"/>
        <w:textAlignment w:val="auto"/>
        <w:rPr>
          <w:rFonts w:ascii="仿宋" w:hAnsi="仿宋" w:eastAsia="仿宋"/>
          <w:sz w:val="32"/>
          <w:szCs w:val="32"/>
        </w:rPr>
      </w:pPr>
      <w:r>
        <w:rPr>
          <w:rFonts w:hint="eastAsia" w:ascii="仿宋" w:hAnsi="仿宋" w:eastAsia="仿宋"/>
          <w:sz w:val="32"/>
          <w:szCs w:val="32"/>
        </w:rPr>
        <w:t>七、一般公共预算财政拨款支出决算明细表</w:t>
      </w:r>
    </w:p>
    <w:p w14:paraId="6F62472E">
      <w:pPr>
        <w:pageBreakBefore w:val="0"/>
        <w:kinsoku/>
        <w:wordWrap/>
        <w:overflowPunct/>
        <w:topLinePunct w:val="0"/>
        <w:bidi w:val="0"/>
        <w:spacing w:line="576" w:lineRule="exact"/>
        <w:textAlignment w:val="auto"/>
        <w:rPr>
          <w:rFonts w:ascii="仿宋" w:hAnsi="仿宋" w:eastAsia="仿宋"/>
          <w:sz w:val="32"/>
          <w:szCs w:val="32"/>
        </w:rPr>
      </w:pPr>
      <w:r>
        <w:rPr>
          <w:rFonts w:hint="eastAsia" w:ascii="仿宋" w:hAnsi="仿宋" w:eastAsia="仿宋"/>
          <w:sz w:val="32"/>
          <w:szCs w:val="32"/>
        </w:rPr>
        <w:t>八、一般公共预算财政拨款基本支出决算表</w:t>
      </w:r>
    </w:p>
    <w:p w14:paraId="69001F3F">
      <w:pPr>
        <w:pageBreakBefore w:val="0"/>
        <w:kinsoku/>
        <w:wordWrap/>
        <w:overflowPunct/>
        <w:topLinePunct w:val="0"/>
        <w:bidi w:val="0"/>
        <w:spacing w:line="576" w:lineRule="exact"/>
        <w:textAlignment w:val="auto"/>
        <w:rPr>
          <w:rFonts w:ascii="仿宋" w:hAnsi="仿宋" w:eastAsia="仿宋"/>
          <w:sz w:val="32"/>
          <w:szCs w:val="32"/>
        </w:rPr>
      </w:pPr>
      <w:r>
        <w:rPr>
          <w:rFonts w:hint="eastAsia" w:ascii="仿宋" w:hAnsi="仿宋" w:eastAsia="仿宋"/>
          <w:sz w:val="32"/>
          <w:szCs w:val="32"/>
        </w:rPr>
        <w:t>九、一般公共预算财政拨款项目支出决算表</w:t>
      </w:r>
    </w:p>
    <w:p w14:paraId="66F67854">
      <w:pPr>
        <w:pageBreakBefore w:val="0"/>
        <w:kinsoku/>
        <w:wordWrap/>
        <w:overflowPunct/>
        <w:topLinePunct w:val="0"/>
        <w:bidi w:val="0"/>
        <w:spacing w:line="576" w:lineRule="exact"/>
        <w:textAlignment w:val="auto"/>
        <w:rPr>
          <w:rFonts w:ascii="仿宋" w:hAnsi="仿宋" w:eastAsia="仿宋"/>
          <w:sz w:val="32"/>
          <w:szCs w:val="32"/>
        </w:rPr>
      </w:pPr>
      <w:r>
        <w:rPr>
          <w:rFonts w:hint="eastAsia" w:ascii="仿宋" w:hAnsi="仿宋" w:eastAsia="仿宋"/>
          <w:sz w:val="32"/>
          <w:szCs w:val="32"/>
        </w:rPr>
        <w:t>十、政府性基金预算财政拨款收入支出决算表</w:t>
      </w:r>
    </w:p>
    <w:p w14:paraId="0A56FCA8">
      <w:pPr>
        <w:pageBreakBefore w:val="0"/>
        <w:kinsoku/>
        <w:wordWrap/>
        <w:overflowPunct/>
        <w:topLinePunct w:val="0"/>
        <w:bidi w:val="0"/>
        <w:spacing w:line="576" w:lineRule="exact"/>
        <w:textAlignment w:val="auto"/>
        <w:rPr>
          <w:rFonts w:ascii="仿宋" w:hAnsi="仿宋" w:eastAsia="仿宋"/>
          <w:sz w:val="32"/>
          <w:szCs w:val="32"/>
        </w:rPr>
      </w:pPr>
      <w:r>
        <w:rPr>
          <w:rFonts w:hint="eastAsia" w:ascii="仿宋" w:hAnsi="仿宋" w:eastAsia="仿宋"/>
          <w:sz w:val="32"/>
          <w:szCs w:val="32"/>
        </w:rPr>
        <w:t>十一、国有资本经营预算财政拨款收入支出决算表</w:t>
      </w:r>
    </w:p>
    <w:p w14:paraId="57FB2388">
      <w:pPr>
        <w:pageBreakBefore w:val="0"/>
        <w:kinsoku/>
        <w:wordWrap/>
        <w:overflowPunct/>
        <w:topLinePunct w:val="0"/>
        <w:bidi w:val="0"/>
        <w:spacing w:line="576" w:lineRule="exact"/>
        <w:textAlignment w:val="auto"/>
        <w:rPr>
          <w:rFonts w:ascii="仿宋" w:hAnsi="仿宋" w:eastAsia="仿宋"/>
          <w:sz w:val="32"/>
          <w:szCs w:val="32"/>
        </w:rPr>
      </w:pPr>
      <w:r>
        <w:rPr>
          <w:rFonts w:hint="eastAsia" w:ascii="仿宋" w:hAnsi="仿宋" w:eastAsia="仿宋"/>
          <w:sz w:val="32"/>
          <w:szCs w:val="32"/>
        </w:rPr>
        <w:t>十二、国有资本经营预算财政拨款支出决算表</w:t>
      </w:r>
    </w:p>
    <w:p w14:paraId="5CF09018">
      <w:pPr>
        <w:pageBreakBefore w:val="0"/>
        <w:kinsoku/>
        <w:wordWrap/>
        <w:overflowPunct/>
        <w:topLinePunct w:val="0"/>
        <w:bidi w:val="0"/>
        <w:spacing w:line="576" w:lineRule="exact"/>
        <w:textAlignment w:val="auto"/>
        <w:rPr>
          <w:rFonts w:ascii="仿宋" w:hAnsi="仿宋" w:eastAsia="仿宋"/>
          <w:sz w:val="32"/>
          <w:szCs w:val="32"/>
        </w:rPr>
      </w:pPr>
      <w:r>
        <w:rPr>
          <w:rFonts w:hint="eastAsia" w:ascii="仿宋" w:hAnsi="仿宋" w:eastAsia="仿宋"/>
          <w:sz w:val="32"/>
          <w:szCs w:val="32"/>
        </w:rPr>
        <w:t>十三、财政拨款“三公”经费支出决算表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3E8A9CC6">
        <w:pPr>
          <w:pStyle w:val="14"/>
          <w:jc w:val="center"/>
        </w:pPr>
        <w:r>
          <w:fldChar w:fldCharType="begin"/>
        </w:r>
        <w:r>
          <w:instrText xml:space="preserve">PAGE   \* MERGEFORMAT</w:instrText>
        </w:r>
        <w:r>
          <w:fldChar w:fldCharType="separate"/>
        </w:r>
        <w:r>
          <w:rPr>
            <w:lang w:val="zh-CN"/>
          </w:rPr>
          <w:t>23</w:t>
        </w:r>
        <w:r>
          <w:fldChar w:fldCharType="end"/>
        </w:r>
      </w:p>
    </w:sdtContent>
  </w:sdt>
  <w:p w14:paraId="0A446EAF">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DC7BE">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4D9AF260"/>
    <w:multiLevelType w:val="singleLevel"/>
    <w:tmpl w:val="4D9AF260"/>
    <w:lvl w:ilvl="0" w:tentative="0">
      <w:start w:val="1"/>
      <w:numFmt w:val="chineseCounting"/>
      <w:suff w:val="nothing"/>
      <w:lvlText w:val="（%1）"/>
      <w:lvlJc w:val="left"/>
      <w:rPr>
        <w:rFonts w:hint="eastAsia"/>
        <w:lang w:val="en-US"/>
      </w:rPr>
    </w:lvl>
  </w:abstractNum>
  <w:abstractNum w:abstractNumId="4">
    <w:nsid w:val="5E87F0A9"/>
    <w:multiLevelType w:val="singleLevel"/>
    <w:tmpl w:val="5E87F0A9"/>
    <w:lvl w:ilvl="0" w:tentative="0">
      <w:start w:val="6"/>
      <w:numFmt w:val="decimal"/>
      <w:lvlText w:val="(%1)"/>
      <w:lvlJc w:val="left"/>
      <w:pPr>
        <w:tabs>
          <w:tab w:val="left" w:pos="312"/>
        </w:tabs>
      </w:pPr>
    </w:lvl>
  </w:abstractNum>
  <w:abstractNum w:abstractNumId="5">
    <w:nsid w:val="7AA55C6D"/>
    <w:multiLevelType w:val="multilevel"/>
    <w:tmpl w:val="7AA55C6D"/>
    <w:lvl w:ilvl="0" w:tentative="0">
      <w:start w:val="6"/>
      <w:numFmt w:val="chineseCountingThousand"/>
      <w:suff w:val="space"/>
      <w:lvlText w:val="第%1章"/>
      <w:lvlJc w:val="center"/>
      <w:pPr>
        <w:ind w:left="737" w:hanging="449"/>
      </w:pPr>
      <w:rPr>
        <w:rFonts w:hint="eastAsia" w:ascii="黑体" w:eastAsia="黑体"/>
        <w:sz w:val="32"/>
      </w:rPr>
    </w:lvl>
    <w:lvl w:ilvl="1" w:tentative="0">
      <w:start w:val="1"/>
      <w:numFmt w:val="decimal"/>
      <w:isLgl/>
      <w:lvlText w:val="%1.%2"/>
      <w:lvlJc w:val="left"/>
      <w:pPr>
        <w:tabs>
          <w:tab w:val="left" w:pos="1145"/>
        </w:tabs>
        <w:ind w:left="851" w:hanging="426"/>
      </w:pPr>
      <w:rPr>
        <w:rFonts w:hint="eastAsia"/>
      </w:rPr>
    </w:lvl>
    <w:lvl w:ilvl="2" w:tentative="0">
      <w:start w:val="1"/>
      <w:numFmt w:val="decimal"/>
      <w:pStyle w:val="4"/>
      <w:isLgl/>
      <w:suff w:val="space"/>
      <w:lvlText w:val="%1.%2.%3"/>
      <w:lvlJc w:val="left"/>
      <w:pPr>
        <w:ind w:left="737" w:hanging="737"/>
      </w:pPr>
      <w:rPr>
        <w:rFonts w:hint="eastAsia" w:ascii="黑体" w:eastAsia="黑体"/>
        <w:spacing w:val="0"/>
        <w:w w:val="100"/>
        <w:position w:val="0"/>
        <w:sz w:val="28"/>
      </w:rPr>
    </w:lvl>
    <w:lvl w:ilvl="3" w:tentative="0">
      <w:start w:val="1"/>
      <w:numFmt w:val="none"/>
      <w:isLgl/>
      <w:lvlText w:val="1."/>
      <w:lvlJc w:val="left"/>
      <w:pPr>
        <w:tabs>
          <w:tab w:val="left" w:pos="360"/>
        </w:tabs>
        <w:ind w:left="0" w:firstLine="0"/>
      </w:pPr>
      <w:rPr>
        <w:rFonts w:hint="eastAsia"/>
      </w:rPr>
    </w:lvl>
    <w:lvl w:ilvl="4" w:tentative="0">
      <w:start w:val="1"/>
      <w:numFmt w:val="decimal"/>
      <w:isLgl/>
      <w:lvlText w:val="%1.%2.%3.%4.%5"/>
      <w:lvlJc w:val="left"/>
      <w:pPr>
        <w:tabs>
          <w:tab w:val="left" w:pos="3141"/>
        </w:tabs>
        <w:ind w:left="2551" w:hanging="850"/>
      </w:pPr>
      <w:rPr>
        <w:rFonts w:hint="eastAsia"/>
      </w:rPr>
    </w:lvl>
    <w:lvl w:ilvl="5" w:tentative="0">
      <w:start w:val="1"/>
      <w:numFmt w:val="decimal"/>
      <w:isLgl/>
      <w:lvlText w:val="%1.%2.%3.%4.%5.%6"/>
      <w:lvlJc w:val="left"/>
      <w:pPr>
        <w:tabs>
          <w:tab w:val="left" w:pos="3566"/>
        </w:tabs>
        <w:ind w:left="3260" w:hanging="1134"/>
      </w:pPr>
      <w:rPr>
        <w:rFonts w:hint="eastAsia"/>
      </w:rPr>
    </w:lvl>
    <w:lvl w:ilvl="6" w:tentative="0">
      <w:start w:val="1"/>
      <w:numFmt w:val="decimal"/>
      <w:isLgl/>
      <w:lvlText w:val="%1.%2.%3.%4.%5.%6.%7"/>
      <w:lvlJc w:val="left"/>
      <w:pPr>
        <w:tabs>
          <w:tab w:val="left" w:pos="4351"/>
        </w:tabs>
        <w:ind w:left="3827" w:hanging="1276"/>
      </w:pPr>
      <w:rPr>
        <w:rFonts w:hint="eastAsia"/>
      </w:rPr>
    </w:lvl>
    <w:lvl w:ilvl="7" w:tentative="0">
      <w:start w:val="1"/>
      <w:numFmt w:val="decimal"/>
      <w:isLgl/>
      <w:lvlText w:val="%1.%2.%3.%4.%5.%6.%7.%8"/>
      <w:lvlJc w:val="left"/>
      <w:pPr>
        <w:tabs>
          <w:tab w:val="left" w:pos="4776"/>
        </w:tabs>
        <w:ind w:left="4394" w:hanging="1418"/>
      </w:pPr>
      <w:rPr>
        <w:rFonts w:hint="eastAsia"/>
      </w:rPr>
    </w:lvl>
    <w:lvl w:ilvl="8" w:tentative="0">
      <w:start w:val="1"/>
      <w:numFmt w:val="decimal"/>
      <w:isLgl/>
      <w:lvlText w:val="%1.%2.%3.%4.%5.%6.%7.%8.%9"/>
      <w:lvlJc w:val="left"/>
      <w:pPr>
        <w:tabs>
          <w:tab w:val="left" w:pos="5562"/>
        </w:tabs>
        <w:ind w:left="5102" w:hanging="1700"/>
      </w:pPr>
      <w:rPr>
        <w:rFonts w:hint="eastAsia"/>
      </w:rPr>
    </w:lvl>
  </w:abstractNum>
  <w:num w:numId="1">
    <w:abstractNumId w:val="5"/>
  </w:num>
  <w:num w:numId="2">
    <w:abstractNumId w:val="4"/>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5YTFjNTNhMzUyMThkNDY5OGMyYWYyMDQxYzlhMTMifQ=="/>
  </w:docVars>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54F2E"/>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C3F19"/>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2FEBE30"/>
    <w:rsid w:val="036F8141"/>
    <w:rsid w:val="066E0107"/>
    <w:rsid w:val="07996F6E"/>
    <w:rsid w:val="07DFD8BA"/>
    <w:rsid w:val="0951471C"/>
    <w:rsid w:val="0A2032A3"/>
    <w:rsid w:val="0CA42D96"/>
    <w:rsid w:val="0D35B1ED"/>
    <w:rsid w:val="0E7ED1F5"/>
    <w:rsid w:val="0F98263C"/>
    <w:rsid w:val="101860EC"/>
    <w:rsid w:val="10C055FF"/>
    <w:rsid w:val="11036B00"/>
    <w:rsid w:val="118107EC"/>
    <w:rsid w:val="13D50BC4"/>
    <w:rsid w:val="13F5616D"/>
    <w:rsid w:val="16BB723D"/>
    <w:rsid w:val="17F9714D"/>
    <w:rsid w:val="186526ED"/>
    <w:rsid w:val="1918F934"/>
    <w:rsid w:val="1BE8440E"/>
    <w:rsid w:val="1D155CEE"/>
    <w:rsid w:val="1DFBC4B3"/>
    <w:rsid w:val="1E740ACF"/>
    <w:rsid w:val="1F19C781"/>
    <w:rsid w:val="1F33FCE5"/>
    <w:rsid w:val="1F7F7398"/>
    <w:rsid w:val="1FD2DB6F"/>
    <w:rsid w:val="1FF35744"/>
    <w:rsid w:val="1FF6BC77"/>
    <w:rsid w:val="1FF9236D"/>
    <w:rsid w:val="22CA0D75"/>
    <w:rsid w:val="2333840E"/>
    <w:rsid w:val="23860B96"/>
    <w:rsid w:val="240371BF"/>
    <w:rsid w:val="257C638F"/>
    <w:rsid w:val="29FD04D3"/>
    <w:rsid w:val="2BFF7BC6"/>
    <w:rsid w:val="2C8A61B5"/>
    <w:rsid w:val="2C97491C"/>
    <w:rsid w:val="2CD59C95"/>
    <w:rsid w:val="2DF04E50"/>
    <w:rsid w:val="2EFD05E5"/>
    <w:rsid w:val="2F040D46"/>
    <w:rsid w:val="2F4F95CE"/>
    <w:rsid w:val="2FACAFDD"/>
    <w:rsid w:val="2FAE5751"/>
    <w:rsid w:val="2FB1A395"/>
    <w:rsid w:val="2FCF0B76"/>
    <w:rsid w:val="2FD9A7D8"/>
    <w:rsid w:val="319F7F4E"/>
    <w:rsid w:val="3304709D"/>
    <w:rsid w:val="36AA5135"/>
    <w:rsid w:val="36BE0DA7"/>
    <w:rsid w:val="36DE14AB"/>
    <w:rsid w:val="376B6AA6"/>
    <w:rsid w:val="376D39B2"/>
    <w:rsid w:val="37E16F03"/>
    <w:rsid w:val="37F53A3B"/>
    <w:rsid w:val="386C32DC"/>
    <w:rsid w:val="38D469F0"/>
    <w:rsid w:val="38F78389"/>
    <w:rsid w:val="397BAF1F"/>
    <w:rsid w:val="39E7B272"/>
    <w:rsid w:val="39F7642F"/>
    <w:rsid w:val="39FF7B37"/>
    <w:rsid w:val="3AB79AF3"/>
    <w:rsid w:val="3AFDCB77"/>
    <w:rsid w:val="3B7EF35A"/>
    <w:rsid w:val="3B9FDB6C"/>
    <w:rsid w:val="3BF5BC2F"/>
    <w:rsid w:val="3BF7C23A"/>
    <w:rsid w:val="3BFF223E"/>
    <w:rsid w:val="3C6EC0A1"/>
    <w:rsid w:val="3CDB0824"/>
    <w:rsid w:val="3CEBA265"/>
    <w:rsid w:val="3D6A7F9F"/>
    <w:rsid w:val="3D7E7F4D"/>
    <w:rsid w:val="3D98207C"/>
    <w:rsid w:val="3D9CF30A"/>
    <w:rsid w:val="3DFF5A3E"/>
    <w:rsid w:val="3E78745D"/>
    <w:rsid w:val="3EEE77E9"/>
    <w:rsid w:val="3F394AF5"/>
    <w:rsid w:val="3FBE5714"/>
    <w:rsid w:val="3FDD8615"/>
    <w:rsid w:val="3FDFB2FF"/>
    <w:rsid w:val="3FF4CAE0"/>
    <w:rsid w:val="3FF75FAF"/>
    <w:rsid w:val="3FF7B227"/>
    <w:rsid w:val="417B0A96"/>
    <w:rsid w:val="44E268DA"/>
    <w:rsid w:val="457F4F6B"/>
    <w:rsid w:val="4737FB58"/>
    <w:rsid w:val="47ECCB02"/>
    <w:rsid w:val="47FA6A3F"/>
    <w:rsid w:val="48D901A1"/>
    <w:rsid w:val="493F1473"/>
    <w:rsid w:val="49D7AE48"/>
    <w:rsid w:val="4A3F6C7E"/>
    <w:rsid w:val="4A627F82"/>
    <w:rsid w:val="4B0E749A"/>
    <w:rsid w:val="4B4F25DA"/>
    <w:rsid w:val="4BBB4781"/>
    <w:rsid w:val="4BD709A5"/>
    <w:rsid w:val="4BDD9BFF"/>
    <w:rsid w:val="4BE068DB"/>
    <w:rsid w:val="4CE865CF"/>
    <w:rsid w:val="4D577224"/>
    <w:rsid w:val="4DBF1CEB"/>
    <w:rsid w:val="4DBF6A6B"/>
    <w:rsid w:val="4DF6A672"/>
    <w:rsid w:val="4EAB630A"/>
    <w:rsid w:val="4ECE2238"/>
    <w:rsid w:val="4F7EA413"/>
    <w:rsid w:val="4F8357D5"/>
    <w:rsid w:val="4FAB812F"/>
    <w:rsid w:val="4FE9BD67"/>
    <w:rsid w:val="4FEE4C07"/>
    <w:rsid w:val="4FFB052F"/>
    <w:rsid w:val="537E6D0A"/>
    <w:rsid w:val="538C5530"/>
    <w:rsid w:val="53AB6B88"/>
    <w:rsid w:val="53F74C96"/>
    <w:rsid w:val="5583522D"/>
    <w:rsid w:val="57BD3DD4"/>
    <w:rsid w:val="57F9CD1E"/>
    <w:rsid w:val="583005B2"/>
    <w:rsid w:val="586E1C2E"/>
    <w:rsid w:val="5956469E"/>
    <w:rsid w:val="5AF92295"/>
    <w:rsid w:val="5AF9D8E9"/>
    <w:rsid w:val="5BDD38BD"/>
    <w:rsid w:val="5BDD79E6"/>
    <w:rsid w:val="5BEFC772"/>
    <w:rsid w:val="5BFF5DFC"/>
    <w:rsid w:val="5CA26954"/>
    <w:rsid w:val="5CD71FC4"/>
    <w:rsid w:val="5D1F11B5"/>
    <w:rsid w:val="5D3647F9"/>
    <w:rsid w:val="5D736CED"/>
    <w:rsid w:val="5DA644D4"/>
    <w:rsid w:val="5DAE1B18"/>
    <w:rsid w:val="5DE7D9E5"/>
    <w:rsid w:val="5E96232F"/>
    <w:rsid w:val="5ECEC941"/>
    <w:rsid w:val="5EFF8FC6"/>
    <w:rsid w:val="5F5BA39A"/>
    <w:rsid w:val="5F7D3B79"/>
    <w:rsid w:val="5F7F4610"/>
    <w:rsid w:val="5FBF9FF3"/>
    <w:rsid w:val="5FCD4E2C"/>
    <w:rsid w:val="5FEF394A"/>
    <w:rsid w:val="5FF67715"/>
    <w:rsid w:val="61CA71D5"/>
    <w:rsid w:val="627EE9EA"/>
    <w:rsid w:val="63B23AA5"/>
    <w:rsid w:val="647F5392"/>
    <w:rsid w:val="64E322C4"/>
    <w:rsid w:val="65364CDF"/>
    <w:rsid w:val="65FB93B9"/>
    <w:rsid w:val="6633C463"/>
    <w:rsid w:val="669332E3"/>
    <w:rsid w:val="67D55B77"/>
    <w:rsid w:val="67EE7F84"/>
    <w:rsid w:val="686F5F53"/>
    <w:rsid w:val="6AFFCEAF"/>
    <w:rsid w:val="6B96E9E6"/>
    <w:rsid w:val="6BCE57B5"/>
    <w:rsid w:val="6BFEA4DB"/>
    <w:rsid w:val="6BFFB662"/>
    <w:rsid w:val="6C4A05C8"/>
    <w:rsid w:val="6CFF4FB8"/>
    <w:rsid w:val="6D6BD6E0"/>
    <w:rsid w:val="6D77E73C"/>
    <w:rsid w:val="6DBF5E93"/>
    <w:rsid w:val="6DFF077E"/>
    <w:rsid w:val="6E7E3605"/>
    <w:rsid w:val="6E7FDCC7"/>
    <w:rsid w:val="6ED6A62E"/>
    <w:rsid w:val="6EE00B15"/>
    <w:rsid w:val="6EE737B2"/>
    <w:rsid w:val="6EEB2329"/>
    <w:rsid w:val="6EECE67A"/>
    <w:rsid w:val="6F6F90A8"/>
    <w:rsid w:val="6F6FB3EB"/>
    <w:rsid w:val="6F8731EA"/>
    <w:rsid w:val="6FBC2ADD"/>
    <w:rsid w:val="6FD57C00"/>
    <w:rsid w:val="6FEFFFD8"/>
    <w:rsid w:val="6FF5CC65"/>
    <w:rsid w:val="6FFB47EC"/>
    <w:rsid w:val="6FFF034A"/>
    <w:rsid w:val="712A28F1"/>
    <w:rsid w:val="715C0E4B"/>
    <w:rsid w:val="71FFD401"/>
    <w:rsid w:val="72233669"/>
    <w:rsid w:val="72734D90"/>
    <w:rsid w:val="7332FE48"/>
    <w:rsid w:val="73AD73D5"/>
    <w:rsid w:val="73B6EB34"/>
    <w:rsid w:val="73FA497D"/>
    <w:rsid w:val="744731E5"/>
    <w:rsid w:val="74BBD01D"/>
    <w:rsid w:val="74ED5379"/>
    <w:rsid w:val="75DEEEC2"/>
    <w:rsid w:val="767F479D"/>
    <w:rsid w:val="76E3355F"/>
    <w:rsid w:val="76F742AF"/>
    <w:rsid w:val="76F7BE7D"/>
    <w:rsid w:val="76FF5125"/>
    <w:rsid w:val="773570D3"/>
    <w:rsid w:val="77597F31"/>
    <w:rsid w:val="776F6FFA"/>
    <w:rsid w:val="7777A522"/>
    <w:rsid w:val="77858688"/>
    <w:rsid w:val="778769C8"/>
    <w:rsid w:val="77CB741A"/>
    <w:rsid w:val="77D7BE3A"/>
    <w:rsid w:val="77DC22F5"/>
    <w:rsid w:val="797E3A6C"/>
    <w:rsid w:val="79CF70E2"/>
    <w:rsid w:val="79D7FD79"/>
    <w:rsid w:val="79E75806"/>
    <w:rsid w:val="79EE5BA4"/>
    <w:rsid w:val="7A641148"/>
    <w:rsid w:val="7A6F8BF5"/>
    <w:rsid w:val="7A894339"/>
    <w:rsid w:val="7ACF82B5"/>
    <w:rsid w:val="7AFF28C9"/>
    <w:rsid w:val="7AFF72A0"/>
    <w:rsid w:val="7AFF7572"/>
    <w:rsid w:val="7B6C7DFB"/>
    <w:rsid w:val="7B7D76A7"/>
    <w:rsid w:val="7BAE2FE2"/>
    <w:rsid w:val="7BAF6951"/>
    <w:rsid w:val="7BBFBED0"/>
    <w:rsid w:val="7BC3E394"/>
    <w:rsid w:val="7BF3FE4C"/>
    <w:rsid w:val="7BFB5035"/>
    <w:rsid w:val="7BFDE17E"/>
    <w:rsid w:val="7CBFC87B"/>
    <w:rsid w:val="7CFE0F48"/>
    <w:rsid w:val="7D3DE31C"/>
    <w:rsid w:val="7D7EC23E"/>
    <w:rsid w:val="7D7F8A13"/>
    <w:rsid w:val="7DBBCB01"/>
    <w:rsid w:val="7DC765D0"/>
    <w:rsid w:val="7DDB0EE0"/>
    <w:rsid w:val="7DFF51D8"/>
    <w:rsid w:val="7E634199"/>
    <w:rsid w:val="7E8ADEBF"/>
    <w:rsid w:val="7EEF11D3"/>
    <w:rsid w:val="7EF78C20"/>
    <w:rsid w:val="7F3F679B"/>
    <w:rsid w:val="7F4FC4EF"/>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3">
    <w:name w:val="heading 2"/>
    <w:basedOn w:val="1"/>
    <w:next w:val="4"/>
    <w:link w:val="4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customStyle="1" w:styleId="4">
    <w:name w:val="报告小节标题"/>
    <w:basedOn w:val="5"/>
    <w:next w:val="6"/>
    <w:qFormat/>
    <w:uiPriority w:val="0"/>
    <w:pPr>
      <w:numPr>
        <w:ilvl w:val="2"/>
        <w:numId w:val="1"/>
      </w:numPr>
      <w:tabs>
        <w:tab w:val="left" w:pos="645"/>
      </w:tabs>
      <w:spacing w:before="240" w:after="120" w:line="400" w:lineRule="exact"/>
    </w:pPr>
    <w:rPr>
      <w:rFonts w:eastAsia="黑体"/>
      <w:sz w:val="28"/>
    </w:rPr>
  </w:style>
  <w:style w:type="paragraph" w:customStyle="1" w:styleId="6">
    <w:name w:val="报告正文"/>
    <w:basedOn w:val="1"/>
    <w:qFormat/>
    <w:uiPriority w:val="0"/>
    <w:pPr>
      <w:spacing w:line="400" w:lineRule="exact"/>
      <w:ind w:firstLine="482"/>
    </w:pPr>
  </w:style>
  <w:style w:type="paragraph" w:styleId="7">
    <w:name w:val="Normal Indent"/>
    <w:basedOn w:val="1"/>
    <w:qFormat/>
    <w:uiPriority w:val="0"/>
    <w:pPr>
      <w:ind w:firstLine="420" w:firstLineChars="200"/>
    </w:pPr>
    <w:rPr>
      <w:rFonts w:ascii="Calibri" w:hAnsi="Calibri" w:cs="黑体"/>
    </w:rPr>
  </w:style>
  <w:style w:type="paragraph" w:styleId="8">
    <w:name w:val="toa heading"/>
    <w:basedOn w:val="1"/>
    <w:next w:val="1"/>
    <w:unhideWhenUsed/>
    <w:qFormat/>
    <w:uiPriority w:val="0"/>
    <w:pPr>
      <w:spacing w:before="120"/>
    </w:pPr>
    <w:rPr>
      <w:rFonts w:ascii="Arial" w:hAnsi="Arial" w:cs="Arial"/>
      <w:sz w:val="24"/>
      <w:szCs w:val="24"/>
    </w:rPr>
  </w:style>
  <w:style w:type="paragraph" w:styleId="9">
    <w:name w:val="Body Text"/>
    <w:basedOn w:val="1"/>
    <w:link w:val="29"/>
    <w:qFormat/>
    <w:uiPriority w:val="99"/>
    <w:pPr>
      <w:spacing w:beforeLines="30"/>
    </w:pPr>
    <w:rPr>
      <w:rFonts w:ascii="仿宋_GB2312" w:eastAsia="仿宋_GB2312"/>
      <w:kern w:val="0"/>
      <w:sz w:val="30"/>
    </w:rPr>
  </w:style>
  <w:style w:type="paragraph" w:styleId="10">
    <w:name w:val="Body Text Indent"/>
    <w:basedOn w:val="1"/>
    <w:next w:val="11"/>
    <w:qFormat/>
    <w:uiPriority w:val="0"/>
    <w:pPr>
      <w:spacing w:after="120"/>
      <w:ind w:left="200" w:leftChars="200"/>
    </w:pPr>
    <w:rPr>
      <w:rFonts w:ascii="仿宋_GB2312"/>
      <w:szCs w:val="32"/>
    </w:rPr>
  </w:style>
  <w:style w:type="paragraph" w:styleId="11">
    <w:name w:val="Body Text First Indent 2"/>
    <w:basedOn w:val="10"/>
    <w:next w:val="1"/>
    <w:unhideWhenUsed/>
    <w:qFormat/>
    <w:uiPriority w:val="99"/>
    <w:pPr>
      <w:ind w:firstLine="420" w:firstLineChars="200"/>
    </w:pPr>
  </w:style>
  <w:style w:type="paragraph" w:styleId="12">
    <w:name w:val="toc 3"/>
    <w:basedOn w:val="1"/>
    <w:next w:val="1"/>
    <w:unhideWhenUsed/>
    <w:qFormat/>
    <w:uiPriority w:val="39"/>
    <w:pPr>
      <w:tabs>
        <w:tab w:val="right" w:leader="dot" w:pos="8296"/>
      </w:tabs>
      <w:ind w:left="840" w:leftChars="400"/>
    </w:pPr>
  </w:style>
  <w:style w:type="paragraph" w:styleId="13">
    <w:name w:val="Balloon Text"/>
    <w:basedOn w:val="1"/>
    <w:link w:val="35"/>
    <w:semiHidden/>
    <w:unhideWhenUsed/>
    <w:qFormat/>
    <w:uiPriority w:val="99"/>
    <w:rPr>
      <w:sz w:val="18"/>
      <w:szCs w:val="18"/>
    </w:rPr>
  </w:style>
  <w:style w:type="paragraph" w:styleId="14">
    <w:name w:val="footer"/>
    <w:basedOn w:val="1"/>
    <w:next w:val="1"/>
    <w:link w:val="27"/>
    <w:qFormat/>
    <w:uiPriority w:val="99"/>
    <w:pPr>
      <w:tabs>
        <w:tab w:val="center" w:pos="4153"/>
        <w:tab w:val="right" w:pos="8306"/>
      </w:tabs>
      <w:snapToGrid w:val="0"/>
      <w:jc w:val="left"/>
    </w:pPr>
    <w:rPr>
      <w:rFonts w:ascii="Calibri" w:hAnsi="Calibri"/>
      <w:kern w:val="0"/>
      <w:sz w:val="18"/>
      <w:szCs w:val="18"/>
    </w:rPr>
  </w:style>
  <w:style w:type="paragraph" w:styleId="15">
    <w:name w:val="header"/>
    <w:basedOn w:val="1"/>
    <w:link w:val="25"/>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6">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7">
    <w:name w:val="toc 2"/>
    <w:basedOn w:val="1"/>
    <w:next w:val="1"/>
    <w:unhideWhenUsed/>
    <w:qFormat/>
    <w:uiPriority w:val="39"/>
    <w:pPr>
      <w:tabs>
        <w:tab w:val="right" w:leader="dot" w:pos="8296"/>
      </w:tabs>
      <w:ind w:left="420" w:leftChars="200"/>
    </w:pPr>
  </w:style>
  <w:style w:type="paragraph" w:styleId="18">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character" w:styleId="21">
    <w:name w:val="Strong"/>
    <w:basedOn w:val="20"/>
    <w:qFormat/>
    <w:uiPriority w:val="99"/>
    <w:rPr>
      <w:b/>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paragraph" w:customStyle="1" w:styleId="23">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4">
    <w:name w:val="Header Char"/>
    <w:basedOn w:val="20"/>
    <w:semiHidden/>
    <w:qFormat/>
    <w:uiPriority w:val="99"/>
    <w:rPr>
      <w:rFonts w:ascii="Times New Roman" w:hAnsi="Times New Roman"/>
      <w:sz w:val="18"/>
      <w:szCs w:val="18"/>
    </w:rPr>
  </w:style>
  <w:style w:type="character" w:customStyle="1" w:styleId="25">
    <w:name w:val="页眉 Char"/>
    <w:link w:val="15"/>
    <w:semiHidden/>
    <w:qFormat/>
    <w:locked/>
    <w:uiPriority w:val="99"/>
    <w:rPr>
      <w:sz w:val="18"/>
    </w:rPr>
  </w:style>
  <w:style w:type="character" w:customStyle="1" w:styleId="26">
    <w:name w:val="Footer Char"/>
    <w:basedOn w:val="20"/>
    <w:semiHidden/>
    <w:qFormat/>
    <w:uiPriority w:val="99"/>
    <w:rPr>
      <w:rFonts w:ascii="Times New Roman" w:hAnsi="Times New Roman"/>
      <w:sz w:val="18"/>
      <w:szCs w:val="18"/>
    </w:rPr>
  </w:style>
  <w:style w:type="character" w:customStyle="1" w:styleId="27">
    <w:name w:val="页脚 Char"/>
    <w:link w:val="14"/>
    <w:qFormat/>
    <w:locked/>
    <w:uiPriority w:val="99"/>
    <w:rPr>
      <w:sz w:val="18"/>
    </w:rPr>
  </w:style>
  <w:style w:type="character" w:customStyle="1" w:styleId="28">
    <w:name w:val="Body Text Char"/>
    <w:basedOn w:val="20"/>
    <w:semiHidden/>
    <w:qFormat/>
    <w:uiPriority w:val="99"/>
    <w:rPr>
      <w:rFonts w:ascii="Times New Roman" w:hAnsi="Times New Roman"/>
      <w:szCs w:val="24"/>
    </w:rPr>
  </w:style>
  <w:style w:type="character" w:customStyle="1" w:styleId="29">
    <w:name w:val="正文文本 Char"/>
    <w:link w:val="9"/>
    <w:qFormat/>
    <w:locked/>
    <w:uiPriority w:val="99"/>
    <w:rPr>
      <w:rFonts w:ascii="仿宋_GB2312" w:hAnsi="Times New Roman" w:eastAsia="仿宋_GB2312"/>
      <w:sz w:val="24"/>
    </w:rPr>
  </w:style>
  <w:style w:type="paragraph" w:customStyle="1" w:styleId="3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1">
    <w:name w:val="List Paragraph"/>
    <w:basedOn w:val="1"/>
    <w:qFormat/>
    <w:uiPriority w:val="34"/>
    <w:pPr>
      <w:ind w:firstLine="420" w:firstLineChars="200"/>
    </w:pPr>
  </w:style>
  <w:style w:type="character" w:customStyle="1" w:styleId="32">
    <w:name w:val="标题 1 Char"/>
    <w:basedOn w:val="20"/>
    <w:link w:val="2"/>
    <w:qFormat/>
    <w:uiPriority w:val="9"/>
    <w:rPr>
      <w:rFonts w:ascii="Times New Roman" w:hAnsi="Times New Roman"/>
      <w:b/>
      <w:bCs/>
      <w:kern w:val="44"/>
      <w:sz w:val="44"/>
      <w:szCs w:val="44"/>
    </w:rPr>
  </w:style>
  <w:style w:type="character" w:customStyle="1" w:styleId="33">
    <w:name w:val="标题 2 Char"/>
    <w:basedOn w:val="20"/>
    <w:link w:val="3"/>
    <w:qFormat/>
    <w:uiPriority w:val="9"/>
    <w:rPr>
      <w:rFonts w:asciiTheme="majorHAnsi" w:hAnsiTheme="majorHAnsi" w:eastAsiaTheme="majorEastAsia" w:cstheme="majorBidi"/>
      <w:b/>
      <w:bCs/>
      <w:kern w:val="2"/>
      <w:sz w:val="32"/>
      <w:szCs w:val="32"/>
    </w:rPr>
  </w:style>
  <w:style w:type="paragraph" w:customStyle="1" w:styleId="34">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批注框文本 Char"/>
    <w:basedOn w:val="20"/>
    <w:link w:val="13"/>
    <w:semiHidden/>
    <w:qFormat/>
    <w:uiPriority w:val="99"/>
    <w:rPr>
      <w:rFonts w:ascii="Times New Roman" w:hAnsi="Times New Roman"/>
      <w:kern w:val="2"/>
      <w:sz w:val="18"/>
      <w:szCs w:val="18"/>
    </w:rPr>
  </w:style>
  <w:style w:type="character" w:customStyle="1" w:styleId="36">
    <w:name w:val="标题 3 Char"/>
    <w:basedOn w:val="20"/>
    <w:link w:val="5"/>
    <w:qFormat/>
    <w:uiPriority w:val="9"/>
    <w:rPr>
      <w:rFonts w:ascii="Times New Roman" w:hAnsi="Times New Roman"/>
      <w:b/>
      <w:bCs/>
      <w:kern w:val="2"/>
      <w:sz w:val="32"/>
      <w:szCs w:val="32"/>
    </w:rPr>
  </w:style>
  <w:style w:type="paragraph" w:customStyle="1" w:styleId="37">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8">
    <w:name w:val="四号正文"/>
    <w:basedOn w:val="1"/>
    <w:qFormat/>
    <w:uiPriority w:val="0"/>
    <w:pPr>
      <w:spacing w:line="360" w:lineRule="auto"/>
    </w:pPr>
    <w:rPr>
      <w:rFonts w:ascii="??" w:hAnsi="??"/>
      <w:color w:val="000000"/>
      <w:kern w:val="0"/>
      <w:sz w:val="28"/>
      <w:szCs w:val="21"/>
      <w:lang w:val="zh-CN"/>
    </w:rPr>
  </w:style>
  <w:style w:type="paragraph" w:customStyle="1" w:styleId="39">
    <w:name w:val="普通(网站) Char"/>
    <w:basedOn w:val="1"/>
    <w:qFormat/>
    <w:uiPriority w:val="0"/>
    <w:pPr>
      <w:spacing w:beforeAutospacing="1" w:afterAutospacing="1"/>
    </w:pPr>
    <w:rPr>
      <w:rFonts w:hint="eastAsia" w:ascii="宋体" w:hAnsi="宋体" w:eastAsia="宋体"/>
    </w:rPr>
  </w:style>
  <w:style w:type="character" w:customStyle="1" w:styleId="40">
    <w:name w:val="标题 2 字符"/>
    <w:basedOn w:val="20"/>
    <w:link w:val="3"/>
    <w:qFormat/>
    <w:uiPriority w:val="9"/>
    <w:rPr>
      <w:rFonts w:asciiTheme="majorHAnsi" w:hAnsiTheme="majorHAnsi" w:eastAsiaTheme="majorEastAsia" w:cstheme="majorBidi"/>
      <w:b/>
      <w:bCs/>
      <w:kern w:val="2"/>
      <w:sz w:val="32"/>
      <w:szCs w:val="32"/>
    </w:rPr>
  </w:style>
  <w:style w:type="character" w:customStyle="1" w:styleId="41">
    <w:name w:val="font21"/>
    <w:basedOn w:val="20"/>
    <w:qFormat/>
    <w:uiPriority w:val="0"/>
    <w:rPr>
      <w:rFonts w:hint="eastAsia" w:ascii="方正小标宋简体" w:hAnsi="方正小标宋简体" w:eastAsia="方正小标宋简体" w:cs="方正小标宋简体"/>
      <w:color w:val="000000"/>
      <w:sz w:val="36"/>
      <w:szCs w:val="36"/>
      <w:u w:val="none"/>
    </w:rPr>
  </w:style>
  <w:style w:type="character" w:customStyle="1" w:styleId="42">
    <w:name w:val="font31"/>
    <w:basedOn w:val="20"/>
    <w:qFormat/>
    <w:uiPriority w:val="0"/>
    <w:rPr>
      <w:rFonts w:hint="eastAsia" w:ascii="方正小标宋简体" w:hAnsi="方正小标宋简体" w:eastAsia="方正小标宋简体" w:cs="方正小标宋简体"/>
      <w:color w:val="000000"/>
      <w:sz w:val="44"/>
      <w:szCs w:val="44"/>
      <w:u w:val="none"/>
    </w:rPr>
  </w:style>
  <w:style w:type="character" w:customStyle="1" w:styleId="43">
    <w:name w:val="font51"/>
    <w:basedOn w:val="20"/>
    <w:qFormat/>
    <w:uiPriority w:val="0"/>
    <w:rPr>
      <w:rFonts w:hint="eastAsia" w:ascii="宋体" w:hAnsi="宋体" w:eastAsia="宋体" w:cs="宋体"/>
      <w:color w:val="000000"/>
      <w:sz w:val="28"/>
      <w:szCs w:val="28"/>
      <w:u w:val="none"/>
    </w:rPr>
  </w:style>
  <w:style w:type="character" w:customStyle="1" w:styleId="44">
    <w:name w:val="font41"/>
    <w:basedOn w:val="20"/>
    <w:qFormat/>
    <w:uiPriority w:val="0"/>
    <w:rPr>
      <w:rFonts w:hint="eastAsia" w:ascii="方正小标宋简体" w:hAnsi="方正小标宋简体" w:eastAsia="方正小标宋简体" w:cs="方正小标宋简体"/>
      <w:color w:val="000000"/>
      <w:sz w:val="44"/>
      <w:szCs w:val="44"/>
      <w:u w:val="none"/>
    </w:rPr>
  </w:style>
  <w:style w:type="character" w:customStyle="1" w:styleId="45">
    <w:name w:val="font61"/>
    <w:basedOn w:val="20"/>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202</a:t>
            </a:r>
            <a:r>
              <a:rPr lang="en-US" altLang="zh-CN"/>
              <a:t>4</a:t>
            </a:r>
            <a:r>
              <a:t>年、2023年收支对比</a:t>
            </a:r>
          </a:p>
        </c:rich>
      </c:tx>
      <c:layout>
        <c:manualLayout>
          <c:xMode val="edge"/>
          <c:yMode val="edge"/>
          <c:x val="0.287291694892291"/>
          <c:y val="0.027002700270027"/>
        </c:manualLayout>
      </c:layout>
      <c:overlay val="0"/>
      <c:spPr>
        <a:noFill/>
        <a:ln>
          <a:noFill/>
        </a:ln>
        <a:effectLst/>
      </c:spPr>
    </c:title>
    <c:autoTitleDeleted val="0"/>
    <c:plotArea>
      <c:layout>
        <c:manualLayout>
          <c:layoutTarget val="inner"/>
          <c:xMode val="edge"/>
          <c:yMode val="edge"/>
          <c:x val="0.0758162850562255"/>
          <c:y val="0.19036402640264"/>
          <c:w val="0.927925"/>
          <c:h val="0.716566666666667"/>
        </c:manualLayout>
      </c:layout>
      <c:barChart>
        <c:barDir val="col"/>
        <c:grouping val="clustered"/>
        <c:varyColors val="0"/>
        <c:ser>
          <c:idx val="0"/>
          <c:order val="0"/>
          <c:tx>
            <c:strRef>
              <c:f>Sheet1!$B$1</c:f>
              <c:strCache>
                <c:ptCount val="1"/>
                <c:pt idx="0">
                  <c:v>支出</c:v>
                </c:pt>
              </c:strCache>
            </c:strRef>
          </c:tx>
          <c:spPr>
            <a:solidFill>
              <a:schemeClr val="accent1"/>
            </a:solidFill>
            <a:ln>
              <a:noFill/>
            </a:ln>
            <a:effectLst/>
          </c:spPr>
          <c:invertIfNegative val="0"/>
          <c:dLbls>
            <c:dLbl>
              <c:idx val="0"/>
              <c:delete val="1"/>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1809.86</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Sheet1!$A$2:$A$3</c:f>
              <c:strCache>
                <c:ptCount val="2"/>
                <c:pt idx="0">
                  <c:v>2024年</c:v>
                </c:pt>
                <c:pt idx="1">
                  <c:v>2023年</c:v>
                </c:pt>
              </c:strCache>
            </c:strRef>
          </c:cat>
          <c:val>
            <c:numRef>
              <c:f>Sheet1!$B$2:$B$3</c:f>
              <c:numCache>
                <c:formatCode>General</c:formatCode>
                <c:ptCount val="2"/>
                <c:pt idx="0">
                  <c:v>2742.73</c:v>
                </c:pt>
                <c:pt idx="1">
                  <c:v>1739.6</c:v>
                </c:pt>
              </c:numCache>
            </c:numRef>
          </c:val>
        </c:ser>
        <c:ser>
          <c:idx val="1"/>
          <c:order val="1"/>
          <c:tx>
            <c:strRef>
              <c:f>Sheet1!$C$1</c:f>
              <c:strCache>
                <c:ptCount val="1"/>
                <c:pt idx="0">
                  <c:v>收入</c:v>
                </c:pt>
              </c:strCache>
            </c:strRef>
          </c:tx>
          <c:spPr>
            <a:solidFill>
              <a:schemeClr val="accent2"/>
            </a:solidFill>
            <a:ln>
              <a:noFill/>
            </a:ln>
            <a:effectLst/>
          </c:spPr>
          <c:invertIfNegative val="0"/>
          <c:dLbls>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1809.86</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Sheet1!$A$2:$A$3</c:f>
              <c:strCache>
                <c:ptCount val="2"/>
                <c:pt idx="0">
                  <c:v>2024年</c:v>
                </c:pt>
                <c:pt idx="1">
                  <c:v>2023年</c:v>
                </c:pt>
              </c:strCache>
            </c:strRef>
          </c:cat>
          <c:val>
            <c:numRef>
              <c:f>Sheet1!$C$2:$C$3</c:f>
              <c:numCache>
                <c:formatCode>General</c:formatCode>
                <c:ptCount val="2"/>
                <c:pt idx="0">
                  <c:v>2742.73</c:v>
                </c:pt>
                <c:pt idx="1">
                  <c:v>1739.6</c:v>
                </c:pt>
              </c:numCache>
            </c:numRef>
          </c:val>
        </c:ser>
        <c:ser>
          <c:idx val="2"/>
          <c:order val="2"/>
          <c:tx>
            <c:strRef>
              <c:f>Sheet1!#REF!</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Sheet1!$A$2:$A$3</c:f>
              <c:strCache>
                <c:ptCount val="2"/>
                <c:pt idx="0">
                  <c:v>2024年</c:v>
                </c:pt>
                <c:pt idx="1">
                  <c:v>2023年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46"/>
        <c:overlap val="-28"/>
        <c:axId val="133179264"/>
        <c:axId val="133205376"/>
      </c:barChart>
      <c:catAx>
        <c:axId val="13317926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3205376"/>
        <c:crosses val="autoZero"/>
        <c:auto val="1"/>
        <c:lblAlgn val="ctr"/>
        <c:lblOffset val="100"/>
        <c:noMultiLvlLbl val="0"/>
      </c:catAx>
      <c:valAx>
        <c:axId val="133205376"/>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3179264"/>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a70ecd1-e6f0-4928-8b08-d2c15e80dcc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各类收入占比</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一般公共预算财政拨款收入</c:v>
                </c:pt>
                <c:pt idx="1">
                  <c:v>政府性基金预算财政拨款收入</c:v>
                </c:pt>
                <c:pt idx="2">
                  <c:v>其他收入</c:v>
                </c:pt>
              </c:strCache>
            </c:strRef>
          </c:cat>
          <c:val>
            <c:numRef>
              <c:f>Sheet1!$B$2:$B$4</c:f>
              <c:numCache>
                <c:formatCode>General</c:formatCode>
                <c:ptCount val="3"/>
                <c:pt idx="0">
                  <c:v>2737.62</c:v>
                </c:pt>
                <c:pt idx="1">
                  <c:v>4.95</c:v>
                </c:pt>
                <c:pt idx="2">
                  <c:v>0.16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7f69963-3e32-410b-9109-e9d8a88b60d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各类支出占比</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1516.93</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1225.80</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1739.6</c:v>
                </c:pt>
                <c:pt idx="1">
                  <c:v>438.98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f2b02759-c8df-4eba-ac86-4301b4f7de89}"/>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财政拨款收、支对比</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27</a:t>
                    </a:r>
                    <a:r>
                      <a:rPr lang="en-US" altLang="zh-CN"/>
                      <a:t>37.62</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errBars>
            <c:errBarType val="both"/>
            <c:errValType val="stdErr"/>
            <c:noEndCap val="0"/>
            <c:spPr>
              <a:noFill/>
              <a:ln w="9525" cap="flat" cmpd="sng" algn="ctr">
                <a:solidFill>
                  <a:schemeClr val="tx1">
                    <a:lumMod val="65000"/>
                    <a:lumOff val="35000"/>
                  </a:schemeClr>
                </a:solidFill>
                <a:prstDash val="solid"/>
                <a:round/>
              </a:ln>
              <a:effectLst/>
            </c:spPr>
          </c:errBars>
          <c:cat>
            <c:strRef>
              <c:f>Sheet1!$A$2:$A$3</c:f>
              <c:strCache>
                <c:ptCount val="2"/>
                <c:pt idx="0">
                  <c:v>2024年</c:v>
                </c:pt>
                <c:pt idx="1">
                  <c:v>2023年</c:v>
                </c:pt>
              </c:strCache>
            </c:strRef>
          </c:cat>
          <c:val>
            <c:numRef>
              <c:f>Sheet1!$B$2:$B$3</c:f>
              <c:numCache>
                <c:formatCode>General</c:formatCode>
                <c:ptCount val="2"/>
                <c:pt idx="0">
                  <c:v>2742.73</c:v>
                </c:pt>
                <c:pt idx="1">
                  <c:v>1739.6</c:v>
                </c:pt>
              </c:numCache>
            </c:numRef>
          </c:val>
        </c:ser>
        <c:ser>
          <c:idx val="1"/>
          <c:order val="1"/>
          <c:tx>
            <c:strRef>
              <c:f>Sheet1!$C$1</c:f>
              <c:strCache>
                <c:ptCount val="1"/>
                <c:pt idx="0">
                  <c:v>支出</c:v>
                </c:pt>
              </c:strCache>
            </c:strRef>
          </c:tx>
          <c:spPr>
            <a:solidFill>
              <a:schemeClr val="accent2"/>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27</a:t>
                    </a:r>
                    <a:r>
                      <a:rPr lang="en-US" altLang="zh-CN"/>
                      <a:t>37.62</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00462459194776931"/>
                </c:manualLayout>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1790.93</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errBars>
            <c:errBarType val="both"/>
            <c:errValType val="stdErr"/>
            <c:noEndCap val="0"/>
            <c:spPr>
              <a:noFill/>
              <a:ln w="9525" cap="flat" cmpd="sng" algn="ctr">
                <a:solidFill>
                  <a:schemeClr val="tx1">
                    <a:lumMod val="65000"/>
                    <a:lumOff val="35000"/>
                  </a:schemeClr>
                </a:solidFill>
                <a:prstDash val="solid"/>
                <a:round/>
              </a:ln>
              <a:effectLst/>
            </c:spPr>
          </c:errBars>
          <c:cat>
            <c:strRef>
              <c:f>Sheet1!$A$2:$A$3</c:f>
              <c:strCache>
                <c:ptCount val="2"/>
                <c:pt idx="0">
                  <c:v>2024年</c:v>
                </c:pt>
                <c:pt idx="1">
                  <c:v>2023年</c:v>
                </c:pt>
              </c:strCache>
            </c:strRef>
          </c:cat>
          <c:val>
            <c:numRef>
              <c:f>Sheet1!$C$2:$C$3</c:f>
              <c:numCache>
                <c:formatCode>General</c:formatCode>
                <c:ptCount val="2"/>
                <c:pt idx="0">
                  <c:v>2742.73</c:v>
                </c:pt>
                <c:pt idx="1">
                  <c:v>1739.6</c:v>
                </c:pt>
              </c:numCache>
            </c:numRef>
          </c:val>
        </c:ser>
        <c:dLbls>
          <c:showLegendKey val="0"/>
          <c:showVal val="1"/>
          <c:showCatName val="0"/>
          <c:showSerName val="0"/>
          <c:showPercent val="0"/>
          <c:showBubbleSize val="0"/>
        </c:dLbls>
        <c:gapWidth val="219"/>
        <c:overlap val="-27"/>
        <c:axId val="157756032"/>
        <c:axId val="157762304"/>
      </c:barChart>
      <c:catAx>
        <c:axId val="15775603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7762304"/>
        <c:crosses val="autoZero"/>
        <c:auto val="1"/>
        <c:lblAlgn val="ctr"/>
        <c:lblOffset val="100"/>
        <c:noMultiLvlLbl val="0"/>
      </c:catAx>
      <c:valAx>
        <c:axId val="15776230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775603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a40444a-e094-4e80-9182-9880c6747c1f}"/>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803350031696489"/>
          <c:y val="0.235429688821111"/>
          <c:w val="0.925848765432099"/>
          <c:h val="0.580202419155764"/>
        </c:manualLayout>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Sheet1!$A$2</c:f>
              <c:strCache>
                <c:ptCount val="1"/>
                <c:pt idx="0">
                  <c:v>支出</c:v>
                </c:pt>
              </c:strCache>
            </c:strRef>
          </c:cat>
          <c:val>
            <c:numRef>
              <c:f>Sheet1!$B$2</c:f>
              <c:numCache>
                <c:formatCode>General</c:formatCode>
                <c:ptCount val="1"/>
                <c:pt idx="0">
                  <c:v>2737.62</c:v>
                </c:pt>
              </c:numCache>
            </c:numRef>
          </c:val>
        </c:ser>
        <c:ser>
          <c:idx val="1"/>
          <c:order val="1"/>
          <c:tx>
            <c:strRef>
              <c:f>Sheet1!$C$1</c:f>
              <c:strCache>
                <c:ptCount val="1"/>
                <c:pt idx="0">
                  <c:v>2023年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Sheet1!$A$2</c:f>
              <c:strCache>
                <c:ptCount val="1"/>
                <c:pt idx="0">
                  <c:v>支出</c:v>
                </c:pt>
              </c:strCache>
            </c:strRef>
          </c:cat>
          <c:val>
            <c:numRef>
              <c:f>Sheet1!$C$2</c:f>
              <c:numCache>
                <c:formatCode>General</c:formatCode>
                <c:ptCount val="1"/>
                <c:pt idx="0">
                  <c:v>1739.6</c:v>
                </c:pt>
              </c:numCache>
            </c:numRef>
          </c:val>
        </c:ser>
        <c:dLbls>
          <c:showLegendKey val="0"/>
          <c:showVal val="1"/>
          <c:showCatName val="0"/>
          <c:showSerName val="0"/>
          <c:showPercent val="0"/>
          <c:showBubbleSize val="0"/>
        </c:dLbls>
        <c:gapWidth val="219"/>
        <c:overlap val="-27"/>
        <c:axId val="158072832"/>
        <c:axId val="158074368"/>
      </c:barChart>
      <c:catAx>
        <c:axId val="15807283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8074368"/>
        <c:crosses val="autoZero"/>
        <c:auto val="1"/>
        <c:lblAlgn val="ctr"/>
        <c:lblOffset val="100"/>
        <c:noMultiLvlLbl val="0"/>
      </c:catAx>
      <c:valAx>
        <c:axId val="15807436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8072832"/>
        <c:crosses val="autoZero"/>
        <c:crossBetween val="between"/>
      </c:valAx>
      <c:spPr>
        <a:noFill/>
        <a:ln>
          <a:noFill/>
        </a:ln>
        <a:effectLst/>
      </c:spPr>
    </c:plotArea>
    <c:legend>
      <c:legendPos val="b"/>
      <c:layout>
        <c:manualLayout>
          <c:xMode val="edge"/>
          <c:yMode val="edge"/>
          <c:x val="0.352243424445591"/>
          <c:y val="0.846538187009279"/>
          <c:w val="0.352759154203198"/>
          <c:h val="0.11955745895788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3cbd023-61d3-4fea-bdfe-97ed712a0482}"/>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dPt>
          <c:dPt>
            <c:idx val="4"/>
            <c:bubble3D val="0"/>
          </c:dPt>
          <c:dPt>
            <c:idx val="5"/>
            <c:bubble3D val="0"/>
          </c:dPt>
          <c:dPt>
            <c:idx val="6"/>
            <c:bubble3D val="0"/>
          </c:dPt>
          <c:dPt>
            <c:idx val="7"/>
            <c:bubble3D val="0"/>
          </c:dPt>
          <c:dPt>
            <c:idx val="8"/>
            <c:bubble3D val="0"/>
          </c:dPt>
          <c:dPt>
            <c:idx val="9"/>
            <c:bubble3D val="0"/>
          </c:dPt>
          <c:dPt>
            <c:idx val="10"/>
            <c:bubble3D val="0"/>
          </c:dPt>
          <c:dPt>
            <c:idx val="11"/>
            <c:bubble3D val="0"/>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Sheet1!$A$2:$A$13</c:f>
              <c:strCache>
                <c:ptCount val="12"/>
                <c:pt idx="0">
                  <c:v>一般公共服务（类）</c:v>
                </c:pt>
                <c:pt idx="1">
                  <c:v>社会保障和就业（类）</c:v>
                </c:pt>
                <c:pt idx="2">
                  <c:v>卫生健康支出</c:v>
                </c:pt>
                <c:pt idx="3">
                  <c:v>住房保障支出</c:v>
                </c:pt>
                <c:pt idx="4">
                  <c:v>农林水支出</c:v>
                </c:pt>
                <c:pt idx="5">
                  <c:v>国防支出</c:v>
                </c:pt>
                <c:pt idx="6">
                  <c:v>文化旅游体育与传媒支出</c:v>
                </c:pt>
                <c:pt idx="7">
                  <c:v>城乡社区支出</c:v>
                </c:pt>
                <c:pt idx="8">
                  <c:v>商业服务业等支出</c:v>
                </c:pt>
                <c:pt idx="9">
                  <c:v>灾害防治及应急管理支出</c:v>
                </c:pt>
              </c:strCache>
            </c:strRef>
          </c:cat>
          <c:val>
            <c:numRef>
              <c:f>Sheet1!$B$2:$B$13</c:f>
              <c:numCache>
                <c:formatCode>General</c:formatCode>
                <c:ptCount val="12"/>
                <c:pt idx="0">
                  <c:v>1019.24</c:v>
                </c:pt>
                <c:pt idx="1">
                  <c:v>183.42</c:v>
                </c:pt>
                <c:pt idx="2">
                  <c:v>64.38</c:v>
                </c:pt>
                <c:pt idx="3">
                  <c:v>91.09</c:v>
                </c:pt>
                <c:pt idx="4">
                  <c:v>1258.71</c:v>
                </c:pt>
                <c:pt idx="5">
                  <c:v>2</c:v>
                </c:pt>
                <c:pt idx="6">
                  <c:v>9.74</c:v>
                </c:pt>
                <c:pt idx="7">
                  <c:v>19.74</c:v>
                </c:pt>
                <c:pt idx="8">
                  <c:v>93.88</c:v>
                </c:pt>
                <c:pt idx="9">
                  <c:v>0.37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d9d296ef-6628-4575-bc7a-6a124e9443d6}"/>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公务用车运行维护费</c:v>
                </c:pt>
                <c:pt idx="1">
                  <c:v>公务接待费</c:v>
                </c:pt>
              </c:strCache>
            </c:strRef>
          </c:cat>
          <c:val>
            <c:numRef>
              <c:f>Sheet1!$B$2:$B$3</c:f>
              <c:numCache>
                <c:formatCode>0%</c:formatCode>
                <c:ptCount val="2"/>
                <c:pt idx="0">
                  <c:v>1</c:v>
                </c:pt>
                <c:pt idx="1">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0c0b9ba7-c743-42c3-8a83-51c752a3efeb}"/>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49</Pages>
  <Words>324</Words>
  <Characters>348</Characters>
  <Lines>6</Lines>
  <Paragraphs>17</Paragraphs>
  <TotalTime>26</TotalTime>
  <ScaleCrop>false</ScaleCrop>
  <LinksUpToDate>false</LinksUpToDate>
  <CharactersWithSpaces>376</CharactersWithSpaces>
  <Application>WPS Office_12.1.0.21915_F1E327BC-269C-435d-A152-05C5408002CA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2024-11-08T01:54:00Z</dcterms:created>
  <dc:creator>曹颖</dc:creator>
  <cp:lastModifiedBy>酥油女王</cp:lastModifiedBy>
  <cp:lastPrinted>2025-09-25T01:35:44Z</cp:lastPrinted>
  <dcterms:modified xsi:type="dcterms:W3CDTF">2025-09-25T01:54:03Z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13D0D8674043454C87F2A72793868A3C_13</vt:lpwstr>
  </property>
  <property fmtid="{D5CDD505-2E9C-101B-9397-08002B2CF9AE}" pid="4" name="KSOTemplateDocerSaveRecord">
    <vt:lpwstr>eyJoZGlkIjoiMmY5YTFjNTNhMzUyMThkNDY5OGMyYWYyMDQxYzlhMTMiLCJ1c2VySWQiOiIyODY2NzA4OTkifQ==</vt:lpwstr>
  </property>
</Properties>
</file>