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5048E">
      <w:pPr>
        <w:spacing w:line="600" w:lineRule="exact"/>
        <w:jc w:val="left"/>
        <w:outlineLvl w:val="9"/>
        <w:rPr>
          <w:rFonts w:ascii="方正小标宋简体" w:hAnsi="宋体" w:eastAsia="方正小标宋简体"/>
          <w:szCs w:val="21"/>
        </w:rPr>
      </w:pPr>
      <w:bookmarkStart w:id="0" w:name="_Toc15306267"/>
    </w:p>
    <w:p w14:paraId="3DAD231F">
      <w:pPr>
        <w:pStyle w:val="5"/>
        <w:spacing w:before="93"/>
      </w:pPr>
    </w:p>
    <w:p w14:paraId="7E864962">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72"/>
          <w:szCs w:val="72"/>
          <w:highlight w:val="none"/>
          <w:lang w:val="en-US" w:eastAsia="zh-CN" w:bidi="ar-SA"/>
        </w:rPr>
      </w:pPr>
      <w:bookmarkStart w:id="1" w:name="_Toc15396597"/>
      <w:bookmarkStart w:id="2" w:name="_Toc15378441"/>
      <w:bookmarkStart w:id="3" w:name="_Toc15396475"/>
      <w:bookmarkStart w:id="4" w:name="_Toc15377193"/>
      <w:bookmarkStart w:id="5" w:name="_Toc15377425"/>
      <w:r>
        <w:rPr>
          <w:rFonts w:hint="eastAsia" w:ascii="方正小标宋简体" w:hAnsi="宋体" w:eastAsia="方正小标宋简体" w:cs="Times New Roman"/>
          <w:color w:val="auto"/>
          <w:kern w:val="2"/>
          <w:sz w:val="72"/>
          <w:szCs w:val="72"/>
          <w:highlight w:val="none"/>
          <w:lang w:val="en-US" w:eastAsia="zh-CN" w:bidi="ar-SA"/>
        </w:rPr>
        <w:t>2024年度</w:t>
      </w:r>
      <w:bookmarkEnd w:id="1"/>
      <w:bookmarkEnd w:id="2"/>
      <w:bookmarkEnd w:id="3"/>
      <w:bookmarkEnd w:id="4"/>
      <w:bookmarkEnd w:id="5"/>
    </w:p>
    <w:p w14:paraId="1F3E6A86">
      <w:pPr>
        <w:pStyle w:val="5"/>
        <w:suppressAutoHyphens/>
        <w:bidi w:val="0"/>
        <w:spacing w:before="0" w:beforeLines="-2147483648" w:after="140" w:line="276" w:lineRule="auto"/>
        <w:jc w:val="center"/>
        <w:rPr>
          <w:rFonts w:hint="eastAsia" w:ascii="方正小标宋简体" w:hAnsi="宋体" w:eastAsia="方正小标宋简体" w:cs="Times New Roman"/>
          <w:color w:val="auto"/>
          <w:kern w:val="2"/>
          <w:sz w:val="72"/>
          <w:szCs w:val="72"/>
          <w:highlight w:val="none"/>
          <w:lang w:val="en-US" w:eastAsia="zh-CN" w:bidi="ar-SA"/>
        </w:rPr>
      </w:pPr>
      <w:bookmarkStart w:id="6" w:name="_Toc15377194"/>
      <w:bookmarkStart w:id="7" w:name="_Toc15377426"/>
      <w:bookmarkStart w:id="8" w:name="_Toc15396598"/>
      <w:bookmarkStart w:id="9" w:name="_Toc15378442"/>
      <w:bookmarkStart w:id="10" w:name="_Toc15396476"/>
      <w:r>
        <w:rPr>
          <w:rFonts w:hint="eastAsia" w:ascii="方正小标宋简体" w:hAnsi="宋体" w:eastAsia="方正小标宋简体" w:cs="Times New Roman"/>
          <w:color w:val="auto"/>
          <w:kern w:val="2"/>
          <w:sz w:val="72"/>
          <w:szCs w:val="72"/>
          <w:highlight w:val="none"/>
          <w:lang w:val="en-US" w:eastAsia="zh-CN" w:bidi="ar-SA"/>
        </w:rPr>
        <w:t>四川省</w:t>
      </w:r>
      <w:bookmarkEnd w:id="0"/>
      <w:bookmarkStart w:id="11" w:name="_Toc15306268"/>
      <w:r>
        <w:rPr>
          <w:rFonts w:hint="default" w:ascii="方正小标宋简体" w:hAnsi="宋体" w:eastAsia="方正小标宋简体" w:cs="Times New Roman"/>
          <w:color w:val="auto"/>
          <w:kern w:val="2"/>
          <w:sz w:val="72"/>
          <w:szCs w:val="72"/>
          <w:highlight w:val="none"/>
          <w:lang w:val="en-US" w:eastAsia="zh-CN" w:bidi="ar-SA"/>
        </w:rPr>
        <w:t>红原县卫生健康局（本级）</w:t>
      </w:r>
      <w:r>
        <w:rPr>
          <w:rFonts w:hint="eastAsia" w:ascii="方正小标宋简体" w:hAnsi="宋体" w:eastAsia="方正小标宋简体" w:cs="Times New Roman"/>
          <w:color w:val="auto"/>
          <w:kern w:val="2"/>
          <w:sz w:val="72"/>
          <w:szCs w:val="72"/>
          <w:highlight w:val="none"/>
          <w:lang w:val="en-US" w:eastAsia="zh-CN" w:bidi="ar-SA"/>
        </w:rPr>
        <w:t>单位决算</w:t>
      </w:r>
      <w:bookmarkEnd w:id="6"/>
      <w:bookmarkEnd w:id="7"/>
      <w:bookmarkEnd w:id="8"/>
      <w:bookmarkEnd w:id="9"/>
      <w:bookmarkEnd w:id="10"/>
      <w:bookmarkEnd w:id="11"/>
    </w:p>
    <w:p w14:paraId="3AB1B177">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6F5CF171">
      <w:pPr>
        <w:widowControl/>
        <w:jc w:val="center"/>
        <w:rPr>
          <w:rFonts w:ascii="黑体" w:hAnsi="黑体" w:eastAsia="黑体" w:cstheme="minorBidi"/>
          <w:sz w:val="28"/>
          <w:szCs w:val="28"/>
        </w:rPr>
      </w:pPr>
    </w:p>
    <w:p w14:paraId="7C97D1E5">
      <w:pPr>
        <w:pStyle w:val="11"/>
      </w:pPr>
      <w:r>
        <w:rPr>
          <w:rFonts w:hint="eastAsia"/>
        </w:rPr>
        <w:t>公开时间：202</w:t>
      </w:r>
      <w:r>
        <w:rPr>
          <w:rFonts w:hint="eastAsia"/>
          <w:lang w:val="en-US" w:eastAsia="zh-CN"/>
        </w:rPr>
        <w:t>5</w:t>
      </w:r>
      <w:r>
        <w:rPr>
          <w:rFonts w:hint="eastAsia"/>
        </w:rPr>
        <w:t>年9月</w:t>
      </w:r>
      <w:r>
        <w:rPr>
          <w:rFonts w:hint="eastAsia"/>
          <w:lang w:val="en-US" w:eastAsia="zh-CN"/>
        </w:rPr>
        <w:t>30</w:t>
      </w:r>
      <w:bookmarkStart w:id="97" w:name="_GoBack"/>
      <w:bookmarkEnd w:id="97"/>
      <w:r>
        <w:rPr>
          <w:rFonts w:hint="eastAsia"/>
        </w:rPr>
        <w:t>日</w:t>
      </w:r>
    </w:p>
    <w:sdt>
      <w:sdtPr>
        <w:rPr>
          <w:rFonts w:ascii="宋体" w:hAnsi="宋体" w:eastAsia="宋体" w:cs="Times New Roman"/>
          <w:kern w:val="2"/>
          <w:sz w:val="21"/>
          <w:szCs w:val="24"/>
          <w:lang w:val="en-US" w:eastAsia="zh-CN" w:bidi="ar-SA"/>
        </w:rPr>
        <w:id w:val="147455694"/>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14:paraId="13A2C3E2">
          <w:pPr>
            <w:spacing w:before="0" w:beforeLines="0" w:after="0" w:afterLines="0" w:line="240" w:lineRule="auto"/>
            <w:ind w:left="0" w:leftChars="0" w:right="0" w:rightChars="0" w:firstLine="0" w:firstLineChars="0"/>
            <w:jc w:val="center"/>
          </w:pPr>
          <w:bookmarkStart w:id="12" w:name="_Toc15377196"/>
          <w:bookmarkStart w:id="13" w:name="_Toc15396599"/>
        </w:p>
        <w:p w14:paraId="665D304C">
          <w:pPr>
            <w:pStyle w:val="11"/>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_Toc18761 </w:instrText>
          </w:r>
          <w:r>
            <w:fldChar w:fldCharType="separate"/>
          </w:r>
          <w:r>
            <w:rPr>
              <w:rFonts w:hint="eastAsia" w:ascii="黑体" w:hAnsi="黑体" w:eastAsia="黑体"/>
            </w:rPr>
            <w:t>第一部分 单位</w:t>
          </w:r>
          <w:r>
            <w:rPr>
              <w:rFonts w:hint="eastAsia" w:ascii="黑体" w:hAnsi="黑体" w:eastAsia="黑体"/>
              <w:bCs w:val="0"/>
            </w:rPr>
            <w:t>概况</w:t>
          </w:r>
          <w:r>
            <w:tab/>
          </w:r>
          <w:r>
            <w:fldChar w:fldCharType="begin"/>
          </w:r>
          <w:r>
            <w:instrText xml:space="preserve"> PAGEREF _Toc18761 \h </w:instrText>
          </w:r>
          <w:r>
            <w:fldChar w:fldCharType="separate"/>
          </w:r>
          <w:r>
            <w:t>1</w:t>
          </w:r>
          <w:r>
            <w:fldChar w:fldCharType="end"/>
          </w:r>
          <w:r>
            <w:fldChar w:fldCharType="end"/>
          </w:r>
        </w:p>
        <w:p w14:paraId="7B7D4FD8">
          <w:pPr>
            <w:pStyle w:val="12"/>
            <w:tabs>
              <w:tab w:val="right" w:leader="dot" w:pos="8306"/>
              <w:tab w:val="clear" w:pos="8296"/>
            </w:tabs>
          </w:pPr>
          <w:r>
            <w:fldChar w:fldCharType="begin"/>
          </w:r>
          <w:r>
            <w:instrText xml:space="preserve"> HYPERLINK \l _Toc24200 </w:instrText>
          </w:r>
          <w:r>
            <w:fldChar w:fldCharType="separate"/>
          </w:r>
          <w:r>
            <w:rPr>
              <w:rFonts w:hint="eastAsia" w:ascii="黑体" w:hAnsi="黑体" w:eastAsia="黑体"/>
              <w:bCs w:val="0"/>
            </w:rPr>
            <w:t>一、主要职责</w:t>
          </w:r>
          <w:r>
            <w:tab/>
          </w:r>
          <w:r>
            <w:fldChar w:fldCharType="begin"/>
          </w:r>
          <w:r>
            <w:instrText xml:space="preserve"> PAGEREF _Toc24200 \h </w:instrText>
          </w:r>
          <w:r>
            <w:fldChar w:fldCharType="separate"/>
          </w:r>
          <w:r>
            <w:t>1</w:t>
          </w:r>
          <w:r>
            <w:fldChar w:fldCharType="end"/>
          </w:r>
          <w:r>
            <w:fldChar w:fldCharType="end"/>
          </w:r>
        </w:p>
        <w:p w14:paraId="527DF4C8">
          <w:pPr>
            <w:pStyle w:val="12"/>
            <w:tabs>
              <w:tab w:val="right" w:leader="dot" w:pos="8306"/>
              <w:tab w:val="clear" w:pos="8296"/>
            </w:tabs>
          </w:pPr>
          <w:r>
            <w:fldChar w:fldCharType="begin"/>
          </w:r>
          <w:r>
            <w:instrText xml:space="preserve"> HYPERLINK \l _Toc31587 </w:instrText>
          </w:r>
          <w:r>
            <w:fldChar w:fldCharType="separate"/>
          </w:r>
          <w:r>
            <w:rPr>
              <w:rFonts w:hint="eastAsia" w:ascii="黑体" w:hAnsi="黑体" w:eastAsia="黑体"/>
            </w:rPr>
            <w:t>二、机构设置</w:t>
          </w:r>
          <w:r>
            <w:tab/>
          </w:r>
          <w:r>
            <w:fldChar w:fldCharType="begin"/>
          </w:r>
          <w:r>
            <w:instrText xml:space="preserve"> PAGEREF _Toc31587 \h </w:instrText>
          </w:r>
          <w:r>
            <w:fldChar w:fldCharType="separate"/>
          </w:r>
          <w:r>
            <w:t>2</w:t>
          </w:r>
          <w:r>
            <w:fldChar w:fldCharType="end"/>
          </w:r>
          <w:r>
            <w:fldChar w:fldCharType="end"/>
          </w:r>
        </w:p>
        <w:p w14:paraId="5B70A6ED">
          <w:pPr>
            <w:pStyle w:val="11"/>
            <w:tabs>
              <w:tab w:val="right" w:leader="dot" w:pos="8306"/>
              <w:tab w:val="clear" w:pos="8296"/>
            </w:tabs>
          </w:pPr>
          <w:r>
            <w:fldChar w:fldCharType="begin"/>
          </w:r>
          <w:r>
            <w:instrText xml:space="preserve"> HYPERLINK \l _Toc23740 </w:instrText>
          </w:r>
          <w:r>
            <w:fldChar w:fldCharType="separate"/>
          </w:r>
          <w:r>
            <w:rPr>
              <w:rFonts w:hint="eastAsia" w:ascii="黑体" w:hAnsi="黑体" w:eastAsia="黑体"/>
            </w:rPr>
            <w:t>第二部分 202</w:t>
          </w:r>
          <w:r>
            <w:rPr>
              <w:rFonts w:hint="eastAsia" w:ascii="黑体" w:hAnsi="黑体" w:eastAsia="黑体"/>
              <w:lang w:val="en-US" w:eastAsia="zh-CN"/>
            </w:rPr>
            <w:t>4</w:t>
          </w:r>
          <w:r>
            <w:rPr>
              <w:rFonts w:hint="eastAsia" w:ascii="黑体" w:hAnsi="黑体" w:eastAsia="黑体"/>
            </w:rPr>
            <w:t>年度</w:t>
          </w:r>
          <w:r>
            <w:rPr>
              <w:rFonts w:hint="eastAsia" w:ascii="黑体" w:hAnsi="黑体" w:eastAsia="黑体"/>
              <w:bCs/>
            </w:rPr>
            <w:t>单位决算情况说明</w:t>
          </w:r>
          <w:r>
            <w:tab/>
          </w:r>
          <w:r>
            <w:fldChar w:fldCharType="begin"/>
          </w:r>
          <w:r>
            <w:instrText xml:space="preserve"> PAGEREF _Toc23740 \h </w:instrText>
          </w:r>
          <w:r>
            <w:fldChar w:fldCharType="separate"/>
          </w:r>
          <w:r>
            <w:t>3</w:t>
          </w:r>
          <w:r>
            <w:fldChar w:fldCharType="end"/>
          </w:r>
          <w:r>
            <w:fldChar w:fldCharType="end"/>
          </w:r>
        </w:p>
        <w:p w14:paraId="23BD3B03">
          <w:pPr>
            <w:pStyle w:val="12"/>
            <w:tabs>
              <w:tab w:val="right" w:leader="dot" w:pos="8306"/>
              <w:tab w:val="clear" w:pos="8296"/>
            </w:tabs>
          </w:pPr>
          <w:r>
            <w:fldChar w:fldCharType="begin"/>
          </w:r>
          <w:r>
            <w:instrText xml:space="preserve"> HYPERLINK \l _Toc26597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_Toc26597 \h </w:instrText>
          </w:r>
          <w:r>
            <w:fldChar w:fldCharType="separate"/>
          </w:r>
          <w:r>
            <w:t>3</w:t>
          </w:r>
          <w:r>
            <w:fldChar w:fldCharType="end"/>
          </w:r>
          <w:r>
            <w:fldChar w:fldCharType="end"/>
          </w:r>
        </w:p>
        <w:p w14:paraId="772F0097">
          <w:pPr>
            <w:pStyle w:val="12"/>
            <w:tabs>
              <w:tab w:val="right" w:leader="dot" w:pos="8306"/>
              <w:tab w:val="clear" w:pos="8296"/>
            </w:tabs>
          </w:pPr>
          <w:r>
            <w:fldChar w:fldCharType="begin"/>
          </w:r>
          <w:r>
            <w:instrText xml:space="preserve"> HYPERLINK \l _Toc29691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_Toc29691 \h </w:instrText>
          </w:r>
          <w:r>
            <w:fldChar w:fldCharType="separate"/>
          </w:r>
          <w:r>
            <w:t>3</w:t>
          </w:r>
          <w:r>
            <w:fldChar w:fldCharType="end"/>
          </w:r>
          <w:r>
            <w:fldChar w:fldCharType="end"/>
          </w:r>
        </w:p>
        <w:p w14:paraId="59BDF654">
          <w:pPr>
            <w:pStyle w:val="12"/>
            <w:tabs>
              <w:tab w:val="right" w:leader="dot" w:pos="8306"/>
              <w:tab w:val="clear" w:pos="8296"/>
            </w:tabs>
          </w:pPr>
          <w:r>
            <w:fldChar w:fldCharType="begin"/>
          </w:r>
          <w:r>
            <w:instrText xml:space="preserve"> HYPERLINK \l _Toc21879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_Toc21879 \h </w:instrText>
          </w:r>
          <w:r>
            <w:fldChar w:fldCharType="separate"/>
          </w:r>
          <w:r>
            <w:t>4</w:t>
          </w:r>
          <w:r>
            <w:fldChar w:fldCharType="end"/>
          </w:r>
          <w:r>
            <w:fldChar w:fldCharType="end"/>
          </w:r>
        </w:p>
        <w:p w14:paraId="61F46B0D">
          <w:pPr>
            <w:pStyle w:val="12"/>
            <w:tabs>
              <w:tab w:val="right" w:leader="dot" w:pos="8306"/>
              <w:tab w:val="clear" w:pos="8296"/>
            </w:tabs>
          </w:pPr>
          <w:r>
            <w:fldChar w:fldCharType="begin"/>
          </w:r>
          <w:r>
            <w:instrText xml:space="preserve"> HYPERLINK \l _Toc13433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_Toc13433 \h </w:instrText>
          </w:r>
          <w:r>
            <w:fldChar w:fldCharType="separate"/>
          </w:r>
          <w:r>
            <w:t>5</w:t>
          </w:r>
          <w:r>
            <w:fldChar w:fldCharType="end"/>
          </w:r>
          <w:r>
            <w:fldChar w:fldCharType="end"/>
          </w:r>
        </w:p>
        <w:p w14:paraId="741DA46A">
          <w:pPr>
            <w:pStyle w:val="12"/>
            <w:tabs>
              <w:tab w:val="right" w:leader="dot" w:pos="8306"/>
              <w:tab w:val="clear" w:pos="8296"/>
            </w:tabs>
          </w:pPr>
          <w:r>
            <w:fldChar w:fldCharType="begin"/>
          </w:r>
          <w:r>
            <w:instrText xml:space="preserve"> HYPERLINK \l _Toc3837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_Toc3837 \h </w:instrText>
          </w:r>
          <w:r>
            <w:fldChar w:fldCharType="separate"/>
          </w:r>
          <w:r>
            <w:t>5</w:t>
          </w:r>
          <w:r>
            <w:fldChar w:fldCharType="end"/>
          </w:r>
          <w:r>
            <w:fldChar w:fldCharType="end"/>
          </w:r>
        </w:p>
        <w:p w14:paraId="52A5EEC3">
          <w:pPr>
            <w:pStyle w:val="12"/>
            <w:tabs>
              <w:tab w:val="right" w:leader="dot" w:pos="8306"/>
              <w:tab w:val="clear" w:pos="8296"/>
            </w:tabs>
          </w:pPr>
          <w:r>
            <w:fldChar w:fldCharType="begin"/>
          </w:r>
          <w:r>
            <w:instrText xml:space="preserve"> HYPERLINK \l _Toc21256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_Toc21256 \h </w:instrText>
          </w:r>
          <w:r>
            <w:fldChar w:fldCharType="separate"/>
          </w:r>
          <w:r>
            <w:t>8</w:t>
          </w:r>
          <w:r>
            <w:fldChar w:fldCharType="end"/>
          </w:r>
          <w:r>
            <w:fldChar w:fldCharType="end"/>
          </w:r>
        </w:p>
        <w:p w14:paraId="694F389C">
          <w:pPr>
            <w:pStyle w:val="12"/>
            <w:tabs>
              <w:tab w:val="right" w:leader="dot" w:pos="8306"/>
              <w:tab w:val="clear" w:pos="8296"/>
            </w:tabs>
          </w:pPr>
          <w:r>
            <w:fldChar w:fldCharType="begin"/>
          </w:r>
          <w:r>
            <w:instrText xml:space="preserve"> HYPERLINK \l _Toc7572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_Toc7572 \h </w:instrText>
          </w:r>
          <w:r>
            <w:fldChar w:fldCharType="separate"/>
          </w:r>
          <w:r>
            <w:t>8</w:t>
          </w:r>
          <w:r>
            <w:fldChar w:fldCharType="end"/>
          </w:r>
          <w:r>
            <w:fldChar w:fldCharType="end"/>
          </w:r>
        </w:p>
        <w:p w14:paraId="62549B14">
          <w:pPr>
            <w:pStyle w:val="12"/>
            <w:tabs>
              <w:tab w:val="right" w:leader="dot" w:pos="8306"/>
              <w:tab w:val="clear" w:pos="8296"/>
            </w:tabs>
          </w:pPr>
          <w:r>
            <w:fldChar w:fldCharType="begin"/>
          </w:r>
          <w:r>
            <w:instrText xml:space="preserve"> HYPERLINK \l _Toc1426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_Toc1426 \h </w:instrText>
          </w:r>
          <w:r>
            <w:fldChar w:fldCharType="separate"/>
          </w:r>
          <w:r>
            <w:t>10</w:t>
          </w:r>
          <w:r>
            <w:fldChar w:fldCharType="end"/>
          </w:r>
          <w:r>
            <w:fldChar w:fldCharType="end"/>
          </w:r>
        </w:p>
        <w:p w14:paraId="3B6784B9">
          <w:pPr>
            <w:pStyle w:val="12"/>
            <w:tabs>
              <w:tab w:val="right" w:leader="dot" w:pos="8306"/>
              <w:tab w:val="clear" w:pos="8296"/>
            </w:tabs>
          </w:pPr>
          <w:r>
            <w:fldChar w:fldCharType="begin"/>
          </w:r>
          <w:r>
            <w:instrText xml:space="preserve"> HYPERLINK \l _Toc5025 </w:instrText>
          </w:r>
          <w:r>
            <w:fldChar w:fldCharType="separate"/>
          </w:r>
          <w:r>
            <w:rPr>
              <w:rFonts w:hint="eastAsia" w:ascii="黑体" w:hAnsi="黑体" w:eastAsia="黑体"/>
            </w:rPr>
            <w:t>九、 国有资本经营预算支出决算情况说明</w:t>
          </w:r>
          <w:r>
            <w:tab/>
          </w:r>
          <w:r>
            <w:fldChar w:fldCharType="begin"/>
          </w:r>
          <w:r>
            <w:instrText xml:space="preserve"> PAGEREF _Toc5025 \h </w:instrText>
          </w:r>
          <w:r>
            <w:fldChar w:fldCharType="separate"/>
          </w:r>
          <w:r>
            <w:t>10</w:t>
          </w:r>
          <w:r>
            <w:fldChar w:fldCharType="end"/>
          </w:r>
          <w:r>
            <w:fldChar w:fldCharType="end"/>
          </w:r>
        </w:p>
        <w:p w14:paraId="6211A701">
          <w:pPr>
            <w:pStyle w:val="12"/>
            <w:tabs>
              <w:tab w:val="right" w:leader="dot" w:pos="8306"/>
              <w:tab w:val="clear" w:pos="8296"/>
            </w:tabs>
          </w:pPr>
          <w:r>
            <w:fldChar w:fldCharType="begin"/>
          </w:r>
          <w:r>
            <w:instrText xml:space="preserve"> HYPERLINK \l _Toc139 </w:instrText>
          </w:r>
          <w:r>
            <w:fldChar w:fldCharType="separate"/>
          </w:r>
          <w:r>
            <w:rPr>
              <w:rFonts w:hint="eastAsia" w:ascii="黑体" w:hAnsi="黑体" w:eastAsia="黑体"/>
            </w:rPr>
            <w:t>十、 其他重要事项的情况说明</w:t>
          </w:r>
          <w:r>
            <w:tab/>
          </w:r>
          <w:r>
            <w:fldChar w:fldCharType="begin"/>
          </w:r>
          <w:r>
            <w:instrText xml:space="preserve"> PAGEREF _Toc139 \h </w:instrText>
          </w:r>
          <w:r>
            <w:fldChar w:fldCharType="separate"/>
          </w:r>
          <w:r>
            <w:t>10</w:t>
          </w:r>
          <w:r>
            <w:fldChar w:fldCharType="end"/>
          </w:r>
          <w:r>
            <w:fldChar w:fldCharType="end"/>
          </w:r>
        </w:p>
        <w:p w14:paraId="28F62F54">
          <w:pPr>
            <w:pStyle w:val="11"/>
            <w:tabs>
              <w:tab w:val="right" w:leader="dot" w:pos="8306"/>
              <w:tab w:val="clear" w:pos="8296"/>
            </w:tabs>
          </w:pPr>
          <w:r>
            <w:fldChar w:fldCharType="begin"/>
          </w:r>
          <w:r>
            <w:instrText xml:space="preserve"> HYPERLINK \l _Toc30970 </w:instrText>
          </w:r>
          <w: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_Toc30970 \h </w:instrText>
          </w:r>
          <w:r>
            <w:fldChar w:fldCharType="separate"/>
          </w:r>
          <w:r>
            <w:t>12</w:t>
          </w:r>
          <w:r>
            <w:fldChar w:fldCharType="end"/>
          </w:r>
          <w:r>
            <w:fldChar w:fldCharType="end"/>
          </w:r>
        </w:p>
        <w:p w14:paraId="146201FD">
          <w:pPr>
            <w:pStyle w:val="11"/>
            <w:tabs>
              <w:tab w:val="right" w:leader="dot" w:pos="8306"/>
              <w:tab w:val="clear" w:pos="8296"/>
            </w:tabs>
          </w:pPr>
          <w:r>
            <w:fldChar w:fldCharType="begin"/>
          </w:r>
          <w:r>
            <w:instrText xml:space="preserve"> HYPERLINK \l _Toc1240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_Toc1240 \h </w:instrText>
          </w:r>
          <w:r>
            <w:fldChar w:fldCharType="separate"/>
          </w:r>
          <w:r>
            <w:t>16</w:t>
          </w:r>
          <w:r>
            <w:fldChar w:fldCharType="end"/>
          </w:r>
          <w:r>
            <w:fldChar w:fldCharType="end"/>
          </w:r>
        </w:p>
        <w:p w14:paraId="4028234C">
          <w:pPr>
            <w:pStyle w:val="11"/>
            <w:tabs>
              <w:tab w:val="right" w:leader="dot" w:pos="8306"/>
              <w:tab w:val="clear" w:pos="8296"/>
            </w:tabs>
          </w:pPr>
          <w:r>
            <w:fldChar w:fldCharType="begin"/>
          </w:r>
          <w:r>
            <w:instrText xml:space="preserve"> HYPERLINK \l _Toc10674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_Toc10674 \h </w:instrText>
          </w:r>
          <w:r>
            <w:fldChar w:fldCharType="separate"/>
          </w:r>
          <w:r>
            <w:t>20</w:t>
          </w:r>
          <w:r>
            <w:fldChar w:fldCharType="end"/>
          </w:r>
          <w:r>
            <w:fldChar w:fldCharType="end"/>
          </w:r>
        </w:p>
        <w:p w14:paraId="5647C031">
          <w:pPr>
            <w:pStyle w:val="12"/>
            <w:tabs>
              <w:tab w:val="right" w:leader="dot" w:pos="8306"/>
              <w:tab w:val="clear" w:pos="8296"/>
            </w:tabs>
          </w:pPr>
          <w:r>
            <w:fldChar w:fldCharType="begin"/>
          </w:r>
          <w:r>
            <w:instrText xml:space="preserve"> HYPERLINK \l _Toc10743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_Toc10743 \h </w:instrText>
          </w:r>
          <w:r>
            <w:fldChar w:fldCharType="separate"/>
          </w:r>
          <w:r>
            <w:t>20</w:t>
          </w:r>
          <w:r>
            <w:fldChar w:fldCharType="end"/>
          </w:r>
          <w:r>
            <w:fldChar w:fldCharType="end"/>
          </w:r>
        </w:p>
        <w:p w14:paraId="59ECFB5F">
          <w:pPr>
            <w:pStyle w:val="12"/>
            <w:tabs>
              <w:tab w:val="right" w:leader="dot" w:pos="8306"/>
              <w:tab w:val="clear" w:pos="8296"/>
            </w:tabs>
          </w:pPr>
          <w:r>
            <w:fldChar w:fldCharType="begin"/>
          </w:r>
          <w:r>
            <w:instrText xml:space="preserve"> HYPERLINK \l _Toc17438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_Toc17438 \h </w:instrText>
          </w:r>
          <w:r>
            <w:fldChar w:fldCharType="separate"/>
          </w:r>
          <w:r>
            <w:t>20</w:t>
          </w:r>
          <w:r>
            <w:fldChar w:fldCharType="end"/>
          </w:r>
          <w:r>
            <w:fldChar w:fldCharType="end"/>
          </w:r>
        </w:p>
        <w:p w14:paraId="4EB58EBA">
          <w:pPr>
            <w:pStyle w:val="12"/>
            <w:tabs>
              <w:tab w:val="right" w:leader="dot" w:pos="8306"/>
              <w:tab w:val="clear" w:pos="8296"/>
            </w:tabs>
          </w:pPr>
          <w:r>
            <w:fldChar w:fldCharType="begin"/>
          </w:r>
          <w:r>
            <w:instrText xml:space="preserve"> HYPERLINK \l _Toc11892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_Toc11892 \h </w:instrText>
          </w:r>
          <w:r>
            <w:fldChar w:fldCharType="separate"/>
          </w:r>
          <w:r>
            <w:t>20</w:t>
          </w:r>
          <w:r>
            <w:fldChar w:fldCharType="end"/>
          </w:r>
          <w:r>
            <w:fldChar w:fldCharType="end"/>
          </w:r>
        </w:p>
        <w:p w14:paraId="15AFFA62">
          <w:pPr>
            <w:pStyle w:val="12"/>
            <w:tabs>
              <w:tab w:val="right" w:leader="dot" w:pos="8306"/>
              <w:tab w:val="clear" w:pos="8296"/>
            </w:tabs>
          </w:pPr>
          <w:r>
            <w:fldChar w:fldCharType="begin"/>
          </w:r>
          <w:r>
            <w:instrText xml:space="preserve"> HYPERLINK \l _Toc26623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_Toc26623 \h </w:instrText>
          </w:r>
          <w:r>
            <w:fldChar w:fldCharType="separate"/>
          </w:r>
          <w:r>
            <w:t>20</w:t>
          </w:r>
          <w:r>
            <w:fldChar w:fldCharType="end"/>
          </w:r>
          <w:r>
            <w:fldChar w:fldCharType="end"/>
          </w:r>
        </w:p>
        <w:p w14:paraId="43588F70">
          <w:pPr>
            <w:pStyle w:val="12"/>
            <w:tabs>
              <w:tab w:val="right" w:leader="dot" w:pos="8306"/>
              <w:tab w:val="clear" w:pos="8296"/>
            </w:tabs>
          </w:pPr>
          <w:r>
            <w:fldChar w:fldCharType="begin"/>
          </w:r>
          <w:r>
            <w:instrText xml:space="preserve"> HYPERLINK \l _Toc10474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_Toc10474 \h </w:instrText>
          </w:r>
          <w:r>
            <w:fldChar w:fldCharType="separate"/>
          </w:r>
          <w:r>
            <w:t>20</w:t>
          </w:r>
          <w:r>
            <w:fldChar w:fldCharType="end"/>
          </w:r>
          <w:r>
            <w:fldChar w:fldCharType="end"/>
          </w:r>
        </w:p>
        <w:p w14:paraId="5C8FC19D">
          <w:pPr>
            <w:pStyle w:val="12"/>
            <w:tabs>
              <w:tab w:val="right" w:leader="dot" w:pos="8306"/>
              <w:tab w:val="clear" w:pos="8296"/>
            </w:tabs>
          </w:pPr>
          <w:r>
            <w:fldChar w:fldCharType="begin"/>
          </w:r>
          <w:r>
            <w:instrText xml:space="preserve"> HYPERLINK \l _Toc22517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_Toc22517 \h </w:instrText>
          </w:r>
          <w:r>
            <w:fldChar w:fldCharType="separate"/>
          </w:r>
          <w:r>
            <w:t>20</w:t>
          </w:r>
          <w:r>
            <w:fldChar w:fldCharType="end"/>
          </w:r>
          <w:r>
            <w:fldChar w:fldCharType="end"/>
          </w:r>
        </w:p>
        <w:p w14:paraId="17DAAC47">
          <w:pPr>
            <w:pStyle w:val="12"/>
            <w:tabs>
              <w:tab w:val="right" w:leader="dot" w:pos="8306"/>
              <w:tab w:val="clear" w:pos="8296"/>
            </w:tabs>
          </w:pPr>
          <w:r>
            <w:fldChar w:fldCharType="begin"/>
          </w:r>
          <w:r>
            <w:instrText xml:space="preserve"> HYPERLINK \l _Toc1568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_Toc1568 \h </w:instrText>
          </w:r>
          <w:r>
            <w:fldChar w:fldCharType="separate"/>
          </w:r>
          <w:r>
            <w:t>20</w:t>
          </w:r>
          <w:r>
            <w:fldChar w:fldCharType="end"/>
          </w:r>
          <w:r>
            <w:fldChar w:fldCharType="end"/>
          </w:r>
        </w:p>
        <w:p w14:paraId="604D0B77">
          <w:pPr>
            <w:pStyle w:val="12"/>
            <w:tabs>
              <w:tab w:val="right" w:leader="dot" w:pos="8306"/>
              <w:tab w:val="clear" w:pos="8296"/>
            </w:tabs>
          </w:pPr>
          <w:r>
            <w:fldChar w:fldCharType="begin"/>
          </w:r>
          <w:r>
            <w:instrText xml:space="preserve"> HYPERLINK \l _Toc22446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_Toc22446 \h </w:instrText>
          </w:r>
          <w:r>
            <w:fldChar w:fldCharType="separate"/>
          </w:r>
          <w:r>
            <w:t>20</w:t>
          </w:r>
          <w:r>
            <w:fldChar w:fldCharType="end"/>
          </w:r>
          <w:r>
            <w:fldChar w:fldCharType="end"/>
          </w:r>
        </w:p>
        <w:p w14:paraId="77A0281D">
          <w:pPr>
            <w:pStyle w:val="12"/>
            <w:tabs>
              <w:tab w:val="right" w:leader="dot" w:pos="8306"/>
              <w:tab w:val="clear" w:pos="8296"/>
            </w:tabs>
          </w:pPr>
          <w:r>
            <w:fldChar w:fldCharType="begin"/>
          </w:r>
          <w:r>
            <w:instrText xml:space="preserve"> HYPERLINK \l _Toc25861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_Toc25861 \h </w:instrText>
          </w:r>
          <w:r>
            <w:fldChar w:fldCharType="separate"/>
          </w:r>
          <w:r>
            <w:t>20</w:t>
          </w:r>
          <w:r>
            <w:fldChar w:fldCharType="end"/>
          </w:r>
          <w:r>
            <w:fldChar w:fldCharType="end"/>
          </w:r>
        </w:p>
        <w:p w14:paraId="595A24B5">
          <w:pPr>
            <w:pStyle w:val="12"/>
            <w:tabs>
              <w:tab w:val="right" w:leader="dot" w:pos="8306"/>
              <w:tab w:val="clear" w:pos="8296"/>
            </w:tabs>
          </w:pPr>
          <w:r>
            <w:fldChar w:fldCharType="begin"/>
          </w:r>
          <w:r>
            <w:instrText xml:space="preserve"> HYPERLINK \l _Toc13422 </w:instrText>
          </w:r>
          <w:r>
            <w:fldChar w:fldCharType="separate"/>
          </w:r>
          <w:r>
            <w:rPr>
              <w:rFonts w:hint="eastAsia" w:ascii="仿宋" w:hAnsi="仿宋" w:eastAsia="仿宋"/>
              <w:bCs w:val="0"/>
            </w:rPr>
            <w:t>十、</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_Toc13422 \h </w:instrText>
          </w:r>
          <w:r>
            <w:fldChar w:fldCharType="separate"/>
          </w:r>
          <w:r>
            <w:t>20</w:t>
          </w:r>
          <w:r>
            <w:fldChar w:fldCharType="end"/>
          </w:r>
          <w:r>
            <w:fldChar w:fldCharType="end"/>
          </w:r>
        </w:p>
        <w:p w14:paraId="7BBB8F42">
          <w:pPr>
            <w:pStyle w:val="12"/>
            <w:tabs>
              <w:tab w:val="right" w:leader="dot" w:pos="8306"/>
              <w:tab w:val="clear" w:pos="8296"/>
            </w:tabs>
          </w:pPr>
          <w:r>
            <w:fldChar w:fldCharType="begin"/>
          </w:r>
          <w:r>
            <w:instrText xml:space="preserve"> HYPERLINK \l _Toc10135 </w:instrText>
          </w:r>
          <w:r>
            <w:fldChar w:fldCharType="separate"/>
          </w:r>
          <w:r>
            <w:rPr>
              <w:rFonts w:hint="eastAsia" w:ascii="仿宋" w:hAnsi="仿宋" w:eastAsia="仿宋"/>
              <w:bCs w:val="0"/>
            </w:rPr>
            <w:t>十一、</w:t>
          </w:r>
          <w:r>
            <w:rPr>
              <w:rFonts w:hint="eastAsia" w:ascii="仿宋" w:hAnsi="仿宋" w:eastAsia="仿宋"/>
            </w:rPr>
            <w:t>国</w:t>
          </w:r>
          <w:r>
            <w:rPr>
              <w:rFonts w:hint="eastAsia" w:ascii="仿宋" w:hAnsi="仿宋" w:eastAsia="仿宋"/>
              <w:bCs w:val="0"/>
            </w:rPr>
            <w:t>有资本经营预算财政拨款收入支出决算表</w:t>
          </w:r>
          <w:r>
            <w:tab/>
          </w:r>
          <w:r>
            <w:fldChar w:fldCharType="begin"/>
          </w:r>
          <w:r>
            <w:instrText xml:space="preserve"> PAGEREF _Toc10135 \h </w:instrText>
          </w:r>
          <w:r>
            <w:fldChar w:fldCharType="separate"/>
          </w:r>
          <w:r>
            <w:t>20</w:t>
          </w:r>
          <w:r>
            <w:fldChar w:fldCharType="end"/>
          </w:r>
          <w:r>
            <w:fldChar w:fldCharType="end"/>
          </w:r>
        </w:p>
        <w:p w14:paraId="124AA43E">
          <w:pPr>
            <w:pStyle w:val="12"/>
            <w:tabs>
              <w:tab w:val="right" w:leader="dot" w:pos="8306"/>
              <w:tab w:val="clear" w:pos="8296"/>
            </w:tabs>
          </w:pPr>
          <w:r>
            <w:fldChar w:fldCharType="begin"/>
          </w:r>
          <w:r>
            <w:instrText xml:space="preserve"> HYPERLINK \l _Toc4830 </w:instrText>
          </w:r>
          <w:r>
            <w:fldChar w:fldCharType="separate"/>
          </w:r>
          <w:r>
            <w:rPr>
              <w:rFonts w:hint="eastAsia" w:ascii="仿宋" w:hAnsi="仿宋" w:eastAsia="仿宋"/>
              <w:bCs w:val="0"/>
            </w:rPr>
            <w:t>十二、国有资本经营预算财政拨款支出决算表</w:t>
          </w:r>
          <w:r>
            <w:tab/>
          </w:r>
          <w:r>
            <w:fldChar w:fldCharType="begin"/>
          </w:r>
          <w:r>
            <w:instrText xml:space="preserve"> PAGEREF _Toc4830 \h </w:instrText>
          </w:r>
          <w:r>
            <w:fldChar w:fldCharType="separate"/>
          </w:r>
          <w:r>
            <w:t>20</w:t>
          </w:r>
          <w:r>
            <w:fldChar w:fldCharType="end"/>
          </w:r>
          <w:r>
            <w:fldChar w:fldCharType="end"/>
          </w:r>
        </w:p>
        <w:p w14:paraId="7D9A5625">
          <w:pPr>
            <w:pStyle w:val="12"/>
            <w:tabs>
              <w:tab w:val="right" w:leader="dot" w:pos="8306"/>
              <w:tab w:val="clear" w:pos="8296"/>
            </w:tabs>
          </w:pPr>
          <w:r>
            <w:fldChar w:fldCharType="begin"/>
          </w:r>
          <w:r>
            <w:instrText xml:space="preserve"> HYPERLINK \l _Toc2042 </w:instrText>
          </w:r>
          <w:r>
            <w:fldChar w:fldCharType="separate"/>
          </w:r>
          <w:r>
            <w:rPr>
              <w:rFonts w:hint="eastAsia" w:ascii="仿宋" w:hAnsi="仿宋" w:eastAsia="仿宋"/>
              <w:bCs w:val="0"/>
            </w:rPr>
            <w:t>十三、财政拨款“三公”经费支出决算表</w:t>
          </w:r>
          <w:r>
            <w:tab/>
          </w:r>
          <w:r>
            <w:fldChar w:fldCharType="begin"/>
          </w:r>
          <w:r>
            <w:instrText xml:space="preserve"> PAGEREF _Toc2042 \h </w:instrText>
          </w:r>
          <w:r>
            <w:fldChar w:fldCharType="separate"/>
          </w:r>
          <w:r>
            <w:t>20</w:t>
          </w:r>
          <w:r>
            <w:fldChar w:fldCharType="end"/>
          </w:r>
          <w:r>
            <w:fldChar w:fldCharType="end"/>
          </w:r>
        </w:p>
        <w:p w14:paraId="50361A92">
          <w:r>
            <w:fldChar w:fldCharType="end"/>
          </w:r>
        </w:p>
      </w:sdtContent>
    </w:sdt>
    <w:p w14:paraId="266D620E">
      <w:pPr>
        <w:rPr>
          <w:rFonts w:ascii="仿宋" w:hAnsi="仿宋" w:eastAsia="仿宋"/>
          <w:bCs/>
          <w:kern w:val="44"/>
          <w:sz w:val="24"/>
        </w:rPr>
        <w:sectPr>
          <w:footerReference r:id="rId3" w:type="default"/>
          <w:pgSz w:w="11906" w:h="16838"/>
          <w:pgMar w:top="1440" w:right="1800" w:bottom="1440" w:left="1800" w:header="851" w:footer="992" w:gutter="0"/>
          <w:pgNumType w:start="1"/>
          <w:cols w:space="425" w:num="1"/>
          <w:titlePg/>
          <w:docGrid w:type="lines" w:linePitch="312" w:charSpace="0"/>
        </w:sectPr>
      </w:pPr>
    </w:p>
    <w:p w14:paraId="6F32424F">
      <w:pPr>
        <w:pStyle w:val="13"/>
      </w:pPr>
    </w:p>
    <w:p w14:paraId="7472F184">
      <w:pPr>
        <w:pStyle w:val="2"/>
        <w:jc w:val="center"/>
        <w:rPr>
          <w:rStyle w:val="27"/>
          <w:rFonts w:ascii="黑体" w:hAnsi="黑体" w:eastAsia="黑体"/>
          <w:b/>
          <w:bCs w:val="0"/>
        </w:rPr>
      </w:pPr>
      <w:bookmarkStart w:id="14" w:name="_Toc18761"/>
      <w:r>
        <w:rPr>
          <w:rFonts w:hint="eastAsia" w:ascii="黑体" w:hAnsi="黑体" w:eastAsia="黑体"/>
          <w:b w:val="0"/>
        </w:rPr>
        <w:t>第一部分 单位</w:t>
      </w:r>
      <w:r>
        <w:rPr>
          <w:rStyle w:val="27"/>
          <w:rFonts w:hint="eastAsia" w:ascii="黑体" w:hAnsi="黑体" w:eastAsia="黑体"/>
          <w:b w:val="0"/>
          <w:bCs w:val="0"/>
        </w:rPr>
        <w:t>概况</w:t>
      </w:r>
      <w:bookmarkEnd w:id="12"/>
      <w:bookmarkEnd w:id="13"/>
      <w:bookmarkEnd w:id="14"/>
    </w:p>
    <w:p w14:paraId="2A28B57E">
      <w:pPr>
        <w:pStyle w:val="3"/>
        <w:numPr>
          <w:ilvl w:val="0"/>
          <w:numId w:val="1"/>
        </w:numPr>
        <w:rPr>
          <w:rStyle w:val="28"/>
          <w:rFonts w:ascii="黑体" w:hAnsi="黑体" w:eastAsia="黑体"/>
          <w:b w:val="0"/>
          <w:bCs w:val="0"/>
        </w:rPr>
      </w:pPr>
      <w:bookmarkStart w:id="15" w:name="_Toc24200"/>
      <w:bookmarkStart w:id="16" w:name="_Toc15377197"/>
      <w:bookmarkStart w:id="17" w:name="_Toc15396600"/>
      <w:r>
        <w:rPr>
          <w:rStyle w:val="28"/>
          <w:rFonts w:hint="eastAsia" w:ascii="黑体" w:hAnsi="黑体" w:eastAsia="黑体"/>
          <w:b w:val="0"/>
          <w:bCs w:val="0"/>
        </w:rPr>
        <w:t>主要职责</w:t>
      </w:r>
      <w:bookmarkEnd w:id="15"/>
    </w:p>
    <w:p w14:paraId="4D67D27D">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1.贯彻执行国家、省、州、县关于卫生计生工作的方针、政策与法律、法规以及县委、县政府关于卫生计生方面的决策部署，负责起草卫生计生发展的战略目标、规划和政策、十年行动计划和年度计划并组织实施，负责本系统、本部门依法行政工作，落实行政执法责任制，统筹规划全县卫生计生服务资源配置，指导全县卫生计生工作，指导和推动卫生计生公共服务网络体系建设。</w:t>
      </w:r>
    </w:p>
    <w:p w14:paraId="5506FF70">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2.贯彻落实《传染病防治法》，负责制定全县疾病预防控制规划、免疫规划、严重危害人民健康的公共卫生问题的干预措施并组织实施，组织开展大骨节病、包虫病等地方病，肝炎、结核病、艾滋病等传染病和糖尿病、高血压等慢性非传染性疾病监测、预防和控制。根据国家检疫传染病和监测传染病目录，制定全县卫生应急和紧急医学救援预案、突发公共卫生事件监测和风险评估计划，组织和指导全县突发公共卫生事件预防控制和各类突发公共事件的医疗卫生救援，依法发布法定报告传染病疫情相关信息、突发公共卫生事件应急处置信息。</w:t>
      </w:r>
    </w:p>
    <w:p w14:paraId="683AA9E1">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3.贯彻实施职责范围内的职业卫生、放射卫生、环境卫生、学校卫生、公共场所卫生、饮用水卫生管理规范、标准和政策措施，组织开展相关监测、调查、评估和监督，负责传染病防治监督，组织实施食品安全风险监测，依法授权开展食品安全企业标准备案，为食源性疾病及与食品安全事故有关的流行病学调查提供技术支持。</w:t>
      </w:r>
    </w:p>
    <w:p w14:paraId="378A0339">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default" w:ascii="Times New Roman" w:hAnsi="Times New Roman" w:eastAsia="仿宋_GB2312" w:cs="Times New Roman"/>
          <w:color w:val="000000"/>
          <w:kern w:val="0"/>
          <w:sz w:val="32"/>
          <w:szCs w:val="32"/>
          <w:lang w:val="zh-CN" w:eastAsia="zh-CN" w:bidi="ar"/>
        </w:rPr>
      </w:pPr>
      <w:r>
        <w:rPr>
          <w:rFonts w:hint="default" w:ascii="Times New Roman" w:hAnsi="Times New Roman" w:eastAsia="仿宋_GB2312" w:cs="Times New Roman"/>
          <w:color w:val="000000"/>
          <w:kern w:val="0"/>
          <w:sz w:val="32"/>
          <w:szCs w:val="32"/>
          <w:lang w:val="zh-CN" w:eastAsia="zh-CN" w:bidi="ar"/>
        </w:rPr>
        <w:t>4.负责组织拟订并实施基层卫生和妇幼卫生、计划生育服务发展规划和政策措施，指导全县基层卫生和妇幼卫生、计划生育服务体系建设，推进基本公共卫生计生服务均等化，完善基层运行新机制和乡村医生管理制度。</w:t>
      </w:r>
    </w:p>
    <w:p w14:paraId="610EE284">
      <w:r>
        <w:rPr>
          <w:rFonts w:hint="default" w:ascii="Times New Roman" w:hAnsi="Times New Roman" w:eastAsia="仿宋_GB2312" w:cs="Times New Roman"/>
          <w:color w:val="000000"/>
          <w:kern w:val="0"/>
          <w:sz w:val="32"/>
          <w:szCs w:val="32"/>
          <w:lang w:val="zh-CN" w:eastAsia="zh-CN" w:bidi="ar"/>
        </w:rPr>
        <w:t>5.负责全县医疗机构医疗服务的全行业监督管理，实施医疗机构医疗服务、技术、医疗质量和采供血机构管理的政策、规范、标准，实施医疗机构、从业人员执业许可制度以及医疗卫生职业道德规范，建立全县医疗机构医疗服务评价和监督体系，依法监督管理血站的采供血及临床用血质量。</w:t>
      </w:r>
    </w:p>
    <w:p w14:paraId="22DAB8F7">
      <w:pPr>
        <w:pStyle w:val="3"/>
        <w:rPr>
          <w:rFonts w:hint="eastAsia" w:ascii="黑体" w:hAnsi="黑体" w:eastAsia="黑体"/>
          <w:b w:val="0"/>
        </w:rPr>
      </w:pPr>
      <w:bookmarkStart w:id="18" w:name="_Toc31587"/>
      <w:r>
        <w:rPr>
          <w:rFonts w:hint="eastAsia" w:ascii="黑体" w:hAnsi="黑体" w:eastAsia="黑体"/>
          <w:b w:val="0"/>
        </w:rPr>
        <w:t>二、机构设置</w:t>
      </w:r>
      <w:bookmarkEnd w:id="18"/>
    </w:p>
    <w:p w14:paraId="6651C10B">
      <w:pPr>
        <w:bidi w:val="0"/>
        <w:ind w:firstLine="643" w:firstLineChars="200"/>
        <w:rPr>
          <w:rFonts w:hint="eastAsia" w:ascii="仿宋" w:hAnsi="仿宋" w:eastAsia="仿宋" w:cs="仿宋"/>
          <w:b/>
          <w:bCs/>
          <w:sz w:val="32"/>
          <w:szCs w:val="32"/>
          <w:lang w:val="zh-CN"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val="zh-CN" w:eastAsia="zh-CN"/>
        </w:rPr>
        <w:t>机构组成</w:t>
      </w:r>
    </w:p>
    <w:p w14:paraId="28415587">
      <w:pPr>
        <w:spacing w:line="600" w:lineRule="exact"/>
        <w:ind w:firstLine="640" w:firstLineChars="200"/>
        <w:rPr>
          <w:rFonts w:hint="eastAsia" w:ascii="仿宋" w:hAnsi="仿宋" w:eastAsia="仿宋" w:cs="Times New Roman"/>
          <w:sz w:val="32"/>
          <w:szCs w:val="32"/>
          <w:lang w:val="zh-CN" w:eastAsia="zh-CN"/>
        </w:rPr>
      </w:pPr>
      <w:r>
        <w:rPr>
          <w:rFonts w:hint="eastAsia" w:ascii="仿宋" w:hAnsi="仿宋" w:eastAsia="仿宋" w:cs="Times New Roman"/>
          <w:sz w:val="32"/>
          <w:szCs w:val="32"/>
          <w:lang w:val="en-US" w:eastAsia="zh-CN"/>
        </w:rPr>
        <w:t>本</w:t>
      </w:r>
      <w:r>
        <w:rPr>
          <w:rFonts w:hint="eastAsia" w:ascii="仿宋" w:hAnsi="仿宋" w:eastAsia="仿宋" w:cs="Times New Roman"/>
          <w:sz w:val="32"/>
          <w:szCs w:val="32"/>
          <w:lang w:val="zh-CN" w:eastAsia="zh-CN"/>
        </w:rPr>
        <w:t>单位为独立核算全额拨款行政单位，下设医改办、爱卫办、计生协会、流动人口管理办、</w:t>
      </w:r>
      <w:r>
        <w:rPr>
          <w:rFonts w:hint="eastAsia" w:ascii="仿宋" w:hAnsi="仿宋" w:eastAsia="仿宋" w:cs="Times New Roman"/>
          <w:sz w:val="32"/>
          <w:szCs w:val="32"/>
          <w:lang w:val="en-US" w:eastAsia="zh-CN"/>
        </w:rPr>
        <w:t>卫生和计生执法监督大队</w:t>
      </w:r>
      <w:r>
        <w:rPr>
          <w:rFonts w:hint="eastAsia" w:ascii="仿宋" w:hAnsi="仿宋" w:eastAsia="仿宋" w:cs="Times New Roman"/>
          <w:sz w:val="32"/>
          <w:szCs w:val="32"/>
          <w:lang w:val="zh-CN" w:eastAsia="zh-CN"/>
        </w:rPr>
        <w:t>共</w:t>
      </w:r>
      <w:r>
        <w:rPr>
          <w:rFonts w:hint="eastAsia" w:ascii="仿宋" w:hAnsi="仿宋" w:eastAsia="仿宋" w:cs="Times New Roman"/>
          <w:sz w:val="32"/>
          <w:szCs w:val="32"/>
          <w:lang w:val="en-US" w:eastAsia="zh-CN"/>
        </w:rPr>
        <w:t>5</w:t>
      </w:r>
      <w:r>
        <w:rPr>
          <w:rFonts w:hint="eastAsia" w:ascii="仿宋" w:hAnsi="仿宋" w:eastAsia="仿宋" w:cs="Times New Roman"/>
          <w:sz w:val="32"/>
          <w:szCs w:val="32"/>
          <w:lang w:val="zh-CN" w:eastAsia="zh-CN"/>
        </w:rPr>
        <w:t>个机构。</w:t>
      </w:r>
    </w:p>
    <w:p w14:paraId="3B430E64">
      <w:pPr>
        <w:bidi w:val="0"/>
        <w:ind w:firstLine="643" w:firstLineChars="200"/>
        <w:rPr>
          <w:rFonts w:hint="eastAsia" w:ascii="仿宋" w:hAnsi="仿宋" w:eastAsia="仿宋" w:cs="仿宋"/>
          <w:b/>
          <w:bCs/>
          <w:sz w:val="32"/>
          <w:szCs w:val="32"/>
          <w:lang w:val="zh-CN" w:eastAsia="zh-CN"/>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lang w:val="zh-CN" w:eastAsia="zh-CN"/>
        </w:rPr>
        <w:t>人员概况</w:t>
      </w:r>
    </w:p>
    <w:p w14:paraId="0BA564C6">
      <w:pPr>
        <w:spacing w:line="600" w:lineRule="exact"/>
        <w:ind w:firstLine="640" w:firstLineChars="200"/>
        <w:rPr>
          <w:rFonts w:hint="default" w:ascii="仿宋" w:hAnsi="仿宋" w:eastAsia="仿宋" w:cs="Times New Roman"/>
          <w:sz w:val="32"/>
          <w:szCs w:val="32"/>
          <w:lang w:val="en-US" w:eastAsia="zh-CN"/>
        </w:rPr>
      </w:pPr>
      <w:r>
        <w:rPr>
          <w:rFonts w:hint="default" w:ascii="仿宋" w:hAnsi="仿宋" w:eastAsia="仿宋" w:cs="Times New Roman"/>
          <w:sz w:val="32"/>
          <w:szCs w:val="32"/>
          <w:lang w:val="en-US" w:eastAsia="zh-CN"/>
        </w:rPr>
        <w:t>截至202</w:t>
      </w:r>
      <w:r>
        <w:rPr>
          <w:rFonts w:hint="eastAsia" w:ascii="仿宋" w:hAnsi="仿宋" w:eastAsia="仿宋" w:cs="Times New Roman"/>
          <w:sz w:val="32"/>
          <w:szCs w:val="32"/>
          <w:lang w:val="en-US" w:eastAsia="zh-CN"/>
        </w:rPr>
        <w:t>4</w:t>
      </w:r>
      <w:r>
        <w:rPr>
          <w:rFonts w:hint="default" w:ascii="仿宋" w:hAnsi="仿宋" w:eastAsia="仿宋" w:cs="Times New Roman"/>
          <w:sz w:val="32"/>
          <w:szCs w:val="32"/>
          <w:lang w:val="en-US" w:eastAsia="zh-CN"/>
        </w:rPr>
        <w:t>年末，红原县卫生健康局</w:t>
      </w:r>
      <w:r>
        <w:rPr>
          <w:rFonts w:hint="eastAsia" w:ascii="仿宋" w:hAnsi="仿宋" w:eastAsia="仿宋" w:cs="Times New Roman"/>
          <w:sz w:val="32"/>
          <w:szCs w:val="32"/>
          <w:lang w:val="en-US" w:eastAsia="zh-CN"/>
        </w:rPr>
        <w:t>共有行政编制19名，年末实有人数25名，其中行政人员12人，事业人员13人。</w:t>
      </w:r>
    </w:p>
    <w:p w14:paraId="5AA1FEDB"/>
    <w:bookmarkEnd w:id="16"/>
    <w:bookmarkEnd w:id="17"/>
    <w:p w14:paraId="4325BFB8">
      <w:pPr>
        <w:widowControl/>
        <w:jc w:val="left"/>
        <w:rPr>
          <w:rFonts w:ascii="仿宋" w:hAnsi="仿宋" w:eastAsia="仿宋"/>
          <w:kern w:val="0"/>
          <w:sz w:val="32"/>
          <w:szCs w:val="32"/>
        </w:rPr>
      </w:pPr>
      <w:r>
        <w:rPr>
          <w:rFonts w:ascii="仿宋" w:hAnsi="仿宋" w:eastAsia="仿宋"/>
          <w:sz w:val="32"/>
          <w:szCs w:val="32"/>
        </w:rPr>
        <w:br w:type="page"/>
      </w:r>
    </w:p>
    <w:p w14:paraId="2F5B61E0">
      <w:pPr>
        <w:pStyle w:val="2"/>
        <w:ind w:right="440"/>
        <w:jc w:val="center"/>
        <w:rPr>
          <w:rStyle w:val="27"/>
          <w:rFonts w:ascii="黑体" w:hAnsi="黑体" w:eastAsia="黑体"/>
          <w:b w:val="0"/>
          <w:bCs/>
        </w:rPr>
      </w:pPr>
      <w:bookmarkStart w:id="19" w:name="_Toc15377204"/>
      <w:bookmarkStart w:id="20" w:name="_Toc15396602"/>
      <w:bookmarkStart w:id="21" w:name="_Toc23740"/>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7"/>
          <w:rFonts w:hint="eastAsia" w:ascii="黑体" w:hAnsi="黑体" w:eastAsia="黑体"/>
          <w:b w:val="0"/>
          <w:bCs/>
        </w:rPr>
        <w:t>单位决算情况说明</w:t>
      </w:r>
      <w:bookmarkEnd w:id="19"/>
      <w:bookmarkEnd w:id="20"/>
      <w:bookmarkEnd w:id="21"/>
    </w:p>
    <w:p w14:paraId="4E3F3D41"/>
    <w:p w14:paraId="5F4677CF">
      <w:pPr>
        <w:pStyle w:val="26"/>
        <w:numPr>
          <w:ilvl w:val="0"/>
          <w:numId w:val="2"/>
        </w:numPr>
        <w:spacing w:line="600" w:lineRule="exact"/>
        <w:ind w:firstLineChars="0"/>
        <w:outlineLvl w:val="1"/>
        <w:rPr>
          <w:rStyle w:val="28"/>
          <w:rFonts w:ascii="黑体" w:hAnsi="黑体" w:eastAsia="黑体"/>
          <w:b w:val="0"/>
        </w:rPr>
      </w:pPr>
      <w:bookmarkStart w:id="22" w:name="_Toc15377205"/>
      <w:bookmarkStart w:id="23" w:name="_Toc26597"/>
      <w:bookmarkStart w:id="24" w:name="_Toc15396603"/>
      <w:r>
        <w:rPr>
          <w:rFonts w:hint="eastAsia" w:ascii="黑体" w:hAnsi="黑体" w:eastAsia="黑体"/>
          <w:sz w:val="32"/>
          <w:szCs w:val="32"/>
        </w:rPr>
        <w:t>收</w:t>
      </w:r>
      <w:r>
        <w:rPr>
          <w:rStyle w:val="28"/>
          <w:rFonts w:hint="eastAsia" w:ascii="黑体" w:hAnsi="黑体" w:eastAsia="黑体"/>
          <w:b w:val="0"/>
        </w:rPr>
        <w:t>入支出决算总体情况说明</w:t>
      </w:r>
      <w:bookmarkEnd w:id="22"/>
      <w:bookmarkEnd w:id="23"/>
      <w:bookmarkEnd w:id="24"/>
    </w:p>
    <w:p w14:paraId="3AA971B0">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eastAsia="zh-CN"/>
        </w:rPr>
        <w:t>827</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年度相比，收、支总计各</w:t>
      </w:r>
      <w:r>
        <w:rPr>
          <w:rFonts w:hint="eastAsia" w:ascii="仿宋" w:hAnsi="仿宋" w:eastAsia="仿宋"/>
          <w:sz w:val="32"/>
          <w:szCs w:val="32"/>
          <w:lang w:val="en-US" w:eastAsia="zh-CN"/>
        </w:rPr>
        <w:t>增加36.64</w:t>
      </w:r>
      <w:r>
        <w:rPr>
          <w:rFonts w:hint="eastAsia" w:ascii="仿宋" w:hAnsi="仿宋" w:eastAsia="仿宋"/>
          <w:sz w:val="32"/>
          <w:szCs w:val="32"/>
        </w:rPr>
        <w:t>万元，</w:t>
      </w:r>
      <w:r>
        <w:rPr>
          <w:rFonts w:hint="eastAsia" w:ascii="仿宋" w:hAnsi="仿宋" w:eastAsia="仿宋"/>
          <w:sz w:val="32"/>
          <w:szCs w:val="32"/>
          <w:lang w:val="en-US" w:eastAsia="zh-CN"/>
        </w:rPr>
        <w:t>增长4.64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2024年度本单位项目支出增加</w:t>
      </w:r>
      <w:r>
        <w:rPr>
          <w:rFonts w:hint="eastAsia" w:ascii="仿宋" w:hAnsi="仿宋" w:eastAsia="仿宋"/>
          <w:sz w:val="32"/>
          <w:szCs w:val="32"/>
        </w:rPr>
        <w:t>。</w:t>
      </w:r>
    </w:p>
    <w:p w14:paraId="57149781">
      <w:pPr>
        <w:pStyle w:val="13"/>
        <w:ind w:left="0" w:leftChars="0" w:firstLine="0" w:firstLineChars="0"/>
        <w:jc w:val="center"/>
      </w:pPr>
      <w:r>
        <w:drawing>
          <wp:inline distT="0" distB="0" distL="114300" distR="114300">
            <wp:extent cx="4472305" cy="2439035"/>
            <wp:effectExtent l="4445" t="4445" r="6350" b="7620"/>
            <wp:docPr id="416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E29A6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14:paraId="53FE5E08">
      <w:pPr>
        <w:spacing w:line="600" w:lineRule="exact"/>
        <w:ind w:firstLine="640" w:firstLineChars="200"/>
        <w:jc w:val="left"/>
        <w:rPr>
          <w:rFonts w:ascii="仿宋_GB2312" w:eastAsia="仿宋_GB2312"/>
          <w:sz w:val="32"/>
          <w:szCs w:val="32"/>
        </w:rPr>
      </w:pPr>
    </w:p>
    <w:p w14:paraId="491357FB">
      <w:pPr>
        <w:pStyle w:val="26"/>
        <w:numPr>
          <w:ilvl w:val="0"/>
          <w:numId w:val="2"/>
        </w:numPr>
        <w:spacing w:line="600" w:lineRule="exact"/>
        <w:ind w:firstLineChars="0"/>
        <w:outlineLvl w:val="1"/>
        <w:rPr>
          <w:rStyle w:val="28"/>
          <w:rFonts w:ascii="黑体" w:hAnsi="黑体" w:eastAsia="黑体"/>
          <w:b w:val="0"/>
        </w:rPr>
      </w:pPr>
      <w:bookmarkStart w:id="25" w:name="_Toc15377206"/>
      <w:bookmarkStart w:id="26" w:name="_Toc15396604"/>
      <w:bookmarkStart w:id="27" w:name="_Toc29691"/>
      <w:r>
        <w:rPr>
          <w:rFonts w:hint="eastAsia" w:ascii="黑体" w:hAnsi="黑体" w:eastAsia="黑体"/>
          <w:sz w:val="32"/>
          <w:szCs w:val="32"/>
        </w:rPr>
        <w:t>收</w:t>
      </w:r>
      <w:r>
        <w:rPr>
          <w:rStyle w:val="28"/>
          <w:rFonts w:hint="eastAsia" w:ascii="黑体" w:hAnsi="黑体" w:eastAsia="黑体"/>
          <w:b w:val="0"/>
        </w:rPr>
        <w:t>入决算情况说明</w:t>
      </w:r>
      <w:bookmarkEnd w:id="25"/>
      <w:bookmarkEnd w:id="26"/>
      <w:bookmarkEnd w:id="27"/>
    </w:p>
    <w:p w14:paraId="206F730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ascii="仿宋" w:hAnsi="仿宋" w:eastAsia="仿宋"/>
          <w:b/>
          <w:sz w:val="32"/>
          <w:szCs w:val="32"/>
          <w:lang w:eastAsia="zh-CN"/>
        </w:rPr>
        <w:t>827</w:t>
      </w:r>
      <w:r>
        <w:rPr>
          <w:rFonts w:hint="eastAsia" w:ascii="仿宋" w:hAnsi="仿宋" w:eastAsia="仿宋"/>
          <w:sz w:val="32"/>
          <w:szCs w:val="32"/>
        </w:rPr>
        <w:t>万元，其中：一般公共预算财政拨款收入</w:t>
      </w:r>
      <w:r>
        <w:rPr>
          <w:rFonts w:hint="eastAsia" w:ascii="仿宋" w:hAnsi="仿宋" w:eastAsia="仿宋"/>
          <w:b/>
          <w:sz w:val="32"/>
          <w:szCs w:val="32"/>
          <w:lang w:val="en-US" w:eastAsia="zh-CN"/>
        </w:rPr>
        <w:t>827</w:t>
      </w:r>
      <w:r>
        <w:rPr>
          <w:rFonts w:hint="eastAsia" w:ascii="仿宋" w:hAnsi="仿宋" w:eastAsia="仿宋"/>
          <w:sz w:val="32"/>
          <w:szCs w:val="32"/>
        </w:rPr>
        <w:t>万元，占</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lang w:val="en-US" w:eastAsia="zh-CN"/>
        </w:rPr>
        <w:t>0</w:t>
      </w:r>
      <w:r>
        <w:rPr>
          <w:rFonts w:ascii="仿宋" w:hAnsi="仿宋" w:eastAsia="仿宋"/>
          <w:sz w:val="32"/>
          <w:szCs w:val="32"/>
        </w:rPr>
        <w:t>%</w:t>
      </w:r>
    </w:p>
    <w:p w14:paraId="60A0AB0B">
      <w:pPr>
        <w:pStyle w:val="13"/>
        <w:ind w:left="0" w:leftChars="0" w:firstLine="0" w:firstLineChars="0"/>
        <w:jc w:val="center"/>
      </w:pPr>
      <w:r>
        <w:drawing>
          <wp:inline distT="0" distB="0" distL="114300" distR="114300">
            <wp:extent cx="4346575" cy="2551430"/>
            <wp:effectExtent l="4445" t="4445" r="5080" b="9525"/>
            <wp:docPr id="120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33FD81">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（图2：收入决算结构图）</w:t>
      </w:r>
    </w:p>
    <w:p w14:paraId="5909E7C5">
      <w:pPr>
        <w:spacing w:line="600" w:lineRule="exact"/>
        <w:ind w:firstLine="640" w:firstLineChars="200"/>
        <w:rPr>
          <w:rFonts w:ascii="仿宋_GB2312" w:eastAsia="仿宋_GB2312"/>
          <w:sz w:val="32"/>
          <w:szCs w:val="32"/>
        </w:rPr>
      </w:pPr>
    </w:p>
    <w:p w14:paraId="287919AB">
      <w:pPr>
        <w:pStyle w:val="26"/>
        <w:numPr>
          <w:ilvl w:val="0"/>
          <w:numId w:val="2"/>
        </w:numPr>
        <w:spacing w:line="600" w:lineRule="exact"/>
        <w:ind w:firstLineChars="0"/>
        <w:outlineLvl w:val="1"/>
        <w:rPr>
          <w:rStyle w:val="28"/>
          <w:rFonts w:ascii="黑体" w:hAnsi="黑体" w:eastAsia="黑体"/>
          <w:b w:val="0"/>
        </w:rPr>
      </w:pPr>
      <w:bookmarkStart w:id="28" w:name="_Toc15377207"/>
      <w:bookmarkStart w:id="29" w:name="_Toc21879"/>
      <w:bookmarkStart w:id="30" w:name="_Toc15396605"/>
      <w:r>
        <w:rPr>
          <w:rFonts w:hint="eastAsia" w:ascii="黑体" w:hAnsi="黑体" w:eastAsia="黑体"/>
          <w:sz w:val="32"/>
          <w:szCs w:val="32"/>
        </w:rPr>
        <w:t>支</w:t>
      </w:r>
      <w:r>
        <w:rPr>
          <w:rStyle w:val="28"/>
          <w:rFonts w:hint="eastAsia" w:ascii="黑体" w:hAnsi="黑体" w:eastAsia="黑体"/>
          <w:b w:val="0"/>
        </w:rPr>
        <w:t>出决算情况说明</w:t>
      </w:r>
      <w:bookmarkEnd w:id="28"/>
      <w:bookmarkEnd w:id="29"/>
      <w:bookmarkEnd w:id="30"/>
    </w:p>
    <w:p w14:paraId="751CEF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ascii="仿宋" w:hAnsi="仿宋" w:eastAsia="仿宋"/>
          <w:b/>
          <w:sz w:val="32"/>
          <w:szCs w:val="32"/>
          <w:lang w:eastAsia="zh-CN"/>
        </w:rPr>
        <w:t>827</w:t>
      </w:r>
      <w:r>
        <w:rPr>
          <w:rFonts w:hint="eastAsia" w:ascii="仿宋" w:hAnsi="仿宋" w:eastAsia="仿宋"/>
          <w:sz w:val="32"/>
          <w:szCs w:val="32"/>
        </w:rPr>
        <w:t>万元，其中：基本支出</w:t>
      </w:r>
      <w:r>
        <w:rPr>
          <w:rFonts w:hint="eastAsia" w:ascii="仿宋" w:hAnsi="仿宋" w:eastAsia="仿宋"/>
          <w:b/>
          <w:sz w:val="32"/>
          <w:szCs w:val="32"/>
        </w:rPr>
        <w:t>444.61</w:t>
      </w:r>
      <w:r>
        <w:rPr>
          <w:rFonts w:hint="eastAsia" w:ascii="仿宋" w:hAnsi="仿宋" w:eastAsia="仿宋"/>
          <w:sz w:val="32"/>
          <w:szCs w:val="32"/>
        </w:rPr>
        <w:t>万元，占</w:t>
      </w:r>
      <w:r>
        <w:rPr>
          <w:rFonts w:hint="eastAsia" w:ascii="仿宋" w:hAnsi="仿宋" w:eastAsia="仿宋"/>
          <w:b/>
          <w:sz w:val="32"/>
          <w:szCs w:val="32"/>
          <w:lang w:val="en-US" w:eastAsia="zh-CN"/>
        </w:rPr>
        <w:t>54</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rPr>
        <w:t>382.39</w:t>
      </w:r>
      <w:r>
        <w:rPr>
          <w:rFonts w:hint="eastAsia" w:ascii="仿宋" w:hAnsi="仿宋" w:eastAsia="仿宋"/>
          <w:sz w:val="32"/>
          <w:szCs w:val="32"/>
        </w:rPr>
        <w:t>万元，占</w:t>
      </w:r>
      <w:r>
        <w:rPr>
          <w:rFonts w:hint="eastAsia" w:ascii="仿宋" w:hAnsi="仿宋" w:eastAsia="仿宋"/>
          <w:b/>
          <w:sz w:val="32"/>
          <w:szCs w:val="32"/>
          <w:lang w:val="en-US" w:eastAsia="zh-CN"/>
        </w:rPr>
        <w:t>46</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76E90327">
      <w:pPr>
        <w:pStyle w:val="13"/>
        <w:ind w:left="0" w:leftChars="0" w:firstLine="0" w:firstLineChars="0"/>
        <w:jc w:val="center"/>
      </w:pPr>
      <w:r>
        <w:drawing>
          <wp:inline distT="0" distB="0" distL="114300" distR="114300">
            <wp:extent cx="4346575" cy="2889250"/>
            <wp:effectExtent l="4445" t="4445" r="5080" b="14605"/>
            <wp:docPr id="120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7118BF7">
      <w:pPr>
        <w:spacing w:line="600" w:lineRule="exact"/>
        <w:jc w:val="center"/>
        <w:rPr>
          <w:rFonts w:ascii="仿宋" w:hAnsi="仿宋" w:eastAsia="仿宋"/>
          <w:sz w:val="32"/>
          <w:szCs w:val="32"/>
        </w:rPr>
      </w:pPr>
      <w:r>
        <w:rPr>
          <w:rFonts w:hint="eastAsia" w:ascii="仿宋" w:hAnsi="仿宋" w:eastAsia="仿宋"/>
          <w:sz w:val="32"/>
          <w:szCs w:val="32"/>
        </w:rPr>
        <w:t>（图3：支出决算结构图）</w:t>
      </w:r>
    </w:p>
    <w:p w14:paraId="53212401">
      <w:pPr>
        <w:spacing w:line="600" w:lineRule="exact"/>
        <w:ind w:firstLine="640" w:firstLineChars="200"/>
        <w:rPr>
          <w:rFonts w:ascii="仿宋_GB2312" w:eastAsia="仿宋_GB2312"/>
          <w:sz w:val="32"/>
          <w:szCs w:val="32"/>
        </w:rPr>
      </w:pPr>
    </w:p>
    <w:p w14:paraId="598CD1CF">
      <w:pPr>
        <w:spacing w:line="600" w:lineRule="exact"/>
        <w:ind w:firstLine="640" w:firstLineChars="200"/>
        <w:outlineLvl w:val="1"/>
        <w:rPr>
          <w:rStyle w:val="28"/>
          <w:rFonts w:ascii="黑体" w:hAnsi="黑体" w:eastAsia="黑体"/>
          <w:b w:val="0"/>
        </w:rPr>
      </w:pPr>
      <w:bookmarkStart w:id="31" w:name="_Toc15377208"/>
      <w:bookmarkStart w:id="32" w:name="_Toc13433"/>
      <w:bookmarkStart w:id="33"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1"/>
      <w:bookmarkEnd w:id="32"/>
      <w:bookmarkEnd w:id="33"/>
    </w:p>
    <w:p w14:paraId="3CFE1790">
      <w:p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ascii="仿宋" w:hAnsi="仿宋" w:eastAsia="仿宋"/>
          <w:b/>
          <w:sz w:val="32"/>
          <w:szCs w:val="32"/>
          <w:lang w:val="en-US" w:eastAsia="zh-CN"/>
        </w:rPr>
        <w:t>827</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年度相比，财政拨款收、支总计各</w:t>
      </w:r>
      <w:r>
        <w:rPr>
          <w:rFonts w:hint="eastAsia" w:ascii="仿宋" w:hAnsi="仿宋" w:eastAsia="仿宋"/>
          <w:sz w:val="32"/>
          <w:szCs w:val="32"/>
          <w:lang w:val="en-US" w:eastAsia="zh-CN"/>
        </w:rPr>
        <w:t>增加36.64</w:t>
      </w:r>
      <w:r>
        <w:rPr>
          <w:rFonts w:hint="eastAsia" w:ascii="仿宋" w:hAnsi="仿宋" w:eastAsia="仿宋"/>
          <w:sz w:val="32"/>
          <w:szCs w:val="32"/>
        </w:rPr>
        <w:t>万元，</w:t>
      </w:r>
      <w:r>
        <w:rPr>
          <w:rFonts w:hint="eastAsia" w:ascii="仿宋" w:hAnsi="仿宋" w:eastAsia="仿宋"/>
          <w:sz w:val="32"/>
          <w:szCs w:val="32"/>
          <w:lang w:val="en-US" w:eastAsia="zh-CN"/>
        </w:rPr>
        <w:t>增长4.64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2024年度本单位项目支出增加。</w:t>
      </w:r>
    </w:p>
    <w:p w14:paraId="7C0937DD">
      <w:pPr>
        <w:pStyle w:val="13"/>
        <w:ind w:left="0" w:leftChars="0" w:firstLine="0" w:firstLineChars="0"/>
        <w:jc w:val="center"/>
      </w:pPr>
      <w:r>
        <w:drawing>
          <wp:inline distT="0" distB="0" distL="114300" distR="114300">
            <wp:extent cx="4474845" cy="2499360"/>
            <wp:effectExtent l="4445" t="4445" r="16510" b="10795"/>
            <wp:docPr id="417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FB757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（图4：财政拨款收、支决算总计变动情况）</w:t>
      </w:r>
    </w:p>
    <w:p w14:paraId="796786DD">
      <w:pPr>
        <w:spacing w:line="600" w:lineRule="exact"/>
        <w:ind w:firstLine="640"/>
        <w:rPr>
          <w:rFonts w:ascii="仿宋" w:hAnsi="仿宋" w:eastAsia="仿宋"/>
          <w:b/>
          <w:sz w:val="32"/>
          <w:szCs w:val="32"/>
        </w:rPr>
      </w:pPr>
    </w:p>
    <w:p w14:paraId="076113E0">
      <w:pPr>
        <w:spacing w:line="600" w:lineRule="exact"/>
        <w:ind w:firstLine="640" w:firstLineChars="200"/>
        <w:outlineLvl w:val="1"/>
        <w:rPr>
          <w:rStyle w:val="28"/>
          <w:rFonts w:ascii="黑体" w:hAnsi="黑体" w:eastAsia="黑体"/>
          <w:b w:val="0"/>
        </w:rPr>
      </w:pPr>
      <w:bookmarkStart w:id="34" w:name="_Toc15396607"/>
      <w:bookmarkStart w:id="35" w:name="_Toc15377209"/>
      <w:bookmarkStart w:id="36" w:name="_Toc3837"/>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34"/>
      <w:bookmarkEnd w:id="35"/>
      <w:bookmarkEnd w:id="36"/>
    </w:p>
    <w:p w14:paraId="0C31C746">
      <w:pPr>
        <w:spacing w:line="600" w:lineRule="exact"/>
        <w:ind w:firstLine="643" w:firstLineChars="200"/>
        <w:outlineLvl w:val="9"/>
        <w:rPr>
          <w:rFonts w:ascii="仿宋" w:hAnsi="仿宋" w:eastAsia="仿宋"/>
          <w:b/>
          <w:sz w:val="32"/>
          <w:szCs w:val="32"/>
        </w:rPr>
      </w:pPr>
      <w:bookmarkStart w:id="37" w:name="_Toc15377210"/>
      <w:r>
        <w:rPr>
          <w:rFonts w:hint="eastAsia" w:ascii="仿宋" w:hAnsi="仿宋" w:eastAsia="仿宋"/>
          <w:b/>
          <w:sz w:val="32"/>
          <w:szCs w:val="32"/>
        </w:rPr>
        <w:t>（一）一般公共预算财政拨款支出决算总体情况</w:t>
      </w:r>
      <w:bookmarkEnd w:id="37"/>
    </w:p>
    <w:p w14:paraId="7A15961C">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827</w:t>
      </w:r>
      <w:r>
        <w:rPr>
          <w:rFonts w:hint="eastAsia" w:ascii="仿宋" w:hAnsi="仿宋" w:eastAsia="仿宋"/>
          <w:sz w:val="32"/>
          <w:szCs w:val="32"/>
        </w:rPr>
        <w:t>万元，占本年支出合计的</w:t>
      </w:r>
      <w:r>
        <w:rPr>
          <w:rFonts w:hint="eastAsia" w:ascii="仿宋" w:hAnsi="仿宋" w:eastAsia="仿宋"/>
          <w:b/>
          <w:sz w:val="32"/>
          <w:szCs w:val="32"/>
          <w:lang w:val="en-US" w:eastAsia="zh-CN"/>
        </w:rPr>
        <w:t>100</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年度相比一般公共预算财政拨款支出</w:t>
      </w:r>
      <w:r>
        <w:rPr>
          <w:rFonts w:hint="eastAsia" w:ascii="仿宋" w:hAnsi="仿宋" w:eastAsia="仿宋"/>
          <w:sz w:val="32"/>
          <w:szCs w:val="32"/>
          <w:lang w:val="en-US" w:eastAsia="zh-CN"/>
        </w:rPr>
        <w:t>增加36.64</w:t>
      </w:r>
      <w:r>
        <w:rPr>
          <w:rFonts w:hint="eastAsia" w:ascii="仿宋" w:hAnsi="仿宋" w:eastAsia="仿宋"/>
          <w:sz w:val="32"/>
          <w:szCs w:val="32"/>
        </w:rPr>
        <w:t>万元，</w:t>
      </w:r>
      <w:r>
        <w:rPr>
          <w:rFonts w:hint="eastAsia" w:ascii="仿宋" w:hAnsi="仿宋" w:eastAsia="仿宋"/>
          <w:sz w:val="32"/>
          <w:szCs w:val="32"/>
          <w:lang w:val="en-US" w:eastAsia="zh-CN"/>
        </w:rPr>
        <w:t>增长4.64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2024年度本单位项目支出增加。</w:t>
      </w:r>
    </w:p>
    <w:p w14:paraId="671AF66E">
      <w:pPr>
        <w:rPr>
          <w:rFonts w:hint="eastAsia" w:ascii="仿宋" w:hAnsi="仿宋" w:eastAsia="仿宋"/>
          <w:sz w:val="32"/>
          <w:szCs w:val="32"/>
          <w:lang w:val="en-US" w:eastAsia="zh-CN"/>
        </w:rPr>
      </w:pPr>
      <w:r>
        <w:rPr>
          <w:rFonts w:hint="eastAsia" w:ascii="仿宋" w:hAnsi="仿宋" w:eastAsia="仿宋"/>
          <w:sz w:val="32"/>
          <w:szCs w:val="32"/>
          <w:lang w:val="en-US" w:eastAsia="zh-CN"/>
        </w:rPr>
        <w:br w:type="page"/>
      </w:r>
    </w:p>
    <w:p w14:paraId="7B834B38">
      <w:pPr>
        <w:pStyle w:val="13"/>
        <w:tabs>
          <w:tab w:val="left" w:pos="2565"/>
        </w:tabs>
        <w:ind w:left="0" w:leftChars="0" w:firstLine="0" w:firstLineChars="0"/>
        <w:jc w:val="center"/>
        <w:rPr>
          <w:rFonts w:hint="eastAsia" w:eastAsia="宋体"/>
          <w:lang w:eastAsia="zh-CN"/>
        </w:rPr>
      </w:pPr>
      <w:r>
        <w:drawing>
          <wp:inline distT="0" distB="0" distL="114300" distR="114300">
            <wp:extent cx="4465955" cy="2448560"/>
            <wp:effectExtent l="4445" t="5080" r="12700" b="1016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D8CEF81">
      <w:pPr>
        <w:spacing w:line="600" w:lineRule="exact"/>
        <w:jc w:val="center"/>
        <w:rPr>
          <w:rFonts w:ascii="仿宋" w:hAnsi="仿宋" w:eastAsia="仿宋"/>
          <w:sz w:val="32"/>
          <w:szCs w:val="32"/>
        </w:rPr>
      </w:pPr>
      <w:r>
        <w:rPr>
          <w:rFonts w:hint="eastAsia" w:ascii="仿宋" w:hAnsi="仿宋" w:eastAsia="仿宋"/>
          <w:sz w:val="32"/>
          <w:szCs w:val="32"/>
        </w:rPr>
        <w:t>（图5：一般公共预算财政拨款支出决算变动情况）</w:t>
      </w:r>
    </w:p>
    <w:p w14:paraId="78D13E1A">
      <w:pPr>
        <w:spacing w:line="600" w:lineRule="exact"/>
        <w:ind w:firstLine="640" w:firstLineChars="200"/>
        <w:rPr>
          <w:rFonts w:ascii="仿宋" w:hAnsi="仿宋" w:eastAsia="仿宋"/>
          <w:sz w:val="32"/>
          <w:szCs w:val="32"/>
        </w:rPr>
      </w:pPr>
    </w:p>
    <w:p w14:paraId="3A6F42AC">
      <w:pPr>
        <w:spacing w:line="600" w:lineRule="exact"/>
        <w:ind w:firstLine="643" w:firstLineChars="200"/>
        <w:outlineLvl w:val="9"/>
        <w:rPr>
          <w:rFonts w:ascii="仿宋" w:hAnsi="仿宋" w:eastAsia="仿宋"/>
          <w:b/>
          <w:sz w:val="32"/>
          <w:szCs w:val="32"/>
        </w:rPr>
      </w:pPr>
      <w:bookmarkStart w:id="38" w:name="_Toc15377211"/>
      <w:r>
        <w:rPr>
          <w:rFonts w:hint="eastAsia" w:ascii="仿宋" w:hAnsi="仿宋" w:eastAsia="仿宋"/>
          <w:b/>
          <w:sz w:val="32"/>
          <w:szCs w:val="32"/>
        </w:rPr>
        <w:t>（二）一般公共预算财政拨款支出决算结构情况</w:t>
      </w:r>
      <w:bookmarkEnd w:id="38"/>
    </w:p>
    <w:p w14:paraId="424335FB">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827</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w:t>
      </w:r>
      <w:r>
        <w:rPr>
          <w:rFonts w:hint="eastAsia" w:ascii="仿宋" w:hAnsi="仿宋" w:eastAsia="仿宋"/>
          <w:b w:val="0"/>
          <w:bCs w:val="0"/>
          <w:sz w:val="32"/>
          <w:szCs w:val="32"/>
        </w:rPr>
        <w:t>占</w:t>
      </w:r>
      <w:r>
        <w:rPr>
          <w:rFonts w:hint="eastAsia" w:ascii="仿宋" w:hAnsi="仿宋" w:eastAsia="仿宋"/>
          <w:b w:val="0"/>
          <w:bCs w:val="0"/>
          <w:sz w:val="32"/>
          <w:szCs w:val="32"/>
          <w:lang w:val="en-US" w:eastAsia="zh-CN"/>
        </w:rPr>
        <w:t>0</w:t>
      </w:r>
      <w:r>
        <w:rPr>
          <w:rFonts w:ascii="仿宋" w:hAnsi="仿宋" w:eastAsia="仿宋"/>
          <w:b w:val="0"/>
          <w:bCs w:val="0"/>
          <w:sz w:val="32"/>
          <w:szCs w:val="32"/>
        </w:rPr>
        <w:t>%</w:t>
      </w:r>
      <w:r>
        <w:rPr>
          <w:rFonts w:hint="eastAsia" w:ascii="仿宋" w:hAnsi="仿宋" w:eastAsia="仿宋"/>
          <w:b w:val="0"/>
          <w:bCs w:val="0"/>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rPr>
        <w:t>56.62万元，占</w:t>
      </w:r>
      <w:r>
        <w:rPr>
          <w:rFonts w:hint="eastAsia" w:ascii="仿宋" w:hAnsi="仿宋" w:eastAsia="仿宋"/>
          <w:sz w:val="32"/>
          <w:szCs w:val="32"/>
          <w:lang w:val="en-US" w:eastAsia="zh-CN"/>
        </w:rPr>
        <w:t>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rPr>
        <w:t>740.13万元，占</w:t>
      </w:r>
      <w:r>
        <w:rPr>
          <w:rFonts w:hint="eastAsia" w:ascii="仿宋" w:hAnsi="仿宋" w:eastAsia="仿宋"/>
          <w:sz w:val="32"/>
          <w:szCs w:val="32"/>
          <w:lang w:val="en-US" w:eastAsia="zh-CN"/>
        </w:rPr>
        <w:t>89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rPr>
        <w:t>30.25万元，占</w:t>
      </w:r>
      <w:r>
        <w:rPr>
          <w:rFonts w:hint="eastAsia" w:ascii="仿宋" w:hAnsi="仿宋" w:eastAsia="仿宋"/>
          <w:sz w:val="32"/>
          <w:szCs w:val="32"/>
          <w:lang w:val="en-US" w:eastAsia="zh-CN"/>
        </w:rPr>
        <w:t>4</w:t>
      </w:r>
      <w:r>
        <w:rPr>
          <w:rFonts w:ascii="仿宋" w:hAnsi="仿宋" w:eastAsia="仿宋"/>
          <w:sz w:val="32"/>
          <w:szCs w:val="32"/>
        </w:rPr>
        <w:t>%</w:t>
      </w:r>
      <w:r>
        <w:rPr>
          <w:rFonts w:hint="eastAsia" w:ascii="仿宋" w:hAnsi="仿宋" w:eastAsia="仿宋"/>
          <w:sz w:val="32"/>
          <w:szCs w:val="32"/>
        </w:rPr>
        <w:t>。</w:t>
      </w:r>
    </w:p>
    <w:p w14:paraId="66452DB1">
      <w:pPr>
        <w:pStyle w:val="13"/>
        <w:ind w:left="0" w:leftChars="0" w:firstLine="0" w:firstLineChars="0"/>
        <w:jc w:val="center"/>
      </w:pPr>
      <w:r>
        <w:drawing>
          <wp:inline distT="0" distB="0" distL="114300" distR="114300">
            <wp:extent cx="4396105" cy="2628265"/>
            <wp:effectExtent l="4445" t="4445" r="6350" b="8890"/>
            <wp:docPr id="120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C15958">
      <w:pPr>
        <w:spacing w:line="600" w:lineRule="exact"/>
        <w:ind w:firstLine="640" w:firstLineChars="200"/>
        <w:jc w:val="center"/>
        <w:rPr>
          <w:rFonts w:ascii="仿宋" w:hAnsi="仿宋" w:eastAsia="仿宋"/>
          <w:sz w:val="32"/>
          <w:szCs w:val="32"/>
        </w:rPr>
      </w:pPr>
      <w:r>
        <w:rPr>
          <w:rFonts w:hint="eastAsia" w:ascii="仿宋" w:hAnsi="仿宋" w:eastAsia="仿宋"/>
          <w:sz w:val="32"/>
          <w:szCs w:val="32"/>
        </w:rPr>
        <w:t>（图6：一般公共预算财政拨款支出决算结构）</w:t>
      </w:r>
    </w:p>
    <w:p w14:paraId="6CB85B31">
      <w:pPr>
        <w:spacing w:line="600" w:lineRule="exact"/>
        <w:ind w:firstLine="640" w:firstLineChars="200"/>
        <w:rPr>
          <w:rFonts w:ascii="仿宋" w:hAnsi="仿宋" w:eastAsia="仿宋"/>
          <w:sz w:val="32"/>
          <w:szCs w:val="32"/>
        </w:rPr>
      </w:pPr>
    </w:p>
    <w:p w14:paraId="797D5A9D">
      <w:pPr>
        <w:spacing w:line="600" w:lineRule="exact"/>
        <w:ind w:firstLine="643" w:firstLineChars="200"/>
        <w:outlineLvl w:val="9"/>
        <w:rPr>
          <w:rFonts w:ascii="仿宋" w:hAnsi="仿宋" w:eastAsia="仿宋"/>
          <w:b/>
          <w:sz w:val="32"/>
          <w:szCs w:val="32"/>
        </w:rPr>
      </w:pPr>
      <w:bookmarkStart w:id="39" w:name="_Toc15377212"/>
      <w:r>
        <w:rPr>
          <w:rFonts w:hint="eastAsia" w:ascii="仿宋" w:hAnsi="仿宋" w:eastAsia="仿宋"/>
          <w:b/>
          <w:sz w:val="32"/>
          <w:szCs w:val="32"/>
        </w:rPr>
        <w:t>（三）一般公共预算财政拨款支出决算具体情况</w:t>
      </w:r>
      <w:bookmarkEnd w:id="39"/>
    </w:p>
    <w:p w14:paraId="103651F2">
      <w:pPr>
        <w:spacing w:line="600" w:lineRule="exact"/>
        <w:ind w:firstLine="643" w:firstLineChars="200"/>
        <w:outlineLvl w:val="9"/>
        <w:rPr>
          <w:rFonts w:ascii="仿宋" w:hAnsi="仿宋" w:eastAsia="仿宋"/>
          <w:sz w:val="32"/>
          <w:szCs w:val="32"/>
        </w:rPr>
      </w:pPr>
      <w:bookmarkStart w:id="40" w:name="_Toc15377444"/>
      <w:bookmarkStart w:id="41" w:name="_Toc15378460"/>
      <w:bookmarkStart w:id="42" w:name="_Toc15377213"/>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827万元</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40"/>
      <w:bookmarkEnd w:id="41"/>
      <w:bookmarkEnd w:id="42"/>
    </w:p>
    <w:p w14:paraId="45B0E848">
      <w:pPr>
        <w:spacing w:line="600" w:lineRule="exact"/>
        <w:ind w:firstLine="643" w:firstLineChars="200"/>
        <w:rPr>
          <w:rFonts w:hint="eastAsia" w:ascii="仿宋" w:hAnsi="仿宋" w:eastAsia="仿宋"/>
          <w:b/>
          <w:sz w:val="32"/>
          <w:szCs w:val="32"/>
          <w:lang w:eastAsia="zh-CN"/>
        </w:rPr>
      </w:pPr>
      <w:r>
        <w:rPr>
          <w:rStyle w:val="16"/>
          <w:rFonts w:ascii="仿宋" w:hAnsi="仿宋" w:eastAsia="仿宋"/>
          <w:bCs/>
          <w:sz w:val="32"/>
          <w:szCs w:val="32"/>
        </w:rPr>
        <w:t>1.</w:t>
      </w:r>
      <w:r>
        <w:rPr>
          <w:rStyle w:val="16"/>
          <w:rFonts w:hint="eastAsia" w:ascii="仿宋" w:hAnsi="仿宋" w:eastAsia="仿宋"/>
          <w:bCs/>
          <w:sz w:val="32"/>
          <w:szCs w:val="32"/>
        </w:rPr>
        <w:t>社会保障和就业支出（类）行政事业单位养老支出（款）机关事业单位基本养老保险缴费支出（项）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支出决算为37.75万元，完成预算100%。</w:t>
      </w:r>
    </w:p>
    <w:p w14:paraId="1AC3B7BC">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2</w:t>
      </w:r>
      <w:r>
        <w:rPr>
          <w:rStyle w:val="16"/>
          <w:rFonts w:ascii="仿宋" w:hAnsi="仿宋" w:eastAsia="仿宋"/>
          <w:bCs/>
          <w:sz w:val="32"/>
          <w:szCs w:val="32"/>
        </w:rPr>
        <w:t>.</w:t>
      </w:r>
      <w:r>
        <w:rPr>
          <w:rStyle w:val="16"/>
          <w:rFonts w:hint="eastAsia" w:ascii="仿宋" w:hAnsi="仿宋" w:eastAsia="仿宋"/>
          <w:bCs/>
          <w:sz w:val="32"/>
          <w:szCs w:val="32"/>
        </w:rPr>
        <w:t>社会保障和就业支出（类）行政事业单位养老支出（款）机关事业单位职业年金缴费支出（项）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支出决算为18.87万元，完成预算100%。</w:t>
      </w:r>
    </w:p>
    <w:p w14:paraId="3836CCF6">
      <w:pPr>
        <w:spacing w:line="600" w:lineRule="exact"/>
        <w:ind w:firstLine="643" w:firstLineChars="200"/>
        <w:rPr>
          <w:rStyle w:val="16"/>
          <w:rFonts w:hint="eastAsia" w:ascii="仿宋" w:hAnsi="仿宋" w:eastAsia="仿宋"/>
          <w:b w:val="0"/>
          <w:bCs/>
          <w:sz w:val="32"/>
          <w:szCs w:val="32"/>
          <w:lang w:eastAsia="zh-CN"/>
        </w:rPr>
      </w:pPr>
      <w:r>
        <w:rPr>
          <w:rStyle w:val="16"/>
          <w:rFonts w:hint="eastAsia" w:ascii="仿宋" w:hAnsi="仿宋" w:eastAsia="仿宋"/>
          <w:bCs/>
          <w:sz w:val="32"/>
          <w:szCs w:val="32"/>
          <w:lang w:val="en-US" w:eastAsia="zh-CN"/>
        </w:rPr>
        <w:t>3</w:t>
      </w:r>
      <w:r>
        <w:rPr>
          <w:rStyle w:val="16"/>
          <w:rFonts w:ascii="仿宋" w:hAnsi="仿宋" w:eastAsia="仿宋"/>
          <w:bCs/>
          <w:sz w:val="32"/>
          <w:szCs w:val="32"/>
        </w:rPr>
        <w:t>.</w:t>
      </w:r>
      <w:r>
        <w:rPr>
          <w:rStyle w:val="16"/>
          <w:rFonts w:hint="eastAsia" w:ascii="仿宋" w:hAnsi="仿宋" w:eastAsia="仿宋"/>
          <w:bCs/>
          <w:sz w:val="32"/>
          <w:szCs w:val="32"/>
        </w:rPr>
        <w:t>卫生健康支出（类）卫生健康管理事务（款）行政运行（项）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支出决算为335.52万元，完成预算100%。</w:t>
      </w:r>
    </w:p>
    <w:p w14:paraId="7208E151">
      <w:pPr>
        <w:spacing w:line="600" w:lineRule="exact"/>
        <w:ind w:firstLine="643" w:firstLineChars="200"/>
        <w:rPr>
          <w:rStyle w:val="16"/>
          <w:rFonts w:hint="eastAsia" w:ascii="仿宋" w:hAnsi="仿宋" w:eastAsia="仿宋"/>
          <w:b w:val="0"/>
          <w:bCs/>
          <w:sz w:val="32"/>
          <w:szCs w:val="32"/>
          <w:lang w:eastAsia="zh-CN"/>
        </w:rPr>
      </w:pPr>
      <w:r>
        <w:rPr>
          <w:rStyle w:val="16"/>
          <w:rFonts w:hint="eastAsia" w:ascii="仿宋" w:hAnsi="仿宋" w:eastAsia="仿宋"/>
          <w:bCs/>
          <w:sz w:val="32"/>
          <w:szCs w:val="32"/>
          <w:lang w:val="en-US" w:eastAsia="zh-CN"/>
        </w:rPr>
        <w:t>4</w:t>
      </w:r>
      <w:r>
        <w:rPr>
          <w:rStyle w:val="16"/>
          <w:rFonts w:ascii="仿宋" w:hAnsi="仿宋" w:eastAsia="仿宋"/>
          <w:bCs/>
          <w:sz w:val="32"/>
          <w:szCs w:val="32"/>
        </w:rPr>
        <w:t>.</w:t>
      </w:r>
      <w:r>
        <w:rPr>
          <w:rStyle w:val="16"/>
          <w:rFonts w:hint="eastAsia" w:ascii="仿宋" w:hAnsi="仿宋" w:eastAsia="仿宋"/>
          <w:bCs/>
          <w:sz w:val="32"/>
          <w:szCs w:val="32"/>
        </w:rPr>
        <w:t>卫生健康支出（类）卫生健康管理事务（款）一般行政管理事务（项）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支出决算为32.39万元，完成预算100%。</w:t>
      </w:r>
    </w:p>
    <w:p w14:paraId="12E6A53A">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5</w:t>
      </w:r>
      <w:r>
        <w:rPr>
          <w:rStyle w:val="16"/>
          <w:rFonts w:ascii="仿宋" w:hAnsi="仿宋" w:eastAsia="仿宋"/>
          <w:bCs/>
          <w:sz w:val="32"/>
          <w:szCs w:val="32"/>
        </w:rPr>
        <w:t>.</w:t>
      </w:r>
      <w:r>
        <w:rPr>
          <w:rStyle w:val="16"/>
          <w:rFonts w:hint="eastAsia" w:ascii="仿宋" w:hAnsi="仿宋" w:eastAsia="仿宋"/>
          <w:bCs/>
          <w:sz w:val="32"/>
          <w:szCs w:val="32"/>
        </w:rPr>
        <w:t>卫生健康支出（类）行政事业单位医疗（款）行政单位医疗（项）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支出决算为19.01万元，完成预算100%。</w:t>
      </w:r>
    </w:p>
    <w:p w14:paraId="0143B31C">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6</w:t>
      </w:r>
      <w:r>
        <w:rPr>
          <w:rStyle w:val="16"/>
          <w:rFonts w:ascii="仿宋" w:hAnsi="仿宋" w:eastAsia="仿宋"/>
          <w:bCs/>
          <w:sz w:val="32"/>
          <w:szCs w:val="32"/>
        </w:rPr>
        <w:t>.</w:t>
      </w:r>
      <w:r>
        <w:rPr>
          <w:rStyle w:val="16"/>
          <w:rFonts w:hint="eastAsia" w:ascii="仿宋" w:hAnsi="仿宋" w:eastAsia="仿宋"/>
          <w:bCs/>
          <w:sz w:val="32"/>
          <w:szCs w:val="32"/>
        </w:rPr>
        <w:t>卫生健康支出（类）行政事业单位医疗（款）其他行政事业单位医疗支出公务员医疗补助（项）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支出决算为3.21万元，完成预算100%。</w:t>
      </w:r>
    </w:p>
    <w:p w14:paraId="63641F9E">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7</w:t>
      </w:r>
      <w:r>
        <w:rPr>
          <w:rStyle w:val="16"/>
          <w:rFonts w:ascii="仿宋" w:hAnsi="仿宋" w:eastAsia="仿宋"/>
          <w:bCs/>
          <w:sz w:val="32"/>
          <w:szCs w:val="32"/>
        </w:rPr>
        <w:t>.</w:t>
      </w:r>
      <w:r>
        <w:rPr>
          <w:rStyle w:val="16"/>
          <w:rFonts w:hint="eastAsia" w:ascii="仿宋" w:hAnsi="仿宋" w:eastAsia="仿宋"/>
          <w:bCs/>
          <w:sz w:val="32"/>
          <w:szCs w:val="32"/>
        </w:rPr>
        <w:t>卫生健康支出（类）医疗救助（款）其他医疗救助（项）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支出决算为350.00万元，完成预算100%。</w:t>
      </w:r>
    </w:p>
    <w:p w14:paraId="59AD3BB5">
      <w:pPr>
        <w:spacing w:line="600" w:lineRule="exact"/>
        <w:ind w:firstLine="643" w:firstLineChars="200"/>
        <w:rPr>
          <w:rFonts w:hint="eastAsia" w:ascii="仿宋" w:hAnsi="仿宋" w:eastAsia="仿宋"/>
          <w:b/>
          <w:sz w:val="32"/>
          <w:szCs w:val="32"/>
          <w:lang w:eastAsia="zh-CN"/>
        </w:rPr>
      </w:pPr>
      <w:r>
        <w:rPr>
          <w:rStyle w:val="16"/>
          <w:rFonts w:hint="eastAsia" w:ascii="仿宋" w:hAnsi="仿宋" w:eastAsia="仿宋"/>
          <w:bCs/>
          <w:sz w:val="32"/>
          <w:szCs w:val="32"/>
          <w:lang w:val="en-US" w:eastAsia="zh-CN"/>
        </w:rPr>
        <w:t>8</w:t>
      </w:r>
      <w:r>
        <w:rPr>
          <w:rStyle w:val="16"/>
          <w:rFonts w:ascii="仿宋" w:hAnsi="仿宋" w:eastAsia="仿宋"/>
          <w:bCs/>
          <w:sz w:val="32"/>
          <w:szCs w:val="32"/>
        </w:rPr>
        <w:t>.</w:t>
      </w:r>
      <w:r>
        <w:rPr>
          <w:rStyle w:val="16"/>
          <w:rFonts w:hint="eastAsia" w:ascii="仿宋" w:hAnsi="仿宋" w:eastAsia="仿宋"/>
          <w:bCs/>
          <w:sz w:val="32"/>
          <w:szCs w:val="32"/>
        </w:rPr>
        <w:t>住房保障支出（类）住房改革支出（款）住房公积金（项）</w:t>
      </w:r>
      <w:r>
        <w:rPr>
          <w:rStyle w:val="16"/>
          <w:rFonts w:ascii="仿宋" w:hAnsi="仿宋" w:eastAsia="仿宋"/>
          <w:bCs/>
          <w:sz w:val="32"/>
          <w:szCs w:val="32"/>
        </w:rPr>
        <w:t>:</w:t>
      </w:r>
      <w:r>
        <w:rPr>
          <w:rStyle w:val="16"/>
          <w:rFonts w:hint="eastAsia" w:ascii="仿宋" w:hAnsi="仿宋" w:eastAsia="仿宋"/>
          <w:b w:val="0"/>
          <w:bCs/>
          <w:sz w:val="32"/>
          <w:szCs w:val="32"/>
          <w:lang w:eastAsia="zh-CN"/>
        </w:rPr>
        <w:t>支出决算为30.25万元，完成预算100%。</w:t>
      </w:r>
    </w:p>
    <w:p w14:paraId="247AA015">
      <w:pPr>
        <w:spacing w:line="600" w:lineRule="exact"/>
        <w:ind w:firstLine="640"/>
        <w:rPr>
          <w:rFonts w:ascii="仿宋" w:hAnsi="仿宋" w:eastAsia="仿宋"/>
          <w:b/>
          <w:sz w:val="32"/>
          <w:szCs w:val="32"/>
        </w:rPr>
      </w:pPr>
    </w:p>
    <w:p w14:paraId="3E3F5DE1">
      <w:pPr>
        <w:tabs>
          <w:tab w:val="right" w:pos="8306"/>
        </w:tabs>
        <w:spacing w:line="600" w:lineRule="exact"/>
        <w:ind w:firstLine="640"/>
        <w:outlineLvl w:val="1"/>
        <w:rPr>
          <w:rStyle w:val="28"/>
        </w:rPr>
      </w:pPr>
      <w:bookmarkStart w:id="43" w:name="_Toc15377214"/>
      <w:bookmarkStart w:id="44" w:name="_Toc21256"/>
      <w:bookmarkStart w:id="4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43"/>
      <w:bookmarkEnd w:id="44"/>
      <w:bookmarkEnd w:id="45"/>
      <w:r>
        <w:rPr>
          <w:rStyle w:val="28"/>
          <w:rFonts w:ascii="黑体" w:hAnsi="黑体" w:eastAsia="黑体"/>
          <w:b w:val="0"/>
        </w:rPr>
        <w:tab/>
      </w:r>
    </w:p>
    <w:p w14:paraId="4B0FC800">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ascii="仿宋" w:hAnsi="仿宋" w:eastAsia="仿宋"/>
          <w:b/>
          <w:sz w:val="32"/>
          <w:szCs w:val="32"/>
        </w:rPr>
        <w:t>444.61</w:t>
      </w:r>
      <w:r>
        <w:rPr>
          <w:rFonts w:hint="eastAsia" w:ascii="仿宋" w:hAnsi="仿宋" w:eastAsia="仿宋"/>
          <w:sz w:val="32"/>
          <w:szCs w:val="32"/>
        </w:rPr>
        <w:t>万元，其中：</w:t>
      </w:r>
    </w:p>
    <w:p w14:paraId="40FF3136">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hint="eastAsia" w:ascii="仿宋" w:hAnsi="仿宋" w:eastAsia="仿宋"/>
          <w:b/>
          <w:sz w:val="32"/>
          <w:szCs w:val="32"/>
          <w:lang w:val="en-US" w:eastAsia="zh-CN"/>
        </w:rPr>
        <w:t>404.92</w:t>
      </w:r>
      <w:r>
        <w:rPr>
          <w:rFonts w:hint="eastAsia" w:ascii="仿宋" w:hAnsi="仿宋" w:eastAsia="仿宋"/>
          <w:sz w:val="32"/>
          <w:szCs w:val="32"/>
        </w:rPr>
        <w:t>万元，主要包括：基本工资、津贴补贴、奖金、绩效工资、机关事业单位基本养老保险缴费、职业年金缴费、职工基本医疗保险缴费</w:t>
      </w:r>
      <w:r>
        <w:rPr>
          <w:rFonts w:hint="eastAsia" w:ascii="仿宋" w:hAnsi="仿宋" w:eastAsia="仿宋"/>
          <w:sz w:val="32"/>
          <w:szCs w:val="32"/>
          <w:lang w:eastAsia="zh-CN"/>
        </w:rPr>
        <w:t>、公务员医疗补助缴费、</w:t>
      </w:r>
      <w:r>
        <w:rPr>
          <w:rFonts w:hint="eastAsia" w:ascii="仿宋" w:hAnsi="仿宋" w:eastAsia="仿宋"/>
          <w:sz w:val="32"/>
          <w:szCs w:val="32"/>
        </w:rPr>
        <w:t>其他社会保障缴费、住房公积金、</w:t>
      </w:r>
      <w:r>
        <w:rPr>
          <w:rFonts w:hint="eastAsia" w:ascii="仿宋" w:hAnsi="仿宋" w:eastAsia="仿宋"/>
          <w:sz w:val="32"/>
          <w:szCs w:val="32"/>
          <w:lang w:eastAsia="zh-CN"/>
        </w:rPr>
        <w:t>生活补助、医疗费补助、奖励金</w:t>
      </w:r>
      <w:r>
        <w:rPr>
          <w:rFonts w:hint="eastAsia" w:ascii="仿宋" w:hAnsi="仿宋" w:eastAsia="仿宋"/>
          <w:sz w:val="32"/>
          <w:szCs w:val="32"/>
        </w:rPr>
        <w:t>等。</w:t>
      </w:r>
    </w:p>
    <w:p w14:paraId="0B15DA32">
      <w:pPr>
        <w:spacing w:line="600" w:lineRule="exact"/>
        <w:ind w:firstLine="645"/>
        <w:rPr>
          <w:rFonts w:ascii="仿宋" w:hAnsi="仿宋" w:eastAsia="仿宋"/>
          <w:sz w:val="32"/>
          <w:szCs w:val="32"/>
        </w:rPr>
      </w:pPr>
      <w:r>
        <w:rPr>
          <w:rFonts w:hint="eastAsia" w:ascii="仿宋" w:hAnsi="仿宋" w:eastAsia="仿宋"/>
          <w:sz w:val="32"/>
          <w:szCs w:val="32"/>
        </w:rPr>
        <w:t>公用经费</w:t>
      </w:r>
      <w:r>
        <w:rPr>
          <w:rFonts w:hint="eastAsia" w:ascii="仿宋" w:hAnsi="仿宋" w:eastAsia="仿宋"/>
          <w:b/>
          <w:sz w:val="32"/>
          <w:szCs w:val="32"/>
          <w:lang w:val="en-US" w:eastAsia="zh-CN"/>
        </w:rPr>
        <w:t>39.69</w:t>
      </w:r>
      <w:r>
        <w:rPr>
          <w:rFonts w:hint="eastAsia" w:ascii="仿宋" w:hAnsi="仿宋" w:eastAsia="仿宋"/>
          <w:sz w:val="32"/>
          <w:szCs w:val="32"/>
        </w:rPr>
        <w:t>万元，主要包括：办公费、印刷费、水费、电费、邮电费、差旅费、劳务费、</w:t>
      </w:r>
      <w:r>
        <w:rPr>
          <w:rFonts w:hint="eastAsia" w:ascii="仿宋" w:hAnsi="仿宋" w:eastAsia="仿宋"/>
          <w:sz w:val="32"/>
          <w:szCs w:val="32"/>
          <w:lang w:val="en-US" w:eastAsia="zh-CN"/>
        </w:rPr>
        <w:t>工会经费、公务用车运行维护费等</w:t>
      </w:r>
      <w:r>
        <w:rPr>
          <w:rFonts w:hint="eastAsia" w:ascii="仿宋" w:hAnsi="仿宋" w:eastAsia="仿宋"/>
          <w:sz w:val="32"/>
          <w:szCs w:val="32"/>
        </w:rPr>
        <w:t>。</w:t>
      </w:r>
    </w:p>
    <w:p w14:paraId="419B90BD">
      <w:pPr>
        <w:spacing w:line="600" w:lineRule="exact"/>
        <w:ind w:firstLine="640"/>
        <w:rPr>
          <w:rFonts w:ascii="仿宋" w:hAnsi="仿宋" w:eastAsia="仿宋"/>
          <w:b/>
          <w:sz w:val="32"/>
          <w:szCs w:val="32"/>
        </w:rPr>
      </w:pPr>
    </w:p>
    <w:p w14:paraId="5357502B">
      <w:pPr>
        <w:spacing w:line="600" w:lineRule="exact"/>
        <w:ind w:firstLine="640"/>
        <w:outlineLvl w:val="1"/>
        <w:rPr>
          <w:rStyle w:val="28"/>
          <w:rFonts w:ascii="黑体" w:hAnsi="黑体" w:eastAsia="黑体"/>
          <w:b w:val="0"/>
        </w:rPr>
      </w:pPr>
      <w:bookmarkStart w:id="46" w:name="_Toc7572"/>
      <w:bookmarkStart w:id="47" w:name="_Toc15377215"/>
      <w:bookmarkStart w:id="48" w:name="_Toc15396609"/>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46"/>
      <w:bookmarkEnd w:id="47"/>
      <w:bookmarkEnd w:id="48"/>
    </w:p>
    <w:p w14:paraId="2B23F8C7">
      <w:pPr>
        <w:spacing w:line="600" w:lineRule="exact"/>
        <w:ind w:firstLine="640"/>
        <w:outlineLvl w:val="9"/>
        <w:rPr>
          <w:rFonts w:ascii="仿宋" w:hAnsi="仿宋" w:eastAsia="仿宋"/>
          <w:b/>
          <w:sz w:val="32"/>
          <w:szCs w:val="32"/>
        </w:rPr>
      </w:pPr>
      <w:bookmarkStart w:id="49" w:name="_Toc15377216"/>
      <w:r>
        <w:rPr>
          <w:rFonts w:hint="eastAsia" w:ascii="仿宋" w:hAnsi="仿宋" w:eastAsia="仿宋"/>
          <w:b/>
          <w:sz w:val="32"/>
          <w:szCs w:val="32"/>
        </w:rPr>
        <w:t>（一）“三公”经费财政拨款支出决算总体情况说明</w:t>
      </w:r>
      <w:bookmarkEnd w:id="49"/>
    </w:p>
    <w:p w14:paraId="4E5B2557">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ascii="仿宋" w:hAnsi="仿宋" w:eastAsia="仿宋"/>
          <w:b/>
          <w:sz w:val="32"/>
          <w:szCs w:val="32"/>
          <w:lang w:val="en-US" w:eastAsia="zh-CN"/>
        </w:rPr>
        <w:t>18.22</w:t>
      </w:r>
      <w:r>
        <w:rPr>
          <w:rFonts w:hint="eastAsia" w:ascii="仿宋" w:hAnsi="仿宋" w:eastAsia="仿宋"/>
          <w:sz w:val="32"/>
          <w:szCs w:val="32"/>
        </w:rPr>
        <w:t>万元，完成预算</w:t>
      </w:r>
      <w:r>
        <w:rPr>
          <w:rFonts w:hint="eastAsia" w:ascii="仿宋" w:hAnsi="仿宋" w:eastAsia="仿宋"/>
          <w:b/>
          <w:sz w:val="32"/>
          <w:szCs w:val="32"/>
          <w:lang w:val="en-US" w:eastAsia="zh-CN"/>
        </w:rPr>
        <w:t>100</w:t>
      </w:r>
      <w:r>
        <w:rPr>
          <w:rFonts w:ascii="仿宋" w:hAnsi="仿宋" w:eastAsia="仿宋"/>
          <w:sz w:val="32"/>
          <w:szCs w:val="32"/>
        </w:rPr>
        <w:t>%</w:t>
      </w:r>
      <w:r>
        <w:rPr>
          <w:rFonts w:hint="eastAsia" w:ascii="仿宋" w:hAnsi="仿宋" w:eastAsia="仿宋"/>
          <w:sz w:val="32"/>
          <w:szCs w:val="32"/>
        </w:rPr>
        <w:t>，较上年度</w:t>
      </w:r>
      <w:r>
        <w:rPr>
          <w:rFonts w:hint="eastAsia" w:ascii="仿宋" w:hAnsi="仿宋" w:eastAsia="仿宋"/>
          <w:sz w:val="32"/>
          <w:szCs w:val="32"/>
          <w:lang w:val="en-US" w:eastAsia="zh-CN"/>
        </w:rPr>
        <w:t>增加1.8</w:t>
      </w:r>
      <w:r>
        <w:rPr>
          <w:rFonts w:hint="eastAsia" w:ascii="仿宋" w:hAnsi="仿宋" w:eastAsia="仿宋"/>
          <w:sz w:val="32"/>
          <w:szCs w:val="32"/>
        </w:rPr>
        <w:t>万元，</w:t>
      </w:r>
      <w:r>
        <w:rPr>
          <w:rFonts w:hint="eastAsia" w:ascii="仿宋" w:hAnsi="仿宋" w:eastAsia="仿宋"/>
          <w:sz w:val="32"/>
          <w:szCs w:val="32"/>
          <w:lang w:val="en-US" w:eastAsia="zh-CN"/>
        </w:rPr>
        <w:t>增长10.96</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决算数与预算数持平。</w:t>
      </w:r>
    </w:p>
    <w:p w14:paraId="5DB97E6A">
      <w:pPr>
        <w:spacing w:line="600" w:lineRule="exact"/>
        <w:ind w:firstLine="640"/>
        <w:outlineLvl w:val="9"/>
        <w:rPr>
          <w:rFonts w:ascii="仿宋" w:hAnsi="仿宋" w:eastAsia="仿宋"/>
          <w:b/>
          <w:sz w:val="32"/>
          <w:szCs w:val="32"/>
        </w:rPr>
      </w:pPr>
      <w:bookmarkStart w:id="50" w:name="_Toc15377217"/>
      <w:r>
        <w:rPr>
          <w:rFonts w:hint="eastAsia" w:ascii="仿宋" w:hAnsi="仿宋" w:eastAsia="仿宋"/>
          <w:b/>
          <w:sz w:val="32"/>
          <w:szCs w:val="32"/>
        </w:rPr>
        <w:t>（二）“三公”经费财政拨款支出决算具体情况说明</w:t>
      </w:r>
      <w:bookmarkEnd w:id="50"/>
    </w:p>
    <w:p w14:paraId="183506D8">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b/>
          <w:sz w:val="32"/>
          <w:szCs w:val="32"/>
          <w:lang w:val="en-US" w:eastAsia="zh-CN"/>
        </w:rPr>
        <w:t>18.22</w:t>
      </w:r>
      <w:r>
        <w:rPr>
          <w:rFonts w:hint="eastAsia" w:ascii="仿宋" w:hAnsi="仿宋" w:eastAsia="仿宋"/>
          <w:sz w:val="32"/>
          <w:szCs w:val="32"/>
        </w:rPr>
        <w:t>万元，占</w:t>
      </w:r>
      <w:r>
        <w:rPr>
          <w:rFonts w:hint="eastAsia" w:ascii="仿宋" w:hAnsi="仿宋" w:eastAsia="仿宋"/>
          <w:b/>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14:paraId="7D27D8AA">
      <w:pPr>
        <w:pStyle w:val="13"/>
        <w:ind w:left="0" w:leftChars="0" w:firstLine="0" w:firstLineChars="0"/>
        <w:jc w:val="center"/>
      </w:pPr>
      <w:r>
        <w:drawing>
          <wp:inline distT="0" distB="0" distL="114300" distR="114300">
            <wp:extent cx="4332605" cy="2541905"/>
            <wp:effectExtent l="4445" t="4445" r="6350" b="6350"/>
            <wp:docPr id="120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B7CEF5">
      <w:pPr>
        <w:spacing w:line="600" w:lineRule="exact"/>
        <w:ind w:firstLine="640"/>
        <w:jc w:val="center"/>
        <w:rPr>
          <w:rFonts w:ascii="仿宋" w:hAnsi="仿宋" w:eastAsia="仿宋"/>
          <w:sz w:val="32"/>
          <w:szCs w:val="32"/>
        </w:rPr>
      </w:pPr>
      <w:r>
        <w:rPr>
          <w:rFonts w:hint="eastAsia" w:ascii="仿宋" w:hAnsi="仿宋" w:eastAsia="仿宋"/>
          <w:sz w:val="32"/>
          <w:szCs w:val="32"/>
        </w:rPr>
        <w:t>（图7：“三公”经费财政拨款支出结构）</w:t>
      </w:r>
    </w:p>
    <w:p w14:paraId="03D5DF49">
      <w:pPr>
        <w:spacing w:line="600" w:lineRule="exact"/>
        <w:ind w:firstLine="640"/>
        <w:rPr>
          <w:rFonts w:ascii="仿宋_GB2312" w:eastAsia="仿宋_GB2312"/>
          <w:sz w:val="32"/>
          <w:szCs w:val="32"/>
        </w:rPr>
      </w:pPr>
      <w:bookmarkStart w:id="51" w:name="_Toc15377218"/>
      <w:bookmarkStart w:id="52"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w:t>
      </w:r>
    </w:p>
    <w:p w14:paraId="498CD045">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 w:hAnsi="仿宋" w:eastAsia="仿宋"/>
          <w:b/>
          <w:sz w:val="32"/>
          <w:szCs w:val="32"/>
          <w:lang w:val="en-US" w:eastAsia="zh-CN"/>
        </w:rPr>
        <w:t>18.22</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2023</w:t>
      </w:r>
      <w:r>
        <w:rPr>
          <w:rFonts w:hint="eastAsia" w:ascii="仿宋_GB2312" w:eastAsia="仿宋_GB2312"/>
          <w:sz w:val="32"/>
          <w:szCs w:val="32"/>
        </w:rPr>
        <w:t>年度</w:t>
      </w:r>
      <w:r>
        <w:rPr>
          <w:rFonts w:hint="eastAsia" w:ascii="仿宋_GB2312" w:eastAsia="仿宋_GB2312"/>
          <w:sz w:val="32"/>
          <w:szCs w:val="32"/>
          <w:lang w:val="en-US" w:eastAsia="zh-CN"/>
        </w:rPr>
        <w:t>增加1.8</w:t>
      </w:r>
      <w:r>
        <w:rPr>
          <w:rFonts w:hint="eastAsia" w:ascii="仿宋_GB2312" w:eastAsia="仿宋_GB2312"/>
          <w:sz w:val="32"/>
          <w:szCs w:val="32"/>
        </w:rPr>
        <w:t>万元，</w:t>
      </w:r>
      <w:r>
        <w:rPr>
          <w:rFonts w:hint="eastAsia" w:ascii="仿宋_GB2312" w:eastAsia="仿宋_GB2312"/>
          <w:sz w:val="32"/>
          <w:szCs w:val="32"/>
          <w:lang w:val="en-US" w:eastAsia="zh-CN"/>
        </w:rPr>
        <w:t>增长10.96</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2024年度本单位公务用车运维费增加</w:t>
      </w:r>
      <w:r>
        <w:rPr>
          <w:rFonts w:hint="eastAsia" w:ascii="仿宋_GB2312" w:eastAsia="仿宋_GB2312"/>
          <w:sz w:val="32"/>
          <w:szCs w:val="32"/>
        </w:rPr>
        <w:t>。</w:t>
      </w:r>
    </w:p>
    <w:p w14:paraId="3105360D">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eastAsia="zh-CN"/>
        </w:rPr>
        <w:t>，应急保障用车</w:t>
      </w:r>
      <w:r>
        <w:rPr>
          <w:rFonts w:hint="eastAsia" w:ascii="仿宋_GB2312" w:eastAsia="仿宋_GB2312"/>
          <w:sz w:val="32"/>
          <w:szCs w:val="32"/>
          <w:lang w:val="en-US" w:eastAsia="zh-CN"/>
        </w:rPr>
        <w:t>1辆</w:t>
      </w:r>
      <w:r>
        <w:rPr>
          <w:rFonts w:hint="eastAsia" w:ascii="仿宋_GB2312" w:eastAsia="仿宋_GB2312"/>
          <w:sz w:val="32"/>
          <w:szCs w:val="32"/>
        </w:rPr>
        <w:t>。</w:t>
      </w:r>
    </w:p>
    <w:p w14:paraId="0598B11A">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b/>
          <w:sz w:val="32"/>
          <w:szCs w:val="32"/>
          <w:lang w:val="en-US" w:eastAsia="zh-CN"/>
        </w:rPr>
        <w:t>18.22</w:t>
      </w:r>
      <w:r>
        <w:rPr>
          <w:rFonts w:hint="eastAsia" w:ascii="仿宋_GB2312" w:eastAsia="仿宋_GB2312"/>
          <w:sz w:val="32"/>
          <w:szCs w:val="32"/>
        </w:rPr>
        <w:t>万元。主要用于</w:t>
      </w:r>
      <w:r>
        <w:rPr>
          <w:rFonts w:hint="eastAsia" w:ascii="仿宋_GB2312" w:eastAsia="仿宋_GB2312"/>
          <w:sz w:val="32"/>
          <w:szCs w:val="32"/>
          <w:lang w:val="en-US" w:eastAsia="zh-CN"/>
        </w:rPr>
        <w:t>日常工作</w:t>
      </w:r>
      <w:r>
        <w:rPr>
          <w:rFonts w:hint="eastAsia" w:ascii="仿宋_GB2312" w:eastAsia="仿宋_GB2312"/>
          <w:sz w:val="32"/>
          <w:szCs w:val="32"/>
        </w:rPr>
        <w:t>所需的公务用车燃料费、维修费、过路过桥费、保险费等支出。</w:t>
      </w:r>
    </w:p>
    <w:p w14:paraId="74A2BA73">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0%</w:t>
      </w:r>
      <w:r>
        <w:rPr>
          <w:rStyle w:val="16"/>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w:t>
      </w:r>
      <w:r>
        <w:rPr>
          <w:rFonts w:hint="eastAsia" w:ascii="仿宋_GB2312" w:eastAsia="仿宋_GB2312"/>
          <w:sz w:val="32"/>
          <w:szCs w:val="32"/>
        </w:rPr>
        <w:t>年度增加0万元，增长</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14:paraId="703CED35">
      <w:pPr>
        <w:spacing w:line="600" w:lineRule="exact"/>
        <w:ind w:firstLine="640"/>
        <w:rPr>
          <w:rFonts w:hint="eastAsia"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w:t>
      </w:r>
    </w:p>
    <w:p w14:paraId="65FE3B81">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14:paraId="57AD822D">
      <w:pPr>
        <w:spacing w:line="600" w:lineRule="exact"/>
        <w:ind w:firstLine="640"/>
        <w:outlineLvl w:val="9"/>
        <w:rPr>
          <w:rFonts w:ascii="黑体" w:eastAsia="黑体"/>
          <w:sz w:val="32"/>
          <w:szCs w:val="32"/>
        </w:rPr>
      </w:pPr>
    </w:p>
    <w:p w14:paraId="089F69EC">
      <w:pPr>
        <w:spacing w:line="600" w:lineRule="exact"/>
        <w:ind w:firstLine="640"/>
        <w:outlineLvl w:val="1"/>
        <w:rPr>
          <w:rStyle w:val="28"/>
          <w:rFonts w:ascii="黑体" w:hAnsi="黑体" w:eastAsia="黑体"/>
        </w:rPr>
      </w:pPr>
      <w:bookmarkStart w:id="53" w:name="_Toc1426"/>
      <w:r>
        <w:rPr>
          <w:rFonts w:hint="eastAsia" w:ascii="黑体" w:eastAsia="黑体"/>
          <w:sz w:val="32"/>
          <w:szCs w:val="32"/>
        </w:rPr>
        <w:t>八、</w:t>
      </w:r>
      <w:r>
        <w:rPr>
          <w:rStyle w:val="28"/>
          <w:rFonts w:hint="eastAsia" w:ascii="黑体" w:hAnsi="黑体" w:eastAsia="黑体"/>
          <w:b w:val="0"/>
        </w:rPr>
        <w:t>政府性基金预算支出决算情况说明</w:t>
      </w:r>
      <w:bookmarkEnd w:id="51"/>
      <w:bookmarkEnd w:id="52"/>
      <w:bookmarkEnd w:id="53"/>
    </w:p>
    <w:p w14:paraId="26B7E67E">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25FEF96F">
      <w:pPr>
        <w:spacing w:line="600" w:lineRule="exact"/>
        <w:ind w:firstLine="640"/>
        <w:rPr>
          <w:rFonts w:ascii="仿宋_GB2312" w:eastAsia="仿宋_GB2312"/>
          <w:sz w:val="32"/>
          <w:szCs w:val="32"/>
        </w:rPr>
      </w:pPr>
    </w:p>
    <w:p w14:paraId="1B294218">
      <w:pPr>
        <w:numPr>
          <w:ilvl w:val="0"/>
          <w:numId w:val="3"/>
        </w:numPr>
        <w:spacing w:line="600" w:lineRule="exact"/>
        <w:ind w:firstLine="640"/>
        <w:outlineLvl w:val="1"/>
        <w:rPr>
          <w:rStyle w:val="28"/>
          <w:rFonts w:ascii="黑体" w:hAnsi="黑体" w:eastAsia="黑体"/>
          <w:b w:val="0"/>
        </w:rPr>
      </w:pPr>
      <w:bookmarkStart w:id="54" w:name="_Toc15396611"/>
      <w:bookmarkStart w:id="55" w:name="_Toc15377219"/>
      <w:bookmarkStart w:id="56" w:name="_Toc5025"/>
      <w:r>
        <w:rPr>
          <w:rStyle w:val="28"/>
          <w:rFonts w:hint="eastAsia" w:ascii="黑体" w:hAnsi="黑体" w:eastAsia="黑体"/>
          <w:b w:val="0"/>
        </w:rPr>
        <w:t>国有资本经营预算支出决算情况说明</w:t>
      </w:r>
      <w:bookmarkEnd w:id="54"/>
      <w:bookmarkEnd w:id="55"/>
      <w:bookmarkEnd w:id="56"/>
    </w:p>
    <w:p w14:paraId="53750A11">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6B8D7F69">
      <w:pPr>
        <w:spacing w:line="580" w:lineRule="exact"/>
        <w:jc w:val="center"/>
        <w:rPr>
          <w:rFonts w:ascii="方正小标宋简体" w:hAnsi="方正小标宋简体" w:eastAsia="方正小标宋简体" w:cs="方正小标宋简体"/>
          <w:sz w:val="44"/>
          <w:szCs w:val="44"/>
        </w:rPr>
      </w:pPr>
    </w:p>
    <w:p w14:paraId="69B7E222">
      <w:pPr>
        <w:numPr>
          <w:ilvl w:val="0"/>
          <w:numId w:val="3"/>
        </w:numPr>
        <w:spacing w:line="600" w:lineRule="exact"/>
        <w:ind w:firstLine="640"/>
        <w:outlineLvl w:val="1"/>
        <w:rPr>
          <w:rStyle w:val="28"/>
          <w:rFonts w:ascii="黑体" w:hAnsi="黑体" w:eastAsia="黑体"/>
          <w:b w:val="0"/>
        </w:rPr>
      </w:pPr>
      <w:bookmarkStart w:id="57" w:name="_Toc139"/>
      <w:bookmarkStart w:id="58" w:name="_Toc15377221"/>
      <w:bookmarkStart w:id="59" w:name="_Toc15396612"/>
      <w:r>
        <w:rPr>
          <w:rStyle w:val="28"/>
          <w:rFonts w:hint="eastAsia" w:ascii="黑体" w:hAnsi="黑体" w:eastAsia="黑体"/>
          <w:b w:val="0"/>
        </w:rPr>
        <w:t>其他重要事项的情况说明</w:t>
      </w:r>
      <w:bookmarkEnd w:id="57"/>
      <w:bookmarkEnd w:id="58"/>
      <w:bookmarkEnd w:id="59"/>
    </w:p>
    <w:p w14:paraId="4E95E32F">
      <w:pPr>
        <w:spacing w:line="600" w:lineRule="exact"/>
        <w:ind w:firstLine="643" w:firstLineChars="200"/>
        <w:outlineLvl w:val="9"/>
        <w:rPr>
          <w:rFonts w:ascii="仿宋" w:hAnsi="仿宋" w:eastAsia="仿宋"/>
          <w:sz w:val="32"/>
          <w:szCs w:val="32"/>
        </w:rPr>
      </w:pPr>
      <w:bookmarkStart w:id="60" w:name="_Toc15377222"/>
      <w:r>
        <w:rPr>
          <w:rFonts w:hint="eastAsia" w:ascii="仿宋" w:hAnsi="仿宋" w:eastAsia="仿宋"/>
          <w:b/>
          <w:sz w:val="32"/>
          <w:szCs w:val="32"/>
        </w:rPr>
        <w:t>（一）机关运行经费支出情况</w:t>
      </w:r>
      <w:bookmarkEnd w:id="60"/>
    </w:p>
    <w:p w14:paraId="2EC178D0">
      <w:pPr>
        <w:spacing w:line="600" w:lineRule="exact"/>
        <w:ind w:firstLine="640" w:firstLineChars="200"/>
        <w:rPr>
          <w:rFonts w:ascii="仿宋" w:hAnsi="仿宋" w:eastAsia="仿宋"/>
          <w:b/>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b/>
          <w:sz w:val="32"/>
          <w:szCs w:val="32"/>
          <w:lang w:eastAsia="zh-CN"/>
        </w:rPr>
        <w:t>红原县卫生健康局（本级）</w:t>
      </w:r>
      <w:r>
        <w:rPr>
          <w:rFonts w:hint="eastAsia" w:ascii="仿宋_GB2312" w:eastAsia="仿宋_GB2312"/>
          <w:sz w:val="32"/>
          <w:szCs w:val="32"/>
        </w:rPr>
        <w:t>机关运行经费支出</w:t>
      </w:r>
      <w:r>
        <w:rPr>
          <w:rFonts w:hint="eastAsia" w:ascii="仿宋" w:hAnsi="仿宋" w:eastAsia="仿宋"/>
          <w:b/>
          <w:sz w:val="32"/>
          <w:szCs w:val="32"/>
          <w:lang w:val="en-US" w:eastAsia="zh-CN"/>
        </w:rPr>
        <w:t>39.69</w:t>
      </w:r>
      <w:r>
        <w:rPr>
          <w:rFonts w:hint="eastAsia" w:ascii="仿宋_GB2312" w:eastAsia="仿宋_GB2312"/>
          <w:sz w:val="32"/>
          <w:szCs w:val="32"/>
        </w:rPr>
        <w:t>万元，比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0.34</w:t>
      </w:r>
      <w:r>
        <w:rPr>
          <w:rFonts w:hint="eastAsia" w:ascii="仿宋_GB2312" w:eastAsia="仿宋_GB2312"/>
          <w:sz w:val="32"/>
          <w:szCs w:val="32"/>
        </w:rPr>
        <w:t>万元，增长</w:t>
      </w:r>
      <w:r>
        <w:rPr>
          <w:rFonts w:hint="eastAsia" w:ascii="仿宋_GB2312" w:eastAsia="仿宋_GB2312"/>
          <w:sz w:val="32"/>
          <w:szCs w:val="32"/>
          <w:lang w:val="en-US" w:eastAsia="zh-CN"/>
        </w:rPr>
        <w:t>0.86</w:t>
      </w:r>
      <w:r>
        <w:rPr>
          <w:rFonts w:ascii="仿宋_GB2312" w:eastAsia="仿宋_GB2312"/>
          <w:sz w:val="32"/>
          <w:szCs w:val="32"/>
        </w:rPr>
        <w:t>%</w:t>
      </w:r>
      <w:r>
        <w:rPr>
          <w:rFonts w:hint="eastAsia" w:ascii="仿宋_GB2312" w:eastAsia="仿宋_GB2312"/>
          <w:sz w:val="32"/>
          <w:szCs w:val="32"/>
          <w:lang w:val="en-US" w:eastAsia="zh-CN"/>
        </w:rPr>
        <w:t>,增幅不大</w:t>
      </w:r>
      <w:r>
        <w:rPr>
          <w:rFonts w:hint="eastAsia" w:ascii="仿宋_GB2312" w:eastAsia="仿宋_GB2312"/>
          <w:sz w:val="32"/>
          <w:szCs w:val="32"/>
        </w:rPr>
        <w:t>。</w:t>
      </w:r>
    </w:p>
    <w:p w14:paraId="045F76C1">
      <w:pPr>
        <w:autoSpaceDE w:val="0"/>
        <w:autoSpaceDN w:val="0"/>
        <w:adjustRightInd w:val="0"/>
        <w:spacing w:line="600" w:lineRule="exact"/>
        <w:ind w:firstLine="643" w:firstLineChars="200"/>
        <w:jc w:val="left"/>
        <w:outlineLvl w:val="9"/>
        <w:rPr>
          <w:rFonts w:ascii="仿宋" w:hAnsi="仿宋" w:eastAsia="仿宋"/>
          <w:b/>
          <w:sz w:val="32"/>
          <w:szCs w:val="32"/>
        </w:rPr>
      </w:pPr>
      <w:bookmarkStart w:id="61" w:name="_Toc15377223"/>
      <w:r>
        <w:rPr>
          <w:rFonts w:hint="eastAsia" w:ascii="仿宋" w:hAnsi="仿宋" w:eastAsia="仿宋"/>
          <w:b/>
          <w:sz w:val="32"/>
          <w:szCs w:val="32"/>
        </w:rPr>
        <w:t>（二）政府采购支出情况</w:t>
      </w:r>
      <w:bookmarkEnd w:id="61"/>
    </w:p>
    <w:p w14:paraId="25362DA8">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b/>
          <w:sz w:val="32"/>
          <w:szCs w:val="32"/>
          <w:lang w:eastAsia="zh-CN"/>
        </w:rPr>
        <w:t>红原县卫生健康局（本级）</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4CBC0842">
      <w:pPr>
        <w:autoSpaceDE w:val="0"/>
        <w:autoSpaceDN w:val="0"/>
        <w:adjustRightInd w:val="0"/>
        <w:spacing w:line="600" w:lineRule="exact"/>
        <w:ind w:firstLine="643" w:firstLineChars="200"/>
        <w:jc w:val="left"/>
        <w:outlineLvl w:val="9"/>
        <w:rPr>
          <w:rFonts w:ascii="仿宋" w:hAnsi="仿宋" w:eastAsia="仿宋"/>
          <w:b/>
          <w:sz w:val="32"/>
          <w:szCs w:val="32"/>
        </w:rPr>
      </w:pPr>
      <w:bookmarkStart w:id="62" w:name="_Toc15377224"/>
      <w:r>
        <w:rPr>
          <w:rFonts w:hint="eastAsia" w:ascii="仿宋" w:hAnsi="仿宋" w:eastAsia="仿宋"/>
          <w:b/>
          <w:sz w:val="32"/>
          <w:szCs w:val="32"/>
        </w:rPr>
        <w:t>（三）国有资产占有使用情况</w:t>
      </w:r>
      <w:bookmarkEnd w:id="62"/>
    </w:p>
    <w:p w14:paraId="7876AD0B">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b/>
          <w:sz w:val="32"/>
          <w:szCs w:val="32"/>
          <w:lang w:eastAsia="zh-CN"/>
        </w:rPr>
        <w:t>红原县卫生健康局（本级）</w:t>
      </w:r>
      <w:r>
        <w:rPr>
          <w:rFonts w:hint="eastAsia" w:ascii="仿宋_GB2312" w:eastAsia="仿宋_GB2312"/>
          <w:sz w:val="32"/>
          <w:szCs w:val="32"/>
        </w:rPr>
        <w:t>共有车辆</w:t>
      </w:r>
      <w:r>
        <w:rPr>
          <w:rFonts w:hint="eastAsia" w:ascii="仿宋_GB2312" w:eastAsia="仿宋_GB2312"/>
          <w:b/>
          <w:sz w:val="32"/>
          <w:szCs w:val="32"/>
          <w:lang w:val="en-US" w:eastAsia="zh-CN"/>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val="en-US" w:eastAsia="zh-CN"/>
        </w:rPr>
        <w:t>0</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sz w:val="32"/>
          <w:szCs w:val="32"/>
        </w:rPr>
        <w:t>0</w:t>
      </w:r>
      <w:r>
        <w:rPr>
          <w:rFonts w:hint="eastAsia" w:ascii="仿宋_GB2312" w:eastAsia="仿宋_GB2312"/>
          <w:sz w:val="32"/>
          <w:szCs w:val="32"/>
        </w:rPr>
        <w:t>台（套）。</w:t>
      </w:r>
    </w:p>
    <w:p w14:paraId="25E686B7">
      <w:pPr>
        <w:autoSpaceDE w:val="0"/>
        <w:autoSpaceDN w:val="0"/>
        <w:adjustRightInd w:val="0"/>
        <w:spacing w:line="600" w:lineRule="exact"/>
        <w:ind w:firstLine="643" w:firstLineChars="200"/>
        <w:jc w:val="left"/>
        <w:outlineLvl w:val="9"/>
        <w:rPr>
          <w:rFonts w:ascii="仿宋" w:hAnsi="仿宋" w:eastAsia="仿宋"/>
          <w:b/>
          <w:sz w:val="32"/>
          <w:szCs w:val="32"/>
        </w:rPr>
      </w:pPr>
      <w:r>
        <w:rPr>
          <w:rFonts w:hint="eastAsia" w:ascii="仿宋" w:hAnsi="仿宋" w:eastAsia="仿宋"/>
          <w:b/>
          <w:sz w:val="32"/>
          <w:szCs w:val="32"/>
        </w:rPr>
        <w:t>（四）预算绩效管理情况</w:t>
      </w:r>
    </w:p>
    <w:p w14:paraId="699C26E9">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w:t>
      </w:r>
      <w:r>
        <w:rPr>
          <w:rFonts w:hint="eastAsia" w:ascii="仿宋_GB2312" w:eastAsia="仿宋_GB2312"/>
          <w:sz w:val="32"/>
          <w:szCs w:val="32"/>
          <w:lang w:val="en-US" w:eastAsia="zh-CN"/>
        </w:rPr>
        <w:t>4</w:t>
      </w:r>
      <w:r>
        <w:rPr>
          <w:rFonts w:hint="eastAsia" w:ascii="仿宋_GB2312" w:eastAsia="仿宋_GB2312"/>
          <w:sz w:val="32"/>
          <w:szCs w:val="32"/>
        </w:rPr>
        <w:t>年度预算</w:t>
      </w:r>
      <w:r>
        <w:rPr>
          <w:rFonts w:hint="eastAsia" w:ascii="仿宋_GB2312" w:eastAsia="仿宋_GB2312"/>
          <w:sz w:val="32"/>
          <w:szCs w:val="32"/>
          <w:lang w:val="en-US" w:eastAsia="zh-CN"/>
        </w:rPr>
        <w:t>执行过程中</w:t>
      </w:r>
      <w:r>
        <w:rPr>
          <w:rFonts w:hint="eastAsia" w:ascii="仿宋_GB2312" w:eastAsia="仿宋_GB2312"/>
          <w:sz w:val="32"/>
          <w:szCs w:val="32"/>
        </w:rPr>
        <w:t>，组织对卫生扶贫救助基金</w:t>
      </w:r>
      <w:r>
        <w:rPr>
          <w:rFonts w:hint="eastAsia" w:ascii="仿宋_GB2312" w:eastAsia="仿宋_GB2312"/>
          <w:sz w:val="32"/>
          <w:szCs w:val="32"/>
          <w:lang w:eastAsia="zh-CN"/>
        </w:rPr>
        <w:t>、退休人员建房补贴及安家费、红原县卫生健康局退休人员一次性补贴</w:t>
      </w:r>
      <w:r>
        <w:rPr>
          <w:rFonts w:hint="eastAsia" w:ascii="仿宋_GB2312" w:eastAsia="仿宋_GB2312"/>
          <w:sz w:val="32"/>
          <w:szCs w:val="32"/>
        </w:rPr>
        <w:t>项目开展了预算事前绩效评估，对</w:t>
      </w:r>
      <w:r>
        <w:rPr>
          <w:rFonts w:hint="eastAsia" w:ascii="仿宋_GB2312" w:eastAsia="仿宋_GB2312"/>
          <w:sz w:val="32"/>
          <w:szCs w:val="32"/>
          <w:lang w:val="en-US" w:eastAsia="zh-CN"/>
        </w:rPr>
        <w:t>3</w:t>
      </w:r>
      <w:r>
        <w:rPr>
          <w:rFonts w:hint="eastAsia" w:ascii="仿宋_GB2312" w:eastAsia="仿宋_GB2312"/>
          <w:sz w:val="32"/>
          <w:szCs w:val="32"/>
        </w:rPr>
        <w:t>个项目编制了绩效目标，选取</w:t>
      </w:r>
      <w:r>
        <w:rPr>
          <w:rFonts w:hint="eastAsia" w:ascii="仿宋_GB2312" w:eastAsia="仿宋_GB2312"/>
          <w:sz w:val="32"/>
          <w:szCs w:val="32"/>
          <w:lang w:val="en-US" w:eastAsia="zh-CN"/>
        </w:rPr>
        <w:t>3</w:t>
      </w:r>
      <w:r>
        <w:rPr>
          <w:rFonts w:hint="eastAsia" w:ascii="仿宋_GB2312" w:eastAsia="仿宋_GB2312"/>
          <w:sz w:val="32"/>
          <w:szCs w:val="32"/>
        </w:rPr>
        <w:t>个项目开展绩效监控，组织对</w:t>
      </w:r>
      <w:r>
        <w:rPr>
          <w:rFonts w:hint="eastAsia" w:ascii="仿宋_GB2312" w:eastAsia="仿宋_GB2312"/>
          <w:sz w:val="32"/>
          <w:szCs w:val="32"/>
          <w:lang w:val="en-US" w:eastAsia="zh-CN"/>
        </w:rPr>
        <w:t>3</w:t>
      </w:r>
      <w:r>
        <w:rPr>
          <w:rFonts w:hint="eastAsia" w:ascii="仿宋_GB2312" w:eastAsia="仿宋_GB2312"/>
          <w:sz w:val="32"/>
          <w:szCs w:val="32"/>
        </w:rPr>
        <w:t>个项目开展绩效自评，绩效自评表详见第四部分附件。</w:t>
      </w:r>
    </w:p>
    <w:p w14:paraId="5E2D473B">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140CF6FB">
      <w:pPr>
        <w:numPr>
          <w:ilvl w:val="0"/>
          <w:numId w:val="4"/>
        </w:numPr>
        <w:spacing w:line="600" w:lineRule="exact"/>
        <w:ind w:firstLine="660" w:firstLineChars="150"/>
        <w:jc w:val="center"/>
        <w:outlineLvl w:val="0"/>
        <w:rPr>
          <w:rStyle w:val="27"/>
          <w:rFonts w:ascii="黑体" w:hAnsi="黑体" w:eastAsia="黑体"/>
          <w:b w:val="0"/>
        </w:rPr>
      </w:pPr>
      <w:bookmarkStart w:id="63" w:name="_Toc30970"/>
      <w:bookmarkStart w:id="64" w:name="_Toc15377225"/>
      <w:bookmarkStart w:id="65" w:name="_Toc15396613"/>
      <w:r>
        <w:rPr>
          <w:rFonts w:hint="eastAsia" w:ascii="黑体" w:hAnsi="黑体" w:eastAsia="黑体"/>
          <w:sz w:val="44"/>
          <w:szCs w:val="44"/>
        </w:rPr>
        <w:t>名</w:t>
      </w:r>
      <w:r>
        <w:rPr>
          <w:rStyle w:val="27"/>
          <w:rFonts w:hint="eastAsia" w:ascii="黑体" w:hAnsi="黑体" w:eastAsia="黑体"/>
          <w:b w:val="0"/>
        </w:rPr>
        <w:t>词解释</w:t>
      </w:r>
      <w:bookmarkEnd w:id="63"/>
      <w:bookmarkEnd w:id="64"/>
      <w:bookmarkEnd w:id="65"/>
    </w:p>
    <w:p w14:paraId="4E812CDF">
      <w:pPr>
        <w:spacing w:line="600" w:lineRule="exact"/>
        <w:jc w:val="left"/>
        <w:rPr>
          <w:rFonts w:ascii="宋体"/>
          <w:b/>
          <w:sz w:val="44"/>
          <w:szCs w:val="44"/>
        </w:rPr>
      </w:pPr>
    </w:p>
    <w:p w14:paraId="65CE9CF5">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1.财政拨款收入：指单位从同级财政部门取得的财政预算资金。</w:t>
      </w:r>
    </w:p>
    <w:p w14:paraId="466A99B3">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2.事业收入：指事业单位开展专业业务活动及辅助活动取得的收入。</w:t>
      </w:r>
    </w:p>
    <w:p w14:paraId="155CA907">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3.经营收入：指事业单位在专业业务活动及其辅助活动之外开展非独立核算经营活动取得的收入。</w:t>
      </w:r>
    </w:p>
    <w:p w14:paraId="659C1139">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4.其他收入：指单位取得的除上述收入以外的各项收入。</w:t>
      </w:r>
    </w:p>
    <w:p w14:paraId="0C1A00A1">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5.使用非财政拨款结余：指事业单位使用以前年度积累的非财政拨款结余弥补当年收支差额的金额。</w:t>
      </w:r>
    </w:p>
    <w:p w14:paraId="6493A132">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6.年初结转和结余：指以前年度尚未完成、结转到本年按有关规定继续使用的资金。</w:t>
      </w:r>
    </w:p>
    <w:p w14:paraId="7073A57D">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7.结余分配：指事业单位按照会计制度规定缴纳的所得税、提取的专用结余以及转入非财政拨款结余的金额等。</w:t>
      </w:r>
    </w:p>
    <w:p w14:paraId="4B3C57A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8.年末结转和结余：指单位按有关规定结转到下年或以后年度继续使用的资金。</w:t>
      </w:r>
    </w:p>
    <w:p w14:paraId="63CB38CB">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9.社会保障和就业支出（类）行政事业单位养老支出（款）机关事业单位基本养老保险缴费支出（项）:指反映机关事业单位实施养老保险制度由单位缴纳的基本养老保险费支出。</w:t>
      </w:r>
    </w:p>
    <w:p w14:paraId="0EABBDE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10.社会保障和就业支出（类）行政事业单位养老支出（款）机关事业单位职业年金缴费支出（项）:指反映机关事业单位实施养老保险制度由单位实际缴纳的职业年金支出。</w:t>
      </w:r>
    </w:p>
    <w:p w14:paraId="37B7087D">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11.卫生健康支出（类）卫生健康管理事务（款）其他卫生健康管理事务支出（项）:指反映除上述项目以外其他用于卫生健康管理事务方面的支出。</w:t>
      </w:r>
    </w:p>
    <w:p w14:paraId="78A8F346">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12.卫生健康支出（类）基层医疗卫生机构（款）乡镇卫生院（项）:指反映用于乡镇卫生院的支出。</w:t>
      </w:r>
    </w:p>
    <w:p w14:paraId="516E482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13.卫生健康支出（类）基层医疗卫生机构（款）其他基层医疗卫生机构支出（项）:指反映除上述项目以外的其他用于基层医疗卫生机构的支出。</w:t>
      </w:r>
    </w:p>
    <w:p w14:paraId="23C1441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14.卫生健康支出（类）公共卫生（款）基本公共卫生服务（项）:指反映基本公共卫生服务支出。</w:t>
      </w:r>
    </w:p>
    <w:p w14:paraId="2885E20F">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15.卫生健康支出（类）公共卫生（款）重大公共卫生服务（项）:指反映重大疾病、重大传染病预防控制等重大公共卫生服务项目支出。</w:t>
      </w:r>
    </w:p>
    <w:p w14:paraId="5E2FB949">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16.卫生健康支出（类）公共卫生（款）其他公共卫生支出（项）:指其他公共卫生支出反映除上述项目以外的其他用于公共卫生方面的支出。</w:t>
      </w:r>
    </w:p>
    <w:p w14:paraId="72E30C65">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17.卫生健康支出（类）计划生育事务（款）计划生育机构（项）:指反映卫生健康部门所属计划生育机构的支出。</w:t>
      </w:r>
    </w:p>
    <w:p w14:paraId="530CEFDB">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18.卫生健康支出（类）计划生育事务（款）计划生育服务（项）:指反映计划生育服务支出。</w:t>
      </w:r>
    </w:p>
    <w:p w14:paraId="443D5913">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19.卫生健康支出（类）计划生育事务（款）其他计划生育事务支出（项）:指反映除上述项目以外其他用于计划生育管理事务方面的支出。</w:t>
      </w:r>
    </w:p>
    <w:p w14:paraId="0F68C1D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20.卫生健康支出（类）行政事业单位医疗（款）事业单位医疗（项）:指反映财政部门安排的事业单位基本医疗保险缴费经费，未参加医疗保险的事业单位的公费医疗经费，按国家规定享受离休人员待遇的医疗经费。</w:t>
      </w:r>
    </w:p>
    <w:p w14:paraId="6CF9271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21.卫生健康支出（类）行政事业单位医疗（款）其他行政事业单位医疗支出（项）:指反映除上述项目以外的其他用于行政事业单位医疗方面的支出。</w:t>
      </w:r>
    </w:p>
    <w:p w14:paraId="455785E0">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22.卫生健康支出（类）其他卫生健康支出（款）其他卫生健康支出（项）:指反映除上述项目以外其他用于卫生健康方面的支出。</w:t>
      </w:r>
    </w:p>
    <w:p w14:paraId="047DF5F6">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23.住房保障支出（类）住房改革支出（款）住房公积金（项）:指反映行政事业单位按人力资源和社会保障部、财政部规定的基本工资和津贴补贴以及规定比例为职工缴纳的住房公积金。</w:t>
      </w:r>
    </w:p>
    <w:p w14:paraId="557B899E">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24.基本支出：指为保障机构正常运转、完成日常工作任务而发生的人员支出和公用支出。</w:t>
      </w:r>
    </w:p>
    <w:p w14:paraId="7FA4BDAB">
      <w:pPr>
        <w:pStyle w:val="25"/>
        <w:spacing w:line="560" w:lineRule="exact"/>
        <w:ind w:firstLine="640" w:firstLineChars="200"/>
        <w:rPr>
          <w:rFonts w:ascii="仿宋_GB2312" w:eastAsia="仿宋_GB2312"/>
          <w:sz w:val="32"/>
          <w:szCs w:val="32"/>
        </w:rPr>
      </w:pPr>
      <w:r>
        <w:rPr>
          <w:rFonts w:hint="eastAsia" w:ascii="仿宋_GB2312" w:eastAsia="仿宋_GB2312"/>
          <w:color w:val="auto"/>
          <w:sz w:val="32"/>
          <w:szCs w:val="32"/>
          <w:highlight w:val="none"/>
          <w:lang w:val="en-US" w:eastAsia="zh-CN"/>
        </w:rPr>
        <w:t>25.项目支出：指在基本支出</w:t>
      </w:r>
      <w:r>
        <w:rPr>
          <w:rFonts w:hint="eastAsia" w:ascii="仿宋_GB2312" w:eastAsia="仿宋_GB2312"/>
          <w:sz w:val="32"/>
          <w:szCs w:val="32"/>
        </w:rPr>
        <w:t>之外为完成特定行政任务和事业发展目标所发生的支出。</w:t>
      </w:r>
      <w:r>
        <w:rPr>
          <w:rFonts w:ascii="仿宋_GB2312" w:eastAsia="仿宋_GB2312"/>
          <w:sz w:val="32"/>
          <w:szCs w:val="32"/>
        </w:rPr>
        <w:t xml:space="preserve"> </w:t>
      </w:r>
    </w:p>
    <w:p w14:paraId="55036A5B">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3C704F51">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27</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6915E1">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28</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FF8D18">
      <w:pPr>
        <w:spacing w:line="600" w:lineRule="exact"/>
        <w:jc w:val="center"/>
        <w:outlineLvl w:val="0"/>
        <w:rPr>
          <w:rStyle w:val="27"/>
          <w:rFonts w:hint="eastAsia" w:ascii="黑体" w:hAnsi="黑体" w:eastAsia="黑体"/>
          <w:b w:val="0"/>
        </w:rPr>
      </w:pPr>
      <w:bookmarkStart w:id="66" w:name="_Toc15377226"/>
      <w:r>
        <w:rPr>
          <w:rFonts w:ascii="宋体"/>
          <w:b/>
          <w:sz w:val="44"/>
          <w:szCs w:val="44"/>
        </w:rPr>
        <w:br w:type="page"/>
      </w:r>
      <w:bookmarkStart w:id="67" w:name="_Toc15396614"/>
      <w:bookmarkStart w:id="68" w:name="_Toc1240"/>
      <w:r>
        <w:rPr>
          <w:rFonts w:hint="eastAsia" w:ascii="黑体" w:hAnsi="黑体" w:eastAsia="黑体"/>
          <w:sz w:val="44"/>
          <w:szCs w:val="44"/>
        </w:rPr>
        <w:t>第</w:t>
      </w:r>
      <w:r>
        <w:rPr>
          <w:rStyle w:val="27"/>
          <w:rFonts w:hint="eastAsia" w:ascii="黑体" w:hAnsi="黑体" w:eastAsia="黑体"/>
          <w:b w:val="0"/>
        </w:rPr>
        <w:t>四部分 附件</w:t>
      </w:r>
      <w:bookmarkEnd w:id="67"/>
      <w:bookmarkEnd w:id="68"/>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04"/>
        <w:gridCol w:w="844"/>
        <w:gridCol w:w="1130"/>
        <w:gridCol w:w="396"/>
        <w:gridCol w:w="781"/>
        <w:gridCol w:w="756"/>
        <w:gridCol w:w="846"/>
        <w:gridCol w:w="486"/>
        <w:gridCol w:w="396"/>
        <w:gridCol w:w="1307"/>
      </w:tblGrid>
      <w:tr w14:paraId="6F26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418C7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69"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49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06C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3EF6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51323322T000007202839-卫生扶贫救助基金</w:t>
            </w:r>
          </w:p>
        </w:tc>
      </w:tr>
      <w:tr w14:paraId="60F60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E1C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9668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3" w:type="pct"/>
            <w:tcBorders>
              <w:top w:val="nil"/>
              <w:left w:val="nil"/>
              <w:bottom w:val="nil"/>
              <w:right w:val="nil"/>
            </w:tcBorders>
            <w:shd w:val="clear" w:color="auto" w:fill="auto"/>
            <w:vAlign w:val="center"/>
          </w:tcPr>
          <w:p w14:paraId="399868A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80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红原县卫生健康局机关</w:t>
            </w:r>
          </w:p>
        </w:tc>
      </w:tr>
      <w:tr w14:paraId="75CDA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F24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4B4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C0A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2EE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D64B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6D24A">
            <w:pPr>
              <w:rPr>
                <w:rFonts w:hint="eastAsia" w:ascii="宋体" w:hAnsi="宋体" w:eastAsia="宋体" w:cs="宋体"/>
                <w:i w:val="0"/>
                <w:iCs w:val="0"/>
                <w:color w:val="000000"/>
                <w:sz w:val="18"/>
                <w:szCs w:val="18"/>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AA35">
            <w:pPr>
              <w:rPr>
                <w:rFonts w:hint="eastAsia" w:ascii="宋体" w:hAnsi="宋体" w:eastAsia="宋体" w:cs="宋体"/>
                <w:i w:val="0"/>
                <w:iCs w:val="0"/>
                <w:color w:val="000000"/>
                <w:sz w:val="18"/>
                <w:szCs w:val="18"/>
                <w:u w:val="none"/>
              </w:rPr>
            </w:pP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1918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脱贫户医疗费用个人自付费用控制在5%以内。</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10C1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针对建档立卡的贫困人口，特别是那些在享受现有医疗保障政策后，个人支付医疗费用仍然超过控费目标要求的贫困患者。</w:t>
            </w:r>
          </w:p>
        </w:tc>
      </w:tr>
      <w:tr w14:paraId="2DD03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EC01B">
            <w:pP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D67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E97D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针对建档立卡的贫困人口，特别是那些在享受现有医疗保障政策后，个人支付医疗费用仍然超过控费目标要求的贫困患者。</w:t>
            </w:r>
          </w:p>
        </w:tc>
      </w:tr>
      <w:tr w14:paraId="3A047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91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4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C4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D4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412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0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96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F5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F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BC7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B7B4">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C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E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6D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23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DD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09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23D49">
            <w:pPr>
              <w:jc w:val="center"/>
              <w:rPr>
                <w:rFonts w:hint="eastAsia" w:ascii="宋体" w:hAnsi="宋体" w:eastAsia="宋体" w:cs="宋体"/>
                <w:i w:val="0"/>
                <w:iCs w:val="0"/>
                <w:color w:val="000000"/>
                <w:sz w:val="18"/>
                <w:szCs w:val="18"/>
                <w:u w:val="none"/>
              </w:rPr>
            </w:pPr>
          </w:p>
        </w:tc>
        <w:tc>
          <w:tcPr>
            <w:tcW w:w="8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2DB5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2C38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64434">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C1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0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9E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B5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C9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CA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78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71510">
            <w:pPr>
              <w:rPr>
                <w:rFonts w:hint="eastAsia" w:ascii="黑体" w:hAnsi="黑体" w:eastAsia="黑体" w:cs="黑体"/>
                <w:i/>
                <w:iCs/>
                <w:color w:val="000000"/>
                <w:sz w:val="18"/>
                <w:szCs w:val="18"/>
                <w:u w:val="none"/>
              </w:rPr>
            </w:pPr>
          </w:p>
        </w:tc>
      </w:tr>
      <w:tr w14:paraId="5012D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80415">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1D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6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7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B0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9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8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9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1CC5D">
            <w:pPr>
              <w:rPr>
                <w:rFonts w:hint="eastAsia" w:ascii="黑体" w:hAnsi="黑体" w:eastAsia="黑体" w:cs="黑体"/>
                <w:i/>
                <w:iCs/>
                <w:color w:val="000000"/>
                <w:sz w:val="18"/>
                <w:szCs w:val="18"/>
                <w:u w:val="none"/>
              </w:rPr>
            </w:pPr>
          </w:p>
        </w:tc>
      </w:tr>
      <w:tr w14:paraId="7D86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F9DF5">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0C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D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48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26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B8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83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89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788F4">
            <w:pPr>
              <w:rPr>
                <w:rFonts w:hint="eastAsia" w:ascii="黑体" w:hAnsi="黑体" w:eastAsia="黑体" w:cs="黑体"/>
                <w:i/>
                <w:iCs/>
                <w:color w:val="000000"/>
                <w:sz w:val="18"/>
                <w:szCs w:val="18"/>
                <w:u w:val="none"/>
              </w:rPr>
            </w:pPr>
          </w:p>
        </w:tc>
      </w:tr>
      <w:tr w14:paraId="07ABD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66386">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4A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BBCA0">
            <w:pPr>
              <w:jc w:val="center"/>
              <w:rPr>
                <w:rFonts w:hint="eastAsia" w:ascii="微软雅黑" w:hAnsi="微软雅黑" w:eastAsia="微软雅黑" w:cs="微软雅黑"/>
                <w:i/>
                <w:iCs/>
                <w:color w:val="000000"/>
                <w:sz w:val="16"/>
                <w:szCs w:val="16"/>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66444">
            <w:pPr>
              <w:jc w:val="center"/>
              <w:rPr>
                <w:rFonts w:hint="eastAsia" w:ascii="微软雅黑" w:hAnsi="微软雅黑" w:eastAsia="微软雅黑" w:cs="微软雅黑"/>
                <w:i/>
                <w:iCs/>
                <w:color w:val="000000"/>
                <w:sz w:val="16"/>
                <w:szCs w:val="16"/>
                <w:u w:val="none"/>
              </w:rPr>
            </w:pP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999144">
            <w:pPr>
              <w:jc w:val="center"/>
              <w:rPr>
                <w:rFonts w:hint="eastAsia" w:ascii="微软雅黑" w:hAnsi="微软雅黑" w:eastAsia="微软雅黑" w:cs="微软雅黑"/>
                <w:i/>
                <w:iCs/>
                <w:color w:val="000000"/>
                <w:sz w:val="16"/>
                <w:szCs w:val="16"/>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39F3">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A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8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0181F">
            <w:pPr>
              <w:rPr>
                <w:rFonts w:hint="eastAsia" w:ascii="黑体" w:hAnsi="黑体" w:eastAsia="黑体" w:cs="黑体"/>
                <w:i/>
                <w:iCs/>
                <w:color w:val="000000"/>
                <w:sz w:val="18"/>
                <w:szCs w:val="18"/>
                <w:u w:val="none"/>
              </w:rPr>
            </w:pPr>
          </w:p>
        </w:tc>
      </w:tr>
      <w:tr w14:paraId="615FB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AC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5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A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8B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3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DF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2D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0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4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2B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1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8AA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B3CD">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A3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0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74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个人自付费用率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31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3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E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C6A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5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44CEE">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8EF2C">
            <w:pPr>
              <w:jc w:val="center"/>
              <w:rPr>
                <w:rFonts w:hint="eastAsia" w:ascii="微软雅黑" w:hAnsi="微软雅黑" w:eastAsia="微软雅黑" w:cs="微软雅黑"/>
                <w:i/>
                <w:iCs/>
                <w:color w:val="000000"/>
                <w:sz w:val="16"/>
                <w:szCs w:val="16"/>
                <w:u w:val="none"/>
              </w:rPr>
            </w:pPr>
          </w:p>
        </w:tc>
      </w:tr>
      <w:tr w14:paraId="45AE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E3FB">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66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D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A4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受益户数</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8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C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A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户（套）</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2D141">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67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83727">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3F2CC">
            <w:pPr>
              <w:jc w:val="center"/>
              <w:rPr>
                <w:rFonts w:hint="eastAsia" w:ascii="微软雅黑" w:hAnsi="微软雅黑" w:eastAsia="微软雅黑" w:cs="微软雅黑"/>
                <w:i/>
                <w:iCs/>
                <w:color w:val="000000"/>
                <w:sz w:val="16"/>
                <w:szCs w:val="16"/>
                <w:u w:val="none"/>
              </w:rPr>
            </w:pPr>
          </w:p>
        </w:tc>
      </w:tr>
      <w:tr w14:paraId="2DC1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49FB2">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1B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7D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F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受益对象满意程度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7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E1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C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1207">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3F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11A0C">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07F6">
            <w:pPr>
              <w:jc w:val="center"/>
              <w:rPr>
                <w:rFonts w:hint="eastAsia" w:ascii="微软雅黑" w:hAnsi="微软雅黑" w:eastAsia="微软雅黑" w:cs="微软雅黑"/>
                <w:i/>
                <w:iCs/>
                <w:color w:val="000000"/>
                <w:sz w:val="16"/>
                <w:szCs w:val="16"/>
                <w:u w:val="none"/>
              </w:rPr>
            </w:pPr>
          </w:p>
        </w:tc>
      </w:tr>
      <w:tr w14:paraId="27991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137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24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D509">
            <w:pP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E539">
            <w:pPr>
              <w:rPr>
                <w:rFonts w:hint="eastAsia" w:ascii="宋体" w:hAnsi="宋体" w:eastAsia="宋体" w:cs="宋体"/>
                <w:i w:val="0"/>
                <w:iCs w:val="0"/>
                <w:color w:val="000000"/>
                <w:sz w:val="18"/>
                <w:szCs w:val="18"/>
                <w:u w:val="none"/>
              </w:rPr>
            </w:pPr>
          </w:p>
        </w:tc>
      </w:tr>
      <w:tr w14:paraId="1D696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B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8DBB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减轻了贫困患者的医疗负担，降低了因病致贫、因病返贫的风险。通过提供及时的医疗费用救助，帮助贫困患者获得了必要的医疗服务，提高了其健康水平和生活质量。2、提高了贫困地区医疗保障的覆盖率和保障水平。通过整合政府、社会等多方面的资源，形成了多元化的医疗保障体系，为贫困患者提供了更加全面、有效的医疗保障服务。3、有助于缓解社会矛盾和促进社会和谐稳定。通过减轻贫困患者的医疗负担和提高其生活质量，增强了贫困人口的获得感和幸福感，有助于维护社会稳定和长治久安。</w:t>
            </w:r>
          </w:p>
        </w:tc>
      </w:tr>
      <w:tr w14:paraId="63F6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6B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942F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CAA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28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22D0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E6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EBFB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项目负责人扎西拉吉</w:t>
            </w:r>
          </w:p>
        </w:tc>
        <w:tc>
          <w:tcPr>
            <w:tcW w:w="248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04A5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财务负责人：易勤佳</w:t>
            </w:r>
          </w:p>
        </w:tc>
      </w:tr>
      <w:tr w14:paraId="39A7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3D028AA0">
            <w:pPr>
              <w:rPr>
                <w:rFonts w:hint="eastAsia" w:ascii="宋体" w:hAnsi="宋体" w:eastAsia="宋体" w:cs="宋体"/>
                <w:i w:val="0"/>
                <w:iCs w:val="0"/>
                <w:color w:val="000000"/>
                <w:sz w:val="18"/>
                <w:szCs w:val="18"/>
                <w:u w:val="none"/>
              </w:rPr>
            </w:pPr>
          </w:p>
        </w:tc>
        <w:tc>
          <w:tcPr>
            <w:tcW w:w="704" w:type="pct"/>
            <w:tcBorders>
              <w:top w:val="nil"/>
              <w:left w:val="nil"/>
              <w:bottom w:val="nil"/>
              <w:right w:val="nil"/>
            </w:tcBorders>
            <w:shd w:val="clear" w:color="auto" w:fill="auto"/>
            <w:vAlign w:val="center"/>
          </w:tcPr>
          <w:p w14:paraId="7FCE4155">
            <w:pPr>
              <w:rPr>
                <w:rFonts w:hint="eastAsia" w:ascii="宋体" w:hAnsi="宋体" w:eastAsia="宋体" w:cs="宋体"/>
                <w:i w:val="0"/>
                <w:iCs w:val="0"/>
                <w:color w:val="000000"/>
                <w:sz w:val="18"/>
                <w:szCs w:val="18"/>
                <w:u w:val="none"/>
              </w:rPr>
            </w:pPr>
          </w:p>
        </w:tc>
        <w:tc>
          <w:tcPr>
            <w:tcW w:w="610" w:type="pct"/>
            <w:tcBorders>
              <w:top w:val="nil"/>
              <w:left w:val="nil"/>
              <w:bottom w:val="nil"/>
              <w:right w:val="nil"/>
            </w:tcBorders>
            <w:shd w:val="clear" w:color="auto" w:fill="auto"/>
            <w:vAlign w:val="center"/>
          </w:tcPr>
          <w:p w14:paraId="27E599E0">
            <w:pPr>
              <w:rPr>
                <w:rFonts w:hint="eastAsia" w:ascii="宋体" w:hAnsi="宋体" w:eastAsia="宋体" w:cs="宋体"/>
                <w:i w:val="0"/>
                <w:iCs w:val="0"/>
                <w:color w:val="000000"/>
                <w:sz w:val="18"/>
                <w:szCs w:val="18"/>
                <w:u w:val="none"/>
              </w:rPr>
            </w:pPr>
          </w:p>
        </w:tc>
        <w:tc>
          <w:tcPr>
            <w:tcW w:w="778" w:type="pct"/>
            <w:tcBorders>
              <w:top w:val="nil"/>
              <w:left w:val="nil"/>
              <w:bottom w:val="nil"/>
              <w:right w:val="nil"/>
            </w:tcBorders>
            <w:shd w:val="clear" w:color="auto" w:fill="auto"/>
            <w:vAlign w:val="center"/>
          </w:tcPr>
          <w:p w14:paraId="69146D9D">
            <w:pPr>
              <w:rPr>
                <w:rFonts w:hint="eastAsia" w:ascii="宋体" w:hAnsi="宋体" w:eastAsia="宋体" w:cs="宋体"/>
                <w:i w:val="0"/>
                <w:iCs w:val="0"/>
                <w:color w:val="000000"/>
                <w:sz w:val="18"/>
                <w:szCs w:val="18"/>
                <w:u w:val="none"/>
              </w:rPr>
            </w:pPr>
          </w:p>
        </w:tc>
        <w:tc>
          <w:tcPr>
            <w:tcW w:w="183" w:type="pct"/>
            <w:tcBorders>
              <w:top w:val="nil"/>
              <w:left w:val="nil"/>
              <w:bottom w:val="nil"/>
              <w:right w:val="nil"/>
            </w:tcBorders>
            <w:shd w:val="clear" w:color="auto" w:fill="auto"/>
            <w:vAlign w:val="center"/>
          </w:tcPr>
          <w:p w14:paraId="7A4BF183">
            <w:pPr>
              <w:rPr>
                <w:rFonts w:hint="eastAsia" w:ascii="宋体" w:hAnsi="宋体" w:eastAsia="宋体" w:cs="宋体"/>
                <w:i w:val="0"/>
                <w:iCs w:val="0"/>
                <w:color w:val="000000"/>
                <w:sz w:val="18"/>
                <w:szCs w:val="18"/>
                <w:u w:val="none"/>
              </w:rPr>
            </w:pPr>
          </w:p>
        </w:tc>
        <w:tc>
          <w:tcPr>
            <w:tcW w:w="573" w:type="pct"/>
            <w:tcBorders>
              <w:top w:val="nil"/>
              <w:left w:val="nil"/>
              <w:bottom w:val="nil"/>
              <w:right w:val="nil"/>
            </w:tcBorders>
            <w:shd w:val="clear" w:color="auto" w:fill="auto"/>
            <w:vAlign w:val="center"/>
          </w:tcPr>
          <w:p w14:paraId="127C7432">
            <w:pPr>
              <w:rPr>
                <w:rFonts w:hint="eastAsia" w:ascii="宋体" w:hAnsi="宋体" w:eastAsia="宋体" w:cs="宋体"/>
                <w:i w:val="0"/>
                <w:iCs w:val="0"/>
                <w:color w:val="000000"/>
                <w:sz w:val="18"/>
                <w:szCs w:val="18"/>
                <w:u w:val="none"/>
              </w:rPr>
            </w:pPr>
          </w:p>
        </w:tc>
        <w:tc>
          <w:tcPr>
            <w:tcW w:w="293" w:type="pct"/>
            <w:tcBorders>
              <w:top w:val="nil"/>
              <w:left w:val="nil"/>
              <w:bottom w:val="nil"/>
              <w:right w:val="nil"/>
            </w:tcBorders>
            <w:shd w:val="clear" w:color="auto" w:fill="auto"/>
            <w:vAlign w:val="center"/>
          </w:tcPr>
          <w:p w14:paraId="2711FBA6">
            <w:pPr>
              <w:rPr>
                <w:rFonts w:hint="eastAsia" w:ascii="宋体" w:hAnsi="宋体" w:eastAsia="宋体" w:cs="宋体"/>
                <w:i w:val="0"/>
                <w:iCs w:val="0"/>
                <w:color w:val="000000"/>
                <w:sz w:val="18"/>
                <w:szCs w:val="18"/>
                <w:u w:val="none"/>
              </w:rPr>
            </w:pPr>
          </w:p>
        </w:tc>
        <w:tc>
          <w:tcPr>
            <w:tcW w:w="383" w:type="pct"/>
            <w:tcBorders>
              <w:top w:val="nil"/>
              <w:left w:val="nil"/>
              <w:bottom w:val="nil"/>
              <w:right w:val="nil"/>
            </w:tcBorders>
            <w:shd w:val="clear" w:color="auto" w:fill="auto"/>
            <w:vAlign w:val="center"/>
          </w:tcPr>
          <w:p w14:paraId="4058A157">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6D620310">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0B20312A">
            <w:pPr>
              <w:rPr>
                <w:rFonts w:hint="eastAsia" w:ascii="宋体" w:hAnsi="宋体" w:eastAsia="宋体" w:cs="宋体"/>
                <w:i w:val="0"/>
                <w:iCs w:val="0"/>
                <w:color w:val="000000"/>
                <w:sz w:val="18"/>
                <w:szCs w:val="18"/>
                <w:u w:val="none"/>
              </w:rPr>
            </w:pPr>
          </w:p>
        </w:tc>
        <w:tc>
          <w:tcPr>
            <w:tcW w:w="881" w:type="pct"/>
            <w:tcBorders>
              <w:top w:val="nil"/>
              <w:left w:val="nil"/>
              <w:bottom w:val="nil"/>
              <w:right w:val="nil"/>
            </w:tcBorders>
            <w:shd w:val="clear" w:color="auto" w:fill="auto"/>
            <w:vAlign w:val="center"/>
          </w:tcPr>
          <w:p w14:paraId="0906D24D">
            <w:pPr>
              <w:rPr>
                <w:rFonts w:hint="eastAsia" w:ascii="宋体" w:hAnsi="宋体" w:eastAsia="宋体" w:cs="宋体"/>
                <w:i w:val="0"/>
                <w:iCs w:val="0"/>
                <w:color w:val="000000"/>
                <w:sz w:val="18"/>
                <w:szCs w:val="18"/>
                <w:u w:val="none"/>
              </w:rPr>
            </w:pPr>
          </w:p>
        </w:tc>
      </w:tr>
      <w:tr w14:paraId="7A1B5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FC80C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E1F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A1F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EF65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51323324T000011795970-退休人员建房补贴及安家费</w:t>
            </w:r>
          </w:p>
        </w:tc>
      </w:tr>
      <w:tr w14:paraId="7147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1A3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78D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3" w:type="pct"/>
            <w:tcBorders>
              <w:top w:val="nil"/>
              <w:left w:val="nil"/>
              <w:bottom w:val="nil"/>
              <w:right w:val="nil"/>
            </w:tcBorders>
            <w:shd w:val="clear" w:color="auto" w:fill="auto"/>
            <w:vAlign w:val="center"/>
          </w:tcPr>
          <w:p w14:paraId="36B4387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6339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红原县卫生健康局机关</w:t>
            </w:r>
          </w:p>
        </w:tc>
      </w:tr>
      <w:tr w14:paraId="2EA7D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41B6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5107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421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A57D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DCD9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72C32">
            <w:pPr>
              <w:rPr>
                <w:rFonts w:hint="eastAsia" w:ascii="宋体" w:hAnsi="宋体" w:eastAsia="宋体" w:cs="宋体"/>
                <w:i w:val="0"/>
                <w:iCs w:val="0"/>
                <w:color w:val="000000"/>
                <w:sz w:val="18"/>
                <w:szCs w:val="18"/>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735C9">
            <w:pPr>
              <w:rPr>
                <w:rFonts w:hint="eastAsia" w:ascii="宋体" w:hAnsi="宋体" w:eastAsia="宋体" w:cs="宋体"/>
                <w:i w:val="0"/>
                <w:iCs w:val="0"/>
                <w:color w:val="000000"/>
                <w:sz w:val="18"/>
                <w:szCs w:val="18"/>
                <w:u w:val="none"/>
              </w:rPr>
            </w:pP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4CC6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退休人员建房补贴及安家费</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49670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根据不同地区的居住水平和收入水平规定的补贴标准发放到位，满足了退休人员的基本居住条件，为退休人员提供了更好的居住条件。</w:t>
            </w:r>
          </w:p>
        </w:tc>
      </w:tr>
      <w:tr w14:paraId="39A2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AC51C">
            <w:pP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DF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57BE5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根据不同地区的居住水平和收入水平规定的补贴标准发放到位，满足了退休人员的基本居住条件，为退休人员提供了更好的居住条件</w:t>
            </w:r>
          </w:p>
        </w:tc>
      </w:tr>
      <w:tr w14:paraId="5033D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26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E0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F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7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DB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0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6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63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5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E37D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9AFB0">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9A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D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DE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4.66</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A6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4.66</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9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95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10DC">
            <w:pPr>
              <w:jc w:val="center"/>
              <w:rPr>
                <w:rFonts w:hint="eastAsia" w:ascii="宋体" w:hAnsi="宋体" w:eastAsia="宋体" w:cs="宋体"/>
                <w:i w:val="0"/>
                <w:iCs w:val="0"/>
                <w:color w:val="000000"/>
                <w:sz w:val="18"/>
                <w:szCs w:val="18"/>
                <w:u w:val="none"/>
              </w:rPr>
            </w:pPr>
          </w:p>
        </w:tc>
        <w:tc>
          <w:tcPr>
            <w:tcW w:w="8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18C7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FC1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9B776">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8C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8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75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4.66</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E2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4.66</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4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4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07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67DF">
            <w:pPr>
              <w:rPr>
                <w:rFonts w:hint="eastAsia" w:ascii="黑体" w:hAnsi="黑体" w:eastAsia="黑体" w:cs="黑体"/>
                <w:i/>
                <w:iCs/>
                <w:color w:val="000000"/>
                <w:sz w:val="18"/>
                <w:szCs w:val="18"/>
                <w:u w:val="none"/>
              </w:rPr>
            </w:pPr>
          </w:p>
        </w:tc>
      </w:tr>
      <w:tr w14:paraId="0CF7D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70730">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E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4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E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DD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48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3E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C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7597F">
            <w:pPr>
              <w:rPr>
                <w:rFonts w:hint="eastAsia" w:ascii="黑体" w:hAnsi="黑体" w:eastAsia="黑体" w:cs="黑体"/>
                <w:i/>
                <w:iCs/>
                <w:color w:val="000000"/>
                <w:sz w:val="18"/>
                <w:szCs w:val="18"/>
                <w:u w:val="none"/>
              </w:rPr>
            </w:pPr>
          </w:p>
        </w:tc>
      </w:tr>
      <w:tr w14:paraId="46186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130FC">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A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E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1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E6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C5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BB5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1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2DF72">
            <w:pPr>
              <w:rPr>
                <w:rFonts w:hint="eastAsia" w:ascii="黑体" w:hAnsi="黑体" w:eastAsia="黑体" w:cs="黑体"/>
                <w:i/>
                <w:iCs/>
                <w:color w:val="000000"/>
                <w:sz w:val="18"/>
                <w:szCs w:val="18"/>
                <w:u w:val="none"/>
              </w:rPr>
            </w:pPr>
          </w:p>
        </w:tc>
      </w:tr>
      <w:tr w14:paraId="3D88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58686">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6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A5E4B">
            <w:pPr>
              <w:jc w:val="center"/>
              <w:rPr>
                <w:rFonts w:hint="eastAsia" w:ascii="微软雅黑" w:hAnsi="微软雅黑" w:eastAsia="微软雅黑" w:cs="微软雅黑"/>
                <w:i/>
                <w:iCs/>
                <w:color w:val="000000"/>
                <w:sz w:val="16"/>
                <w:szCs w:val="16"/>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D1DBB">
            <w:pPr>
              <w:jc w:val="center"/>
              <w:rPr>
                <w:rFonts w:hint="eastAsia" w:ascii="微软雅黑" w:hAnsi="微软雅黑" w:eastAsia="微软雅黑" w:cs="微软雅黑"/>
                <w:i/>
                <w:iCs/>
                <w:color w:val="000000"/>
                <w:sz w:val="16"/>
                <w:szCs w:val="16"/>
                <w:u w:val="none"/>
              </w:rPr>
            </w:pP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3BB94">
            <w:pPr>
              <w:jc w:val="center"/>
              <w:rPr>
                <w:rFonts w:hint="eastAsia" w:ascii="微软雅黑" w:hAnsi="微软雅黑" w:eastAsia="微软雅黑" w:cs="微软雅黑"/>
                <w:i/>
                <w:iCs/>
                <w:color w:val="000000"/>
                <w:sz w:val="16"/>
                <w:szCs w:val="16"/>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D2E0">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29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E18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93182">
            <w:pPr>
              <w:rPr>
                <w:rFonts w:hint="eastAsia" w:ascii="黑体" w:hAnsi="黑体" w:eastAsia="黑体" w:cs="黑体"/>
                <w:i/>
                <w:iCs/>
                <w:color w:val="000000"/>
                <w:sz w:val="18"/>
                <w:szCs w:val="18"/>
                <w:u w:val="none"/>
              </w:rPr>
            </w:pPr>
          </w:p>
        </w:tc>
      </w:tr>
      <w:tr w14:paraId="74E7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48C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F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5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CE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C7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4B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95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3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F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38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A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50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91D9E">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A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9C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C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按足额拨付</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25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CE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D66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E373F">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E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12D13">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5E42">
            <w:pPr>
              <w:jc w:val="center"/>
              <w:rPr>
                <w:rFonts w:hint="eastAsia" w:ascii="微软雅黑" w:hAnsi="微软雅黑" w:eastAsia="微软雅黑" w:cs="微软雅黑"/>
                <w:i/>
                <w:iCs/>
                <w:color w:val="000000"/>
                <w:sz w:val="16"/>
                <w:szCs w:val="16"/>
                <w:u w:val="none"/>
              </w:rPr>
            </w:pPr>
          </w:p>
        </w:tc>
      </w:tr>
      <w:tr w14:paraId="67674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E9BAC">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1A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A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D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退休职工满意</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E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C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B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7660">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5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16D39">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D6D11">
            <w:pPr>
              <w:jc w:val="center"/>
              <w:rPr>
                <w:rFonts w:hint="eastAsia" w:ascii="微软雅黑" w:hAnsi="微软雅黑" w:eastAsia="微软雅黑" w:cs="微软雅黑"/>
                <w:i/>
                <w:iCs/>
                <w:color w:val="000000"/>
                <w:sz w:val="16"/>
                <w:szCs w:val="16"/>
                <w:u w:val="none"/>
              </w:rPr>
            </w:pPr>
          </w:p>
        </w:tc>
      </w:tr>
      <w:tr w14:paraId="53DC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4D639">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44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47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06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退休职工满意</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73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B5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8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13E5">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E6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45FB5">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04AD3">
            <w:pPr>
              <w:jc w:val="center"/>
              <w:rPr>
                <w:rFonts w:hint="eastAsia" w:ascii="微软雅黑" w:hAnsi="微软雅黑" w:eastAsia="微软雅黑" w:cs="微软雅黑"/>
                <w:i/>
                <w:iCs/>
                <w:color w:val="000000"/>
                <w:sz w:val="16"/>
                <w:szCs w:val="16"/>
                <w:u w:val="none"/>
              </w:rPr>
            </w:pPr>
          </w:p>
        </w:tc>
      </w:tr>
      <w:tr w14:paraId="66B35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4B2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B2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629F">
            <w:pP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5AFA">
            <w:pPr>
              <w:rPr>
                <w:rFonts w:hint="eastAsia" w:ascii="宋体" w:hAnsi="宋体" w:eastAsia="宋体" w:cs="宋体"/>
                <w:i w:val="0"/>
                <w:iCs w:val="0"/>
                <w:color w:val="000000"/>
                <w:sz w:val="18"/>
                <w:szCs w:val="18"/>
                <w:u w:val="none"/>
              </w:rPr>
            </w:pPr>
          </w:p>
        </w:tc>
      </w:tr>
      <w:tr w14:paraId="45F72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AB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D9E0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根据不同地区的居住水平和收入水平规定的补贴标准发放到位，满足了退休人员的基本居住条件，为退休人员提供了更好的居住条件</w:t>
            </w:r>
          </w:p>
        </w:tc>
      </w:tr>
      <w:tr w14:paraId="4E05F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75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888C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C54C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6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015F4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4F6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5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653D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项目负责人：杜琼</w:t>
            </w:r>
          </w:p>
        </w:tc>
        <w:tc>
          <w:tcPr>
            <w:tcW w:w="248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2D33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财务负责人：易勤佳</w:t>
            </w:r>
          </w:p>
        </w:tc>
      </w:tr>
      <w:tr w14:paraId="1DA2B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41" w:type="pct"/>
            <w:tcBorders>
              <w:top w:val="nil"/>
              <w:left w:val="nil"/>
              <w:bottom w:val="nil"/>
              <w:right w:val="nil"/>
            </w:tcBorders>
            <w:shd w:val="clear" w:color="auto" w:fill="auto"/>
            <w:vAlign w:val="center"/>
          </w:tcPr>
          <w:p w14:paraId="5B252BC4">
            <w:pPr>
              <w:rPr>
                <w:rFonts w:hint="eastAsia" w:ascii="宋体" w:hAnsi="宋体" w:eastAsia="宋体" w:cs="宋体"/>
                <w:i w:val="0"/>
                <w:iCs w:val="0"/>
                <w:color w:val="000000"/>
                <w:sz w:val="18"/>
                <w:szCs w:val="18"/>
                <w:u w:val="none"/>
              </w:rPr>
            </w:pPr>
          </w:p>
        </w:tc>
        <w:tc>
          <w:tcPr>
            <w:tcW w:w="704" w:type="pct"/>
            <w:tcBorders>
              <w:top w:val="nil"/>
              <w:left w:val="nil"/>
              <w:bottom w:val="nil"/>
              <w:right w:val="nil"/>
            </w:tcBorders>
            <w:shd w:val="clear" w:color="auto" w:fill="auto"/>
            <w:vAlign w:val="center"/>
          </w:tcPr>
          <w:p w14:paraId="0934F126">
            <w:pPr>
              <w:rPr>
                <w:rFonts w:hint="eastAsia" w:ascii="宋体" w:hAnsi="宋体" w:eastAsia="宋体" w:cs="宋体"/>
                <w:i w:val="0"/>
                <w:iCs w:val="0"/>
                <w:color w:val="000000"/>
                <w:sz w:val="18"/>
                <w:szCs w:val="18"/>
                <w:u w:val="none"/>
              </w:rPr>
            </w:pPr>
          </w:p>
        </w:tc>
        <w:tc>
          <w:tcPr>
            <w:tcW w:w="610" w:type="pct"/>
            <w:tcBorders>
              <w:top w:val="nil"/>
              <w:left w:val="nil"/>
              <w:bottom w:val="nil"/>
              <w:right w:val="nil"/>
            </w:tcBorders>
            <w:shd w:val="clear" w:color="auto" w:fill="auto"/>
            <w:vAlign w:val="center"/>
          </w:tcPr>
          <w:p w14:paraId="5F53B4AB">
            <w:pPr>
              <w:rPr>
                <w:rFonts w:hint="eastAsia" w:ascii="宋体" w:hAnsi="宋体" w:eastAsia="宋体" w:cs="宋体"/>
                <w:i w:val="0"/>
                <w:iCs w:val="0"/>
                <w:color w:val="000000"/>
                <w:sz w:val="18"/>
                <w:szCs w:val="18"/>
                <w:u w:val="none"/>
              </w:rPr>
            </w:pPr>
          </w:p>
        </w:tc>
        <w:tc>
          <w:tcPr>
            <w:tcW w:w="778" w:type="pct"/>
            <w:tcBorders>
              <w:top w:val="nil"/>
              <w:left w:val="nil"/>
              <w:bottom w:val="nil"/>
              <w:right w:val="nil"/>
            </w:tcBorders>
            <w:shd w:val="clear" w:color="auto" w:fill="auto"/>
            <w:vAlign w:val="center"/>
          </w:tcPr>
          <w:p w14:paraId="4D04DFF4">
            <w:pPr>
              <w:rPr>
                <w:rFonts w:hint="eastAsia" w:ascii="宋体" w:hAnsi="宋体" w:eastAsia="宋体" w:cs="宋体"/>
                <w:i w:val="0"/>
                <w:iCs w:val="0"/>
                <w:color w:val="000000"/>
                <w:sz w:val="18"/>
                <w:szCs w:val="18"/>
                <w:u w:val="none"/>
              </w:rPr>
            </w:pPr>
          </w:p>
        </w:tc>
        <w:tc>
          <w:tcPr>
            <w:tcW w:w="183" w:type="pct"/>
            <w:tcBorders>
              <w:top w:val="nil"/>
              <w:left w:val="nil"/>
              <w:bottom w:val="nil"/>
              <w:right w:val="nil"/>
            </w:tcBorders>
            <w:shd w:val="clear" w:color="auto" w:fill="auto"/>
            <w:vAlign w:val="center"/>
          </w:tcPr>
          <w:p w14:paraId="186947F4">
            <w:pPr>
              <w:rPr>
                <w:rFonts w:hint="eastAsia" w:ascii="宋体" w:hAnsi="宋体" w:eastAsia="宋体" w:cs="宋体"/>
                <w:i w:val="0"/>
                <w:iCs w:val="0"/>
                <w:color w:val="000000"/>
                <w:sz w:val="18"/>
                <w:szCs w:val="18"/>
                <w:u w:val="none"/>
              </w:rPr>
            </w:pPr>
          </w:p>
        </w:tc>
        <w:tc>
          <w:tcPr>
            <w:tcW w:w="573" w:type="pct"/>
            <w:tcBorders>
              <w:top w:val="nil"/>
              <w:left w:val="nil"/>
              <w:bottom w:val="nil"/>
              <w:right w:val="nil"/>
            </w:tcBorders>
            <w:shd w:val="clear" w:color="auto" w:fill="auto"/>
            <w:vAlign w:val="center"/>
          </w:tcPr>
          <w:p w14:paraId="054FF299">
            <w:pPr>
              <w:rPr>
                <w:rFonts w:hint="eastAsia" w:ascii="宋体" w:hAnsi="宋体" w:eastAsia="宋体" w:cs="宋体"/>
                <w:i w:val="0"/>
                <w:iCs w:val="0"/>
                <w:color w:val="000000"/>
                <w:sz w:val="18"/>
                <w:szCs w:val="18"/>
                <w:u w:val="none"/>
              </w:rPr>
            </w:pPr>
          </w:p>
        </w:tc>
        <w:tc>
          <w:tcPr>
            <w:tcW w:w="293" w:type="pct"/>
            <w:tcBorders>
              <w:top w:val="nil"/>
              <w:left w:val="nil"/>
              <w:bottom w:val="nil"/>
              <w:right w:val="nil"/>
            </w:tcBorders>
            <w:shd w:val="clear" w:color="auto" w:fill="auto"/>
            <w:vAlign w:val="center"/>
          </w:tcPr>
          <w:p w14:paraId="3B468C6D">
            <w:pPr>
              <w:rPr>
                <w:rFonts w:hint="eastAsia" w:ascii="宋体" w:hAnsi="宋体" w:eastAsia="宋体" w:cs="宋体"/>
                <w:i w:val="0"/>
                <w:iCs w:val="0"/>
                <w:color w:val="000000"/>
                <w:sz w:val="18"/>
                <w:szCs w:val="18"/>
                <w:u w:val="none"/>
              </w:rPr>
            </w:pPr>
          </w:p>
        </w:tc>
        <w:tc>
          <w:tcPr>
            <w:tcW w:w="383" w:type="pct"/>
            <w:tcBorders>
              <w:top w:val="nil"/>
              <w:left w:val="nil"/>
              <w:bottom w:val="nil"/>
              <w:right w:val="nil"/>
            </w:tcBorders>
            <w:shd w:val="clear" w:color="auto" w:fill="auto"/>
            <w:vAlign w:val="center"/>
          </w:tcPr>
          <w:p w14:paraId="08FCBAA2">
            <w:pPr>
              <w:rPr>
                <w:rFonts w:hint="eastAsia" w:ascii="宋体" w:hAnsi="宋体" w:eastAsia="宋体" w:cs="宋体"/>
                <w:i w:val="0"/>
                <w:iCs w:val="0"/>
                <w:color w:val="000000"/>
                <w:sz w:val="18"/>
                <w:szCs w:val="18"/>
                <w:u w:val="none"/>
              </w:rPr>
            </w:pPr>
          </w:p>
        </w:tc>
        <w:tc>
          <w:tcPr>
            <w:tcW w:w="187" w:type="pct"/>
            <w:tcBorders>
              <w:top w:val="nil"/>
              <w:left w:val="nil"/>
              <w:bottom w:val="nil"/>
              <w:right w:val="nil"/>
            </w:tcBorders>
            <w:shd w:val="clear" w:color="auto" w:fill="auto"/>
            <w:vAlign w:val="center"/>
          </w:tcPr>
          <w:p w14:paraId="606FAA89">
            <w:pPr>
              <w:rPr>
                <w:rFonts w:hint="eastAsia" w:ascii="宋体" w:hAnsi="宋体" w:eastAsia="宋体" w:cs="宋体"/>
                <w:i w:val="0"/>
                <w:iCs w:val="0"/>
                <w:color w:val="000000"/>
                <w:sz w:val="18"/>
                <w:szCs w:val="18"/>
                <w:u w:val="none"/>
              </w:rPr>
            </w:pPr>
          </w:p>
        </w:tc>
        <w:tc>
          <w:tcPr>
            <w:tcW w:w="161" w:type="pct"/>
            <w:tcBorders>
              <w:top w:val="nil"/>
              <w:left w:val="nil"/>
              <w:bottom w:val="nil"/>
              <w:right w:val="nil"/>
            </w:tcBorders>
            <w:shd w:val="clear" w:color="auto" w:fill="auto"/>
            <w:vAlign w:val="center"/>
          </w:tcPr>
          <w:p w14:paraId="75F88798">
            <w:pPr>
              <w:rPr>
                <w:rFonts w:hint="eastAsia" w:ascii="宋体" w:hAnsi="宋体" w:eastAsia="宋体" w:cs="宋体"/>
                <w:i w:val="0"/>
                <w:iCs w:val="0"/>
                <w:color w:val="000000"/>
                <w:sz w:val="18"/>
                <w:szCs w:val="18"/>
                <w:u w:val="none"/>
              </w:rPr>
            </w:pPr>
          </w:p>
        </w:tc>
        <w:tc>
          <w:tcPr>
            <w:tcW w:w="881" w:type="pct"/>
            <w:tcBorders>
              <w:top w:val="nil"/>
              <w:left w:val="nil"/>
              <w:bottom w:val="nil"/>
              <w:right w:val="nil"/>
            </w:tcBorders>
            <w:shd w:val="clear" w:color="auto" w:fill="auto"/>
            <w:vAlign w:val="center"/>
          </w:tcPr>
          <w:p w14:paraId="7960DEC3">
            <w:pPr>
              <w:rPr>
                <w:rFonts w:hint="eastAsia" w:ascii="宋体" w:hAnsi="宋体" w:eastAsia="宋体" w:cs="宋体"/>
                <w:i w:val="0"/>
                <w:iCs w:val="0"/>
                <w:color w:val="000000"/>
                <w:sz w:val="18"/>
                <w:szCs w:val="18"/>
                <w:u w:val="none"/>
              </w:rPr>
            </w:pPr>
          </w:p>
        </w:tc>
      </w:tr>
      <w:tr w14:paraId="63323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F7CA8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5328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476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448E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51323325T000012295468-红原县卫生健康局退休人员一次性补贴</w:t>
            </w:r>
          </w:p>
        </w:tc>
      </w:tr>
      <w:tr w14:paraId="7E6FD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 w:hRule="atLeast"/>
        </w:trPr>
        <w:tc>
          <w:tcPr>
            <w:tcW w:w="9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A79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8EA2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w:t>
            </w:r>
          </w:p>
        </w:tc>
        <w:tc>
          <w:tcPr>
            <w:tcW w:w="383" w:type="pct"/>
            <w:tcBorders>
              <w:top w:val="nil"/>
              <w:left w:val="nil"/>
              <w:bottom w:val="nil"/>
              <w:right w:val="nil"/>
            </w:tcBorders>
            <w:shd w:val="clear" w:color="auto" w:fill="auto"/>
            <w:vAlign w:val="center"/>
          </w:tcPr>
          <w:p w14:paraId="54EEDA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3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9C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红原县卫生健康局机关</w:t>
            </w:r>
          </w:p>
        </w:tc>
      </w:tr>
      <w:tr w14:paraId="311AA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351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A5D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1DC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79E98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535A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3F2BD">
            <w:pPr>
              <w:rPr>
                <w:rFonts w:hint="eastAsia" w:ascii="宋体" w:hAnsi="宋体" w:eastAsia="宋体" w:cs="宋体"/>
                <w:i w:val="0"/>
                <w:iCs w:val="0"/>
                <w:color w:val="000000"/>
                <w:sz w:val="18"/>
                <w:szCs w:val="18"/>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5993D">
            <w:pPr>
              <w:rPr>
                <w:rFonts w:hint="eastAsia" w:ascii="宋体" w:hAnsi="宋体" w:eastAsia="宋体" w:cs="宋体"/>
                <w:i w:val="0"/>
                <w:iCs w:val="0"/>
                <w:color w:val="000000"/>
                <w:sz w:val="18"/>
                <w:szCs w:val="18"/>
                <w:u w:val="none"/>
              </w:rPr>
            </w:pPr>
          </w:p>
        </w:tc>
        <w:tc>
          <w:tcPr>
            <w:tcW w:w="24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4BE8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按时足额拨付。</w:t>
            </w:r>
          </w:p>
        </w:tc>
        <w:tc>
          <w:tcPr>
            <w:tcW w:w="16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9E66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按照标准，按时足额拨付。</w:t>
            </w:r>
          </w:p>
        </w:tc>
      </w:tr>
      <w:tr w14:paraId="2942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CD075">
            <w:pP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E7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0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97AE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按照标准，按时足额拨付。</w:t>
            </w:r>
          </w:p>
        </w:tc>
      </w:tr>
      <w:tr w14:paraId="7D13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3D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1D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9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16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46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EB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2E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AB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1B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03F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E5B90">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B2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F6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78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3.86</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61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3.86</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A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B4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F03B">
            <w:pPr>
              <w:jc w:val="center"/>
              <w:rPr>
                <w:rFonts w:hint="eastAsia" w:ascii="宋体" w:hAnsi="宋体" w:eastAsia="宋体" w:cs="宋体"/>
                <w:i w:val="0"/>
                <w:iCs w:val="0"/>
                <w:color w:val="000000"/>
                <w:sz w:val="18"/>
                <w:szCs w:val="18"/>
                <w:u w:val="none"/>
              </w:rPr>
            </w:pPr>
          </w:p>
        </w:tc>
        <w:tc>
          <w:tcPr>
            <w:tcW w:w="8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6E83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A70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9A83D">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03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8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12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3.86</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D0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3.86</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E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D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4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B410">
            <w:pPr>
              <w:rPr>
                <w:rFonts w:hint="eastAsia" w:ascii="黑体" w:hAnsi="黑体" w:eastAsia="黑体" w:cs="黑体"/>
                <w:i/>
                <w:iCs/>
                <w:color w:val="000000"/>
                <w:sz w:val="18"/>
                <w:szCs w:val="18"/>
                <w:u w:val="none"/>
              </w:rPr>
            </w:pPr>
          </w:p>
        </w:tc>
      </w:tr>
      <w:tr w14:paraId="6A953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2D98A">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DC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A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9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59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9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85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E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9E2C8">
            <w:pPr>
              <w:rPr>
                <w:rFonts w:hint="eastAsia" w:ascii="黑体" w:hAnsi="黑体" w:eastAsia="黑体" w:cs="黑体"/>
                <w:i/>
                <w:iCs/>
                <w:color w:val="000000"/>
                <w:sz w:val="18"/>
                <w:szCs w:val="18"/>
                <w:u w:val="none"/>
              </w:rPr>
            </w:pPr>
          </w:p>
        </w:tc>
      </w:tr>
      <w:tr w14:paraId="6ECE2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337DE">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AF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F1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50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B2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43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1E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1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241A9">
            <w:pPr>
              <w:rPr>
                <w:rFonts w:hint="eastAsia" w:ascii="黑体" w:hAnsi="黑体" w:eastAsia="黑体" w:cs="黑体"/>
                <w:i/>
                <w:iCs/>
                <w:color w:val="000000"/>
                <w:sz w:val="18"/>
                <w:szCs w:val="18"/>
                <w:u w:val="none"/>
              </w:rPr>
            </w:pPr>
          </w:p>
        </w:tc>
      </w:tr>
      <w:tr w14:paraId="4A69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66A65">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41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98964">
            <w:pPr>
              <w:jc w:val="center"/>
              <w:rPr>
                <w:rFonts w:hint="eastAsia" w:ascii="微软雅黑" w:hAnsi="微软雅黑" w:eastAsia="微软雅黑" w:cs="微软雅黑"/>
                <w:i/>
                <w:iCs/>
                <w:color w:val="000000"/>
                <w:sz w:val="16"/>
                <w:szCs w:val="16"/>
                <w:u w:val="none"/>
              </w:rPr>
            </w:pP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C413">
            <w:pPr>
              <w:jc w:val="center"/>
              <w:rPr>
                <w:rFonts w:hint="eastAsia" w:ascii="微软雅黑" w:hAnsi="微软雅黑" w:eastAsia="微软雅黑" w:cs="微软雅黑"/>
                <w:i/>
                <w:iCs/>
                <w:color w:val="000000"/>
                <w:sz w:val="16"/>
                <w:szCs w:val="16"/>
                <w:u w:val="none"/>
              </w:rPr>
            </w:pPr>
          </w:p>
        </w:tc>
        <w:tc>
          <w:tcPr>
            <w:tcW w:w="10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C8898">
            <w:pPr>
              <w:jc w:val="center"/>
              <w:rPr>
                <w:rFonts w:hint="eastAsia" w:ascii="微软雅黑" w:hAnsi="微软雅黑" w:eastAsia="微软雅黑" w:cs="微软雅黑"/>
                <w:i/>
                <w:iCs/>
                <w:color w:val="000000"/>
                <w:sz w:val="16"/>
                <w:szCs w:val="16"/>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9EE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9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A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5EBC8">
            <w:pPr>
              <w:rPr>
                <w:rFonts w:hint="eastAsia" w:ascii="黑体" w:hAnsi="黑体" w:eastAsia="黑体" w:cs="黑体"/>
                <w:i/>
                <w:iCs/>
                <w:color w:val="000000"/>
                <w:sz w:val="18"/>
                <w:szCs w:val="18"/>
                <w:u w:val="none"/>
              </w:rPr>
            </w:pPr>
          </w:p>
        </w:tc>
      </w:tr>
      <w:tr w14:paraId="18C3B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5D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1E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8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27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DA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3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2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8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B8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8F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0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81C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3A9FF">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F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51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E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拨付时间</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0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9F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F7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8CC2">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D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1EE92">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A09D8">
            <w:pPr>
              <w:jc w:val="center"/>
              <w:rPr>
                <w:rFonts w:hint="eastAsia" w:ascii="微软雅黑" w:hAnsi="微软雅黑" w:eastAsia="微软雅黑" w:cs="微软雅黑"/>
                <w:i/>
                <w:iCs/>
                <w:color w:val="000000"/>
                <w:sz w:val="16"/>
                <w:szCs w:val="16"/>
                <w:u w:val="none"/>
              </w:rPr>
            </w:pPr>
          </w:p>
        </w:tc>
      </w:tr>
      <w:tr w14:paraId="148DE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912BE">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D5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60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C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D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9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00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78B8">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F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457D">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A810">
            <w:pPr>
              <w:jc w:val="center"/>
              <w:rPr>
                <w:rFonts w:hint="eastAsia" w:ascii="微软雅黑" w:hAnsi="微软雅黑" w:eastAsia="微软雅黑" w:cs="微软雅黑"/>
                <w:i/>
                <w:iCs/>
                <w:color w:val="000000"/>
                <w:sz w:val="16"/>
                <w:szCs w:val="16"/>
                <w:u w:val="none"/>
              </w:rPr>
            </w:pPr>
          </w:p>
        </w:tc>
      </w:tr>
      <w:tr w14:paraId="2466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A9EAF">
            <w:pPr>
              <w:jc w:val="center"/>
              <w:rPr>
                <w:rFonts w:hint="eastAsia" w:ascii="宋体" w:hAnsi="宋体" w:eastAsia="宋体" w:cs="宋体"/>
                <w:i w:val="0"/>
                <w:iCs w:val="0"/>
                <w:color w:val="000000"/>
                <w:sz w:val="18"/>
                <w:szCs w:val="18"/>
                <w:u w:val="none"/>
              </w:rPr>
            </w:pPr>
          </w:p>
        </w:tc>
        <w:tc>
          <w:tcPr>
            <w:tcW w:w="7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12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4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D8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退休人员满意度</w:t>
            </w:r>
          </w:p>
        </w:tc>
        <w:tc>
          <w:tcPr>
            <w:tcW w:w="1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30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D0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2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C407">
            <w:pPr>
              <w:jc w:val="center"/>
              <w:rPr>
                <w:rFonts w:hint="eastAsia" w:ascii="微软雅黑" w:hAnsi="微软雅黑" w:eastAsia="微软雅黑" w:cs="微软雅黑"/>
                <w:i/>
                <w:iCs/>
                <w:color w:val="000000"/>
                <w:sz w:val="16"/>
                <w:szCs w:val="16"/>
                <w:u w:val="none"/>
              </w:rPr>
            </w:pP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2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58CFF">
            <w:pPr>
              <w:jc w:val="cente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6DE40">
            <w:pPr>
              <w:jc w:val="center"/>
              <w:rPr>
                <w:rFonts w:hint="eastAsia" w:ascii="微软雅黑" w:hAnsi="微软雅黑" w:eastAsia="微软雅黑" w:cs="微软雅黑"/>
                <w:i/>
                <w:iCs/>
                <w:color w:val="000000"/>
                <w:sz w:val="16"/>
                <w:szCs w:val="16"/>
                <w:u w:val="none"/>
              </w:rPr>
            </w:pPr>
          </w:p>
        </w:tc>
      </w:tr>
      <w:tr w14:paraId="542A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76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72A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8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0950">
            <w:pPr>
              <w:rPr>
                <w:rFonts w:hint="eastAsia" w:ascii="宋体" w:hAnsi="宋体" w:eastAsia="宋体" w:cs="宋体"/>
                <w:i w:val="0"/>
                <w:iCs w:val="0"/>
                <w:color w:val="000000"/>
                <w:sz w:val="18"/>
                <w:szCs w:val="18"/>
                <w:u w:val="none"/>
              </w:rPr>
            </w:pPr>
          </w:p>
        </w:tc>
        <w:tc>
          <w:tcPr>
            <w:tcW w:w="8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8F3B">
            <w:pPr>
              <w:rPr>
                <w:rFonts w:hint="eastAsia" w:ascii="宋体" w:hAnsi="宋体" w:eastAsia="宋体" w:cs="宋体"/>
                <w:i w:val="0"/>
                <w:iCs w:val="0"/>
                <w:color w:val="000000"/>
                <w:sz w:val="18"/>
                <w:szCs w:val="18"/>
                <w:u w:val="none"/>
              </w:rPr>
            </w:pPr>
          </w:p>
        </w:tc>
      </w:tr>
      <w:tr w14:paraId="4B45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E1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D62E49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按照标准，按时足额拨付。</w:t>
            </w:r>
          </w:p>
        </w:tc>
      </w:tr>
      <w:tr w14:paraId="2274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C3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93242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3A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1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58"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9F8A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5657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51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CF08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项目负责人：杜琼</w:t>
            </w:r>
          </w:p>
        </w:tc>
        <w:tc>
          <w:tcPr>
            <w:tcW w:w="248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9CF2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财务负责人：易勤佳</w:t>
            </w:r>
          </w:p>
        </w:tc>
      </w:tr>
    </w:tbl>
    <w:p w14:paraId="77C04498">
      <w:pPr>
        <w:rPr>
          <w:rFonts w:hint="eastAsia" w:ascii="黑体" w:hAnsi="黑体" w:eastAsia="黑体"/>
          <w:sz w:val="44"/>
          <w:szCs w:val="44"/>
        </w:rPr>
      </w:pPr>
      <w:r>
        <w:rPr>
          <w:rFonts w:hint="eastAsia" w:ascii="黑体" w:hAnsi="黑体" w:eastAsia="黑体"/>
          <w:sz w:val="44"/>
          <w:szCs w:val="44"/>
        </w:rPr>
        <w:br w:type="page"/>
      </w:r>
    </w:p>
    <w:p w14:paraId="0B6335D0">
      <w:pPr>
        <w:spacing w:line="600" w:lineRule="exact"/>
        <w:jc w:val="center"/>
        <w:outlineLvl w:val="0"/>
        <w:rPr>
          <w:rFonts w:ascii="仿宋" w:hAnsi="仿宋" w:eastAsia="仿宋"/>
        </w:rPr>
      </w:pPr>
      <w:bookmarkStart w:id="70" w:name="_Toc10674"/>
      <w:r>
        <w:rPr>
          <w:rFonts w:hint="eastAsia" w:ascii="黑体" w:hAnsi="黑体" w:eastAsia="黑体"/>
          <w:sz w:val="44"/>
          <w:szCs w:val="44"/>
        </w:rPr>
        <w:t>第</w:t>
      </w:r>
      <w:r>
        <w:rPr>
          <w:rStyle w:val="27"/>
          <w:rFonts w:hint="eastAsia" w:ascii="黑体" w:hAnsi="黑体" w:eastAsia="黑体"/>
          <w:b w:val="0"/>
        </w:rPr>
        <w:t>五部分 附表</w:t>
      </w:r>
      <w:bookmarkEnd w:id="66"/>
      <w:bookmarkEnd w:id="69"/>
      <w:bookmarkEnd w:id="70"/>
      <w:bookmarkStart w:id="71" w:name="_Toc15396619"/>
    </w:p>
    <w:p w14:paraId="24A4F862">
      <w:pPr>
        <w:pStyle w:val="3"/>
        <w:rPr>
          <w:rFonts w:ascii="仿宋" w:hAnsi="仿宋" w:eastAsia="仿宋"/>
        </w:rPr>
      </w:pPr>
      <w:bookmarkStart w:id="72" w:name="_Toc10743"/>
      <w:r>
        <w:rPr>
          <w:rFonts w:hint="eastAsia" w:ascii="仿宋" w:hAnsi="仿宋" w:eastAsia="仿宋"/>
          <w:b w:val="0"/>
        </w:rPr>
        <w:t>一、收</w:t>
      </w:r>
      <w:r>
        <w:rPr>
          <w:rStyle w:val="28"/>
          <w:rFonts w:hint="eastAsia" w:ascii="仿宋" w:hAnsi="仿宋" w:eastAsia="仿宋"/>
          <w:b w:val="0"/>
          <w:bCs w:val="0"/>
        </w:rPr>
        <w:t>入支出决算总表</w:t>
      </w:r>
      <w:bookmarkEnd w:id="71"/>
      <w:bookmarkEnd w:id="72"/>
    </w:p>
    <w:p w14:paraId="25F05344">
      <w:pPr>
        <w:pStyle w:val="3"/>
        <w:rPr>
          <w:rFonts w:ascii="仿宋" w:hAnsi="仿宋" w:eastAsia="仿宋"/>
        </w:rPr>
      </w:pPr>
      <w:bookmarkStart w:id="73" w:name="_Toc15396620"/>
      <w:bookmarkStart w:id="74" w:name="_Toc17438"/>
      <w:r>
        <w:rPr>
          <w:rFonts w:hint="eastAsia" w:ascii="仿宋" w:hAnsi="仿宋" w:eastAsia="仿宋"/>
          <w:b w:val="0"/>
        </w:rPr>
        <w:t>二、收</w:t>
      </w:r>
      <w:r>
        <w:rPr>
          <w:rStyle w:val="28"/>
          <w:rFonts w:hint="eastAsia" w:ascii="仿宋" w:hAnsi="仿宋" w:eastAsia="仿宋"/>
          <w:b w:val="0"/>
          <w:bCs w:val="0"/>
        </w:rPr>
        <w:t>入决算表</w:t>
      </w:r>
      <w:bookmarkEnd w:id="73"/>
      <w:bookmarkEnd w:id="74"/>
    </w:p>
    <w:p w14:paraId="78BA48E4">
      <w:pPr>
        <w:pStyle w:val="3"/>
        <w:rPr>
          <w:rFonts w:ascii="仿宋" w:hAnsi="仿宋" w:eastAsia="仿宋"/>
        </w:rPr>
      </w:pPr>
      <w:bookmarkStart w:id="75" w:name="_Toc15396621"/>
      <w:bookmarkStart w:id="76" w:name="_Toc11892"/>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75"/>
      <w:bookmarkEnd w:id="76"/>
    </w:p>
    <w:p w14:paraId="3390FB5A">
      <w:pPr>
        <w:pStyle w:val="3"/>
        <w:rPr>
          <w:rFonts w:ascii="仿宋" w:hAnsi="仿宋" w:eastAsia="仿宋"/>
          <w:b w:val="0"/>
        </w:rPr>
      </w:pPr>
      <w:bookmarkStart w:id="77" w:name="_Toc26623"/>
      <w:bookmarkStart w:id="78"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77"/>
      <w:bookmarkEnd w:id="78"/>
    </w:p>
    <w:p w14:paraId="214BDC46">
      <w:pPr>
        <w:pStyle w:val="3"/>
        <w:rPr>
          <w:rStyle w:val="28"/>
          <w:rFonts w:ascii="仿宋" w:hAnsi="仿宋" w:eastAsia="仿宋"/>
          <w:b w:val="0"/>
          <w:bCs w:val="0"/>
        </w:rPr>
      </w:pPr>
      <w:bookmarkStart w:id="79" w:name="_Toc10474"/>
      <w:bookmarkStart w:id="80"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79"/>
      <w:bookmarkEnd w:id="80"/>
      <w:bookmarkStart w:id="81" w:name="_Toc15396624"/>
    </w:p>
    <w:p w14:paraId="405ADB66">
      <w:pPr>
        <w:pStyle w:val="3"/>
        <w:rPr>
          <w:rFonts w:ascii="仿宋" w:hAnsi="仿宋" w:eastAsia="仿宋"/>
        </w:rPr>
      </w:pPr>
      <w:bookmarkStart w:id="82" w:name="_Toc22517"/>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81"/>
      <w:bookmarkEnd w:id="82"/>
    </w:p>
    <w:p w14:paraId="4050A142">
      <w:pPr>
        <w:pStyle w:val="3"/>
        <w:rPr>
          <w:rFonts w:ascii="仿宋" w:hAnsi="仿宋" w:eastAsia="仿宋"/>
        </w:rPr>
      </w:pPr>
      <w:bookmarkStart w:id="83" w:name="_Toc1568"/>
      <w:bookmarkStart w:id="84"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83"/>
      <w:bookmarkEnd w:id="84"/>
    </w:p>
    <w:p w14:paraId="738616FE">
      <w:pPr>
        <w:pStyle w:val="3"/>
        <w:rPr>
          <w:rFonts w:ascii="仿宋" w:hAnsi="仿宋" w:eastAsia="仿宋"/>
        </w:rPr>
      </w:pPr>
      <w:bookmarkStart w:id="85" w:name="_Toc22446"/>
      <w:bookmarkStart w:id="86"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85"/>
      <w:bookmarkEnd w:id="86"/>
    </w:p>
    <w:p w14:paraId="087FFEA2">
      <w:pPr>
        <w:pStyle w:val="3"/>
        <w:rPr>
          <w:rFonts w:ascii="仿宋" w:hAnsi="仿宋" w:eastAsia="仿宋"/>
        </w:rPr>
      </w:pPr>
      <w:bookmarkStart w:id="87" w:name="_Toc15396627"/>
      <w:bookmarkStart w:id="88" w:name="_Toc25861"/>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87"/>
      <w:bookmarkEnd w:id="88"/>
    </w:p>
    <w:p w14:paraId="2869F1C5">
      <w:pPr>
        <w:pStyle w:val="3"/>
        <w:rPr>
          <w:rFonts w:ascii="仿宋" w:hAnsi="仿宋" w:eastAsia="仿宋"/>
        </w:rPr>
      </w:pPr>
      <w:bookmarkStart w:id="89" w:name="_Toc15396628"/>
      <w:bookmarkStart w:id="90" w:name="_Toc13422"/>
      <w:r>
        <w:rPr>
          <w:rStyle w:val="28"/>
          <w:rFonts w:hint="eastAsia" w:ascii="仿宋" w:hAnsi="仿宋" w:eastAsia="仿宋"/>
          <w:b w:val="0"/>
          <w:bCs w:val="0"/>
        </w:rPr>
        <w:t>十、</w:t>
      </w:r>
      <w:bookmarkEnd w:id="89"/>
      <w:r>
        <w:rPr>
          <w:rFonts w:hint="eastAsia" w:ascii="仿宋" w:hAnsi="仿宋" w:eastAsia="仿宋"/>
          <w:b w:val="0"/>
        </w:rPr>
        <w:t>政</w:t>
      </w:r>
      <w:r>
        <w:rPr>
          <w:rStyle w:val="28"/>
          <w:rFonts w:hint="eastAsia" w:ascii="仿宋" w:hAnsi="仿宋" w:eastAsia="仿宋"/>
          <w:b w:val="0"/>
          <w:bCs w:val="0"/>
        </w:rPr>
        <w:t>府性基金预算财政拨款收入支出决算表</w:t>
      </w:r>
      <w:bookmarkEnd w:id="90"/>
    </w:p>
    <w:p w14:paraId="3FCDD963">
      <w:pPr>
        <w:pStyle w:val="3"/>
        <w:rPr>
          <w:rFonts w:ascii="仿宋" w:hAnsi="仿宋" w:eastAsia="仿宋"/>
        </w:rPr>
      </w:pPr>
      <w:bookmarkStart w:id="91" w:name="_Toc15396629"/>
      <w:bookmarkStart w:id="92" w:name="_Toc10135"/>
      <w:r>
        <w:rPr>
          <w:rStyle w:val="28"/>
          <w:rFonts w:hint="eastAsia" w:ascii="仿宋" w:hAnsi="仿宋" w:eastAsia="仿宋"/>
          <w:b w:val="0"/>
          <w:bCs w:val="0"/>
        </w:rPr>
        <w:t>十一、</w:t>
      </w:r>
      <w:bookmarkEnd w:id="91"/>
      <w:r>
        <w:rPr>
          <w:rFonts w:hint="eastAsia" w:ascii="仿宋" w:hAnsi="仿宋" w:eastAsia="仿宋"/>
          <w:b w:val="0"/>
        </w:rPr>
        <w:t>国</w:t>
      </w:r>
      <w:r>
        <w:rPr>
          <w:rStyle w:val="28"/>
          <w:rFonts w:hint="eastAsia" w:ascii="仿宋" w:hAnsi="仿宋" w:eastAsia="仿宋"/>
          <w:b w:val="0"/>
          <w:bCs w:val="0"/>
        </w:rPr>
        <w:t>有资本经营预算财政拨款收入支出决算表</w:t>
      </w:r>
      <w:bookmarkEnd w:id="92"/>
    </w:p>
    <w:p w14:paraId="5269DB4C">
      <w:pPr>
        <w:pStyle w:val="3"/>
        <w:rPr>
          <w:rFonts w:ascii="仿宋" w:hAnsi="仿宋" w:eastAsia="仿宋"/>
        </w:rPr>
      </w:pPr>
      <w:bookmarkStart w:id="93" w:name="_Toc15396630"/>
      <w:bookmarkStart w:id="94" w:name="_Toc4830"/>
      <w:r>
        <w:rPr>
          <w:rStyle w:val="28"/>
          <w:rFonts w:hint="eastAsia" w:ascii="仿宋" w:hAnsi="仿宋" w:eastAsia="仿宋"/>
          <w:b w:val="0"/>
          <w:bCs w:val="0"/>
        </w:rPr>
        <w:t>十二、</w:t>
      </w:r>
      <w:bookmarkEnd w:id="93"/>
      <w:r>
        <w:rPr>
          <w:rStyle w:val="28"/>
          <w:rFonts w:hint="eastAsia" w:ascii="仿宋" w:hAnsi="仿宋" w:eastAsia="仿宋"/>
          <w:b w:val="0"/>
          <w:bCs w:val="0"/>
        </w:rPr>
        <w:t>国有资本经营预算财政拨款支出决算表</w:t>
      </w:r>
      <w:bookmarkEnd w:id="94"/>
    </w:p>
    <w:p w14:paraId="0EC61259">
      <w:pPr>
        <w:pStyle w:val="3"/>
        <w:rPr>
          <w:rFonts w:eastAsia="仿宋"/>
        </w:rPr>
      </w:pPr>
      <w:bookmarkStart w:id="95" w:name="_Toc15396631"/>
      <w:bookmarkStart w:id="96" w:name="_Toc2042"/>
      <w:r>
        <w:rPr>
          <w:rStyle w:val="28"/>
          <w:rFonts w:hint="eastAsia" w:ascii="仿宋" w:hAnsi="仿宋" w:eastAsia="仿宋"/>
          <w:b w:val="0"/>
          <w:bCs w:val="0"/>
        </w:rPr>
        <w:t>十三、</w:t>
      </w:r>
      <w:bookmarkEnd w:id="95"/>
      <w:r>
        <w:rPr>
          <w:rStyle w:val="28"/>
          <w:rFonts w:hint="eastAsia" w:ascii="仿宋" w:hAnsi="仿宋" w:eastAsia="仿宋"/>
          <w:b w:val="0"/>
          <w:bCs w:val="0"/>
        </w:rPr>
        <w:t>财政拨款“三公”经费支出决算表</w:t>
      </w:r>
      <w:bookmarkEnd w:id="96"/>
    </w:p>
    <w:sectPr>
      <w:footerReference r:id="rId5" w:type="firs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DCAAB7B">
        <w:pPr>
          <w:pStyle w:val="9"/>
          <w:jc w:val="center"/>
        </w:pPr>
        <w:r>
          <w:fldChar w:fldCharType="begin"/>
        </w:r>
        <w:r>
          <w:instrText xml:space="preserve">PAGE   \* MERGEFORMAT</w:instrText>
        </w:r>
        <w:r>
          <w:fldChar w:fldCharType="separate"/>
        </w:r>
        <w:r>
          <w:rPr>
            <w:lang w:val="zh-CN"/>
          </w:rPr>
          <w:t>15</w:t>
        </w:r>
        <w:r>
          <w:fldChar w:fldCharType="end"/>
        </w:r>
      </w:p>
    </w:sdtContent>
  </w:sdt>
  <w:p w14:paraId="10A27C0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055C3">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379"/>
                          </w:sdtPr>
                          <w:sdtContent>
                            <w:p w14:paraId="563A1980">
                              <w:pPr>
                                <w:pStyle w:val="9"/>
                                <w:jc w:val="center"/>
                              </w:pPr>
                              <w:r>
                                <w:fldChar w:fldCharType="begin"/>
                              </w:r>
                              <w:r>
                                <w:instrText xml:space="preserve">PAGE   \* MERGEFORMAT</w:instrText>
                              </w:r>
                              <w:r>
                                <w:fldChar w:fldCharType="separate"/>
                              </w:r>
                              <w:r>
                                <w:rPr>
                                  <w:lang w:val="zh-CN"/>
                                </w:rPr>
                                <w:t>15</w:t>
                              </w:r>
                              <w:r>
                                <w:fldChar w:fldCharType="end"/>
                              </w:r>
                            </w:p>
                          </w:sdtContent>
                        </w:sdt>
                        <w:p w14:paraId="40414EE3">
                          <w:pPr>
                            <w:pStyle w:val="1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3379"/>
                    </w:sdtPr>
                    <w:sdtContent>
                      <w:p w14:paraId="563A1980">
                        <w:pPr>
                          <w:pStyle w:val="9"/>
                          <w:jc w:val="center"/>
                        </w:pPr>
                        <w:r>
                          <w:fldChar w:fldCharType="begin"/>
                        </w:r>
                        <w:r>
                          <w:instrText xml:space="preserve">PAGE   \* MERGEFORMAT</w:instrText>
                        </w:r>
                        <w:r>
                          <w:fldChar w:fldCharType="separate"/>
                        </w:r>
                        <w:r>
                          <w:rPr>
                            <w:lang w:val="zh-CN"/>
                          </w:rPr>
                          <w:t>15</w:t>
                        </w:r>
                        <w:r>
                          <w:fldChar w:fldCharType="end"/>
                        </w:r>
                      </w:p>
                    </w:sdtContent>
                  </w:sdt>
                  <w:p w14:paraId="40414EE3">
                    <w:pPr>
                      <w:pStyle w:val="13"/>
                    </w:pPr>
                  </w:p>
                </w:txbxContent>
              </v:textbox>
            </v:shape>
          </w:pict>
        </mc:Fallback>
      </mc:AlternateContent>
    </w:r>
  </w:p>
  <w:p w14:paraId="66379A35">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EBE11">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3562D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3562D7">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818A09A"/>
    <w:multiLevelType w:val="singleLevel"/>
    <w:tmpl w:val="3818A09A"/>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MDkzMjJiODZiMzM1NGI0NDkyZDY2NzUyMTJmOT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B35DF6"/>
    <w:rsid w:val="02535265"/>
    <w:rsid w:val="02AE55E9"/>
    <w:rsid w:val="03DC2831"/>
    <w:rsid w:val="040556DD"/>
    <w:rsid w:val="04B3705D"/>
    <w:rsid w:val="04E37195"/>
    <w:rsid w:val="05045994"/>
    <w:rsid w:val="05200878"/>
    <w:rsid w:val="06540256"/>
    <w:rsid w:val="06AB256C"/>
    <w:rsid w:val="06D73361"/>
    <w:rsid w:val="06F96F5E"/>
    <w:rsid w:val="077E1A2E"/>
    <w:rsid w:val="07F95559"/>
    <w:rsid w:val="08071A24"/>
    <w:rsid w:val="081B5E94"/>
    <w:rsid w:val="088077E4"/>
    <w:rsid w:val="097529BD"/>
    <w:rsid w:val="0A2032A3"/>
    <w:rsid w:val="0A56459C"/>
    <w:rsid w:val="0B8A37D8"/>
    <w:rsid w:val="0BC96FF0"/>
    <w:rsid w:val="0C9D4705"/>
    <w:rsid w:val="0DB241E0"/>
    <w:rsid w:val="0E4868F2"/>
    <w:rsid w:val="0E650E4B"/>
    <w:rsid w:val="0E792F4F"/>
    <w:rsid w:val="0E9103F2"/>
    <w:rsid w:val="0F423341"/>
    <w:rsid w:val="0F5FFB2F"/>
    <w:rsid w:val="0FFFCF60"/>
    <w:rsid w:val="10797237"/>
    <w:rsid w:val="10897BD2"/>
    <w:rsid w:val="108C51BC"/>
    <w:rsid w:val="109C2F25"/>
    <w:rsid w:val="10C055FF"/>
    <w:rsid w:val="10C304B2"/>
    <w:rsid w:val="118107EC"/>
    <w:rsid w:val="11DD6519"/>
    <w:rsid w:val="1230423B"/>
    <w:rsid w:val="12577F6F"/>
    <w:rsid w:val="13936861"/>
    <w:rsid w:val="14C739A4"/>
    <w:rsid w:val="157B5CA8"/>
    <w:rsid w:val="16943974"/>
    <w:rsid w:val="16BB723D"/>
    <w:rsid w:val="16D61FC6"/>
    <w:rsid w:val="1767603B"/>
    <w:rsid w:val="17B15EB7"/>
    <w:rsid w:val="17FA6AFB"/>
    <w:rsid w:val="18015F3F"/>
    <w:rsid w:val="18581E27"/>
    <w:rsid w:val="18B708FC"/>
    <w:rsid w:val="18C354F3"/>
    <w:rsid w:val="19645E0A"/>
    <w:rsid w:val="198D31D6"/>
    <w:rsid w:val="198F43E7"/>
    <w:rsid w:val="1A7D3DC7"/>
    <w:rsid w:val="1B2F50C2"/>
    <w:rsid w:val="1B337BA0"/>
    <w:rsid w:val="1B650AE3"/>
    <w:rsid w:val="1BE35EAC"/>
    <w:rsid w:val="1BE8440E"/>
    <w:rsid w:val="1D155CEE"/>
    <w:rsid w:val="1DFB572F"/>
    <w:rsid w:val="1E5F3B39"/>
    <w:rsid w:val="1F2E6A70"/>
    <w:rsid w:val="1FBC7140"/>
    <w:rsid w:val="1FDBBF84"/>
    <w:rsid w:val="206F285C"/>
    <w:rsid w:val="20F57F95"/>
    <w:rsid w:val="240371BF"/>
    <w:rsid w:val="24513A18"/>
    <w:rsid w:val="248A3369"/>
    <w:rsid w:val="24B4750C"/>
    <w:rsid w:val="25711CC6"/>
    <w:rsid w:val="258424AE"/>
    <w:rsid w:val="25891872"/>
    <w:rsid w:val="25C741E6"/>
    <w:rsid w:val="265579A6"/>
    <w:rsid w:val="27090EBD"/>
    <w:rsid w:val="276F80C0"/>
    <w:rsid w:val="27842671"/>
    <w:rsid w:val="280D2EFC"/>
    <w:rsid w:val="28AA0D3F"/>
    <w:rsid w:val="29765141"/>
    <w:rsid w:val="29FD04D3"/>
    <w:rsid w:val="2ABE7A3E"/>
    <w:rsid w:val="2AFF09B6"/>
    <w:rsid w:val="2CA234A8"/>
    <w:rsid w:val="2D4A7B39"/>
    <w:rsid w:val="2E6A7D67"/>
    <w:rsid w:val="2E717347"/>
    <w:rsid w:val="2EFA178C"/>
    <w:rsid w:val="2EFDF86C"/>
    <w:rsid w:val="2F25085E"/>
    <w:rsid w:val="2F503401"/>
    <w:rsid w:val="2F587A28"/>
    <w:rsid w:val="2F9D17E1"/>
    <w:rsid w:val="30B46D73"/>
    <w:rsid w:val="310D77FB"/>
    <w:rsid w:val="319F7F4E"/>
    <w:rsid w:val="31FA02F1"/>
    <w:rsid w:val="32B33CFF"/>
    <w:rsid w:val="343D03F7"/>
    <w:rsid w:val="348F22D5"/>
    <w:rsid w:val="34CA2A79"/>
    <w:rsid w:val="356A28F1"/>
    <w:rsid w:val="357C035A"/>
    <w:rsid w:val="368E000D"/>
    <w:rsid w:val="36BE2E6C"/>
    <w:rsid w:val="383D272C"/>
    <w:rsid w:val="38934A8A"/>
    <w:rsid w:val="393C6ED0"/>
    <w:rsid w:val="39AE70AB"/>
    <w:rsid w:val="39CE1E5B"/>
    <w:rsid w:val="3A4DCE41"/>
    <w:rsid w:val="3A726921"/>
    <w:rsid w:val="3A942595"/>
    <w:rsid w:val="3B2A0FAA"/>
    <w:rsid w:val="3B950B19"/>
    <w:rsid w:val="3BC36985"/>
    <w:rsid w:val="3BCB56FA"/>
    <w:rsid w:val="3C095063"/>
    <w:rsid w:val="3C0C0783"/>
    <w:rsid w:val="3CF4186F"/>
    <w:rsid w:val="3D8660C5"/>
    <w:rsid w:val="3E0E1DF6"/>
    <w:rsid w:val="3E483C21"/>
    <w:rsid w:val="3EE7C2F4"/>
    <w:rsid w:val="3F371B56"/>
    <w:rsid w:val="3F5D194E"/>
    <w:rsid w:val="3F6D021D"/>
    <w:rsid w:val="3F792ED8"/>
    <w:rsid w:val="3F9F3A96"/>
    <w:rsid w:val="3FCE63A8"/>
    <w:rsid w:val="3FECA4B2"/>
    <w:rsid w:val="3FF58C48"/>
    <w:rsid w:val="40D44B34"/>
    <w:rsid w:val="42283623"/>
    <w:rsid w:val="42552DB0"/>
    <w:rsid w:val="42FF6694"/>
    <w:rsid w:val="44080714"/>
    <w:rsid w:val="44B32010"/>
    <w:rsid w:val="45336CAD"/>
    <w:rsid w:val="469B64D8"/>
    <w:rsid w:val="46A75BA4"/>
    <w:rsid w:val="47623C19"/>
    <w:rsid w:val="47CB7671"/>
    <w:rsid w:val="48A56114"/>
    <w:rsid w:val="48A979B2"/>
    <w:rsid w:val="48BF60AB"/>
    <w:rsid w:val="48E94252"/>
    <w:rsid w:val="48EB1D78"/>
    <w:rsid w:val="493C27E9"/>
    <w:rsid w:val="496F39ED"/>
    <w:rsid w:val="497A134E"/>
    <w:rsid w:val="49CF51F6"/>
    <w:rsid w:val="49FF41D3"/>
    <w:rsid w:val="4B137364"/>
    <w:rsid w:val="4B9F509C"/>
    <w:rsid w:val="4BE068DB"/>
    <w:rsid w:val="4BF076A6"/>
    <w:rsid w:val="4BF6002B"/>
    <w:rsid w:val="4BFFC6BE"/>
    <w:rsid w:val="4C6A2CD0"/>
    <w:rsid w:val="4CD64AED"/>
    <w:rsid w:val="4D0A4797"/>
    <w:rsid w:val="4DD40635"/>
    <w:rsid w:val="4DE65204"/>
    <w:rsid w:val="4E9F1CE9"/>
    <w:rsid w:val="4ECE2238"/>
    <w:rsid w:val="4EE80B08"/>
    <w:rsid w:val="4FF557B7"/>
    <w:rsid w:val="5060013B"/>
    <w:rsid w:val="51DB4B86"/>
    <w:rsid w:val="51F64DB0"/>
    <w:rsid w:val="523429E2"/>
    <w:rsid w:val="528005E6"/>
    <w:rsid w:val="52EA12F3"/>
    <w:rsid w:val="541153A2"/>
    <w:rsid w:val="54C6369A"/>
    <w:rsid w:val="54CF7554"/>
    <w:rsid w:val="55333C3E"/>
    <w:rsid w:val="565D1DDC"/>
    <w:rsid w:val="56C07164"/>
    <w:rsid w:val="57034731"/>
    <w:rsid w:val="57060A6B"/>
    <w:rsid w:val="573945F7"/>
    <w:rsid w:val="59EA607C"/>
    <w:rsid w:val="5A581238"/>
    <w:rsid w:val="5AD7215D"/>
    <w:rsid w:val="5ADE3B8E"/>
    <w:rsid w:val="5AEE74A6"/>
    <w:rsid w:val="5C6A5252"/>
    <w:rsid w:val="5E062D59"/>
    <w:rsid w:val="5E230CAE"/>
    <w:rsid w:val="5E9F11E3"/>
    <w:rsid w:val="5ECC3FA2"/>
    <w:rsid w:val="5F67802D"/>
    <w:rsid w:val="5F7DC4F2"/>
    <w:rsid w:val="5FB36814"/>
    <w:rsid w:val="5FBB8E56"/>
    <w:rsid w:val="5FFB5535"/>
    <w:rsid w:val="60167FE7"/>
    <w:rsid w:val="605F4298"/>
    <w:rsid w:val="61497B2C"/>
    <w:rsid w:val="615E6620"/>
    <w:rsid w:val="61AB7E9F"/>
    <w:rsid w:val="633A772C"/>
    <w:rsid w:val="64CA39A1"/>
    <w:rsid w:val="65206DF6"/>
    <w:rsid w:val="65515201"/>
    <w:rsid w:val="65FD2C93"/>
    <w:rsid w:val="66560D21"/>
    <w:rsid w:val="66770C98"/>
    <w:rsid w:val="667C4C04"/>
    <w:rsid w:val="66CD6B09"/>
    <w:rsid w:val="671B5AC7"/>
    <w:rsid w:val="677D0530"/>
    <w:rsid w:val="67C63C85"/>
    <w:rsid w:val="67F874B0"/>
    <w:rsid w:val="68943A24"/>
    <w:rsid w:val="69630ADE"/>
    <w:rsid w:val="69BD5F13"/>
    <w:rsid w:val="69C67F6C"/>
    <w:rsid w:val="69FB0B4B"/>
    <w:rsid w:val="69FD3262"/>
    <w:rsid w:val="6A0C3022"/>
    <w:rsid w:val="6A537326"/>
    <w:rsid w:val="6A7C72A2"/>
    <w:rsid w:val="6BFFE1FB"/>
    <w:rsid w:val="6C3311BD"/>
    <w:rsid w:val="6C4A05C8"/>
    <w:rsid w:val="6CA36342"/>
    <w:rsid w:val="6CCE0EE6"/>
    <w:rsid w:val="6CE37D94"/>
    <w:rsid w:val="6D237483"/>
    <w:rsid w:val="6D2C27DC"/>
    <w:rsid w:val="6D3B1A89"/>
    <w:rsid w:val="6DB7D8A3"/>
    <w:rsid w:val="6E5D4C17"/>
    <w:rsid w:val="6E7066F8"/>
    <w:rsid w:val="6EC78701"/>
    <w:rsid w:val="6EDF73DA"/>
    <w:rsid w:val="6EEB55FE"/>
    <w:rsid w:val="6F1277AF"/>
    <w:rsid w:val="6F7A5481"/>
    <w:rsid w:val="6FFE07A9"/>
    <w:rsid w:val="70291255"/>
    <w:rsid w:val="702F4391"/>
    <w:rsid w:val="70447E3C"/>
    <w:rsid w:val="704E0CBB"/>
    <w:rsid w:val="71BF4EC2"/>
    <w:rsid w:val="723A5A34"/>
    <w:rsid w:val="72734D90"/>
    <w:rsid w:val="733777E5"/>
    <w:rsid w:val="73E75B71"/>
    <w:rsid w:val="7412278C"/>
    <w:rsid w:val="749E33B6"/>
    <w:rsid w:val="74BA691F"/>
    <w:rsid w:val="753C7334"/>
    <w:rsid w:val="759F5B15"/>
    <w:rsid w:val="75DDCDA9"/>
    <w:rsid w:val="75FF44B1"/>
    <w:rsid w:val="76944F4E"/>
    <w:rsid w:val="76AD26EF"/>
    <w:rsid w:val="7722255A"/>
    <w:rsid w:val="77670518"/>
    <w:rsid w:val="777FA627"/>
    <w:rsid w:val="77CD43F6"/>
    <w:rsid w:val="77DF1B5F"/>
    <w:rsid w:val="77EF2D9D"/>
    <w:rsid w:val="789E20B4"/>
    <w:rsid w:val="78BD078C"/>
    <w:rsid w:val="79077C59"/>
    <w:rsid w:val="79C00DCD"/>
    <w:rsid w:val="79E7B28D"/>
    <w:rsid w:val="7A89511E"/>
    <w:rsid w:val="7ACFF0C2"/>
    <w:rsid w:val="7AFB9108"/>
    <w:rsid w:val="7B4F7695"/>
    <w:rsid w:val="7BBF2A6D"/>
    <w:rsid w:val="7BD5340C"/>
    <w:rsid w:val="7BF71835"/>
    <w:rsid w:val="7BFB19D2"/>
    <w:rsid w:val="7BFD1750"/>
    <w:rsid w:val="7BFDAA1B"/>
    <w:rsid w:val="7CDF9A82"/>
    <w:rsid w:val="7CFFA1BD"/>
    <w:rsid w:val="7D2E3F7A"/>
    <w:rsid w:val="7DC16953"/>
    <w:rsid w:val="7DDD367E"/>
    <w:rsid w:val="7DED9490"/>
    <w:rsid w:val="7DFF4872"/>
    <w:rsid w:val="7E1A21DD"/>
    <w:rsid w:val="7E7487E6"/>
    <w:rsid w:val="7E7C2A54"/>
    <w:rsid w:val="7EC55299"/>
    <w:rsid w:val="7EEEFD72"/>
    <w:rsid w:val="7F1D517C"/>
    <w:rsid w:val="7F5DA057"/>
    <w:rsid w:val="7F6A1120"/>
    <w:rsid w:val="7F6C2237"/>
    <w:rsid w:val="7F7F319B"/>
    <w:rsid w:val="7F934A2E"/>
    <w:rsid w:val="7F9F20EE"/>
    <w:rsid w:val="7FBBE890"/>
    <w:rsid w:val="7FBC2ABD"/>
    <w:rsid w:val="7FBF5D48"/>
    <w:rsid w:val="7FC70142"/>
    <w:rsid w:val="7FCCFC01"/>
    <w:rsid w:val="7FD7188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2"/>
    <w:qFormat/>
    <w:uiPriority w:val="9"/>
    <w:rPr>
      <w:rFonts w:ascii="Times New Roman" w:hAnsi="Times New Roman"/>
      <w:b/>
      <w:bCs/>
      <w:kern w:val="44"/>
      <w:sz w:val="44"/>
      <w:szCs w:val="44"/>
    </w:rPr>
  </w:style>
  <w:style w:type="character" w:customStyle="1" w:styleId="28">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8"/>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heme="minorHAnsi" w:hAnsiTheme="minorHAnsi" w:eastAsiaTheme="minorEastAsia" w:cstheme="minorBidi"/>
      <w:sz w:val="20"/>
      <w:szCs w:val="20"/>
    </w:rPr>
  </w:style>
  <w:style w:type="paragraph" w:customStyle="1" w:styleId="34">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xwechat_files\wxid_as4sytfys6ag41_d739\msg\file\2025-09\&#22270;&#34920;&#35774;&#3574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rPr>
              <a:t>收入、支出决算总计变动情况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[图表设计.xls]Sheet2!$A$5</c:f>
              <c:strCache>
                <c:ptCount val="1"/>
                <c:pt idx="0">
                  <c:v>2023</c:v>
                </c:pt>
              </c:strCache>
            </c:strRef>
          </c:tx>
          <c:spPr>
            <a:solidFill>
              <a:schemeClr val="accent1"/>
            </a:solidFill>
            <a:ln>
              <a:noFill/>
            </a:ln>
            <a:effectLst/>
          </c:spPr>
          <c:invertIfNegative val="0"/>
          <c:dLbls>
            <c:delete val="1"/>
          </c:dLbls>
          <c:cat>
            <c:strRef>
              <c:f>[图表设计.xls]Sheet2!$B$4:$C$4</c:f>
              <c:strCache>
                <c:ptCount val="2"/>
                <c:pt idx="0">
                  <c:v>收入</c:v>
                </c:pt>
                <c:pt idx="1">
                  <c:v>支出</c:v>
                </c:pt>
              </c:strCache>
            </c:strRef>
          </c:cat>
          <c:val>
            <c:numRef>
              <c:f>[图表设计.xls]Sheet2!$B$5:$C$5</c:f>
              <c:numCache>
                <c:formatCode>#,##0.00</c:formatCode>
                <c:ptCount val="2"/>
                <c:pt idx="0">
                  <c:v>790.36</c:v>
                </c:pt>
                <c:pt idx="1">
                  <c:v>790.36</c:v>
                </c:pt>
              </c:numCache>
            </c:numRef>
          </c:val>
        </c:ser>
        <c:ser>
          <c:idx val="1"/>
          <c:order val="1"/>
          <c:tx>
            <c:strRef>
              <c:f>[图表设计.xls]Sheet2!$A$6</c:f>
              <c:strCache>
                <c:ptCount val="1"/>
                <c:pt idx="0">
                  <c:v>2024</c:v>
                </c:pt>
              </c:strCache>
            </c:strRef>
          </c:tx>
          <c:spPr>
            <a:solidFill>
              <a:schemeClr val="accent2"/>
            </a:solidFill>
            <a:ln>
              <a:noFill/>
            </a:ln>
            <a:effectLst/>
          </c:spPr>
          <c:invertIfNegative val="0"/>
          <c:dLbls>
            <c:delete val="1"/>
          </c:dLbls>
          <c:cat>
            <c:strRef>
              <c:f>[图表设计.xls]Sheet2!$B$4:$C$4</c:f>
              <c:strCache>
                <c:ptCount val="2"/>
                <c:pt idx="0">
                  <c:v>收入</c:v>
                </c:pt>
                <c:pt idx="1">
                  <c:v>支出</c:v>
                </c:pt>
              </c:strCache>
            </c:strRef>
          </c:cat>
          <c:val>
            <c:numRef>
              <c:f>[图表设计.xls]Sheet2!$B$6:$C$6</c:f>
              <c:numCache>
                <c:formatCode>#,##0.00</c:formatCode>
                <c:ptCount val="2"/>
                <c:pt idx="0">
                  <c:v>827</c:v>
                </c:pt>
                <c:pt idx="1">
                  <c:v>827</c:v>
                </c:pt>
              </c:numCache>
            </c:numRef>
          </c:val>
        </c:ser>
        <c:dLbls>
          <c:showLegendKey val="0"/>
          <c:showVal val="0"/>
          <c:showCatName val="0"/>
          <c:showSerName val="0"/>
          <c:showPercent val="0"/>
          <c:showBubbleSize val="0"/>
        </c:dLbls>
        <c:gapWidth val="219"/>
        <c:overlap val="-27"/>
        <c:axId val="887766865"/>
        <c:axId val="492816767"/>
      </c:barChart>
      <c:catAx>
        <c:axId val="88776686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2816767"/>
        <c:crosses val="autoZero"/>
        <c:auto val="1"/>
        <c:lblAlgn val="ctr"/>
        <c:lblOffset val="100"/>
        <c:noMultiLvlLbl val="0"/>
      </c:catAx>
      <c:valAx>
        <c:axId val="492816767"/>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766865"/>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94c9ba57-0743-4922-9758-2d8f7057401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[图表设计.xls]Sheet1!$A$3</c:f>
              <c:strCache>
                <c:ptCount val="1"/>
                <c:pt idx="0">
                  <c:v>一般公共预算财政拨款收入</c:v>
                </c:pt>
              </c:strCache>
            </c:strRef>
          </c:cat>
          <c:val>
            <c:numRef>
              <c:f>[图表设计.xls]Sheet1!$B$3</c:f>
              <c:numCache>
                <c:formatCode>#,##0.00</c:formatCode>
                <c:ptCount val="1"/>
                <c:pt idx="0">
                  <c:v>670.42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
          <c:y val="0.16925"/>
          <c:w val="0.332763190987562"/>
          <c:h val="0.7049714926764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b6f566f-003a-4eb2-8b6b-8fa840fc944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[图表设计.xls]Sheet1!$A$9:$A$10</c:f>
              <c:strCache>
                <c:ptCount val="2"/>
                <c:pt idx="0">
                  <c:v>基本支出</c:v>
                </c:pt>
                <c:pt idx="1">
                  <c:v>项目支出</c:v>
                </c:pt>
              </c:strCache>
            </c:strRef>
          </c:cat>
          <c:val>
            <c:numRef>
              <c:f>[图表设计.xls]Sheet1!$B$9:$B$10</c:f>
              <c:numCache>
                <c:formatCode>General</c:formatCode>
                <c:ptCount val="2"/>
                <c:pt idx="0">
                  <c:v>444.61</c:v>
                </c:pt>
                <c:pt idx="1">
                  <c:v>382.39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6875"/>
          <c:y val="0.1615"/>
          <c:w val="0.158928017980741"/>
          <c:h val="0.66558443207144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dd17b37-0e13-4fe2-afc8-c4e542159be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endParaRPr sz="1400" b="1" i="0" u="none" strike="noStrike" baseline="0">
              <a:solidFill>
                <a:srgbClr val="404040">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[图表设计.xls]Sheet2!$A$13</c:f>
              <c:strCache>
                <c:ptCount val="1"/>
                <c:pt idx="0">
                  <c:v>2023</c:v>
                </c:pt>
              </c:strCache>
            </c:strRef>
          </c:tx>
          <c:spPr>
            <a:solidFill>
              <a:schemeClr val="accent1"/>
            </a:solidFill>
            <a:ln>
              <a:noFill/>
            </a:ln>
            <a:effectLst/>
          </c:spPr>
          <c:invertIfNegative val="0"/>
          <c:dLbls>
            <c:delete val="1"/>
          </c:dLbls>
          <c:cat>
            <c:strRef>
              <c:f>[图表设计.xls]Sheet2!$B$12:$C$12</c:f>
              <c:strCache>
                <c:ptCount val="2"/>
                <c:pt idx="0">
                  <c:v>收入</c:v>
                </c:pt>
                <c:pt idx="1">
                  <c:v>支出</c:v>
                </c:pt>
              </c:strCache>
            </c:strRef>
          </c:cat>
          <c:val>
            <c:numRef>
              <c:f>[图表设计.xls]Sheet2!$B$13:$C$13</c:f>
              <c:numCache>
                <c:formatCode>#,##0.00</c:formatCode>
                <c:ptCount val="2"/>
                <c:pt idx="0">
                  <c:v>790.36</c:v>
                </c:pt>
                <c:pt idx="1">
                  <c:v>790.36</c:v>
                </c:pt>
              </c:numCache>
            </c:numRef>
          </c:val>
        </c:ser>
        <c:ser>
          <c:idx val="1"/>
          <c:order val="1"/>
          <c:tx>
            <c:strRef>
              <c:f>[图表设计.xls]Sheet2!$A$14</c:f>
              <c:strCache>
                <c:ptCount val="1"/>
                <c:pt idx="0">
                  <c:v>2024</c:v>
                </c:pt>
              </c:strCache>
            </c:strRef>
          </c:tx>
          <c:spPr>
            <a:solidFill>
              <a:schemeClr val="accent2"/>
            </a:solidFill>
            <a:ln>
              <a:noFill/>
            </a:ln>
            <a:effectLst/>
          </c:spPr>
          <c:invertIfNegative val="0"/>
          <c:dLbls>
            <c:delete val="1"/>
          </c:dLbls>
          <c:cat>
            <c:strRef>
              <c:f>[图表设计.xls]Sheet2!$B$12:$C$12</c:f>
              <c:strCache>
                <c:ptCount val="2"/>
                <c:pt idx="0">
                  <c:v>收入</c:v>
                </c:pt>
                <c:pt idx="1">
                  <c:v>支出</c:v>
                </c:pt>
              </c:strCache>
            </c:strRef>
          </c:cat>
          <c:val>
            <c:numRef>
              <c:f>[图表设计.xls]Sheet2!$B$14:$C$14</c:f>
              <c:numCache>
                <c:formatCode>#,##0.00</c:formatCode>
                <c:ptCount val="2"/>
                <c:pt idx="0">
                  <c:v>827</c:v>
                </c:pt>
                <c:pt idx="1">
                  <c:v>827</c:v>
                </c:pt>
              </c:numCache>
            </c:numRef>
          </c:val>
        </c:ser>
        <c:dLbls>
          <c:showLegendKey val="0"/>
          <c:showVal val="0"/>
          <c:showCatName val="0"/>
          <c:showSerName val="0"/>
          <c:showPercent val="0"/>
          <c:showBubbleSize val="0"/>
        </c:dLbls>
        <c:gapWidth val="246"/>
        <c:overlap val="-28"/>
        <c:axId val="162780207"/>
        <c:axId val="672507090"/>
      </c:barChart>
      <c:catAx>
        <c:axId val="16278020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2507090"/>
        <c:crosses val="autoZero"/>
        <c:auto val="1"/>
        <c:lblAlgn val="ctr"/>
        <c:lblOffset val="100"/>
        <c:noMultiLvlLbl val="0"/>
      </c:catAx>
      <c:valAx>
        <c:axId val="672507090"/>
        <c:scaling>
          <c:orientation val="minMax"/>
        </c:scaling>
        <c:delete val="0"/>
        <c:axPos val="l"/>
        <c:majorGridlines>
          <c:spPr>
            <a:ln w="9525" cap="flat" cmpd="sng" algn="ctr">
              <a:solidFill>
                <a:schemeClr val="lt1">
                  <a:lumMod val="902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780207"/>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d6cf6fe-9271-46da-8402-5e58f1d10fb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tx>
            <c:strRef>
              <c:f>[图表设计.xls]Sheet2!$B$21</c:f>
              <c:strCache>
                <c:ptCount val="1"/>
                <c:pt idx="0">
                  <c:v>支出</c:v>
                </c:pt>
              </c:strCache>
            </c:strRef>
          </c:tx>
          <c:spPr>
            <a:solidFill>
              <a:schemeClr val="accent1"/>
            </a:solidFill>
            <a:ln>
              <a:noFill/>
            </a:ln>
            <a:effectLst/>
          </c:spPr>
          <c:invertIfNegative val="0"/>
          <c:dLbls>
            <c:delete val="1"/>
          </c:dLbls>
          <c:cat>
            <c:numRef>
              <c:f>[图表设计.xls]Sheet2!$A$22:$A$23</c:f>
              <c:numCache>
                <c:formatCode>General</c:formatCode>
                <c:ptCount val="2"/>
                <c:pt idx="0">
                  <c:v>2023</c:v>
                </c:pt>
                <c:pt idx="1">
                  <c:v>2024</c:v>
                </c:pt>
              </c:numCache>
            </c:numRef>
          </c:cat>
          <c:val>
            <c:numRef>
              <c:f>[图表设计.xls]Sheet2!$B$22:$B$23</c:f>
              <c:numCache>
                <c:formatCode>#,##0.00</c:formatCode>
                <c:ptCount val="2"/>
                <c:pt idx="0">
                  <c:v>790.36</c:v>
                </c:pt>
                <c:pt idx="1">
                  <c:v>827</c:v>
                </c:pt>
              </c:numCache>
            </c:numRef>
          </c:val>
        </c:ser>
        <c:dLbls>
          <c:showLegendKey val="0"/>
          <c:showVal val="0"/>
          <c:showCatName val="0"/>
          <c:showSerName val="0"/>
          <c:showPercent val="0"/>
          <c:showBubbleSize val="0"/>
        </c:dLbls>
        <c:gapWidth val="150"/>
        <c:overlap val="0"/>
        <c:axId val="550175226"/>
        <c:axId val="756941795"/>
      </c:barChart>
      <c:catAx>
        <c:axId val="55017522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941795"/>
        <c:crosses val="autoZero"/>
        <c:auto val="1"/>
        <c:lblAlgn val="ctr"/>
        <c:lblOffset val="100"/>
        <c:noMultiLvlLbl val="0"/>
      </c:catAx>
      <c:valAx>
        <c:axId val="756941795"/>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单位：万元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0288888888888889"/>
              <c:y val="0.355972222222222"/>
            </c:manualLayout>
          </c:layout>
          <c:overlay val="0"/>
          <c:spPr>
            <a:noFill/>
            <a:ln>
              <a:noFill/>
            </a:ln>
            <a:effectLst/>
          </c:spPr>
        </c:title>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0175226"/>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2a248be8-bce7-421c-bd27-abc7ead2492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39472643889276"/>
          <c:y val="0.0315764604446264"/>
        </c:manualLayout>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[图表设计.xls]Sheet1!$A$16:$A$21</c:f>
              <c:strCache>
                <c:ptCount val="3"/>
                <c:pt idx="0">
                  <c:v>卫生健康支出</c:v>
                </c:pt>
                <c:pt idx="1">
                  <c:v>社会保障和就业支出</c:v>
                </c:pt>
                <c:pt idx="2">
                  <c:v>住房保障支出</c:v>
                </c:pt>
              </c:strCache>
            </c:strRef>
          </c:cat>
          <c:val>
            <c:numRef>
              <c:f>[图表设计.xls]Sheet1!$B$16:$B$21</c:f>
              <c:numCache>
                <c:formatCode>#,##0.000000</c:formatCode>
                <c:ptCount val="3"/>
                <c:pt idx="0">
                  <c:v>740.13</c:v>
                </c:pt>
                <c:pt idx="1">
                  <c:v>56.62</c:v>
                </c:pt>
                <c:pt idx="2">
                  <c:v>30.25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65"/>
          <c:y val="0.274"/>
          <c:w val="0.32475"/>
          <c:h val="0.535"/>
        </c:manualLayout>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2154b03-dc14-4aed-b220-672f806294a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Pt>
            <c:idx val="2"/>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[图表设计.xls]Sheet1!$A$36:$A$38</c:f>
              <c:strCache>
                <c:ptCount val="3"/>
                <c:pt idx="0">
                  <c:v>公务用车购置及运行维护费支出</c:v>
                </c:pt>
                <c:pt idx="1">
                  <c:v>因公出国（境）费支出</c:v>
                </c:pt>
                <c:pt idx="2">
                  <c:v>公务接待费支出</c:v>
                </c:pt>
              </c:strCache>
            </c:strRef>
          </c:cat>
          <c:val>
            <c:numRef>
              <c:f>[图表设计.xls]Sheet1!$B$36:$B$38</c:f>
              <c:numCache>
                <c:formatCode>#,##0.00</c:formatCode>
                <c:ptCount val="3"/>
                <c:pt idx="0">
                  <c:v>18.22</c:v>
                </c:pt>
                <c:pt idx="1" c:formatCode="General">
                  <c:v>0</c:v>
                </c:pt>
                <c:pt idx="2"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55199374511337"/>
          <c:y val="0.173885750156937"/>
          <c:w val="0.326035965598124"/>
          <c:h val="0.73111529608704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2e68291-b22b-4151-97f2-b1edd677aca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5651</Words>
  <Characters>6087</Characters>
  <Lines>54</Lines>
  <Paragraphs>15</Paragraphs>
  <TotalTime>3</TotalTime>
  <ScaleCrop>false</ScaleCrop>
  <LinksUpToDate>false</LinksUpToDate>
  <CharactersWithSpaces>6192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川</cp:lastModifiedBy>
  <cp:lastPrinted>2023-08-03T02:35:00Z</cp:lastPrinted>
  <dcterms:modified xsi:type="dcterms:W3CDTF">2025-09-29T09:29:01Z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FE055BC40BA44FA8AD396C64116FFD4E_12</vt:lpwstr>
  </property>
  <property fmtid="{D5CDD505-2E9C-101B-9397-08002B2CF9AE}" pid="4" name="KSOTemplateDocerSaveRecord">
    <vt:lpwstr>eyJoZGlkIjoiZmIzMDkzMjJiODZiMzM1NGI0NDkyZDY2NzUyMTJmOTIiLCJ1c2VySWQiOiI2NzE0OTQzMzkifQ==</vt:lpwstr>
  </property>
</Properties>
</file>