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77990">
      <w:pPr>
        <w:pStyle w:val="8"/>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bookmarkStart w:id="0" w:name="_Toc15396597"/>
      <w:bookmarkStart w:id="1" w:name="_Toc15378441"/>
      <w:bookmarkStart w:id="2" w:name="_Toc15306267"/>
      <w:bookmarkStart w:id="3" w:name="_Toc15377425"/>
      <w:bookmarkStart w:id="4" w:name="_Toc15377193"/>
      <w:bookmarkStart w:id="5" w:name="_Toc15396475"/>
    </w:p>
    <w:p w14:paraId="3E4AEB72">
      <w:pPr>
        <w:pStyle w:val="8"/>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7220C589">
      <w:pPr>
        <w:pStyle w:val="8"/>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61A0C873">
      <w:pPr>
        <w:pStyle w:val="19"/>
        <w:keepNext w:val="0"/>
        <w:keepLines w:val="0"/>
        <w:pageBreakBefore w:val="0"/>
        <w:widowControl/>
        <w:suppressLineNumbers w:val="0"/>
        <w:kinsoku/>
        <w:wordWrap/>
        <w:overflowPunct/>
        <w:topLinePunct w:val="0"/>
        <w:autoSpaceDE/>
        <w:autoSpaceDN/>
        <w:bidi w:val="0"/>
        <w:adjustRightInd/>
        <w:snapToGrid/>
        <w:spacing w:line="560" w:lineRule="exact"/>
        <w:ind w:left="0" w:right="74"/>
        <w:jc w:val="center"/>
        <w:textAlignment w:val="auto"/>
        <w:rPr>
          <w:rFonts w:hint="eastAsia" w:ascii="方正小标宋简体" w:hAnsi="方正小标宋简体" w:eastAsia="方正小标宋简体" w:cs="方正小标宋简体"/>
          <w:b w:val="0"/>
          <w:bCs/>
          <w:sz w:val="44"/>
          <w:szCs w:val="44"/>
        </w:rPr>
      </w:pPr>
      <w:r>
        <w:rPr>
          <w:rStyle w:val="22"/>
          <w:rFonts w:hint="eastAsia" w:ascii="方正小标宋简体" w:hAnsi="方正小标宋简体" w:eastAsia="方正小标宋简体" w:cs="方正小标宋简体"/>
          <w:b w:val="0"/>
          <w:bCs/>
          <w:sz w:val="44"/>
          <w:szCs w:val="44"/>
          <w:shd w:val="clear" w:color="auto" w:fill="FFFFFF"/>
        </w:rPr>
        <w:t>202</w:t>
      </w:r>
      <w:r>
        <w:rPr>
          <w:rStyle w:val="22"/>
          <w:rFonts w:hint="eastAsia" w:ascii="方正小标宋简体" w:hAnsi="方正小标宋简体" w:eastAsia="方正小标宋简体" w:cs="方正小标宋简体"/>
          <w:b w:val="0"/>
          <w:bCs/>
          <w:sz w:val="44"/>
          <w:szCs w:val="44"/>
          <w:shd w:val="clear" w:color="auto" w:fill="FFFFFF"/>
          <w:lang w:val="en-US"/>
        </w:rPr>
        <w:t>4</w:t>
      </w:r>
      <w:r>
        <w:rPr>
          <w:rStyle w:val="22"/>
          <w:rFonts w:hint="eastAsia" w:ascii="方正小标宋简体" w:hAnsi="方正小标宋简体" w:eastAsia="方正小标宋简体" w:cs="方正小标宋简体"/>
          <w:b w:val="0"/>
          <w:bCs/>
          <w:sz w:val="44"/>
          <w:szCs w:val="44"/>
          <w:shd w:val="clear" w:color="auto" w:fill="FFFFFF"/>
        </w:rPr>
        <w:t>年度</w:t>
      </w:r>
    </w:p>
    <w:p w14:paraId="5F120EFD">
      <w:pPr>
        <w:pStyle w:val="19"/>
        <w:keepNext w:val="0"/>
        <w:keepLines w:val="0"/>
        <w:pageBreakBefore w:val="0"/>
        <w:widowControl/>
        <w:suppressLineNumbers w:val="0"/>
        <w:kinsoku/>
        <w:wordWrap/>
        <w:overflowPunct/>
        <w:topLinePunct w:val="0"/>
        <w:autoSpaceDE/>
        <w:autoSpaceDN/>
        <w:bidi w:val="0"/>
        <w:adjustRightInd/>
        <w:snapToGrid/>
        <w:spacing w:line="560" w:lineRule="exact"/>
        <w:ind w:left="0" w:right="74"/>
        <w:jc w:val="center"/>
        <w:textAlignment w:val="auto"/>
        <w:rPr>
          <w:rStyle w:val="22"/>
          <w:rFonts w:hint="eastAsia" w:ascii="方正小标宋简体" w:hAnsi="方正小标宋简体" w:eastAsia="方正小标宋简体" w:cs="方正小标宋简体"/>
          <w:b w:val="0"/>
          <w:bCs/>
          <w:sz w:val="44"/>
          <w:szCs w:val="44"/>
          <w:shd w:val="clear" w:color="auto" w:fill="FFFFFF"/>
          <w:lang w:eastAsia="zh-CN"/>
        </w:rPr>
      </w:pPr>
      <w:r>
        <w:rPr>
          <w:rStyle w:val="22"/>
          <w:rFonts w:hint="eastAsia" w:ascii="方正小标宋简体" w:hAnsi="方正小标宋简体" w:eastAsia="方正小标宋简体" w:cs="方正小标宋简体"/>
          <w:b w:val="0"/>
          <w:bCs/>
          <w:sz w:val="44"/>
          <w:szCs w:val="44"/>
          <w:shd w:val="clear" w:color="auto" w:fill="FFFFFF"/>
          <w:lang w:eastAsia="zh-CN"/>
        </w:rPr>
        <w:t>红原县行政审批和政务服务管理局</w:t>
      </w:r>
    </w:p>
    <w:p w14:paraId="4BE24E85">
      <w:pPr>
        <w:pStyle w:val="19"/>
        <w:keepNext w:val="0"/>
        <w:keepLines w:val="0"/>
        <w:pageBreakBefore w:val="0"/>
        <w:widowControl/>
        <w:suppressLineNumbers w:val="0"/>
        <w:kinsoku/>
        <w:wordWrap/>
        <w:overflowPunct/>
        <w:topLinePunct w:val="0"/>
        <w:autoSpaceDE/>
        <w:autoSpaceDN/>
        <w:bidi w:val="0"/>
        <w:adjustRightInd/>
        <w:snapToGrid/>
        <w:spacing w:line="560" w:lineRule="exact"/>
        <w:ind w:left="0" w:right="74"/>
        <w:jc w:val="center"/>
        <w:textAlignment w:val="auto"/>
        <w:rPr>
          <w:rFonts w:hint="eastAsia" w:ascii="方正小标宋简体" w:hAnsi="方正小标宋简体" w:eastAsia="方正小标宋简体" w:cs="方正小标宋简体"/>
          <w:b w:val="0"/>
          <w:bCs/>
          <w:sz w:val="44"/>
          <w:szCs w:val="44"/>
          <w:lang w:eastAsia="zh-CN"/>
        </w:rPr>
      </w:pPr>
      <w:r>
        <w:rPr>
          <w:rStyle w:val="22"/>
          <w:rFonts w:hint="eastAsia" w:ascii="方正小标宋简体" w:hAnsi="方正小标宋简体" w:eastAsia="方正小标宋简体" w:cs="方正小标宋简体"/>
          <w:b w:val="0"/>
          <w:bCs/>
          <w:sz w:val="44"/>
          <w:szCs w:val="44"/>
          <w:shd w:val="clear" w:color="auto" w:fill="FFFFFF"/>
        </w:rPr>
        <w:t>部门决算</w:t>
      </w:r>
      <w:r>
        <w:rPr>
          <w:rStyle w:val="22"/>
          <w:rFonts w:hint="eastAsia" w:ascii="方正小标宋简体" w:hAnsi="方正小标宋简体" w:eastAsia="方正小标宋简体" w:cs="方正小标宋简体"/>
          <w:b w:val="0"/>
          <w:bCs/>
          <w:sz w:val="44"/>
          <w:szCs w:val="44"/>
          <w:shd w:val="clear" w:color="auto" w:fill="FFFFFF"/>
          <w:lang w:eastAsia="zh-CN"/>
        </w:rPr>
        <w:t>公开编制说明</w:t>
      </w:r>
    </w:p>
    <w:p w14:paraId="36E82EA7">
      <w:pPr>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sz w:val="32"/>
          <w:szCs w:val="32"/>
        </w:rPr>
      </w:pPr>
    </w:p>
    <w:p w14:paraId="69F64518">
      <w:pPr>
        <w:pageBreakBefore w:val="0"/>
        <w:kinsoku/>
        <w:wordWrap/>
        <w:overflowPunct/>
        <w:topLinePunct w:val="0"/>
        <w:autoSpaceDE/>
        <w:autoSpaceDN/>
        <w:bidi w:val="0"/>
        <w:spacing w:line="560" w:lineRule="exact"/>
        <w:jc w:val="center"/>
        <w:outlineLvl w:val="0"/>
        <w:rPr>
          <w:rFonts w:hint="eastAsia" w:ascii="仿宋_GB2312" w:hAnsi="仿宋_GB2312" w:eastAsia="仿宋_GB2312" w:cs="仿宋_GB2312"/>
          <w:color w:val="auto"/>
          <w:sz w:val="32"/>
          <w:szCs w:val="32"/>
          <w:highlight w:val="none"/>
        </w:rPr>
      </w:pPr>
    </w:p>
    <w:p w14:paraId="597821EB">
      <w:pPr>
        <w:pStyle w:val="7"/>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p>
    <w:p w14:paraId="77EBD056">
      <w:pPr>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p>
    <w:p w14:paraId="05E67413">
      <w:pPr>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p>
    <w:p w14:paraId="334905E8">
      <w:pPr>
        <w:pStyle w:val="7"/>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p>
    <w:p w14:paraId="03DEAA93">
      <w:pPr>
        <w:pStyle w:val="19"/>
        <w:keepNext w:val="0"/>
        <w:keepLines w:val="0"/>
        <w:pageBreakBefore w:val="0"/>
        <w:widowControl/>
        <w:suppressLineNumbers w:val="0"/>
        <w:kinsoku/>
        <w:wordWrap/>
        <w:overflowPunct/>
        <w:topLinePunct w:val="0"/>
        <w:autoSpaceDE/>
        <w:autoSpaceDN/>
        <w:bidi w:val="0"/>
        <w:spacing w:line="560" w:lineRule="exact"/>
        <w:ind w:left="0" w:right="75"/>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rPr>
        <w:t>保密审查情况：</w:t>
      </w:r>
      <w:r>
        <w:rPr>
          <w:rFonts w:hint="eastAsia" w:ascii="仿宋_GB2312" w:hAnsi="仿宋_GB2312" w:eastAsia="仿宋_GB2312" w:cs="仿宋_GB2312"/>
          <w:sz w:val="32"/>
          <w:szCs w:val="32"/>
          <w:shd w:val="clear" w:color="auto" w:fill="FFFFFF"/>
          <w:lang w:val="en-US" w:eastAsia="zh-CN"/>
        </w:rPr>
        <w:t>已审查，内容核定</w:t>
      </w:r>
    </w:p>
    <w:p w14:paraId="5271C677">
      <w:pPr>
        <w:pStyle w:val="19"/>
        <w:keepNext w:val="0"/>
        <w:keepLines w:val="0"/>
        <w:pageBreakBefore w:val="0"/>
        <w:widowControl/>
        <w:suppressLineNumbers w:val="0"/>
        <w:kinsoku/>
        <w:wordWrap/>
        <w:overflowPunct/>
        <w:topLinePunct w:val="0"/>
        <w:autoSpaceDE/>
        <w:autoSpaceDN/>
        <w:bidi w:val="0"/>
        <w:spacing w:line="560" w:lineRule="exact"/>
        <w:ind w:left="0" w:right="75"/>
        <w:jc w:val="left"/>
        <w:rPr>
          <w:rFonts w:hint="eastAsia" w:ascii="仿宋_GB2312" w:hAnsi="仿宋_GB2312" w:eastAsia="仿宋_GB2312" w:cs="仿宋_GB2312"/>
          <w:sz w:val="32"/>
          <w:szCs w:val="32"/>
          <w:lang w:val="en-US"/>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仿宋_GB2312" w:hAnsi="仿宋_GB2312" w:eastAsia="仿宋_GB2312" w:cs="仿宋_GB2312"/>
          <w:sz w:val="32"/>
          <w:szCs w:val="32"/>
          <w:shd w:val="clear" w:color="auto" w:fill="FFFFFF"/>
        </w:rPr>
        <w:t>部门主要负责人审签情况：</w:t>
      </w:r>
      <w:r>
        <w:rPr>
          <w:rFonts w:hint="eastAsia" w:ascii="仿宋_GB2312" w:hAnsi="仿宋_GB2312" w:eastAsia="仿宋_GB2312" w:cs="仿宋_GB2312"/>
          <w:sz w:val="32"/>
          <w:szCs w:val="32"/>
          <w:shd w:val="clear" w:color="auto" w:fill="FFFFFF"/>
          <w:lang w:val="en-US" w:eastAsia="zh-CN"/>
        </w:rPr>
        <w:t>已审签，同意对外</w:t>
      </w:r>
    </w:p>
    <w:bookmarkEnd w:id="0"/>
    <w:bookmarkEnd w:id="1"/>
    <w:bookmarkEnd w:id="2"/>
    <w:bookmarkEnd w:id="3"/>
    <w:bookmarkEnd w:id="4"/>
    <w:bookmarkEnd w:id="5"/>
    <w:p w14:paraId="218AC7AF">
      <w:pPr>
        <w:pageBreakBefore w:val="0"/>
        <w:widowControl/>
        <w:kinsoku/>
        <w:wordWrap/>
        <w:overflowPunct/>
        <w:topLinePunct w:val="0"/>
        <w:autoSpaceDE/>
        <w:autoSpaceDN/>
        <w:bidi w:val="0"/>
        <w:spacing w:line="240" w:lineRule="auto"/>
        <w:jc w:val="center"/>
        <w:rPr>
          <w:rFonts w:hint="eastAsia" w:ascii="方正小标宋简体" w:hAnsi="方正小标宋简体" w:eastAsia="方正小标宋简体" w:cs="方正小标宋简体"/>
          <w:color w:val="auto"/>
          <w:sz w:val="52"/>
          <w:szCs w:val="52"/>
          <w:highlight w:val="none"/>
        </w:rPr>
      </w:pPr>
      <w:r>
        <w:rPr>
          <w:rFonts w:hint="eastAsia" w:ascii="方正小标宋简体" w:hAnsi="方正小标宋简体" w:eastAsia="方正小标宋简体" w:cs="方正小标宋简体"/>
          <w:color w:val="auto"/>
          <w:sz w:val="52"/>
          <w:szCs w:val="52"/>
          <w:highlight w:val="none"/>
        </w:rPr>
        <w:t>目录</w:t>
      </w:r>
    </w:p>
    <w:p w14:paraId="3025DBAC">
      <w:pPr>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auto"/>
          <w:sz w:val="32"/>
          <w:szCs w:val="32"/>
          <w:highlight w:val="none"/>
        </w:rPr>
      </w:pPr>
    </w:p>
    <w:p w14:paraId="003E79F3">
      <w:pPr>
        <w:pStyle w:val="16"/>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23 </w:t>
      </w:r>
      <w:r>
        <w:rPr>
          <w:rFonts w:hint="eastAsia" w:ascii="仿宋_GB2312" w:hAnsi="仿宋_GB2312" w:eastAsia="仿宋_GB2312" w:cs="仿宋_GB2312"/>
          <w:color w:val="auto"/>
          <w:sz w:val="32"/>
          <w:szCs w:val="32"/>
          <w:highlight w:val="none"/>
        </w:rPr>
        <w:t>日</w:t>
      </w:r>
    </w:p>
    <w:p w14:paraId="5CA9B641">
      <w:pPr>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rPr>
      </w:pPr>
    </w:p>
    <w:p w14:paraId="6F84D4CC">
      <w:pPr>
        <w:pStyle w:val="16"/>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14:paraId="477BD4FA">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14:paraId="3F5FE835">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14:paraId="1223E645">
      <w:pPr>
        <w:pStyle w:val="16"/>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第二部分</w:t>
      </w:r>
      <w:r>
        <w:rPr>
          <w:rFonts w:hint="eastAsia" w:ascii="仿宋_GB2312" w:hAnsi="仿宋_GB2312" w:eastAsia="仿宋_GB2312" w:cs="仿宋_GB2312"/>
          <w:color w:val="auto"/>
          <w:sz w:val="32"/>
          <w:szCs w:val="32"/>
          <w:highlight w:val="none"/>
          <w:lang w:val="en-US" w:eastAsia="zh-CN"/>
        </w:rPr>
        <w:t xml:space="preserve"> 2024年度</w:t>
      </w:r>
      <w:r>
        <w:rPr>
          <w:rFonts w:hint="eastAsia" w:ascii="仿宋_GB2312" w:hAnsi="仿宋_GB2312" w:eastAsia="仿宋_GB2312" w:cs="仿宋_GB2312"/>
          <w:color w:val="auto"/>
          <w:sz w:val="32"/>
          <w:szCs w:val="32"/>
          <w:highlight w:val="none"/>
        </w:rPr>
        <w:t>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14:paraId="1A28C27C">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14:paraId="4DC3132C">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14:paraId="61BF3091">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14:paraId="10EF4ABA">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14:paraId="46D3A096">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14:paraId="6FFB1384">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14:paraId="0DFC9185">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七、财政拨款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14:paraId="392B7E27">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15</w:t>
      </w:r>
    </w:p>
    <w:p w14:paraId="1DDB7813">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九、</w:t>
      </w:r>
      <w:r>
        <w:rPr>
          <w:rFonts w:hint="eastAsia" w:ascii="仿宋_GB2312" w:hAnsi="仿宋_GB2312" w:eastAsia="仿宋_GB2312" w:cs="仿宋_GB2312"/>
          <w:color w:val="auto"/>
          <w:sz w:val="32"/>
          <w:szCs w:val="32"/>
          <w:highlight w:val="none"/>
          <w:lang w:eastAsia="zh-CN"/>
        </w:rPr>
        <w:t>国</w:t>
      </w:r>
      <w:r>
        <w:rPr>
          <w:rFonts w:hint="eastAsia" w:ascii="仿宋_GB2312" w:hAnsi="仿宋_GB2312" w:eastAsia="仿宋_GB2312" w:cs="仿宋_GB2312"/>
          <w:color w:val="auto"/>
          <w:sz w:val="32"/>
          <w:szCs w:val="32"/>
          <w:highlight w:val="none"/>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15</w:t>
      </w:r>
    </w:p>
    <w:p w14:paraId="6576A0E7">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sz w:val="32"/>
          <w:szCs w:val="32"/>
          <w:highlight w:val="none"/>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15</w:t>
      </w:r>
    </w:p>
    <w:p w14:paraId="102A6EA7">
      <w:pPr>
        <w:pStyle w:val="16"/>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42</w:t>
      </w:r>
    </w:p>
    <w:p w14:paraId="5F46CBF5">
      <w:pPr>
        <w:pStyle w:val="16"/>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44</w:t>
      </w:r>
    </w:p>
    <w:p w14:paraId="3B2E2663">
      <w:pPr>
        <w:pStyle w:val="16"/>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136AD582">
      <w:pPr>
        <w:pStyle w:val="16"/>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339E662B">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175124D3">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2D1C01F2">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4AF8400D">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65EA410B">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6CD47021">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6D9E8B13">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八、一般公共预算财政拨款基本支出决算</w:t>
      </w:r>
      <w:r>
        <w:rPr>
          <w:rFonts w:hint="eastAsia" w:ascii="仿宋_GB2312" w:hAnsi="仿宋_GB2312" w:eastAsia="仿宋_GB2312" w:cs="仿宋_GB2312"/>
          <w:color w:val="auto"/>
          <w:sz w:val="32"/>
          <w:szCs w:val="32"/>
          <w:highlight w:val="none"/>
          <w:lang w:eastAsia="zh-CN"/>
        </w:rPr>
        <w:t>明细</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4B5B3C8A">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05ECD969">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2326111A">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十一、国有资本经营预算财政拨款收入支出决算表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613CE869">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十二、</w:t>
      </w:r>
      <w:r>
        <w:rPr>
          <w:rFonts w:hint="eastAsia" w:ascii="仿宋_GB2312" w:hAnsi="仿宋_GB2312"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55</w:t>
      </w:r>
    </w:p>
    <w:p w14:paraId="7344F011">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十三、财政拨款“三公”经费支出决算表</w:t>
      </w:r>
      <w:r>
        <w:rPr>
          <w:rFonts w:hint="eastAsia" w:ascii="仿宋_GB2312" w:hAnsi="仿宋_GB2312" w:eastAsia="仿宋_GB2312" w:cs="仿宋_GB2312"/>
          <w:sz w:val="32"/>
          <w:szCs w:val="32"/>
        </w:rPr>
        <w:tab/>
      </w:r>
      <w:bookmarkStart w:id="6" w:name="_Toc15377196"/>
      <w:bookmarkStart w:id="7" w:name="_Toc15396599"/>
      <w:r>
        <w:rPr>
          <w:rFonts w:hint="eastAsia" w:ascii="仿宋_GB2312" w:hAnsi="仿宋_GB2312" w:eastAsia="仿宋_GB2312" w:cs="仿宋_GB2312"/>
          <w:sz w:val="32"/>
          <w:szCs w:val="32"/>
          <w:lang w:val="en-US" w:eastAsia="zh-CN"/>
        </w:rPr>
        <w:t>55</w:t>
      </w:r>
    </w:p>
    <w:p w14:paraId="3ADBD193">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u w:val="none"/>
          <w:lang w:val="en-US" w:eastAsia="zh-CN"/>
        </w:rPr>
      </w:pPr>
      <w:r>
        <w:rPr>
          <w:rFonts w:hint="eastAsia" w:ascii="仿宋_GB2312" w:hAnsi="仿宋_GB2312" w:eastAsia="仿宋_GB2312" w:cs="仿宋_GB2312"/>
          <w:sz w:val="32"/>
          <w:szCs w:val="32"/>
          <w:u w:val="none"/>
        </w:rPr>
        <w:fldChar w:fldCharType="begin"/>
      </w:r>
      <w:r>
        <w:rPr>
          <w:rFonts w:hint="eastAsia" w:ascii="仿宋_GB2312" w:hAnsi="仿宋_GB2312" w:eastAsia="仿宋_GB2312" w:cs="仿宋_GB2312"/>
          <w:sz w:val="32"/>
          <w:szCs w:val="32"/>
          <w:u w:val="none"/>
        </w:rPr>
        <w:instrText xml:space="preserve"> HYPERLINK "" \l "_Toc1273" </w:instrText>
      </w:r>
      <w:r>
        <w:rPr>
          <w:rFonts w:hint="eastAsia" w:ascii="仿宋_GB2312" w:hAnsi="仿宋_GB2312" w:eastAsia="仿宋_GB2312" w:cs="仿宋_GB2312"/>
          <w:sz w:val="32"/>
          <w:szCs w:val="32"/>
          <w:u w:val="none"/>
        </w:rPr>
        <w:fldChar w:fldCharType="separate"/>
      </w:r>
      <w:r>
        <w:rPr>
          <w:rStyle w:val="23"/>
          <w:rFonts w:hint="eastAsia" w:ascii="仿宋_GB2312" w:hAnsi="仿宋_GB2312" w:eastAsia="仿宋_GB2312" w:cs="仿宋_GB2312"/>
          <w:color w:val="000000"/>
          <w:sz w:val="32"/>
          <w:szCs w:val="32"/>
          <w:u w:val="none"/>
        </w:rPr>
        <w:t>十四、部门项目支出绩效目标表</w:t>
      </w:r>
      <w:r>
        <w:rPr>
          <w:rStyle w:val="23"/>
          <w:rFonts w:hint="eastAsia" w:ascii="仿宋_GB2312" w:hAnsi="仿宋_GB2312" w:eastAsia="仿宋_GB2312" w:cs="仿宋_GB2312"/>
          <w:color w:val="000000"/>
          <w:sz w:val="32"/>
          <w:szCs w:val="32"/>
          <w:u w:val="none"/>
        </w:rPr>
        <w:tab/>
      </w:r>
      <w:r>
        <w:rPr>
          <w:rStyle w:val="23"/>
          <w:rFonts w:hint="eastAsia" w:ascii="仿宋_GB2312" w:hAnsi="仿宋_GB2312" w:eastAsia="仿宋_GB2312" w:cs="仿宋_GB2312"/>
          <w:color w:val="000000"/>
          <w:sz w:val="32"/>
          <w:szCs w:val="32"/>
          <w:u w:val="none"/>
          <w:lang w:val="en-US" w:eastAsia="zh-CN"/>
        </w:rPr>
        <w:t>5</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sz w:val="32"/>
          <w:szCs w:val="32"/>
          <w:u w:val="none"/>
          <w:lang w:val="en-US" w:eastAsia="zh-CN"/>
        </w:rPr>
        <w:t>5</w:t>
      </w:r>
    </w:p>
    <w:p w14:paraId="63B5CA5E">
      <w:pPr>
        <w:pStyle w:val="3"/>
        <w:pageBreakBefore w:val="0"/>
        <w:kinsoku/>
        <w:wordWrap/>
        <w:overflowPunct/>
        <w:topLinePunct w:val="0"/>
        <w:autoSpaceDE/>
        <w:autoSpaceDN/>
        <w:bidi w:val="0"/>
        <w:spacing w:line="560" w:lineRule="exact"/>
        <w:jc w:val="center"/>
        <w:rPr>
          <w:rFonts w:hint="eastAsia" w:ascii="仿宋_GB2312" w:hAnsi="仿宋_GB2312" w:eastAsia="仿宋_GB2312" w:cs="仿宋_GB2312"/>
          <w:b w:val="0"/>
          <w:color w:val="auto"/>
          <w:sz w:val="32"/>
          <w:szCs w:val="32"/>
          <w:highlight w:val="none"/>
        </w:rPr>
      </w:pPr>
    </w:p>
    <w:p w14:paraId="4CD56BA5">
      <w:pPr>
        <w:pStyle w:val="3"/>
        <w:pageBreakBefore w:val="0"/>
        <w:kinsoku/>
        <w:wordWrap/>
        <w:overflowPunct/>
        <w:topLinePunct w:val="0"/>
        <w:autoSpaceDE/>
        <w:autoSpaceDN/>
        <w:bidi w:val="0"/>
        <w:spacing w:line="560" w:lineRule="exact"/>
        <w:jc w:val="center"/>
        <w:rPr>
          <w:rFonts w:hint="eastAsia" w:ascii="仿宋_GB2312" w:hAnsi="仿宋_GB2312" w:eastAsia="仿宋_GB2312" w:cs="仿宋_GB2312"/>
          <w:b w:val="0"/>
          <w:color w:val="auto"/>
          <w:sz w:val="32"/>
          <w:szCs w:val="32"/>
          <w:highlight w:val="none"/>
        </w:rPr>
      </w:pPr>
    </w:p>
    <w:p w14:paraId="1D4C3F28">
      <w:pPr>
        <w:pStyle w:val="3"/>
        <w:pageBreakBefore w:val="0"/>
        <w:kinsoku/>
        <w:wordWrap/>
        <w:overflowPunct/>
        <w:topLinePunct w:val="0"/>
        <w:autoSpaceDE/>
        <w:autoSpaceDN/>
        <w:bidi w:val="0"/>
        <w:spacing w:line="560" w:lineRule="exact"/>
        <w:jc w:val="both"/>
        <w:rPr>
          <w:rFonts w:hint="eastAsia" w:ascii="仿宋_GB2312" w:hAnsi="仿宋_GB2312" w:eastAsia="仿宋_GB2312" w:cs="仿宋_GB2312"/>
          <w:b w:val="0"/>
          <w:color w:val="auto"/>
          <w:sz w:val="32"/>
          <w:szCs w:val="32"/>
          <w:highlight w:val="none"/>
        </w:rPr>
      </w:pPr>
    </w:p>
    <w:p w14:paraId="79049D2A">
      <w:pPr>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rPr>
      </w:pPr>
    </w:p>
    <w:p w14:paraId="71D6CEF7">
      <w:pPr>
        <w:pageBreakBefore w:val="0"/>
        <w:kinsoku/>
        <w:wordWrap/>
        <w:overflowPunct/>
        <w:topLinePunct w:val="0"/>
        <w:autoSpaceDE/>
        <w:autoSpaceDN/>
        <w:bidi w:val="0"/>
        <w:spacing w:line="560" w:lineRule="exact"/>
        <w:rPr>
          <w:rFonts w:hint="eastAsia" w:ascii="仿宋_GB2312" w:hAnsi="仿宋_GB2312" w:eastAsia="仿宋_GB2312" w:cs="仿宋_GB2312"/>
          <w:b w:val="0"/>
          <w:color w:val="auto"/>
          <w:sz w:val="32"/>
          <w:szCs w:val="32"/>
          <w:highlight w:val="none"/>
        </w:rPr>
      </w:pPr>
    </w:p>
    <w:p w14:paraId="4C79B7C0">
      <w:pPr>
        <w:pStyle w:val="14"/>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rPr>
      </w:pPr>
    </w:p>
    <w:p w14:paraId="13DCB22E">
      <w:pPr>
        <w:pStyle w:val="7"/>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rPr>
      </w:pPr>
    </w:p>
    <w:p w14:paraId="7FBFCCF3">
      <w:pPr>
        <w:pStyle w:val="3"/>
        <w:pageBreakBefore w:val="0"/>
        <w:kinsoku/>
        <w:wordWrap/>
        <w:overflowPunct/>
        <w:topLinePunct w:val="0"/>
        <w:autoSpaceDE/>
        <w:autoSpaceDN/>
        <w:bidi w:val="0"/>
        <w:spacing w:line="560" w:lineRule="exact"/>
        <w:jc w:val="center"/>
        <w:rPr>
          <w:rStyle w:val="34"/>
          <w:rFonts w:hint="eastAsia" w:ascii="方正小标宋简体" w:hAnsi="方正小标宋简体" w:eastAsia="方正小标宋简体" w:cs="方正小标宋简体"/>
          <w:b/>
          <w:bCs w:val="0"/>
          <w:color w:val="auto"/>
          <w:sz w:val="44"/>
          <w:szCs w:val="44"/>
          <w:highlight w:val="none"/>
        </w:rPr>
      </w:pPr>
      <w:r>
        <w:rPr>
          <w:rFonts w:hint="eastAsia" w:ascii="方正小标宋简体" w:hAnsi="方正小标宋简体" w:eastAsia="方正小标宋简体" w:cs="方正小标宋简体"/>
          <w:b w:val="0"/>
          <w:color w:val="auto"/>
          <w:sz w:val="44"/>
          <w:szCs w:val="44"/>
          <w:highlight w:val="none"/>
        </w:rPr>
        <w:t>第一部分</w:t>
      </w:r>
      <w:r>
        <w:rPr>
          <w:rFonts w:hint="eastAsia" w:ascii="方正小标宋简体" w:hAnsi="方正小标宋简体" w:eastAsia="方正小标宋简体" w:cs="方正小标宋简体"/>
          <w:b w:val="0"/>
          <w:color w:val="auto"/>
          <w:sz w:val="44"/>
          <w:szCs w:val="44"/>
          <w:highlight w:val="none"/>
          <w:lang w:val="en-US" w:eastAsia="zh-CN"/>
        </w:rPr>
        <w:t xml:space="preserve"> </w:t>
      </w:r>
      <w:r>
        <w:rPr>
          <w:rFonts w:hint="eastAsia" w:ascii="方正小标宋简体" w:hAnsi="方正小标宋简体" w:eastAsia="方正小标宋简体" w:cs="方正小标宋简体"/>
          <w:b w:val="0"/>
          <w:color w:val="auto"/>
          <w:sz w:val="44"/>
          <w:szCs w:val="44"/>
          <w:highlight w:val="none"/>
        </w:rPr>
        <w:t xml:space="preserve"> </w:t>
      </w:r>
      <w:r>
        <w:rPr>
          <w:rStyle w:val="34"/>
          <w:rFonts w:hint="eastAsia" w:ascii="方正小标宋简体" w:hAnsi="方正小标宋简体" w:eastAsia="方正小标宋简体" w:cs="方正小标宋简体"/>
          <w:b w:val="0"/>
          <w:bCs w:val="0"/>
          <w:color w:val="auto"/>
          <w:sz w:val="44"/>
          <w:szCs w:val="44"/>
          <w:highlight w:val="none"/>
        </w:rPr>
        <w:t>部门概况</w:t>
      </w:r>
      <w:bookmarkEnd w:id="6"/>
      <w:bookmarkEnd w:id="7"/>
    </w:p>
    <w:p w14:paraId="6DC1DF78">
      <w:pPr>
        <w:pStyle w:val="4"/>
        <w:pageBreakBefore w:val="0"/>
        <w:kinsoku/>
        <w:wordWrap/>
        <w:overflowPunct/>
        <w:topLinePunct w:val="0"/>
        <w:autoSpaceDE/>
        <w:autoSpaceDN/>
        <w:bidi w:val="0"/>
        <w:spacing w:before="0" w:after="0" w:line="560" w:lineRule="exact"/>
        <w:ind w:firstLine="640" w:firstLineChars="200"/>
        <w:rPr>
          <w:rStyle w:val="41"/>
          <w:rFonts w:hint="eastAsia" w:ascii="黑体" w:hAnsi="黑体" w:eastAsia="黑体" w:cs="黑体"/>
          <w:b w:val="0"/>
          <w:bCs w:val="0"/>
          <w:color w:val="auto"/>
          <w:sz w:val="32"/>
          <w:szCs w:val="32"/>
        </w:rPr>
      </w:pPr>
      <w:bookmarkStart w:id="8" w:name="_Toc31980"/>
      <w:bookmarkStart w:id="9" w:name="_Toc15396600"/>
      <w:bookmarkStart w:id="10" w:name="_Toc15377197"/>
      <w:r>
        <w:rPr>
          <w:rFonts w:hint="eastAsia" w:ascii="黑体" w:hAnsi="黑体" w:eastAsia="黑体" w:cs="黑体"/>
          <w:b w:val="0"/>
          <w:color w:val="auto"/>
          <w:sz w:val="32"/>
          <w:szCs w:val="32"/>
        </w:rPr>
        <w:t>一、基</w:t>
      </w:r>
      <w:r>
        <w:rPr>
          <w:rStyle w:val="41"/>
          <w:rFonts w:hint="eastAsia" w:ascii="黑体" w:hAnsi="黑体" w:eastAsia="黑体" w:cs="黑体"/>
          <w:b w:val="0"/>
          <w:bCs w:val="0"/>
          <w:color w:val="auto"/>
          <w:sz w:val="32"/>
          <w:szCs w:val="32"/>
        </w:rPr>
        <w:t>本职能及主要工作</w:t>
      </w:r>
      <w:bookmarkEnd w:id="8"/>
      <w:bookmarkEnd w:id="9"/>
      <w:bookmarkEnd w:id="10"/>
    </w:p>
    <w:p w14:paraId="078A4214">
      <w:pPr>
        <w:pageBreakBefore w:val="0"/>
        <w:kinsoku/>
        <w:wordWrap/>
        <w:overflowPunct/>
        <w:topLinePunct w:val="0"/>
        <w:autoSpaceDE/>
        <w:autoSpaceDN/>
        <w:bidi w:val="0"/>
        <w:spacing w:line="560" w:lineRule="exact"/>
        <w:ind w:firstLine="643" w:firstLineChars="200"/>
        <w:rPr>
          <w:rFonts w:hint="eastAsia" w:ascii="楷体_GB2312" w:hAnsi="楷体_GB2312" w:eastAsia="楷体_GB2312" w:cs="楷体_GB2312"/>
          <w:b/>
          <w:bCs w:val="0"/>
          <w:color w:val="auto"/>
          <w:sz w:val="32"/>
          <w:szCs w:val="32"/>
        </w:rPr>
      </w:pPr>
      <w:bookmarkStart w:id="11" w:name="_Toc15377198"/>
      <w:bookmarkStart w:id="12" w:name="_Toc15378445"/>
      <w:r>
        <w:rPr>
          <w:rFonts w:hint="eastAsia" w:ascii="楷体_GB2312" w:hAnsi="楷体_GB2312" w:eastAsia="楷体_GB2312" w:cs="楷体_GB2312"/>
          <w:b/>
          <w:bCs w:val="0"/>
          <w:color w:val="auto"/>
          <w:sz w:val="32"/>
          <w:szCs w:val="32"/>
        </w:rPr>
        <w:t>（一）主要职能</w:t>
      </w:r>
      <w:bookmarkEnd w:id="11"/>
      <w:bookmarkEnd w:id="12"/>
      <w:bookmarkStart w:id="13" w:name="_Toc15377199"/>
      <w:bookmarkStart w:id="14" w:name="_Toc15378446"/>
    </w:p>
    <w:p w14:paraId="0A1A63A2">
      <w:pPr>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主要职责（</w:t>
      </w:r>
      <w:r>
        <w:rPr>
          <w:rFonts w:hint="eastAsia" w:ascii="仿宋_GB2312" w:hAnsi="仿宋_GB2312" w:eastAsia="仿宋_GB2312" w:cs="仿宋_GB2312"/>
          <w:b/>
          <w:bCs w:val="0"/>
          <w:color w:val="auto"/>
          <w:sz w:val="32"/>
          <w:szCs w:val="32"/>
          <w:lang w:eastAsia="zh-CN"/>
        </w:rPr>
        <w:t>行政审批</w:t>
      </w:r>
      <w:r>
        <w:rPr>
          <w:rFonts w:hint="eastAsia" w:ascii="仿宋_GB2312" w:hAnsi="仿宋_GB2312" w:eastAsia="仿宋_GB2312" w:cs="仿宋_GB2312"/>
          <w:b/>
          <w:bCs w:val="0"/>
          <w:color w:val="auto"/>
          <w:sz w:val="32"/>
          <w:szCs w:val="32"/>
          <w:lang w:val="en-US" w:eastAsia="zh-CN"/>
        </w:rPr>
        <w:t>和政务服务管理</w:t>
      </w:r>
      <w:r>
        <w:rPr>
          <w:rFonts w:hint="eastAsia" w:ascii="仿宋_GB2312" w:hAnsi="仿宋_GB2312" w:eastAsia="仿宋_GB2312" w:cs="仿宋_GB2312"/>
          <w:b/>
          <w:bCs w:val="0"/>
          <w:color w:val="auto"/>
          <w:sz w:val="32"/>
          <w:szCs w:val="32"/>
          <w:lang w:eastAsia="zh-CN"/>
        </w:rPr>
        <w:t>局</w:t>
      </w:r>
      <w:r>
        <w:rPr>
          <w:rFonts w:hint="eastAsia" w:ascii="仿宋_GB2312" w:hAnsi="仿宋_GB2312" w:eastAsia="仿宋_GB2312" w:cs="仿宋_GB2312"/>
          <w:b/>
          <w:bCs w:val="0"/>
          <w:color w:val="auto"/>
          <w:sz w:val="32"/>
          <w:szCs w:val="32"/>
        </w:rPr>
        <w:t>）</w:t>
      </w:r>
    </w:p>
    <w:p w14:paraId="0B1803D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1.负责全县行政审批制度改革和“放管服”改革工作，拟定全县行政审批制度和“放管服”改革相关政策和规范性文件。构建高效、便民的审批服务工作机制，推进审批服务标准化，提高审批效能。</w:t>
      </w:r>
    </w:p>
    <w:p w14:paraId="6AF5BA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2.负责指导县本级行政审批工作，承办县直部门划入的涉及投资项目、市场准入、建设工程、交通水利、文教卫生、社会事务、涉农事务等方面的行政审批事项，及时通报行政审批事项的实施情况。</w:t>
      </w:r>
    </w:p>
    <w:p w14:paraId="18756BA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3.负责统筹协调全县政府职能转变、优化政府服务提升行政效能、行政审批制度改革等工作，组织拟定重大政策措施并组织实施，监督管理全县政务服务工作。</w:t>
      </w:r>
    </w:p>
    <w:p w14:paraId="673458C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4.负责全县政务服务体系建设，组织拟定政务服务监督管理规章制度并组织实施，开展全县政务服务质量评估工作，推进政务服务标准化、信息化、便民化、规范化建设。负责指导乡镇便民服务中心工作。</w:t>
      </w:r>
    </w:p>
    <w:p w14:paraId="2D5D0FB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5.负责全县公共资源交易管理和监督工作，组织拟定全县公共资源交易规则，负责全县公共资源交易一体化服务平台体系标准化建设工作。</w:t>
      </w:r>
    </w:p>
    <w:p w14:paraId="59FC8C7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6.承担政务服务行政效能建设工作，负责建设服务型政府、政务服务、公共资源交易等工作，配合行政监督部门查处违法、违规问题。</w:t>
      </w:r>
    </w:p>
    <w:p w14:paraId="054EFFD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7.组织县级部门（单位）受理、办理行政许可事项及其它政务服务事项，并进行监督考核。指导畅通企业群众诉求渠道，协调县级各部门解决企业在开办注销、投资建设、生产经营过程中的问题和困难。</w:t>
      </w:r>
    </w:p>
    <w:p w14:paraId="244578B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8.负责对全县部门政务服务事项进入或退出县政务服务大厅进行初审并报县人民政府批准。负责对涉及县政务服务大厅、县公共资源交易中心、县行政审批服务机构的投诉举报的承办、转办和督办工作。</w:t>
      </w:r>
    </w:p>
    <w:p w14:paraId="33498D6C">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9.完成县委、县政府交办的其他任务。</w:t>
      </w:r>
    </w:p>
    <w:p w14:paraId="513B8CB4">
      <w:pPr>
        <w:pStyle w:val="8"/>
        <w:pageBreakBefore w:val="0"/>
        <w:kinsoku/>
        <w:wordWrap/>
        <w:overflowPunct/>
        <w:topLinePunct w:val="0"/>
        <w:autoSpaceDE/>
        <w:autoSpaceDN/>
        <w:bidi w:val="0"/>
        <w:adjustRightInd w:val="0"/>
        <w:snapToGrid w:val="0"/>
        <w:spacing w:beforeLines="0" w:line="560" w:lineRule="exact"/>
        <w:ind w:firstLine="643" w:firstLineChars="200"/>
        <w:outlineLvl w:val="2"/>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二</w:t>
      </w: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rPr>
        <w:t>主要职责（交易中心）</w:t>
      </w:r>
    </w:p>
    <w:p w14:paraId="36DB0493">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工程建设项目200万元以下（含未达到招标规模标准但达到了必须比选规模标准的政府投资工程建设项目勘察设计、施工、监理和货物）、政府采购50万元以下、国有产权50万元以下交易项目全部进入县级交易中心，即：除纳入州公共资源交易中心交易</w:t>
      </w:r>
      <w:r>
        <w:rPr>
          <w:rFonts w:hint="eastAsia" w:hAnsi="仿宋_GB2312" w:cs="仿宋_GB2312"/>
          <w:bCs/>
          <w:color w:val="auto"/>
          <w:sz w:val="32"/>
          <w:szCs w:val="32"/>
          <w:lang w:val="en-US" w:eastAsia="zh-CN"/>
        </w:rPr>
        <w:t>外</w:t>
      </w:r>
      <w:r>
        <w:rPr>
          <w:rFonts w:hint="eastAsia" w:ascii="仿宋_GB2312" w:hAnsi="仿宋_GB2312" w:eastAsia="仿宋_GB2312" w:cs="仿宋_GB2312"/>
          <w:bCs/>
          <w:color w:val="auto"/>
          <w:sz w:val="32"/>
          <w:szCs w:val="32"/>
        </w:rPr>
        <w:t>其他依法应当纳入县级公共资源交易中心交易的所有项目。</w:t>
      </w:r>
    </w:p>
    <w:p w14:paraId="41DAE10A">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负责为各类交易活动办理交易登记和招标申请，统一发布交易信息，受理投标报名，为开标、评标和定标等交易活动提供优质服务。</w:t>
      </w:r>
    </w:p>
    <w:p w14:paraId="27389DF9">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2.</w:t>
      </w:r>
      <w:r>
        <w:rPr>
          <w:rFonts w:hint="eastAsia" w:ascii="仿宋_GB2312" w:hAnsi="仿宋_GB2312" w:eastAsia="仿宋_GB2312" w:cs="仿宋_GB2312"/>
          <w:bCs/>
          <w:color w:val="auto"/>
          <w:sz w:val="32"/>
          <w:szCs w:val="32"/>
        </w:rPr>
        <w:t>收集、存储和发布招投标政策法规以及相关价格、科技和人才等信息，并为招投标交易提供信息、咨询服务；为有关监督部门参与监督和为各类交易提供服务。</w:t>
      </w:r>
    </w:p>
    <w:p w14:paraId="3E7D929A">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负责制定进入中心项目的有关交易规则，维护交易场所内活动秩序。</w:t>
      </w:r>
    </w:p>
    <w:p w14:paraId="5A0A5442">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负责建立招投标集中统一平台，建立各方主体信用和市场不良行为记录体系，并做好交易档案的收集、整理、归档、立卷和管理。</w:t>
      </w:r>
    </w:p>
    <w:p w14:paraId="351ABD01">
      <w:pPr>
        <w:pStyle w:val="8"/>
        <w:pageBreakBefore w:val="0"/>
        <w:kinsoku/>
        <w:wordWrap/>
        <w:overflowPunct/>
        <w:topLinePunct w:val="0"/>
        <w:autoSpaceDE/>
        <w:autoSpaceDN/>
        <w:bidi w:val="0"/>
        <w:adjustRightInd w:val="0"/>
        <w:snapToGrid w:val="0"/>
        <w:spacing w:beforeLines="0" w:line="56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承担政府集中采购机构职责，负责财政下达计划的政府采购工作和县级国家机关、事业单位和团体组织委托的政府采购工作。</w:t>
      </w:r>
    </w:p>
    <w:p w14:paraId="7C90773C">
      <w:pPr>
        <w:pStyle w:val="8"/>
        <w:keepNext w:val="0"/>
        <w:keepLines w:val="0"/>
        <w:pageBreakBefore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承担国有产权交易职责，接受委托，组织开展土地使用权和矿业权招拍挂交易活动，承办土地使用权和矿业权招拍挂进场交易事务。</w:t>
      </w:r>
    </w:p>
    <w:p w14:paraId="2324C03A">
      <w:pPr>
        <w:pStyle w:val="8"/>
        <w:keepNext w:val="0"/>
        <w:keepLines w:val="0"/>
        <w:pageBreakBefore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承办县人民政府、县公共资源交易监督管理委员会安排的其他工作。</w:t>
      </w:r>
    </w:p>
    <w:bookmarkEnd w:id="13"/>
    <w:bookmarkEnd w:id="14"/>
    <w:p w14:paraId="737F007B">
      <w:pPr>
        <w:pageBreakBefore w:val="0"/>
        <w:widowControl/>
        <w:kinsoku/>
        <w:wordWrap/>
        <w:overflowPunct/>
        <w:topLinePunct w:val="0"/>
        <w:autoSpaceDE/>
        <w:autoSpaceDN/>
        <w:bidi w:val="0"/>
        <w:spacing w:line="560" w:lineRule="exact"/>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rPr>
        <w:br w:type="page"/>
      </w:r>
    </w:p>
    <w:p w14:paraId="5DB206C7">
      <w:pPr>
        <w:pStyle w:val="3"/>
        <w:pageBreakBefore w:val="0"/>
        <w:numPr>
          <w:ilvl w:val="0"/>
          <w:numId w:val="1"/>
        </w:numPr>
        <w:kinsoku/>
        <w:wordWrap/>
        <w:overflowPunct/>
        <w:topLinePunct w:val="0"/>
        <w:autoSpaceDE/>
        <w:autoSpaceDN/>
        <w:bidi w:val="0"/>
        <w:spacing w:line="560" w:lineRule="exact"/>
        <w:jc w:val="center"/>
        <w:rPr>
          <w:rFonts w:hint="eastAsia" w:ascii="方正小标宋简体" w:hAnsi="方正小标宋简体" w:eastAsia="方正小标宋简体" w:cs="方正小标宋简体"/>
          <w:b w:val="0"/>
          <w:color w:val="auto"/>
          <w:sz w:val="44"/>
          <w:szCs w:val="44"/>
          <w:highlight w:val="none"/>
        </w:rPr>
      </w:pPr>
      <w:bookmarkStart w:id="15" w:name="_Toc15377204"/>
      <w:bookmarkStart w:id="16" w:name="_Toc15396602"/>
      <w:r>
        <w:rPr>
          <w:rFonts w:hint="eastAsia" w:ascii="方正小标宋简体" w:hAnsi="方正小标宋简体" w:eastAsia="方正小标宋简体" w:cs="方正小标宋简体"/>
          <w:b w:val="0"/>
          <w:color w:val="auto"/>
          <w:sz w:val="44"/>
          <w:szCs w:val="44"/>
          <w:highlight w:val="none"/>
        </w:rPr>
        <w:t xml:space="preserve"> </w:t>
      </w:r>
      <w:r>
        <w:rPr>
          <w:rFonts w:hint="eastAsia" w:ascii="方正小标宋简体" w:hAnsi="方正小标宋简体" w:eastAsia="方正小标宋简体" w:cs="方正小标宋简体"/>
          <w:b w:val="0"/>
          <w:color w:val="auto"/>
          <w:sz w:val="44"/>
          <w:szCs w:val="44"/>
          <w:highlight w:val="none"/>
          <w:lang w:val="en-US" w:eastAsia="zh-CN"/>
        </w:rPr>
        <w:t>2024年度</w:t>
      </w:r>
      <w:r>
        <w:rPr>
          <w:rFonts w:hint="eastAsia" w:ascii="方正小标宋简体" w:hAnsi="方正小标宋简体" w:eastAsia="方正小标宋简体" w:cs="方正小标宋简体"/>
          <w:b w:val="0"/>
          <w:color w:val="auto"/>
          <w:sz w:val="44"/>
          <w:szCs w:val="44"/>
          <w:highlight w:val="none"/>
        </w:rPr>
        <w:t>部门决算情况说明</w:t>
      </w:r>
      <w:bookmarkEnd w:id="15"/>
      <w:bookmarkEnd w:id="16"/>
      <w:bookmarkStart w:id="17" w:name="_Toc15396603"/>
      <w:bookmarkStart w:id="18" w:name="_Toc15377205"/>
    </w:p>
    <w:p w14:paraId="0103E139">
      <w:pPr>
        <w:pStyle w:val="3"/>
        <w:pageBreakBefore w:val="0"/>
        <w:numPr>
          <w:ilvl w:val="0"/>
          <w:numId w:val="0"/>
        </w:numPr>
        <w:kinsoku/>
        <w:wordWrap/>
        <w:overflowPunct/>
        <w:topLinePunct w:val="0"/>
        <w:autoSpaceDE/>
        <w:autoSpaceDN/>
        <w:bidi w:val="0"/>
        <w:spacing w:before="0" w:after="0" w:line="560" w:lineRule="exact"/>
        <w:ind w:firstLine="640" w:firstLineChars="200"/>
        <w:jc w:val="both"/>
        <w:rPr>
          <w:rStyle w:val="35"/>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收</w:t>
      </w:r>
      <w:r>
        <w:rPr>
          <w:rStyle w:val="35"/>
          <w:rFonts w:hint="eastAsia" w:ascii="黑体" w:hAnsi="黑体" w:eastAsia="黑体" w:cs="黑体"/>
          <w:b w:val="0"/>
          <w:bCs w:val="0"/>
          <w:color w:val="auto"/>
          <w:sz w:val="32"/>
          <w:szCs w:val="32"/>
          <w:highlight w:val="none"/>
        </w:rPr>
        <w:t>入支出决算总体情况说明</w:t>
      </w:r>
      <w:bookmarkEnd w:id="17"/>
      <w:bookmarkEnd w:id="18"/>
    </w:p>
    <w:p w14:paraId="4CA3A09A">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lang w:val="en-US" w:eastAsia="zh-CN"/>
        </w:rPr>
        <w:t>1808.16</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总计各增加</w:t>
      </w:r>
      <w:r>
        <w:rPr>
          <w:rFonts w:hint="eastAsia" w:ascii="仿宋_GB2312" w:hAnsi="仿宋_GB2312" w:eastAsia="仿宋_GB2312" w:cs="仿宋_GB2312"/>
          <w:color w:val="auto"/>
          <w:sz w:val="32"/>
          <w:szCs w:val="32"/>
          <w:highlight w:val="none"/>
          <w:lang w:val="en-US" w:eastAsia="zh-CN"/>
        </w:rPr>
        <w:t>701.87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63.45</w:t>
      </w:r>
      <w:r>
        <w:rPr>
          <w:rFonts w:hint="eastAsia" w:ascii="仿宋_GB2312" w:hAnsi="仿宋_GB2312" w:eastAsia="仿宋_GB2312" w:cs="仿宋_GB2312"/>
          <w:color w:val="auto"/>
          <w:sz w:val="32"/>
          <w:szCs w:val="32"/>
          <w:highlight w:val="none"/>
        </w:rPr>
        <w:t>%。主要变动原因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rPr>
        <w:t>是</w:t>
      </w:r>
      <w:r>
        <w:rPr>
          <w:rFonts w:hint="eastAsia" w:ascii="仿宋_GB2312" w:hAnsi="仿宋_GB2312" w:eastAsia="仿宋_GB2312" w:cs="仿宋_GB2312"/>
          <w:color w:val="auto"/>
          <w:sz w:val="32"/>
          <w:szCs w:val="32"/>
          <w:highlight w:val="none"/>
          <w:lang w:val="en-US" w:eastAsia="zh-CN"/>
        </w:rPr>
        <w:t>6月份</w:t>
      </w:r>
      <w:r>
        <w:rPr>
          <w:rFonts w:hint="eastAsia" w:ascii="仿宋_GB2312" w:hAnsi="仿宋_GB2312" w:eastAsia="仿宋_GB2312" w:cs="仿宋_GB2312"/>
          <w:color w:val="auto"/>
          <w:sz w:val="32"/>
          <w:szCs w:val="32"/>
          <w:highlight w:val="none"/>
          <w:lang w:eastAsia="zh-CN"/>
        </w:rPr>
        <w:t>调整高海拔折算工龄在职人员补发</w:t>
      </w:r>
      <w:r>
        <w:rPr>
          <w:rFonts w:hint="eastAsia" w:ascii="仿宋_GB2312" w:hAnsi="仿宋_GB2312" w:eastAsia="仿宋_GB2312" w:cs="仿宋_GB2312"/>
          <w:color w:val="auto"/>
          <w:sz w:val="32"/>
          <w:szCs w:val="32"/>
          <w:highlight w:val="none"/>
          <w:lang w:val="en-US" w:eastAsia="zh-CN"/>
        </w:rPr>
        <w:t>7个月；</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eastAsia="zh-CN"/>
        </w:rPr>
        <w:t>人员变动，养老保险基数调整；</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lang w:val="en-US" w:eastAsia="zh-CN"/>
        </w:rPr>
        <w:t>红原县政务服务中心建设项目、红原县政务服务中心信息化建设及设备采购项目、红原县政务服务中心装饰装修项目等共计资金支出1369.51万元</w:t>
      </w:r>
      <w:r>
        <w:rPr>
          <w:rFonts w:hint="eastAsia" w:ascii="仿宋_GB2312" w:hAnsi="仿宋_GB2312" w:eastAsia="仿宋_GB2312" w:cs="仿宋_GB2312"/>
          <w:color w:val="auto"/>
          <w:sz w:val="32"/>
          <w:szCs w:val="32"/>
          <w:highlight w:val="none"/>
          <w:lang w:eastAsia="zh-CN"/>
        </w:rPr>
        <w:t>。</w:t>
      </w:r>
    </w:p>
    <w:p w14:paraId="21B759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（图1：</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决算总计变动情况图）（柱状图）</w:t>
      </w:r>
    </w:p>
    <w:p w14:paraId="4A83E6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lang w:eastAsia="zh-CN"/>
        </w:rPr>
        <w:drawing>
          <wp:anchor distT="0" distB="0" distL="114300" distR="114300" simplePos="0" relativeHeight="251665408" behindDoc="1" locked="0" layoutInCell="1" allowOverlap="1">
            <wp:simplePos x="0" y="0"/>
            <wp:positionH relativeFrom="column">
              <wp:posOffset>553720</wp:posOffset>
            </wp:positionH>
            <wp:positionV relativeFrom="paragraph">
              <wp:posOffset>193675</wp:posOffset>
            </wp:positionV>
            <wp:extent cx="4595495" cy="2702560"/>
            <wp:effectExtent l="4445" t="4445" r="10160" b="17145"/>
            <wp:wrapTight wrapText="bothSides">
              <wp:wrapPolygon>
                <wp:start x="-21" y="-36"/>
                <wp:lineTo x="-21" y="21433"/>
                <wp:lineTo x="21558" y="21433"/>
                <wp:lineTo x="21558" y="-36"/>
                <wp:lineTo x="-21" y="-36"/>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AE425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14:paraId="72B12F90">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bookmarkStart w:id="19" w:name="_Toc15377206"/>
      <w:bookmarkStart w:id="20" w:name="_Toc15396604"/>
    </w:p>
    <w:p w14:paraId="0FC3643E">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p>
    <w:p w14:paraId="76ED9070">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p>
    <w:p w14:paraId="1678EB71">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p>
    <w:p w14:paraId="57067922">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p>
    <w:p w14:paraId="0C5AE570">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仿宋_GB2312" w:hAnsi="仿宋_GB2312" w:eastAsia="仿宋_GB2312" w:cs="仿宋_GB2312"/>
          <w:color w:val="auto"/>
          <w:sz w:val="32"/>
          <w:szCs w:val="32"/>
          <w:highlight w:val="none"/>
          <w:lang w:eastAsia="zh-CN"/>
        </w:rPr>
      </w:pPr>
    </w:p>
    <w:p w14:paraId="3340CA08">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color w:val="auto"/>
          <w:sz w:val="32"/>
          <w:szCs w:val="32"/>
          <w:highlight w:val="none"/>
          <w:lang w:eastAsia="zh-CN"/>
        </w:rPr>
      </w:pPr>
    </w:p>
    <w:p w14:paraId="3B08FBB3">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二、收入决算情况说明</w:t>
      </w:r>
      <w:bookmarkEnd w:id="19"/>
      <w:bookmarkEnd w:id="20"/>
    </w:p>
    <w:p w14:paraId="40BA95F7">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color w:val="auto"/>
          <w:sz w:val="32"/>
          <w:szCs w:val="32"/>
          <w:highlight w:val="none"/>
          <w:lang w:val="en-US" w:eastAsia="zh-CN"/>
        </w:rPr>
        <w:t>1808.16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1805.73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99.87</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lang w:val="en-US" w:eastAsia="zh-CN"/>
        </w:rPr>
        <w:t>2.42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color w:val="auto"/>
          <w:sz w:val="32"/>
          <w:szCs w:val="32"/>
          <w:highlight w:val="none"/>
          <w:lang w:eastAsia="zh-CN"/>
        </w:rPr>
        <w:t>%。</w:t>
      </w:r>
    </w:p>
    <w:p w14:paraId="4309CFD0">
      <w:pPr>
        <w:pageBreakBefore w:val="0"/>
        <w:kinsoku/>
        <w:wordWrap/>
        <w:overflowPunct/>
        <w:topLinePunct w:val="0"/>
        <w:autoSpaceDE/>
        <w:autoSpaceDN/>
        <w:bidi w:val="0"/>
        <w:spacing w:line="560" w:lineRule="exact"/>
        <w:ind w:firstLine="800" w:firstLineChars="25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（图2：收入决算结构图）（饼状图）</w:t>
      </w:r>
      <w:bookmarkStart w:id="21" w:name="_Toc15377207"/>
      <w:bookmarkStart w:id="22" w:name="_Toc15396605"/>
    </w:p>
    <w:p w14:paraId="4541D2AC">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eastAsia" w:ascii="黑体" w:hAnsi="黑体" w:eastAsia="黑体" w:cs="黑体"/>
          <w:color w:val="auto"/>
          <w:sz w:val="32"/>
          <w:szCs w:val="32"/>
          <w:highlight w:val="none"/>
          <w:lang w:eastAsia="zh-CN"/>
        </w:rPr>
      </w:pPr>
    </w:p>
    <w:p w14:paraId="04CE3164">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5"/>
          <w:rFonts w:hint="eastAsia" w:ascii="黑体" w:hAnsi="黑体" w:eastAsia="黑体" w:cs="黑体"/>
          <w:b w:val="0"/>
          <w:color w:val="auto"/>
          <w:sz w:val="32"/>
          <w:szCs w:val="32"/>
          <w:highlight w:val="none"/>
        </w:rPr>
      </w:pPr>
      <w:r>
        <w:rPr>
          <w:rFonts w:hint="eastAsia" w:ascii="仿宋_GB2312" w:hAnsi="仿宋_GB2312" w:eastAsia="仿宋_GB2312" w:cs="仿宋_GB2312"/>
          <w:sz w:val="32"/>
          <w:szCs w:val="32"/>
          <w:lang w:eastAsia="zh-CN"/>
        </w:rPr>
        <w:pict>
          <v:shape id="_x0000_s1028" o:spid="_x0000_s1028" o:spt="75" type="#_x0000_t75" style="position:absolute;left:0pt;margin-left:4.75pt;margin-top:0.5pt;height:258.1pt;width:414pt;mso-wrap-distance-left:9pt;mso-wrap-distance-right:9pt;z-index:-251650048;mso-width-relative:page;mso-height-relative:page;" o:ole="t" filled="f" o:preferrelative="t" stroked="f" coordsize="21600,21600" wrapcoords="21592 -2 0 0 0 21600 21592 21602 8 21602 21600 21600 21600 0 8 -2 21592 -2" o:gfxdata="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">
            <v:path/>
            <v:fill on="f" focussize="0,0"/>
            <v:stroke on="f"/>
            <v:imagedata r:id="rId11" o:title=""/>
            <o:lock v:ext="edit" aspectratio="t"/>
            <w10:wrap type="tight"/>
          </v:shape>
          <o:OLEObject Type="Embed" ProgID="excel.sheet.8" ShapeID="_x0000_s1028" DrawAspect="Content" ObjectID="_1468075725" r:id="rId10">
            <o:LockedField>false</o:LockedField>
          </o:OLEObject>
        </w:pic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支</w:t>
      </w:r>
      <w:r>
        <w:rPr>
          <w:rStyle w:val="35"/>
          <w:rFonts w:hint="eastAsia" w:ascii="黑体" w:hAnsi="黑体" w:eastAsia="黑体" w:cs="黑体"/>
          <w:b w:val="0"/>
          <w:color w:val="auto"/>
          <w:sz w:val="32"/>
          <w:szCs w:val="32"/>
          <w:highlight w:val="none"/>
        </w:rPr>
        <w:t>出决算情况说明</w:t>
      </w:r>
      <w:bookmarkEnd w:id="21"/>
      <w:bookmarkEnd w:id="22"/>
    </w:p>
    <w:p w14:paraId="16CABE6B">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lang w:val="en-US" w:eastAsia="zh-CN"/>
        </w:rPr>
        <w:t>1808.16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lang w:val="en-US" w:eastAsia="zh-CN"/>
        </w:rPr>
        <w:t>356.31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19.71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lang w:val="en-US" w:eastAsia="zh-CN"/>
        </w:rPr>
        <w:t>1451.85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80.29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0357F97C">
      <w:pPr>
        <w:pageBreakBefore w:val="0"/>
        <w:kinsoku/>
        <w:wordWrap/>
        <w:overflowPunct/>
        <w:topLinePunct w:val="0"/>
        <w:autoSpaceDE/>
        <w:autoSpaceDN/>
        <w:bidi w:val="0"/>
        <w:spacing w:line="560" w:lineRule="exact"/>
        <w:ind w:firstLine="800" w:firstLineChars="25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（图3：支出决算结构图）（饼状图）</w:t>
      </w:r>
    </w:p>
    <w:p w14:paraId="7051F5A6">
      <w:pPr>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lang w:eastAsia="zh-CN"/>
        </w:rPr>
      </w:pPr>
      <w:bookmarkStart w:id="131" w:name="_GoBack"/>
      <w:r>
        <w:rPr>
          <w:rFonts w:hint="eastAsia" w:ascii="仿宋_GB2312" w:hAnsi="仿宋_GB2312" w:eastAsia="仿宋_GB2312" w:cs="仿宋_GB2312"/>
          <w:color w:val="auto"/>
          <w:sz w:val="32"/>
          <w:szCs w:val="32"/>
          <w:highlight w:val="none"/>
          <w:lang w:eastAsia="zh-CN"/>
        </w:rPr>
        <w:drawing>
          <wp:anchor distT="0" distB="0" distL="114300" distR="114300" simplePos="0" relativeHeight="251666432" behindDoc="1" locked="0" layoutInCell="1" allowOverlap="1">
            <wp:simplePos x="0" y="0"/>
            <wp:positionH relativeFrom="column">
              <wp:posOffset>512445</wp:posOffset>
            </wp:positionH>
            <wp:positionV relativeFrom="paragraph">
              <wp:posOffset>204470</wp:posOffset>
            </wp:positionV>
            <wp:extent cx="4943475" cy="2179320"/>
            <wp:effectExtent l="5080" t="4445" r="4445" b="6985"/>
            <wp:wrapTight wrapText="bothSides">
              <wp:wrapPolygon>
                <wp:start x="-22" y="-44"/>
                <wp:lineTo x="-22" y="21480"/>
                <wp:lineTo x="21536" y="21480"/>
                <wp:lineTo x="21536" y="-44"/>
                <wp:lineTo x="-22" y="-4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End w:id="131"/>
    </w:p>
    <w:p w14:paraId="5F079070">
      <w:pPr>
        <w:pageBreakBefore w:val="0"/>
        <w:kinsoku/>
        <w:wordWrap/>
        <w:overflowPunct/>
        <w:topLinePunct w:val="0"/>
        <w:autoSpaceDE/>
        <w:autoSpaceDN/>
        <w:bidi w:val="0"/>
        <w:spacing w:line="560" w:lineRule="exact"/>
        <w:ind w:firstLine="640" w:firstLineChars="200"/>
        <w:outlineLvl w:val="1"/>
        <w:rPr>
          <w:rStyle w:val="35"/>
          <w:rFonts w:hint="eastAsia" w:ascii="黑体" w:hAnsi="黑体" w:eastAsia="黑体" w:cs="黑体"/>
          <w:b w:val="0"/>
          <w:color w:val="auto"/>
          <w:sz w:val="32"/>
          <w:szCs w:val="32"/>
          <w:highlight w:val="none"/>
        </w:rPr>
      </w:pPr>
      <w:bookmarkStart w:id="23" w:name="_Toc15396606"/>
      <w:bookmarkStart w:id="24" w:name="_Toc15377208"/>
      <w:r>
        <w:rPr>
          <w:rFonts w:hint="eastAsia" w:ascii="黑体" w:hAnsi="黑体" w:eastAsia="黑体" w:cs="黑体"/>
          <w:color w:val="auto"/>
          <w:sz w:val="32"/>
          <w:szCs w:val="32"/>
          <w:highlight w:val="none"/>
        </w:rPr>
        <w:t>四、财</w:t>
      </w:r>
      <w:r>
        <w:rPr>
          <w:rStyle w:val="35"/>
          <w:rFonts w:hint="eastAsia" w:ascii="黑体" w:hAnsi="黑体" w:eastAsia="黑体" w:cs="黑体"/>
          <w:b w:val="0"/>
          <w:color w:val="auto"/>
          <w:sz w:val="32"/>
          <w:szCs w:val="32"/>
          <w:highlight w:val="none"/>
        </w:rPr>
        <w:t>政拨款收入支出决算总体情况说明</w:t>
      </w:r>
      <w:bookmarkEnd w:id="23"/>
      <w:bookmarkEnd w:id="24"/>
    </w:p>
    <w:p w14:paraId="53E1E184">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lang w:val="en-US" w:eastAsia="zh-CN"/>
        </w:rPr>
        <w:t>1808.16</w:t>
      </w:r>
      <w:r>
        <w:rPr>
          <w:rFonts w:hint="eastAsia" w:ascii="仿宋_GB2312" w:hAnsi="仿宋_GB2312" w:eastAsia="仿宋_GB2312" w:cs="仿宋_GB2312"/>
          <w:color w:val="auto"/>
          <w:kern w:val="2"/>
          <w:sz w:val="32"/>
          <w:szCs w:val="32"/>
          <w:highlight w:val="none"/>
          <w:lang w:val="en-US" w:eastAsia="zh-CN" w:bidi="ar-SA"/>
        </w:rPr>
        <w:t>万元。与2023年度相比，财政拨款收入总计、支出总计各增加701.87万元，增长63.45%。主要变动原因：</w:t>
      </w: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rPr>
        <w:t>是</w:t>
      </w:r>
      <w:r>
        <w:rPr>
          <w:rFonts w:hint="eastAsia" w:ascii="仿宋_GB2312" w:hAnsi="仿宋_GB2312" w:eastAsia="仿宋_GB2312" w:cs="仿宋_GB2312"/>
          <w:color w:val="auto"/>
          <w:sz w:val="32"/>
          <w:szCs w:val="32"/>
          <w:highlight w:val="none"/>
          <w:lang w:val="en-US" w:eastAsia="zh-CN"/>
        </w:rPr>
        <w:t>6月份</w:t>
      </w:r>
      <w:r>
        <w:rPr>
          <w:rFonts w:hint="eastAsia" w:ascii="仿宋_GB2312" w:hAnsi="仿宋_GB2312" w:eastAsia="仿宋_GB2312" w:cs="仿宋_GB2312"/>
          <w:color w:val="auto"/>
          <w:sz w:val="32"/>
          <w:szCs w:val="32"/>
          <w:highlight w:val="none"/>
          <w:lang w:eastAsia="zh-CN"/>
        </w:rPr>
        <w:t>调整高海拔折算工龄在职人员补发</w:t>
      </w:r>
      <w:r>
        <w:rPr>
          <w:rFonts w:hint="eastAsia" w:ascii="仿宋_GB2312" w:hAnsi="仿宋_GB2312" w:eastAsia="仿宋_GB2312" w:cs="仿宋_GB2312"/>
          <w:color w:val="auto"/>
          <w:sz w:val="32"/>
          <w:szCs w:val="32"/>
          <w:highlight w:val="none"/>
          <w:lang w:val="en-US" w:eastAsia="zh-CN"/>
        </w:rPr>
        <w:t>7个月；</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eastAsia="zh-CN"/>
        </w:rPr>
        <w:t>人员变动，养老保险基数调整；</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lang w:val="en-US" w:eastAsia="zh-CN"/>
        </w:rPr>
        <w:t>红原县政务服务中心建设项目、红原县政务服务中心信息化建设及设备采购项目、红原县政务服务中心装饰装修项目等共计资金支出1369.51万元</w:t>
      </w:r>
      <w:r>
        <w:rPr>
          <w:rFonts w:hint="eastAsia" w:ascii="仿宋_GB2312" w:hAnsi="仿宋_GB2312" w:eastAsia="仿宋_GB2312" w:cs="仿宋_GB2312"/>
          <w:color w:val="auto"/>
          <w:sz w:val="32"/>
          <w:szCs w:val="32"/>
          <w:highlight w:val="none"/>
          <w:lang w:eastAsia="zh-CN"/>
        </w:rPr>
        <w:t>。</w:t>
      </w:r>
    </w:p>
    <w:p w14:paraId="17FEA02D">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（图4：财政拨款收、支决算总计变动情况）（柱状图）</w:t>
      </w:r>
    </w:p>
    <w:p w14:paraId="1A6529FA">
      <w:pPr>
        <w:pageBreakBefore w:val="0"/>
        <w:kinsoku/>
        <w:wordWrap/>
        <w:overflowPunct/>
        <w:topLinePunct w:val="0"/>
        <w:autoSpaceDE/>
        <w:autoSpaceDN/>
        <w:bidi w:val="0"/>
        <w:spacing w:line="560" w:lineRule="exact"/>
        <w:ind w:firstLine="640" w:firstLineChars="200"/>
        <w:rPr>
          <w:rStyle w:val="35"/>
          <w:rFonts w:hint="eastAsia" w:ascii="黑体" w:hAnsi="黑体" w:eastAsia="黑体" w:cs="黑体"/>
          <w:b w:val="0"/>
          <w:color w:val="auto"/>
          <w:sz w:val="32"/>
          <w:szCs w:val="32"/>
          <w:highlight w:val="none"/>
        </w:rPr>
      </w:pPr>
      <w:r>
        <w:rPr>
          <w:rFonts w:hint="eastAsia" w:ascii="仿宋_GB2312" w:hAnsi="仿宋_GB2312" w:eastAsia="仿宋_GB2312" w:cs="仿宋_GB2312"/>
          <w:sz w:val="32"/>
          <w:szCs w:val="32"/>
          <w:lang w:eastAsia="zh-CN"/>
        </w:rPr>
        <w:pict>
          <v:shape id="_x0000_s1026" o:spid="_x0000_s1026" o:spt="75" type="#_x0000_t75" style="position:absolute;left:0pt;margin-left:11.75pt;margin-top:6.75pt;height:183.2pt;width:406.6pt;mso-wrap-distance-left:9pt;mso-wrap-distance-right:9pt;z-index:-251656192;mso-width-relative:page;mso-height-relative:page;" o:ole="t" filled="f" o:preferrelative="t" stroked="f" coordsize="21600,21600" wrapcoords="21592 -2 0 0 0 21600 21592 21602 8 21602 21600 21600 21600 0 8 -2 21592 -2"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4" o:title=""/>
            <o:lock v:ext="edit" aspectratio="f"/>
            <w10:wrap type="tight"/>
          </v:shape>
          <o:OLEObject Type="Embed" ProgID="Excel.Sheet.8" ShapeID="_x0000_s1026" DrawAspect="Content" ObjectID="_1468075726" r:id="rId13">
            <o:LockedField>false</o:LockedField>
          </o:OLEObject>
        </w:pict>
      </w:r>
      <w:bookmarkStart w:id="25" w:name="_Toc15396607"/>
      <w:bookmarkStart w:id="26" w:name="_Toc15377209"/>
      <w:r>
        <w:rPr>
          <w:rFonts w:hint="eastAsia" w:ascii="黑体" w:hAnsi="黑体" w:eastAsia="黑体" w:cs="黑体"/>
          <w:color w:val="auto"/>
          <w:sz w:val="32"/>
          <w:szCs w:val="32"/>
          <w:highlight w:val="none"/>
        </w:rPr>
        <w:t>五、</w:t>
      </w:r>
      <w:r>
        <w:rPr>
          <w:rFonts w:hint="eastAsia" w:ascii="黑体" w:hAnsi="黑体" w:eastAsia="黑体" w:cs="黑体"/>
          <w:b/>
          <w:color w:val="auto"/>
          <w:sz w:val="32"/>
          <w:szCs w:val="32"/>
          <w:highlight w:val="none"/>
        </w:rPr>
        <w:t>一</w:t>
      </w:r>
      <w:r>
        <w:rPr>
          <w:rStyle w:val="35"/>
          <w:rFonts w:hint="eastAsia" w:ascii="黑体" w:hAnsi="黑体" w:eastAsia="黑体" w:cs="黑体"/>
          <w:b w:val="0"/>
          <w:color w:val="auto"/>
          <w:sz w:val="32"/>
          <w:szCs w:val="32"/>
          <w:highlight w:val="none"/>
        </w:rPr>
        <w:t>般公共预算财政拨款支出决算情况说明</w:t>
      </w:r>
      <w:bookmarkEnd w:id="25"/>
      <w:bookmarkEnd w:id="26"/>
    </w:p>
    <w:p w14:paraId="10765C8E">
      <w:pPr>
        <w:pageBreakBefore w:val="0"/>
        <w:kinsoku/>
        <w:wordWrap/>
        <w:overflowPunct/>
        <w:topLinePunct w:val="0"/>
        <w:autoSpaceDE/>
        <w:autoSpaceDN/>
        <w:bidi w:val="0"/>
        <w:spacing w:line="560" w:lineRule="exact"/>
        <w:ind w:firstLine="643" w:firstLineChars="200"/>
        <w:outlineLvl w:val="2"/>
        <w:rPr>
          <w:rFonts w:hint="eastAsia" w:ascii="仿宋_GB2312" w:hAnsi="仿宋_GB2312" w:eastAsia="仿宋_GB2312" w:cs="仿宋_GB2312"/>
          <w:b/>
          <w:color w:val="auto"/>
          <w:sz w:val="32"/>
          <w:szCs w:val="32"/>
          <w:highlight w:val="none"/>
        </w:rPr>
      </w:pPr>
      <w:bookmarkStart w:id="27" w:name="_Toc15377210"/>
      <w:r>
        <w:rPr>
          <w:rFonts w:hint="eastAsia" w:ascii="楷体_GB2312" w:hAnsi="楷体_GB2312" w:eastAsia="楷体_GB2312" w:cs="楷体_GB2312"/>
          <w:b/>
          <w:bCs w:val="0"/>
          <w:color w:val="auto"/>
          <w:sz w:val="32"/>
          <w:szCs w:val="32"/>
          <w:highlight w:val="none"/>
        </w:rPr>
        <w:t>（一）一般公共预算财政拨款支出决算总体情况</w:t>
      </w:r>
      <w:bookmarkEnd w:id="27"/>
    </w:p>
    <w:p w14:paraId="17F6BA1A">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1805.73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lang w:val="en-US" w:eastAsia="zh-CN"/>
        </w:rPr>
        <w:t>99.87</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%。与2023年度相比，一般公共预算财政拨款支出增加699.45万元，增长63.23%。主要变动原因：</w:t>
      </w: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rPr>
        <w:t>是</w:t>
      </w:r>
      <w:r>
        <w:rPr>
          <w:rFonts w:hint="eastAsia" w:ascii="仿宋_GB2312" w:hAnsi="仿宋_GB2312" w:eastAsia="仿宋_GB2312" w:cs="仿宋_GB2312"/>
          <w:color w:val="auto"/>
          <w:sz w:val="32"/>
          <w:szCs w:val="32"/>
          <w:highlight w:val="none"/>
          <w:lang w:val="en-US" w:eastAsia="zh-CN"/>
        </w:rPr>
        <w:t>6月份</w:t>
      </w:r>
      <w:r>
        <w:rPr>
          <w:rFonts w:hint="eastAsia" w:ascii="仿宋_GB2312" w:hAnsi="仿宋_GB2312" w:eastAsia="仿宋_GB2312" w:cs="仿宋_GB2312"/>
          <w:color w:val="auto"/>
          <w:sz w:val="32"/>
          <w:szCs w:val="32"/>
          <w:highlight w:val="none"/>
          <w:lang w:eastAsia="zh-CN"/>
        </w:rPr>
        <w:t>调整高海拔折算工龄在职人员补发</w:t>
      </w:r>
      <w:r>
        <w:rPr>
          <w:rFonts w:hint="eastAsia" w:ascii="仿宋_GB2312" w:hAnsi="仿宋_GB2312" w:eastAsia="仿宋_GB2312" w:cs="仿宋_GB2312"/>
          <w:color w:val="auto"/>
          <w:sz w:val="32"/>
          <w:szCs w:val="32"/>
          <w:highlight w:val="none"/>
          <w:lang w:val="en-US" w:eastAsia="zh-CN"/>
        </w:rPr>
        <w:t>7个月；</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eastAsia="zh-CN"/>
        </w:rPr>
        <w:t>人员变动，养老保险基数调整；</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lang w:val="en-US" w:eastAsia="zh-CN"/>
        </w:rPr>
        <w:t>红原县政务服务中心建设项目、红原县政务服务中心信息化建设及设备采购项目、红原县政务服务中心装饰装修项目等共计资金支出1369.51万元</w:t>
      </w:r>
      <w:r>
        <w:rPr>
          <w:rFonts w:hint="eastAsia" w:ascii="仿宋_GB2312" w:hAnsi="仿宋_GB2312" w:eastAsia="仿宋_GB2312" w:cs="仿宋_GB2312"/>
          <w:color w:val="auto"/>
          <w:sz w:val="32"/>
          <w:szCs w:val="32"/>
          <w:highlight w:val="none"/>
          <w:lang w:eastAsia="zh-CN"/>
        </w:rPr>
        <w:t>。</w:t>
      </w:r>
    </w:p>
    <w:p w14:paraId="2778EB58">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（图5：一般公共预算财政拨款支出决算变动情况）（柱状图）</w:t>
      </w:r>
    </w:p>
    <w:p w14:paraId="63D3A94D">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eastAsia="zh-CN"/>
        </w:rPr>
        <w:pict>
          <v:shape id="_x0000_s1027" o:spid="_x0000_s1027" o:spt="75" type="#_x0000_t75" style="position:absolute;left:0pt;margin-left:13.25pt;margin-top:4.55pt;height:228.9pt;width:408.8pt;mso-wrap-distance-left:9pt;mso-wrap-distance-right:9pt;z-index:-251655168;mso-width-relative:page;mso-height-relative:page;" o:ole="t" filled="f" o:preferrelative="t" stroked="f" coordsize="21600,21600" wrapcoords="21592 -2 0 0 0 21600 21592 21602 8 21602 21600 21600 21600 0 8 -2 21592 -2"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6" o:title=""/>
            <o:lock v:ext="edit" aspectratio="f"/>
            <w10:wrap type="tight"/>
          </v:shape>
          <o:OLEObject Type="Embed" ProgID="Excel.Sheet.8" ShapeID="_x0000_s1027" DrawAspect="Content" ObjectID="_1468075727" r:id="rId15">
            <o:LockedField>false</o:LockedField>
          </o:OLEObject>
        </w:pict>
      </w:r>
    </w:p>
    <w:p w14:paraId="2BB9F7BD">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bCs w:val="0"/>
          <w:color w:val="auto"/>
          <w:sz w:val="32"/>
          <w:szCs w:val="32"/>
          <w:highlight w:val="none"/>
        </w:rPr>
      </w:pPr>
      <w:bookmarkStart w:id="28" w:name="_Toc15377211"/>
      <w:r>
        <w:rPr>
          <w:rFonts w:hint="eastAsia" w:ascii="楷体_GB2312" w:hAnsi="楷体_GB2312" w:eastAsia="楷体_GB2312" w:cs="楷体_GB2312"/>
          <w:b/>
          <w:bCs w:val="0"/>
          <w:color w:val="auto"/>
          <w:sz w:val="32"/>
          <w:szCs w:val="32"/>
          <w:highlight w:val="none"/>
        </w:rPr>
        <w:t>（二）一般公共预算财政拨款支出决算结构情况</w:t>
      </w:r>
      <w:bookmarkEnd w:id="28"/>
    </w:p>
    <w:p w14:paraId="4D4AAB62">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1805.73</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万元，主要用于以下方面：一般公共服务支出1713.16万元，占94.88%；社会保障和就业支出48.66万元，占2.69%；卫生健康支出17.30万元，占0.95%；住房保障支出26.61万元，占1.48%</w:t>
      </w:r>
      <w:r>
        <w:rPr>
          <w:rFonts w:hint="eastAsia" w:ascii="仿宋_GB2312" w:hAnsi="仿宋_GB2312" w:eastAsia="仿宋_GB2312" w:cs="仿宋_GB2312"/>
          <w:color w:val="auto"/>
          <w:sz w:val="32"/>
          <w:szCs w:val="32"/>
          <w:highlight w:val="none"/>
          <w:lang w:eastAsia="zh-CN"/>
        </w:rPr>
        <w:t>。</w:t>
      </w:r>
    </w:p>
    <w:p w14:paraId="71145A8D">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（图6：一般公共预算财政拨款支出决算结构）（饼状图）</w:t>
      </w:r>
    </w:p>
    <w:p w14:paraId="7A78B4ED">
      <w:pPr>
        <w:pageBreakBefore w:val="0"/>
        <w:kinsoku/>
        <w:wordWrap/>
        <w:overflowPunct/>
        <w:topLinePunct w:val="0"/>
        <w:autoSpaceDE/>
        <w:autoSpaceDN/>
        <w:bidi w:val="0"/>
        <w:spacing w:line="56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anchor distT="0" distB="0" distL="114300" distR="114300" simplePos="0" relativeHeight="251664384" behindDoc="1" locked="0" layoutInCell="1" allowOverlap="1">
            <wp:simplePos x="0" y="0"/>
            <wp:positionH relativeFrom="column">
              <wp:posOffset>243205</wp:posOffset>
            </wp:positionH>
            <wp:positionV relativeFrom="paragraph">
              <wp:posOffset>461010</wp:posOffset>
            </wp:positionV>
            <wp:extent cx="5256530" cy="3065145"/>
            <wp:effectExtent l="4445" t="4445" r="15875" b="16510"/>
            <wp:wrapTight wrapText="bothSides">
              <wp:wrapPolygon>
                <wp:start x="-18" y="-31"/>
                <wp:lineTo x="-18" y="21448"/>
                <wp:lineTo x="21509" y="21448"/>
                <wp:lineTo x="21509" y="-31"/>
                <wp:lineTo x="-18" y="-31"/>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1F7C222">
      <w:pPr>
        <w:pageBreakBefore w:val="0"/>
        <w:tabs>
          <w:tab w:val="left" w:pos="1693"/>
        </w:tabs>
        <w:kinsoku/>
        <w:wordWrap/>
        <w:overflowPunct/>
        <w:topLinePunct w:val="0"/>
        <w:autoSpaceDE/>
        <w:autoSpaceDN/>
        <w:bidi w:val="0"/>
        <w:spacing w:line="56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ab/>
      </w:r>
    </w:p>
    <w:p w14:paraId="6BAFEC60">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color w:val="auto"/>
          <w:sz w:val="32"/>
          <w:szCs w:val="32"/>
          <w:highlight w:val="none"/>
        </w:rPr>
      </w:pPr>
      <w:bookmarkStart w:id="29" w:name="_Toc15377212"/>
      <w:r>
        <w:rPr>
          <w:rFonts w:hint="eastAsia" w:ascii="楷体_GB2312" w:hAnsi="楷体_GB2312" w:eastAsia="楷体_GB2312" w:cs="楷体_GB2312"/>
          <w:b/>
          <w:color w:val="auto"/>
          <w:sz w:val="32"/>
          <w:szCs w:val="32"/>
          <w:highlight w:val="none"/>
        </w:rPr>
        <w:t>（三）一般公共预算财政拨款支出决算具体情况</w:t>
      </w:r>
      <w:bookmarkEnd w:id="29"/>
    </w:p>
    <w:p w14:paraId="6EB79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0" w:name="_Toc15377444"/>
      <w:bookmarkStart w:id="31" w:name="_Toc15377213"/>
      <w:bookmarkStart w:id="32" w:name="_Toc15378460"/>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lang w:val="en-US" w:eastAsia="zh-CN"/>
        </w:rPr>
        <w:t>1805.73万元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30"/>
      <w:bookmarkEnd w:id="31"/>
      <w:bookmarkEnd w:id="32"/>
    </w:p>
    <w:p w14:paraId="0E7D066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312"/>
        </w:tabs>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一般公共服务支出:</w:t>
      </w:r>
      <w:r>
        <w:rPr>
          <w:rFonts w:hint="eastAsia" w:ascii="仿宋_GB2312" w:hAnsi="仿宋_GB2312" w:eastAsia="仿宋_GB2312" w:cs="仿宋_GB2312"/>
          <w:color w:val="000000"/>
          <w:sz w:val="32"/>
          <w:szCs w:val="32"/>
        </w:rPr>
        <w:t>2010</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01-行政运行支出决算为</w:t>
      </w:r>
      <w:r>
        <w:rPr>
          <w:rFonts w:hint="eastAsia" w:ascii="仿宋_GB2312" w:hAnsi="仿宋_GB2312" w:eastAsia="仿宋_GB2312" w:cs="仿宋_GB2312"/>
          <w:color w:val="000000"/>
          <w:sz w:val="32"/>
          <w:szCs w:val="32"/>
          <w:lang w:val="en-US" w:eastAsia="zh-CN"/>
        </w:rPr>
        <w:t>97.85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%，主要用于开支日常公用经费及人员经费；2010</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02-一般行政管理事务支出决算为</w:t>
      </w:r>
      <w:r>
        <w:rPr>
          <w:rFonts w:hint="eastAsia" w:ascii="仿宋_GB2312" w:hAnsi="仿宋_GB2312" w:eastAsia="仿宋_GB2312" w:cs="仿宋_GB2312"/>
          <w:color w:val="000000"/>
          <w:sz w:val="32"/>
          <w:szCs w:val="32"/>
          <w:lang w:val="en-US" w:eastAsia="zh-CN"/>
        </w:rPr>
        <w:t>1451.85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76.47</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val="en-US" w:eastAsia="zh-CN"/>
        </w:rPr>
        <w:t>红原县政务服务中心建设相关项目支出</w:t>
      </w:r>
      <w:r>
        <w:rPr>
          <w:rFonts w:hint="eastAsia" w:ascii="仿宋_GB2312" w:hAnsi="仿宋_GB2312" w:eastAsia="仿宋_GB2312" w:cs="仿宋_GB2312"/>
          <w:color w:val="000000"/>
          <w:sz w:val="32"/>
          <w:szCs w:val="32"/>
        </w:rPr>
        <w:t>.存在结余主要是</w:t>
      </w:r>
      <w:r>
        <w:rPr>
          <w:rFonts w:hint="eastAsia" w:ascii="仿宋_GB2312" w:hAnsi="仿宋_GB2312" w:eastAsia="仿宋_GB2312" w:cs="仿宋_GB2312"/>
          <w:color w:val="000000"/>
          <w:sz w:val="32"/>
          <w:szCs w:val="32"/>
          <w:lang w:val="en-US" w:eastAsia="zh-CN"/>
        </w:rPr>
        <w:t>红原县政务服务中心建设相关项目根据合同约定未到支付日期，资金尾款未支付</w:t>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0350</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事业运行</w:t>
      </w:r>
      <w:r>
        <w:rPr>
          <w:rFonts w:hint="eastAsia" w:ascii="仿宋_GB2312" w:hAnsi="仿宋_GB2312" w:eastAsia="仿宋_GB2312" w:cs="仿宋_GB2312"/>
          <w:color w:val="000000"/>
          <w:sz w:val="32"/>
          <w:szCs w:val="32"/>
        </w:rPr>
        <w:t>支出决算为</w:t>
      </w:r>
      <w:r>
        <w:rPr>
          <w:rFonts w:hint="eastAsia" w:ascii="仿宋_GB2312" w:hAnsi="仿宋_GB2312" w:eastAsia="仿宋_GB2312" w:cs="仿宋_GB2312"/>
          <w:color w:val="000000"/>
          <w:sz w:val="32"/>
          <w:szCs w:val="32"/>
          <w:lang w:val="en-US" w:eastAsia="zh-CN"/>
        </w:rPr>
        <w:t>165.89</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98.60</w:t>
      </w:r>
      <w:r>
        <w:rPr>
          <w:rFonts w:hint="eastAsia" w:ascii="仿宋_GB2312" w:hAnsi="仿宋_GB2312" w:eastAsia="仿宋_GB2312" w:cs="仿宋_GB2312"/>
          <w:color w:val="000000"/>
          <w:sz w:val="32"/>
          <w:szCs w:val="32"/>
        </w:rPr>
        <w:t>%，主要用于开支日常公用经费及人员经费等，存在少量零星结余</w:t>
      </w:r>
      <w:r>
        <w:rPr>
          <w:rFonts w:hint="eastAsia" w:ascii="仿宋_GB2312" w:hAnsi="仿宋_GB2312" w:eastAsia="仿宋_GB2312" w:cs="仿宋_GB2312"/>
          <w:color w:val="000000"/>
          <w:sz w:val="32"/>
          <w:szCs w:val="32"/>
          <w:lang w:val="en-US" w:eastAsia="zh-CN"/>
        </w:rPr>
        <w:t>为单位部分医疗保险等</w:t>
      </w:r>
      <w:r>
        <w:rPr>
          <w:rFonts w:hint="eastAsia" w:ascii="仿宋_GB2312" w:hAnsi="仿宋_GB2312" w:eastAsia="仿宋_GB2312" w:cs="仿宋_GB2312"/>
          <w:color w:val="000000"/>
          <w:sz w:val="32"/>
          <w:szCs w:val="32"/>
        </w:rPr>
        <w:t>。</w:t>
      </w:r>
    </w:p>
    <w:p w14:paraId="2304EC11">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2.社会保障和就业支出:</w:t>
      </w:r>
      <w:r>
        <w:rPr>
          <w:rFonts w:hint="eastAsia" w:ascii="仿宋_GB2312" w:hAnsi="仿宋_GB2312" w:eastAsia="仿宋_GB2312" w:cs="仿宋_GB2312"/>
          <w:color w:val="000000"/>
          <w:sz w:val="32"/>
          <w:szCs w:val="32"/>
        </w:rPr>
        <w:t> 2080505-机关事业单位基本养老保险缴费支出决算为</w:t>
      </w:r>
      <w:r>
        <w:rPr>
          <w:rFonts w:hint="eastAsia" w:ascii="仿宋_GB2312" w:hAnsi="仿宋_GB2312" w:eastAsia="仿宋_GB2312" w:cs="仿宋_GB2312"/>
          <w:color w:val="000000"/>
          <w:sz w:val="32"/>
          <w:szCs w:val="32"/>
          <w:lang w:val="en-US" w:eastAsia="zh-CN"/>
        </w:rPr>
        <w:t>32.44</w:t>
      </w:r>
      <w:r>
        <w:rPr>
          <w:rFonts w:hint="eastAsia" w:ascii="仿宋_GB2312" w:hAnsi="仿宋_GB2312" w:eastAsia="仿宋_GB2312" w:cs="仿宋_GB2312"/>
          <w:color w:val="000000"/>
          <w:sz w:val="32"/>
          <w:szCs w:val="32"/>
        </w:rPr>
        <w:t>万元，完成预算100%，全部用于职工缴纳养老保险单位部分；2080506-机关事业单位职业年金缴费支出决算为</w:t>
      </w:r>
      <w:r>
        <w:rPr>
          <w:rFonts w:hint="eastAsia" w:ascii="仿宋_GB2312" w:hAnsi="仿宋_GB2312" w:eastAsia="仿宋_GB2312" w:cs="仿宋_GB2312"/>
          <w:color w:val="000000"/>
          <w:sz w:val="32"/>
          <w:szCs w:val="32"/>
          <w:lang w:val="en-US" w:eastAsia="zh-CN"/>
        </w:rPr>
        <w:t>16.22</w:t>
      </w:r>
      <w:r>
        <w:rPr>
          <w:rFonts w:hint="eastAsia" w:ascii="仿宋_GB2312" w:hAnsi="仿宋_GB2312" w:eastAsia="仿宋_GB2312" w:cs="仿宋_GB2312"/>
          <w:color w:val="000000"/>
          <w:sz w:val="32"/>
          <w:szCs w:val="32"/>
        </w:rPr>
        <w:t>万元，完成预算100%，全部用于职工缴纳职业年金单位部分。</w:t>
      </w:r>
    </w:p>
    <w:p w14:paraId="5FAC254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3.卫生健康支出:</w:t>
      </w:r>
      <w:r>
        <w:rPr>
          <w:rFonts w:hint="eastAsia" w:ascii="仿宋_GB2312" w:hAnsi="仿宋_GB2312" w:eastAsia="仿宋_GB2312" w:cs="仿宋_GB2312"/>
          <w:color w:val="000000"/>
          <w:sz w:val="32"/>
          <w:szCs w:val="32"/>
        </w:rPr>
        <w:t>2101101-行政单位医疗支出决算为</w:t>
      </w:r>
      <w:r>
        <w:rPr>
          <w:rFonts w:hint="eastAsia" w:ascii="仿宋_GB2312" w:hAnsi="仿宋_GB2312" w:eastAsia="仿宋_GB2312" w:cs="仿宋_GB2312"/>
          <w:color w:val="000000"/>
          <w:sz w:val="32"/>
          <w:szCs w:val="32"/>
          <w:lang w:val="en-US" w:eastAsia="zh-CN"/>
        </w:rPr>
        <w:t>5.72</w:t>
      </w:r>
      <w:r>
        <w:rPr>
          <w:rFonts w:hint="eastAsia" w:ascii="仿宋_GB2312" w:hAnsi="仿宋_GB2312" w:eastAsia="仿宋_GB2312" w:cs="仿宋_GB2312"/>
          <w:color w:val="000000"/>
          <w:sz w:val="32"/>
          <w:szCs w:val="32"/>
        </w:rPr>
        <w:t>万元，完成预算100%，全部用于行政在职职工缴纳医疗保险单位部分；2101102-事业单位医疗支出决算为</w:t>
      </w:r>
      <w:r>
        <w:rPr>
          <w:rFonts w:hint="eastAsia" w:ascii="仿宋_GB2312" w:hAnsi="仿宋_GB2312" w:eastAsia="仿宋_GB2312" w:cs="仿宋_GB2312"/>
          <w:color w:val="000000"/>
          <w:sz w:val="32"/>
          <w:szCs w:val="32"/>
          <w:lang w:val="en-US" w:eastAsia="zh-CN"/>
        </w:rPr>
        <w:t>8.29</w:t>
      </w:r>
      <w:r>
        <w:rPr>
          <w:rFonts w:hint="eastAsia" w:ascii="仿宋_GB2312" w:hAnsi="仿宋_GB2312" w:eastAsia="仿宋_GB2312" w:cs="仿宋_GB2312"/>
          <w:color w:val="000000"/>
          <w:sz w:val="32"/>
          <w:szCs w:val="32"/>
        </w:rPr>
        <w:t>万元，完成预算100%，全部用于事业在职职工缴纳医疗保险单位部分；2101103</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-公务员医疗补助支出决算为</w:t>
      </w:r>
      <w:r>
        <w:rPr>
          <w:rFonts w:hint="eastAsia" w:ascii="仿宋_GB2312" w:hAnsi="仿宋_GB2312" w:eastAsia="仿宋_GB2312" w:cs="仿宋_GB2312"/>
          <w:color w:val="000000"/>
          <w:sz w:val="32"/>
          <w:szCs w:val="32"/>
          <w:lang w:val="en-US" w:eastAsia="zh-CN"/>
        </w:rPr>
        <w:t>1.07</w:t>
      </w:r>
      <w:r>
        <w:rPr>
          <w:rFonts w:hint="eastAsia" w:ascii="仿宋_GB2312" w:hAnsi="仿宋_GB2312" w:eastAsia="仿宋_GB2312" w:cs="仿宋_GB2312"/>
          <w:color w:val="000000"/>
          <w:sz w:val="32"/>
          <w:szCs w:val="32"/>
        </w:rPr>
        <w:t>万元，完成预算100%，全部用于行政在职职工公务员补充医保；2101199-其他行政事业单位医疗支出决算为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万元，完成预算100%，全部用于缴纳事业在职职工补充医保。</w:t>
      </w:r>
    </w:p>
    <w:p w14:paraId="5F15538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4.住房保障支出</w:t>
      </w:r>
      <w:r>
        <w:rPr>
          <w:rFonts w:hint="eastAsia" w:ascii="仿宋_GB2312" w:hAnsi="仿宋_GB2312" w:eastAsia="仿宋_GB2312" w:cs="仿宋_GB2312"/>
          <w:color w:val="000000"/>
          <w:sz w:val="32"/>
          <w:szCs w:val="32"/>
        </w:rPr>
        <w:t>：2210201-住房公积金支出决算为</w:t>
      </w:r>
      <w:r>
        <w:rPr>
          <w:rFonts w:hint="eastAsia" w:ascii="仿宋_GB2312" w:hAnsi="仿宋_GB2312" w:eastAsia="仿宋_GB2312" w:cs="仿宋_GB2312"/>
          <w:color w:val="000000"/>
          <w:sz w:val="32"/>
          <w:szCs w:val="32"/>
          <w:lang w:val="en-US" w:eastAsia="zh-CN"/>
        </w:rPr>
        <w:t>26.60</w:t>
      </w:r>
      <w:r>
        <w:rPr>
          <w:rFonts w:hint="eastAsia" w:ascii="仿宋_GB2312" w:hAnsi="仿宋_GB2312" w:eastAsia="仿宋_GB2312" w:cs="仿宋_GB2312"/>
          <w:color w:val="000000"/>
          <w:sz w:val="32"/>
          <w:szCs w:val="32"/>
        </w:rPr>
        <w:t>万元，完成预算100%，全部用于行政事业职工缴纳住房公积金单位部分。</w:t>
      </w:r>
    </w:p>
    <w:p w14:paraId="4AC9E5B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color w:val="0000FF"/>
          <w:kern w:val="2"/>
          <w:sz w:val="32"/>
          <w:szCs w:val="32"/>
          <w:highlight w:val="none"/>
          <w:lang w:val="en-US" w:eastAsia="zh-CN" w:bidi="ar-SA"/>
        </w:rPr>
      </w:pPr>
      <w:r>
        <w:rPr>
          <w:rFonts w:hint="eastAsia" w:ascii="仿宋_GB2312" w:hAnsi="仿宋_GB2312" w:eastAsia="仿宋_GB2312" w:cs="仿宋_GB2312"/>
          <w:sz w:val="32"/>
          <w:szCs w:val="32"/>
          <w:lang w:eastAsia="zh-CN"/>
        </w:rPr>
        <w:drawing>
          <wp:anchor distT="0" distB="0" distL="114300" distR="114300" simplePos="0" relativeHeight="251662336" behindDoc="1" locked="0" layoutInCell="1" allowOverlap="1">
            <wp:simplePos x="0" y="0"/>
            <wp:positionH relativeFrom="column">
              <wp:posOffset>42545</wp:posOffset>
            </wp:positionH>
            <wp:positionV relativeFrom="paragraph">
              <wp:posOffset>398780</wp:posOffset>
            </wp:positionV>
            <wp:extent cx="5437505" cy="2628900"/>
            <wp:effectExtent l="4445" t="4445" r="6350" b="14605"/>
            <wp:wrapTight wrapText="bothSides">
              <wp:wrapPolygon>
                <wp:start x="-18" y="-37"/>
                <wp:lineTo x="-18" y="21563"/>
                <wp:lineTo x="21550" y="21563"/>
                <wp:lineTo x="21550" y="-37"/>
                <wp:lineTo x="-18" y="-37"/>
              </wp:wrapPolygon>
            </wp:wrapTight>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仿宋_GB2312" w:hAnsi="仿宋_GB2312" w:eastAsia="仿宋_GB2312" w:cs="仿宋_GB2312"/>
          <w:color w:val="auto"/>
          <w:kern w:val="2"/>
          <w:sz w:val="32"/>
          <w:szCs w:val="32"/>
          <w:highlight w:val="none"/>
          <w:lang w:val="en-US" w:eastAsia="zh-CN" w:bidi="ar-SA"/>
        </w:rPr>
        <w:t>图7：一般公共预算财政拨款支出决算结构）（饼状图）</w:t>
      </w:r>
    </w:p>
    <w:p w14:paraId="6170E385">
      <w:pPr>
        <w:pageBreakBefore w:val="0"/>
        <w:kinsoku/>
        <w:wordWrap/>
        <w:overflowPunct/>
        <w:topLinePunct w:val="0"/>
        <w:autoSpaceDE/>
        <w:autoSpaceDN/>
        <w:bidi w:val="0"/>
        <w:spacing w:line="560" w:lineRule="exact"/>
        <w:ind w:firstLine="640"/>
        <w:rPr>
          <w:rFonts w:hint="eastAsia" w:ascii="仿宋_GB2312" w:hAnsi="仿宋_GB2312" w:eastAsia="仿宋_GB2312" w:cs="仿宋_GB2312"/>
          <w:color w:val="auto"/>
          <w:kern w:val="2"/>
          <w:sz w:val="32"/>
          <w:szCs w:val="32"/>
          <w:highlight w:val="none"/>
          <w:lang w:val="en-US" w:eastAsia="zh-CN" w:bidi="ar-SA"/>
        </w:rPr>
      </w:pPr>
    </w:p>
    <w:p w14:paraId="406A1198">
      <w:pPr>
        <w:pageBreakBefore w:val="0"/>
        <w:tabs>
          <w:tab w:val="right" w:pos="8306"/>
        </w:tabs>
        <w:kinsoku/>
        <w:wordWrap/>
        <w:overflowPunct/>
        <w:topLinePunct w:val="0"/>
        <w:autoSpaceDE/>
        <w:autoSpaceDN/>
        <w:bidi w:val="0"/>
        <w:spacing w:line="560" w:lineRule="exact"/>
        <w:ind w:firstLine="640" w:firstLineChars="200"/>
        <w:outlineLvl w:val="1"/>
        <w:rPr>
          <w:rStyle w:val="35"/>
          <w:rFonts w:hint="eastAsia" w:ascii="黑体" w:hAnsi="黑体" w:eastAsia="黑体" w:cs="黑体"/>
          <w:color w:val="auto"/>
          <w:sz w:val="32"/>
          <w:szCs w:val="32"/>
          <w:highlight w:val="none"/>
        </w:rPr>
      </w:pPr>
      <w:bookmarkStart w:id="33" w:name="_Toc15396608"/>
      <w:bookmarkStart w:id="34" w:name="_Toc15377214"/>
      <w:r>
        <w:rPr>
          <w:rFonts w:hint="eastAsia" w:ascii="黑体" w:hAnsi="黑体" w:eastAsia="黑体" w:cs="黑体"/>
          <w:color w:val="auto"/>
          <w:sz w:val="32"/>
          <w:szCs w:val="32"/>
          <w:highlight w:val="none"/>
        </w:rPr>
        <w:t>六</w:t>
      </w:r>
      <w:r>
        <w:rPr>
          <w:rFonts w:hint="eastAsia" w:ascii="黑体" w:hAnsi="黑体" w:eastAsia="黑体" w:cs="黑体"/>
          <w:b/>
          <w:color w:val="auto"/>
          <w:sz w:val="32"/>
          <w:szCs w:val="32"/>
          <w:highlight w:val="none"/>
        </w:rPr>
        <w:t>、一</w:t>
      </w:r>
      <w:r>
        <w:rPr>
          <w:rStyle w:val="35"/>
          <w:rFonts w:hint="eastAsia" w:ascii="黑体" w:hAnsi="黑体" w:eastAsia="黑体" w:cs="黑体"/>
          <w:b w:val="0"/>
          <w:color w:val="auto"/>
          <w:sz w:val="32"/>
          <w:szCs w:val="32"/>
          <w:highlight w:val="none"/>
        </w:rPr>
        <w:t>般公共预算财政拨款基本支出决算情况说明</w:t>
      </w:r>
      <w:bookmarkEnd w:id="33"/>
      <w:bookmarkEnd w:id="34"/>
      <w:r>
        <w:rPr>
          <w:rStyle w:val="35"/>
          <w:rFonts w:hint="eastAsia" w:ascii="黑体" w:hAnsi="黑体" w:eastAsia="黑体" w:cs="黑体"/>
          <w:b w:val="0"/>
          <w:color w:val="auto"/>
          <w:sz w:val="32"/>
          <w:szCs w:val="32"/>
          <w:highlight w:val="none"/>
        </w:rPr>
        <w:tab/>
      </w:r>
    </w:p>
    <w:p w14:paraId="1D93E639">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lang w:val="en-US" w:eastAsia="zh-CN"/>
        </w:rPr>
        <w:t>1805.73</w:t>
      </w:r>
      <w:r>
        <w:rPr>
          <w:rFonts w:hint="eastAsia" w:ascii="仿宋_GB2312" w:hAnsi="仿宋_GB2312" w:eastAsia="仿宋_GB2312" w:cs="仿宋_GB2312"/>
          <w:color w:val="auto"/>
          <w:kern w:val="2"/>
          <w:sz w:val="32"/>
          <w:szCs w:val="32"/>
          <w:highlight w:val="none"/>
          <w:lang w:val="en-US" w:eastAsia="zh-CN" w:bidi="ar-SA"/>
        </w:rPr>
        <w:t>万元，其中：</w:t>
      </w:r>
    </w:p>
    <w:p w14:paraId="53FB3E13">
      <w:pPr>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人员经费</w:t>
      </w:r>
      <w:r>
        <w:rPr>
          <w:rFonts w:hint="eastAsia" w:ascii="仿宋_GB2312" w:hAnsi="仿宋_GB2312" w:eastAsia="仿宋_GB2312" w:cs="仿宋_GB2312"/>
          <w:sz w:val="32"/>
          <w:szCs w:val="32"/>
          <w:lang w:val="en-US" w:eastAsia="zh-CN"/>
        </w:rPr>
        <w:t>332.20</w:t>
      </w:r>
      <w:r>
        <w:rPr>
          <w:rFonts w:hint="eastAsia" w:ascii="仿宋_GB2312" w:hAnsi="仿宋_GB2312" w:eastAsia="仿宋_GB2312" w:cs="仿宋_GB2312"/>
          <w:color w:val="auto"/>
          <w:kern w:val="2"/>
          <w:sz w:val="32"/>
          <w:szCs w:val="32"/>
          <w:highlight w:val="none"/>
          <w:lang w:val="en-US" w:eastAsia="zh-CN" w:bidi="ar-SA"/>
        </w:rPr>
        <w:t>万元，主要包括：基本工资55.58万元、津贴补贴68.39万元、奖金74.14万元、绩效工资33.54万元、机关事业单位基本养老保险缴费32.44万元、职业年金缴费16.22万元、职工基本医疗保险缴费16.16万元、公务员医疗补助缴费3.28万元 、其他社会保障缴费4.45万元、住房公积金26.60万元、医疗费1.4万元。</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仿宋_GB2312" w:eastAsia="仿宋_GB2312" w:cs="仿宋_GB2312"/>
          <w:b/>
          <w:bCs/>
          <w:color w:val="auto"/>
          <w:kern w:val="2"/>
          <w:sz w:val="32"/>
          <w:szCs w:val="32"/>
          <w:highlight w:val="none"/>
          <w:lang w:val="en-US" w:eastAsia="zh-CN" w:bidi="ar-SA"/>
        </w:rPr>
        <w:t>公用经费</w:t>
      </w:r>
      <w:r>
        <w:rPr>
          <w:rFonts w:hint="eastAsia" w:ascii="仿宋_GB2312" w:hAnsi="仿宋_GB2312" w:eastAsia="仿宋_GB2312" w:cs="仿宋_GB2312"/>
          <w:sz w:val="32"/>
          <w:szCs w:val="32"/>
          <w:lang w:val="en-US" w:eastAsia="zh-CN"/>
        </w:rPr>
        <w:t>87.03</w:t>
      </w:r>
      <w:r>
        <w:rPr>
          <w:rFonts w:hint="eastAsia" w:ascii="仿宋_GB2312" w:hAnsi="仿宋_GB2312" w:eastAsia="仿宋_GB2312" w:cs="仿宋_GB2312"/>
          <w:color w:val="auto"/>
          <w:kern w:val="2"/>
          <w:sz w:val="32"/>
          <w:szCs w:val="32"/>
          <w:highlight w:val="none"/>
          <w:lang w:val="en-US" w:eastAsia="zh-CN" w:bidi="ar-SA"/>
        </w:rPr>
        <w:t>万元，主要包括：办公费17.44万元、印刷费7.15万元、水费1.76万元、电费5.8万元、邮电费11.71万元、取暖费4.44万元、差旅费10.27万元、维修（护）费2.09万元、培训费1.02万元、公务接待费0.3万元、劳务费8.30万元、委托业务费3.1万元、工会经费2.53万元、公务用车运行维护费11.12万元。</w:t>
      </w:r>
    </w:p>
    <w:p w14:paraId="5562380D">
      <w:pPr>
        <w:pStyle w:val="14"/>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对个人和家庭的补助</w:t>
      </w:r>
      <w:r>
        <w:rPr>
          <w:rFonts w:hint="eastAsia" w:ascii="仿宋_GB2312" w:hAnsi="仿宋_GB2312" w:eastAsia="仿宋_GB2312" w:cs="仿宋_GB2312"/>
          <w:color w:val="auto"/>
          <w:kern w:val="2"/>
          <w:sz w:val="32"/>
          <w:szCs w:val="32"/>
          <w:highlight w:val="none"/>
          <w:lang w:val="en-US" w:eastAsia="zh-CN" w:bidi="ar-SA"/>
        </w:rPr>
        <w:t>1.21万元，主要包括：生活补助1.2万元、奖励金0.01万元。</w:t>
      </w:r>
    </w:p>
    <w:p w14:paraId="1861CF9B">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基本建设支出</w:t>
      </w:r>
      <w:r>
        <w:rPr>
          <w:rFonts w:hint="eastAsia" w:ascii="仿宋_GB2312" w:hAnsi="仿宋_GB2312" w:eastAsia="仿宋_GB2312" w:cs="仿宋_GB2312"/>
          <w:sz w:val="32"/>
          <w:szCs w:val="32"/>
          <w:lang w:val="en-US" w:eastAsia="zh-CN"/>
        </w:rPr>
        <w:t>1385.29万元，主要包括房屋建筑物构建840.30万元、办公设备购置8.09万元、信息网络及软件购置更新536.90万元。</w:t>
      </w:r>
    </w:p>
    <w:p w14:paraId="711AF573">
      <w:pPr>
        <w:pageBreakBefore w:val="0"/>
        <w:kinsoku/>
        <w:wordWrap/>
        <w:overflowPunct/>
        <w:topLinePunct w:val="0"/>
        <w:autoSpaceDE/>
        <w:autoSpaceDN/>
        <w:bidi w:val="0"/>
        <w:spacing w:line="560" w:lineRule="exact"/>
        <w:ind w:firstLine="640" w:firstLineChars="200"/>
        <w:outlineLvl w:val="1"/>
        <w:rPr>
          <w:rStyle w:val="35"/>
          <w:rFonts w:hint="eastAsia" w:ascii="黑体" w:hAnsi="黑体" w:eastAsia="黑体" w:cs="黑体"/>
          <w:b w:val="0"/>
          <w:color w:val="000000" w:themeColor="text1"/>
          <w:sz w:val="32"/>
          <w:szCs w:val="32"/>
          <w:highlight w:val="none"/>
          <w14:textFill>
            <w14:solidFill>
              <w14:schemeClr w14:val="tx1"/>
            </w14:solidFill>
          </w14:textFill>
        </w:rPr>
      </w:pPr>
      <w:bookmarkStart w:id="35" w:name="_Toc15396609"/>
      <w:bookmarkStart w:id="36" w:name="_Toc15377215"/>
      <w:r>
        <w:rPr>
          <w:rFonts w:hint="eastAsia" w:ascii="黑体" w:hAnsi="黑体" w:eastAsia="黑体" w:cs="黑体"/>
          <w:color w:val="000000" w:themeColor="text1"/>
          <w:sz w:val="32"/>
          <w:szCs w:val="32"/>
          <w:highlight w:val="none"/>
          <w14:textFill>
            <w14:solidFill>
              <w14:schemeClr w14:val="tx1"/>
            </w14:solidFill>
          </w14:textFill>
        </w:rPr>
        <w:t>七、</w:t>
      </w:r>
      <w:r>
        <w:rPr>
          <w:rStyle w:val="35"/>
          <w:rFonts w:hint="eastAsia" w:ascii="黑体" w:hAnsi="黑体" w:eastAsia="黑体" w:cs="黑体"/>
          <w:b w:val="0"/>
          <w:color w:val="000000" w:themeColor="text1"/>
          <w:sz w:val="32"/>
          <w:szCs w:val="32"/>
          <w:highlight w:val="none"/>
          <w14:textFill>
            <w14:solidFill>
              <w14:schemeClr w14:val="tx1"/>
            </w14:solidFill>
          </w14:textFill>
        </w:rPr>
        <w:t>财政拨款</w:t>
      </w:r>
      <w:r>
        <w:rPr>
          <w:rStyle w:val="35"/>
          <w:rFonts w:hint="eastAsia" w:ascii="黑体" w:hAnsi="黑体" w:eastAsia="黑体" w:cs="黑体"/>
          <w:color w:val="000000" w:themeColor="text1"/>
          <w:sz w:val="32"/>
          <w:szCs w:val="32"/>
          <w:highlight w:val="none"/>
          <w14:textFill>
            <w14:solidFill>
              <w14:schemeClr w14:val="tx1"/>
            </w14:solidFill>
          </w14:textFill>
        </w:rPr>
        <w:t>“</w:t>
      </w:r>
      <w:r>
        <w:rPr>
          <w:rStyle w:val="35"/>
          <w:rFonts w:hint="eastAsia" w:ascii="黑体" w:hAnsi="黑体" w:eastAsia="黑体" w:cs="黑体"/>
          <w:b w:val="0"/>
          <w:color w:val="000000" w:themeColor="text1"/>
          <w:sz w:val="32"/>
          <w:szCs w:val="32"/>
          <w:highlight w:val="none"/>
          <w14:textFill>
            <w14:solidFill>
              <w14:schemeClr w14:val="tx1"/>
            </w14:solidFill>
          </w14:textFill>
        </w:rPr>
        <w:t>三公”经费支出决算情况说明</w:t>
      </w:r>
      <w:bookmarkEnd w:id="35"/>
      <w:bookmarkEnd w:id="36"/>
    </w:p>
    <w:p w14:paraId="11FBA4C3">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color w:val="auto"/>
          <w:sz w:val="32"/>
          <w:szCs w:val="32"/>
          <w:highlight w:val="none"/>
        </w:rPr>
      </w:pPr>
      <w:bookmarkStart w:id="37" w:name="_Toc15377216"/>
      <w:r>
        <w:rPr>
          <w:rFonts w:hint="eastAsia" w:ascii="楷体_GB2312" w:hAnsi="楷体_GB2312" w:eastAsia="楷体_GB2312" w:cs="楷体_GB2312"/>
          <w:b/>
          <w:color w:val="auto"/>
          <w:sz w:val="32"/>
          <w:szCs w:val="32"/>
          <w:highlight w:val="none"/>
        </w:rPr>
        <w:t>（一）“三公”经费财政拨款支出决算总体情况说明</w:t>
      </w:r>
      <w:bookmarkEnd w:id="37"/>
    </w:p>
    <w:p w14:paraId="1F163C01">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lang w:val="en-US" w:eastAsia="zh-CN"/>
        </w:rPr>
        <w:t>11.42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98.</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color w:val="auto"/>
          <w:kern w:val="2"/>
          <w:sz w:val="32"/>
          <w:szCs w:val="32"/>
          <w:highlight w:val="none"/>
          <w:lang w:val="en-US" w:eastAsia="zh-CN" w:bidi="ar-SA"/>
        </w:rPr>
        <w:t>%，较上年度减少0.81万元，减少6.64%。减少主要原因是严格落实“过紧日子”要求，厉行节约，大力压减“三公”经费支出。</w:t>
      </w:r>
    </w:p>
    <w:p w14:paraId="278E02B0">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bCs w:val="0"/>
          <w:color w:val="auto"/>
          <w:sz w:val="32"/>
          <w:szCs w:val="32"/>
          <w:highlight w:val="none"/>
        </w:rPr>
      </w:pPr>
      <w:bookmarkStart w:id="38" w:name="_Toc15377217"/>
      <w:r>
        <w:rPr>
          <w:rFonts w:hint="eastAsia" w:ascii="楷体_GB2312" w:hAnsi="楷体_GB2312" w:eastAsia="楷体_GB2312" w:cs="楷体_GB2312"/>
          <w:b/>
          <w:bCs w:val="0"/>
          <w:color w:val="auto"/>
          <w:sz w:val="32"/>
          <w:szCs w:val="32"/>
          <w:highlight w:val="none"/>
        </w:rPr>
        <w:t>（二）“三公”经费财政拨款支出决算具体情况说明</w:t>
      </w:r>
      <w:bookmarkEnd w:id="38"/>
    </w:p>
    <w:p w14:paraId="6936A5EC">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lang w:val="en-US" w:eastAsia="zh-CN"/>
        </w:rPr>
        <w:t>11.12</w:t>
      </w:r>
      <w:r>
        <w:rPr>
          <w:rFonts w:hint="eastAsia" w:ascii="仿宋_GB2312" w:hAnsi="仿宋_GB2312" w:eastAsia="仿宋_GB2312" w:cs="仿宋_GB2312"/>
          <w:color w:val="auto"/>
          <w:kern w:val="2"/>
          <w:sz w:val="32"/>
          <w:szCs w:val="32"/>
          <w:highlight w:val="none"/>
          <w:lang w:val="en-US" w:eastAsia="zh-CN" w:bidi="ar-SA"/>
        </w:rPr>
        <w:t>万元，占97.37%；公务接待费支出决算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kern w:val="2"/>
          <w:sz w:val="32"/>
          <w:szCs w:val="32"/>
          <w:highlight w:val="none"/>
          <w:lang w:val="en-US" w:eastAsia="zh-CN" w:bidi="ar-SA"/>
        </w:rPr>
        <w:t>万元，占2.63%。具体情况如下：</w:t>
      </w:r>
    </w:p>
    <w:p w14:paraId="01D4F4E0">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（图7：“三公”经费财政拨款支出结构）（饼状图）</w:t>
      </w:r>
    </w:p>
    <w:p w14:paraId="03FDBB34">
      <w:pPr>
        <w:pStyle w:val="14"/>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3360" behindDoc="1" locked="0" layoutInCell="1" allowOverlap="1">
            <wp:simplePos x="0" y="0"/>
            <wp:positionH relativeFrom="column">
              <wp:posOffset>48260</wp:posOffset>
            </wp:positionH>
            <wp:positionV relativeFrom="paragraph">
              <wp:posOffset>232410</wp:posOffset>
            </wp:positionV>
            <wp:extent cx="4935220" cy="2391410"/>
            <wp:effectExtent l="4445" t="4445" r="59055" b="42545"/>
            <wp:wrapTight wrapText="bothSides">
              <wp:wrapPolygon>
                <wp:start x="-19" y="-40"/>
                <wp:lineTo x="-19" y="21468"/>
                <wp:lineTo x="21575" y="21468"/>
                <wp:lineTo x="21575" y="-40"/>
                <wp:lineTo x="-19" y="-4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62009BFA">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4FA0ED99">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4D3981ED">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487AAABE">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4C221738">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4EFF963A">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6BF71F1C">
      <w:pPr>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b/>
          <w:bCs/>
          <w:color w:val="auto"/>
          <w:kern w:val="2"/>
          <w:sz w:val="32"/>
          <w:szCs w:val="32"/>
          <w:highlight w:val="none"/>
          <w:lang w:val="en-US" w:eastAsia="zh-CN" w:bidi="ar-SA"/>
        </w:rPr>
      </w:pPr>
    </w:p>
    <w:p w14:paraId="6127BE77">
      <w:pPr>
        <w:pageBreakBefore w:val="0"/>
        <w:numPr>
          <w:ilvl w:val="0"/>
          <w:numId w:val="0"/>
        </w:numPr>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1.公务用车购置及运行维护费支出</w:t>
      </w:r>
      <w:r>
        <w:rPr>
          <w:rFonts w:hint="eastAsia" w:ascii="仿宋_GB2312" w:hAnsi="仿宋_GB2312" w:eastAsia="仿宋_GB2312" w:cs="仿宋_GB2312"/>
          <w:b w:val="0"/>
          <w:bCs w:val="0"/>
          <w:color w:val="auto"/>
          <w:kern w:val="2"/>
          <w:sz w:val="32"/>
          <w:szCs w:val="32"/>
          <w:highlight w:val="none"/>
          <w:lang w:val="en-US" w:eastAsia="zh-CN" w:bidi="ar-SA"/>
        </w:rPr>
        <w:t>11.12万元，完成预算100%。公务用车购置及运行维护费</w:t>
      </w:r>
      <w:r>
        <w:rPr>
          <w:rFonts w:hint="eastAsia" w:ascii="仿宋_GB2312" w:hAnsi="仿宋_GB2312" w:eastAsia="仿宋_GB2312" w:cs="仿宋_GB2312"/>
          <w:color w:val="auto"/>
          <w:kern w:val="2"/>
          <w:sz w:val="32"/>
          <w:szCs w:val="32"/>
          <w:highlight w:val="none"/>
          <w:lang w:val="en-US" w:eastAsia="zh-CN" w:bidi="ar-SA"/>
        </w:rPr>
        <w:t>支出决算比2023年度减少0.95万元，减少7.9%。主要原因是严格落实“过紧日子”要求，厉行节约，大力压减“三公”经费支出。</w:t>
      </w:r>
    </w:p>
    <w:p w14:paraId="5F03319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0万元。原因为全年未更新购置公务用车。</w:t>
      </w:r>
    </w:p>
    <w:p w14:paraId="0BB7DE03">
      <w:pPr>
        <w:pageBreakBefore w:val="0"/>
        <w:kinsoku/>
        <w:wordWrap/>
        <w:overflowPunct/>
        <w:topLinePunct w:val="0"/>
        <w:autoSpaceDE/>
        <w:autoSpaceDN/>
        <w:bidi w:val="0"/>
        <w:spacing w:line="56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lang w:val="en-US" w:eastAsia="zh-CN"/>
        </w:rPr>
        <w:t>11.12</w:t>
      </w:r>
      <w:r>
        <w:rPr>
          <w:rFonts w:hint="eastAsia" w:ascii="仿宋_GB2312" w:hAnsi="仿宋_GB2312" w:eastAsia="仿宋_GB2312" w:cs="仿宋_GB2312"/>
          <w:color w:val="auto"/>
          <w:kern w:val="2"/>
          <w:sz w:val="32"/>
          <w:szCs w:val="32"/>
          <w:highlight w:val="none"/>
          <w:lang w:val="en-US" w:eastAsia="zh-CN" w:bidi="ar-SA"/>
        </w:rPr>
        <w:t>万元。主要用于保障办公室日常出差</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color w:val="000000"/>
          <w:sz w:val="32"/>
          <w:szCs w:val="32"/>
          <w:lang w:eastAsia="zh-CN"/>
        </w:rPr>
        <w:t>工作出差、开展脱贫攻坚工作下乡</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color w:val="000000"/>
          <w:sz w:val="32"/>
          <w:szCs w:val="32"/>
          <w:lang w:eastAsia="zh-CN"/>
        </w:rPr>
        <w:t>公务用车燃料费、维修费、过路过桥费、保险费等支出。</w:t>
      </w:r>
    </w:p>
    <w:p w14:paraId="775B6FA9">
      <w:pPr>
        <w:pageBreakBefore w:val="0"/>
        <w:numPr>
          <w:ilvl w:val="0"/>
          <w:numId w:val="0"/>
        </w:numPr>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2.公务接待费支出</w:t>
      </w:r>
      <w:r>
        <w:rPr>
          <w:rFonts w:hint="eastAsia" w:ascii="仿宋_GB2312" w:hAnsi="仿宋_GB2312" w:eastAsia="仿宋_GB2312" w:cs="仿宋_GB2312"/>
          <w:b w:val="0"/>
          <w:bCs w:val="0"/>
          <w:color w:val="auto"/>
          <w:kern w:val="2"/>
          <w:sz w:val="32"/>
          <w:szCs w:val="32"/>
          <w:highlight w:val="none"/>
          <w:lang w:val="en-US" w:eastAsia="zh-CN" w:bidi="ar-SA"/>
        </w:rPr>
        <w:t>0.3万元，完成预算68.18%。</w:t>
      </w:r>
      <w:r>
        <w:rPr>
          <w:rFonts w:hint="eastAsia" w:ascii="仿宋_GB2312" w:hAnsi="仿宋_GB2312" w:eastAsia="仿宋_GB2312" w:cs="仿宋_GB2312"/>
          <w:color w:val="auto"/>
          <w:kern w:val="2"/>
          <w:sz w:val="32"/>
          <w:szCs w:val="32"/>
          <w:highlight w:val="none"/>
          <w:lang w:val="en-US" w:eastAsia="zh-CN" w:bidi="ar-SA"/>
        </w:rPr>
        <w:t>公务接待费支出决算比2023年度增加0.14万元，增长88.97%。主要原因是：州政务中心到红原开展省级“示范便民服务中心”验收评审，根据文件要求只接待一顿用餐，接待1批次，共16人次（不包括陪同人员），接待费用0.3万元，接待费用未超支。</w:t>
      </w:r>
    </w:p>
    <w:p w14:paraId="3A248FC6">
      <w:pPr>
        <w:pageBreakBefore w:val="0"/>
        <w:numPr>
          <w:ilvl w:val="0"/>
          <w:numId w:val="0"/>
        </w:numPr>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国内公务接待支出</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auto"/>
          <w:kern w:val="2"/>
          <w:sz w:val="32"/>
          <w:szCs w:val="32"/>
          <w:highlight w:val="none"/>
          <w:lang w:val="en-US" w:eastAsia="zh-CN" w:bidi="ar-SA"/>
        </w:rPr>
        <w:t>州政务中心到红原开展省级“示范便民服务中心”验收评审，根据文件要求只接待一顿用餐，接待1批次，共16人次（不包括陪同人员），接待费用0.3万元，接待费用未超支。通过评审工作指导推动我县政务服务能力、管理水平进一步优化提升。</w:t>
      </w:r>
    </w:p>
    <w:p w14:paraId="25540F01">
      <w:pPr>
        <w:pageBreakBefore w:val="0"/>
        <w:numPr>
          <w:ilvl w:val="0"/>
          <w:numId w:val="0"/>
        </w:numPr>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0万元，外事接待0批次，0人次（不包括陪同人员），共计支出0万元。</w:t>
      </w:r>
    </w:p>
    <w:p w14:paraId="4AE1DE99">
      <w:pPr>
        <w:pageBreakBefore w:val="0"/>
        <w:kinsoku/>
        <w:wordWrap/>
        <w:overflowPunct/>
        <w:topLinePunct w:val="0"/>
        <w:autoSpaceDE/>
        <w:autoSpaceDN/>
        <w:bidi w:val="0"/>
        <w:spacing w:line="560" w:lineRule="exact"/>
        <w:ind w:firstLine="640" w:firstLineChars="200"/>
        <w:outlineLvl w:val="1"/>
        <w:rPr>
          <w:rStyle w:val="35"/>
          <w:rFonts w:hint="eastAsia" w:ascii="黑体" w:hAnsi="黑体" w:eastAsia="黑体" w:cs="黑体"/>
          <w:color w:val="auto"/>
          <w:sz w:val="32"/>
          <w:szCs w:val="32"/>
          <w:highlight w:val="none"/>
        </w:rPr>
      </w:pPr>
      <w:bookmarkStart w:id="39" w:name="_Toc15377218"/>
      <w:bookmarkStart w:id="40" w:name="_Toc15396610"/>
      <w:r>
        <w:rPr>
          <w:rFonts w:hint="eastAsia" w:ascii="黑体" w:hAnsi="黑体" w:eastAsia="黑体" w:cs="黑体"/>
          <w:color w:val="auto"/>
          <w:sz w:val="32"/>
          <w:szCs w:val="32"/>
          <w:highlight w:val="none"/>
        </w:rPr>
        <w:t>八、</w:t>
      </w:r>
      <w:r>
        <w:rPr>
          <w:rStyle w:val="35"/>
          <w:rFonts w:hint="eastAsia" w:ascii="黑体" w:hAnsi="黑体" w:eastAsia="黑体" w:cs="黑体"/>
          <w:b w:val="0"/>
          <w:color w:val="auto"/>
          <w:sz w:val="32"/>
          <w:szCs w:val="32"/>
          <w:highlight w:val="none"/>
        </w:rPr>
        <w:t>政府性基金预算支出决算情况说明</w:t>
      </w:r>
      <w:bookmarkEnd w:id="39"/>
      <w:bookmarkEnd w:id="40"/>
    </w:p>
    <w:p w14:paraId="1B54EBD5">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4F62508C">
      <w:pPr>
        <w:pageBreakBefore w:val="0"/>
        <w:numPr>
          <w:ilvl w:val="0"/>
          <w:numId w:val="0"/>
        </w:numPr>
        <w:kinsoku/>
        <w:wordWrap/>
        <w:overflowPunct/>
        <w:topLinePunct w:val="0"/>
        <w:autoSpaceDE/>
        <w:autoSpaceDN/>
        <w:bidi w:val="0"/>
        <w:spacing w:line="560" w:lineRule="exact"/>
        <w:ind w:firstLine="640" w:firstLineChars="200"/>
        <w:outlineLvl w:val="1"/>
        <w:rPr>
          <w:rStyle w:val="35"/>
          <w:rFonts w:hint="eastAsia" w:ascii="黑体" w:hAnsi="黑体" w:eastAsia="黑体" w:cs="黑体"/>
          <w:b w:val="0"/>
          <w:color w:val="auto"/>
          <w:sz w:val="32"/>
          <w:szCs w:val="32"/>
          <w:highlight w:val="none"/>
        </w:rPr>
      </w:pPr>
      <w:bookmarkStart w:id="41" w:name="_Toc15396611"/>
      <w:bookmarkStart w:id="42" w:name="_Toc15377219"/>
      <w:r>
        <w:rPr>
          <w:rStyle w:val="35"/>
          <w:rFonts w:hint="eastAsia" w:ascii="黑体" w:hAnsi="黑体" w:eastAsia="黑体" w:cs="黑体"/>
          <w:b w:val="0"/>
          <w:color w:val="auto"/>
          <w:sz w:val="32"/>
          <w:szCs w:val="32"/>
          <w:highlight w:val="none"/>
          <w:lang w:eastAsia="zh-CN"/>
        </w:rPr>
        <w:t>九、</w:t>
      </w:r>
      <w:r>
        <w:rPr>
          <w:rStyle w:val="35"/>
          <w:rFonts w:hint="eastAsia" w:ascii="黑体" w:hAnsi="黑体" w:eastAsia="黑体" w:cs="黑体"/>
          <w:b w:val="0"/>
          <w:color w:val="auto"/>
          <w:sz w:val="32"/>
          <w:szCs w:val="32"/>
          <w:highlight w:val="none"/>
        </w:rPr>
        <w:t>国有资本经营预算支出决算情况说明</w:t>
      </w:r>
      <w:bookmarkEnd w:id="41"/>
      <w:bookmarkEnd w:id="42"/>
    </w:p>
    <w:p w14:paraId="59B59103">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1BB5A2E2">
      <w:pPr>
        <w:pageBreakBefore w:val="0"/>
        <w:numPr>
          <w:ilvl w:val="0"/>
          <w:numId w:val="0"/>
        </w:numPr>
        <w:kinsoku/>
        <w:wordWrap/>
        <w:overflowPunct/>
        <w:topLinePunct w:val="0"/>
        <w:autoSpaceDE/>
        <w:autoSpaceDN/>
        <w:bidi w:val="0"/>
        <w:spacing w:line="560" w:lineRule="exact"/>
        <w:ind w:firstLine="640" w:firstLineChars="200"/>
        <w:outlineLvl w:val="1"/>
        <w:rPr>
          <w:rStyle w:val="35"/>
          <w:rFonts w:hint="eastAsia" w:ascii="黑体" w:hAnsi="黑体" w:eastAsia="黑体" w:cs="黑体"/>
          <w:b w:val="0"/>
          <w:color w:val="auto"/>
          <w:sz w:val="32"/>
          <w:szCs w:val="32"/>
          <w:highlight w:val="none"/>
        </w:rPr>
      </w:pPr>
      <w:bookmarkStart w:id="43" w:name="_Toc15377221"/>
      <w:bookmarkStart w:id="44" w:name="_Toc15396612"/>
      <w:r>
        <w:rPr>
          <w:rStyle w:val="35"/>
          <w:rFonts w:hint="eastAsia" w:ascii="黑体" w:hAnsi="黑体" w:eastAsia="黑体" w:cs="黑体"/>
          <w:b w:val="0"/>
          <w:color w:val="auto"/>
          <w:sz w:val="32"/>
          <w:szCs w:val="32"/>
          <w:highlight w:val="none"/>
          <w:lang w:eastAsia="zh-CN"/>
        </w:rPr>
        <w:t>十、</w:t>
      </w:r>
      <w:r>
        <w:rPr>
          <w:rStyle w:val="35"/>
          <w:rFonts w:hint="eastAsia" w:ascii="黑体" w:hAnsi="黑体" w:eastAsia="黑体" w:cs="黑体"/>
          <w:b w:val="0"/>
          <w:color w:val="auto"/>
          <w:sz w:val="32"/>
          <w:szCs w:val="32"/>
          <w:highlight w:val="none"/>
        </w:rPr>
        <w:t>其他重要事项的情况说明</w:t>
      </w:r>
      <w:bookmarkEnd w:id="43"/>
      <w:bookmarkEnd w:id="44"/>
    </w:p>
    <w:p w14:paraId="4FA9CA9D">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bCs w:val="0"/>
          <w:color w:val="auto"/>
          <w:sz w:val="32"/>
          <w:szCs w:val="32"/>
          <w:highlight w:val="none"/>
        </w:rPr>
      </w:pPr>
      <w:bookmarkStart w:id="45" w:name="_Toc15377222"/>
      <w:r>
        <w:rPr>
          <w:rFonts w:hint="eastAsia" w:ascii="楷体_GB2312" w:hAnsi="楷体_GB2312" w:eastAsia="楷体_GB2312" w:cs="楷体_GB2312"/>
          <w:b/>
          <w:bCs w:val="0"/>
          <w:color w:val="auto"/>
          <w:sz w:val="32"/>
          <w:szCs w:val="32"/>
          <w:highlight w:val="none"/>
        </w:rPr>
        <w:t>（一）机关运行经费支出情况</w:t>
      </w:r>
      <w:bookmarkEnd w:id="45"/>
    </w:p>
    <w:p w14:paraId="4D11599B">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11.24</w:t>
      </w:r>
      <w:r>
        <w:rPr>
          <w:rFonts w:hint="eastAsia" w:ascii="仿宋_GB2312" w:hAnsi="仿宋_GB2312" w:eastAsia="仿宋_GB2312" w:cs="仿宋_GB2312"/>
          <w:color w:val="auto"/>
          <w:kern w:val="2"/>
          <w:sz w:val="32"/>
          <w:szCs w:val="32"/>
          <w:highlight w:val="none"/>
          <w:lang w:val="en-US" w:eastAsia="zh-CN" w:bidi="ar-SA"/>
        </w:rPr>
        <w:t>万元，较2023年度持平，主要原因是厉行节约。</w:t>
      </w:r>
    </w:p>
    <w:p w14:paraId="0700BE49">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bCs w:val="0"/>
          <w:color w:val="auto"/>
          <w:sz w:val="32"/>
          <w:szCs w:val="32"/>
          <w:highlight w:val="none"/>
        </w:rPr>
      </w:pPr>
      <w:bookmarkStart w:id="46" w:name="_Toc15377223"/>
      <w:r>
        <w:rPr>
          <w:rFonts w:hint="eastAsia" w:ascii="楷体_GB2312" w:hAnsi="楷体_GB2312" w:eastAsia="楷体_GB2312" w:cs="楷体_GB2312"/>
          <w:b/>
          <w:bCs w:val="0"/>
          <w:color w:val="auto"/>
          <w:sz w:val="32"/>
          <w:szCs w:val="32"/>
          <w:highlight w:val="none"/>
        </w:rPr>
        <w:t>（二）政府采购支出情况</w:t>
      </w:r>
      <w:bookmarkEnd w:id="46"/>
    </w:p>
    <w:p w14:paraId="09291E43">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color w:val="auto"/>
          <w:kern w:val="2"/>
          <w:sz w:val="32"/>
          <w:szCs w:val="32"/>
          <w:highlight w:val="none"/>
          <w:lang w:val="en-US" w:eastAsia="zh-CN" w:bidi="ar-SA"/>
        </w:rPr>
        <w:t>政府采购支出总额604.73万元，其中：政府采购货物支出</w:t>
      </w:r>
      <w:r>
        <w:rPr>
          <w:rFonts w:hint="eastAsia" w:ascii="仿宋_GB2312" w:hAnsi="仿宋_GB2312" w:eastAsia="仿宋_GB2312" w:cs="仿宋_GB2312"/>
          <w:sz w:val="32"/>
          <w:szCs w:val="32"/>
          <w:lang w:val="en-US" w:eastAsia="zh-CN"/>
        </w:rPr>
        <w:t>555.80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lang w:val="en-US" w:eastAsia="zh-CN"/>
        </w:rPr>
        <w:t>48.93</w:t>
      </w:r>
      <w:r>
        <w:rPr>
          <w:rFonts w:hint="eastAsia" w:ascii="仿宋_GB2312" w:hAnsi="仿宋_GB2312" w:eastAsia="仿宋_GB2312" w:cs="仿宋_GB2312"/>
          <w:color w:val="auto"/>
          <w:kern w:val="2"/>
          <w:sz w:val="32"/>
          <w:szCs w:val="32"/>
          <w:highlight w:val="none"/>
          <w:lang w:val="en-US" w:eastAsia="zh-CN" w:bidi="ar-SA"/>
        </w:rPr>
        <w:t>万元。主要用于红原县政务服务中心信息化建设及设备采购项目。其中：授予小微企业合同金额604.73万元，占政府采购支出总额的100%。</w:t>
      </w:r>
    </w:p>
    <w:p w14:paraId="5F70C563">
      <w:pPr>
        <w:pageBreakBefore w:val="0"/>
        <w:kinsoku/>
        <w:wordWrap/>
        <w:overflowPunct/>
        <w:topLinePunct w:val="0"/>
        <w:autoSpaceDE/>
        <w:autoSpaceDN/>
        <w:bidi w:val="0"/>
        <w:spacing w:line="560" w:lineRule="exact"/>
        <w:ind w:firstLine="643" w:firstLineChars="200"/>
        <w:outlineLvl w:val="2"/>
        <w:rPr>
          <w:rFonts w:hint="eastAsia" w:ascii="楷体_GB2312" w:hAnsi="楷体_GB2312" w:eastAsia="楷体_GB2312" w:cs="楷体_GB2312"/>
          <w:b/>
          <w:bCs w:val="0"/>
          <w:color w:val="auto"/>
          <w:sz w:val="32"/>
          <w:szCs w:val="32"/>
          <w:highlight w:val="none"/>
        </w:rPr>
      </w:pPr>
      <w:bookmarkStart w:id="47" w:name="_Toc15377224"/>
      <w:r>
        <w:rPr>
          <w:rFonts w:hint="eastAsia" w:ascii="楷体_GB2312" w:hAnsi="楷体_GB2312" w:eastAsia="楷体_GB2312" w:cs="楷体_GB2312"/>
          <w:b/>
          <w:bCs w:val="0"/>
          <w:color w:val="auto"/>
          <w:sz w:val="32"/>
          <w:szCs w:val="32"/>
          <w:highlight w:val="none"/>
        </w:rPr>
        <w:t>（三）国有资产占有使用情况</w:t>
      </w:r>
      <w:bookmarkEnd w:id="47"/>
    </w:p>
    <w:p w14:paraId="5FCD385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contextualSpacing/>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截至2024年12月31日，</w:t>
      </w:r>
      <w:r>
        <w:rPr>
          <w:rFonts w:hint="eastAsia" w:ascii="仿宋_GB2312" w:hAnsi="仿宋_GB2312" w:eastAsia="仿宋_GB2312" w:cs="仿宋_GB2312"/>
          <w:color w:val="000000" w:themeColor="text1"/>
          <w:sz w:val="32"/>
          <w:szCs w:val="32"/>
          <w:lang w:eastAsia="zh-CN"/>
          <w14:textFill>
            <w14:solidFill>
              <w14:schemeClr w14:val="tx1"/>
            </w14:solidFill>
          </w14:textFill>
        </w:rPr>
        <w:t>我局</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共有车辆</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辆，其中：主要负责人用车</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辆、机要通信用车</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辆、应急保障用车</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辆、其他用车</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辆，我局车辆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全部为应急保障用车。单价100万元以上专用设备0台（套）。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截</w:t>
      </w:r>
      <w:r>
        <w:rPr>
          <w:rFonts w:hint="eastAsia" w:ascii="仿宋_GB2312" w:hAnsi="仿宋_GB2312" w:eastAsia="仿宋_GB2312" w:cs="仿宋_GB2312"/>
          <w:color w:val="000000"/>
          <w:kern w:val="0"/>
          <w:sz w:val="32"/>
          <w:szCs w:val="32"/>
          <w:lang w:val="en-US" w:eastAsia="zh-CN"/>
        </w:rPr>
        <w:t>至2024年12月31日，我单位资产总额（账面净值，下同）4005.11万元，较上年增长54.01%。增长主要原因为在建工程3164.85万元，转为固定资产。负债总额131.06万元,较上年增加127.75万元。净资产3874.04万元,较上年增长1278.36万元，增长49.24%。</w:t>
      </w:r>
    </w:p>
    <w:p w14:paraId="186B30F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contextualSpacing/>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房屋和构筑物3154.30万元，占资产的78.75%；设备397.76万元，占9.93%（其中，车辆0.00万元，占0.00%，单价100万（含）以上（不含车辆）设备0.00万元，占0.00%）；文物和陈列品0.00万元，占0.00%；图书和档案0.00万元,占0.00%；家具和用具103.43万元，占2.51%；特种动植物0.00万元，占0.00%。 无形资产345.66万元，占资产的8.63%。 </w:t>
      </w:r>
    </w:p>
    <w:p w14:paraId="7C1276C5">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240" w:lineRule="auto"/>
        <w:ind w:firstLine="643" w:firstLineChars="200"/>
        <w:contextualSpacing/>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sz w:val="32"/>
          <w:szCs w:val="32"/>
          <w:shd w:val="clear" w:fill="FFFFFF"/>
        </w:rPr>
        <w:t>由养老保险机构发放养老金的退休人员</w:t>
      </w:r>
      <w:r>
        <w:rPr>
          <w:rFonts w:hint="eastAsia" w:ascii="楷体_GB2312" w:hAnsi="楷体_GB2312" w:eastAsia="楷体_GB2312" w:cs="楷体_GB2312"/>
          <w:b/>
          <w:bCs/>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                                           </w:t>
      </w:r>
    </w:p>
    <w:p w14:paraId="0FCF5374">
      <w:pPr>
        <w:pStyle w:val="1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spacing w:before="100" w:beforeAutospacing="0" w:after="100" w:afterAutospacing="0" w:line="560" w:lineRule="exact"/>
        <w:ind w:right="75" w:rightChars="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截至2024年12月31日，本单位由养老保险机构发放养老金的退休人员</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人，较上年新增1人。</w:t>
      </w:r>
    </w:p>
    <w:p w14:paraId="5D7314CB">
      <w:pPr>
        <w:pStyle w:val="1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spacing w:before="100" w:beforeAutospacing="0" w:after="100" w:afterAutospacing="0" w:line="560" w:lineRule="exact"/>
        <w:ind w:right="75" w:rightChars="0"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五</w:t>
      </w:r>
      <w:r>
        <w:rPr>
          <w:rFonts w:hint="eastAsia" w:ascii="楷体_GB2312" w:hAnsi="楷体_GB2312" w:eastAsia="楷体_GB2312" w:cs="楷体_GB2312"/>
          <w:b/>
          <w:sz w:val="32"/>
          <w:szCs w:val="32"/>
        </w:rPr>
        <w:t>）预算绩效管理情况</w:t>
      </w:r>
    </w:p>
    <w:p w14:paraId="28549F7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w:t>
      </w:r>
      <w:r>
        <w:rPr>
          <w:rFonts w:hint="eastAsia" w:ascii="仿宋_GB2312" w:hAnsi="仿宋_GB2312" w:eastAsia="仿宋_GB2312" w:cs="仿宋_GB2312"/>
          <w:color w:val="000000"/>
          <w:sz w:val="32"/>
          <w:szCs w:val="32"/>
          <w:lang w:eastAsia="zh-CN"/>
        </w:rPr>
        <w:t>我</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rPr>
        <w:t>在年初预算编制阶段，组织对⑴</w:t>
      </w:r>
      <w:r>
        <w:rPr>
          <w:rFonts w:hint="eastAsia" w:ascii="仿宋_GB2312" w:hAnsi="仿宋_GB2312" w:eastAsia="仿宋_GB2312" w:cs="仿宋_GB2312"/>
          <w:color w:val="000000"/>
          <w:kern w:val="0"/>
          <w:sz w:val="32"/>
          <w:szCs w:val="32"/>
        </w:rPr>
        <w:t>红原县政务服务中心建设监理服务采购项目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sz w:val="32"/>
          <w:szCs w:val="32"/>
        </w:rPr>
        <w:t>⑵</w:t>
      </w:r>
      <w:r>
        <w:rPr>
          <w:rFonts w:hint="eastAsia" w:ascii="仿宋_GB2312" w:hAnsi="仿宋_GB2312" w:eastAsia="仿宋_GB2312" w:cs="仿宋_GB2312"/>
          <w:color w:val="000000"/>
          <w:kern w:val="0"/>
          <w:sz w:val="32"/>
          <w:szCs w:val="32"/>
        </w:rPr>
        <w:t>红原县政务服务中心及人力资源市场建设项目</w:t>
      </w:r>
      <w:r>
        <w:rPr>
          <w:rFonts w:hint="eastAsia" w:ascii="仿宋_GB2312" w:hAnsi="仿宋_GB2312" w:eastAsia="仿宋_GB2312" w:cs="仿宋_GB2312"/>
          <w:color w:val="000000"/>
          <w:kern w:val="0"/>
          <w:sz w:val="32"/>
          <w:szCs w:val="32"/>
          <w:lang w:eastAsia="zh-CN"/>
        </w:rPr>
        <w:t>；⑶</w:t>
      </w:r>
      <w:r>
        <w:rPr>
          <w:rFonts w:hint="eastAsia" w:ascii="仿宋_GB2312" w:hAnsi="仿宋_GB2312" w:eastAsia="仿宋_GB2312" w:cs="仿宋_GB2312"/>
          <w:color w:val="000000"/>
          <w:kern w:val="0"/>
          <w:sz w:val="32"/>
          <w:szCs w:val="32"/>
        </w:rPr>
        <w:t>天府通办APP红原分站点“红e办”建设项目</w:t>
      </w:r>
      <w:r>
        <w:rPr>
          <w:rFonts w:hint="eastAsia" w:ascii="仿宋_GB2312" w:hAnsi="仿宋_GB2312" w:eastAsia="仿宋_GB2312" w:cs="仿宋_GB2312"/>
          <w:color w:val="000000"/>
          <w:kern w:val="0"/>
          <w:sz w:val="32"/>
          <w:szCs w:val="32"/>
          <w:lang w:eastAsia="zh-CN"/>
        </w:rPr>
        <w:t>；⑷</w:t>
      </w:r>
      <w:r>
        <w:rPr>
          <w:rFonts w:hint="eastAsia" w:ascii="仿宋_GB2312" w:hAnsi="仿宋_GB2312" w:eastAsia="仿宋_GB2312" w:cs="仿宋_GB2312"/>
          <w:color w:val="000000"/>
          <w:kern w:val="0"/>
          <w:sz w:val="32"/>
          <w:szCs w:val="32"/>
        </w:rPr>
        <w:t>专项办公费</w:t>
      </w:r>
      <w:r>
        <w:rPr>
          <w:rFonts w:hint="eastAsia" w:ascii="仿宋_GB2312" w:hAnsi="仿宋_GB2312" w:eastAsia="仿宋_GB2312" w:cs="仿宋_GB2312"/>
          <w:color w:val="000000"/>
          <w:kern w:val="0"/>
          <w:sz w:val="32"/>
          <w:szCs w:val="32"/>
          <w:lang w:eastAsia="zh-CN"/>
        </w:rPr>
        <w:t>；⑸</w:t>
      </w:r>
      <w:r>
        <w:rPr>
          <w:rFonts w:hint="eastAsia" w:ascii="仿宋_GB2312" w:hAnsi="仿宋_GB2312" w:eastAsia="仿宋_GB2312" w:cs="仿宋_GB2312"/>
          <w:color w:val="000000"/>
          <w:kern w:val="0"/>
          <w:sz w:val="32"/>
          <w:szCs w:val="32"/>
        </w:rPr>
        <w:t>红原县政务服务中心装饰装修工程项目</w:t>
      </w:r>
      <w:r>
        <w:rPr>
          <w:rFonts w:hint="eastAsia" w:ascii="仿宋_GB2312" w:hAnsi="仿宋_GB2312" w:eastAsia="仿宋_GB2312" w:cs="仿宋_GB2312"/>
          <w:color w:val="000000"/>
          <w:kern w:val="0"/>
          <w:sz w:val="32"/>
          <w:szCs w:val="32"/>
          <w:lang w:eastAsia="zh-CN"/>
        </w:rPr>
        <w:t>；⑹</w:t>
      </w:r>
      <w:r>
        <w:rPr>
          <w:rFonts w:hint="eastAsia" w:ascii="仿宋_GB2312" w:hAnsi="仿宋_GB2312" w:eastAsia="仿宋_GB2312" w:cs="仿宋_GB2312"/>
          <w:color w:val="000000"/>
          <w:kern w:val="0"/>
          <w:sz w:val="32"/>
          <w:szCs w:val="32"/>
        </w:rPr>
        <w:t>红原县政务服务中心信息化建设及设备采购项目</w:t>
      </w:r>
      <w:r>
        <w:rPr>
          <w:rFonts w:hint="eastAsia" w:ascii="仿宋_GB2312" w:hAnsi="仿宋_GB2312" w:eastAsia="仿宋_GB2312" w:cs="仿宋_GB2312"/>
          <w:color w:val="000000"/>
          <w:kern w:val="0"/>
          <w:sz w:val="32"/>
          <w:szCs w:val="32"/>
          <w:lang w:eastAsia="zh-CN"/>
        </w:rPr>
        <w:t>；⑺</w:t>
      </w:r>
      <w:r>
        <w:rPr>
          <w:rFonts w:hint="eastAsia" w:ascii="仿宋_GB2312" w:hAnsi="仿宋_GB2312" w:eastAsia="仿宋_GB2312" w:cs="仿宋_GB2312"/>
          <w:color w:val="000000"/>
          <w:kern w:val="0"/>
          <w:sz w:val="32"/>
          <w:szCs w:val="32"/>
        </w:rPr>
        <w:t>红原县行政审批局更新政务服务中心工作人员服装采购质保金（成都南山尼博服装有限公司）</w:t>
      </w:r>
      <w:r>
        <w:rPr>
          <w:rFonts w:hint="eastAsia" w:ascii="仿宋_GB2312" w:hAnsi="仿宋_GB2312" w:eastAsia="仿宋_GB2312" w:cs="仿宋_GB2312"/>
          <w:color w:val="000000"/>
          <w:kern w:val="0"/>
          <w:sz w:val="32"/>
          <w:szCs w:val="32"/>
          <w:lang w:eastAsia="zh-CN"/>
        </w:rPr>
        <w:t>；⑻</w:t>
      </w:r>
      <w:r>
        <w:rPr>
          <w:rFonts w:hint="eastAsia" w:ascii="仿宋_GB2312" w:hAnsi="仿宋_GB2312" w:eastAsia="仿宋_GB2312" w:cs="仿宋_GB2312"/>
          <w:color w:val="000000"/>
          <w:kern w:val="0"/>
          <w:sz w:val="32"/>
          <w:szCs w:val="32"/>
        </w:rPr>
        <w:t>县会议中心会议室用桌套资金</w:t>
      </w:r>
      <w:r>
        <w:rPr>
          <w:rFonts w:hint="eastAsia" w:ascii="仿宋_GB2312" w:hAnsi="仿宋_GB2312" w:eastAsia="仿宋_GB2312" w:cs="仿宋_GB2312"/>
          <w:color w:val="000000"/>
          <w:kern w:val="0"/>
          <w:sz w:val="32"/>
          <w:szCs w:val="32"/>
          <w:lang w:eastAsia="zh-CN"/>
        </w:rPr>
        <w:t>；⑼</w:t>
      </w:r>
      <w:r>
        <w:rPr>
          <w:rFonts w:hint="eastAsia" w:ascii="仿宋_GB2312" w:hAnsi="仿宋_GB2312" w:eastAsia="仿宋_GB2312" w:cs="仿宋_GB2312"/>
          <w:color w:val="000000"/>
          <w:kern w:val="0"/>
          <w:sz w:val="32"/>
          <w:szCs w:val="32"/>
        </w:rPr>
        <w:t>红原县行政审批局政务服务“好差评”系统采购项目履约保证金</w:t>
      </w:r>
      <w:r>
        <w:rPr>
          <w:rFonts w:hint="eastAsia" w:ascii="仿宋_GB2312" w:hAnsi="仿宋_GB2312" w:eastAsia="仿宋_GB2312" w:cs="仿宋_GB2312"/>
          <w:color w:val="000000"/>
          <w:kern w:val="0"/>
          <w:sz w:val="32"/>
          <w:szCs w:val="32"/>
          <w:lang w:eastAsia="zh-CN"/>
        </w:rPr>
        <w:t>；⑽</w:t>
      </w:r>
      <w:r>
        <w:rPr>
          <w:rFonts w:hint="eastAsia" w:ascii="仿宋_GB2312" w:hAnsi="仿宋_GB2312" w:eastAsia="仿宋_GB2312" w:cs="仿宋_GB2312"/>
          <w:color w:val="000000"/>
          <w:kern w:val="0"/>
          <w:sz w:val="32"/>
          <w:szCs w:val="32"/>
        </w:rPr>
        <w:t>政务服务和公共资源交易中心能力提升</w:t>
      </w:r>
      <w:r>
        <w:rPr>
          <w:rFonts w:hint="eastAsia" w:ascii="仿宋_GB2312" w:hAnsi="仿宋_GB2312" w:eastAsia="仿宋_GB2312" w:cs="仿宋_GB2312"/>
          <w:color w:val="000000"/>
          <w:kern w:val="0"/>
          <w:sz w:val="32"/>
          <w:szCs w:val="32"/>
          <w:lang w:eastAsia="zh-CN"/>
        </w:rPr>
        <w:t>；⑾</w:t>
      </w:r>
      <w:r>
        <w:rPr>
          <w:rFonts w:hint="eastAsia" w:ascii="仿宋_GB2312" w:hAnsi="仿宋_GB2312" w:eastAsia="仿宋_GB2312" w:cs="仿宋_GB2312"/>
          <w:color w:val="000000"/>
          <w:kern w:val="0"/>
          <w:sz w:val="32"/>
          <w:szCs w:val="32"/>
        </w:rPr>
        <w:t>郎措同志建房补贴</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sz w:val="32"/>
          <w:szCs w:val="32"/>
        </w:rPr>
        <w:t>个专项预算开展了预算事前绩效评估，对</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个项目编制了绩效目标，预算执行过程中，选取</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个项目开展绩效监控，年终执行完毕后，对</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个项目开展了绩效目标完成情况自评。</w:t>
      </w:r>
    </w:p>
    <w:p w14:paraId="0E78501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我</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rPr>
        <w:t>按要求对2024年部门整体支出开展绩效自评，从评价情况来看本单位</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个项目完成情况良好，严格按照本单位制定的目标绩效管理制度来开展绩效管理工作，项目资金为专项经费的，全部用于专项工</w:t>
      </w:r>
      <w:r>
        <w:rPr>
          <w:rFonts w:hint="eastAsia" w:ascii="仿宋_GB2312" w:hAnsi="仿宋_GB2312" w:eastAsia="仿宋_GB2312" w:cs="仿宋_GB2312"/>
          <w:color w:val="000000"/>
          <w:sz w:val="32"/>
          <w:szCs w:val="32"/>
          <w:lang w:val="en-US" w:eastAsia="zh-CN"/>
        </w:rPr>
        <w:t>作开展。</w:t>
      </w:r>
      <w:r>
        <w:rPr>
          <w:rFonts w:hint="eastAsia" w:ascii="仿宋_GB2312" w:hAnsi="仿宋_GB2312" w:eastAsia="仿宋_GB2312" w:cs="仿宋_GB2312"/>
          <w:color w:val="000000"/>
          <w:sz w:val="32"/>
          <w:szCs w:val="32"/>
        </w:rPr>
        <w:t>2024年</w:t>
      </w:r>
      <w:r>
        <w:rPr>
          <w:rFonts w:hint="eastAsia" w:ascii="仿宋_GB2312" w:hAnsi="仿宋_GB2312" w:eastAsia="仿宋_GB2312" w:cs="仿宋_GB2312"/>
          <w:color w:val="000000"/>
          <w:sz w:val="32"/>
          <w:szCs w:val="32"/>
          <w:shd w:val="clear" w:fill="FFFFFF"/>
        </w:rPr>
        <w:t>本部门未组织开展项目支出事后绩效评价。</w:t>
      </w:r>
    </w:p>
    <w:p w14:paraId="22B4CC7D">
      <w:pPr>
        <w:pStyle w:val="1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right="0" w:rightChars="0" w:firstLine="643"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项目绩效目标完成情况</w:t>
      </w:r>
    </w:p>
    <w:p w14:paraId="60243FD7">
      <w:pPr>
        <w:pStyle w:val="1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我</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rPr>
        <w:t>在2024年度部门决算中反映：⑴</w:t>
      </w:r>
      <w:r>
        <w:rPr>
          <w:rFonts w:hint="eastAsia" w:ascii="仿宋_GB2312" w:hAnsi="仿宋_GB2312" w:eastAsia="仿宋_GB2312" w:cs="仿宋_GB2312"/>
          <w:color w:val="000000"/>
          <w:kern w:val="0"/>
          <w:sz w:val="32"/>
          <w:szCs w:val="32"/>
        </w:rPr>
        <w:t>红原县政务服务中心建设监理服务采购项目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sz w:val="32"/>
          <w:szCs w:val="32"/>
        </w:rPr>
        <w:t>⑵</w:t>
      </w:r>
      <w:r>
        <w:rPr>
          <w:rFonts w:hint="eastAsia" w:ascii="仿宋_GB2312" w:hAnsi="仿宋_GB2312" w:eastAsia="仿宋_GB2312" w:cs="仿宋_GB2312"/>
          <w:color w:val="000000"/>
          <w:kern w:val="0"/>
          <w:sz w:val="32"/>
          <w:szCs w:val="32"/>
        </w:rPr>
        <w:t>红原县政务服务中心及人力资源市场建设项目</w:t>
      </w:r>
      <w:r>
        <w:rPr>
          <w:rFonts w:hint="eastAsia" w:ascii="仿宋_GB2312" w:hAnsi="仿宋_GB2312" w:eastAsia="仿宋_GB2312" w:cs="仿宋_GB2312"/>
          <w:color w:val="000000"/>
          <w:kern w:val="0"/>
          <w:sz w:val="32"/>
          <w:szCs w:val="32"/>
          <w:lang w:eastAsia="zh-CN"/>
        </w:rPr>
        <w:t>；⑶</w:t>
      </w:r>
      <w:r>
        <w:rPr>
          <w:rFonts w:hint="eastAsia" w:ascii="仿宋_GB2312" w:hAnsi="仿宋_GB2312" w:eastAsia="仿宋_GB2312" w:cs="仿宋_GB2312"/>
          <w:color w:val="000000"/>
          <w:kern w:val="0"/>
          <w:sz w:val="32"/>
          <w:szCs w:val="32"/>
        </w:rPr>
        <w:t>天府通办APP红原分站点“红e办”建设项目</w:t>
      </w:r>
      <w:r>
        <w:rPr>
          <w:rFonts w:hint="eastAsia" w:ascii="仿宋_GB2312" w:hAnsi="仿宋_GB2312" w:eastAsia="仿宋_GB2312" w:cs="仿宋_GB2312"/>
          <w:color w:val="000000"/>
          <w:kern w:val="0"/>
          <w:sz w:val="32"/>
          <w:szCs w:val="32"/>
          <w:lang w:eastAsia="zh-CN"/>
        </w:rPr>
        <w:t>；⑷</w:t>
      </w:r>
      <w:r>
        <w:rPr>
          <w:rFonts w:hint="eastAsia" w:ascii="仿宋_GB2312" w:hAnsi="仿宋_GB2312" w:eastAsia="仿宋_GB2312" w:cs="仿宋_GB2312"/>
          <w:color w:val="000000"/>
          <w:kern w:val="0"/>
          <w:sz w:val="32"/>
          <w:szCs w:val="32"/>
        </w:rPr>
        <w:t>专项办公费</w:t>
      </w:r>
      <w:r>
        <w:rPr>
          <w:rFonts w:hint="eastAsia" w:ascii="仿宋_GB2312" w:hAnsi="仿宋_GB2312" w:eastAsia="仿宋_GB2312" w:cs="仿宋_GB2312"/>
          <w:color w:val="000000"/>
          <w:kern w:val="0"/>
          <w:sz w:val="32"/>
          <w:szCs w:val="32"/>
          <w:lang w:eastAsia="zh-CN"/>
        </w:rPr>
        <w:t>；⑸</w:t>
      </w:r>
      <w:r>
        <w:rPr>
          <w:rFonts w:hint="eastAsia" w:ascii="仿宋_GB2312" w:hAnsi="仿宋_GB2312" w:eastAsia="仿宋_GB2312" w:cs="仿宋_GB2312"/>
          <w:color w:val="000000"/>
          <w:kern w:val="0"/>
          <w:sz w:val="32"/>
          <w:szCs w:val="32"/>
        </w:rPr>
        <w:t>红原县政务服务中心装饰装修工程项目</w:t>
      </w:r>
      <w:r>
        <w:rPr>
          <w:rFonts w:hint="eastAsia" w:ascii="仿宋_GB2312" w:hAnsi="仿宋_GB2312" w:eastAsia="仿宋_GB2312" w:cs="仿宋_GB2312"/>
          <w:color w:val="000000"/>
          <w:kern w:val="0"/>
          <w:sz w:val="32"/>
          <w:szCs w:val="32"/>
          <w:lang w:eastAsia="zh-CN"/>
        </w:rPr>
        <w:t>；⑹</w:t>
      </w:r>
      <w:r>
        <w:rPr>
          <w:rFonts w:hint="eastAsia" w:ascii="仿宋_GB2312" w:hAnsi="仿宋_GB2312" w:eastAsia="仿宋_GB2312" w:cs="仿宋_GB2312"/>
          <w:color w:val="000000"/>
          <w:kern w:val="0"/>
          <w:sz w:val="32"/>
          <w:szCs w:val="32"/>
        </w:rPr>
        <w:t>红原县政务服务中心信息化建设及设备采购项目</w:t>
      </w:r>
      <w:r>
        <w:rPr>
          <w:rFonts w:hint="eastAsia" w:ascii="仿宋_GB2312" w:hAnsi="仿宋_GB2312" w:eastAsia="仿宋_GB2312" w:cs="仿宋_GB2312"/>
          <w:color w:val="000000"/>
          <w:kern w:val="0"/>
          <w:sz w:val="32"/>
          <w:szCs w:val="32"/>
          <w:lang w:eastAsia="zh-CN"/>
        </w:rPr>
        <w:t>；⑺</w:t>
      </w:r>
      <w:r>
        <w:rPr>
          <w:rFonts w:hint="eastAsia" w:ascii="仿宋_GB2312" w:hAnsi="仿宋_GB2312" w:eastAsia="仿宋_GB2312" w:cs="仿宋_GB2312"/>
          <w:color w:val="000000"/>
          <w:kern w:val="0"/>
          <w:sz w:val="32"/>
          <w:szCs w:val="32"/>
        </w:rPr>
        <w:t>红原县行政审批局更新政务服务中心工作人员服装采购质保金（成都南山尼博服装有限公司）</w:t>
      </w:r>
      <w:r>
        <w:rPr>
          <w:rFonts w:hint="eastAsia" w:ascii="仿宋_GB2312" w:hAnsi="仿宋_GB2312" w:eastAsia="仿宋_GB2312" w:cs="仿宋_GB2312"/>
          <w:color w:val="000000"/>
          <w:kern w:val="0"/>
          <w:sz w:val="32"/>
          <w:szCs w:val="32"/>
          <w:lang w:eastAsia="zh-CN"/>
        </w:rPr>
        <w:t>；⑻</w:t>
      </w:r>
      <w:r>
        <w:rPr>
          <w:rFonts w:hint="eastAsia" w:ascii="仿宋_GB2312" w:hAnsi="仿宋_GB2312" w:eastAsia="仿宋_GB2312" w:cs="仿宋_GB2312"/>
          <w:color w:val="000000"/>
          <w:kern w:val="0"/>
          <w:sz w:val="32"/>
          <w:szCs w:val="32"/>
        </w:rPr>
        <w:t>县会议中心会议室用桌套资金</w:t>
      </w:r>
      <w:r>
        <w:rPr>
          <w:rFonts w:hint="eastAsia" w:ascii="仿宋_GB2312" w:hAnsi="仿宋_GB2312" w:eastAsia="仿宋_GB2312" w:cs="仿宋_GB2312"/>
          <w:color w:val="000000"/>
          <w:kern w:val="0"/>
          <w:sz w:val="32"/>
          <w:szCs w:val="32"/>
          <w:lang w:eastAsia="zh-CN"/>
        </w:rPr>
        <w:t>；⑼</w:t>
      </w:r>
      <w:r>
        <w:rPr>
          <w:rFonts w:hint="eastAsia" w:ascii="仿宋_GB2312" w:hAnsi="仿宋_GB2312" w:eastAsia="仿宋_GB2312" w:cs="仿宋_GB2312"/>
          <w:color w:val="000000"/>
          <w:kern w:val="0"/>
          <w:sz w:val="32"/>
          <w:szCs w:val="32"/>
        </w:rPr>
        <w:t>红原县行政审批局政务服务“好差评”系统采购项目履约保证金</w:t>
      </w:r>
      <w:r>
        <w:rPr>
          <w:rFonts w:hint="eastAsia" w:ascii="仿宋_GB2312" w:hAnsi="仿宋_GB2312" w:eastAsia="仿宋_GB2312" w:cs="仿宋_GB2312"/>
          <w:color w:val="000000"/>
          <w:kern w:val="0"/>
          <w:sz w:val="32"/>
          <w:szCs w:val="32"/>
          <w:lang w:eastAsia="zh-CN"/>
        </w:rPr>
        <w:t>；⑽</w:t>
      </w:r>
      <w:r>
        <w:rPr>
          <w:rFonts w:hint="eastAsia" w:ascii="仿宋_GB2312" w:hAnsi="仿宋_GB2312" w:eastAsia="仿宋_GB2312" w:cs="仿宋_GB2312"/>
          <w:color w:val="000000"/>
          <w:kern w:val="0"/>
          <w:sz w:val="32"/>
          <w:szCs w:val="32"/>
        </w:rPr>
        <w:t>政务服务和公共资源交易中心能力提升</w:t>
      </w:r>
      <w:r>
        <w:rPr>
          <w:rFonts w:hint="eastAsia" w:ascii="仿宋_GB2312" w:hAnsi="仿宋_GB2312" w:eastAsia="仿宋_GB2312" w:cs="仿宋_GB2312"/>
          <w:color w:val="000000"/>
          <w:kern w:val="0"/>
          <w:sz w:val="32"/>
          <w:szCs w:val="32"/>
          <w:lang w:eastAsia="zh-CN"/>
        </w:rPr>
        <w:t>；⑾</w:t>
      </w:r>
      <w:r>
        <w:rPr>
          <w:rFonts w:hint="eastAsia" w:ascii="仿宋_GB2312" w:hAnsi="仿宋_GB2312" w:eastAsia="仿宋_GB2312" w:cs="仿宋_GB2312"/>
          <w:color w:val="000000"/>
          <w:kern w:val="0"/>
          <w:sz w:val="32"/>
          <w:szCs w:val="32"/>
        </w:rPr>
        <w:t>郎措同志建房补贴</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个项目绩效目标实际完成情况。</w:t>
      </w:r>
    </w:p>
    <w:p w14:paraId="726F3C33">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kern w:val="0"/>
          <w:sz w:val="32"/>
          <w:szCs w:val="32"/>
        </w:rPr>
        <w:t>红原县政务服务中心建设监理服务采购项目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6.92</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sz w:val="32"/>
          <w:szCs w:val="32"/>
          <w:lang w:val="en-US" w:eastAsia="zh-CN"/>
        </w:rPr>
        <w:t>2.91</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42.06</w:t>
      </w:r>
      <w:r>
        <w:rPr>
          <w:rFonts w:hint="eastAsia" w:ascii="仿宋_GB2312" w:hAnsi="仿宋_GB2312" w:eastAsia="仿宋_GB2312" w:cs="仿宋_GB2312"/>
          <w:color w:val="000000"/>
          <w:sz w:val="32"/>
          <w:szCs w:val="32"/>
        </w:rPr>
        <w:t>%。通过项目实施，</w:t>
      </w:r>
      <w:r>
        <w:rPr>
          <w:rFonts w:hint="eastAsia" w:ascii="仿宋_GB2312" w:hAnsi="仿宋_GB2312" w:eastAsia="仿宋_GB2312" w:cs="仿宋_GB2312"/>
          <w:color w:val="000000"/>
          <w:kern w:val="0"/>
          <w:sz w:val="32"/>
          <w:szCs w:val="32"/>
        </w:rPr>
        <w:t>为本项目提供监理服务 质量、服务、安全、时限等要求</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满足相关行业要求及标准</w:t>
      </w:r>
      <w:r>
        <w:rPr>
          <w:rFonts w:hint="eastAsia" w:ascii="仿宋_GB2312" w:hAnsi="仿宋_GB2312" w:eastAsia="仿宋_GB2312" w:cs="仿宋_GB2312"/>
          <w:color w:val="000000"/>
          <w:sz w:val="32"/>
          <w:szCs w:val="32"/>
        </w:rPr>
        <w:t>。发现的主要问题：预算编制还不够精准，下一步将根据</w:t>
      </w:r>
      <w:r>
        <w:rPr>
          <w:rFonts w:hint="eastAsia" w:ascii="仿宋_GB2312" w:hAnsi="仿宋_GB2312" w:eastAsia="仿宋_GB2312" w:cs="仿宋_GB2312"/>
          <w:color w:val="000000"/>
          <w:sz w:val="32"/>
          <w:szCs w:val="32"/>
          <w:lang w:val="en-US" w:eastAsia="zh-CN"/>
        </w:rPr>
        <w:t>合同约定</w:t>
      </w:r>
      <w:r>
        <w:rPr>
          <w:rFonts w:hint="eastAsia" w:ascii="仿宋_GB2312" w:hAnsi="仿宋_GB2312" w:eastAsia="仿宋_GB2312" w:cs="仿宋_GB2312"/>
          <w:color w:val="000000"/>
          <w:sz w:val="32"/>
          <w:szCs w:val="32"/>
        </w:rPr>
        <w:t>执行情况结合实际细化预算编制，提高预算编制的精准性。</w:t>
      </w:r>
    </w:p>
    <w:p w14:paraId="6C06C62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kern w:val="0"/>
          <w:sz w:val="32"/>
          <w:szCs w:val="32"/>
        </w:rPr>
        <w:t>红原县政务服务中心及人力资源市场建设项目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1048.87</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rPr>
        <w:t>696.58</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66.41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实现政务服务大厅规范化建设，促进群众办事只进一扇门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sz w:val="32"/>
          <w:szCs w:val="32"/>
        </w:rPr>
        <w:t>政务大厅全年服务群众20000余人次。发现的主要问题：预算编制还不够精准，下一步将根据</w:t>
      </w:r>
      <w:r>
        <w:rPr>
          <w:rFonts w:hint="eastAsia" w:ascii="仿宋_GB2312" w:hAnsi="仿宋_GB2312" w:eastAsia="仿宋_GB2312" w:cs="仿宋_GB2312"/>
          <w:color w:val="000000"/>
          <w:sz w:val="32"/>
          <w:szCs w:val="32"/>
          <w:lang w:val="en-US" w:eastAsia="zh-CN"/>
        </w:rPr>
        <w:t>合同约定</w:t>
      </w:r>
      <w:r>
        <w:rPr>
          <w:rFonts w:hint="eastAsia" w:ascii="仿宋_GB2312" w:hAnsi="仿宋_GB2312" w:eastAsia="仿宋_GB2312" w:cs="仿宋_GB2312"/>
          <w:color w:val="000000"/>
          <w:sz w:val="32"/>
          <w:szCs w:val="32"/>
        </w:rPr>
        <w:t>执行情况结合实际细化预算编制，提高预算编制的精准性。</w:t>
      </w:r>
    </w:p>
    <w:p w14:paraId="478DA269">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天府通办APP红原分站点“红e办”建设项目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14.72</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7.68</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52.17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保障天府通办APP红原分站点“红e办”建设项目运行，以创优营商环境为目标,着力为全县百姓提供更为优质的政务服务，为全县</w:t>
      </w:r>
      <w:r>
        <w:rPr>
          <w:rFonts w:hint="eastAsia" w:ascii="仿宋_GB2312" w:hAnsi="仿宋_GB2312" w:eastAsia="仿宋_GB2312" w:cs="仿宋_GB2312"/>
          <w:color w:val="000000"/>
          <w:kern w:val="0"/>
          <w:sz w:val="32"/>
          <w:szCs w:val="32"/>
          <w:lang w:eastAsia="zh-CN"/>
        </w:rPr>
        <w:t>乡村振兴</w:t>
      </w:r>
      <w:r>
        <w:rPr>
          <w:rFonts w:hint="eastAsia" w:ascii="仿宋_GB2312" w:hAnsi="仿宋_GB2312" w:eastAsia="仿宋_GB2312" w:cs="仿宋_GB2312"/>
          <w:color w:val="000000"/>
          <w:kern w:val="0"/>
          <w:sz w:val="32"/>
          <w:szCs w:val="32"/>
        </w:rPr>
        <w:t>夯实基础并提供重要保障</w:t>
      </w:r>
      <w:r>
        <w:rPr>
          <w:rFonts w:hint="eastAsia" w:ascii="仿宋_GB2312" w:hAnsi="仿宋_GB2312" w:eastAsia="仿宋_GB2312" w:cs="仿宋_GB2312"/>
          <w:color w:val="000000"/>
          <w:sz w:val="32"/>
          <w:szCs w:val="32"/>
        </w:rPr>
        <w:t>。发现的主要问题：预算编制还不够精准，下一步将根据</w:t>
      </w:r>
      <w:r>
        <w:rPr>
          <w:rFonts w:hint="eastAsia" w:ascii="仿宋_GB2312" w:hAnsi="仿宋_GB2312" w:eastAsia="仿宋_GB2312" w:cs="仿宋_GB2312"/>
          <w:color w:val="000000"/>
          <w:sz w:val="32"/>
          <w:szCs w:val="32"/>
          <w:lang w:val="en-US" w:eastAsia="zh-CN"/>
        </w:rPr>
        <w:t>合同约定</w:t>
      </w:r>
      <w:r>
        <w:rPr>
          <w:rFonts w:hint="eastAsia" w:ascii="仿宋_GB2312" w:hAnsi="仿宋_GB2312" w:eastAsia="仿宋_GB2312" w:cs="仿宋_GB2312"/>
          <w:color w:val="000000"/>
          <w:sz w:val="32"/>
          <w:szCs w:val="32"/>
        </w:rPr>
        <w:t>执行情况结合实际细化预算编制，提高预算编制的精准性。</w:t>
      </w:r>
    </w:p>
    <w:p w14:paraId="4249F06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专项办公费项目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65</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65</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保障政务中心大楼正常运转，保障全县政府集中采购工作开展</w:t>
      </w:r>
      <w:r>
        <w:rPr>
          <w:rFonts w:hint="eastAsia" w:ascii="仿宋_GB2312" w:hAnsi="仿宋_GB2312" w:eastAsia="仿宋_GB2312" w:cs="仿宋_GB2312"/>
          <w:color w:val="000000"/>
          <w:sz w:val="32"/>
          <w:szCs w:val="32"/>
        </w:rPr>
        <w:t>。</w:t>
      </w:r>
    </w:p>
    <w:p w14:paraId="33090A46">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红原县政务服务中心装饰装修工程项目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179.17</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140.81</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78.59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满足政务大厅日常办公与群众办事的双重需求</w:t>
      </w:r>
      <w:r>
        <w:rPr>
          <w:rFonts w:hint="eastAsia" w:ascii="仿宋_GB2312" w:hAnsi="仿宋_GB2312" w:eastAsia="仿宋_GB2312" w:cs="仿宋_GB2312"/>
          <w:color w:val="000000"/>
          <w:sz w:val="32"/>
          <w:szCs w:val="32"/>
        </w:rPr>
        <w:t>。发现的主要问题：预算编制还不够精准，下一步将根据</w:t>
      </w:r>
      <w:r>
        <w:rPr>
          <w:rFonts w:hint="eastAsia" w:ascii="仿宋_GB2312" w:hAnsi="仿宋_GB2312" w:eastAsia="仿宋_GB2312" w:cs="仿宋_GB2312"/>
          <w:color w:val="000000"/>
          <w:sz w:val="32"/>
          <w:szCs w:val="32"/>
          <w:lang w:val="en-US" w:eastAsia="zh-CN"/>
        </w:rPr>
        <w:t>合同约定</w:t>
      </w:r>
      <w:r>
        <w:rPr>
          <w:rFonts w:hint="eastAsia" w:ascii="仿宋_GB2312" w:hAnsi="仿宋_GB2312" w:eastAsia="仿宋_GB2312" w:cs="仿宋_GB2312"/>
          <w:color w:val="000000"/>
          <w:sz w:val="32"/>
          <w:szCs w:val="32"/>
        </w:rPr>
        <w:t>执行情况结合实际细化预算编制，提高预算编制的精准性。</w:t>
      </w:r>
    </w:p>
    <w:p w14:paraId="4A45AF5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红原县政务服务中心信息化建设及设备采购项目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565.35</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529.22</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93.61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满足政务大厅日常办公与群众办事的双重需求</w:t>
      </w:r>
      <w:r>
        <w:rPr>
          <w:rFonts w:hint="eastAsia" w:ascii="仿宋_GB2312" w:hAnsi="仿宋_GB2312" w:eastAsia="仿宋_GB2312" w:cs="仿宋_GB2312"/>
          <w:color w:val="000000"/>
          <w:sz w:val="32"/>
          <w:szCs w:val="32"/>
        </w:rPr>
        <w:t>。发现的主要问题：预算编制还不够精准，下一步将根据</w:t>
      </w:r>
      <w:r>
        <w:rPr>
          <w:rFonts w:hint="eastAsia" w:ascii="仿宋_GB2312" w:hAnsi="仿宋_GB2312" w:eastAsia="仿宋_GB2312" w:cs="仿宋_GB2312"/>
          <w:color w:val="000000"/>
          <w:sz w:val="32"/>
          <w:szCs w:val="32"/>
          <w:lang w:val="en-US" w:eastAsia="zh-CN"/>
        </w:rPr>
        <w:t>合同约定</w:t>
      </w:r>
      <w:r>
        <w:rPr>
          <w:rFonts w:hint="eastAsia" w:ascii="仿宋_GB2312" w:hAnsi="仿宋_GB2312" w:eastAsia="仿宋_GB2312" w:cs="仿宋_GB2312"/>
          <w:color w:val="000000"/>
          <w:sz w:val="32"/>
          <w:szCs w:val="32"/>
        </w:rPr>
        <w:t>执行情况结合实际细化预算编制，提高预算编制的精准性。</w:t>
      </w:r>
    </w:p>
    <w:p w14:paraId="44A2A657">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红原县行政审批局更新政务服务中心工作人员服装采购质保金（成都南山尼博服装有限公司）项目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1.30</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1.30</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收取质保金作为一种经济约束手段，对于保障采购质量、维护采购方权益以及促进供应商履行合同义务发挥着关键作用。</w:t>
      </w:r>
    </w:p>
    <w:p w14:paraId="077DB43E">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县会议中心会议室用桌套资金</w:t>
      </w:r>
      <w:r>
        <w:rPr>
          <w:rFonts w:hint="eastAsia" w:ascii="仿宋_GB2312" w:hAnsi="仿宋_GB2312" w:eastAsia="仿宋_GB2312" w:cs="仿宋_GB2312"/>
          <w:color w:val="000000"/>
          <w:kern w:val="0"/>
          <w:sz w:val="32"/>
          <w:szCs w:val="32"/>
          <w:lang w:val="en-US" w:eastAsia="zh-CN"/>
        </w:rPr>
        <w:t>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6.03</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6.03</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为县会议中心会议室提供高质量、适配且成本合理的桌套，满足会议中心的日常使用和形象需求。</w:t>
      </w:r>
    </w:p>
    <w:p w14:paraId="11F9ECF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红原县行政审批局政务服务“好差评”系统采购项目履约保证金项目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1.13</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1.13</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退还杭州远传新业科技股份有限公司红原县行政审批局政务服务“好差评”系统采购项目履约保证金，使商家的资金能够合理回流，有效提高资金使用效率，维护资金的正常周转。</w:t>
      </w:r>
    </w:p>
    <w:p w14:paraId="247AA0F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政务服务和公共资源交易中心能力提升项目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为切实提升红原县行政审批局政务服务和公共资源交易中心能力。着力解决红原县新政务中心大楼投入使用后相关设施设备配置不足、公共资源交易中心标准化建设不完善等问题，促进政务服务大厅和公共资源交易中心更好地履行职责、改进工作、提高办事效率。</w:t>
      </w:r>
      <w:r>
        <w:rPr>
          <w:rFonts w:hint="eastAsia" w:ascii="仿宋_GB2312" w:hAnsi="仿宋_GB2312" w:eastAsia="仿宋_GB2312" w:cs="仿宋_GB2312"/>
          <w:color w:val="000000"/>
          <w:sz w:val="32"/>
          <w:szCs w:val="32"/>
        </w:rPr>
        <w:t>发现的主要问题：预算编制还不够精准，下一步将根据执行情况结合实际细化预算编制，提高预算编制的精准性。</w:t>
      </w:r>
    </w:p>
    <w:p w14:paraId="7E2BCDE6">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郎措同志建房补贴项目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%。帮助</w:t>
      </w:r>
      <w:r>
        <w:rPr>
          <w:rFonts w:hint="eastAsia" w:ascii="仿宋_GB2312" w:hAnsi="仿宋_GB2312" w:eastAsia="仿宋_GB2312" w:cs="仿宋_GB2312"/>
          <w:color w:val="000000"/>
          <w:kern w:val="0"/>
          <w:sz w:val="32"/>
          <w:szCs w:val="32"/>
        </w:rPr>
        <w:t>退休人员解决住房问题，提高生活质量，是政府对退休人员过</w:t>
      </w:r>
      <w:r>
        <w:rPr>
          <w:rFonts w:hint="eastAsia" w:ascii="仿宋_GB2312" w:hAnsi="仿宋_GB2312" w:eastAsia="仿宋_GB2312" w:cs="仿宋_GB2312"/>
          <w:color w:val="000000"/>
          <w:kern w:val="0"/>
          <w:sz w:val="32"/>
          <w:szCs w:val="32"/>
          <w:lang w:val="en-US" w:eastAsia="zh-CN"/>
        </w:rPr>
        <w:t>去</w:t>
      </w:r>
      <w:r>
        <w:rPr>
          <w:rFonts w:hint="eastAsia" w:ascii="仿宋_GB2312" w:hAnsi="仿宋_GB2312" w:eastAsia="仿宋_GB2312" w:cs="仿宋_GB2312"/>
          <w:color w:val="000000"/>
          <w:kern w:val="0"/>
          <w:sz w:val="32"/>
          <w:szCs w:val="32"/>
        </w:rPr>
        <w:t>工作贡献的认可与回馈，体现了对老年群体的关爱，有助于增强退休人员的幸福感和归属感，也有利于弘扬尊老、爱老的社会风尚，促进社会和谐稳定。完成对退休人员建房补贴发放，增强了退休人员的幸福感和归属感。</w:t>
      </w:r>
    </w:p>
    <w:p w14:paraId="43EDC281">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039B01F8">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41098020">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01448FC0">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2BB19C43">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5B5F659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1E2E9A5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476C9CA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6E96A9F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608DD41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4EE5A24C">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sectPr>
          <w:footerReference r:id="rId7" w:type="first"/>
          <w:footerReference r:id="rId6" w:type="default"/>
          <w:pgSz w:w="11906" w:h="16838"/>
          <w:pgMar w:top="1440" w:right="1800" w:bottom="1440" w:left="1800" w:header="851" w:footer="992" w:gutter="0"/>
          <w:pgNumType w:fmt="numberInDash"/>
          <w:cols w:space="425" w:num="1"/>
          <w:titlePg/>
          <w:docGrid w:type="lines" w:linePitch="312" w:charSpace="0"/>
        </w:sectPr>
      </w:pPr>
    </w:p>
    <w:tbl>
      <w:tblPr>
        <w:tblStyle w:val="20"/>
        <w:tblW w:w="14660" w:type="dxa"/>
        <w:tblInd w:w="93" w:type="dxa"/>
        <w:tblLayout w:type="autofit"/>
        <w:tblCellMar>
          <w:top w:w="0" w:type="dxa"/>
          <w:left w:w="108" w:type="dxa"/>
          <w:bottom w:w="0" w:type="dxa"/>
          <w:right w:w="108" w:type="dxa"/>
        </w:tblCellMar>
      </w:tblPr>
      <w:tblGrid>
        <w:gridCol w:w="684"/>
        <w:gridCol w:w="1713"/>
        <w:gridCol w:w="1616"/>
        <w:gridCol w:w="2191"/>
        <w:gridCol w:w="396"/>
        <w:gridCol w:w="489"/>
        <w:gridCol w:w="990"/>
        <w:gridCol w:w="1449"/>
        <w:gridCol w:w="1088"/>
        <w:gridCol w:w="506"/>
        <w:gridCol w:w="486"/>
        <w:gridCol w:w="3052"/>
      </w:tblGrid>
      <w:tr w14:paraId="5238745D">
        <w:tblPrEx>
          <w:tblCellMar>
            <w:top w:w="0" w:type="dxa"/>
            <w:left w:w="108" w:type="dxa"/>
            <w:bottom w:w="0" w:type="dxa"/>
            <w:right w:w="108" w:type="dxa"/>
          </w:tblCellMar>
        </w:tblPrEx>
        <w:trPr>
          <w:trHeight w:val="90" w:hRule="atLeast"/>
        </w:trPr>
        <w:tc>
          <w:tcPr>
            <w:tcW w:w="146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B2F6064">
            <w:pPr>
              <w:pageBreakBefore w:val="0"/>
              <w:widowControl/>
              <w:kinsoku/>
              <w:wordWrap/>
              <w:overflowPunct/>
              <w:topLinePunct w:val="0"/>
              <w:autoSpaceDE/>
              <w:autoSpaceDN/>
              <w:bidi w:val="0"/>
              <w:spacing w:line="24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lang w:val="en-US" w:eastAsia="zh-CN"/>
              </w:rPr>
              <w:t xml:space="preserve">  </w:t>
            </w:r>
            <w:r>
              <w:rPr>
                <w:rFonts w:hint="eastAsia" w:ascii="黑体" w:hAnsi="宋体" w:eastAsia="黑体" w:cs="黑体"/>
                <w:b/>
                <w:bCs/>
                <w:color w:val="000000"/>
                <w:kern w:val="0"/>
                <w:sz w:val="30"/>
                <w:szCs w:val="30"/>
              </w:rPr>
              <w:t>部门预算项目支出绩效自评表（2024年度）</w:t>
            </w:r>
          </w:p>
        </w:tc>
      </w:tr>
      <w:tr w14:paraId="760B48AD">
        <w:tblPrEx>
          <w:tblCellMar>
            <w:top w:w="0" w:type="dxa"/>
            <w:left w:w="108" w:type="dxa"/>
            <w:bottom w:w="0" w:type="dxa"/>
            <w:right w:w="108" w:type="dxa"/>
          </w:tblCellMar>
        </w:tblPrEx>
        <w:trPr>
          <w:trHeight w:val="9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1BDEE">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225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16BD16">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51323322T000006418272-红原县政务服务中心建设监理服务采购项目</w:t>
            </w:r>
          </w:p>
        </w:tc>
      </w:tr>
      <w:tr w14:paraId="1B64541A">
        <w:tblPrEx>
          <w:tblCellMar>
            <w:top w:w="0" w:type="dxa"/>
            <w:left w:w="108" w:type="dxa"/>
            <w:bottom w:w="0" w:type="dxa"/>
            <w:right w:w="108" w:type="dxa"/>
          </w:tblCellMar>
        </w:tblPrEx>
        <w:trPr>
          <w:trHeight w:val="9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BE3DE">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71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2D604F">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89" w:type="dxa"/>
            <w:tcBorders>
              <w:top w:val="nil"/>
              <w:left w:val="nil"/>
              <w:bottom w:val="nil"/>
              <w:right w:val="nil"/>
            </w:tcBorders>
            <w:shd w:val="clear" w:color="auto" w:fill="auto"/>
            <w:vAlign w:val="center"/>
          </w:tcPr>
          <w:p w14:paraId="188CFAEB">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4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E07B5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3E93AA08">
        <w:tblPrEx>
          <w:tblCellMar>
            <w:top w:w="0" w:type="dxa"/>
            <w:left w:w="108" w:type="dxa"/>
            <w:bottom w:w="0" w:type="dxa"/>
            <w:right w:w="108" w:type="dxa"/>
          </w:tblCellMar>
        </w:tblPrEx>
        <w:trPr>
          <w:trHeight w:val="9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C4CA7">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1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40263">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71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4C252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51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D1C789">
            <w:pPr>
              <w:pageBreakBefore w:val="0"/>
              <w:widowControl/>
              <w:kinsoku/>
              <w:wordWrap/>
              <w:overflowPunct/>
              <w:topLinePunct w:val="0"/>
              <w:autoSpaceDE/>
              <w:autoSpaceDN/>
              <w:bidi w:val="0"/>
              <w:spacing w:line="24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5768FB02">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5B323">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9E91">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c>
          <w:tcPr>
            <w:tcW w:w="71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4A5217">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 主要功能或者目标：为本项目提供监理服务 质量、服务、安全、时限等要求： 满足相关行业要求及标准</w:t>
            </w:r>
          </w:p>
        </w:tc>
        <w:tc>
          <w:tcPr>
            <w:tcW w:w="51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87CCB1">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ascii="宋体" w:hAnsi="宋体" w:eastAsia="宋体" w:cs="宋体"/>
                <w:color w:val="000000"/>
                <w:kern w:val="0"/>
                <w:sz w:val="18"/>
                <w:szCs w:val="18"/>
              </w:rPr>
              <w:t>提供监理服务 质量、服务、安全、时限等要求： 满足相关行业要求及标准</w:t>
            </w:r>
          </w:p>
        </w:tc>
      </w:tr>
      <w:tr w14:paraId="0042CBD0">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91D18">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F4E3">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225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60AEAE">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r>
      <w:tr w14:paraId="0D8CE0FC">
        <w:tblPrEx>
          <w:tblCellMar>
            <w:top w:w="0" w:type="dxa"/>
            <w:left w:w="108" w:type="dxa"/>
            <w:bottom w:w="0" w:type="dxa"/>
            <w:right w:w="108" w:type="dxa"/>
          </w:tblCellMar>
        </w:tblPrEx>
        <w:trPr>
          <w:trHeight w:val="9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0665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B82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57A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0FB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A6C40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4CD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02D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717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DE3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669D4DBD">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7ACE2">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D489">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DB1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C23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6.92</w:t>
            </w: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52ADB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2.91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5C6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42.06%</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B19">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10B1">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3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7E041">
            <w:pPr>
              <w:pageBreakBefore w:val="0"/>
              <w:widowControl/>
              <w:kinsoku/>
              <w:wordWrap/>
              <w:overflowPunct/>
              <w:topLinePunct w:val="0"/>
              <w:autoSpaceDE/>
              <w:autoSpaceDN/>
              <w:bidi w:val="0"/>
              <w:spacing w:line="24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sz w:val="18"/>
                <w:szCs w:val="18"/>
              </w:rPr>
              <w:t>红原县政务服务中心中心建设项目按合同规定尾款未到期支付</w:t>
            </w:r>
          </w:p>
        </w:tc>
      </w:tr>
      <w:tr w14:paraId="180CBB7A">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549F1">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40E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284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848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6.92</w:t>
            </w: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9D08F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2.91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6BE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42.06%</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A90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2D09">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3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FEA06">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1E7652C2">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5B675">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056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07B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CD5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96589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A6E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7DF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129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3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F76C">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55885BDD">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04E25">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AFE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956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1DC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0E3A6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9CE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AA9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AEF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3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7F652">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008DF634">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85809">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84C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F44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4995">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33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16A270">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D538">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79C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A95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3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0AD94">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7C979475">
        <w:tblPrEx>
          <w:tblCellMar>
            <w:top w:w="0" w:type="dxa"/>
            <w:left w:w="108" w:type="dxa"/>
            <w:bottom w:w="0" w:type="dxa"/>
            <w:right w:w="108" w:type="dxa"/>
          </w:tblCellMar>
        </w:tblPrEx>
        <w:trPr>
          <w:trHeight w:val="9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509B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2B5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019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C09">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C39D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7FA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1CE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4BC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93E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C6E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E8F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44961AC9">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2334">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76E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48A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D12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该项目满足相关行业要求及超标准</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70F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7F60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890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F9F7">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B00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80652">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60</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4947">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545223B1">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4E9AF">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FD7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314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457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为本项目提供监理服务 质量、服务、安全、时限等要求</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F37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53E2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925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0910">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531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5793">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20</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27E1">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6F34C2C2">
        <w:tblPrEx>
          <w:tblCellMar>
            <w:top w:w="0" w:type="dxa"/>
            <w:left w:w="108" w:type="dxa"/>
            <w:bottom w:w="0" w:type="dxa"/>
            <w:right w:w="108" w:type="dxa"/>
          </w:tblCellMar>
        </w:tblPrEx>
        <w:trPr>
          <w:trHeight w:val="9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D5BFA">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6DA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E5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服务对象满意度指标</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F7B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根据发改价格[2015]299号，参考发改价格[2007]670号文规定八折计取</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BFA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F023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623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6D04">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87A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7DE8">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10</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77C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7C412045">
        <w:tblPrEx>
          <w:tblCellMar>
            <w:top w:w="0" w:type="dxa"/>
            <w:left w:w="108" w:type="dxa"/>
            <w:bottom w:w="0" w:type="dxa"/>
            <w:right w:w="108" w:type="dxa"/>
          </w:tblCellMar>
        </w:tblPrEx>
        <w:trPr>
          <w:trHeight w:val="90" w:hRule="atLeast"/>
        </w:trPr>
        <w:tc>
          <w:tcPr>
            <w:tcW w:w="10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92CBF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1DC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CCC4">
            <w:pPr>
              <w:pageBreakBefore w:val="0"/>
              <w:kinsoku/>
              <w:wordWrap/>
              <w:overflowPunct/>
              <w:topLinePunct w:val="0"/>
              <w:autoSpaceDE/>
              <w:autoSpaceDN/>
              <w:bidi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100</w:t>
            </w:r>
          </w:p>
        </w:tc>
        <w:tc>
          <w:tcPr>
            <w:tcW w:w="3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F148">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r>
      <w:tr w14:paraId="72D3925C">
        <w:tblPrEx>
          <w:tblCellMar>
            <w:top w:w="0" w:type="dxa"/>
            <w:left w:w="108" w:type="dxa"/>
            <w:bottom w:w="0" w:type="dxa"/>
            <w:right w:w="108" w:type="dxa"/>
          </w:tblCellMar>
        </w:tblPrEx>
        <w:trPr>
          <w:trHeight w:val="9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5A3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9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29B3E0">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安全管理工作成效显著，监理通过加强安全管理教育和检查，及时处理和整改发现的问题与隐患，整个施工过程未有安全事故。</w:t>
            </w:r>
          </w:p>
        </w:tc>
      </w:tr>
      <w:tr w14:paraId="5C84391B">
        <w:tblPrEx>
          <w:tblCellMar>
            <w:top w:w="0" w:type="dxa"/>
            <w:left w:w="108" w:type="dxa"/>
            <w:bottom w:w="0" w:type="dxa"/>
            <w:right w:w="108" w:type="dxa"/>
          </w:tblCellMar>
        </w:tblPrEx>
        <w:trPr>
          <w:trHeight w:val="9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C6E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9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48B344">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2356C8A8">
        <w:tblPrEx>
          <w:tblCellMar>
            <w:top w:w="0" w:type="dxa"/>
            <w:left w:w="108" w:type="dxa"/>
            <w:bottom w:w="0" w:type="dxa"/>
            <w:right w:w="108" w:type="dxa"/>
          </w:tblCellMar>
        </w:tblPrEx>
        <w:trPr>
          <w:trHeight w:val="9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11C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9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0CF8F8">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32609F44">
        <w:tblPrEx>
          <w:tblCellMar>
            <w:top w:w="0" w:type="dxa"/>
            <w:left w:w="108" w:type="dxa"/>
            <w:bottom w:w="0" w:type="dxa"/>
            <w:right w:w="108" w:type="dxa"/>
          </w:tblCellMar>
        </w:tblPrEx>
        <w:trPr>
          <w:trHeight w:val="90" w:hRule="atLeast"/>
        </w:trPr>
        <w:tc>
          <w:tcPr>
            <w:tcW w:w="66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A180D3">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80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69FC00">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08FD0E47">
      <w:pPr>
        <w:pStyle w:val="11"/>
        <w:pageBreakBefore w:val="0"/>
        <w:kinsoku/>
        <w:wordWrap/>
        <w:overflowPunct/>
        <w:topLinePunct w:val="0"/>
        <w:autoSpaceDE/>
        <w:autoSpaceDN/>
        <w:bidi w:val="0"/>
        <w:rPr>
          <w:rFonts w:ascii="仿宋_GB2312" w:hAnsi="仿宋_GB2312" w:cs="仿宋_GB2312"/>
          <w:szCs w:val="32"/>
        </w:rPr>
        <w:sectPr>
          <w:pgSz w:w="16838" w:h="11906" w:orient="landscape"/>
          <w:pgMar w:top="1474" w:right="1984" w:bottom="1587" w:left="2098" w:header="851" w:footer="992" w:gutter="0"/>
          <w:pgNumType w:fmt="numberInDash"/>
          <w:cols w:space="425" w:num="1"/>
          <w:docGrid w:type="lines" w:linePitch="435" w:charSpace="0"/>
        </w:sectPr>
      </w:pPr>
    </w:p>
    <w:tbl>
      <w:tblPr>
        <w:tblStyle w:val="20"/>
        <w:tblW w:w="14103" w:type="dxa"/>
        <w:tblInd w:w="93" w:type="dxa"/>
        <w:tblLayout w:type="autofit"/>
        <w:tblCellMar>
          <w:top w:w="0" w:type="dxa"/>
          <w:left w:w="108" w:type="dxa"/>
          <w:bottom w:w="0" w:type="dxa"/>
          <w:right w:w="108" w:type="dxa"/>
        </w:tblCellMar>
      </w:tblPr>
      <w:tblGrid>
        <w:gridCol w:w="684"/>
        <w:gridCol w:w="2052"/>
        <w:gridCol w:w="1775"/>
        <w:gridCol w:w="2264"/>
        <w:gridCol w:w="521"/>
        <w:gridCol w:w="1677"/>
        <w:gridCol w:w="521"/>
        <w:gridCol w:w="1091"/>
        <w:gridCol w:w="505"/>
        <w:gridCol w:w="456"/>
        <w:gridCol w:w="2557"/>
      </w:tblGrid>
      <w:tr w14:paraId="54098E02">
        <w:tblPrEx>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C75D99">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340F902A">
        <w:tblPrEx>
          <w:tblCellMar>
            <w:top w:w="0" w:type="dxa"/>
            <w:left w:w="108" w:type="dxa"/>
            <w:bottom w:w="0" w:type="dxa"/>
            <w:right w:w="108" w:type="dxa"/>
          </w:tblCellMar>
        </w:tblPrEx>
        <w:trPr>
          <w:trHeight w:val="286"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8F27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BC5B5C">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51323322T000007350865-红原县政务服务中心及人力资源市场建设项目</w:t>
            </w:r>
          </w:p>
        </w:tc>
      </w:tr>
      <w:tr w14:paraId="1CCC04F5">
        <w:tblPrEx>
          <w:tblCellMar>
            <w:top w:w="0" w:type="dxa"/>
            <w:left w:w="108" w:type="dxa"/>
            <w:bottom w:w="0" w:type="dxa"/>
            <w:right w:w="108" w:type="dxa"/>
          </w:tblCellMar>
        </w:tblPrEx>
        <w:trPr>
          <w:trHeight w:val="512"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EB8D2">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09369C">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5CEC535B">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A561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26EDD19F">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C98F8">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7A39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A06A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2F7EA3">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0B2BFFA7">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DEE9B">
            <w:pPr>
              <w:pageBreakBefore w:val="0"/>
              <w:kinsoku/>
              <w:wordWrap/>
              <w:overflowPunct/>
              <w:topLinePunct w:val="0"/>
              <w:autoSpaceDE/>
              <w:autoSpaceDN/>
              <w:bidi w:val="0"/>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19E2">
            <w:pPr>
              <w:pageBreakBefore w:val="0"/>
              <w:kinsoku/>
              <w:wordWrap/>
              <w:overflowPunct/>
              <w:topLinePunct w:val="0"/>
              <w:autoSpaceDE/>
              <w:autoSpaceDN/>
              <w:bidi w:val="0"/>
              <w:rPr>
                <w:rFonts w:ascii="宋体" w:hAnsi="宋体" w:eastAsia="宋体" w:cs="宋体"/>
                <w:color w:val="000000"/>
                <w:sz w:val="18"/>
                <w:szCs w:val="18"/>
              </w:rPr>
            </w:pP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61F69B">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实现政务服务大厅规范化建设，促进群众办事只进一扇门</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3B952F">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政务大厅全年服务群众20000余人次</w:t>
            </w:r>
          </w:p>
        </w:tc>
      </w:tr>
      <w:tr w14:paraId="745D437F">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FCE65">
            <w:pPr>
              <w:pageBreakBefore w:val="0"/>
              <w:kinsoku/>
              <w:wordWrap/>
              <w:overflowPunct/>
              <w:topLinePunct w:val="0"/>
              <w:autoSpaceDE/>
              <w:autoSpaceDN/>
              <w:bidi w:val="0"/>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C63B">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B3F8BC">
            <w:pPr>
              <w:pageBreakBefore w:val="0"/>
              <w:kinsoku/>
              <w:wordWrap/>
              <w:overflowPunct/>
              <w:topLinePunct w:val="0"/>
              <w:autoSpaceDE/>
              <w:autoSpaceDN/>
              <w:bidi w:val="0"/>
              <w:rPr>
                <w:rFonts w:ascii="宋体" w:hAnsi="宋体" w:eastAsia="宋体" w:cs="宋体"/>
                <w:color w:val="000000"/>
                <w:sz w:val="18"/>
                <w:szCs w:val="18"/>
              </w:rPr>
            </w:pPr>
            <w:r>
              <w:rPr>
                <w:rFonts w:hint="eastAsia" w:ascii="宋体" w:hAnsi="宋体" w:eastAsia="宋体" w:cs="宋体"/>
                <w:color w:val="000000"/>
                <w:sz w:val="18"/>
                <w:szCs w:val="18"/>
              </w:rPr>
              <w:t>红原县政务服务大厅建设项目建成后，让群众“最多跑一次”，打通了政务服务的最后“一公里”。</w:t>
            </w:r>
          </w:p>
        </w:tc>
      </w:tr>
      <w:tr w14:paraId="59DD5234">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AD0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90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F7E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CA1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2E00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B52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755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7E8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794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34FF6D44">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1AB77">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25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940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54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1,048.87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8B00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696.58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6B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66.41%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3B8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9E7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5CF93">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r>
              <w:rPr>
                <w:rFonts w:hint="eastAsia" w:ascii="黑体" w:hAnsi="黑体" w:eastAsia="黑体" w:cs="黑体"/>
                <w:i/>
                <w:iCs/>
                <w:color w:val="000000"/>
                <w:sz w:val="18"/>
                <w:szCs w:val="18"/>
              </w:rPr>
              <w:t>红原县政务服务中心中心建设项目按合同规定尾款未到期支付</w:t>
            </w:r>
          </w:p>
        </w:tc>
      </w:tr>
      <w:tr w14:paraId="614EEACC">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5CE6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584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201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698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1,048.87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AED4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696.58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F92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66.41%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479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4D5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A51E6">
            <w:pPr>
              <w:pageBreakBefore w:val="0"/>
              <w:kinsoku/>
              <w:wordWrap/>
              <w:overflowPunct/>
              <w:topLinePunct w:val="0"/>
              <w:autoSpaceDE/>
              <w:autoSpaceDN/>
              <w:bidi w:val="0"/>
              <w:rPr>
                <w:rFonts w:ascii="黑体" w:hAnsi="黑体" w:eastAsia="黑体" w:cs="黑体"/>
                <w:i/>
                <w:iCs/>
                <w:color w:val="000000"/>
                <w:sz w:val="18"/>
                <w:szCs w:val="18"/>
              </w:rPr>
            </w:pPr>
          </w:p>
        </w:tc>
      </w:tr>
      <w:tr w14:paraId="54E302CF">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4F03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CB4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F23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4BA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9565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2A5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1F4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7A8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DB58B">
            <w:pPr>
              <w:pageBreakBefore w:val="0"/>
              <w:kinsoku/>
              <w:wordWrap/>
              <w:overflowPunct/>
              <w:topLinePunct w:val="0"/>
              <w:autoSpaceDE/>
              <w:autoSpaceDN/>
              <w:bidi w:val="0"/>
              <w:rPr>
                <w:rFonts w:ascii="黑体" w:hAnsi="黑体" w:eastAsia="黑体" w:cs="黑体"/>
                <w:i/>
                <w:iCs/>
                <w:color w:val="000000"/>
                <w:sz w:val="18"/>
                <w:szCs w:val="18"/>
              </w:rPr>
            </w:pPr>
          </w:p>
        </w:tc>
      </w:tr>
      <w:tr w14:paraId="544A9C49">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6B74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AC6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F5B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FA4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EB4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A28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C03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708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5C19A">
            <w:pPr>
              <w:pageBreakBefore w:val="0"/>
              <w:kinsoku/>
              <w:wordWrap/>
              <w:overflowPunct/>
              <w:topLinePunct w:val="0"/>
              <w:autoSpaceDE/>
              <w:autoSpaceDN/>
              <w:bidi w:val="0"/>
              <w:rPr>
                <w:rFonts w:ascii="黑体" w:hAnsi="黑体" w:eastAsia="黑体" w:cs="黑体"/>
                <w:i/>
                <w:iCs/>
                <w:color w:val="000000"/>
                <w:sz w:val="18"/>
                <w:szCs w:val="18"/>
              </w:rPr>
            </w:pPr>
          </w:p>
        </w:tc>
      </w:tr>
      <w:tr w14:paraId="2162207C">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C44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78E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853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C662">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3C5F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BD2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DE3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B4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A93E">
            <w:pPr>
              <w:pageBreakBefore w:val="0"/>
              <w:kinsoku/>
              <w:wordWrap/>
              <w:overflowPunct/>
              <w:topLinePunct w:val="0"/>
              <w:autoSpaceDE/>
              <w:autoSpaceDN/>
              <w:bidi w:val="0"/>
              <w:rPr>
                <w:rFonts w:ascii="黑体" w:hAnsi="黑体" w:eastAsia="黑体" w:cs="黑体"/>
                <w:i/>
                <w:iCs/>
                <w:color w:val="000000"/>
                <w:sz w:val="18"/>
                <w:szCs w:val="18"/>
              </w:rPr>
            </w:pPr>
          </w:p>
        </w:tc>
      </w:tr>
      <w:tr w14:paraId="6927711D">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F6B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FA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D21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5B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27E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FC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A4D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4F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CA7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D2E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8E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0F7CA01E">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D463E">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796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56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6E1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政务服务大厅及人力资源建设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F22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81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4BB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0AE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6399.29平方米</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5AE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E7FC">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BA3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791D8AD1">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6130">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34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DCF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0B4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增强便民服务能力，提升便民服务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6DC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A32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81E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万频次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0C4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20000余人次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CC9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B01D">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4DF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737A0CD">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22F2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DE0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18A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服务对象满意度指标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CE8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便民利民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B15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A0C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6B1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群次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553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20000余人次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BE6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D52F">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348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02F3E311">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F02EC">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63B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F45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社会成本指标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AD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办事群众少跑路</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D2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5FF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EF3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场次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0E6C">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50000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D3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6D7C">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5A4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85FA48F">
        <w:tblPrEx>
          <w:tblCellMar>
            <w:top w:w="0" w:type="dxa"/>
            <w:left w:w="108" w:type="dxa"/>
            <w:bottom w:w="0" w:type="dxa"/>
            <w:right w:w="108" w:type="dxa"/>
          </w:tblCellMar>
        </w:tblPrEx>
        <w:trPr>
          <w:trHeight w:val="286" w:hRule="atLeast"/>
        </w:trPr>
        <w:tc>
          <w:tcPr>
            <w:tcW w:w="1058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5A182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2DF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98A6">
            <w:pPr>
              <w:pageBreakBefore w:val="0"/>
              <w:kinsoku/>
              <w:wordWrap/>
              <w:overflowPunct/>
              <w:topLinePunct w:val="0"/>
              <w:autoSpaceDE/>
              <w:autoSpaceDN/>
              <w:bidi w:val="0"/>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DC08">
            <w:pPr>
              <w:pageBreakBefore w:val="0"/>
              <w:kinsoku/>
              <w:wordWrap/>
              <w:overflowPunct/>
              <w:topLinePunct w:val="0"/>
              <w:autoSpaceDE/>
              <w:autoSpaceDN/>
              <w:bidi w:val="0"/>
              <w:rPr>
                <w:rFonts w:ascii="宋体" w:hAnsi="宋体" w:eastAsia="宋体" w:cs="宋体"/>
                <w:color w:val="000000"/>
                <w:sz w:val="18"/>
                <w:szCs w:val="18"/>
              </w:rPr>
            </w:pPr>
          </w:p>
        </w:tc>
      </w:tr>
      <w:tr w14:paraId="629B31B4">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613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54A063">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红原县政务服务中心建设项目建成后，集中了各单位的办事事项，为全县群众办理提供了优质政务服务，让群众办事”最多跑一次“。</w:t>
            </w:r>
          </w:p>
        </w:tc>
      </w:tr>
      <w:tr w14:paraId="6B8710C1">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1C1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6E617E">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6F23BA8F">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BC1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83D4DD">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6C7EFECA">
        <w:tblPrEx>
          <w:tblCellMar>
            <w:top w:w="0" w:type="dxa"/>
            <w:left w:w="108" w:type="dxa"/>
            <w:bottom w:w="0" w:type="dxa"/>
            <w:right w:w="108" w:type="dxa"/>
          </w:tblCellMar>
        </w:tblPrEx>
        <w:trPr>
          <w:trHeight w:val="286" w:hRule="atLeast"/>
        </w:trPr>
        <w:tc>
          <w:tcPr>
            <w:tcW w:w="72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22707B">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B16D7E">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r w14:paraId="3CD72AA4">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9A9E54">
            <w:pPr>
              <w:pageBreakBefore w:val="0"/>
              <w:widowControl/>
              <w:kinsoku/>
              <w:wordWrap/>
              <w:overflowPunct/>
              <w:topLinePunct w:val="0"/>
              <w:autoSpaceDE/>
              <w:autoSpaceDN/>
              <w:bidi w:val="0"/>
              <w:jc w:val="center"/>
              <w:textAlignment w:val="center"/>
              <w:rPr>
                <w:rFonts w:hint="eastAsia" w:ascii="黑体" w:hAnsi="宋体" w:eastAsia="黑体" w:cs="黑体"/>
                <w:b/>
                <w:bCs/>
                <w:color w:val="000000"/>
                <w:kern w:val="0"/>
                <w:sz w:val="30"/>
                <w:szCs w:val="30"/>
              </w:rPr>
            </w:pPr>
          </w:p>
          <w:p w14:paraId="57B57092">
            <w:pPr>
              <w:pageBreakBefore w:val="0"/>
              <w:widowControl/>
              <w:kinsoku/>
              <w:wordWrap/>
              <w:overflowPunct/>
              <w:topLinePunct w:val="0"/>
              <w:autoSpaceDE/>
              <w:autoSpaceDN/>
              <w:bidi w:val="0"/>
              <w:jc w:val="center"/>
              <w:textAlignment w:val="center"/>
              <w:rPr>
                <w:rFonts w:hint="eastAsia" w:ascii="黑体" w:hAnsi="宋体" w:eastAsia="黑体" w:cs="黑体"/>
                <w:b/>
                <w:bCs/>
                <w:color w:val="000000"/>
                <w:kern w:val="0"/>
                <w:sz w:val="30"/>
                <w:szCs w:val="30"/>
              </w:rPr>
            </w:pPr>
          </w:p>
          <w:p w14:paraId="0B89363D">
            <w:pPr>
              <w:pageBreakBefore w:val="0"/>
              <w:widowControl/>
              <w:kinsoku/>
              <w:wordWrap/>
              <w:overflowPunct/>
              <w:topLinePunct w:val="0"/>
              <w:autoSpaceDE/>
              <w:autoSpaceDN/>
              <w:bidi w:val="0"/>
              <w:jc w:val="center"/>
              <w:textAlignment w:val="center"/>
              <w:rPr>
                <w:rFonts w:hint="eastAsia" w:ascii="黑体" w:hAnsi="宋体" w:eastAsia="黑体" w:cs="黑体"/>
                <w:b/>
                <w:bCs/>
                <w:color w:val="000000"/>
                <w:kern w:val="0"/>
                <w:sz w:val="30"/>
                <w:szCs w:val="30"/>
              </w:rPr>
            </w:pPr>
          </w:p>
          <w:p w14:paraId="4A836364">
            <w:pPr>
              <w:pageBreakBefore w:val="0"/>
              <w:widowControl/>
              <w:kinsoku/>
              <w:wordWrap/>
              <w:overflowPunct/>
              <w:topLinePunct w:val="0"/>
              <w:autoSpaceDE/>
              <w:autoSpaceDN/>
              <w:bidi w:val="0"/>
              <w:jc w:val="center"/>
              <w:textAlignment w:val="center"/>
              <w:rPr>
                <w:rFonts w:hint="eastAsia" w:ascii="黑体" w:hAnsi="宋体" w:eastAsia="黑体" w:cs="黑体"/>
                <w:b/>
                <w:bCs/>
                <w:color w:val="000000"/>
                <w:kern w:val="0"/>
                <w:sz w:val="30"/>
                <w:szCs w:val="30"/>
              </w:rPr>
            </w:pPr>
          </w:p>
          <w:p w14:paraId="0B836300">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368496CA">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A00D6">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851B6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51323323T000008147193-天府通办APP红原分站点“红e办”建设项目</w:t>
            </w:r>
          </w:p>
        </w:tc>
      </w:tr>
      <w:tr w14:paraId="68C6257D">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F0DEB">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52B36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5EED55F7">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9503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315ABE1C">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99E6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1A25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A6C4C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412C57">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446E2115">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5232C">
            <w:pPr>
              <w:pageBreakBefore w:val="0"/>
              <w:kinsoku/>
              <w:wordWrap/>
              <w:overflowPunct/>
              <w:topLinePunct w:val="0"/>
              <w:autoSpaceDE/>
              <w:autoSpaceDN/>
              <w:bidi w:val="0"/>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93B1">
            <w:pPr>
              <w:pageBreakBefore w:val="0"/>
              <w:kinsoku/>
              <w:wordWrap/>
              <w:overflowPunct/>
              <w:topLinePunct w:val="0"/>
              <w:autoSpaceDE/>
              <w:autoSpaceDN/>
              <w:bidi w:val="0"/>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025BF">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保障 天府通办APP红原分站点“红e办”建设项目运行，以创优营商环境为目标,着力为全县百姓提供更为优质的政务服务，为全县</w:t>
            </w:r>
            <w:r>
              <w:rPr>
                <w:rFonts w:hint="eastAsia" w:ascii="宋体" w:hAnsi="宋体" w:cs="宋体"/>
                <w:color w:val="000000"/>
                <w:kern w:val="0"/>
                <w:sz w:val="18"/>
                <w:szCs w:val="18"/>
                <w:lang w:eastAsia="zh-CN"/>
              </w:rPr>
              <w:t>乡村振兴</w:t>
            </w:r>
            <w:r>
              <w:rPr>
                <w:rFonts w:ascii="宋体" w:hAnsi="宋体" w:eastAsia="宋体" w:cs="宋体"/>
                <w:color w:val="000000"/>
                <w:kern w:val="0"/>
                <w:sz w:val="18"/>
                <w:szCs w:val="18"/>
              </w:rPr>
              <w:t>夯实基础并提供重要保障.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9BE2EB">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对照年度目标，说明相关任务目标的完成情况（100字以内）</w:t>
            </w:r>
          </w:p>
        </w:tc>
      </w:tr>
      <w:tr w14:paraId="5E1894A2">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758A7">
            <w:pPr>
              <w:pageBreakBefore w:val="0"/>
              <w:kinsoku/>
              <w:wordWrap/>
              <w:overflowPunct/>
              <w:topLinePunct w:val="0"/>
              <w:autoSpaceDE/>
              <w:autoSpaceDN/>
              <w:bidi w:val="0"/>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786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B4C486">
            <w:pPr>
              <w:pageBreakBefore w:val="0"/>
              <w:kinsoku/>
              <w:wordWrap/>
              <w:overflowPunct/>
              <w:topLinePunct w:val="0"/>
              <w:autoSpaceDE/>
              <w:autoSpaceDN/>
              <w:bidi w:val="0"/>
              <w:rPr>
                <w:rFonts w:ascii="宋体" w:hAnsi="宋体" w:eastAsia="宋体" w:cs="宋体"/>
                <w:color w:val="000000"/>
                <w:sz w:val="18"/>
                <w:szCs w:val="18"/>
              </w:rPr>
            </w:pPr>
          </w:p>
        </w:tc>
      </w:tr>
      <w:tr w14:paraId="2AA49CFC">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558B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AEB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471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EA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81A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A26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76F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56B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C93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5BE2B569">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C8443">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6B4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5A5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065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14.72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F548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7.68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980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52.17%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BA3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2222">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20408">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r>
              <w:rPr>
                <w:rFonts w:hint="eastAsia" w:ascii="仿宋_GB2312" w:hAnsi="仿宋_GB2312" w:cs="仿宋_GB2312"/>
                <w:sz w:val="21"/>
                <w:szCs w:val="21"/>
              </w:rPr>
              <w:t>按合同要求第二个服务年度运维期满并验收合格后</w:t>
            </w:r>
            <w:r>
              <w:rPr>
                <w:rFonts w:hint="eastAsia" w:ascii="仿宋_GB2312" w:hAnsi="仿宋_GB2312" w:cs="仿宋_GB2312"/>
                <w:sz w:val="21"/>
                <w:szCs w:val="21"/>
                <w:lang w:eastAsia="zh-CN"/>
              </w:rPr>
              <w:t>拨付资金</w:t>
            </w:r>
            <w:r>
              <w:rPr>
                <w:rFonts w:hint="eastAsia" w:ascii="仿宋_GB2312" w:hAnsi="仿宋_GB2312" w:cs="仿宋_GB2312"/>
                <w:sz w:val="21"/>
                <w:szCs w:val="21"/>
              </w:rPr>
              <w:t>（运维</w:t>
            </w:r>
            <w:r>
              <w:rPr>
                <w:rFonts w:hint="eastAsia" w:ascii="仿宋_GB2312" w:hAnsi="仿宋_GB2312" w:cs="仿宋_GB2312"/>
                <w:sz w:val="21"/>
                <w:szCs w:val="21"/>
                <w:lang w:eastAsia="zh-CN"/>
              </w:rPr>
              <w:t>截至</w:t>
            </w:r>
            <w:r>
              <w:rPr>
                <w:rFonts w:hint="eastAsia" w:ascii="仿宋_GB2312" w:hAnsi="仿宋_GB2312" w:cs="仿宋_GB2312"/>
                <w:sz w:val="21"/>
                <w:szCs w:val="21"/>
              </w:rPr>
              <w:t>时间为2025年8月底）</w:t>
            </w:r>
          </w:p>
        </w:tc>
      </w:tr>
      <w:tr w14:paraId="62122E53">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5C59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1C4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4FA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C03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14.72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84DD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7.68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D9D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52.17%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D9C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32B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E1B18">
            <w:pPr>
              <w:pageBreakBefore w:val="0"/>
              <w:kinsoku/>
              <w:wordWrap/>
              <w:overflowPunct/>
              <w:topLinePunct w:val="0"/>
              <w:autoSpaceDE/>
              <w:autoSpaceDN/>
              <w:bidi w:val="0"/>
              <w:rPr>
                <w:rFonts w:ascii="黑体" w:hAnsi="黑体" w:eastAsia="黑体" w:cs="黑体"/>
                <w:i/>
                <w:iCs/>
                <w:color w:val="000000"/>
                <w:sz w:val="18"/>
                <w:szCs w:val="18"/>
              </w:rPr>
            </w:pPr>
          </w:p>
        </w:tc>
      </w:tr>
      <w:tr w14:paraId="15B747EE">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9660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11C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994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415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CC7B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FA6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FF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88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5E607">
            <w:pPr>
              <w:pageBreakBefore w:val="0"/>
              <w:kinsoku/>
              <w:wordWrap/>
              <w:overflowPunct/>
              <w:topLinePunct w:val="0"/>
              <w:autoSpaceDE/>
              <w:autoSpaceDN/>
              <w:bidi w:val="0"/>
              <w:rPr>
                <w:rFonts w:ascii="黑体" w:hAnsi="黑体" w:eastAsia="黑体" w:cs="黑体"/>
                <w:i/>
                <w:iCs/>
                <w:color w:val="000000"/>
                <w:sz w:val="18"/>
                <w:szCs w:val="18"/>
              </w:rPr>
            </w:pPr>
          </w:p>
        </w:tc>
      </w:tr>
      <w:tr w14:paraId="4B3317A4">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CD36E">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74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9EA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A6F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178FE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B8D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5C4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4DB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1B692">
            <w:pPr>
              <w:pageBreakBefore w:val="0"/>
              <w:kinsoku/>
              <w:wordWrap/>
              <w:overflowPunct/>
              <w:topLinePunct w:val="0"/>
              <w:autoSpaceDE/>
              <w:autoSpaceDN/>
              <w:bidi w:val="0"/>
              <w:rPr>
                <w:rFonts w:ascii="黑体" w:hAnsi="黑体" w:eastAsia="黑体" w:cs="黑体"/>
                <w:i/>
                <w:iCs/>
                <w:color w:val="000000"/>
                <w:sz w:val="18"/>
                <w:szCs w:val="18"/>
              </w:rPr>
            </w:pPr>
          </w:p>
        </w:tc>
      </w:tr>
      <w:tr w14:paraId="3380F04A">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6187B">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177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1FB1">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F806">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D7E76">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820D">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DDF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190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26250">
            <w:pPr>
              <w:pageBreakBefore w:val="0"/>
              <w:kinsoku/>
              <w:wordWrap/>
              <w:overflowPunct/>
              <w:topLinePunct w:val="0"/>
              <w:autoSpaceDE/>
              <w:autoSpaceDN/>
              <w:bidi w:val="0"/>
              <w:rPr>
                <w:rFonts w:ascii="黑体" w:hAnsi="黑体" w:eastAsia="黑体" w:cs="黑体"/>
                <w:i/>
                <w:iCs/>
                <w:color w:val="000000"/>
                <w:sz w:val="18"/>
                <w:szCs w:val="18"/>
              </w:rPr>
            </w:pPr>
          </w:p>
        </w:tc>
      </w:tr>
      <w:tr w14:paraId="15DF1A09">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BB8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DB6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6A3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3FB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57E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354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81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12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FC4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DFE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C4A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7BF3EEA3">
        <w:tblPrEx>
          <w:tblCellMar>
            <w:top w:w="0" w:type="dxa"/>
            <w:left w:w="108" w:type="dxa"/>
            <w:bottom w:w="0" w:type="dxa"/>
            <w:right w:w="108" w:type="dxa"/>
          </w:tblCellMar>
        </w:tblPrEx>
        <w:trPr>
          <w:trHeight w:val="316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2DC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623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D9B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D49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分站点为红原县“一网通办”主要提供总渠道和总入口，充分依托省、州分站点支撑能力，全面整合全县各自政务服务资源，提供统一线上咨询、预约、预审及评价服务。“红e办”分站点由“我要知晓”“我要学法”“我要办事”“我要你帮忙”。“我要知晓”主要面向群众和工作人员提供旅游、民生和服务类等信息；“我要学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96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CD4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381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20E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4个</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BA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7CE7">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D53B">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3C7F5CA0">
        <w:tblPrEx>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405A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554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C7B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60A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以创优营商环境为目标,着力为全县百姓提供更为优质的政务服务，为全县</w:t>
            </w:r>
            <w:r>
              <w:rPr>
                <w:rFonts w:hint="eastAsia" w:ascii="宋体" w:hAnsi="宋体" w:cs="宋体"/>
                <w:color w:val="000000"/>
                <w:kern w:val="0"/>
                <w:sz w:val="18"/>
                <w:szCs w:val="18"/>
                <w:lang w:eastAsia="zh-CN"/>
              </w:rPr>
              <w:t>乡村振兴</w:t>
            </w:r>
            <w:r>
              <w:rPr>
                <w:rFonts w:ascii="宋体" w:hAnsi="宋体" w:eastAsia="宋体" w:cs="宋体"/>
                <w:color w:val="000000"/>
                <w:kern w:val="0"/>
                <w:sz w:val="18"/>
                <w:szCs w:val="18"/>
              </w:rPr>
              <w:t>夯实基础并提供重要保障.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F1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A2C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69C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84E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AC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D6E9">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AEE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DBF9324">
        <w:tblPrEx>
          <w:tblCellMar>
            <w:top w:w="0" w:type="dxa"/>
            <w:left w:w="108" w:type="dxa"/>
            <w:bottom w:w="0" w:type="dxa"/>
            <w:right w:w="108" w:type="dxa"/>
          </w:tblCellMar>
        </w:tblPrEx>
        <w:trPr>
          <w:trHeight w:val="135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2241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F66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FCA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009B">
            <w:pPr>
              <w:pageBreakBefore w:val="0"/>
              <w:widowControl/>
              <w:kinsoku/>
              <w:wordWrap/>
              <w:overflowPunct/>
              <w:topLinePunct w:val="0"/>
              <w:autoSpaceDE/>
              <w:autoSpaceDN/>
              <w:bidi w:val="0"/>
              <w:jc w:val="center"/>
              <w:textAlignment w:val="center"/>
              <w:rPr>
                <w:rFonts w:hint="eastAsia" w:ascii="宋体" w:hAnsi="宋体" w:eastAsia="宋体" w:cs="宋体"/>
                <w:color w:val="000000"/>
                <w:sz w:val="18"/>
                <w:szCs w:val="18"/>
                <w:lang w:eastAsia="zh-CN"/>
              </w:rPr>
            </w:pPr>
            <w:r>
              <w:rPr>
                <w:rFonts w:ascii="宋体" w:hAnsi="宋体" w:eastAsia="宋体" w:cs="宋体"/>
                <w:color w:val="000000"/>
                <w:kern w:val="0"/>
                <w:sz w:val="18"/>
                <w:szCs w:val="18"/>
              </w:rPr>
              <w:t>天府通办APP红原分站点“红e办”建设项目运行，以创优营商环境为目标,着力为全县百姓提供更为优质的政务服务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449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80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7.68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941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34BE">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7.68万元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07C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59B8">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B14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1F46B14F">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E3EEE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E71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5331">
            <w:pPr>
              <w:pageBreakBefore w:val="0"/>
              <w:kinsoku/>
              <w:wordWrap/>
              <w:overflowPunct/>
              <w:topLinePunct w:val="0"/>
              <w:autoSpaceDE/>
              <w:autoSpaceDN/>
              <w:bidi w:val="0"/>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B966">
            <w:pPr>
              <w:pageBreakBefore w:val="0"/>
              <w:kinsoku/>
              <w:wordWrap/>
              <w:overflowPunct/>
              <w:topLinePunct w:val="0"/>
              <w:autoSpaceDE/>
              <w:autoSpaceDN/>
              <w:bidi w:val="0"/>
              <w:rPr>
                <w:rFonts w:ascii="宋体" w:hAnsi="宋体" w:eastAsia="宋体" w:cs="宋体"/>
                <w:color w:val="000000"/>
                <w:sz w:val="18"/>
                <w:szCs w:val="18"/>
              </w:rPr>
            </w:pPr>
          </w:p>
        </w:tc>
      </w:tr>
      <w:tr w14:paraId="0E7761AA">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D55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877984">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天府通办”红原分站点建设，推出集成式套餐、特色专区等服务，推进了服务事项、涉及医疗健康、人社服务、交通出行、户政治安、教育考试、生活缴费等主题的服务应用、一件事服务等实现掌上展示、查询。提升了政务服务事项网上办理深度，推动了更多政务服务事项由“网上可办”向“全程网办”转变。</w:t>
            </w:r>
          </w:p>
        </w:tc>
      </w:tr>
      <w:tr w14:paraId="0CE53F32">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59F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C43F1A">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167BE884">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27F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3A84FC">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482882A8">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D74229">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696F60">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3F2314AB">
      <w:pPr>
        <w:pStyle w:val="11"/>
        <w:rPr>
          <w:rFonts w:hAnsi="仿宋_GB2312" w:cs="仿宋_GB2312"/>
          <w:color w:val="000000"/>
          <w:kern w:val="0"/>
        </w:rPr>
      </w:pPr>
    </w:p>
    <w:tbl>
      <w:tblPr>
        <w:tblStyle w:val="20"/>
        <w:tblW w:w="14103" w:type="dxa"/>
        <w:tblInd w:w="93" w:type="dxa"/>
        <w:tblLayout w:type="autofit"/>
        <w:tblCellMar>
          <w:top w:w="0" w:type="dxa"/>
          <w:left w:w="108" w:type="dxa"/>
          <w:bottom w:w="0" w:type="dxa"/>
          <w:right w:w="108" w:type="dxa"/>
        </w:tblCellMar>
      </w:tblPr>
      <w:tblGrid>
        <w:gridCol w:w="684"/>
        <w:gridCol w:w="2052"/>
        <w:gridCol w:w="1775"/>
        <w:gridCol w:w="2264"/>
        <w:gridCol w:w="521"/>
        <w:gridCol w:w="1677"/>
        <w:gridCol w:w="521"/>
        <w:gridCol w:w="1091"/>
        <w:gridCol w:w="505"/>
        <w:gridCol w:w="456"/>
        <w:gridCol w:w="2557"/>
      </w:tblGrid>
      <w:tr w14:paraId="59B4CB58">
        <w:tblPrEx>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C9196B">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4E9D75B5">
        <w:tblPrEx>
          <w:tblCellMar>
            <w:top w:w="0" w:type="dxa"/>
            <w:left w:w="108" w:type="dxa"/>
            <w:bottom w:w="0" w:type="dxa"/>
            <w:right w:w="108" w:type="dxa"/>
          </w:tblCellMar>
        </w:tblPrEx>
        <w:trPr>
          <w:trHeight w:val="286"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067B2">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5AD8D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51323323T000008846094-专项办公费</w:t>
            </w:r>
          </w:p>
        </w:tc>
      </w:tr>
      <w:tr w14:paraId="4005B2DC">
        <w:tblPrEx>
          <w:tblCellMar>
            <w:top w:w="0" w:type="dxa"/>
            <w:left w:w="108" w:type="dxa"/>
            <w:bottom w:w="0" w:type="dxa"/>
            <w:right w:w="108" w:type="dxa"/>
          </w:tblCellMar>
        </w:tblPrEx>
        <w:trPr>
          <w:trHeight w:val="512"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BCD77">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EA94FD">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7317815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0963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326A7279">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1A49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2E3E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32A3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2A9D9F">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357CB24A">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20A5">
            <w:pPr>
              <w:pageBreakBefore w:val="0"/>
              <w:kinsoku/>
              <w:wordWrap/>
              <w:overflowPunct/>
              <w:topLinePunct w:val="0"/>
              <w:autoSpaceDE/>
              <w:autoSpaceDN/>
              <w:bidi w:val="0"/>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A3BC3">
            <w:pPr>
              <w:pageBreakBefore w:val="0"/>
              <w:kinsoku/>
              <w:wordWrap/>
              <w:overflowPunct/>
              <w:topLinePunct w:val="0"/>
              <w:autoSpaceDE/>
              <w:autoSpaceDN/>
              <w:bidi w:val="0"/>
              <w:rPr>
                <w:rFonts w:ascii="宋体" w:hAnsi="宋体" w:eastAsia="宋体" w:cs="宋体"/>
                <w:color w:val="000000"/>
                <w:sz w:val="18"/>
                <w:szCs w:val="18"/>
              </w:rPr>
            </w:pP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02D1F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保障新建政务中心大楼正常运转，保障全县政府集中采购工作开展</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F1EB6C">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保障了政务服务大厅的日常运转，如完成了政务大厅加装玻璃门等工作。保障采购办工作人员日常政府采购差旅费用。</w:t>
            </w:r>
          </w:p>
        </w:tc>
      </w:tr>
      <w:tr w14:paraId="5E822A17">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2C8A0">
            <w:pPr>
              <w:pageBreakBefore w:val="0"/>
              <w:kinsoku/>
              <w:wordWrap/>
              <w:overflowPunct/>
              <w:topLinePunct w:val="0"/>
              <w:autoSpaceDE/>
              <w:autoSpaceDN/>
              <w:bidi w:val="0"/>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1CA7">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5D9B7B">
            <w:pPr>
              <w:pageBreakBefore w:val="0"/>
              <w:kinsoku/>
              <w:wordWrap/>
              <w:overflowPunct/>
              <w:topLinePunct w:val="0"/>
              <w:autoSpaceDE/>
              <w:autoSpaceDN/>
              <w:bidi w:val="0"/>
              <w:rPr>
                <w:rFonts w:ascii="宋体" w:hAnsi="宋体" w:eastAsia="宋体" w:cs="宋体"/>
                <w:color w:val="000000"/>
                <w:sz w:val="18"/>
                <w:szCs w:val="18"/>
              </w:rPr>
            </w:pPr>
          </w:p>
        </w:tc>
      </w:tr>
      <w:tr w14:paraId="6401CF7A">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ACC4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0E2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96D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9CA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5215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51F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1B4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B01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79B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2B06F2C0">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E720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C53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BC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A9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B792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4EE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0FA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6165">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29DCB">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p>
        </w:tc>
      </w:tr>
      <w:tr w14:paraId="5F633A82">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E6F7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74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A84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EEA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60EC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B3B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195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E77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7E310">
            <w:pPr>
              <w:pageBreakBefore w:val="0"/>
              <w:kinsoku/>
              <w:wordWrap/>
              <w:overflowPunct/>
              <w:topLinePunct w:val="0"/>
              <w:autoSpaceDE/>
              <w:autoSpaceDN/>
              <w:bidi w:val="0"/>
              <w:rPr>
                <w:rFonts w:ascii="黑体" w:hAnsi="黑体" w:eastAsia="黑体" w:cs="黑体"/>
                <w:i/>
                <w:iCs/>
                <w:color w:val="000000"/>
                <w:sz w:val="18"/>
                <w:szCs w:val="18"/>
              </w:rPr>
            </w:pPr>
          </w:p>
        </w:tc>
      </w:tr>
      <w:tr w14:paraId="1E78A4E7">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F560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F60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47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DEE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4F26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A92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A85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FAF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6CD43">
            <w:pPr>
              <w:pageBreakBefore w:val="0"/>
              <w:kinsoku/>
              <w:wordWrap/>
              <w:overflowPunct/>
              <w:topLinePunct w:val="0"/>
              <w:autoSpaceDE/>
              <w:autoSpaceDN/>
              <w:bidi w:val="0"/>
              <w:rPr>
                <w:rFonts w:ascii="黑体" w:hAnsi="黑体" w:eastAsia="黑体" w:cs="黑体"/>
                <w:i/>
                <w:iCs/>
                <w:color w:val="000000"/>
                <w:sz w:val="18"/>
                <w:szCs w:val="18"/>
              </w:rPr>
            </w:pPr>
          </w:p>
        </w:tc>
      </w:tr>
      <w:tr w14:paraId="05133705">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4B30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54D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3E2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3B6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AC64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A4E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D3F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9B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BD1E6">
            <w:pPr>
              <w:pageBreakBefore w:val="0"/>
              <w:kinsoku/>
              <w:wordWrap/>
              <w:overflowPunct/>
              <w:topLinePunct w:val="0"/>
              <w:autoSpaceDE/>
              <w:autoSpaceDN/>
              <w:bidi w:val="0"/>
              <w:rPr>
                <w:rFonts w:ascii="黑体" w:hAnsi="黑体" w:eastAsia="黑体" w:cs="黑体"/>
                <w:i/>
                <w:iCs/>
                <w:color w:val="000000"/>
                <w:sz w:val="18"/>
                <w:szCs w:val="18"/>
              </w:rPr>
            </w:pPr>
          </w:p>
        </w:tc>
      </w:tr>
      <w:tr w14:paraId="44C861C6">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D1B0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5E2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89FC">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067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1A08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6B8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79B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663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15A35">
            <w:pPr>
              <w:pageBreakBefore w:val="0"/>
              <w:kinsoku/>
              <w:wordWrap/>
              <w:overflowPunct/>
              <w:topLinePunct w:val="0"/>
              <w:autoSpaceDE/>
              <w:autoSpaceDN/>
              <w:bidi w:val="0"/>
              <w:rPr>
                <w:rFonts w:ascii="黑体" w:hAnsi="黑体" w:eastAsia="黑体" w:cs="黑体"/>
                <w:i/>
                <w:iCs/>
                <w:color w:val="000000"/>
                <w:sz w:val="18"/>
                <w:szCs w:val="18"/>
              </w:rPr>
            </w:pPr>
          </w:p>
        </w:tc>
      </w:tr>
      <w:tr w14:paraId="6694E347">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CE6D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BD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9AC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E78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706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682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CE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8DF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B8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CB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D40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27F70026">
        <w:tblPrEx>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C28B3">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55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69E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37C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2024年12月底前完成政务大厅日常办公运行及全县集采目录内政府采购工作开展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159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168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0D8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616B">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2024年</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B2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C57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CF2C">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2CD5581D">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11EB7">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67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353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0B2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提升便民服务水平</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F32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68C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进一步提升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2F0C">
            <w:pPr>
              <w:pageBreakBefore w:val="0"/>
              <w:kinsoku/>
              <w:wordWrap/>
              <w:overflowPunct/>
              <w:topLinePunct w:val="0"/>
              <w:autoSpaceDE/>
              <w:autoSpaceDN/>
              <w:bidi w:val="0"/>
              <w:jc w:val="cente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76EB">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服务群众20000余人次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3A4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213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7A52">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E1DE498">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50B79">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CEB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D09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服务对象满意度指标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A2A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办事群众满意度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39E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615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FC5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4F7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DCF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DED4">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E87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DDB284A">
        <w:tblPrEx>
          <w:tblCellMar>
            <w:top w:w="0" w:type="dxa"/>
            <w:left w:w="108" w:type="dxa"/>
            <w:bottom w:w="0" w:type="dxa"/>
            <w:right w:w="108" w:type="dxa"/>
          </w:tblCellMar>
        </w:tblPrEx>
        <w:trPr>
          <w:trHeight w:val="286" w:hRule="atLeast"/>
        </w:trPr>
        <w:tc>
          <w:tcPr>
            <w:tcW w:w="1058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8250D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140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C954">
            <w:pPr>
              <w:pageBreakBefore w:val="0"/>
              <w:kinsoku/>
              <w:wordWrap/>
              <w:overflowPunct/>
              <w:topLinePunct w:val="0"/>
              <w:autoSpaceDE/>
              <w:autoSpaceDN/>
              <w:bidi w:val="0"/>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790B">
            <w:pPr>
              <w:pageBreakBefore w:val="0"/>
              <w:kinsoku/>
              <w:wordWrap/>
              <w:overflowPunct/>
              <w:topLinePunct w:val="0"/>
              <w:autoSpaceDE/>
              <w:autoSpaceDN/>
              <w:bidi w:val="0"/>
              <w:rPr>
                <w:rFonts w:ascii="宋体" w:hAnsi="宋体" w:eastAsia="宋体" w:cs="宋体"/>
                <w:color w:val="000000"/>
                <w:sz w:val="18"/>
                <w:szCs w:val="18"/>
              </w:rPr>
            </w:pPr>
          </w:p>
        </w:tc>
      </w:tr>
      <w:tr w14:paraId="2E9DC5FD">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2F4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2440EF">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宋体" w:hAnsi="宋体" w:eastAsia="宋体" w:cs="宋体"/>
                <w:color w:val="000000"/>
                <w:kern w:val="0"/>
                <w:sz w:val="18"/>
                <w:szCs w:val="18"/>
              </w:rPr>
              <w:t>有效</w:t>
            </w:r>
            <w:r>
              <w:rPr>
                <w:rFonts w:ascii="宋体" w:hAnsi="宋体" w:eastAsia="宋体" w:cs="宋体"/>
                <w:color w:val="000000"/>
                <w:kern w:val="0"/>
                <w:sz w:val="18"/>
                <w:szCs w:val="18"/>
              </w:rPr>
              <w:t>保障新建政务中心大楼正常运转，保障全县政府集中采购工作开展</w:t>
            </w:r>
          </w:p>
        </w:tc>
      </w:tr>
      <w:tr w14:paraId="5D6F286B">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8E2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C7EABD">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43D19D83">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67B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BCD6EA">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7FFED4DA">
        <w:tblPrEx>
          <w:tblCellMar>
            <w:top w:w="0" w:type="dxa"/>
            <w:left w:w="108" w:type="dxa"/>
            <w:bottom w:w="0" w:type="dxa"/>
            <w:right w:w="108" w:type="dxa"/>
          </w:tblCellMar>
        </w:tblPrEx>
        <w:trPr>
          <w:trHeight w:val="286" w:hRule="atLeast"/>
        </w:trPr>
        <w:tc>
          <w:tcPr>
            <w:tcW w:w="72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E7812F">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6AB293">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财务负责人：罗冬梅</w:t>
            </w:r>
          </w:p>
        </w:tc>
      </w:tr>
      <w:tr w14:paraId="62FFB778">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E4F08E">
            <w:pPr>
              <w:pageBreakBefore w:val="0"/>
              <w:widowControl/>
              <w:kinsoku/>
              <w:wordWrap/>
              <w:overflowPunct/>
              <w:topLinePunct w:val="0"/>
              <w:autoSpaceDE/>
              <w:autoSpaceDN/>
              <w:bidi w:val="0"/>
              <w:ind w:firstLine="3012" w:firstLineChars="1000"/>
              <w:jc w:val="both"/>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5B671265">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C469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BC2A1D">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51323323T000009193108-红原县政务服务中心装饰装修工程项目</w:t>
            </w:r>
          </w:p>
        </w:tc>
      </w:tr>
      <w:tr w14:paraId="0A7192F1">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8CB9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72B50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32B46FCD">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E633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44398B91">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720A2">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6A8FF">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4783D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635EF">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273394A9">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2CD27">
            <w:pPr>
              <w:pageBreakBefore w:val="0"/>
              <w:kinsoku/>
              <w:wordWrap/>
              <w:overflowPunct/>
              <w:topLinePunct w:val="0"/>
              <w:autoSpaceDE/>
              <w:autoSpaceDN/>
              <w:bidi w:val="0"/>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9F3B9">
            <w:pPr>
              <w:pageBreakBefore w:val="0"/>
              <w:kinsoku/>
              <w:wordWrap/>
              <w:overflowPunct/>
              <w:topLinePunct w:val="0"/>
              <w:autoSpaceDE/>
              <w:autoSpaceDN/>
              <w:bidi w:val="0"/>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7FC46">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政务服务中心装饰装修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E82833">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完成了红原县政务服务中心建设项目的装饰装修</w:t>
            </w:r>
          </w:p>
        </w:tc>
      </w:tr>
      <w:tr w14:paraId="0DE1EF56">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CD20E">
            <w:pPr>
              <w:pageBreakBefore w:val="0"/>
              <w:kinsoku/>
              <w:wordWrap/>
              <w:overflowPunct/>
              <w:topLinePunct w:val="0"/>
              <w:autoSpaceDE/>
              <w:autoSpaceDN/>
              <w:bidi w:val="0"/>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6757">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767BB6">
            <w:pPr>
              <w:pageBreakBefore w:val="0"/>
              <w:kinsoku/>
              <w:wordWrap/>
              <w:overflowPunct/>
              <w:topLinePunct w:val="0"/>
              <w:autoSpaceDE/>
              <w:autoSpaceDN/>
              <w:bidi w:val="0"/>
              <w:rPr>
                <w:rFonts w:ascii="宋体" w:hAnsi="宋体" w:eastAsia="宋体" w:cs="宋体"/>
                <w:color w:val="000000"/>
                <w:sz w:val="18"/>
                <w:szCs w:val="18"/>
              </w:rPr>
            </w:pPr>
          </w:p>
        </w:tc>
      </w:tr>
      <w:tr w14:paraId="0DA75A3E">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C7B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92A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E39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4E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6AE4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FAB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686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9AD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43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16E88835">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12D2E">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E05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87E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49C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179.17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040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140.81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5FD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78.59%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37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18D1">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506D4">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r>
              <w:rPr>
                <w:rFonts w:hint="eastAsia" w:ascii="黑体" w:hAnsi="黑体" w:eastAsia="黑体" w:cs="黑体"/>
                <w:i/>
                <w:iCs/>
                <w:color w:val="000000"/>
                <w:sz w:val="18"/>
                <w:szCs w:val="18"/>
              </w:rPr>
              <w:t>红原县政务服务中心中心建设项目按合同规定尾款未到期支付</w:t>
            </w:r>
          </w:p>
        </w:tc>
      </w:tr>
      <w:tr w14:paraId="35233626">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12D5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B8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C9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8E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179.17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5B48F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140.81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FF2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78.59%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6FF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6E2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68829">
            <w:pPr>
              <w:pageBreakBefore w:val="0"/>
              <w:kinsoku/>
              <w:wordWrap/>
              <w:overflowPunct/>
              <w:topLinePunct w:val="0"/>
              <w:autoSpaceDE/>
              <w:autoSpaceDN/>
              <w:bidi w:val="0"/>
              <w:rPr>
                <w:rFonts w:ascii="黑体" w:hAnsi="黑体" w:eastAsia="黑体" w:cs="黑体"/>
                <w:i/>
                <w:iCs/>
                <w:color w:val="000000"/>
                <w:sz w:val="18"/>
                <w:szCs w:val="18"/>
              </w:rPr>
            </w:pPr>
          </w:p>
        </w:tc>
      </w:tr>
      <w:tr w14:paraId="10543D0D">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5113D">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722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DA6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E34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B143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8BA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7C4B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53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D788F">
            <w:pPr>
              <w:pageBreakBefore w:val="0"/>
              <w:kinsoku/>
              <w:wordWrap/>
              <w:overflowPunct/>
              <w:topLinePunct w:val="0"/>
              <w:autoSpaceDE/>
              <w:autoSpaceDN/>
              <w:bidi w:val="0"/>
              <w:rPr>
                <w:rFonts w:ascii="黑体" w:hAnsi="黑体" w:eastAsia="黑体" w:cs="黑体"/>
                <w:i/>
                <w:iCs/>
                <w:color w:val="000000"/>
                <w:sz w:val="18"/>
                <w:szCs w:val="18"/>
              </w:rPr>
            </w:pPr>
          </w:p>
        </w:tc>
      </w:tr>
      <w:tr w14:paraId="58DED3CD">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F4962">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AC1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1EC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A43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289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606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D24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827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2A59">
            <w:pPr>
              <w:pageBreakBefore w:val="0"/>
              <w:kinsoku/>
              <w:wordWrap/>
              <w:overflowPunct/>
              <w:topLinePunct w:val="0"/>
              <w:autoSpaceDE/>
              <w:autoSpaceDN/>
              <w:bidi w:val="0"/>
              <w:rPr>
                <w:rFonts w:ascii="黑体" w:hAnsi="黑体" w:eastAsia="黑体" w:cs="黑体"/>
                <w:i/>
                <w:iCs/>
                <w:color w:val="000000"/>
                <w:sz w:val="18"/>
                <w:szCs w:val="18"/>
              </w:rPr>
            </w:pPr>
          </w:p>
        </w:tc>
      </w:tr>
      <w:tr w14:paraId="37ECE171">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FEA9">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8D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5B2C">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2C4C">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7770E">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C85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455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55C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4A171">
            <w:pPr>
              <w:pageBreakBefore w:val="0"/>
              <w:kinsoku/>
              <w:wordWrap/>
              <w:overflowPunct/>
              <w:topLinePunct w:val="0"/>
              <w:autoSpaceDE/>
              <w:autoSpaceDN/>
              <w:bidi w:val="0"/>
              <w:rPr>
                <w:rFonts w:ascii="黑体" w:hAnsi="黑体" w:eastAsia="黑体" w:cs="黑体"/>
                <w:i/>
                <w:iCs/>
                <w:color w:val="000000"/>
                <w:sz w:val="18"/>
                <w:szCs w:val="18"/>
              </w:rPr>
            </w:pPr>
          </w:p>
        </w:tc>
      </w:tr>
      <w:tr w14:paraId="395C5673">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59D0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A99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E05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DA2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251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D15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A1B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C67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28F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6C8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309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4AA7C82D">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137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BE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43E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6F3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红原县政务服务中心装饰装修工程项目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DAB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4AB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2023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800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15FD">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2023年</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667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54C">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F21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338473EA">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78566">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E7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38B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FC0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红原县政务服务中心装饰装修工程项目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5E9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018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41F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7181">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C83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4103">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8952">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620AF6D5">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6D0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862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A3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729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红原县政务服务中心装饰装修工程项目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C08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178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112.36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554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8FA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140.81万元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E84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CED1">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6BF7">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6C3E3C16">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77E9E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69F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EC67">
            <w:pPr>
              <w:pageBreakBefore w:val="0"/>
              <w:kinsoku/>
              <w:wordWrap/>
              <w:overflowPunct/>
              <w:topLinePunct w:val="0"/>
              <w:autoSpaceDE/>
              <w:autoSpaceDN/>
              <w:bidi w:val="0"/>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2703">
            <w:pPr>
              <w:pageBreakBefore w:val="0"/>
              <w:kinsoku/>
              <w:wordWrap/>
              <w:overflowPunct/>
              <w:topLinePunct w:val="0"/>
              <w:autoSpaceDE/>
              <w:autoSpaceDN/>
              <w:bidi w:val="0"/>
              <w:rPr>
                <w:rFonts w:ascii="宋体" w:hAnsi="宋体" w:eastAsia="宋体" w:cs="宋体"/>
                <w:color w:val="000000"/>
                <w:sz w:val="18"/>
                <w:szCs w:val="18"/>
              </w:rPr>
            </w:pPr>
          </w:p>
        </w:tc>
      </w:tr>
      <w:tr w14:paraId="60D229C3">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B2B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F51D73">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该项目极大改善了政务服务中心的硬件设施，提升了服务形象，优化了群众办事环境，有效提升了政务服务环境，</w:t>
            </w:r>
          </w:p>
        </w:tc>
      </w:tr>
      <w:tr w14:paraId="2BF4D184">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248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2371AC">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预算编制大于绩效目标设定，是因资金支付时包含了装饰装修费用及装饰装修前期设计等费用</w:t>
            </w:r>
          </w:p>
        </w:tc>
      </w:tr>
      <w:tr w14:paraId="234E1F57">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581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107A81">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加强预算编制的精准化</w:t>
            </w:r>
          </w:p>
        </w:tc>
      </w:tr>
      <w:tr w14:paraId="4BAFA278">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25060">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5ECBE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5095ACA5">
      <w:pPr>
        <w:pStyle w:val="10"/>
        <w:pageBreakBefore w:val="0"/>
        <w:kinsoku/>
        <w:wordWrap/>
        <w:overflowPunct/>
        <w:topLinePunct w:val="0"/>
        <w:autoSpaceDE/>
        <w:autoSpaceDN/>
        <w:bidi w:val="0"/>
        <w:spacing w:after="0" w:line="578" w:lineRule="exact"/>
        <w:ind w:left="0" w:leftChars="0" w:firstLine="0" w:firstLineChars="0"/>
        <w:jc w:val="center"/>
        <w:rPr>
          <w:rFonts w:hAnsi="仿宋_GB2312" w:cs="仿宋_GB2312"/>
          <w:color w:val="000000"/>
          <w:kern w:val="0"/>
        </w:rPr>
      </w:pPr>
    </w:p>
    <w:p w14:paraId="1B9D4393">
      <w:pPr>
        <w:pStyle w:val="10"/>
        <w:pageBreakBefore w:val="0"/>
        <w:kinsoku/>
        <w:wordWrap/>
        <w:overflowPunct/>
        <w:topLinePunct w:val="0"/>
        <w:autoSpaceDE/>
        <w:autoSpaceDN/>
        <w:bidi w:val="0"/>
        <w:spacing w:after="0" w:line="578" w:lineRule="exact"/>
        <w:ind w:left="0" w:leftChars="0" w:firstLine="0" w:firstLineChars="0"/>
        <w:jc w:val="center"/>
        <w:rPr>
          <w:rFonts w:hAnsi="仿宋_GB2312" w:cs="仿宋_GB2312"/>
          <w:color w:val="000000"/>
          <w:kern w:val="0"/>
        </w:rPr>
      </w:pPr>
    </w:p>
    <w:p w14:paraId="7474FE1B">
      <w:pPr>
        <w:pStyle w:val="10"/>
        <w:pageBreakBefore w:val="0"/>
        <w:kinsoku/>
        <w:wordWrap/>
        <w:overflowPunct/>
        <w:topLinePunct w:val="0"/>
        <w:autoSpaceDE/>
        <w:autoSpaceDN/>
        <w:bidi w:val="0"/>
        <w:spacing w:after="0" w:line="578" w:lineRule="exact"/>
        <w:ind w:left="0" w:leftChars="0" w:firstLine="0" w:firstLineChars="0"/>
        <w:jc w:val="center"/>
        <w:rPr>
          <w:rFonts w:hAnsi="仿宋_GB2312" w:cs="仿宋_GB2312"/>
          <w:color w:val="000000"/>
          <w:kern w:val="0"/>
        </w:rPr>
      </w:pPr>
    </w:p>
    <w:tbl>
      <w:tblPr>
        <w:tblStyle w:val="20"/>
        <w:tblW w:w="14100" w:type="dxa"/>
        <w:tblInd w:w="93" w:type="dxa"/>
        <w:tblLayout w:type="autofit"/>
        <w:tblCellMar>
          <w:top w:w="0" w:type="dxa"/>
          <w:left w:w="108" w:type="dxa"/>
          <w:bottom w:w="0" w:type="dxa"/>
          <w:right w:w="108" w:type="dxa"/>
        </w:tblCellMar>
      </w:tblPr>
      <w:tblGrid>
        <w:gridCol w:w="684"/>
        <w:gridCol w:w="2051"/>
        <w:gridCol w:w="1775"/>
        <w:gridCol w:w="2263"/>
        <w:gridCol w:w="521"/>
        <w:gridCol w:w="1677"/>
        <w:gridCol w:w="521"/>
        <w:gridCol w:w="1091"/>
        <w:gridCol w:w="505"/>
        <w:gridCol w:w="456"/>
        <w:gridCol w:w="2556"/>
      </w:tblGrid>
      <w:tr w14:paraId="2D597D7B">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5511FB">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42FC2257">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50592">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45744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51323323T000009193122-红原县政务服务中心信息化建设及设备采购项目</w:t>
            </w:r>
          </w:p>
        </w:tc>
      </w:tr>
      <w:tr w14:paraId="52AB7981">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8FCC7">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15E74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4A1C7918">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2C0D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2D80F293">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902EC">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8D92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7101D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BC1AA4">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78CFD91A">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95BE">
            <w:pPr>
              <w:pageBreakBefore w:val="0"/>
              <w:kinsoku/>
              <w:wordWrap/>
              <w:overflowPunct/>
              <w:topLinePunct w:val="0"/>
              <w:autoSpaceDE/>
              <w:autoSpaceDN/>
              <w:bidi w:val="0"/>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5647E">
            <w:pPr>
              <w:pageBreakBefore w:val="0"/>
              <w:kinsoku/>
              <w:wordWrap/>
              <w:overflowPunct/>
              <w:topLinePunct w:val="0"/>
              <w:autoSpaceDE/>
              <w:autoSpaceDN/>
              <w:bidi w:val="0"/>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76ABC5">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红原县政务服务中心信息化建设及设备采购</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7D508E">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完在了红原县政务服务中心信息化建设，设备已安装，调式，已投入使用。</w:t>
            </w:r>
          </w:p>
        </w:tc>
      </w:tr>
      <w:tr w14:paraId="33BD85C7">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65024">
            <w:pPr>
              <w:pageBreakBefore w:val="0"/>
              <w:kinsoku/>
              <w:wordWrap/>
              <w:overflowPunct/>
              <w:topLinePunct w:val="0"/>
              <w:autoSpaceDE/>
              <w:autoSpaceDN/>
              <w:bidi w:val="0"/>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E095">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82EED9">
            <w:pPr>
              <w:pageBreakBefore w:val="0"/>
              <w:kinsoku/>
              <w:wordWrap/>
              <w:overflowPunct/>
              <w:topLinePunct w:val="0"/>
              <w:autoSpaceDE/>
              <w:autoSpaceDN/>
              <w:bidi w:val="0"/>
              <w:rPr>
                <w:rFonts w:ascii="宋体" w:hAnsi="宋体" w:eastAsia="宋体" w:cs="宋体"/>
                <w:color w:val="000000"/>
                <w:sz w:val="18"/>
                <w:szCs w:val="18"/>
              </w:rPr>
            </w:pPr>
          </w:p>
        </w:tc>
      </w:tr>
      <w:tr w14:paraId="38042D8A">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D92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0BC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0F9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0E7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B087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21C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145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DAD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698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159D3732">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584F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C52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82E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748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565.35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C68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529.22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0E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93.61%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14A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C92C">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10D40">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r>
              <w:rPr>
                <w:rFonts w:hint="eastAsia" w:ascii="黑体" w:hAnsi="黑体" w:eastAsia="黑体" w:cs="黑体"/>
                <w:i/>
                <w:iCs/>
                <w:color w:val="000000"/>
                <w:sz w:val="18"/>
                <w:szCs w:val="18"/>
              </w:rPr>
              <w:t>按合同规定，项目尾款还未达到支付时间。</w:t>
            </w:r>
          </w:p>
        </w:tc>
      </w:tr>
      <w:tr w14:paraId="65F3DF6F">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03FA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199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483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E7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565.35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2374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529.22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6C9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93.61%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346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5C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F83E">
            <w:pPr>
              <w:pageBreakBefore w:val="0"/>
              <w:kinsoku/>
              <w:wordWrap/>
              <w:overflowPunct/>
              <w:topLinePunct w:val="0"/>
              <w:autoSpaceDE/>
              <w:autoSpaceDN/>
              <w:bidi w:val="0"/>
              <w:rPr>
                <w:rFonts w:ascii="黑体" w:hAnsi="黑体" w:eastAsia="黑体" w:cs="黑体"/>
                <w:i/>
                <w:iCs/>
                <w:color w:val="000000"/>
                <w:sz w:val="18"/>
                <w:szCs w:val="18"/>
              </w:rPr>
            </w:pPr>
          </w:p>
        </w:tc>
      </w:tr>
      <w:tr w14:paraId="5465495E">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AD66">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6D2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40E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A67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BABA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D96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9EB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CF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23E4A">
            <w:pPr>
              <w:pageBreakBefore w:val="0"/>
              <w:kinsoku/>
              <w:wordWrap/>
              <w:overflowPunct/>
              <w:topLinePunct w:val="0"/>
              <w:autoSpaceDE/>
              <w:autoSpaceDN/>
              <w:bidi w:val="0"/>
              <w:rPr>
                <w:rFonts w:ascii="黑体" w:hAnsi="黑体" w:eastAsia="黑体" w:cs="黑体"/>
                <w:i/>
                <w:iCs/>
                <w:color w:val="000000"/>
                <w:sz w:val="18"/>
                <w:szCs w:val="18"/>
              </w:rPr>
            </w:pPr>
          </w:p>
        </w:tc>
      </w:tr>
      <w:tr w14:paraId="2D7CD4D6">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B8EA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484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B5C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B49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E2FC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E6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A6A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8FB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BA454">
            <w:pPr>
              <w:pageBreakBefore w:val="0"/>
              <w:kinsoku/>
              <w:wordWrap/>
              <w:overflowPunct/>
              <w:topLinePunct w:val="0"/>
              <w:autoSpaceDE/>
              <w:autoSpaceDN/>
              <w:bidi w:val="0"/>
              <w:rPr>
                <w:rFonts w:ascii="黑体" w:hAnsi="黑体" w:eastAsia="黑体" w:cs="黑体"/>
                <w:i/>
                <w:iCs/>
                <w:color w:val="000000"/>
                <w:sz w:val="18"/>
                <w:szCs w:val="18"/>
              </w:rPr>
            </w:pPr>
          </w:p>
        </w:tc>
      </w:tr>
      <w:tr w14:paraId="2FA42F25">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BA237">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003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91C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124D">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B7A2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168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F0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32B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EAAD2">
            <w:pPr>
              <w:pageBreakBefore w:val="0"/>
              <w:kinsoku/>
              <w:wordWrap/>
              <w:overflowPunct/>
              <w:topLinePunct w:val="0"/>
              <w:autoSpaceDE/>
              <w:autoSpaceDN/>
              <w:bidi w:val="0"/>
              <w:rPr>
                <w:rFonts w:ascii="黑体" w:hAnsi="黑体" w:eastAsia="黑体" w:cs="黑体"/>
                <w:i/>
                <w:iCs/>
                <w:color w:val="000000"/>
                <w:sz w:val="18"/>
                <w:szCs w:val="18"/>
              </w:rPr>
            </w:pPr>
          </w:p>
        </w:tc>
      </w:tr>
      <w:tr w14:paraId="704C7434">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242D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159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1CE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542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E3C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404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496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3F7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08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D0A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7A8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35BE8EE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92942">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E36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0C7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D96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该项目质量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34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686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D16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68B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3DC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EED4">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2884">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5AB3D52">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E96E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D3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C45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FF7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该项目完成后方便群众办事</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381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44E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37A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634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DC3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E5C7">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E5C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9827F52">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FA59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5FD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E2F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180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该项目投资总额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D9F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2F2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565.34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26B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412E">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565.35万元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D13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FD58">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1C7B">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92E46EE">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CE6E0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FAE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C19D">
            <w:pPr>
              <w:pageBreakBefore w:val="0"/>
              <w:kinsoku/>
              <w:wordWrap/>
              <w:overflowPunct/>
              <w:topLinePunct w:val="0"/>
              <w:autoSpaceDE/>
              <w:autoSpaceDN/>
              <w:bidi w:val="0"/>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2C49">
            <w:pPr>
              <w:pageBreakBefore w:val="0"/>
              <w:kinsoku/>
              <w:wordWrap/>
              <w:overflowPunct/>
              <w:topLinePunct w:val="0"/>
              <w:autoSpaceDE/>
              <w:autoSpaceDN/>
              <w:bidi w:val="0"/>
              <w:rPr>
                <w:rFonts w:ascii="宋体" w:hAnsi="宋体" w:eastAsia="宋体" w:cs="宋体"/>
                <w:color w:val="000000"/>
                <w:sz w:val="18"/>
                <w:szCs w:val="18"/>
              </w:rPr>
            </w:pPr>
          </w:p>
        </w:tc>
      </w:tr>
      <w:tr w14:paraId="680EC782">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848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171712">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该项目使政务服务效率大幅提升，群众办事的便捷性和满意度大幅提高。项目的实施有效推动了政务服务的数字化转型，为构建高效、透明的现代化政务服务体系奠定了坚实基础。</w:t>
            </w:r>
          </w:p>
        </w:tc>
      </w:tr>
      <w:tr w14:paraId="2ADF9B7D">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F48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30FB86">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600BE1F2">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B26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CA3CAF">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2667A96E">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298765">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544D0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56AEB161">
      <w:pPr>
        <w:pStyle w:val="10"/>
        <w:pageBreakBefore w:val="0"/>
        <w:kinsoku/>
        <w:wordWrap/>
        <w:overflowPunct/>
        <w:topLinePunct w:val="0"/>
        <w:autoSpaceDE/>
        <w:autoSpaceDN/>
        <w:bidi w:val="0"/>
        <w:spacing w:after="0" w:line="578" w:lineRule="exact"/>
        <w:ind w:left="0" w:leftChars="0" w:firstLine="0" w:firstLineChars="0"/>
        <w:jc w:val="both"/>
        <w:rPr>
          <w:rFonts w:hAnsi="仿宋_GB2312" w:cs="仿宋_GB2312"/>
          <w:color w:val="000000"/>
          <w:kern w:val="0"/>
        </w:rPr>
      </w:pPr>
    </w:p>
    <w:tbl>
      <w:tblPr>
        <w:tblStyle w:val="20"/>
        <w:tblW w:w="14100" w:type="dxa"/>
        <w:tblInd w:w="93" w:type="dxa"/>
        <w:tblLayout w:type="autofit"/>
        <w:tblCellMar>
          <w:top w:w="0" w:type="dxa"/>
          <w:left w:w="108" w:type="dxa"/>
          <w:bottom w:w="0" w:type="dxa"/>
          <w:right w:w="108" w:type="dxa"/>
        </w:tblCellMar>
      </w:tblPr>
      <w:tblGrid>
        <w:gridCol w:w="684"/>
        <w:gridCol w:w="2051"/>
        <w:gridCol w:w="1775"/>
        <w:gridCol w:w="2263"/>
        <w:gridCol w:w="521"/>
        <w:gridCol w:w="1677"/>
        <w:gridCol w:w="521"/>
        <w:gridCol w:w="1091"/>
        <w:gridCol w:w="505"/>
        <w:gridCol w:w="456"/>
        <w:gridCol w:w="2556"/>
      </w:tblGrid>
      <w:tr w14:paraId="651FBBB1">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ADA26C">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44F23CE2">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B4929">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A03B3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51323325T000012143066-红原县行政审批局更新政务服务中心工作人员服装采购质保金（成都南山尼博服装有限公司）</w:t>
            </w:r>
          </w:p>
        </w:tc>
      </w:tr>
      <w:tr w14:paraId="2BD2F780">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CE8B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D203A6">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61745FDD">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24B3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5039F436">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149A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9290D">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7A9E7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984513">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0066D487">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1E567">
            <w:pPr>
              <w:pageBreakBefore w:val="0"/>
              <w:kinsoku/>
              <w:wordWrap/>
              <w:overflowPunct/>
              <w:topLinePunct w:val="0"/>
              <w:autoSpaceDE/>
              <w:autoSpaceDN/>
              <w:bidi w:val="0"/>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F2DAF">
            <w:pPr>
              <w:pageBreakBefore w:val="0"/>
              <w:kinsoku/>
              <w:wordWrap/>
              <w:overflowPunct/>
              <w:topLinePunct w:val="0"/>
              <w:autoSpaceDE/>
              <w:autoSpaceDN/>
              <w:bidi w:val="0"/>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7719C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收取质保金作为一种经济约束手段，对于保障采购质量、维护采购方权益以及促进供应商履行合同义务发挥着关键作用。</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829B06">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服装保证金按合同到期后给予退还支付</w:t>
            </w:r>
          </w:p>
        </w:tc>
      </w:tr>
      <w:tr w14:paraId="26C4F65A">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595D0">
            <w:pPr>
              <w:pageBreakBefore w:val="0"/>
              <w:kinsoku/>
              <w:wordWrap/>
              <w:overflowPunct/>
              <w:topLinePunct w:val="0"/>
              <w:autoSpaceDE/>
              <w:autoSpaceDN/>
              <w:bidi w:val="0"/>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919F">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44694C">
            <w:pPr>
              <w:pageBreakBefore w:val="0"/>
              <w:kinsoku/>
              <w:wordWrap/>
              <w:overflowPunct/>
              <w:topLinePunct w:val="0"/>
              <w:autoSpaceDE/>
              <w:autoSpaceDN/>
              <w:bidi w:val="0"/>
              <w:rPr>
                <w:rFonts w:ascii="宋体" w:hAnsi="宋体" w:eastAsia="宋体" w:cs="宋体"/>
                <w:color w:val="000000"/>
                <w:sz w:val="18"/>
                <w:szCs w:val="18"/>
              </w:rPr>
            </w:pPr>
          </w:p>
        </w:tc>
      </w:tr>
      <w:tr w14:paraId="50E00C82">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FB9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79C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9E0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D2F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FFB1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AED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0F3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332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494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4980773E">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35B1D">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1C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2F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AE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0A06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6B7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9D3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D0F7">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5B506">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p>
        </w:tc>
      </w:tr>
      <w:tr w14:paraId="5045D82E">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5756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0E6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80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20E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452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FD4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15B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F4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651E4">
            <w:pPr>
              <w:pageBreakBefore w:val="0"/>
              <w:kinsoku/>
              <w:wordWrap/>
              <w:overflowPunct/>
              <w:topLinePunct w:val="0"/>
              <w:autoSpaceDE/>
              <w:autoSpaceDN/>
              <w:bidi w:val="0"/>
              <w:rPr>
                <w:rFonts w:ascii="黑体" w:hAnsi="黑体" w:eastAsia="黑体" w:cs="黑体"/>
                <w:i/>
                <w:iCs/>
                <w:color w:val="000000"/>
                <w:sz w:val="18"/>
                <w:szCs w:val="18"/>
              </w:rPr>
            </w:pPr>
          </w:p>
        </w:tc>
      </w:tr>
      <w:tr w14:paraId="2BAF5D0F">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21B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31D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40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C4D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FE73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8A5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F9E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18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EDF7D">
            <w:pPr>
              <w:pageBreakBefore w:val="0"/>
              <w:kinsoku/>
              <w:wordWrap/>
              <w:overflowPunct/>
              <w:topLinePunct w:val="0"/>
              <w:autoSpaceDE/>
              <w:autoSpaceDN/>
              <w:bidi w:val="0"/>
              <w:rPr>
                <w:rFonts w:ascii="黑体" w:hAnsi="黑体" w:eastAsia="黑体" w:cs="黑体"/>
                <w:i/>
                <w:iCs/>
                <w:color w:val="000000"/>
                <w:sz w:val="18"/>
                <w:szCs w:val="18"/>
              </w:rPr>
            </w:pPr>
          </w:p>
        </w:tc>
      </w:tr>
      <w:tr w14:paraId="1C56AFF5">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77CC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DA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779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42F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76B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8F5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745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845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A57A7">
            <w:pPr>
              <w:pageBreakBefore w:val="0"/>
              <w:kinsoku/>
              <w:wordWrap/>
              <w:overflowPunct/>
              <w:topLinePunct w:val="0"/>
              <w:autoSpaceDE/>
              <w:autoSpaceDN/>
              <w:bidi w:val="0"/>
              <w:rPr>
                <w:rFonts w:ascii="黑体" w:hAnsi="黑体" w:eastAsia="黑体" w:cs="黑体"/>
                <w:i/>
                <w:iCs/>
                <w:color w:val="000000"/>
                <w:sz w:val="18"/>
                <w:szCs w:val="18"/>
              </w:rPr>
            </w:pPr>
          </w:p>
        </w:tc>
      </w:tr>
      <w:tr w14:paraId="3A8EA003">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81679">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70E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A15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A3C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4177B">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2857">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998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200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E5DD4">
            <w:pPr>
              <w:pageBreakBefore w:val="0"/>
              <w:kinsoku/>
              <w:wordWrap/>
              <w:overflowPunct/>
              <w:topLinePunct w:val="0"/>
              <w:autoSpaceDE/>
              <w:autoSpaceDN/>
              <w:bidi w:val="0"/>
              <w:rPr>
                <w:rFonts w:ascii="黑体" w:hAnsi="黑体" w:eastAsia="黑体" w:cs="黑体"/>
                <w:i/>
                <w:iCs/>
                <w:color w:val="000000"/>
                <w:sz w:val="18"/>
                <w:szCs w:val="18"/>
              </w:rPr>
            </w:pPr>
          </w:p>
        </w:tc>
      </w:tr>
      <w:tr w14:paraId="6E6FCFF0">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DBAF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D78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98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808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4ED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3C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B5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349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A18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9C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4B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5B006CB8">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F1A89">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348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F74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E23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质保金涵盖服装数量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D3F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7F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ECC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8B73">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93套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7BD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949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3B42">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253BA8A6">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97FF0">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27CE2">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766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545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服装初次验收合格率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CE3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222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9C2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C79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0D5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8194">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3111">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23998BF">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2CD7C">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4E8B">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009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833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质保金收取及时率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16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B74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61D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工作日</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C1B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7日内</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18E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0F8E">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92F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3155D919">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86022">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462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F7A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31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因质量问题节省的采购成本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D1D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408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60F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929D">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310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EFFB">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2C63">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07E7B0A3">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3FBAB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F7A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CE41">
            <w:pPr>
              <w:pageBreakBefore w:val="0"/>
              <w:kinsoku/>
              <w:wordWrap/>
              <w:overflowPunct/>
              <w:topLinePunct w:val="0"/>
              <w:autoSpaceDE/>
              <w:autoSpaceDN/>
              <w:bidi w:val="0"/>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A0CD">
            <w:pPr>
              <w:pageBreakBefore w:val="0"/>
              <w:kinsoku/>
              <w:wordWrap/>
              <w:overflowPunct/>
              <w:topLinePunct w:val="0"/>
              <w:autoSpaceDE/>
              <w:autoSpaceDN/>
              <w:bidi w:val="0"/>
              <w:rPr>
                <w:rFonts w:ascii="宋体" w:hAnsi="宋体" w:eastAsia="宋体" w:cs="宋体"/>
                <w:color w:val="000000"/>
                <w:sz w:val="18"/>
                <w:szCs w:val="18"/>
              </w:rPr>
            </w:pPr>
          </w:p>
        </w:tc>
      </w:tr>
      <w:tr w14:paraId="68CDC44E">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17A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32A828">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采购服装及退还质保金项目整体执行规范、效益明确</w:t>
            </w:r>
          </w:p>
        </w:tc>
      </w:tr>
      <w:tr w14:paraId="231FF8E3">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58D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088844">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27507820">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18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907DED">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5DF7F6F6">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517D25">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E5477F">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513061EF">
      <w:pPr>
        <w:pStyle w:val="10"/>
        <w:pageBreakBefore w:val="0"/>
        <w:kinsoku/>
        <w:wordWrap/>
        <w:overflowPunct/>
        <w:topLinePunct w:val="0"/>
        <w:autoSpaceDE/>
        <w:autoSpaceDN/>
        <w:bidi w:val="0"/>
        <w:spacing w:after="0" w:line="578" w:lineRule="exact"/>
        <w:ind w:left="0" w:leftChars="0" w:firstLine="0" w:firstLineChars="0"/>
        <w:jc w:val="both"/>
        <w:rPr>
          <w:rFonts w:hAnsi="仿宋_GB2312" w:cs="仿宋_GB2312"/>
          <w:color w:val="000000"/>
          <w:kern w:val="0"/>
        </w:rPr>
      </w:pPr>
    </w:p>
    <w:tbl>
      <w:tblPr>
        <w:tblStyle w:val="20"/>
        <w:tblW w:w="14100" w:type="dxa"/>
        <w:tblInd w:w="93" w:type="dxa"/>
        <w:tblLayout w:type="autofit"/>
        <w:tblCellMar>
          <w:top w:w="0" w:type="dxa"/>
          <w:left w:w="108" w:type="dxa"/>
          <w:bottom w:w="0" w:type="dxa"/>
          <w:right w:w="108" w:type="dxa"/>
        </w:tblCellMar>
      </w:tblPr>
      <w:tblGrid>
        <w:gridCol w:w="684"/>
        <w:gridCol w:w="2051"/>
        <w:gridCol w:w="1775"/>
        <w:gridCol w:w="2263"/>
        <w:gridCol w:w="521"/>
        <w:gridCol w:w="1677"/>
        <w:gridCol w:w="521"/>
        <w:gridCol w:w="1091"/>
        <w:gridCol w:w="505"/>
        <w:gridCol w:w="456"/>
        <w:gridCol w:w="2556"/>
      </w:tblGrid>
      <w:tr w14:paraId="3B170B8F">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64F332">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5E645235">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9E3F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1EA1A5">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51323325T000012174935-县会议中心会议室用桌套资金</w:t>
            </w:r>
          </w:p>
        </w:tc>
      </w:tr>
      <w:tr w14:paraId="583F7BDB">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7EE86">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4E7E4C">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2742ABD6">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0F2A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093C88E1">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F103B">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07CB6">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B97C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9793DC">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6F156D31">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AB0AA">
            <w:pPr>
              <w:pageBreakBefore w:val="0"/>
              <w:kinsoku/>
              <w:wordWrap/>
              <w:overflowPunct/>
              <w:topLinePunct w:val="0"/>
              <w:autoSpaceDE/>
              <w:autoSpaceDN/>
              <w:bidi w:val="0"/>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38AD">
            <w:pPr>
              <w:pageBreakBefore w:val="0"/>
              <w:kinsoku/>
              <w:wordWrap/>
              <w:overflowPunct/>
              <w:topLinePunct w:val="0"/>
              <w:autoSpaceDE/>
              <w:autoSpaceDN/>
              <w:bidi w:val="0"/>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65E32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为县会议中心会议室提供高质量、适配且成本合理的桌套，满足会议中心的日常使用和形象需求。</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867C9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按计划完成桌套采购，材质颜色符合会议中心标准，四楼自动化钢化玻璃门6平方米，铝合金门牌4个定制。</w:t>
            </w:r>
          </w:p>
        </w:tc>
      </w:tr>
      <w:tr w14:paraId="42F53AE0">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BA558">
            <w:pPr>
              <w:pageBreakBefore w:val="0"/>
              <w:kinsoku/>
              <w:wordWrap/>
              <w:overflowPunct/>
              <w:topLinePunct w:val="0"/>
              <w:autoSpaceDE/>
              <w:autoSpaceDN/>
              <w:bidi w:val="0"/>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6B51">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4B1A96">
            <w:pPr>
              <w:pageBreakBefore w:val="0"/>
              <w:kinsoku/>
              <w:wordWrap/>
              <w:overflowPunct/>
              <w:topLinePunct w:val="0"/>
              <w:autoSpaceDE/>
              <w:autoSpaceDN/>
              <w:bidi w:val="0"/>
              <w:rPr>
                <w:rFonts w:ascii="宋体" w:hAnsi="宋体" w:eastAsia="宋体" w:cs="宋体"/>
                <w:color w:val="000000"/>
                <w:sz w:val="18"/>
                <w:szCs w:val="18"/>
              </w:rPr>
            </w:pPr>
          </w:p>
        </w:tc>
      </w:tr>
      <w:tr w14:paraId="13B3611E">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C6AF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A3C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1E6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75A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2DC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A8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600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FC9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AE9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08401499">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548DB">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001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A65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31D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2ABC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F8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0C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0898">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17DC">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p>
        </w:tc>
      </w:tr>
      <w:tr w14:paraId="28873882">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9CDC7">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951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6BC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507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F8D37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CB2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987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44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F0E6B">
            <w:pPr>
              <w:pageBreakBefore w:val="0"/>
              <w:kinsoku/>
              <w:wordWrap/>
              <w:overflowPunct/>
              <w:topLinePunct w:val="0"/>
              <w:autoSpaceDE/>
              <w:autoSpaceDN/>
              <w:bidi w:val="0"/>
              <w:rPr>
                <w:rFonts w:ascii="黑体" w:hAnsi="黑体" w:eastAsia="黑体" w:cs="黑体"/>
                <w:i/>
                <w:iCs/>
                <w:color w:val="000000"/>
                <w:sz w:val="18"/>
                <w:szCs w:val="18"/>
              </w:rPr>
            </w:pPr>
          </w:p>
        </w:tc>
      </w:tr>
      <w:tr w14:paraId="71D232F0">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2A7E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CE9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2C7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0C1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C069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BC3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6D9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225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3B91A">
            <w:pPr>
              <w:pageBreakBefore w:val="0"/>
              <w:kinsoku/>
              <w:wordWrap/>
              <w:overflowPunct/>
              <w:topLinePunct w:val="0"/>
              <w:autoSpaceDE/>
              <w:autoSpaceDN/>
              <w:bidi w:val="0"/>
              <w:rPr>
                <w:rFonts w:ascii="黑体" w:hAnsi="黑体" w:eastAsia="黑体" w:cs="黑体"/>
                <w:i/>
                <w:iCs/>
                <w:color w:val="000000"/>
                <w:sz w:val="18"/>
                <w:szCs w:val="18"/>
              </w:rPr>
            </w:pPr>
          </w:p>
        </w:tc>
      </w:tr>
      <w:tr w14:paraId="03913D70">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DFAE6">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C0A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EEC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0E4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B4C7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C4A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87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64D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5B831">
            <w:pPr>
              <w:pageBreakBefore w:val="0"/>
              <w:kinsoku/>
              <w:wordWrap/>
              <w:overflowPunct/>
              <w:topLinePunct w:val="0"/>
              <w:autoSpaceDE/>
              <w:autoSpaceDN/>
              <w:bidi w:val="0"/>
              <w:rPr>
                <w:rFonts w:ascii="黑体" w:hAnsi="黑体" w:eastAsia="黑体" w:cs="黑体"/>
                <w:i/>
                <w:iCs/>
                <w:color w:val="000000"/>
                <w:sz w:val="18"/>
                <w:szCs w:val="18"/>
              </w:rPr>
            </w:pPr>
          </w:p>
        </w:tc>
      </w:tr>
      <w:tr w14:paraId="1AB49AAE">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25D8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154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AEE7">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51F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74342">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608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2CF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E17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68916">
            <w:pPr>
              <w:pageBreakBefore w:val="0"/>
              <w:kinsoku/>
              <w:wordWrap/>
              <w:overflowPunct/>
              <w:topLinePunct w:val="0"/>
              <w:autoSpaceDE/>
              <w:autoSpaceDN/>
              <w:bidi w:val="0"/>
              <w:rPr>
                <w:rFonts w:ascii="黑体" w:hAnsi="黑体" w:eastAsia="黑体" w:cs="黑体"/>
                <w:i/>
                <w:iCs/>
                <w:color w:val="000000"/>
                <w:sz w:val="18"/>
                <w:szCs w:val="18"/>
              </w:rPr>
            </w:pPr>
          </w:p>
        </w:tc>
      </w:tr>
      <w:tr w14:paraId="0ACECEB9">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1294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D85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CF4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121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86D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B0C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BBC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D50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3C6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A3D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9A8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795DD88B">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CA951">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3933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2711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8AA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尺寸规格准确率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57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A4D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646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06ED">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0BF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70C6">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BEC6">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7052DF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00F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E2E5B">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C0998">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5BF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颜色一致性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12F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01E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8BF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2F81">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178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8C3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93BD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0D6B6DE2">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13598">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3531B">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9173">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AE0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材质质量达标率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019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B0B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12A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A05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23B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3802">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303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5862909D">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1223C">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E47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1C9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614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可重复使用桌套比例</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364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F74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196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FD9F">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291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1B57">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D09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682EE2ED">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DE7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67E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E8A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D55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单位采购成本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CC6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7EB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6.031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F1F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3229">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6.031万元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99A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460D">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2B8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r>
      <w:tr w14:paraId="41A8FE8A">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E8232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729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E714">
            <w:pPr>
              <w:pageBreakBefore w:val="0"/>
              <w:kinsoku/>
              <w:wordWrap/>
              <w:overflowPunct/>
              <w:topLinePunct w:val="0"/>
              <w:autoSpaceDE/>
              <w:autoSpaceDN/>
              <w:bidi w:val="0"/>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3A15">
            <w:pPr>
              <w:pageBreakBefore w:val="0"/>
              <w:kinsoku/>
              <w:wordWrap/>
              <w:overflowPunct/>
              <w:topLinePunct w:val="0"/>
              <w:autoSpaceDE/>
              <w:autoSpaceDN/>
              <w:bidi w:val="0"/>
              <w:rPr>
                <w:rFonts w:ascii="宋体" w:hAnsi="宋体" w:eastAsia="宋体" w:cs="宋体"/>
                <w:color w:val="000000"/>
                <w:sz w:val="18"/>
                <w:szCs w:val="18"/>
              </w:rPr>
            </w:pPr>
          </w:p>
        </w:tc>
      </w:tr>
      <w:tr w14:paraId="2E206B34">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AA4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99E92E">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项目围绕提升会议中心形象，规范会场布置，整体完成度较高，资金使用合规。</w:t>
            </w:r>
          </w:p>
        </w:tc>
      </w:tr>
      <w:tr w14:paraId="3B7478DA">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B70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307F96">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5FC87E9C">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EEA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FE8101">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7D76978C">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F6B884">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DD609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49E88E83">
      <w:pPr>
        <w:pStyle w:val="11"/>
        <w:pageBreakBefore w:val="0"/>
        <w:kinsoku/>
        <w:wordWrap/>
        <w:overflowPunct/>
        <w:topLinePunct w:val="0"/>
        <w:autoSpaceDE/>
        <w:autoSpaceDN/>
        <w:bidi w:val="0"/>
        <w:rPr>
          <w:rFonts w:ascii="仿宋_GB2312" w:hAnsi="仿宋_GB2312" w:cs="仿宋_GB2312"/>
          <w:color w:val="000000"/>
          <w:kern w:val="0"/>
          <w:szCs w:val="32"/>
        </w:rPr>
      </w:pPr>
    </w:p>
    <w:tbl>
      <w:tblPr>
        <w:tblStyle w:val="20"/>
        <w:tblW w:w="14100" w:type="dxa"/>
        <w:tblInd w:w="93" w:type="dxa"/>
        <w:tblLayout w:type="autofit"/>
        <w:tblCellMar>
          <w:top w:w="0" w:type="dxa"/>
          <w:left w:w="108" w:type="dxa"/>
          <w:bottom w:w="0" w:type="dxa"/>
          <w:right w:w="108" w:type="dxa"/>
        </w:tblCellMar>
      </w:tblPr>
      <w:tblGrid>
        <w:gridCol w:w="684"/>
        <w:gridCol w:w="2051"/>
        <w:gridCol w:w="1775"/>
        <w:gridCol w:w="2263"/>
        <w:gridCol w:w="521"/>
        <w:gridCol w:w="1677"/>
        <w:gridCol w:w="521"/>
        <w:gridCol w:w="1091"/>
        <w:gridCol w:w="505"/>
        <w:gridCol w:w="456"/>
        <w:gridCol w:w="2556"/>
      </w:tblGrid>
      <w:tr w14:paraId="78F6A219">
        <w:tblPrEx>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7DD5EA8">
            <w:pPr>
              <w:pageBreakBefore w:val="0"/>
              <w:widowControl/>
              <w:kinsoku/>
              <w:wordWrap/>
              <w:overflowPunct/>
              <w:topLinePunct w:val="0"/>
              <w:autoSpaceDE/>
              <w:autoSpaceDN/>
              <w:bidi w:val="0"/>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3FCBD1D3">
        <w:tblPrEx>
          <w:tblCellMar>
            <w:top w:w="0" w:type="dxa"/>
            <w:left w:w="108" w:type="dxa"/>
            <w:bottom w:w="0" w:type="dxa"/>
            <w:right w:w="108" w:type="dxa"/>
          </w:tblCellMar>
        </w:tblPrEx>
        <w:trPr>
          <w:trHeight w:val="286"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AB875">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6B961E">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51323325T000012773191-红原县行政审批局政务服务“好差评”系统采购项目履约保证金</w:t>
            </w:r>
          </w:p>
        </w:tc>
      </w:tr>
      <w:tr w14:paraId="6B453F03">
        <w:tblPrEx>
          <w:tblCellMar>
            <w:top w:w="0" w:type="dxa"/>
            <w:left w:w="108" w:type="dxa"/>
            <w:bottom w:w="0" w:type="dxa"/>
            <w:right w:w="108" w:type="dxa"/>
          </w:tblCellMar>
        </w:tblPrEx>
        <w:trPr>
          <w:trHeight w:val="512"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E7578">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89BBC">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23014FBC">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8570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1FC95FF5">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F9DF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4F648">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25F13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81E9A0">
            <w:pPr>
              <w:pageBreakBefore w:val="0"/>
              <w:widowControl/>
              <w:kinsoku/>
              <w:wordWrap/>
              <w:overflowPunct/>
              <w:topLinePunct w:val="0"/>
              <w:autoSpaceDE/>
              <w:autoSpaceDN/>
              <w:bidi w:val="0"/>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46CE7F4A">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2A604">
            <w:pPr>
              <w:pageBreakBefore w:val="0"/>
              <w:kinsoku/>
              <w:wordWrap/>
              <w:overflowPunct/>
              <w:topLinePunct w:val="0"/>
              <w:autoSpaceDE/>
              <w:autoSpaceDN/>
              <w:bidi w:val="0"/>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6EA3A">
            <w:pPr>
              <w:pageBreakBefore w:val="0"/>
              <w:kinsoku/>
              <w:wordWrap/>
              <w:overflowPunct/>
              <w:topLinePunct w:val="0"/>
              <w:autoSpaceDE/>
              <w:autoSpaceDN/>
              <w:bidi w:val="0"/>
              <w:rPr>
                <w:rFonts w:ascii="宋体" w:hAnsi="宋体" w:eastAsia="宋体" w:cs="宋体"/>
                <w:color w:val="000000"/>
                <w:sz w:val="18"/>
                <w:szCs w:val="18"/>
              </w:rPr>
            </w:pP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CCCAA9">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退还杭州远传新业科技股份有限公司红原县行政审批局政务服务“好差评”系统采购项目履约保证金，使商家的资金能够合理回流，有效提高资金使用效率，维护资金的正常周转。</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CBC5D">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该项目2021年实施，2024年已退还质保金。</w:t>
            </w:r>
          </w:p>
        </w:tc>
      </w:tr>
      <w:tr w14:paraId="1F51C347">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00E5E">
            <w:pPr>
              <w:pageBreakBefore w:val="0"/>
              <w:kinsoku/>
              <w:wordWrap/>
              <w:overflowPunct/>
              <w:topLinePunct w:val="0"/>
              <w:autoSpaceDE/>
              <w:autoSpaceDN/>
              <w:bidi w:val="0"/>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E5ED">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8319AC">
            <w:pPr>
              <w:pageBreakBefore w:val="0"/>
              <w:kinsoku/>
              <w:wordWrap/>
              <w:overflowPunct/>
              <w:topLinePunct w:val="0"/>
              <w:autoSpaceDE/>
              <w:autoSpaceDN/>
              <w:bidi w:val="0"/>
              <w:rPr>
                <w:rFonts w:ascii="宋体" w:hAnsi="宋体" w:eastAsia="宋体" w:cs="宋体"/>
                <w:color w:val="000000"/>
                <w:sz w:val="18"/>
                <w:szCs w:val="18"/>
              </w:rPr>
            </w:pPr>
          </w:p>
        </w:tc>
      </w:tr>
      <w:tr w14:paraId="41DA2C92">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05BC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3A8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371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A08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5C3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FEE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F1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4F2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C6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1205DD45">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1186E">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84B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4A0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060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E81A2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12B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2EF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F0CA">
            <w:pPr>
              <w:pageBreakBefore w:val="0"/>
              <w:kinsoku/>
              <w:wordWrap/>
              <w:overflowPunct/>
              <w:topLinePunct w:val="0"/>
              <w:autoSpaceDE/>
              <w:autoSpaceDN/>
              <w:bidi w:val="0"/>
              <w:jc w:val="center"/>
              <w:rPr>
                <w:rFonts w:ascii="宋体" w:hAnsi="宋体" w:eastAsia="宋体" w:cs="宋体"/>
                <w:color w:val="000000"/>
                <w:sz w:val="18"/>
                <w:szCs w:val="18"/>
              </w:rPr>
            </w:pPr>
          </w:p>
        </w:tc>
        <w:tc>
          <w:tcPr>
            <w:tcW w:w="25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026C4">
            <w:pPr>
              <w:pageBreakBefore w:val="0"/>
              <w:widowControl/>
              <w:kinsoku/>
              <w:wordWrap/>
              <w:overflowPunct/>
              <w:topLinePunct w:val="0"/>
              <w:autoSpaceDE/>
              <w:autoSpaceDN/>
              <w:bidi w:val="0"/>
              <w:jc w:val="left"/>
              <w:textAlignment w:val="center"/>
              <w:rPr>
                <w:rFonts w:ascii="黑体" w:hAnsi="黑体" w:eastAsia="黑体" w:cs="黑体"/>
                <w:i/>
                <w:iCs/>
                <w:color w:val="000000"/>
                <w:sz w:val="18"/>
                <w:szCs w:val="18"/>
              </w:rPr>
            </w:pPr>
          </w:p>
        </w:tc>
      </w:tr>
      <w:tr w14:paraId="69082CD2">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E71D6">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9E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631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06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9698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A6F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D7C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D72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DCC66">
            <w:pPr>
              <w:pageBreakBefore w:val="0"/>
              <w:kinsoku/>
              <w:wordWrap/>
              <w:overflowPunct/>
              <w:topLinePunct w:val="0"/>
              <w:autoSpaceDE/>
              <w:autoSpaceDN/>
              <w:bidi w:val="0"/>
              <w:rPr>
                <w:rFonts w:ascii="黑体" w:hAnsi="黑体" w:eastAsia="黑体" w:cs="黑体"/>
                <w:i/>
                <w:iCs/>
                <w:color w:val="000000"/>
                <w:sz w:val="18"/>
                <w:szCs w:val="18"/>
              </w:rPr>
            </w:pPr>
          </w:p>
        </w:tc>
      </w:tr>
      <w:tr w14:paraId="68CD8136">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1449C">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925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0BC5">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C09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E5B3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9FE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E9C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DB4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88725">
            <w:pPr>
              <w:pageBreakBefore w:val="0"/>
              <w:kinsoku/>
              <w:wordWrap/>
              <w:overflowPunct/>
              <w:topLinePunct w:val="0"/>
              <w:autoSpaceDE/>
              <w:autoSpaceDN/>
              <w:bidi w:val="0"/>
              <w:rPr>
                <w:rFonts w:ascii="黑体" w:hAnsi="黑体" w:eastAsia="黑体" w:cs="黑体"/>
                <w:i/>
                <w:iCs/>
                <w:color w:val="000000"/>
                <w:sz w:val="18"/>
                <w:szCs w:val="18"/>
              </w:rPr>
            </w:pPr>
          </w:p>
        </w:tc>
      </w:tr>
      <w:tr w14:paraId="35BDAC3B">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9C413">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C70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675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8D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AF44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D71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63A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B76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13F76">
            <w:pPr>
              <w:pageBreakBefore w:val="0"/>
              <w:kinsoku/>
              <w:wordWrap/>
              <w:overflowPunct/>
              <w:topLinePunct w:val="0"/>
              <w:autoSpaceDE/>
              <w:autoSpaceDN/>
              <w:bidi w:val="0"/>
              <w:rPr>
                <w:rFonts w:ascii="黑体" w:hAnsi="黑体" w:eastAsia="黑体" w:cs="黑体"/>
                <w:i/>
                <w:iCs/>
                <w:color w:val="000000"/>
                <w:sz w:val="18"/>
                <w:szCs w:val="18"/>
              </w:rPr>
            </w:pPr>
          </w:p>
        </w:tc>
      </w:tr>
      <w:tr w14:paraId="3801713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2A30D">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698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BF5A">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10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20430">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B18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3D3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D9E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4A1F7">
            <w:pPr>
              <w:pageBreakBefore w:val="0"/>
              <w:kinsoku/>
              <w:wordWrap/>
              <w:overflowPunct/>
              <w:topLinePunct w:val="0"/>
              <w:autoSpaceDE/>
              <w:autoSpaceDN/>
              <w:bidi w:val="0"/>
              <w:rPr>
                <w:rFonts w:ascii="黑体" w:hAnsi="黑体" w:eastAsia="黑体" w:cs="黑体"/>
                <w:i/>
                <w:iCs/>
                <w:color w:val="000000"/>
                <w:sz w:val="18"/>
                <w:szCs w:val="18"/>
              </w:rPr>
            </w:pPr>
          </w:p>
        </w:tc>
      </w:tr>
      <w:tr w14:paraId="58869ED1">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EF25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6353">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FB97">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D624">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B6E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35E7">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8FAA">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FA7D">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EB7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41C4">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31E8">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214EFDD3">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867EA">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28F3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A4E9">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E8AB">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完成退款业务数量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E806">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13A7">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515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5F33">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B5BD">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2F13">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E5EC">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30809C40">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78160">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D152A">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2BB4">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1D72">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退款业务准确率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A904">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CA31">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B833">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C43E">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1C81">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C65E">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34C3">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295C966D">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16C06">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4463B">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A1A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177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退款业务处理时长</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B59B">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6B3D">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30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F1E9">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个工作日</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3E8B">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20日</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3269">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AB02">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3B96">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61846AC8">
        <w:tblPrEx>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A859">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891D">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4182">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经济效益指标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334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及时退还保证金，使商家资金回流加快，促进整体资金周转效率提升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E9F2">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916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11250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04D1">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3A4A">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11250元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92C3">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53C5">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1BA5">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5310CC65">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26E8E">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56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C7DC">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CF63">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企业对退款服务评价质量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0A02">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D25A">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9331">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C5D6">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5分</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44BC">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4E77">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456F">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0A307F75">
        <w:tblPrEx>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C45B6">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E6AC">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898D">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44FB">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退杭州远传新业科技股份有限公司红原县行政审批局政务服务“好差评”系统采购项目履约保证金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B249">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ED6F">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11250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2544">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FF2A">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11250元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590C">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33ED">
            <w:pPr>
              <w:pageBreakBefore w:val="0"/>
              <w:kinsoku/>
              <w:wordWrap/>
              <w:overflowPunct/>
              <w:topLinePunct w:val="0"/>
              <w:autoSpaceDE/>
              <w:autoSpaceDN/>
              <w:bidi w:val="0"/>
              <w:spacing w:line="320" w:lineRule="exact"/>
              <w:jc w:val="center"/>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51B8">
            <w:pPr>
              <w:pageBreakBefore w:val="0"/>
              <w:kinsoku/>
              <w:wordWrap/>
              <w:overflowPunct/>
              <w:topLinePunct w:val="0"/>
              <w:autoSpaceDE/>
              <w:autoSpaceDN/>
              <w:bidi w:val="0"/>
              <w:spacing w:line="320" w:lineRule="exact"/>
              <w:jc w:val="center"/>
              <w:rPr>
                <w:rFonts w:ascii="微软雅黑" w:hAnsi="微软雅黑" w:eastAsia="微软雅黑" w:cs="微软雅黑"/>
                <w:i/>
                <w:iCs/>
                <w:color w:val="000000"/>
                <w:sz w:val="16"/>
                <w:szCs w:val="16"/>
              </w:rPr>
            </w:pPr>
          </w:p>
        </w:tc>
      </w:tr>
      <w:tr w14:paraId="699FABF4">
        <w:tblPrEx>
          <w:tblCellMar>
            <w:top w:w="0" w:type="dxa"/>
            <w:left w:w="108" w:type="dxa"/>
            <w:bottom w:w="0" w:type="dxa"/>
            <w:right w:w="108" w:type="dxa"/>
          </w:tblCellMar>
        </w:tblPrEx>
        <w:trPr>
          <w:trHeight w:val="286" w:hRule="atLeast"/>
        </w:trPr>
        <w:tc>
          <w:tcPr>
            <w:tcW w:w="1058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9B4390">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0AA2">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954B">
            <w:pPr>
              <w:pageBreakBefore w:val="0"/>
              <w:kinsoku/>
              <w:wordWrap/>
              <w:overflowPunct/>
              <w:topLinePunct w:val="0"/>
              <w:autoSpaceDE/>
              <w:autoSpaceDN/>
              <w:bidi w:val="0"/>
              <w:spacing w:line="320" w:lineRule="exact"/>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AF11">
            <w:pPr>
              <w:pageBreakBefore w:val="0"/>
              <w:kinsoku/>
              <w:wordWrap/>
              <w:overflowPunct/>
              <w:topLinePunct w:val="0"/>
              <w:autoSpaceDE/>
              <w:autoSpaceDN/>
              <w:bidi w:val="0"/>
              <w:spacing w:line="320" w:lineRule="exact"/>
              <w:rPr>
                <w:rFonts w:ascii="宋体" w:hAnsi="宋体" w:eastAsia="宋体" w:cs="宋体"/>
                <w:color w:val="000000"/>
                <w:sz w:val="18"/>
                <w:szCs w:val="18"/>
              </w:rPr>
            </w:pPr>
          </w:p>
        </w:tc>
      </w:tr>
      <w:tr w14:paraId="3722956E">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7F9C">
            <w:pPr>
              <w:pageBreakBefore w:val="0"/>
              <w:widowControl/>
              <w:kinsoku/>
              <w:wordWrap/>
              <w:overflowPunct/>
              <w:topLinePunct w:val="0"/>
              <w:autoSpaceDE/>
              <w:autoSpaceDN/>
              <w:bidi w:val="0"/>
              <w:spacing w:line="32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35C420">
            <w:pPr>
              <w:pageBreakBefore w:val="0"/>
              <w:widowControl/>
              <w:kinsoku/>
              <w:wordWrap/>
              <w:overflowPunct/>
              <w:topLinePunct w:val="0"/>
              <w:autoSpaceDE/>
              <w:autoSpaceDN/>
              <w:bidi w:val="0"/>
              <w:spacing w:line="32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退还质保金项目整体执行规范、效益明确</w:t>
            </w:r>
          </w:p>
        </w:tc>
      </w:tr>
      <w:tr w14:paraId="5DA315AB">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874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B15257">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19FB4166">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436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4C0F9E">
            <w:pPr>
              <w:pageBreakBefore w:val="0"/>
              <w:widowControl/>
              <w:kinsoku/>
              <w:wordWrap/>
              <w:overflowPunct/>
              <w:topLinePunct w:val="0"/>
              <w:autoSpaceDE/>
              <w:autoSpaceDN/>
              <w:bidi w:val="0"/>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无</w:t>
            </w:r>
          </w:p>
        </w:tc>
      </w:tr>
      <w:tr w14:paraId="72DF6B83">
        <w:tblPrEx>
          <w:tblCellMar>
            <w:top w:w="0" w:type="dxa"/>
            <w:left w:w="108" w:type="dxa"/>
            <w:bottom w:w="0" w:type="dxa"/>
            <w:right w:w="108" w:type="dxa"/>
          </w:tblCellMar>
        </w:tblPrEx>
        <w:trPr>
          <w:trHeight w:val="286" w:hRule="atLeast"/>
        </w:trPr>
        <w:tc>
          <w:tcPr>
            <w:tcW w:w="72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109A2">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8EE926">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r w14:paraId="5276DA10">
        <w:tblPrEx>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48A400">
            <w:pPr>
              <w:pageBreakBefore w:val="0"/>
              <w:widowControl/>
              <w:kinsoku/>
              <w:wordWrap/>
              <w:overflowPunct/>
              <w:topLinePunct w:val="0"/>
              <w:autoSpaceDE/>
              <w:autoSpaceDN/>
              <w:bidi w:val="0"/>
              <w:spacing w:line="24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07DF4D8F">
        <w:tblPrEx>
          <w:tblCellMar>
            <w:top w:w="0" w:type="dxa"/>
            <w:left w:w="108" w:type="dxa"/>
            <w:bottom w:w="0" w:type="dxa"/>
            <w:right w:w="108" w:type="dxa"/>
          </w:tblCellMar>
        </w:tblPrEx>
        <w:trPr>
          <w:trHeight w:val="286"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EC1BA">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AA791E">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51323325T000012982520-政务服务和公共资源交易中心能力提升</w:t>
            </w:r>
          </w:p>
        </w:tc>
      </w:tr>
      <w:tr w14:paraId="4A6B01E8">
        <w:tblPrEx>
          <w:tblCellMar>
            <w:top w:w="0" w:type="dxa"/>
            <w:left w:w="108" w:type="dxa"/>
            <w:bottom w:w="0" w:type="dxa"/>
            <w:right w:w="108" w:type="dxa"/>
          </w:tblCellMar>
        </w:tblPrEx>
        <w:trPr>
          <w:trHeight w:val="512" w:hRule="atLeast"/>
        </w:trPr>
        <w:tc>
          <w:tcPr>
            <w:tcW w:w="2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07592">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FB1397">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3C5E7268">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78E3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01CE6821">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B9C29">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39993">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54AA9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DD1582">
            <w:pPr>
              <w:pageBreakBefore w:val="0"/>
              <w:widowControl/>
              <w:kinsoku/>
              <w:wordWrap/>
              <w:overflowPunct/>
              <w:topLinePunct w:val="0"/>
              <w:autoSpaceDE/>
              <w:autoSpaceDN/>
              <w:bidi w:val="0"/>
              <w:spacing w:line="24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5273495A">
        <w:tblPrEx>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F0D49">
            <w:pPr>
              <w:pageBreakBefore w:val="0"/>
              <w:kinsoku/>
              <w:wordWrap/>
              <w:overflowPunct/>
              <w:topLinePunct w:val="0"/>
              <w:autoSpaceDE/>
              <w:autoSpaceDN/>
              <w:bidi w:val="0"/>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991D5">
            <w:pPr>
              <w:pageBreakBefore w:val="0"/>
              <w:kinsoku/>
              <w:wordWrap/>
              <w:overflowPunct/>
              <w:topLinePunct w:val="0"/>
              <w:autoSpaceDE/>
              <w:autoSpaceDN/>
              <w:bidi w:val="0"/>
              <w:rPr>
                <w:rFonts w:ascii="宋体" w:hAnsi="宋体" w:eastAsia="宋体" w:cs="宋体"/>
                <w:color w:val="000000"/>
                <w:sz w:val="18"/>
                <w:szCs w:val="18"/>
              </w:rPr>
            </w:pPr>
          </w:p>
        </w:tc>
        <w:tc>
          <w:tcPr>
            <w:tcW w:w="6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889992">
            <w:pPr>
              <w:pageBreakBefore w:val="0"/>
              <w:widowControl/>
              <w:kinsoku/>
              <w:wordWrap/>
              <w:overflowPunct/>
              <w:topLinePunct w:val="0"/>
              <w:autoSpaceDE/>
              <w:autoSpaceDN/>
              <w:bidi w:val="0"/>
              <w:spacing w:line="24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为切实提升红原县行政审批局政务服务和公共资源交易中心能力。着力解决红原县新政务中心大楼投入使用后相关设施设备配置不足、公共资源交易中心标准化建设不完善等问题，促进政务服务大厅和公共资源交易中心更好地履行职责、改进工作、提高办事效率。</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9ACD65">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因资金于2024年11月下达，还未开展该项目</w:t>
            </w:r>
          </w:p>
        </w:tc>
      </w:tr>
      <w:tr w14:paraId="22880988">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CD26F">
            <w:pPr>
              <w:pageBreakBefore w:val="0"/>
              <w:kinsoku/>
              <w:wordWrap/>
              <w:overflowPunct/>
              <w:topLinePunct w:val="0"/>
              <w:autoSpaceDE/>
              <w:autoSpaceDN/>
              <w:bidi w:val="0"/>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9710">
            <w:pPr>
              <w:pageBreakBefore w:val="0"/>
              <w:widowControl/>
              <w:kinsoku/>
              <w:wordWrap/>
              <w:overflowPunct/>
              <w:topLinePunct w:val="0"/>
              <w:autoSpaceDE/>
              <w:autoSpaceDN/>
              <w:bidi w:val="0"/>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616AAD">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r>
      <w:tr w14:paraId="35AD7115">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6CBC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828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DFB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839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2ABB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5A7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E88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5B6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E63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3FDC32AA">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64AD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C8C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768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67E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005E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478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A87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9B70">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CE007">
            <w:pPr>
              <w:pageBreakBefore w:val="0"/>
              <w:widowControl/>
              <w:kinsoku/>
              <w:wordWrap/>
              <w:overflowPunct/>
              <w:topLinePunct w:val="0"/>
              <w:autoSpaceDE/>
              <w:autoSpaceDN/>
              <w:bidi w:val="0"/>
              <w:spacing w:line="24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sz w:val="18"/>
                <w:szCs w:val="18"/>
              </w:rPr>
              <w:t>未完成</w:t>
            </w:r>
          </w:p>
        </w:tc>
      </w:tr>
      <w:tr w14:paraId="71F3256C">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2B6D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011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A3F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9D2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AAF8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D4E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7DF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3CA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52A69">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1624D97E">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24A51">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584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ADE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B6C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945C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6EF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452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9DB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E1DE7">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669C003E">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1AEE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DBC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9AAC">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48F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FCC3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D34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6E5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CB7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D7F62">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231795CD">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D90CA">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338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18F8">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3ED5">
            <w:pPr>
              <w:pageBreakBefore w:val="0"/>
              <w:kinsoku/>
              <w:wordWrap/>
              <w:overflowPunct/>
              <w:topLinePunct w:val="0"/>
              <w:autoSpaceDE/>
              <w:autoSpaceDN/>
              <w:bidi w:val="0"/>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5D927">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D231">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BE9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927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FF032">
            <w:pPr>
              <w:pageBreakBefore w:val="0"/>
              <w:kinsoku/>
              <w:wordWrap/>
              <w:overflowPunct/>
              <w:topLinePunct w:val="0"/>
              <w:autoSpaceDE/>
              <w:autoSpaceDN/>
              <w:bidi w:val="0"/>
              <w:spacing w:line="240" w:lineRule="exact"/>
              <w:rPr>
                <w:rFonts w:ascii="黑体" w:hAnsi="黑体" w:eastAsia="黑体" w:cs="黑体"/>
                <w:i/>
                <w:iCs/>
                <w:color w:val="000000"/>
                <w:sz w:val="18"/>
                <w:szCs w:val="18"/>
              </w:rPr>
            </w:pPr>
          </w:p>
        </w:tc>
      </w:tr>
      <w:tr w14:paraId="4199E33E">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5DEB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91D6">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571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8F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63A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C4D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D7F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537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C72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229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8A99">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55ABCE3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C537">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7280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77D2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0F5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饮水机</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FEAF">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16D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221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5AFD">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50F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4B82">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restart"/>
            <w:tcBorders>
              <w:top w:val="single" w:color="000000" w:sz="4" w:space="0"/>
              <w:left w:val="single" w:color="000000" w:sz="4" w:space="0"/>
              <w:right w:val="single" w:color="000000" w:sz="4" w:space="0"/>
            </w:tcBorders>
            <w:shd w:val="clear" w:color="auto" w:fill="auto"/>
            <w:vAlign w:val="center"/>
          </w:tcPr>
          <w:p w14:paraId="736DAC21">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黑体" w:hAnsi="黑体" w:eastAsia="黑体" w:cs="黑体"/>
                <w:color w:val="000000"/>
                <w:sz w:val="18"/>
                <w:szCs w:val="18"/>
              </w:rPr>
              <w:t>因资金于2024年11月下达，还未开展该项目</w:t>
            </w:r>
          </w:p>
        </w:tc>
      </w:tr>
      <w:tr w14:paraId="522E5191">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4D4D2">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6E00B">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8044B">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8DF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监控（含拾音器）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69D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C7F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9AD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E231">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EDF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ABEE">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2D49FDBA">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0C1CA133">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D583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62D1A">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FCFA1">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256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政务服务后台办公桌椅</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5F6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7F93">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797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8856">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822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472A">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10C2439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7BA45DFD">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FDFF">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598A2">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65806">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16D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玻璃门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726B">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9CE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E4A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DCB8">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A7D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3DA6">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73F02535">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44888A01">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4661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73432">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5565">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CD6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国产便携式电脑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230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BEC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096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23B5">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D80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6A44">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18B04572">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0FA241E3">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346CB">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E30F5">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AC9C8">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B78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政务大厅维护工作及时性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5153">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4D8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67A2">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1572">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A81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96CC">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122814CF">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4A47834C">
        <w:tblPrEx>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FBE4D">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4957E">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4D6C">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B7C7">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政务中心、交易中心（三化建设）标准化完成度、规范化程度、便利化提升程度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B61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04F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7A0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B743">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4E11">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BD88">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106B60B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1CFA239F">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5834">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328E9">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D8FE">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FA2D">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完成政务中心、交易中心能力提升项目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4A0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639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F95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291D">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BDF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DDE8">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40EBF862">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422EA93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FC75">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687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9F1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3A19">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监控提升安全性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90F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A2D5">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3A34">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601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B386">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CC53">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7D14957B">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4A333769">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23421">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FF4A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8E2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2D20">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政务大厅维护费用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7267">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072F">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41.6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1DE0">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583E">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0FCB">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35AC">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right w:val="single" w:color="000000" w:sz="4" w:space="0"/>
            </w:tcBorders>
            <w:shd w:val="clear" w:color="auto" w:fill="auto"/>
            <w:vAlign w:val="center"/>
          </w:tcPr>
          <w:p w14:paraId="6A576EA8">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0C8A36BC">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7F579">
            <w:pPr>
              <w:pageBreakBefore w:val="0"/>
              <w:kinsoku/>
              <w:wordWrap/>
              <w:overflowPunct/>
              <w:topLinePunct w:val="0"/>
              <w:autoSpaceDE/>
              <w:autoSpaceDN/>
              <w:bidi w:val="0"/>
              <w:jc w:val="center"/>
              <w:rPr>
                <w:rFonts w:ascii="宋体" w:hAnsi="宋体" w:eastAsia="宋体" w:cs="宋体"/>
                <w:color w:val="000000"/>
                <w:sz w:val="18"/>
                <w:szCs w:val="18"/>
              </w:rPr>
            </w:pPr>
          </w:p>
        </w:tc>
        <w:tc>
          <w:tcPr>
            <w:tcW w:w="2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B045B">
            <w:pPr>
              <w:pageBreakBefore w:val="0"/>
              <w:kinsoku/>
              <w:wordWrap/>
              <w:overflowPunct/>
              <w:topLinePunct w:val="0"/>
              <w:autoSpaceDE/>
              <w:autoSpaceDN/>
              <w:bidi w:val="0"/>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2E353">
            <w:pPr>
              <w:pageBreakBefore w:val="0"/>
              <w:kinsoku/>
              <w:wordWrap/>
              <w:overflowPunct/>
              <w:topLinePunct w:val="0"/>
              <w:autoSpaceDE/>
              <w:autoSpaceDN/>
              <w:bidi w:val="0"/>
              <w:jc w:val="center"/>
              <w:rPr>
                <w:rFonts w:ascii="宋体" w:hAnsi="宋体" w:eastAsia="宋体" w:cs="宋体"/>
                <w:color w:val="000000"/>
                <w:sz w:val="18"/>
                <w:szCs w:val="18"/>
              </w:rPr>
            </w:pP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CE7A">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采购成本指标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04F2">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4DFC">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5.6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BF28">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01C0">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855A">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68BA">
            <w:pPr>
              <w:pageBreakBefore w:val="0"/>
              <w:kinsoku/>
              <w:wordWrap/>
              <w:overflowPunct/>
              <w:topLinePunct w:val="0"/>
              <w:autoSpaceDE/>
              <w:autoSpaceDN/>
              <w:bidi w:val="0"/>
              <w:spacing w:line="240" w:lineRule="exact"/>
              <w:jc w:val="center"/>
              <w:rPr>
                <w:rFonts w:ascii="宋体" w:hAnsi="宋体" w:eastAsia="宋体" w:cs="宋体"/>
                <w:color w:val="000000"/>
                <w:sz w:val="18"/>
                <w:szCs w:val="18"/>
              </w:rPr>
            </w:pPr>
          </w:p>
        </w:tc>
        <w:tc>
          <w:tcPr>
            <w:tcW w:w="2556" w:type="dxa"/>
            <w:vMerge w:val="continue"/>
            <w:tcBorders>
              <w:left w:val="single" w:color="000000" w:sz="4" w:space="0"/>
              <w:bottom w:val="single" w:color="000000" w:sz="4" w:space="0"/>
              <w:right w:val="single" w:color="000000" w:sz="4" w:space="0"/>
            </w:tcBorders>
            <w:shd w:val="clear" w:color="auto" w:fill="auto"/>
            <w:vAlign w:val="center"/>
          </w:tcPr>
          <w:p w14:paraId="326762BC">
            <w:pPr>
              <w:pageBreakBefore w:val="0"/>
              <w:kinsoku/>
              <w:wordWrap/>
              <w:overflowPunct/>
              <w:topLinePunct w:val="0"/>
              <w:autoSpaceDE/>
              <w:autoSpaceDN/>
              <w:bidi w:val="0"/>
              <w:spacing w:line="240" w:lineRule="exact"/>
              <w:jc w:val="center"/>
              <w:rPr>
                <w:rFonts w:ascii="微软雅黑" w:hAnsi="微软雅黑" w:eastAsia="微软雅黑" w:cs="微软雅黑"/>
                <w:i/>
                <w:iCs/>
                <w:color w:val="000000"/>
                <w:sz w:val="16"/>
                <w:szCs w:val="16"/>
              </w:rPr>
            </w:pPr>
          </w:p>
        </w:tc>
      </w:tr>
      <w:tr w14:paraId="7BACD21D">
        <w:tblPrEx>
          <w:tblCellMar>
            <w:top w:w="0" w:type="dxa"/>
            <w:left w:w="108" w:type="dxa"/>
            <w:bottom w:w="0" w:type="dxa"/>
            <w:right w:w="108" w:type="dxa"/>
          </w:tblCellMar>
        </w:tblPrEx>
        <w:trPr>
          <w:trHeight w:val="286" w:hRule="atLeast"/>
        </w:trPr>
        <w:tc>
          <w:tcPr>
            <w:tcW w:w="1058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72FF3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0D5E">
            <w:pPr>
              <w:pageBreakBefore w:val="0"/>
              <w:widowControl/>
              <w:kinsoku/>
              <w:wordWrap/>
              <w:overflowPunct/>
              <w:topLinePunct w:val="0"/>
              <w:autoSpaceDE/>
              <w:autoSpaceDN/>
              <w:bidi w:val="0"/>
              <w:spacing w:line="24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D9B0">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E016">
            <w:pPr>
              <w:pageBreakBefore w:val="0"/>
              <w:kinsoku/>
              <w:wordWrap/>
              <w:overflowPunct/>
              <w:topLinePunct w:val="0"/>
              <w:autoSpaceDE/>
              <w:autoSpaceDN/>
              <w:bidi w:val="0"/>
              <w:spacing w:line="240" w:lineRule="exact"/>
              <w:rPr>
                <w:rFonts w:ascii="宋体" w:hAnsi="宋体" w:eastAsia="宋体" w:cs="宋体"/>
                <w:color w:val="000000"/>
                <w:sz w:val="18"/>
                <w:szCs w:val="18"/>
              </w:rPr>
            </w:pPr>
          </w:p>
        </w:tc>
      </w:tr>
      <w:tr w14:paraId="7A01D338">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2E74">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F91E45">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优化政务服务流程，提升政务服务能力。</w:t>
            </w:r>
          </w:p>
        </w:tc>
      </w:tr>
      <w:tr w14:paraId="1DE567F8">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D1C1">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C3E3EB">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预算编制不够精细化，执行效率低下</w:t>
            </w:r>
          </w:p>
        </w:tc>
      </w:tr>
      <w:tr w14:paraId="2E53AC45">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D38D">
            <w:pPr>
              <w:pageBreakBefore w:val="0"/>
              <w:widowControl/>
              <w:kinsoku/>
              <w:wordWrap/>
              <w:overflowPunct/>
              <w:topLinePunct w:val="0"/>
              <w:autoSpaceDE/>
              <w:autoSpaceDN/>
              <w:bidi w:val="0"/>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FD4D8A">
            <w:pPr>
              <w:pageBreakBefore w:val="0"/>
              <w:widowControl/>
              <w:kinsoku/>
              <w:wordWrap/>
              <w:overflowPunct/>
              <w:topLinePunct w:val="0"/>
              <w:autoSpaceDE/>
              <w:autoSpaceDN/>
              <w:bidi w:val="0"/>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优化预算编制流程，强化项目执行管理，完善资金监管与统筹</w:t>
            </w:r>
          </w:p>
        </w:tc>
      </w:tr>
      <w:tr w14:paraId="5AB668CE">
        <w:tblPrEx>
          <w:tblCellMar>
            <w:top w:w="0" w:type="dxa"/>
            <w:left w:w="108" w:type="dxa"/>
            <w:bottom w:w="0" w:type="dxa"/>
            <w:right w:w="108" w:type="dxa"/>
          </w:tblCellMar>
        </w:tblPrEx>
        <w:trPr>
          <w:trHeight w:val="286" w:hRule="atLeast"/>
        </w:trPr>
        <w:tc>
          <w:tcPr>
            <w:tcW w:w="72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52AF59">
            <w:pPr>
              <w:pageBreakBefore w:val="0"/>
              <w:widowControl/>
              <w:kinsoku/>
              <w:wordWrap/>
              <w:overflowPunct/>
              <w:topLinePunct w:val="0"/>
              <w:autoSpaceDE/>
              <w:autoSpaceDN/>
              <w:bidi w:val="0"/>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971F2E">
            <w:pPr>
              <w:pageBreakBefore w:val="0"/>
              <w:widowControl/>
              <w:kinsoku/>
              <w:wordWrap/>
              <w:overflowPunct/>
              <w:topLinePunct w:val="0"/>
              <w:autoSpaceDE/>
              <w:autoSpaceDN/>
              <w:bidi w:val="0"/>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09495DCF">
      <w:pPr>
        <w:pStyle w:val="10"/>
        <w:pageBreakBefore w:val="0"/>
        <w:kinsoku/>
        <w:wordWrap/>
        <w:overflowPunct/>
        <w:topLinePunct w:val="0"/>
        <w:autoSpaceDE/>
        <w:autoSpaceDN/>
        <w:bidi w:val="0"/>
        <w:spacing w:after="0" w:line="578" w:lineRule="exact"/>
        <w:ind w:left="0" w:leftChars="0" w:firstLine="0" w:firstLineChars="0"/>
        <w:rPr>
          <w:rFonts w:hAnsi="仿宋_GB2312" w:cs="仿宋_GB2312"/>
          <w:color w:val="000000"/>
          <w:kern w:val="0"/>
        </w:rPr>
      </w:pPr>
    </w:p>
    <w:tbl>
      <w:tblPr>
        <w:tblStyle w:val="20"/>
        <w:tblW w:w="14100" w:type="dxa"/>
        <w:tblInd w:w="93" w:type="dxa"/>
        <w:tblLayout w:type="autofit"/>
        <w:tblCellMar>
          <w:top w:w="0" w:type="dxa"/>
          <w:left w:w="108" w:type="dxa"/>
          <w:bottom w:w="0" w:type="dxa"/>
          <w:right w:w="108" w:type="dxa"/>
        </w:tblCellMar>
      </w:tblPr>
      <w:tblGrid>
        <w:gridCol w:w="684"/>
        <w:gridCol w:w="2051"/>
        <w:gridCol w:w="1775"/>
        <w:gridCol w:w="2263"/>
        <w:gridCol w:w="521"/>
        <w:gridCol w:w="1677"/>
        <w:gridCol w:w="521"/>
        <w:gridCol w:w="1091"/>
        <w:gridCol w:w="505"/>
        <w:gridCol w:w="456"/>
        <w:gridCol w:w="2556"/>
      </w:tblGrid>
      <w:tr w14:paraId="559112E5">
        <w:tblPrEx>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A8FCE0">
            <w:pPr>
              <w:pageBreakBefore w:val="0"/>
              <w:widowControl/>
              <w:kinsoku/>
              <w:wordWrap/>
              <w:overflowPunct/>
              <w:topLinePunct w:val="0"/>
              <w:autoSpaceDE/>
              <w:autoSpaceDN/>
              <w:bidi w:val="0"/>
              <w:spacing w:line="36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14:paraId="6E910086">
        <w:tblPrEx>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0B0A4">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C6A771">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51323325T000013121446-郎措同志建房补贴</w:t>
            </w:r>
          </w:p>
        </w:tc>
      </w:tr>
      <w:tr w14:paraId="1781CD37">
        <w:tblPrEx>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CBDD3">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DC220F">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w:t>
            </w:r>
          </w:p>
        </w:tc>
        <w:tc>
          <w:tcPr>
            <w:tcW w:w="1091" w:type="dxa"/>
            <w:tcBorders>
              <w:top w:val="nil"/>
              <w:left w:val="nil"/>
              <w:bottom w:val="nil"/>
              <w:right w:val="nil"/>
            </w:tcBorders>
            <w:shd w:val="clear" w:color="auto" w:fill="auto"/>
            <w:vAlign w:val="center"/>
          </w:tcPr>
          <w:p w14:paraId="4AB35F82">
            <w:pPr>
              <w:pageBreakBefore w:val="0"/>
              <w:widowControl/>
              <w:kinsoku/>
              <w:wordWrap/>
              <w:overflowPunct/>
              <w:topLinePunct w:val="0"/>
              <w:autoSpaceDE/>
              <w:autoSpaceDN/>
              <w:bidi w:val="0"/>
              <w:spacing w:line="3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A5F5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红原县行政审批局机关</w:t>
            </w:r>
          </w:p>
        </w:tc>
      </w:tr>
      <w:tr w14:paraId="345B9EAC">
        <w:tblPrEx>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41A77">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409E3">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FA90D">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198C9B">
            <w:pPr>
              <w:pageBreakBefore w:val="0"/>
              <w:widowControl/>
              <w:kinsoku/>
              <w:wordWrap/>
              <w:overflowPunct/>
              <w:topLinePunct w:val="0"/>
              <w:autoSpaceDE/>
              <w:autoSpaceDN/>
              <w:bidi w:val="0"/>
              <w:spacing w:line="36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14:paraId="5D27A1CD">
        <w:tblPrEx>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660C">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439B">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7CB568">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帮助退休人员解决住房问题，提高生活质量，是政府对退休</w:t>
            </w:r>
            <w:r>
              <w:rPr>
                <w:rFonts w:hint="eastAsia" w:ascii="宋体" w:hAnsi="宋体" w:cs="宋体"/>
                <w:color w:val="000000"/>
                <w:kern w:val="0"/>
                <w:sz w:val="18"/>
                <w:szCs w:val="18"/>
                <w:lang w:eastAsia="zh-CN"/>
              </w:rPr>
              <w:t>人员过去工作</w:t>
            </w:r>
            <w:r>
              <w:rPr>
                <w:rFonts w:ascii="宋体" w:hAnsi="宋体" w:eastAsia="宋体" w:cs="宋体"/>
                <w:color w:val="000000"/>
                <w:kern w:val="0"/>
                <w:sz w:val="18"/>
                <w:szCs w:val="18"/>
              </w:rPr>
              <w:t>贡献的认可与回馈，体现了对老年群体关爱，有助于增强退休人员的幸福感和归属感，也有利于弘扬尊老、爱老的社会风尚，促进社会和谐稳定。</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9424F">
            <w:pPr>
              <w:pageBreakBefore w:val="0"/>
              <w:widowControl/>
              <w:kinsoku/>
              <w:wordWrap/>
              <w:overflowPunct/>
              <w:topLinePunct w:val="0"/>
              <w:autoSpaceDE/>
              <w:autoSpaceDN/>
              <w:bidi w:val="0"/>
              <w:spacing w:line="360" w:lineRule="exact"/>
              <w:jc w:val="left"/>
              <w:textAlignment w:val="center"/>
              <w:rPr>
                <w:rFonts w:ascii="黑体" w:hAnsi="黑体" w:eastAsia="黑体" w:cs="黑体"/>
                <w:color w:val="000000"/>
                <w:sz w:val="18"/>
                <w:szCs w:val="18"/>
              </w:rPr>
            </w:pPr>
            <w:r>
              <w:rPr>
                <w:rFonts w:hint="eastAsia" w:ascii="黑体" w:hAnsi="黑体" w:eastAsia="黑体" w:cs="黑体"/>
                <w:color w:val="000000"/>
                <w:sz w:val="18"/>
                <w:szCs w:val="18"/>
              </w:rPr>
              <w:t>完成对退休人员建房补贴发放，增强了退休人员的幸福感和归属感。</w:t>
            </w:r>
          </w:p>
        </w:tc>
      </w:tr>
      <w:tr w14:paraId="2F573972">
        <w:tblPrEx>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BAEC">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2668">
            <w:pPr>
              <w:pageBreakBefore w:val="0"/>
              <w:widowControl/>
              <w:kinsoku/>
              <w:wordWrap/>
              <w:overflowPunct/>
              <w:topLinePunct w:val="0"/>
              <w:autoSpaceDE/>
              <w:autoSpaceDN/>
              <w:bidi w:val="0"/>
              <w:spacing w:line="360" w:lineRule="exact"/>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2913C4">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r>
      <w:tr w14:paraId="28630471">
        <w:tblPrEx>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77EE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A0F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93D9">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032D">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8F98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1D7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6CA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CC26">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FA9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原因</w:t>
            </w:r>
          </w:p>
        </w:tc>
      </w:tr>
      <w:tr w14:paraId="0AD09B5E">
        <w:tblPrEx>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4D9D0">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C6A6">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993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362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D4AE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04D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04A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9659">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09B98">
            <w:pPr>
              <w:pageBreakBefore w:val="0"/>
              <w:widowControl/>
              <w:kinsoku/>
              <w:wordWrap/>
              <w:overflowPunct/>
              <w:topLinePunct w:val="0"/>
              <w:autoSpaceDE/>
              <w:autoSpaceDN/>
              <w:bidi w:val="0"/>
              <w:spacing w:line="360" w:lineRule="exact"/>
              <w:jc w:val="left"/>
              <w:textAlignment w:val="center"/>
              <w:rPr>
                <w:rFonts w:ascii="黑体" w:hAnsi="黑体" w:eastAsia="黑体" w:cs="黑体"/>
                <w:i/>
                <w:iCs/>
                <w:color w:val="000000"/>
                <w:sz w:val="18"/>
                <w:szCs w:val="18"/>
              </w:rPr>
            </w:pPr>
          </w:p>
        </w:tc>
      </w:tr>
      <w:tr w14:paraId="5CA1D4C6">
        <w:tblPrEx>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F6ADD">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9C0E">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A5D6">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44B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970D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0F3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6949">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C55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10826">
            <w:pPr>
              <w:pageBreakBefore w:val="0"/>
              <w:kinsoku/>
              <w:wordWrap/>
              <w:overflowPunct/>
              <w:topLinePunct w:val="0"/>
              <w:autoSpaceDE/>
              <w:autoSpaceDN/>
              <w:bidi w:val="0"/>
              <w:spacing w:line="360" w:lineRule="exact"/>
              <w:rPr>
                <w:rFonts w:ascii="黑体" w:hAnsi="黑体" w:eastAsia="黑体" w:cs="黑体"/>
                <w:i/>
                <w:iCs/>
                <w:color w:val="000000"/>
                <w:sz w:val="18"/>
                <w:szCs w:val="18"/>
              </w:rPr>
            </w:pPr>
          </w:p>
        </w:tc>
      </w:tr>
      <w:tr w14:paraId="65E5D216">
        <w:tblPrEx>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7EE6A">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94E4">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A30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8AF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97B22">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6E9F">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0B1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048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0E0A4">
            <w:pPr>
              <w:pageBreakBefore w:val="0"/>
              <w:kinsoku/>
              <w:wordWrap/>
              <w:overflowPunct/>
              <w:topLinePunct w:val="0"/>
              <w:autoSpaceDE/>
              <w:autoSpaceDN/>
              <w:bidi w:val="0"/>
              <w:spacing w:line="360" w:lineRule="exact"/>
              <w:rPr>
                <w:rFonts w:ascii="黑体" w:hAnsi="黑体" w:eastAsia="黑体" w:cs="黑体"/>
                <w:i/>
                <w:iCs/>
                <w:color w:val="000000"/>
                <w:sz w:val="18"/>
                <w:szCs w:val="18"/>
              </w:rPr>
            </w:pPr>
          </w:p>
        </w:tc>
      </w:tr>
      <w:tr w14:paraId="1FF11D6B">
        <w:tblPrEx>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FC193">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736B">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554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7B7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CAF27">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B40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CB09">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369D">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5AB27">
            <w:pPr>
              <w:pageBreakBefore w:val="0"/>
              <w:kinsoku/>
              <w:wordWrap/>
              <w:overflowPunct/>
              <w:topLinePunct w:val="0"/>
              <w:autoSpaceDE/>
              <w:autoSpaceDN/>
              <w:bidi w:val="0"/>
              <w:spacing w:line="360" w:lineRule="exact"/>
              <w:rPr>
                <w:rFonts w:ascii="黑体" w:hAnsi="黑体" w:eastAsia="黑体" w:cs="黑体"/>
                <w:i/>
                <w:iCs/>
                <w:color w:val="000000"/>
                <w:sz w:val="18"/>
                <w:szCs w:val="18"/>
              </w:rPr>
            </w:pPr>
          </w:p>
        </w:tc>
      </w:tr>
      <w:tr w14:paraId="01909112">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7294B">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9B57">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2950">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AA6C">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A6874">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6CB2">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B7A4">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58FD">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67D1B">
            <w:pPr>
              <w:pageBreakBefore w:val="0"/>
              <w:kinsoku/>
              <w:wordWrap/>
              <w:overflowPunct/>
              <w:topLinePunct w:val="0"/>
              <w:autoSpaceDE/>
              <w:autoSpaceDN/>
              <w:bidi w:val="0"/>
              <w:spacing w:line="360" w:lineRule="exact"/>
              <w:rPr>
                <w:rFonts w:ascii="黑体" w:hAnsi="黑体" w:eastAsia="黑体" w:cs="黑体"/>
                <w:i/>
                <w:iCs/>
                <w:color w:val="000000"/>
                <w:sz w:val="18"/>
                <w:szCs w:val="18"/>
              </w:rPr>
            </w:pPr>
          </w:p>
        </w:tc>
      </w:tr>
      <w:tr w14:paraId="4699D6B9">
        <w:tblPrEx>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742ED">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C60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4D8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DD9B">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D7EF">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8F1F">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692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86C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BF0F">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835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CA9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未完成原因分析</w:t>
            </w:r>
          </w:p>
        </w:tc>
      </w:tr>
      <w:tr w14:paraId="2BAB94B4">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19EB5">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D56D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906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E21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补贴发放人数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157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27E4">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5ABE">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02E9">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1人</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002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5399">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0CD7">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042EE158">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8BB4E">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71D74">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58A9">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B67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符合政策执行率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7E3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C03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18C7">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44F3">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412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BDDE">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4AE6">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45A43D3A">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3F465">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6F088">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F2E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6A7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补贴2024年发放完成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CCC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52CE">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A0F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79AA">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2024年</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575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61F2">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31D5">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0A929022">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8A8E">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D99C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23E0B">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762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对退休干部生活稳定性的保障作用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035E">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B9E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有所改善</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743A">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A5CE">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 xml:space="preserve">改善退休干部生活 </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9C6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7212">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7633">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274715D6">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7549">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A4FCB">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9C3DC">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090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退休干部住房条件改善程度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4659">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2FB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有所改善</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A462">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0220">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改善退休干部住房条件</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CBE6">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C5EC">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53AC">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1D623385">
        <w:tblPrEx>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492D">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4DB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4A0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E00F">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退休干部对住房补贴政策的满意度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3AA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7AA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629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019B">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F3BA">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4F68">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87C8">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637FB2D5">
        <w:tblPrEx>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58F16">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00B3">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CFC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0971">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补贴发放金额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B5D7">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01E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12000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5902">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A5FB">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12000元</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9520">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A06C">
            <w:pPr>
              <w:pageBreakBefore w:val="0"/>
              <w:kinsoku/>
              <w:wordWrap/>
              <w:overflowPunct/>
              <w:topLinePunct w:val="0"/>
              <w:autoSpaceDE/>
              <w:autoSpaceDN/>
              <w:bidi w:val="0"/>
              <w:spacing w:line="360" w:lineRule="exact"/>
              <w:jc w:val="center"/>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A2AC">
            <w:pPr>
              <w:pageBreakBefore w:val="0"/>
              <w:kinsoku/>
              <w:wordWrap/>
              <w:overflowPunct/>
              <w:topLinePunct w:val="0"/>
              <w:autoSpaceDE/>
              <w:autoSpaceDN/>
              <w:bidi w:val="0"/>
              <w:spacing w:line="360" w:lineRule="exact"/>
              <w:jc w:val="center"/>
              <w:rPr>
                <w:rFonts w:ascii="微软雅黑" w:hAnsi="微软雅黑" w:eastAsia="微软雅黑" w:cs="微软雅黑"/>
                <w:i/>
                <w:iCs/>
                <w:color w:val="000000"/>
                <w:sz w:val="16"/>
                <w:szCs w:val="16"/>
              </w:rPr>
            </w:pPr>
          </w:p>
        </w:tc>
      </w:tr>
      <w:tr w14:paraId="4AA7FFD8">
        <w:tblPrEx>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16E00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AD5">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670B">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35D1">
            <w:pPr>
              <w:pageBreakBefore w:val="0"/>
              <w:kinsoku/>
              <w:wordWrap/>
              <w:overflowPunct/>
              <w:topLinePunct w:val="0"/>
              <w:autoSpaceDE/>
              <w:autoSpaceDN/>
              <w:bidi w:val="0"/>
              <w:spacing w:line="360" w:lineRule="exact"/>
              <w:rPr>
                <w:rFonts w:ascii="宋体" w:hAnsi="宋体" w:eastAsia="宋体" w:cs="宋体"/>
                <w:color w:val="000000"/>
                <w:sz w:val="18"/>
                <w:szCs w:val="18"/>
              </w:rPr>
            </w:pPr>
          </w:p>
        </w:tc>
      </w:tr>
      <w:tr w14:paraId="5D285DA7">
        <w:tblPrEx>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A958">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60DC94">
            <w:pPr>
              <w:pageBreakBefore w:val="0"/>
              <w:widowControl/>
              <w:kinsoku/>
              <w:wordWrap/>
              <w:overflowPunct/>
              <w:topLinePunct w:val="0"/>
              <w:autoSpaceDE/>
              <w:autoSpaceDN/>
              <w:bidi w:val="0"/>
              <w:spacing w:line="3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sz w:val="16"/>
                <w:szCs w:val="16"/>
              </w:rPr>
              <w:t>2024年及时完成对退休人员的住房补贴</w:t>
            </w:r>
          </w:p>
        </w:tc>
      </w:tr>
      <w:tr w14:paraId="6DDB0206">
        <w:tblPrEx>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100C">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DFFFB7">
            <w:pPr>
              <w:pageBreakBefore w:val="0"/>
              <w:widowControl/>
              <w:kinsoku/>
              <w:wordWrap/>
              <w:overflowPunct/>
              <w:topLinePunct w:val="0"/>
              <w:autoSpaceDE/>
              <w:autoSpaceDN/>
              <w:bidi w:val="0"/>
              <w:spacing w:line="3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03642C45">
        <w:tblPrEx>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3C82">
            <w:pPr>
              <w:pageBreakBefore w:val="0"/>
              <w:widowControl/>
              <w:kinsoku/>
              <w:wordWrap/>
              <w:overflowPunct/>
              <w:topLinePunct w:val="0"/>
              <w:autoSpaceDE/>
              <w:autoSpaceDN/>
              <w:bidi w:val="0"/>
              <w:spacing w:line="360" w:lineRule="exact"/>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9ECD7B">
            <w:pPr>
              <w:pageBreakBefore w:val="0"/>
              <w:widowControl/>
              <w:kinsoku/>
              <w:wordWrap/>
              <w:overflowPunct/>
              <w:topLinePunct w:val="0"/>
              <w:autoSpaceDE/>
              <w:autoSpaceDN/>
              <w:bidi w:val="0"/>
              <w:spacing w:line="3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14:paraId="7C005D39">
        <w:tblPrEx>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28010">
            <w:pPr>
              <w:pageBreakBefore w:val="0"/>
              <w:widowControl/>
              <w:kinsoku/>
              <w:wordWrap/>
              <w:overflowPunct/>
              <w:topLinePunct w:val="0"/>
              <w:autoSpaceDE/>
              <w:autoSpaceDN/>
              <w:bidi w:val="0"/>
              <w:spacing w:line="3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项目负责人：郭文利</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EAF612">
            <w:pPr>
              <w:pageBreakBefore w:val="0"/>
              <w:widowControl/>
              <w:kinsoku/>
              <w:wordWrap/>
              <w:overflowPunct/>
              <w:topLinePunct w:val="0"/>
              <w:autoSpaceDE/>
              <w:autoSpaceDN/>
              <w:bidi w:val="0"/>
              <w:spacing w:line="3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财务负责人：蒲娟娟</w:t>
            </w:r>
          </w:p>
        </w:tc>
      </w:tr>
    </w:tbl>
    <w:p w14:paraId="72B1EA1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sectPr>
          <w:pgSz w:w="16838" w:h="11906" w:orient="landscape"/>
          <w:pgMar w:top="1800" w:right="1440" w:bottom="1800" w:left="1440" w:header="851" w:footer="992" w:gutter="0"/>
          <w:pgNumType w:fmt="numberInDash"/>
          <w:cols w:space="425" w:num="1"/>
          <w:titlePg/>
          <w:docGrid w:type="lines" w:linePitch="312" w:charSpace="0"/>
        </w:sectPr>
      </w:pPr>
    </w:p>
    <w:p w14:paraId="55B2839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167517FE">
      <w:pPr>
        <w:pStyle w:val="1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630" w:right="0"/>
        <w:jc w:val="both"/>
        <w:rPr>
          <w:b/>
          <w:bCs/>
        </w:rPr>
      </w:pPr>
      <w:r>
        <w:rPr>
          <w:rFonts w:ascii="楷体_GB2312" w:eastAsia="楷体_GB2312" w:cs="楷体_GB2312"/>
          <w:b/>
          <w:bCs/>
          <w:color w:val="000000"/>
          <w:sz w:val="32"/>
          <w:szCs w:val="32"/>
        </w:rPr>
        <w:t>2.部门绩效评价结果。</w:t>
      </w:r>
    </w:p>
    <w:p w14:paraId="6FC90464">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仿宋_GB2312" w:hAnsi="仿宋_GB2312" w:eastAsia="仿宋_GB2312" w:cs="仿宋_GB2312"/>
          <w:sz w:val="32"/>
          <w:szCs w:val="32"/>
        </w:rPr>
      </w:pPr>
      <w:r>
        <w:rPr>
          <w:rFonts w:ascii="仿宋_GB2312" w:eastAsia="仿宋_GB2312" w:cs="仿宋_GB2312"/>
          <w:color w:val="000000"/>
          <w:sz w:val="32"/>
          <w:szCs w:val="32"/>
        </w:rPr>
        <w:t>本部门按要求对20</w:t>
      </w:r>
      <w:r>
        <w:rPr>
          <w:rFonts w:hint="eastAsia" w:ascii="仿宋_GB2312" w:eastAsia="仿宋_GB2312" w:cs="仿宋_GB2312"/>
          <w:color w:val="000000"/>
          <w:sz w:val="32"/>
          <w:szCs w:val="32"/>
        </w:rPr>
        <w:t>24年部门整体支出绩效评价情况开展自评，整体支出得分9</w:t>
      </w:r>
      <w:r>
        <w:rPr>
          <w:rFonts w:hint="eastAsia" w:ascii="仿宋_GB2312" w:eastAsia="仿宋_GB2312" w:cs="仿宋_GB2312"/>
          <w:color w:val="000000"/>
          <w:sz w:val="32"/>
          <w:szCs w:val="32"/>
          <w:lang w:val="en-US" w:eastAsia="zh-CN"/>
        </w:rPr>
        <w:t>2.9</w:t>
      </w:r>
      <w:r>
        <w:rPr>
          <w:rFonts w:hint="eastAsia" w:ascii="仿宋_GB2312" w:eastAsia="仿宋_GB2312" w:cs="仿宋_GB2312"/>
          <w:color w:val="000000"/>
          <w:sz w:val="32"/>
          <w:szCs w:val="32"/>
        </w:rPr>
        <w:t>分，情况良好，《</w:t>
      </w:r>
      <w:r>
        <w:rPr>
          <w:rFonts w:hint="eastAsia" w:ascii="仿宋_GB2312" w:hAnsi="仿宋_GB2312" w:eastAsia="仿宋_GB2312" w:cs="仿宋_GB2312"/>
          <w:bCs/>
          <w:sz w:val="32"/>
          <w:szCs w:val="32"/>
          <w:shd w:val="clear" w:color="auto" w:fill="FFFFFF"/>
        </w:rPr>
        <w:t>红原县行政审</w:t>
      </w:r>
      <w:r>
        <w:rPr>
          <w:rFonts w:hint="eastAsia" w:ascii="仿宋_GB2312" w:hAnsi="仿宋_GB2312" w:eastAsia="仿宋_GB2312" w:cs="仿宋_GB2312"/>
          <w:bCs/>
          <w:sz w:val="32"/>
          <w:szCs w:val="32"/>
          <w:shd w:val="clear" w:color="auto" w:fill="FFFFFF"/>
          <w:lang w:val="en-US" w:eastAsia="zh-CN"/>
        </w:rPr>
        <w:t>批</w:t>
      </w:r>
      <w:r>
        <w:rPr>
          <w:rFonts w:hint="eastAsia" w:ascii="仿宋_GB2312" w:hAnsi="仿宋_GB2312" w:eastAsia="仿宋_GB2312" w:cs="仿宋_GB2312"/>
          <w:bCs/>
          <w:sz w:val="32"/>
          <w:szCs w:val="32"/>
          <w:shd w:val="clear" w:color="auto" w:fill="FFFFFF"/>
        </w:rPr>
        <w:t>和政务服务管理局</w:t>
      </w:r>
      <w:r>
        <w:rPr>
          <w:rFonts w:hint="eastAsia" w:ascii="仿宋_GB2312" w:hAnsi="仿宋_GB2312" w:eastAsia="仿宋_GB2312" w:cs="仿宋_GB2312"/>
          <w:bCs/>
          <w:sz w:val="32"/>
          <w:szCs w:val="32"/>
          <w:shd w:val="clear" w:color="auto" w:fill="FFFFFF"/>
          <w:lang w:val="en-US" w:eastAsia="zh-CN"/>
        </w:rPr>
        <w:t>关于</w:t>
      </w:r>
      <w:r>
        <w:rPr>
          <w:rFonts w:hint="eastAsia" w:ascii="仿宋_GB2312" w:hAnsi="仿宋_GB2312" w:eastAsia="仿宋_GB2312" w:cs="仿宋_GB2312"/>
          <w:bCs/>
          <w:sz w:val="32"/>
          <w:szCs w:val="32"/>
          <w:shd w:val="clear" w:color="auto" w:fill="FFFFFF"/>
        </w:rPr>
        <w:t>2024年度部门整体支出绩效评价自评报告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default" w:ascii="Times New Roman" w:hAnsi="Times New Roman" w:eastAsia="仿宋_GB2312" w:cs="Times New Roman"/>
          <w:sz w:val="32"/>
          <w:szCs w:val="32"/>
        </w:rPr>
        <w:t>红行审</w:t>
      </w:r>
      <w:r>
        <w:rPr>
          <w:rFonts w:hint="default" w:ascii="Times New Roman" w:hAnsi="Times New Roman" w:eastAsia="仿宋_GB2312" w:cs="Times New Roman"/>
          <w:sz w:val="32"/>
          <w:szCs w:val="32"/>
          <w:lang w:val="en-US" w:eastAsia="zh-CN"/>
        </w:rPr>
        <w:t>政管</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号</w:t>
      </w:r>
      <w:r>
        <w:rPr>
          <w:rFonts w:hint="eastAsia" w:eastAsia="仿宋_GB2312" w:cs="Times New Roman"/>
          <w:sz w:val="32"/>
          <w:szCs w:val="32"/>
          <w:lang w:eastAsia="zh-CN"/>
        </w:rPr>
        <w:t>），</w:t>
      </w:r>
      <w:r>
        <w:rPr>
          <w:rFonts w:hint="eastAsia" w:ascii="仿宋_GB2312" w:hAnsi="仿宋_GB2312" w:eastAsia="仿宋_GB2312" w:cs="仿宋_GB2312"/>
          <w:color w:val="000000"/>
          <w:sz w:val="32"/>
          <w:szCs w:val="32"/>
        </w:rPr>
        <w:t>详见附件。</w:t>
      </w:r>
    </w:p>
    <w:p w14:paraId="6B22410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rPr>
      </w:pPr>
    </w:p>
    <w:p w14:paraId="7660238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641D3FD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7FD926E1">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775AF45C">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color w:val="000000"/>
          <w:kern w:val="0"/>
          <w:sz w:val="32"/>
          <w:szCs w:val="32"/>
        </w:rPr>
      </w:pPr>
    </w:p>
    <w:p w14:paraId="156FC174">
      <w:pPr>
        <w:pageBreakBefore w:val="0"/>
        <w:kinsoku/>
        <w:wordWrap/>
        <w:overflowPunct/>
        <w:topLinePunct w:val="0"/>
        <w:autoSpaceDE/>
        <w:autoSpaceDN/>
        <w:bidi w:val="0"/>
        <w:spacing w:line="560" w:lineRule="exact"/>
        <w:ind w:firstLine="640"/>
        <w:rPr>
          <w:rFonts w:hint="eastAsia" w:ascii="仿宋_GB2312" w:hAnsi="仿宋_GB2312" w:eastAsia="仿宋_GB2312" w:cs="仿宋_GB2312"/>
          <w:color w:val="auto"/>
          <w:kern w:val="2"/>
          <w:sz w:val="32"/>
          <w:szCs w:val="32"/>
          <w:highlight w:val="none"/>
          <w:lang w:val="en-US" w:eastAsia="zh-CN" w:bidi="ar-SA"/>
        </w:rPr>
      </w:pPr>
    </w:p>
    <w:p w14:paraId="4F4A3B86">
      <w:pPr>
        <w:pStyle w:val="24"/>
        <w:rPr>
          <w:rFonts w:hint="eastAsia" w:ascii="仿宋_GB2312" w:hAnsi="仿宋_GB2312" w:eastAsia="仿宋_GB2312" w:cs="仿宋_GB2312"/>
          <w:color w:val="auto"/>
          <w:kern w:val="2"/>
          <w:sz w:val="32"/>
          <w:szCs w:val="32"/>
          <w:highlight w:val="none"/>
          <w:lang w:val="en-US" w:eastAsia="zh-CN" w:bidi="ar-SA"/>
        </w:rPr>
      </w:pPr>
    </w:p>
    <w:p w14:paraId="151036D9">
      <w:pPr>
        <w:rPr>
          <w:rFonts w:hint="eastAsia" w:ascii="仿宋_GB2312" w:hAnsi="仿宋_GB2312" w:eastAsia="仿宋_GB2312" w:cs="仿宋_GB2312"/>
          <w:color w:val="auto"/>
          <w:kern w:val="2"/>
          <w:sz w:val="32"/>
          <w:szCs w:val="32"/>
          <w:highlight w:val="none"/>
          <w:lang w:val="en-US" w:eastAsia="zh-CN" w:bidi="ar-SA"/>
        </w:rPr>
      </w:pPr>
    </w:p>
    <w:p w14:paraId="4250ADF2">
      <w:pPr>
        <w:pStyle w:val="24"/>
        <w:rPr>
          <w:rFonts w:hint="eastAsia" w:ascii="仿宋_GB2312" w:hAnsi="仿宋_GB2312" w:eastAsia="仿宋_GB2312" w:cs="仿宋_GB2312"/>
          <w:color w:val="auto"/>
          <w:kern w:val="2"/>
          <w:sz w:val="32"/>
          <w:szCs w:val="32"/>
          <w:highlight w:val="none"/>
          <w:lang w:val="en-US" w:eastAsia="zh-CN" w:bidi="ar-SA"/>
        </w:rPr>
      </w:pPr>
    </w:p>
    <w:p w14:paraId="2CBEF1BB">
      <w:pPr>
        <w:rPr>
          <w:rFonts w:hint="eastAsia" w:ascii="仿宋_GB2312" w:hAnsi="仿宋_GB2312" w:eastAsia="仿宋_GB2312" w:cs="仿宋_GB2312"/>
          <w:color w:val="auto"/>
          <w:kern w:val="2"/>
          <w:sz w:val="32"/>
          <w:szCs w:val="32"/>
          <w:highlight w:val="none"/>
          <w:lang w:val="en-US" w:eastAsia="zh-CN" w:bidi="ar-SA"/>
        </w:rPr>
      </w:pPr>
    </w:p>
    <w:p w14:paraId="52B9A6F3">
      <w:pPr>
        <w:pStyle w:val="24"/>
        <w:rPr>
          <w:rFonts w:hint="eastAsia" w:ascii="仿宋_GB2312" w:hAnsi="仿宋_GB2312" w:eastAsia="仿宋_GB2312" w:cs="仿宋_GB2312"/>
          <w:color w:val="auto"/>
          <w:kern w:val="2"/>
          <w:sz w:val="32"/>
          <w:szCs w:val="32"/>
          <w:highlight w:val="none"/>
          <w:lang w:val="en-US" w:eastAsia="zh-CN" w:bidi="ar-SA"/>
        </w:rPr>
      </w:pPr>
    </w:p>
    <w:p w14:paraId="291AA4CF">
      <w:pPr>
        <w:rPr>
          <w:rFonts w:hint="eastAsia" w:ascii="仿宋_GB2312" w:hAnsi="仿宋_GB2312" w:eastAsia="仿宋_GB2312" w:cs="仿宋_GB2312"/>
          <w:color w:val="auto"/>
          <w:kern w:val="2"/>
          <w:sz w:val="32"/>
          <w:szCs w:val="32"/>
          <w:highlight w:val="none"/>
          <w:lang w:val="en-US" w:eastAsia="zh-CN" w:bidi="ar-SA"/>
        </w:rPr>
      </w:pPr>
    </w:p>
    <w:p w14:paraId="0453D40F">
      <w:pPr>
        <w:pStyle w:val="24"/>
        <w:rPr>
          <w:rFonts w:hint="eastAsia" w:ascii="仿宋_GB2312" w:hAnsi="仿宋_GB2312" w:eastAsia="仿宋_GB2312" w:cs="仿宋_GB2312"/>
          <w:color w:val="auto"/>
          <w:kern w:val="2"/>
          <w:sz w:val="32"/>
          <w:szCs w:val="32"/>
          <w:highlight w:val="none"/>
          <w:lang w:val="en-US" w:eastAsia="zh-CN" w:bidi="ar-SA"/>
        </w:rPr>
      </w:pPr>
    </w:p>
    <w:p w14:paraId="770E8558">
      <w:pPr>
        <w:rPr>
          <w:rFonts w:hint="eastAsia" w:ascii="仿宋_GB2312" w:hAnsi="仿宋_GB2312" w:eastAsia="仿宋_GB2312" w:cs="仿宋_GB2312"/>
          <w:color w:val="auto"/>
          <w:kern w:val="2"/>
          <w:sz w:val="32"/>
          <w:szCs w:val="32"/>
          <w:highlight w:val="none"/>
          <w:lang w:val="en-US" w:eastAsia="zh-CN" w:bidi="ar-SA"/>
        </w:rPr>
      </w:pPr>
    </w:p>
    <w:p w14:paraId="143E77EB">
      <w:pPr>
        <w:pStyle w:val="24"/>
        <w:rPr>
          <w:rFonts w:hint="eastAsia" w:ascii="仿宋_GB2312" w:hAnsi="仿宋_GB2312" w:eastAsia="仿宋_GB2312" w:cs="仿宋_GB2312"/>
          <w:color w:val="auto"/>
          <w:kern w:val="2"/>
          <w:sz w:val="32"/>
          <w:szCs w:val="32"/>
          <w:highlight w:val="none"/>
          <w:lang w:val="en-US" w:eastAsia="zh-CN" w:bidi="ar-SA"/>
        </w:rPr>
      </w:pPr>
    </w:p>
    <w:p w14:paraId="27156807">
      <w:pPr>
        <w:rPr>
          <w:rFonts w:hint="eastAsia" w:ascii="仿宋_GB2312" w:hAnsi="仿宋_GB2312" w:eastAsia="仿宋_GB2312" w:cs="仿宋_GB2312"/>
          <w:color w:val="auto"/>
          <w:kern w:val="2"/>
          <w:sz w:val="32"/>
          <w:szCs w:val="32"/>
          <w:highlight w:val="none"/>
          <w:lang w:val="en-US" w:eastAsia="zh-CN" w:bidi="ar-SA"/>
        </w:rPr>
      </w:pPr>
    </w:p>
    <w:p w14:paraId="42F73781">
      <w:pPr>
        <w:pageBreakBefore w:val="0"/>
        <w:kinsoku/>
        <w:wordWrap/>
        <w:overflowPunct/>
        <w:topLinePunct w:val="0"/>
        <w:autoSpaceDE/>
        <w:autoSpaceDN/>
        <w:bidi w:val="0"/>
        <w:spacing w:line="560" w:lineRule="exact"/>
        <w:rPr>
          <w:rFonts w:hint="eastAsia" w:ascii="仿宋_GB2312" w:hAnsi="仿宋_GB2312" w:eastAsia="仿宋_GB2312" w:cs="仿宋_GB2312"/>
          <w:color w:val="auto"/>
          <w:kern w:val="2"/>
          <w:sz w:val="32"/>
          <w:szCs w:val="32"/>
          <w:highlight w:val="none"/>
          <w:lang w:val="en-US" w:eastAsia="zh-CN" w:bidi="ar-SA"/>
        </w:rPr>
      </w:pPr>
    </w:p>
    <w:p w14:paraId="500AD81D">
      <w:pPr>
        <w:pageBreakBefore w:val="0"/>
        <w:numPr>
          <w:ilvl w:val="0"/>
          <w:numId w:val="0"/>
        </w:numPr>
        <w:kinsoku/>
        <w:wordWrap/>
        <w:overflowPunct/>
        <w:topLinePunct w:val="0"/>
        <w:autoSpaceDE/>
        <w:autoSpaceDN/>
        <w:bidi w:val="0"/>
        <w:spacing w:line="560" w:lineRule="exact"/>
        <w:jc w:val="center"/>
        <w:outlineLvl w:val="0"/>
        <w:rPr>
          <w:rFonts w:hint="eastAsia" w:ascii="方正小标宋简体" w:hAnsi="方正小标宋简体" w:eastAsia="方正小标宋简体" w:cs="方正小标宋简体"/>
          <w:color w:val="auto"/>
          <w:sz w:val="44"/>
          <w:szCs w:val="44"/>
          <w:highlight w:val="none"/>
        </w:rPr>
      </w:pPr>
      <w:bookmarkStart w:id="48" w:name="_Toc15377225"/>
      <w:bookmarkStart w:id="49" w:name="_Toc15396613"/>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48"/>
      <w:bookmarkEnd w:id="49"/>
    </w:p>
    <w:p w14:paraId="0EA9B5C6">
      <w:pPr>
        <w:pageBreakBefore w:val="0"/>
        <w:kinsoku/>
        <w:wordWrap/>
        <w:overflowPunct/>
        <w:topLinePunct w:val="0"/>
        <w:autoSpaceDE/>
        <w:autoSpaceDN/>
        <w:bidi w:val="0"/>
        <w:spacing w:line="560" w:lineRule="exact"/>
        <w:jc w:val="left"/>
        <w:rPr>
          <w:rFonts w:hint="eastAsia" w:ascii="仿宋_GB2312" w:hAnsi="仿宋_GB2312" w:eastAsia="仿宋_GB2312" w:cs="仿宋_GB2312"/>
          <w:b/>
          <w:color w:val="auto"/>
          <w:sz w:val="32"/>
          <w:szCs w:val="32"/>
          <w:highlight w:val="none"/>
        </w:rPr>
      </w:pPr>
    </w:p>
    <w:p w14:paraId="0DB291A8">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312"/>
        </w:tabs>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50" w:name="_Toc27029"/>
      <w:bookmarkStart w:id="51" w:name="_Toc27947"/>
      <w:bookmarkStart w:id="52" w:name="_Toc18803"/>
      <w:r>
        <w:rPr>
          <w:rFonts w:hint="eastAsia" w:ascii="仿宋_GB2312" w:eastAsia="仿宋_GB2312" w:cs="仿宋_GB2312"/>
          <w:color w:val="000000"/>
          <w:sz w:val="32"/>
          <w:szCs w:val="32"/>
          <w:lang w:val="en-US" w:eastAsia="zh-CN"/>
        </w:rPr>
        <w:t>1.</w:t>
      </w:r>
      <w:r>
        <w:rPr>
          <w:rFonts w:ascii="仿宋_GB2312" w:eastAsia="仿宋_GB2312" w:cs="仿宋_GB2312"/>
          <w:color w:val="000000"/>
          <w:sz w:val="32"/>
          <w:szCs w:val="32"/>
        </w:rPr>
        <w:t>财政拨款收入：指单位从同级财政部门取得的财政预算资</w:t>
      </w:r>
      <w:bookmarkEnd w:id="50"/>
      <w:bookmarkEnd w:id="51"/>
      <w:bookmarkEnd w:id="52"/>
    </w:p>
    <w:p w14:paraId="203DC83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53" w:name="_Toc21049"/>
      <w:bookmarkStart w:id="54" w:name="_Toc704"/>
      <w:bookmarkStart w:id="55" w:name="_Toc28771"/>
      <w:r>
        <w:rPr>
          <w:rFonts w:hint="eastAsia" w:ascii="仿宋_GB2312" w:eastAsia="仿宋_GB2312" w:cs="仿宋_GB2312"/>
          <w:color w:val="000000"/>
          <w:sz w:val="32"/>
          <w:szCs w:val="32"/>
        </w:rPr>
        <w:t>金。</w:t>
      </w:r>
      <w:bookmarkEnd w:id="53"/>
      <w:bookmarkEnd w:id="54"/>
      <w:bookmarkEnd w:id="55"/>
    </w:p>
    <w:p w14:paraId="26C4EB9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56" w:name="_Toc24986"/>
      <w:bookmarkStart w:id="57" w:name="_Toc5090"/>
      <w:bookmarkStart w:id="58" w:name="_Toc16486"/>
      <w:r>
        <w:rPr>
          <w:rFonts w:hint="eastAsia" w:ascii="仿宋_GB2312" w:eastAsia="仿宋_GB2312" w:cs="仿宋_GB2312"/>
          <w:color w:val="000000"/>
          <w:sz w:val="32"/>
          <w:szCs w:val="32"/>
        </w:rPr>
        <w:t>2.其他收入：指单位取得的除上述收入以外的各项收入。</w:t>
      </w:r>
      <w:bookmarkEnd w:id="56"/>
      <w:bookmarkEnd w:id="57"/>
      <w:bookmarkEnd w:id="58"/>
      <w:r>
        <w:rPr>
          <w:rFonts w:hint="eastAsia" w:ascii="仿宋_GB2312" w:eastAsia="仿宋_GB2312" w:cs="仿宋_GB2312"/>
          <w:color w:val="000000"/>
          <w:sz w:val="32"/>
          <w:szCs w:val="32"/>
        </w:rPr>
        <w:t> </w:t>
      </w:r>
    </w:p>
    <w:p w14:paraId="67E7DE1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59" w:name="_Toc5473"/>
      <w:bookmarkStart w:id="60" w:name="_Toc13744"/>
      <w:bookmarkStart w:id="61" w:name="_Toc19661"/>
      <w:r>
        <w:rPr>
          <w:rFonts w:hint="eastAsia" w:ascii="仿宋_GB2312" w:eastAsia="仿宋_GB2312" w:cs="仿宋_GB2312"/>
          <w:color w:val="000000"/>
          <w:sz w:val="32"/>
          <w:szCs w:val="32"/>
        </w:rPr>
        <w:t>3.年初结转和结余：指以前年度尚未完成、结转到本年按有</w:t>
      </w:r>
      <w:bookmarkEnd w:id="59"/>
      <w:bookmarkEnd w:id="60"/>
      <w:bookmarkEnd w:id="61"/>
    </w:p>
    <w:p w14:paraId="06BE7C2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62" w:name="_Toc11790"/>
      <w:bookmarkStart w:id="63" w:name="_Toc15327"/>
      <w:bookmarkStart w:id="64" w:name="_Toc12956"/>
      <w:r>
        <w:rPr>
          <w:rFonts w:hint="eastAsia" w:ascii="仿宋_GB2312" w:eastAsia="仿宋_GB2312" w:cs="仿宋_GB2312"/>
          <w:color w:val="000000"/>
          <w:sz w:val="32"/>
          <w:szCs w:val="32"/>
        </w:rPr>
        <w:t>关规定继续使用的资金。</w:t>
      </w:r>
      <w:bookmarkEnd w:id="62"/>
      <w:bookmarkEnd w:id="63"/>
      <w:bookmarkEnd w:id="64"/>
      <w:r>
        <w:rPr>
          <w:rFonts w:hint="eastAsia" w:ascii="仿宋_GB2312" w:eastAsia="仿宋_GB2312" w:cs="仿宋_GB2312"/>
          <w:color w:val="000000"/>
          <w:sz w:val="32"/>
          <w:szCs w:val="32"/>
        </w:rPr>
        <w:t> </w:t>
      </w:r>
    </w:p>
    <w:p w14:paraId="1AEFF2A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65" w:name="_Toc21359"/>
      <w:bookmarkStart w:id="66" w:name="_Toc1206"/>
      <w:bookmarkStart w:id="67" w:name="_Toc9882"/>
      <w:r>
        <w:rPr>
          <w:rFonts w:hint="eastAsia" w:ascii="仿宋_GB2312" w:eastAsia="仿宋_GB2312" w:cs="仿宋_GB2312"/>
          <w:color w:val="000000"/>
          <w:sz w:val="32"/>
          <w:szCs w:val="32"/>
        </w:rPr>
        <w:t>4、年末结转和结余：指单位按有关规定结转到下年或以后</w:t>
      </w:r>
      <w:bookmarkEnd w:id="65"/>
      <w:bookmarkEnd w:id="66"/>
      <w:bookmarkEnd w:id="67"/>
    </w:p>
    <w:p w14:paraId="2569453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68" w:name="_Toc9271"/>
      <w:bookmarkStart w:id="69" w:name="_Toc12873"/>
      <w:bookmarkStart w:id="70" w:name="_Toc8387"/>
      <w:r>
        <w:rPr>
          <w:rFonts w:hint="eastAsia" w:ascii="仿宋_GB2312" w:eastAsia="仿宋_GB2312" w:cs="仿宋_GB2312"/>
          <w:color w:val="000000"/>
          <w:sz w:val="32"/>
          <w:szCs w:val="32"/>
        </w:rPr>
        <w:t>年度继续使用的资金。</w:t>
      </w:r>
      <w:bookmarkEnd w:id="68"/>
      <w:bookmarkEnd w:id="69"/>
      <w:bookmarkEnd w:id="70"/>
    </w:p>
    <w:p w14:paraId="705ADF4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71" w:name="_Toc2744"/>
      <w:bookmarkStart w:id="72" w:name="_Toc31094"/>
      <w:bookmarkStart w:id="73" w:name="_Toc7344"/>
      <w:bookmarkStart w:id="74" w:name="_Toc25321"/>
      <w:bookmarkStart w:id="75" w:name="_Toc19703"/>
      <w:bookmarkStart w:id="76" w:name="_Toc22387"/>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一般公共服务：2010</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01指行政运行，反映人员经费与日常公用经费的支出。2010</w:t>
      </w:r>
      <w:r>
        <w:rPr>
          <w:rFonts w:hint="eastAsia" w:ascii="仿宋_GB2312" w:eastAsia="仿宋_GB2312" w:cs="仿宋_GB2312"/>
          <w:color w:val="000000"/>
          <w:sz w:val="32"/>
          <w:szCs w:val="32"/>
          <w:lang w:val="en-US" w:eastAsia="zh-CN"/>
        </w:rPr>
        <w:t>302</w:t>
      </w:r>
      <w:r>
        <w:rPr>
          <w:rFonts w:hint="eastAsia" w:ascii="仿宋_GB2312" w:eastAsia="仿宋_GB2312" w:cs="仿宋_GB2312"/>
          <w:color w:val="000000"/>
          <w:sz w:val="32"/>
          <w:szCs w:val="32"/>
        </w:rPr>
        <w:t>指一般行政管理事务，反映</w:t>
      </w:r>
      <w:r>
        <w:rPr>
          <w:rFonts w:hint="eastAsia" w:ascii="仿宋_GB2312" w:eastAsia="仿宋_GB2312" w:cs="仿宋_GB2312"/>
          <w:color w:val="000000"/>
          <w:sz w:val="32"/>
          <w:szCs w:val="32"/>
          <w:lang w:val="en-US" w:eastAsia="zh-CN"/>
        </w:rPr>
        <w:t>单位项目的</w:t>
      </w:r>
      <w:r>
        <w:rPr>
          <w:rFonts w:hint="eastAsia" w:ascii="仿宋_GB2312" w:eastAsia="仿宋_GB2312" w:cs="仿宋_GB2312"/>
          <w:color w:val="000000"/>
          <w:sz w:val="32"/>
          <w:szCs w:val="32"/>
        </w:rPr>
        <w:t>支出。2010</w:t>
      </w:r>
      <w:r>
        <w:rPr>
          <w:rFonts w:hint="eastAsia" w:ascii="仿宋_GB2312" w:eastAsia="仿宋_GB2312" w:cs="仿宋_GB2312"/>
          <w:color w:val="000000"/>
          <w:sz w:val="32"/>
          <w:szCs w:val="32"/>
          <w:lang w:val="en-US" w:eastAsia="zh-CN"/>
        </w:rPr>
        <w:t>350</w:t>
      </w:r>
      <w:bookmarkEnd w:id="71"/>
      <w:bookmarkEnd w:id="72"/>
      <w:bookmarkEnd w:id="73"/>
      <w:bookmarkStart w:id="77" w:name="_Toc23901"/>
      <w:bookmarkStart w:id="78" w:name="_Toc13530"/>
      <w:bookmarkStart w:id="79" w:name="_Toc18095"/>
      <w:r>
        <w:rPr>
          <w:rFonts w:hint="eastAsia" w:ascii="仿宋_GB2312" w:eastAsia="仿宋_GB2312" w:cs="仿宋_GB2312"/>
          <w:color w:val="000000"/>
          <w:sz w:val="32"/>
          <w:szCs w:val="32"/>
        </w:rPr>
        <w:t>指事业运行，反映</w:t>
      </w:r>
      <w:r>
        <w:rPr>
          <w:rFonts w:hint="eastAsia" w:ascii="仿宋_GB2312" w:eastAsia="仿宋_GB2312" w:cs="仿宋_GB2312"/>
          <w:color w:val="000000"/>
          <w:sz w:val="32"/>
          <w:szCs w:val="32"/>
          <w:lang w:val="en-US" w:eastAsia="zh-CN"/>
        </w:rPr>
        <w:t>单位</w:t>
      </w:r>
      <w:r>
        <w:rPr>
          <w:rFonts w:hint="eastAsia" w:ascii="仿宋_GB2312" w:eastAsia="仿宋_GB2312" w:cs="仿宋_GB2312"/>
          <w:color w:val="000000"/>
          <w:sz w:val="32"/>
          <w:szCs w:val="32"/>
        </w:rPr>
        <w:t>事业机构产生的人员经费及公用经费。</w:t>
      </w:r>
      <w:bookmarkEnd w:id="77"/>
      <w:bookmarkEnd w:id="78"/>
      <w:bookmarkEnd w:id="79"/>
    </w:p>
    <w:p w14:paraId="418455B1">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left"/>
        <w:textAlignment w:val="auto"/>
        <w:rPr>
          <w:sz w:val="32"/>
          <w:szCs w:val="32"/>
        </w:rPr>
      </w:pPr>
      <w:r>
        <w:rPr>
          <w:rFonts w:hint="eastAsia" w:ascii="仿宋_GB2312" w:eastAsia="仿宋_GB2312" w:cs="仿宋_GB2312"/>
          <w:color w:val="000000"/>
          <w:sz w:val="32"/>
          <w:szCs w:val="32"/>
        </w:rPr>
        <w:t>6.社会保障和就业：2080505指机关事业单位基本养老保险缴费支出。2080506指机关事业单位职业年金缴费支出。</w:t>
      </w:r>
      <w:bookmarkEnd w:id="74"/>
      <w:bookmarkEnd w:id="75"/>
      <w:bookmarkEnd w:id="76"/>
    </w:p>
    <w:p w14:paraId="49A944C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80" w:name="_Toc7898"/>
      <w:bookmarkStart w:id="81" w:name="_Toc3261"/>
      <w:bookmarkStart w:id="82" w:name="_Toc11709"/>
      <w:r>
        <w:rPr>
          <w:rFonts w:hint="eastAsia" w:ascii="仿宋_GB2312" w:eastAsia="仿宋_GB2312" w:cs="仿宋_GB2312"/>
          <w:color w:val="000000"/>
          <w:sz w:val="32"/>
          <w:szCs w:val="32"/>
        </w:rPr>
        <w:t>7.医疗卫生与计划生育：2101101指行政单位医疗保险支出。2101102指事业单位医疗保险支出。2101103指公务员医疗补助。2101199指其他行政事业单位医疗支出，反映事业单位职工补充医保。</w:t>
      </w:r>
      <w:bookmarkEnd w:id="80"/>
      <w:bookmarkEnd w:id="81"/>
      <w:bookmarkEnd w:id="82"/>
    </w:p>
    <w:p w14:paraId="3DCB10D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83" w:name="_Toc27720"/>
      <w:bookmarkStart w:id="84" w:name="_Toc17531"/>
      <w:bookmarkStart w:id="85" w:name="_Toc14400"/>
      <w:r>
        <w:rPr>
          <w:rFonts w:hint="eastAsia" w:ascii="仿宋_GB2312" w:eastAsia="仿宋_GB2312" w:cs="仿宋_GB2312"/>
          <w:color w:val="000000"/>
          <w:sz w:val="32"/>
          <w:szCs w:val="32"/>
        </w:rPr>
        <w:t>8.住房保障：2210201指住房公积金。</w:t>
      </w:r>
      <w:bookmarkEnd w:id="83"/>
      <w:bookmarkEnd w:id="84"/>
      <w:bookmarkEnd w:id="85"/>
    </w:p>
    <w:p w14:paraId="22A159AB">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86" w:name="_Toc969"/>
      <w:bookmarkStart w:id="87" w:name="_Toc15140"/>
      <w:bookmarkStart w:id="88" w:name="_Toc20801"/>
      <w:r>
        <w:rPr>
          <w:rFonts w:hint="eastAsia" w:ascii="仿宋_GB2312" w:eastAsia="仿宋_GB2312" w:cs="仿宋_GB2312"/>
          <w:color w:val="000000"/>
          <w:sz w:val="32"/>
          <w:szCs w:val="32"/>
        </w:rPr>
        <w:t>9.基本支出：指为保障机构正常运转、完成日常工作任务而</w:t>
      </w:r>
      <w:bookmarkEnd w:id="86"/>
      <w:bookmarkEnd w:id="87"/>
      <w:bookmarkEnd w:id="88"/>
    </w:p>
    <w:p w14:paraId="63570E0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89" w:name="_Toc4186"/>
      <w:bookmarkStart w:id="90" w:name="_Toc2623"/>
      <w:bookmarkStart w:id="91" w:name="_Toc1908"/>
      <w:r>
        <w:rPr>
          <w:rFonts w:hint="eastAsia" w:ascii="仿宋_GB2312" w:eastAsia="仿宋_GB2312" w:cs="仿宋_GB2312"/>
          <w:color w:val="000000"/>
          <w:sz w:val="32"/>
          <w:szCs w:val="32"/>
        </w:rPr>
        <w:t>发生的人员支出和公用支出。</w:t>
      </w:r>
      <w:bookmarkEnd w:id="89"/>
      <w:bookmarkEnd w:id="90"/>
      <w:bookmarkEnd w:id="91"/>
    </w:p>
    <w:p w14:paraId="1BA4C967">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92" w:name="_Toc26501"/>
      <w:bookmarkStart w:id="93" w:name="_Toc9649"/>
      <w:bookmarkStart w:id="94" w:name="_Toc27377"/>
      <w:r>
        <w:rPr>
          <w:rFonts w:hint="eastAsia" w:ascii="仿宋_GB2312" w:eastAsia="仿宋_GB2312" w:cs="仿宋_GB2312"/>
          <w:color w:val="000000"/>
          <w:sz w:val="32"/>
          <w:szCs w:val="32"/>
        </w:rPr>
        <w:t>10.项目支出：指在基本支出之外为完成特定行政任务和事</w:t>
      </w:r>
      <w:bookmarkEnd w:id="92"/>
      <w:bookmarkEnd w:id="93"/>
      <w:bookmarkEnd w:id="94"/>
    </w:p>
    <w:p w14:paraId="44F03509">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95" w:name="_Toc26892"/>
      <w:bookmarkStart w:id="96" w:name="_Toc30698"/>
      <w:bookmarkStart w:id="97" w:name="_Toc19535"/>
      <w:r>
        <w:rPr>
          <w:rFonts w:hint="eastAsia" w:ascii="仿宋_GB2312" w:eastAsia="仿宋_GB2312" w:cs="仿宋_GB2312"/>
          <w:color w:val="000000"/>
          <w:sz w:val="32"/>
          <w:szCs w:val="32"/>
        </w:rPr>
        <w:t>业发展目标所发生的支出。</w:t>
      </w:r>
      <w:bookmarkEnd w:id="95"/>
      <w:bookmarkEnd w:id="96"/>
      <w:bookmarkEnd w:id="97"/>
      <w:r>
        <w:rPr>
          <w:rFonts w:hint="eastAsia" w:ascii="仿宋_GB2312" w:eastAsia="仿宋_GB2312" w:cs="仿宋_GB2312"/>
          <w:color w:val="000000"/>
          <w:sz w:val="32"/>
          <w:szCs w:val="32"/>
        </w:rPr>
        <w:t> </w:t>
      </w:r>
    </w:p>
    <w:p w14:paraId="2A726098">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98" w:name="_Toc22739"/>
      <w:bookmarkStart w:id="99" w:name="_Toc27678"/>
      <w:bookmarkStart w:id="100" w:name="_Toc21244"/>
      <w:r>
        <w:rPr>
          <w:rFonts w:hint="eastAsia" w:ascii="仿宋_GB2312" w:eastAsia="仿宋_GB2312" w:cs="仿宋_GB2312"/>
          <w:color w:val="000000"/>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98"/>
      <w:bookmarkEnd w:id="99"/>
      <w:bookmarkEnd w:id="100"/>
    </w:p>
    <w:p w14:paraId="1198ECD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sz w:val="32"/>
          <w:szCs w:val="32"/>
        </w:rPr>
      </w:pPr>
      <w:bookmarkStart w:id="101" w:name="_Toc11049"/>
      <w:bookmarkStart w:id="102" w:name="_Toc1029"/>
      <w:bookmarkStart w:id="103" w:name="_Toc14809"/>
      <w:r>
        <w:rPr>
          <w:rFonts w:hint="eastAsia" w:ascii="仿宋_GB2312" w:eastAsia="仿宋_GB2312" w:cs="仿宋_GB2312"/>
          <w:color w:val="000000"/>
          <w:sz w:val="32"/>
          <w:szCs w:val="32"/>
        </w:rPr>
        <w:t>外宾接待）支出。</w:t>
      </w:r>
      <w:bookmarkEnd w:id="101"/>
      <w:bookmarkEnd w:id="102"/>
      <w:bookmarkEnd w:id="103"/>
    </w:p>
    <w:p w14:paraId="1AAB0A6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rPr>
          <w:sz w:val="32"/>
          <w:szCs w:val="32"/>
        </w:rPr>
      </w:pPr>
      <w:bookmarkStart w:id="104" w:name="_Toc13615"/>
      <w:bookmarkStart w:id="105" w:name="_Toc28505"/>
      <w:bookmarkStart w:id="106" w:name="_Toc20693"/>
      <w:r>
        <w:rPr>
          <w:rFonts w:hint="eastAsia" w:ascii="仿宋_GB2312" w:eastAsia="仿宋_GB2312" w:cs="仿宋_GB2312"/>
          <w:color w:val="000000"/>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04"/>
      <w:bookmarkEnd w:id="105"/>
      <w:bookmarkEnd w:id="106"/>
    </w:p>
    <w:p w14:paraId="1F0696C7">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color w:val="auto"/>
          <w:kern w:val="2"/>
          <w:sz w:val="32"/>
          <w:szCs w:val="32"/>
          <w:highlight w:val="none"/>
          <w:lang w:val="en-US" w:eastAsia="zh-CN" w:bidi="ar-SA"/>
        </w:rPr>
      </w:pPr>
      <w:bookmarkStart w:id="107" w:name="_Toc23183"/>
      <w:bookmarkStart w:id="108" w:name="_Toc20644"/>
      <w:bookmarkStart w:id="109" w:name="_Toc19910"/>
      <w:r>
        <w:rPr>
          <w:rFonts w:hint="eastAsia" w:ascii="仿宋_GB2312" w:eastAsia="仿宋_GB2312" w:cs="仿宋_GB2312"/>
          <w:color w:val="000000"/>
          <w:sz w:val="32"/>
          <w:szCs w:val="32"/>
        </w:rPr>
        <w:t>其他费用。</w:t>
      </w:r>
      <w:bookmarkEnd w:id="107"/>
      <w:bookmarkEnd w:id="108"/>
      <w:bookmarkEnd w:id="109"/>
    </w:p>
    <w:p w14:paraId="2BC06DB0">
      <w:pPr>
        <w:pageBreakBefore w:val="0"/>
        <w:kinsoku/>
        <w:wordWrap/>
        <w:overflowPunct/>
        <w:topLinePunct w:val="0"/>
        <w:autoSpaceDE/>
        <w:autoSpaceDN/>
        <w:bidi w:val="0"/>
        <w:spacing w:line="560" w:lineRule="exact"/>
        <w:jc w:val="center"/>
        <w:rPr>
          <w:rFonts w:hint="eastAsia" w:ascii="仿宋_GB2312" w:hAnsi="仿宋_GB2312" w:eastAsia="仿宋_GB2312" w:cs="仿宋_GB2312"/>
          <w:color w:val="auto"/>
          <w:kern w:val="2"/>
          <w:sz w:val="32"/>
          <w:szCs w:val="32"/>
          <w:highlight w:val="none"/>
          <w:lang w:val="en-US" w:eastAsia="zh-CN" w:bidi="ar-SA"/>
        </w:rPr>
      </w:pPr>
      <w:bookmarkStart w:id="110" w:name="_Toc15396614"/>
      <w:bookmarkStart w:id="111" w:name="_Toc15377226"/>
    </w:p>
    <w:p w14:paraId="6E735275">
      <w:pPr>
        <w:pStyle w:val="2"/>
        <w:rPr>
          <w:rFonts w:hint="eastAsia" w:ascii="仿宋_GB2312" w:hAnsi="仿宋_GB2312" w:eastAsia="仿宋_GB2312" w:cs="仿宋_GB2312"/>
          <w:color w:val="auto"/>
          <w:kern w:val="2"/>
          <w:sz w:val="32"/>
          <w:szCs w:val="32"/>
          <w:highlight w:val="none"/>
          <w:lang w:val="en-US" w:eastAsia="zh-CN" w:bidi="ar-SA"/>
        </w:rPr>
      </w:pPr>
    </w:p>
    <w:p w14:paraId="5411B43E">
      <w:pPr>
        <w:pStyle w:val="2"/>
        <w:rPr>
          <w:rFonts w:hint="eastAsia" w:ascii="仿宋_GB2312" w:hAnsi="仿宋_GB2312" w:eastAsia="仿宋_GB2312" w:cs="仿宋_GB2312"/>
          <w:color w:val="auto"/>
          <w:kern w:val="2"/>
          <w:sz w:val="32"/>
          <w:szCs w:val="32"/>
          <w:highlight w:val="none"/>
          <w:lang w:val="en-US" w:eastAsia="zh-CN" w:bidi="ar-SA"/>
        </w:rPr>
      </w:pPr>
    </w:p>
    <w:p w14:paraId="3D70B7F9">
      <w:pPr>
        <w:pStyle w:val="2"/>
        <w:rPr>
          <w:rFonts w:hint="eastAsia" w:ascii="仿宋_GB2312" w:hAnsi="仿宋_GB2312" w:eastAsia="仿宋_GB2312" w:cs="仿宋_GB2312"/>
          <w:color w:val="auto"/>
          <w:kern w:val="2"/>
          <w:sz w:val="32"/>
          <w:szCs w:val="32"/>
          <w:highlight w:val="none"/>
          <w:lang w:val="en-US" w:eastAsia="zh-CN" w:bidi="ar-SA"/>
        </w:rPr>
      </w:pPr>
    </w:p>
    <w:p w14:paraId="6A312483">
      <w:pPr>
        <w:pStyle w:val="2"/>
        <w:rPr>
          <w:rFonts w:hint="eastAsia" w:ascii="仿宋_GB2312" w:hAnsi="仿宋_GB2312" w:eastAsia="仿宋_GB2312" w:cs="仿宋_GB2312"/>
          <w:color w:val="auto"/>
          <w:kern w:val="2"/>
          <w:sz w:val="32"/>
          <w:szCs w:val="32"/>
          <w:highlight w:val="none"/>
          <w:lang w:val="en-US" w:eastAsia="zh-CN" w:bidi="ar-SA"/>
        </w:rPr>
      </w:pPr>
    </w:p>
    <w:p w14:paraId="6F4D52F5">
      <w:pPr>
        <w:pStyle w:val="2"/>
        <w:rPr>
          <w:rFonts w:hint="eastAsia" w:ascii="仿宋_GB2312" w:hAnsi="仿宋_GB2312" w:eastAsia="仿宋_GB2312" w:cs="仿宋_GB2312"/>
          <w:color w:val="auto"/>
          <w:kern w:val="2"/>
          <w:sz w:val="32"/>
          <w:szCs w:val="32"/>
          <w:highlight w:val="none"/>
          <w:lang w:val="en-US" w:eastAsia="zh-CN" w:bidi="ar-SA"/>
        </w:rPr>
      </w:pPr>
    </w:p>
    <w:p w14:paraId="32CDD5F5">
      <w:pPr>
        <w:pStyle w:val="2"/>
        <w:rPr>
          <w:rFonts w:hint="eastAsia" w:ascii="仿宋_GB2312" w:hAnsi="仿宋_GB2312" w:eastAsia="仿宋_GB2312" w:cs="仿宋_GB2312"/>
          <w:color w:val="auto"/>
          <w:kern w:val="2"/>
          <w:sz w:val="32"/>
          <w:szCs w:val="32"/>
          <w:highlight w:val="none"/>
          <w:lang w:val="en-US" w:eastAsia="zh-CN" w:bidi="ar-SA"/>
        </w:rPr>
      </w:pPr>
    </w:p>
    <w:p w14:paraId="4761D64E">
      <w:pPr>
        <w:pStyle w:val="2"/>
        <w:rPr>
          <w:rFonts w:hint="eastAsia" w:ascii="仿宋_GB2312" w:hAnsi="仿宋_GB2312" w:eastAsia="仿宋_GB2312" w:cs="仿宋_GB2312"/>
          <w:color w:val="auto"/>
          <w:kern w:val="2"/>
          <w:sz w:val="32"/>
          <w:szCs w:val="32"/>
          <w:highlight w:val="none"/>
          <w:lang w:val="en-US" w:eastAsia="zh-CN" w:bidi="ar-SA"/>
        </w:rPr>
      </w:pPr>
    </w:p>
    <w:p w14:paraId="728AB2A2">
      <w:pPr>
        <w:pStyle w:val="2"/>
        <w:rPr>
          <w:rFonts w:hint="eastAsia" w:ascii="仿宋_GB2312" w:hAnsi="仿宋_GB2312" w:eastAsia="仿宋_GB2312" w:cs="仿宋_GB2312"/>
          <w:color w:val="auto"/>
          <w:kern w:val="2"/>
          <w:sz w:val="32"/>
          <w:szCs w:val="32"/>
          <w:highlight w:val="none"/>
          <w:lang w:val="en-US" w:eastAsia="zh-CN" w:bidi="ar-SA"/>
        </w:rPr>
      </w:pPr>
    </w:p>
    <w:p w14:paraId="25DF23B4">
      <w:pPr>
        <w:pStyle w:val="2"/>
        <w:rPr>
          <w:rFonts w:hint="eastAsia" w:ascii="仿宋_GB2312" w:hAnsi="仿宋_GB2312" w:eastAsia="仿宋_GB2312" w:cs="仿宋_GB2312"/>
          <w:color w:val="auto"/>
          <w:kern w:val="2"/>
          <w:sz w:val="32"/>
          <w:szCs w:val="32"/>
          <w:highlight w:val="none"/>
          <w:lang w:val="en-US" w:eastAsia="zh-CN" w:bidi="ar-SA"/>
        </w:rPr>
      </w:pPr>
    </w:p>
    <w:p w14:paraId="1DE30F25">
      <w:pPr>
        <w:pageBreakBefore w:val="0"/>
        <w:kinsoku/>
        <w:wordWrap/>
        <w:overflowPunct/>
        <w:topLinePunct w:val="0"/>
        <w:autoSpaceDE/>
        <w:autoSpaceDN/>
        <w:bidi w:val="0"/>
        <w:spacing w:line="560" w:lineRule="exact"/>
        <w:jc w:val="center"/>
        <w:outlineLvl w:val="0"/>
        <w:rPr>
          <w:rStyle w:val="34"/>
          <w:rFonts w:hint="eastAsia" w:ascii="方正小标宋简体" w:hAnsi="方正小标宋简体" w:eastAsia="方正小标宋简体" w:cs="方正小标宋简体"/>
          <w:b w:val="0"/>
          <w:sz w:val="44"/>
          <w:szCs w:val="44"/>
        </w:rPr>
      </w:pPr>
      <w:bookmarkStart w:id="112" w:name="_Toc17629"/>
      <w:r>
        <w:rPr>
          <w:rFonts w:hint="eastAsia" w:ascii="方正小标宋简体" w:hAnsi="方正小标宋简体" w:eastAsia="方正小标宋简体" w:cs="方正小标宋简体"/>
          <w:sz w:val="44"/>
          <w:szCs w:val="44"/>
        </w:rPr>
        <w:t>第</w:t>
      </w:r>
      <w:r>
        <w:rPr>
          <w:rStyle w:val="34"/>
          <w:rFonts w:hint="eastAsia" w:ascii="方正小标宋简体" w:hAnsi="方正小标宋简体" w:eastAsia="方正小标宋简体" w:cs="方正小标宋简体"/>
          <w:b w:val="0"/>
          <w:sz w:val="44"/>
          <w:szCs w:val="44"/>
        </w:rPr>
        <w:t>四部分 附件</w:t>
      </w:r>
      <w:bookmarkEnd w:id="112"/>
    </w:p>
    <w:p w14:paraId="1D3FE616">
      <w:pPr>
        <w:keepNext w:val="0"/>
        <w:keepLines w:val="0"/>
        <w:pageBreakBefore w:val="0"/>
        <w:widowControl/>
        <w:kinsoku/>
        <w:wordWrap/>
        <w:overflowPunct/>
        <w:topLinePunct w:val="0"/>
        <w:autoSpaceDE/>
        <w:autoSpaceDN/>
        <w:bidi w:val="0"/>
        <w:adjustRightInd/>
        <w:snapToGrid/>
        <w:spacing w:line="570" w:lineRule="exact"/>
        <w:ind w:firstLine="880" w:firstLineChars="200"/>
        <w:contextualSpacing/>
        <w:jc w:val="center"/>
        <w:textAlignment w:val="auto"/>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红原县行政审批和政务服务管理局</w:t>
      </w:r>
    </w:p>
    <w:p w14:paraId="5E7DE760">
      <w:pPr>
        <w:keepNext w:val="0"/>
        <w:keepLines w:val="0"/>
        <w:pageBreakBefore w:val="0"/>
        <w:widowControl/>
        <w:kinsoku/>
        <w:wordWrap/>
        <w:overflowPunct/>
        <w:topLinePunct w:val="0"/>
        <w:autoSpaceDE/>
        <w:autoSpaceDN/>
        <w:bidi w:val="0"/>
        <w:adjustRightInd/>
        <w:snapToGrid/>
        <w:spacing w:line="570" w:lineRule="exact"/>
        <w:ind w:firstLine="880" w:firstLineChars="200"/>
        <w:contextualSpacing/>
        <w:jc w:val="center"/>
        <w:textAlignment w:val="auto"/>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lang w:val="en-US" w:eastAsia="zh-CN"/>
        </w:rPr>
        <w:t>关于</w:t>
      </w:r>
      <w:r>
        <w:rPr>
          <w:rFonts w:hint="eastAsia" w:ascii="方正小标宋简体" w:hAnsi="方正小标宋简体" w:eastAsia="方正小标宋简体" w:cs="方正小标宋简体"/>
          <w:bCs/>
          <w:sz w:val="44"/>
          <w:szCs w:val="44"/>
          <w:shd w:val="clear" w:color="auto" w:fill="FFFFFF"/>
        </w:rPr>
        <w:t>2024年度部门整体支出绩效评价</w:t>
      </w:r>
    </w:p>
    <w:p w14:paraId="1AC9C5CC">
      <w:pPr>
        <w:keepNext w:val="0"/>
        <w:keepLines w:val="0"/>
        <w:pageBreakBefore w:val="0"/>
        <w:widowControl/>
        <w:kinsoku/>
        <w:wordWrap/>
        <w:overflowPunct/>
        <w:topLinePunct w:val="0"/>
        <w:autoSpaceDE/>
        <w:autoSpaceDN/>
        <w:bidi w:val="0"/>
        <w:adjustRightInd/>
        <w:snapToGrid/>
        <w:spacing w:line="570" w:lineRule="exact"/>
        <w:ind w:firstLine="880" w:firstLineChars="200"/>
        <w:contextualSpacing/>
        <w:jc w:val="center"/>
        <w:textAlignment w:val="auto"/>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自评报告</w:t>
      </w:r>
    </w:p>
    <w:p w14:paraId="0DA22801">
      <w:pPr>
        <w:pStyle w:val="2"/>
        <w:rPr>
          <w:rFonts w:hint="default"/>
        </w:rPr>
      </w:pPr>
    </w:p>
    <w:p w14:paraId="769E9502">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黑体" w:hAnsi="黑体" w:eastAsia="黑体" w:cs="黑体"/>
          <w:sz w:val="32"/>
          <w:szCs w:val="32"/>
        </w:rPr>
      </w:pPr>
      <w:r>
        <w:rPr>
          <w:rFonts w:hint="eastAsia" w:ascii="黑体" w:hAnsi="黑体" w:eastAsia="黑体" w:cs="黑体"/>
          <w:color w:val="000000"/>
          <w:kern w:val="0"/>
          <w:sz w:val="32"/>
          <w:szCs w:val="32"/>
          <w:shd w:val="clear" w:color="auto" w:fill="FFFFFF"/>
          <w:lang w:val="zh-CN"/>
        </w:rPr>
        <w:t>一、部门（单位）基本情况</w:t>
      </w:r>
    </w:p>
    <w:p w14:paraId="3050F94E">
      <w:pPr>
        <w:pStyle w:val="10"/>
        <w:pageBreakBefore w:val="0"/>
        <w:kinsoku/>
        <w:wordWrap/>
        <w:overflowPunct/>
        <w:topLinePunct w:val="0"/>
        <w:autoSpaceDE/>
        <w:autoSpaceDN/>
        <w:bidi w:val="0"/>
        <w:spacing w:after="0" w:line="560" w:lineRule="exact"/>
        <w:ind w:left="0" w:leftChars="0" w:firstLine="640"/>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14:paraId="4496D056">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我单位为独立核算全额拨款行政单位，下属1个副科级事业机构是：红原县政务服务和</w:t>
      </w:r>
      <w:r>
        <w:rPr>
          <w:rFonts w:hint="eastAsia" w:hAnsi="仿宋_GB2312" w:eastAsia="仿宋_GB2312" w:cs="仿宋_GB2312"/>
          <w:sz w:val="32"/>
          <w:szCs w:val="32"/>
          <w:lang w:eastAsia="zh-CN"/>
        </w:rPr>
        <w:t>公共资源交易服务中心</w:t>
      </w:r>
      <w:r>
        <w:rPr>
          <w:rFonts w:hint="eastAsia" w:ascii="仿宋_GB2312" w:hAnsi="仿宋_GB2312" w:eastAsia="仿宋_GB2312" w:cs="仿宋_GB2312"/>
          <w:sz w:val="32"/>
          <w:szCs w:val="32"/>
        </w:rPr>
        <w:t>。</w:t>
      </w:r>
    </w:p>
    <w:p w14:paraId="6C682B66">
      <w:pPr>
        <w:pStyle w:val="8"/>
        <w:pageBreakBefore w:val="0"/>
        <w:numPr>
          <w:ilvl w:val="0"/>
          <w:numId w:val="3"/>
        </w:numPr>
        <w:kinsoku/>
        <w:wordWrap/>
        <w:overflowPunct/>
        <w:topLinePunct w:val="0"/>
        <w:autoSpaceDE/>
        <w:autoSpaceDN/>
        <w:bidi w:val="0"/>
        <w:adjustRightInd w:val="0"/>
        <w:snapToGrid w:val="0"/>
        <w:spacing w:after="0" w:line="560" w:lineRule="exact"/>
        <w:ind w:left="0" w:leftChars="0" w:firstLine="643" w:firstLineChars="200"/>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机构职能</w:t>
      </w:r>
    </w:p>
    <w:p w14:paraId="507E41BB">
      <w:pPr>
        <w:pStyle w:val="6"/>
        <w:pageBreakBefore w:val="0"/>
        <w:kinsoku/>
        <w:wordWrap/>
        <w:overflowPunct/>
        <w:topLinePunct w:val="0"/>
        <w:autoSpaceDE/>
        <w:autoSpaceDN/>
        <w:bidi w:val="0"/>
        <w:spacing w:line="560" w:lineRule="exact"/>
        <w:ind w:left="0"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红原县行政审批局基本职能</w:t>
      </w:r>
    </w:p>
    <w:p w14:paraId="0C21065F">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sz w:val="32"/>
          <w:szCs w:val="32"/>
        </w:rPr>
        <w:t>负责深化行政审批制度改革和“放管服”改革工作，</w:t>
      </w:r>
      <w:r>
        <w:rPr>
          <w:rFonts w:hint="eastAsia" w:ascii="仿宋_GB2312" w:hAnsi="仿宋_GB2312" w:eastAsia="仿宋_GB2312" w:cs="仿宋_GB2312"/>
          <w:sz w:val="32"/>
          <w:szCs w:val="32"/>
          <w:lang w:eastAsia="zh-CN"/>
        </w:rPr>
        <w:t>拟定</w:t>
      </w:r>
      <w:r>
        <w:rPr>
          <w:rFonts w:hint="eastAsia" w:ascii="仿宋_GB2312" w:hAnsi="仿宋_GB2312" w:eastAsia="仿宋_GB2312" w:cs="仿宋_GB2312"/>
          <w:sz w:val="32"/>
          <w:szCs w:val="32"/>
        </w:rPr>
        <w:t>全县行政审批制度和“放管服”改革相关政策和规范性文件，承担县本级行政权力清单和责任清单的动态调整，指导全县行政权力清单和责任清单工作，建立完善相关工作机制。</w:t>
      </w:r>
    </w:p>
    <w:p w14:paraId="64AFBAAB">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2.负责协调、指导入驻县政务服务大厅县级部门的行政审批工作。</w:t>
      </w:r>
    </w:p>
    <w:p w14:paraId="11D83128">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3.指导乡镇便民服务中心工作</w:t>
      </w:r>
      <w:r>
        <w:rPr>
          <w:rFonts w:hint="eastAsia" w:ascii="仿宋_GB2312" w:hAnsi="仿宋_GB2312" w:eastAsia="仿宋_GB2312" w:cs="仿宋_GB2312"/>
          <w:sz w:val="32"/>
          <w:szCs w:val="32"/>
        </w:rPr>
        <w:t>。</w:t>
      </w:r>
    </w:p>
    <w:p w14:paraId="424CDC6F">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4.负责全县政务服务管理工作，指导全县政务服务体系建设。 </w:t>
      </w:r>
    </w:p>
    <w:p w14:paraId="0ECA11BB">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5.负责全县公共资源交易管理工作，指导全县公共资源交易服务体系建设。</w:t>
      </w:r>
    </w:p>
    <w:p w14:paraId="765D361C">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6.负责对涉及县政务服务大厅、县公共资源交易中心、县行政审批服务机构的投诉举报的承办、转办和督办工作。</w:t>
      </w:r>
    </w:p>
    <w:p w14:paraId="142F4A1B">
      <w:pPr>
        <w:pageBreakBefore w:val="0"/>
        <w:kinsoku/>
        <w:wordWrap/>
        <w:overflowPunct/>
        <w:topLinePunct w:val="0"/>
        <w:autoSpaceDE/>
        <w:autoSpaceDN/>
        <w:bidi w:val="0"/>
        <w:spacing w:line="56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7.完成县委、县政府交办的其他任务。</w:t>
      </w:r>
    </w:p>
    <w:p w14:paraId="2B19A78B">
      <w:pPr>
        <w:pStyle w:val="6"/>
        <w:pageBreakBefore w:val="0"/>
        <w:kinsoku/>
        <w:wordWrap/>
        <w:overflowPunct/>
        <w:topLinePunct w:val="0"/>
        <w:autoSpaceDE/>
        <w:autoSpaceDN/>
        <w:bidi w:val="0"/>
        <w:spacing w:line="560" w:lineRule="exact"/>
        <w:ind w:left="0"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红原县政务服务和公共资源交易服务中心基本职能</w:t>
      </w:r>
    </w:p>
    <w:p w14:paraId="3F847893">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按规定参与县级政务服务管理规章制度、工作流程和服务规范并组织实施，推行政务服务标准化。负责开展进入县级平台的并联审批协调服务工作，配合主管部门对县直各部门（单位）政务服务入驻窗口及人员进行监督管理，并实施考核，协助入驻部门做好工作纪律和作风建设。</w:t>
      </w:r>
    </w:p>
    <w:p w14:paraId="62320A5D">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2.参与对县直部门（单位）行政审批制度改革、政务服务、公共资源交易开展情况的综合评估，协助相关行业部门开展监管工作。</w:t>
      </w:r>
    </w:p>
    <w:p w14:paraId="69FDF898">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3.为县政务服务和公共资源交易活动提供场所、设施、信息和管理服务，承担县级政务服务和公共资源交易平台建设和管理工作。</w:t>
      </w:r>
    </w:p>
    <w:p w14:paraId="21A84DDA">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4.负责全县政务服务和行政审批管理工作，并协调指导乡镇、村便民服务和乡镇行政审批相关工作。</w:t>
      </w:r>
    </w:p>
    <w:p w14:paraId="264F3BD7">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5.对乡镇便民服务中心和村（社区）便民代办点进行业务指导，负责对相关业务工作的调研和培训。</w:t>
      </w:r>
    </w:p>
    <w:p w14:paraId="0C59B160">
      <w:pPr>
        <w:pStyle w:val="42"/>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依托上级部门及州公共资源交易中心，为全县工程建设项目招标投标、政府采购等各类公共资源交易活动中为市场主体提供服务，为政府监管提供平台，为交易活动提供场所、设施、信息和现场管理服务。负责制定公共资源交易现场管理规章制度、工作流程和服务规范并组织实施，推行公共资源交易标准化服务。</w:t>
      </w:r>
    </w:p>
    <w:p w14:paraId="277943E3">
      <w:pPr>
        <w:pStyle w:val="42"/>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按相关规定政府采购等各类交易信息和交易结果公告由交易中心在指定的网站上统一发布；受理交易申请，为开标、评标和定标等交易活动提供优质服务；协助各职能部门、监察部门对有关质疑投诉进行调查处理，维护交易场所内活动秩序；承办政府集中采购机构职责；承办县委、县政府和主管部门交办的其他事项。</w:t>
      </w:r>
    </w:p>
    <w:p w14:paraId="5B98A620">
      <w:pPr>
        <w:pStyle w:val="42"/>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8.参与电子化交易系统、信用评价体系等建设管理工作；建立公共资源交易从业者现场行为公开制度，开展场内信用信息记录、评价并对外发布。</w:t>
      </w:r>
    </w:p>
    <w:p w14:paraId="6B75EFB8">
      <w:pPr>
        <w:pStyle w:val="42"/>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9.负责按规定实施现场秩序管理和监督工作，记录、制止违反现场管理制度的行为；按职责分工移送处理违法、违规人员。</w:t>
      </w:r>
    </w:p>
    <w:p w14:paraId="46D836F6">
      <w:pPr>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sz w:val="32"/>
          <w:szCs w:val="32"/>
        </w:rPr>
        <w:t>10.完成县行政审批局交办的其他任务。</w:t>
      </w:r>
    </w:p>
    <w:p w14:paraId="31D0F77A">
      <w:pPr>
        <w:pageBreakBefore w:val="0"/>
        <w:kinsoku/>
        <w:wordWrap/>
        <w:overflowPunct/>
        <w:topLinePunct w:val="0"/>
        <w:autoSpaceDE/>
        <w:autoSpaceDN/>
        <w:bidi w:val="0"/>
        <w:spacing w:line="560" w:lineRule="exact"/>
        <w:ind w:left="0" w:leftChars="0" w:firstLine="643" w:firstLineChars="200"/>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14:paraId="39AB46D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hAnsi="仿宋_GB2312" w:eastAsia="仿宋_GB2312" w:cs="仿宋_GB2312"/>
          <w:sz w:val="32"/>
          <w:szCs w:val="32"/>
          <w:lang w:eastAsia="zh-CN"/>
        </w:rPr>
        <w:t>截至</w:t>
      </w:r>
      <w:r>
        <w:rPr>
          <w:rFonts w:hint="eastAsia" w:ascii="仿宋_GB2312" w:hAnsi="仿宋_GB2312" w:eastAsia="仿宋_GB2312" w:cs="仿宋_GB2312"/>
          <w:sz w:val="32"/>
          <w:szCs w:val="32"/>
        </w:rPr>
        <w:t>2024年末，我局共有编制15个，其中公务员编制4个，行政工勤编制1个，事业编制10个，年末实有人数14人，公务员3人，较上年减少1人；行政工勤人员1人，事业</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10人。</w:t>
      </w:r>
    </w:p>
    <w:p w14:paraId="15E92401">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二、部门资金收支情况</w:t>
      </w:r>
    </w:p>
    <w:p w14:paraId="73217C89">
      <w:pPr>
        <w:pageBreakBefore w:val="0"/>
        <w:widowControl/>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（一）收入情况</w:t>
      </w:r>
    </w:p>
    <w:p w14:paraId="3EB77556">
      <w:pPr>
        <w:pageBreakBefore w:val="0"/>
        <w:widowControl/>
        <w:kinsoku/>
        <w:wordWrap/>
        <w:overflowPunct/>
        <w:topLinePunct w:val="0"/>
        <w:autoSpaceDE/>
        <w:autoSpaceDN/>
        <w:bidi w:val="0"/>
        <w:adjustRightInd w:val="0"/>
        <w:snapToGrid w:val="0"/>
        <w:spacing w:line="560" w:lineRule="exact"/>
        <w:ind w:left="0" w:leftChars="0"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2024年我局本年决算收入合计1808.1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万元，其中一般公共预算</w:t>
      </w:r>
      <w:r>
        <w:rPr>
          <w:rFonts w:hint="eastAsia" w:ascii="仿宋_GB2312" w:hAnsi="仿宋_GB2312" w:eastAsia="仿宋_GB2312" w:cs="仿宋_GB2312"/>
          <w:sz w:val="32"/>
          <w:szCs w:val="32"/>
          <w:lang w:eastAsia="zh-CN"/>
        </w:rPr>
        <w:t>财政拨款</w:t>
      </w:r>
      <w:r>
        <w:rPr>
          <w:rFonts w:hint="eastAsia" w:ascii="仿宋_GB2312" w:hAnsi="仿宋_GB2312" w:eastAsia="仿宋_GB2312" w:cs="仿宋_GB2312"/>
          <w:sz w:val="32"/>
          <w:szCs w:val="32"/>
        </w:rPr>
        <w:t>收入1805.73万元。决算支出比上年增加701.87万元，增加63.45%，增加原因为红原县政务服务中心建设项目（包括主体、装饰装修、信息化及设备采购等资金支出）。</w:t>
      </w:r>
    </w:p>
    <w:p w14:paraId="0280D611">
      <w:pPr>
        <w:pageBreakBefore w:val="0"/>
        <w:widowControl/>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w:t>
      </w:r>
      <w:r>
        <w:rPr>
          <w:rFonts w:hint="eastAsia" w:ascii="楷体_GB2312" w:hAnsi="楷体_GB2312" w:eastAsia="楷体_GB2312" w:cs="楷体_GB2312"/>
          <w:b/>
          <w:bCs/>
          <w:color w:val="000000"/>
          <w:kern w:val="0"/>
          <w:sz w:val="32"/>
          <w:szCs w:val="32"/>
          <w:shd w:val="clear" w:color="auto" w:fill="FFFFFF"/>
        </w:rPr>
        <w:t>二</w:t>
      </w:r>
      <w:r>
        <w:rPr>
          <w:rFonts w:hint="eastAsia" w:ascii="楷体_GB2312" w:hAnsi="楷体_GB2312" w:eastAsia="楷体_GB2312" w:cs="楷体_GB2312"/>
          <w:b/>
          <w:bCs/>
          <w:color w:val="000000"/>
          <w:kern w:val="0"/>
          <w:sz w:val="32"/>
          <w:szCs w:val="32"/>
          <w:shd w:val="clear" w:color="auto" w:fill="FFFFFF"/>
          <w:lang w:val="zh-CN"/>
        </w:rPr>
        <w:t>）支出情况</w:t>
      </w:r>
    </w:p>
    <w:p w14:paraId="492A0904">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2024年我局决算支出1808.16万元，其中：一般公共服务支出1715.</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万元；社会保障和就业支出48.66万元；卫生健康支出17.</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万元；住房保障支出26.60万元。</w:t>
      </w:r>
    </w:p>
    <w:p w14:paraId="6EA93776">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整体支出主要完成任务在六个方面：</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保障单位基本正常运转，其中人员经费支出356.30万元，日常公用经费24.08万元。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专项办公费支出65万元。</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红原县政务服务中心建设项目1369.51万元（包括主体、装饰装修、信息化及设备采购等资金支出）。</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天府通办APP红原县分站点“红e办”建设项目7.68万元。</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县会议中心会议室用桌套资金6.03万元。</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郎措同志退休建房补贴1.2万元。</w:t>
      </w:r>
    </w:p>
    <w:p w14:paraId="73CF0D74">
      <w:pPr>
        <w:pageBreakBefore w:val="0"/>
        <w:widowControl/>
        <w:numPr>
          <w:ilvl w:val="0"/>
          <w:numId w:val="3"/>
        </w:numPr>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结余分配和结转结余情况</w:t>
      </w:r>
    </w:p>
    <w:p w14:paraId="451F88B3">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我局2024年无结转结余</w:t>
      </w:r>
      <w:r>
        <w:rPr>
          <w:rFonts w:hint="eastAsia" w:ascii="仿宋_GB2312" w:hAnsi="仿宋_GB2312" w:eastAsia="仿宋_GB2312" w:cs="仿宋_GB2312"/>
          <w:color w:val="000000"/>
          <w:kern w:val="0"/>
          <w:sz w:val="32"/>
          <w:szCs w:val="32"/>
          <w:shd w:val="clear" w:color="auto" w:fill="FFFFFF"/>
        </w:rPr>
        <w:t>情况。</w:t>
      </w:r>
    </w:p>
    <w:p w14:paraId="53B4AB30">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kern w:val="0"/>
          <w:sz w:val="32"/>
          <w:szCs w:val="32"/>
          <w:shd w:val="clear" w:color="auto" w:fill="FFFFFF"/>
        </w:rPr>
        <w:t>三、部门预算绩效分析</w:t>
      </w:r>
    </w:p>
    <w:p w14:paraId="3490EC16">
      <w:pPr>
        <w:pageBreakBefore w:val="0"/>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sz w:val="32"/>
          <w:szCs w:val="32"/>
          <w:lang w:val="zh-CN"/>
        </w:rPr>
      </w:pPr>
      <w:r>
        <w:rPr>
          <w:rFonts w:hint="eastAsia" w:ascii="楷体_GB2312" w:hAnsi="楷体_GB2312" w:eastAsia="楷体_GB2312" w:cs="楷体_GB2312"/>
          <w:b/>
          <w:bCs/>
          <w:color w:val="000000"/>
          <w:kern w:val="0"/>
          <w:sz w:val="32"/>
          <w:szCs w:val="32"/>
          <w:shd w:val="clear" w:color="auto" w:fill="FFFFFF"/>
          <w:lang w:val="zh-CN"/>
        </w:rPr>
        <w:t>（一）部门预算总体绩效分析。</w:t>
      </w:r>
      <w:r>
        <w:rPr>
          <w:rFonts w:hint="eastAsia" w:ascii="仿宋_GB2312" w:hAnsi="仿宋_GB2312" w:eastAsia="仿宋_GB2312" w:cs="仿宋_GB2312"/>
          <w:color w:val="000000"/>
          <w:kern w:val="0"/>
          <w:sz w:val="32"/>
          <w:szCs w:val="32"/>
          <w:shd w:val="clear" w:color="auto" w:fill="FFFFFF"/>
          <w:lang w:val="zh-CN"/>
        </w:rPr>
        <w:t>根据部门预算绩效评价指标体系围绕履职效能、预算管理、财务管理、资产管理、采购管理等方面逐项分析：</w:t>
      </w:r>
    </w:p>
    <w:p w14:paraId="4E6D9E8E">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1. 履职效能（15分） </w:t>
      </w:r>
    </w:p>
    <w:p w14:paraId="391C76D8">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核心职能目标完成情况：</w:t>
      </w:r>
    </w:p>
    <w:p w14:paraId="3262E25A">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rPr>
        <w:t>政务大厅日常运行及公共资源交易中心等工作</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 xml:space="preserve">分）  </w:t>
      </w:r>
    </w:p>
    <w:p w14:paraId="3068AF36">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完成情况：</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政务大厅提供了集中、一站式的服务，让群众无需在多个部门之间奔波，节省了时间和精力。其次，政务大厅规范了政务服务的流程和标准，提高了服务的质量和效率。切实让群众“最多跑一次”，让群众办事更加方便、快捷。2024年政务大厅为20000余人次提供服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公共资源交易中心全面推行电子化交易，简化了繁琐的流程，节省交易各方的时间和成本。同时增强了交易的透明度，从交易信息的发布，再到交易结果的公示，每一个环节都公开透明，接受社会的监督，有效防止了暗箱操作。2024年完成了</w:t>
      </w:r>
      <w:r>
        <w:rPr>
          <w:rFonts w:hint="eastAsia" w:ascii="仿宋_GB2312" w:hAnsi="仿宋_GB2312" w:eastAsia="仿宋_GB2312" w:cs="仿宋_GB2312"/>
          <w:color w:val="000000"/>
          <w:sz w:val="32"/>
          <w:szCs w:val="32"/>
        </w:rPr>
        <w:t>43</w:t>
      </w:r>
      <w:r>
        <w:rPr>
          <w:rFonts w:hint="eastAsia" w:ascii="仿宋_GB2312" w:hAnsi="仿宋_GB2312" w:eastAsia="仿宋_GB2312" w:cs="仿宋_GB2312"/>
          <w:sz w:val="32"/>
          <w:szCs w:val="32"/>
        </w:rPr>
        <w:t>批次政府采购活动。</w:t>
      </w:r>
      <w:r>
        <w:rPr>
          <w:rFonts w:hint="eastAsia" w:ascii="仿宋_GB2312" w:hAnsi="仿宋_GB2312" w:eastAsia="仿宋_GB2312" w:cs="仿宋_GB2312"/>
          <w:sz w:val="32"/>
          <w:szCs w:val="32"/>
          <w:lang w:val="zh-CN"/>
        </w:rPr>
        <w:t xml:space="preserve">  </w:t>
      </w:r>
    </w:p>
    <w:p w14:paraId="343CEF1F">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自</w:t>
      </w:r>
      <w:r>
        <w:rPr>
          <w:rFonts w:hint="eastAsia" w:ascii="仿宋_GB2312" w:hAnsi="仿宋_GB2312" w:eastAsia="仿宋_GB2312" w:cs="仿宋_GB2312"/>
          <w:sz w:val="32"/>
          <w:szCs w:val="32"/>
          <w:lang w:val="zh-CN"/>
        </w:rPr>
        <w:t>评</w:t>
      </w:r>
      <w:r>
        <w:rPr>
          <w:rFonts w:hint="eastAsia" w:ascii="仿宋_GB2312" w:hAnsi="仿宋_GB2312" w:eastAsia="仿宋_GB2312" w:cs="仿宋_GB2312"/>
          <w:sz w:val="32"/>
          <w:szCs w:val="32"/>
          <w:lang w:val="en-US" w:eastAsia="zh-CN"/>
        </w:rPr>
        <w:t>得分</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 xml:space="preserve">分  </w:t>
      </w:r>
    </w:p>
    <w:p w14:paraId="3FD5048E">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做好日常工作及后勤工作</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 xml:space="preserve">分）  </w:t>
      </w:r>
    </w:p>
    <w:p w14:paraId="43DFCE80">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完成情况：</w:t>
      </w:r>
      <w:r>
        <w:rPr>
          <w:rFonts w:hint="eastAsia" w:ascii="仿宋_GB2312" w:hAnsi="仿宋_GB2312" w:eastAsia="仿宋_GB2312" w:cs="仿宋_GB2312"/>
          <w:sz w:val="32"/>
          <w:szCs w:val="32"/>
        </w:rPr>
        <w:t>2024年我局细心谋划，做好各项工作的后勤保障工作，完成</w:t>
      </w:r>
      <w:r>
        <w:rPr>
          <w:rFonts w:hint="eastAsia" w:ascii="仿宋_GB2312" w:hAnsi="仿宋_GB2312" w:eastAsia="仿宋_GB2312" w:cs="仿宋_GB2312"/>
          <w:sz w:val="32"/>
          <w:szCs w:val="32"/>
          <w:lang w:val="zh-CN"/>
        </w:rPr>
        <w:t>接待任务</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次，满意度达90%。</w:t>
      </w:r>
    </w:p>
    <w:p w14:paraId="15F25158">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 xml:space="preserve">分    </w:t>
      </w:r>
      <w:r>
        <w:rPr>
          <w:rFonts w:hint="eastAsia" w:ascii="仿宋_GB2312" w:hAnsi="仿宋_GB2312" w:eastAsia="仿宋_GB2312" w:cs="仿宋_GB2312"/>
          <w:sz w:val="32"/>
          <w:szCs w:val="32"/>
        </w:rPr>
        <w:t xml:space="preserve"> </w:t>
      </w:r>
    </w:p>
    <w:p w14:paraId="1FA9657F">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2. 预算管理（25分）</w:t>
      </w:r>
      <w:r>
        <w:rPr>
          <w:rFonts w:hint="eastAsia" w:ascii="仿宋_GB2312" w:hAnsi="仿宋_GB2312" w:eastAsia="仿宋_GB2312" w:cs="仿宋_GB2312"/>
          <w:sz w:val="32"/>
          <w:szCs w:val="32"/>
        </w:rPr>
        <w:t xml:space="preserve"> </w:t>
      </w:r>
    </w:p>
    <w:p w14:paraId="1DE82221">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（1）预算编制质量（8分）  </w:t>
      </w:r>
    </w:p>
    <w:p w14:paraId="080FE554">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2024年我局严格按照部门预算编制要求编制年初预算，统筹兼顾，科学谋划，较</w:t>
      </w:r>
      <w:r>
        <w:rPr>
          <w:rFonts w:hint="eastAsia" w:hAnsi="仿宋_GB2312" w:eastAsia="仿宋_GB2312" w:cs="仿宋_GB2312"/>
          <w:sz w:val="32"/>
          <w:szCs w:val="32"/>
          <w:lang w:eastAsia="zh-CN"/>
        </w:rPr>
        <w:t>好地完成</w:t>
      </w:r>
      <w:r>
        <w:rPr>
          <w:rFonts w:hint="eastAsia" w:ascii="仿宋_GB2312" w:hAnsi="仿宋_GB2312" w:eastAsia="仿宋_GB2312" w:cs="仿宋_GB2312"/>
          <w:sz w:val="32"/>
          <w:szCs w:val="32"/>
        </w:rPr>
        <w:t>了2024年部门预算编制工作，但仍存在少量执行过程中部分经济支出科目无法预计调整的情况</w:t>
      </w:r>
      <w:r>
        <w:rPr>
          <w:rFonts w:hint="eastAsia" w:ascii="仿宋_GB2312" w:hAnsi="仿宋_GB2312" w:eastAsia="仿宋_GB2312" w:cs="仿宋_GB2312"/>
          <w:sz w:val="32"/>
          <w:szCs w:val="32"/>
          <w:lang w:val="zh-CN"/>
        </w:rPr>
        <w:t>预算编制符合财政要求，</w:t>
      </w:r>
      <w:r>
        <w:rPr>
          <w:rFonts w:hint="eastAsia" w:ascii="仿宋_GB2312" w:hAnsi="仿宋_GB2312" w:eastAsia="仿宋_GB2312" w:cs="仿宋_GB2312"/>
          <w:sz w:val="32"/>
          <w:szCs w:val="32"/>
        </w:rPr>
        <w:t>部分科目</w:t>
      </w:r>
      <w:r>
        <w:rPr>
          <w:rFonts w:hint="eastAsia" w:ascii="仿宋_GB2312" w:hAnsi="仿宋_GB2312" w:eastAsia="仿宋_GB2312" w:cs="仿宋_GB2312"/>
          <w:sz w:val="32"/>
          <w:szCs w:val="32"/>
          <w:lang w:val="zh-CN"/>
        </w:rPr>
        <w:t xml:space="preserve">未细化绩效目标。 </w:t>
      </w:r>
    </w:p>
    <w:p w14:paraId="45120691">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 xml:space="preserve">分  </w:t>
      </w:r>
    </w:p>
    <w:p w14:paraId="56866B62">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（2）单位收入统筹（</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 xml:space="preserve">分）  </w:t>
      </w:r>
    </w:p>
    <w:p w14:paraId="2709AABE">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2024年我局</w:t>
      </w:r>
      <w:r>
        <w:rPr>
          <w:rFonts w:hint="eastAsia" w:ascii="仿宋_GB2312" w:hAnsi="仿宋_GB2312" w:eastAsia="仿宋_GB2312" w:cs="仿宋_GB2312"/>
          <w:sz w:val="32"/>
          <w:szCs w:val="32"/>
          <w:lang w:val="zh-CN"/>
        </w:rPr>
        <w:t xml:space="preserve">收入全部来自财政拨款，无其他收入来源，统筹效率较高。  </w:t>
      </w:r>
    </w:p>
    <w:p w14:paraId="5CE9BB8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 xml:space="preserve">分  </w:t>
      </w:r>
    </w:p>
    <w:p w14:paraId="77DD9A10">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（3）支出执行进度（</w:t>
      </w:r>
      <w:r>
        <w:rPr>
          <w:rFonts w:hint="eastAsia"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lang w:val="zh-CN"/>
          <w14:textFill>
            <w14:solidFill>
              <w14:schemeClr w14:val="tx1"/>
            </w14:solidFill>
          </w14:textFill>
        </w:rPr>
        <w:t xml:space="preserve">分）  </w:t>
      </w:r>
    </w:p>
    <w:p w14:paraId="27FA44B0">
      <w:pPr>
        <w:pStyle w:val="10"/>
        <w:pageBreakBefore w:val="0"/>
        <w:kinsoku/>
        <w:wordWrap/>
        <w:overflowPunct/>
        <w:topLinePunct w:val="0"/>
        <w:autoSpaceDE/>
        <w:autoSpaceDN/>
        <w:bidi w:val="0"/>
        <w:spacing w:after="0" w:line="560" w:lineRule="exact"/>
        <w:ind w:left="0" w:leftChars="0" w:firstLine="64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分析：全年支出进度</w:t>
      </w:r>
      <w:r>
        <w:rPr>
          <w:rFonts w:hint="eastAsia" w:ascii="仿宋_GB2312" w:hAnsi="仿宋_GB2312" w:eastAsia="仿宋_GB2312" w:cs="仿宋_GB2312"/>
          <w:color w:val="000000" w:themeColor="text1"/>
          <w:sz w:val="32"/>
          <w:szCs w:val="32"/>
          <w14:textFill>
            <w14:solidFill>
              <w14:schemeClr w14:val="tx1"/>
            </w14:solidFill>
          </w14:textFill>
        </w:rPr>
        <w:t>80.04</w:t>
      </w:r>
      <w:r>
        <w:rPr>
          <w:rFonts w:hint="eastAsia" w:ascii="仿宋_GB2312" w:hAnsi="仿宋_GB2312" w:eastAsia="仿宋_GB2312" w:cs="仿宋_GB2312"/>
          <w:color w:val="000000" w:themeColor="text1"/>
          <w:sz w:val="32"/>
          <w:szCs w:val="32"/>
          <w:lang w:val="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未达到100%原因为红原县政务服务中心项目按合同要求未到尾款支付时间</w:t>
      </w:r>
      <w:r>
        <w:rPr>
          <w:rFonts w:hint="eastAsia" w:ascii="仿宋_GB2312" w:hAnsi="仿宋_GB2312" w:eastAsia="仿宋_GB2312" w:cs="仿宋_GB2312"/>
          <w:color w:val="000000" w:themeColor="text1"/>
          <w:sz w:val="32"/>
          <w:szCs w:val="32"/>
          <w:lang w:val="zh-CN"/>
          <w14:textFill>
            <w14:solidFill>
              <w14:schemeClr w14:val="tx1"/>
            </w14:solidFill>
          </w14:textFill>
        </w:rPr>
        <w:t xml:space="preserve">。  </w:t>
      </w:r>
    </w:p>
    <w:p w14:paraId="4DB6D721">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自评得分：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4.8</w:t>
      </w:r>
      <w:r>
        <w:rPr>
          <w:rFonts w:hint="eastAsia" w:ascii="仿宋_GB2312" w:hAnsi="仿宋_GB2312" w:eastAsia="仿宋_GB2312" w:cs="仿宋_GB2312"/>
          <w:color w:val="000000" w:themeColor="text1"/>
          <w:sz w:val="32"/>
          <w:szCs w:val="32"/>
          <w:lang w:val="zh-CN"/>
          <w14:textFill>
            <w14:solidFill>
              <w14:schemeClr w14:val="tx1"/>
            </w14:solidFill>
          </w14:textFill>
        </w:rPr>
        <w:t xml:space="preserve">分  </w:t>
      </w:r>
    </w:p>
    <w:p w14:paraId="0867E4AC">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themeColor="text1"/>
          <w:sz w:val="32"/>
          <w:szCs w:val="32"/>
          <w:lang w:val="zh-CN"/>
          <w14:textFill>
            <w14:solidFill>
              <w14:schemeClr w14:val="tx1"/>
            </w14:solidFill>
          </w14:textFill>
        </w:rPr>
        <w:t>（4）预算年终结余（</w:t>
      </w: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zh-CN"/>
          <w14:textFill>
            <w14:solidFill>
              <w14:schemeClr w14:val="tx1"/>
            </w14:solidFill>
          </w14:textFill>
        </w:rPr>
        <w:t>分）</w:t>
      </w:r>
      <w:r>
        <w:rPr>
          <w:rFonts w:hint="eastAsia" w:ascii="仿宋_GB2312" w:hAnsi="仿宋_GB2312" w:eastAsia="仿宋_GB2312" w:cs="仿宋_GB2312"/>
          <w:sz w:val="32"/>
          <w:szCs w:val="32"/>
          <w:lang w:val="zh-CN"/>
        </w:rPr>
        <w:t xml:space="preserve">  </w:t>
      </w:r>
    </w:p>
    <w:p w14:paraId="40D2482C">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2024年我局预算年终结余451.03万元，执行率80.04%，主要结余为红原县政务服务中心项目资金。</w:t>
      </w:r>
    </w:p>
    <w:p w14:paraId="342223A2">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 xml:space="preserve">分  </w:t>
      </w:r>
    </w:p>
    <w:p w14:paraId="5B9DEAA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（5）严控一般性支出（</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 xml:space="preserve">分）  </w:t>
      </w:r>
    </w:p>
    <w:p w14:paraId="4326168E">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2024年我局按照节能型机关建设等要求，厉行节约、严控八项一般性支出，接待费等均未超出预算。较好的执行了一般性支出压减要求。</w:t>
      </w:r>
    </w:p>
    <w:p w14:paraId="274AA8F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 xml:space="preserve">分  </w:t>
      </w:r>
    </w:p>
    <w:p w14:paraId="53062BB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3. 财务管理（10分） </w:t>
      </w:r>
    </w:p>
    <w:p w14:paraId="49FB8A44">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（1）财务管理制度健全性（4分）  </w:t>
      </w:r>
    </w:p>
    <w:p w14:paraId="4D1E01A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分析：内控制度完善，涵盖预算、收支、采购等环节。  </w:t>
      </w:r>
    </w:p>
    <w:p w14:paraId="7308C40E">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自评得分：4分  </w:t>
      </w:r>
    </w:p>
    <w:p w14:paraId="3749DB68">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（2）财务岗位设置合规性（</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 xml:space="preserve">分）  </w:t>
      </w:r>
    </w:p>
    <w:p w14:paraId="4EBAA276">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分析：会计、出纳岗位分离，职责明确。  </w:t>
      </w:r>
    </w:p>
    <w:p w14:paraId="1A23D98B">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 xml:space="preserve">分  </w:t>
      </w:r>
    </w:p>
    <w:p w14:paraId="11487D5D">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（3）资金使用规范性（</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 xml:space="preserve">分）  </w:t>
      </w:r>
    </w:p>
    <w:p w14:paraId="437E888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我局资金严格按照资金使用办法及范围开支，不存在不按照财务管理制度规定违规使用资金的情况</w:t>
      </w:r>
      <w:r>
        <w:rPr>
          <w:rFonts w:hint="eastAsia" w:ascii="仿宋_GB2312" w:hAnsi="仿宋_GB2312" w:eastAsia="仿宋_GB2312" w:cs="仿宋_GB2312"/>
          <w:sz w:val="32"/>
          <w:szCs w:val="32"/>
          <w:lang w:val="zh-CN"/>
        </w:rPr>
        <w:t xml:space="preserve"> </w:t>
      </w:r>
    </w:p>
    <w:p w14:paraId="3EBD5D51">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 xml:space="preserve">分  </w:t>
      </w:r>
    </w:p>
    <w:p w14:paraId="63DB01BB">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 资产管理（</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 xml:space="preserve">分） </w:t>
      </w:r>
    </w:p>
    <w:p w14:paraId="4D13011E">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（1）人均资产变化率（</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 xml:space="preserve">分）  </w:t>
      </w:r>
    </w:p>
    <w:p w14:paraId="66F5E872">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新增</w:t>
      </w:r>
      <w:r>
        <w:rPr>
          <w:rFonts w:hint="eastAsia" w:ascii="仿宋_GB2312" w:hAnsi="仿宋_GB2312" w:eastAsia="仿宋_GB2312" w:cs="仿宋_GB2312"/>
          <w:sz w:val="32"/>
          <w:szCs w:val="32"/>
        </w:rPr>
        <w:t>固定资产4020.16</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为红原县政务服务中心建设大楼及相应设施设备，其中房屋构筑物3164.85万元，设备383.61万元，家具和用具94.14万元，无形资产377.56万元，</w:t>
      </w:r>
      <w:r>
        <w:rPr>
          <w:rFonts w:hint="eastAsia" w:ascii="仿宋_GB2312" w:hAnsi="仿宋_GB2312" w:eastAsia="仿宋_GB2312" w:cs="仿宋_GB2312"/>
          <w:sz w:val="32"/>
          <w:szCs w:val="32"/>
          <w:lang w:val="zh-CN"/>
        </w:rPr>
        <w:t xml:space="preserve">但未量化资产使用效率提升情况。  </w:t>
      </w:r>
    </w:p>
    <w:p w14:paraId="094A723D">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 xml:space="preserve">分  </w:t>
      </w:r>
    </w:p>
    <w:p w14:paraId="5CEC076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（2）资产利用率（3分）  </w:t>
      </w:r>
    </w:p>
    <w:p w14:paraId="2EFC9BE4">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分析：办公设备、车辆等使用正常，但未统计闲置率。  </w:t>
      </w:r>
    </w:p>
    <w:p w14:paraId="044F6F02">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val="zh-CN"/>
        </w:rPr>
        <w:t xml:space="preserve">分  </w:t>
      </w:r>
    </w:p>
    <w:p w14:paraId="6B56B45D">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（3）资产盘活率（3分）  </w:t>
      </w:r>
    </w:p>
    <w:p w14:paraId="6E16BD10">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2024年资产均在使用无闲置需要盘活的资产，资产使用率高</w:t>
      </w:r>
      <w:r>
        <w:rPr>
          <w:rFonts w:hint="eastAsia" w:ascii="仿宋_GB2312" w:hAnsi="仿宋_GB2312" w:eastAsia="仿宋_GB2312" w:cs="仿宋_GB2312"/>
          <w:sz w:val="32"/>
          <w:szCs w:val="32"/>
          <w:lang w:val="zh-CN"/>
        </w:rPr>
        <w:t xml:space="preserve">。  </w:t>
      </w:r>
    </w:p>
    <w:p w14:paraId="458EB9C5">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 xml:space="preserve">分  </w:t>
      </w:r>
    </w:p>
    <w:p w14:paraId="210D5B6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 采购管理（</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 xml:space="preserve">分）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 xml:space="preserve"> </w:t>
      </w:r>
    </w:p>
    <w:p w14:paraId="2F6BF9B0">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（1）支持中小企业发展（3分）  </w:t>
      </w:r>
    </w:p>
    <w:p w14:paraId="5E1E5DB4">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分析：</w:t>
      </w:r>
      <w:r>
        <w:rPr>
          <w:rFonts w:hint="eastAsia" w:ascii="仿宋_GB2312" w:hAnsi="仿宋_GB2312" w:eastAsia="仿宋_GB2312" w:cs="仿宋_GB2312"/>
          <w:sz w:val="32"/>
          <w:szCs w:val="32"/>
        </w:rPr>
        <w:t>2024年严格执行政府采购促进中小企业发展相关管理办法要求，采购均在中小企业。</w:t>
      </w:r>
      <w:r>
        <w:rPr>
          <w:rFonts w:hint="eastAsia" w:ascii="仿宋_GB2312" w:hAnsi="仿宋_GB2312" w:eastAsia="仿宋_GB2312" w:cs="仿宋_GB2312"/>
          <w:sz w:val="32"/>
          <w:szCs w:val="32"/>
          <w:lang w:val="zh-CN"/>
        </w:rPr>
        <w:t xml:space="preserve"> </w:t>
      </w:r>
    </w:p>
    <w:p w14:paraId="7FD05A9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 xml:space="preserve">分  </w:t>
      </w:r>
    </w:p>
    <w:p w14:paraId="0F0B8FF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（2）采购执行（</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 xml:space="preserve">分）  </w:t>
      </w:r>
    </w:p>
    <w:p w14:paraId="039CEDF0">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分析：全年采购计划完成率100%，流程合规。  </w:t>
      </w:r>
    </w:p>
    <w:p w14:paraId="0E0DE94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自评得分：</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 xml:space="preserve">分  </w:t>
      </w:r>
    </w:p>
    <w:p w14:paraId="420AC45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总体绩效自评得分汇总</w:t>
      </w:r>
    </w:p>
    <w:p w14:paraId="0B780086">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一级指标 | 分值 | 自评得分 | 得分率 |</w:t>
      </w:r>
    </w:p>
    <w:p w14:paraId="5CC9BAB1">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p>
    <w:p w14:paraId="723CC6F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履职效能 | 15   | 14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 93.3% |</w:t>
      </w:r>
    </w:p>
    <w:p w14:paraId="1057F99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预算管理 | 25   | 2</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lang w:val="zh-CN"/>
        </w:rPr>
        <w:t>%|</w:t>
      </w:r>
    </w:p>
    <w:p w14:paraId="643B975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财务管理 | 10   | 10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 100% |</w:t>
      </w:r>
    </w:p>
    <w:p w14:paraId="1A880DC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资产管理 | </w:t>
      </w:r>
      <w:r>
        <w:rPr>
          <w:rFonts w:hint="eastAsia" w:ascii="仿宋_GB2312" w:hAnsi="仿宋_GB2312" w:eastAsia="仿宋_GB2312" w:cs="仿宋_GB2312"/>
          <w:sz w:val="32"/>
          <w:szCs w:val="32"/>
        </w:rPr>
        <w:t xml:space="preserve">9   </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lang w:val="en-US" w:eastAsia="zh-CN"/>
        </w:rPr>
        <w:t>83.3</w:t>
      </w:r>
      <w:r>
        <w:rPr>
          <w:rFonts w:hint="eastAsia" w:ascii="仿宋_GB2312" w:hAnsi="仿宋_GB2312" w:eastAsia="仿宋_GB2312" w:cs="仿宋_GB2312"/>
          <w:sz w:val="32"/>
          <w:szCs w:val="32"/>
          <w:lang w:val="zh-CN"/>
        </w:rPr>
        <w:t>%|</w:t>
      </w:r>
    </w:p>
    <w:p w14:paraId="29B3F5FD">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采购管理 | </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 |</w:t>
      </w:r>
    </w:p>
    <w:p w14:paraId="7CECEFB6">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合</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计| 6</w:t>
      </w:r>
      <w:r>
        <w:rPr>
          <w:rFonts w:hint="eastAsia" w:ascii="仿宋_GB2312" w:hAnsi="仿宋_GB2312" w:eastAsia="仿宋_GB2312" w:cs="仿宋_GB2312"/>
          <w:sz w:val="32"/>
          <w:szCs w:val="32"/>
        </w:rPr>
        <w:t xml:space="preserve">5  </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lang w:val="en-US" w:eastAsia="zh-CN"/>
        </w:rPr>
        <w:t>58.9</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9</w:t>
      </w:r>
      <w:r>
        <w:rPr>
          <w:rFonts w:hint="eastAsia" w:ascii="仿宋_GB2312" w:hAnsi="仿宋_GB2312" w:eastAsia="仿宋_GB2312" w:cs="仿宋_GB2312"/>
          <w:sz w:val="32"/>
          <w:szCs w:val="32"/>
          <w:lang w:val="en-US" w:eastAsia="zh-CN"/>
        </w:rPr>
        <w:t>0.61</w:t>
      </w:r>
      <w:r>
        <w:rPr>
          <w:rFonts w:hint="eastAsia" w:ascii="仿宋_GB2312" w:hAnsi="仿宋_GB2312" w:eastAsia="仿宋_GB2312" w:cs="仿宋_GB2312"/>
          <w:sz w:val="32"/>
          <w:szCs w:val="32"/>
          <w:lang w:val="zh-CN"/>
        </w:rPr>
        <w:t>%|</w:t>
      </w:r>
    </w:p>
    <w:p w14:paraId="5CF365D5">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主要问题与改进方向</w:t>
      </w:r>
    </w:p>
    <w:p w14:paraId="04C3310A">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1.履职效能：继续加强各项工作的统筹协调、细化管理，更好的保障各项工作的顺利推进。</w:t>
      </w:r>
    </w:p>
    <w:p w14:paraId="2F52276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bookmarkStart w:id="113" w:name="OLE_LINK3"/>
      <w:bookmarkStart w:id="114" w:name="OLE_LINK4"/>
      <w:r>
        <w:rPr>
          <w:rFonts w:hint="eastAsia" w:ascii="仿宋_GB2312" w:hAnsi="仿宋_GB2312" w:eastAsia="仿宋_GB2312" w:cs="仿宋_GB2312"/>
          <w:sz w:val="32"/>
          <w:szCs w:val="32"/>
          <w:lang w:val="zh-CN"/>
        </w:rPr>
        <w:t>.</w:t>
      </w:r>
      <w:bookmarkEnd w:id="113"/>
      <w:bookmarkEnd w:id="114"/>
      <w:r>
        <w:rPr>
          <w:rFonts w:hint="eastAsia" w:ascii="仿宋_GB2312" w:hAnsi="仿宋_GB2312" w:eastAsia="仿宋_GB2312" w:cs="仿宋_GB2312"/>
          <w:sz w:val="32"/>
          <w:szCs w:val="32"/>
          <w:lang w:val="zh-CN"/>
        </w:rPr>
        <w:t xml:space="preserve">预算管理：科学谋划，统筹兼顾，细化预算，编制更加精准的预算。   </w:t>
      </w:r>
    </w:p>
    <w:p w14:paraId="5AF2F52D">
      <w:pPr>
        <w:pageBreakBefore w:val="0"/>
        <w:widowControl/>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（二）部门预算项目绩效分析</w:t>
      </w:r>
    </w:p>
    <w:p w14:paraId="2BA78A4D">
      <w:pPr>
        <w:pageBreakBefore w:val="0"/>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个，预算总金额</w:t>
      </w:r>
      <w:r>
        <w:rPr>
          <w:rFonts w:hint="eastAsia" w:ascii="仿宋_GB2312" w:hAnsi="仿宋_GB2312" w:eastAsia="仿宋_GB2312" w:cs="仿宋_GB2312"/>
          <w:color w:val="000000"/>
          <w:kern w:val="0"/>
          <w:sz w:val="32"/>
          <w:szCs w:val="32"/>
          <w:shd w:val="clear" w:color="auto" w:fill="FFFFFF"/>
        </w:rPr>
        <w:t>65万元，1</w:t>
      </w:r>
      <w:r>
        <w:rPr>
          <w:rFonts w:hint="eastAsia" w:ascii="仿宋_GB2312" w:hAnsi="仿宋_GB2312" w:eastAsia="仿宋_GB2312" w:cs="仿宋_GB2312"/>
          <w:color w:val="000000"/>
          <w:kern w:val="0"/>
          <w:sz w:val="32"/>
          <w:szCs w:val="32"/>
          <w:shd w:val="clear" w:color="auto" w:fill="FFFFFF"/>
          <w:lang w:val="zh-CN"/>
        </w:rPr>
        <w:t>—1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rPr>
        <w:t>100</w:t>
      </w:r>
      <w:r>
        <w:rPr>
          <w:rFonts w:hint="eastAsia" w:ascii="仿宋_GB2312" w:hAnsi="仿宋_GB2312" w:eastAsia="仿宋_GB2312" w:cs="仿宋_GB2312"/>
          <w:color w:val="000000"/>
          <w:kern w:val="0"/>
          <w:sz w:val="32"/>
          <w:szCs w:val="32"/>
          <w:shd w:val="clear" w:color="auto" w:fill="FFFFFF"/>
          <w:lang w:val="zh-CN"/>
        </w:rPr>
        <w:t>%。</w:t>
      </w:r>
    </w:p>
    <w:p w14:paraId="185BD66D">
      <w:pPr>
        <w:pageBreakBefore w:val="0"/>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阶段（含一次性）项目绩效分析。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rPr>
        <w:t>1834.</w:t>
      </w:r>
      <w:r>
        <w:rPr>
          <w:rFonts w:hint="eastAsia" w:ascii="仿宋_GB2312" w:hAnsi="仿宋_GB2312" w:eastAsia="仿宋_GB2312" w:cs="仿宋_GB2312"/>
          <w:color w:val="000000"/>
          <w:kern w:val="0"/>
          <w:sz w:val="32"/>
          <w:szCs w:val="32"/>
          <w:shd w:val="clear" w:color="auto" w:fill="FFFFFF"/>
          <w:lang w:val="en-US" w:eastAsia="zh-CN"/>
        </w:rPr>
        <w:t>7</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rPr>
        <w:t>75.59</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6</w:t>
      </w:r>
      <w:r>
        <w:rPr>
          <w:rFonts w:hint="eastAsia" w:ascii="仿宋_GB2312" w:hAnsi="仿宋_GB2312" w:eastAsia="仿宋_GB2312" w:cs="仿宋_GB2312"/>
          <w:color w:val="000000"/>
          <w:kern w:val="0"/>
          <w:sz w:val="32"/>
          <w:szCs w:val="32"/>
          <w:shd w:val="clear" w:color="auto" w:fill="FFFFFF"/>
          <w:lang w:val="zh-CN"/>
        </w:rPr>
        <w:t>个。</w:t>
      </w:r>
    </w:p>
    <w:p w14:paraId="2DC89CAA">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 项目决策（</w:t>
      </w:r>
      <w:r>
        <w:rPr>
          <w:rFonts w:hint="eastAsia" w:ascii="仿宋_GB2312" w:hAnsi="仿宋_GB2312" w:eastAsia="仿宋_GB2312" w:cs="仿宋_GB2312"/>
          <w:color w:val="000000"/>
          <w:kern w:val="0"/>
          <w:sz w:val="32"/>
          <w:szCs w:val="32"/>
          <w:shd w:val="clear" w:color="auto" w:fill="FFFFFF"/>
        </w:rPr>
        <w:t>12分</w:t>
      </w:r>
      <w:r>
        <w:rPr>
          <w:rFonts w:hint="eastAsia" w:ascii="仿宋_GB2312" w:hAnsi="仿宋_GB2312" w:eastAsia="仿宋_GB2312" w:cs="仿宋_GB2312"/>
          <w:color w:val="000000"/>
          <w:kern w:val="0"/>
          <w:sz w:val="32"/>
          <w:szCs w:val="32"/>
          <w:shd w:val="clear" w:color="auto" w:fill="FFFFFF"/>
          <w:lang w:val="zh-CN"/>
        </w:rPr>
        <w:t>）</w:t>
      </w:r>
    </w:p>
    <w:p w14:paraId="3A0ED14F">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决策程序：项目立项符合部门规划，审批流程规范。（</w:t>
      </w:r>
      <w:r>
        <w:rPr>
          <w:rFonts w:hint="eastAsia" w:ascii="仿宋_GB2312" w:hAnsi="仿宋_GB2312" w:eastAsia="仿宋_GB2312" w:cs="仿宋_GB2312"/>
          <w:color w:val="000000"/>
          <w:kern w:val="0"/>
          <w:sz w:val="32"/>
          <w:szCs w:val="32"/>
          <w:shd w:val="clear" w:color="auto" w:fill="FFFFFF"/>
        </w:rPr>
        <w:t>4分</w:t>
      </w:r>
      <w:r>
        <w:rPr>
          <w:rFonts w:hint="eastAsia" w:ascii="仿宋_GB2312" w:hAnsi="仿宋_GB2312" w:eastAsia="仿宋_GB2312" w:cs="仿宋_GB2312"/>
          <w:color w:val="000000"/>
          <w:kern w:val="0"/>
          <w:sz w:val="32"/>
          <w:szCs w:val="32"/>
          <w:shd w:val="clear" w:color="auto" w:fill="FFFFFF"/>
          <w:lang w:val="zh-CN"/>
        </w:rPr>
        <w:t>）</w:t>
      </w:r>
    </w:p>
    <w:p w14:paraId="4377BEBB">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eastAsia="zh-CN"/>
        </w:rPr>
        <w:t>自评得分</w:t>
      </w:r>
      <w:r>
        <w:rPr>
          <w:rFonts w:hint="eastAsia" w:ascii="仿宋_GB2312" w:hAnsi="仿宋_GB2312" w:eastAsia="仿宋_GB2312" w:cs="仿宋_GB2312"/>
          <w:b/>
          <w:bCs/>
          <w:color w:val="000000"/>
          <w:kern w:val="0"/>
          <w:sz w:val="32"/>
          <w:szCs w:val="32"/>
          <w:shd w:val="clear" w:color="auto" w:fill="FFFFFF"/>
        </w:rPr>
        <w:t>：3分</w:t>
      </w:r>
    </w:p>
    <w:p w14:paraId="0CDCF37D">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目标设置：绩效目标清晰，</w:t>
      </w:r>
      <w:r>
        <w:rPr>
          <w:rFonts w:hint="eastAsia" w:ascii="仿宋_GB2312" w:hAnsi="仿宋_GB2312" w:eastAsia="仿宋_GB2312" w:cs="仿宋_GB2312"/>
          <w:color w:val="000000"/>
          <w:kern w:val="0"/>
          <w:sz w:val="32"/>
          <w:szCs w:val="32"/>
          <w:shd w:val="clear" w:color="auto" w:fill="FFFFFF"/>
        </w:rPr>
        <w:t>均设置了一、二、三、级指标，</w:t>
      </w:r>
      <w:r>
        <w:rPr>
          <w:rFonts w:hint="eastAsia" w:ascii="仿宋_GB2312" w:hAnsi="仿宋_GB2312" w:eastAsia="仿宋_GB2312" w:cs="仿宋_GB2312"/>
          <w:color w:val="000000"/>
          <w:kern w:val="0"/>
          <w:sz w:val="32"/>
          <w:szCs w:val="32"/>
          <w:shd w:val="clear" w:color="auto" w:fill="FFFFFF"/>
          <w:lang w:val="zh-CN"/>
        </w:rPr>
        <w:t>但指标</w:t>
      </w:r>
      <w:r>
        <w:rPr>
          <w:rFonts w:hint="eastAsia" w:ascii="仿宋_GB2312" w:hAnsi="仿宋_GB2312" w:eastAsia="仿宋_GB2312" w:cs="仿宋_GB2312"/>
          <w:color w:val="000000"/>
          <w:kern w:val="0"/>
          <w:sz w:val="32"/>
          <w:szCs w:val="32"/>
          <w:shd w:val="clear" w:color="auto" w:fill="FFFFFF"/>
        </w:rPr>
        <w:t>不够</w:t>
      </w:r>
      <w:r>
        <w:rPr>
          <w:rFonts w:hint="eastAsia" w:ascii="仿宋_GB2312" w:hAnsi="仿宋_GB2312" w:eastAsia="仿宋_GB2312" w:cs="仿宋_GB2312"/>
          <w:color w:val="000000"/>
          <w:kern w:val="0"/>
          <w:sz w:val="32"/>
          <w:szCs w:val="32"/>
          <w:shd w:val="clear" w:color="auto" w:fill="FFFFFF"/>
          <w:lang w:val="zh-CN"/>
        </w:rPr>
        <w:t>细化、</w:t>
      </w:r>
      <w:r>
        <w:rPr>
          <w:rFonts w:hint="eastAsia" w:ascii="仿宋_GB2312" w:hAnsi="仿宋_GB2312" w:eastAsia="仿宋_GB2312" w:cs="仿宋_GB2312"/>
          <w:color w:val="000000"/>
          <w:kern w:val="0"/>
          <w:sz w:val="32"/>
          <w:szCs w:val="32"/>
          <w:shd w:val="clear" w:color="auto" w:fill="FFFFFF"/>
        </w:rPr>
        <w:t>完善</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rPr>
        <w:t>4分</w:t>
      </w:r>
      <w:r>
        <w:rPr>
          <w:rFonts w:hint="eastAsia" w:ascii="仿宋_GB2312" w:hAnsi="仿宋_GB2312" w:eastAsia="仿宋_GB2312" w:cs="仿宋_GB2312"/>
          <w:color w:val="000000"/>
          <w:kern w:val="0"/>
          <w:sz w:val="32"/>
          <w:szCs w:val="32"/>
          <w:shd w:val="clear" w:color="auto" w:fill="FFFFFF"/>
          <w:lang w:val="zh-CN"/>
        </w:rPr>
        <w:t xml:space="preserve">）  </w:t>
      </w:r>
    </w:p>
    <w:p w14:paraId="11EF856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分</w:t>
      </w:r>
    </w:p>
    <w:p w14:paraId="31A4DF7B">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项目入库：均纳入财政项目库管理，入库资料完整。（</w:t>
      </w:r>
      <w:r>
        <w:rPr>
          <w:rFonts w:hint="eastAsia" w:ascii="仿宋_GB2312" w:hAnsi="仿宋_GB2312" w:eastAsia="仿宋_GB2312" w:cs="仿宋_GB2312"/>
          <w:color w:val="000000"/>
          <w:kern w:val="0"/>
          <w:sz w:val="32"/>
          <w:szCs w:val="32"/>
          <w:shd w:val="clear" w:color="auto" w:fill="FFFFFF"/>
        </w:rPr>
        <w:t>4分</w:t>
      </w:r>
      <w:r>
        <w:rPr>
          <w:rFonts w:hint="eastAsia" w:ascii="仿宋_GB2312" w:hAnsi="仿宋_GB2312" w:eastAsia="仿宋_GB2312" w:cs="仿宋_GB2312"/>
          <w:color w:val="000000"/>
          <w:kern w:val="0"/>
          <w:sz w:val="32"/>
          <w:szCs w:val="32"/>
          <w:shd w:val="clear" w:color="auto" w:fill="FFFFFF"/>
          <w:lang w:val="zh-CN"/>
        </w:rPr>
        <w:t xml:space="preserve">） </w:t>
      </w:r>
    </w:p>
    <w:p w14:paraId="1D704E5A">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自评得分：</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分</w:t>
      </w:r>
      <w:r>
        <w:rPr>
          <w:rFonts w:hint="eastAsia" w:ascii="仿宋_GB2312" w:hAnsi="仿宋_GB2312" w:eastAsia="仿宋_GB2312" w:cs="仿宋_GB2312"/>
          <w:color w:val="000000"/>
          <w:kern w:val="0"/>
          <w:sz w:val="32"/>
          <w:szCs w:val="32"/>
          <w:shd w:val="clear" w:color="auto" w:fill="FFFFFF"/>
          <w:lang w:val="zh-CN"/>
        </w:rPr>
        <w:t xml:space="preserve">  </w:t>
      </w:r>
    </w:p>
    <w:p w14:paraId="1E770F31">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 项目执行（权重：</w:t>
      </w:r>
      <w:r>
        <w:rPr>
          <w:rFonts w:hint="eastAsia" w:ascii="仿宋_GB2312" w:hAnsi="仿宋_GB2312" w:eastAsia="仿宋_GB2312" w:cs="仿宋_GB2312"/>
          <w:color w:val="000000"/>
          <w:kern w:val="0"/>
          <w:sz w:val="32"/>
          <w:szCs w:val="32"/>
          <w:shd w:val="clear" w:color="auto" w:fill="FFFFFF"/>
        </w:rPr>
        <w:t>12分</w:t>
      </w:r>
      <w:r>
        <w:rPr>
          <w:rFonts w:hint="eastAsia" w:ascii="仿宋_GB2312" w:hAnsi="仿宋_GB2312" w:eastAsia="仿宋_GB2312" w:cs="仿宋_GB2312"/>
          <w:color w:val="000000"/>
          <w:kern w:val="0"/>
          <w:sz w:val="32"/>
          <w:szCs w:val="32"/>
          <w:shd w:val="clear" w:color="auto" w:fill="FFFFFF"/>
          <w:lang w:val="zh-CN"/>
        </w:rPr>
        <w:t xml:space="preserve">） </w:t>
      </w:r>
    </w:p>
    <w:p w14:paraId="60E34F58">
      <w:pPr>
        <w:pageBreakBefore w:val="0"/>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（1）执行同向（</w:t>
      </w:r>
      <w:r>
        <w:rPr>
          <w:rFonts w:hint="eastAsia" w:ascii="仿宋_GB2312" w:hAnsi="仿宋_GB2312" w:eastAsia="仿宋_GB2312" w:cs="仿宋_GB2312"/>
          <w:b w:val="0"/>
          <w:bCs w:val="0"/>
          <w:color w:val="000000"/>
          <w:kern w:val="0"/>
          <w:sz w:val="32"/>
          <w:szCs w:val="32"/>
          <w:shd w:val="clear" w:color="auto" w:fill="FFFFFF"/>
        </w:rPr>
        <w:t>4分</w:t>
      </w:r>
      <w:r>
        <w:rPr>
          <w:rFonts w:hint="eastAsia" w:ascii="仿宋_GB2312" w:hAnsi="仿宋_GB2312" w:eastAsia="仿宋_GB2312" w:cs="仿宋_GB2312"/>
          <w:b w:val="0"/>
          <w:bCs w:val="0"/>
          <w:color w:val="000000"/>
          <w:kern w:val="0"/>
          <w:sz w:val="32"/>
          <w:szCs w:val="32"/>
          <w:shd w:val="clear" w:color="auto" w:fill="FFFFFF"/>
          <w:lang w:val="zh-CN"/>
        </w:rPr>
        <w:t>）</w:t>
      </w:r>
    </w:p>
    <w:p w14:paraId="0D427E7C">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 xml:space="preserve">2024年我局11个项目资金开支范围均符合绩效目标设置。 </w:t>
      </w:r>
    </w:p>
    <w:p w14:paraId="2FFCF215">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：4分</w:t>
      </w:r>
    </w:p>
    <w:p w14:paraId="09E08643">
      <w:pPr>
        <w:pageBreakBefore w:val="0"/>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（2）项目调整（</w:t>
      </w:r>
      <w:r>
        <w:rPr>
          <w:rFonts w:hint="eastAsia" w:ascii="仿宋_GB2312" w:hAnsi="仿宋_GB2312" w:eastAsia="仿宋_GB2312" w:cs="仿宋_GB2312"/>
          <w:b w:val="0"/>
          <w:bCs w:val="0"/>
          <w:color w:val="000000"/>
          <w:kern w:val="0"/>
          <w:sz w:val="32"/>
          <w:szCs w:val="32"/>
          <w:shd w:val="clear" w:color="auto" w:fill="FFFFFF"/>
        </w:rPr>
        <w:t>4分</w:t>
      </w:r>
      <w:r>
        <w:rPr>
          <w:rFonts w:hint="eastAsia" w:ascii="仿宋_GB2312" w:hAnsi="仿宋_GB2312" w:eastAsia="仿宋_GB2312" w:cs="仿宋_GB2312"/>
          <w:b w:val="0"/>
          <w:bCs w:val="0"/>
          <w:color w:val="000000"/>
          <w:kern w:val="0"/>
          <w:sz w:val="32"/>
          <w:szCs w:val="32"/>
          <w:shd w:val="clear" w:color="auto" w:fill="FFFFFF"/>
          <w:lang w:val="zh-CN"/>
        </w:rPr>
        <w:t>）</w:t>
      </w:r>
    </w:p>
    <w:p w14:paraId="255F80C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2024年我局11个项目均按照预算要求及绩效目标设置执行，不存在项目调整的情况。</w:t>
      </w:r>
    </w:p>
    <w:p w14:paraId="426C7DB8">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：4分</w:t>
      </w:r>
    </w:p>
    <w:p w14:paraId="2BE9D77A">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val="zh-CN"/>
        </w:rPr>
        <w:t>（3）执行结果（</w:t>
      </w:r>
      <w:r>
        <w:rPr>
          <w:rFonts w:hint="eastAsia" w:ascii="仿宋_GB2312" w:hAnsi="仿宋_GB2312" w:eastAsia="仿宋_GB2312" w:cs="仿宋_GB2312"/>
          <w:b w:val="0"/>
          <w:bCs w:val="0"/>
          <w:color w:val="000000"/>
          <w:kern w:val="0"/>
          <w:sz w:val="32"/>
          <w:szCs w:val="32"/>
          <w:shd w:val="clear" w:color="auto" w:fill="FFFFFF"/>
        </w:rPr>
        <w:t>4分</w:t>
      </w:r>
      <w:r>
        <w:rPr>
          <w:rFonts w:hint="eastAsia" w:ascii="仿宋_GB2312" w:hAnsi="仿宋_GB2312" w:eastAsia="仿宋_GB2312" w:cs="仿宋_GB2312"/>
          <w:b w:val="0"/>
          <w:bCs w:val="0"/>
          <w:color w:val="000000"/>
          <w:kern w:val="0"/>
          <w:sz w:val="32"/>
          <w:szCs w:val="32"/>
          <w:shd w:val="clear" w:color="auto" w:fill="FFFFFF"/>
          <w:lang w:val="zh-CN"/>
        </w:rPr>
        <w:t>）</w:t>
      </w:r>
    </w:p>
    <w:p w14:paraId="3DA2A252">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2024年我局11个项目均按期支付，较好的实现了各项目标任务。</w:t>
      </w:r>
    </w:p>
    <w:p w14:paraId="755FCC3B">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：4分</w:t>
      </w:r>
    </w:p>
    <w:p w14:paraId="105854E4">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rPr>
        <w:t>3.</w:t>
      </w:r>
      <w:r>
        <w:rPr>
          <w:rFonts w:hint="eastAsia" w:ascii="仿宋_GB2312" w:hAnsi="仿宋_GB2312" w:eastAsia="仿宋_GB2312" w:cs="仿宋_GB2312"/>
          <w:b w:val="0"/>
          <w:bCs w:val="0"/>
          <w:color w:val="000000"/>
          <w:kern w:val="0"/>
          <w:sz w:val="32"/>
          <w:szCs w:val="32"/>
          <w:shd w:val="clear" w:color="auto" w:fill="FFFFFF"/>
          <w:lang w:val="zh-CN"/>
        </w:rPr>
        <w:t xml:space="preserve"> 目标实现（</w:t>
      </w:r>
      <w:r>
        <w:rPr>
          <w:rFonts w:hint="eastAsia" w:ascii="仿宋_GB2312" w:hAnsi="仿宋_GB2312" w:eastAsia="仿宋_GB2312" w:cs="仿宋_GB2312"/>
          <w:b w:val="0"/>
          <w:bCs w:val="0"/>
          <w:color w:val="000000"/>
          <w:kern w:val="0"/>
          <w:sz w:val="32"/>
          <w:szCs w:val="32"/>
          <w:shd w:val="clear" w:color="auto" w:fill="FFFFFF"/>
        </w:rPr>
        <w:t>11分</w:t>
      </w:r>
      <w:r>
        <w:rPr>
          <w:rFonts w:hint="eastAsia" w:ascii="仿宋_GB2312" w:hAnsi="仿宋_GB2312" w:eastAsia="仿宋_GB2312" w:cs="仿宋_GB2312"/>
          <w:b w:val="0"/>
          <w:bCs w:val="0"/>
          <w:color w:val="000000"/>
          <w:kern w:val="0"/>
          <w:sz w:val="32"/>
          <w:szCs w:val="32"/>
          <w:shd w:val="clear" w:color="auto" w:fill="FFFFFF"/>
          <w:lang w:val="zh-CN"/>
        </w:rPr>
        <w:t>）</w:t>
      </w:r>
    </w:p>
    <w:p w14:paraId="3C2AE1C0">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（1）目标完成（4分）</w:t>
      </w:r>
    </w:p>
    <w:p w14:paraId="1D70A103">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2024年我局11个项目较</w:t>
      </w:r>
      <w:r>
        <w:rPr>
          <w:rFonts w:hint="eastAsia" w:hAnsi="仿宋_GB2312" w:eastAsia="仿宋_GB2312" w:cs="仿宋_GB2312"/>
          <w:color w:val="000000"/>
          <w:kern w:val="0"/>
          <w:sz w:val="32"/>
          <w:szCs w:val="32"/>
          <w:shd w:val="clear" w:color="auto" w:fill="FFFFFF"/>
          <w:lang w:eastAsia="zh-CN"/>
        </w:rPr>
        <w:t>好地完成</w:t>
      </w:r>
      <w:r>
        <w:rPr>
          <w:rFonts w:hint="eastAsia" w:ascii="仿宋_GB2312" w:hAnsi="仿宋_GB2312" w:eastAsia="仿宋_GB2312" w:cs="仿宋_GB2312"/>
          <w:color w:val="000000"/>
          <w:kern w:val="0"/>
          <w:sz w:val="32"/>
          <w:szCs w:val="32"/>
          <w:shd w:val="clear" w:color="auto" w:fill="FFFFFF"/>
        </w:rPr>
        <w:t>了绩效目标，不存在偏离绩效指标的情况。</w:t>
      </w:r>
    </w:p>
    <w:p w14:paraId="64864E78">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：4分</w:t>
      </w:r>
    </w:p>
    <w:p w14:paraId="2D4344C7">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val="zh-CN"/>
        </w:rPr>
        <w:t>（2）目标偏离（</w:t>
      </w:r>
      <w:r>
        <w:rPr>
          <w:rFonts w:hint="eastAsia" w:ascii="仿宋_GB2312" w:hAnsi="仿宋_GB2312" w:eastAsia="仿宋_GB2312" w:cs="仿宋_GB2312"/>
          <w:b w:val="0"/>
          <w:bCs w:val="0"/>
          <w:color w:val="000000"/>
          <w:kern w:val="0"/>
          <w:sz w:val="32"/>
          <w:szCs w:val="32"/>
          <w:shd w:val="clear" w:color="auto" w:fill="FFFFFF"/>
        </w:rPr>
        <w:t>4分</w:t>
      </w:r>
      <w:r>
        <w:rPr>
          <w:rFonts w:hint="eastAsia" w:ascii="仿宋_GB2312" w:hAnsi="仿宋_GB2312" w:eastAsia="仿宋_GB2312" w:cs="仿宋_GB2312"/>
          <w:b w:val="0"/>
          <w:bCs w:val="0"/>
          <w:color w:val="000000"/>
          <w:kern w:val="0"/>
          <w:sz w:val="32"/>
          <w:szCs w:val="32"/>
          <w:shd w:val="clear" w:color="auto" w:fill="FFFFFF"/>
          <w:lang w:val="zh-CN"/>
        </w:rPr>
        <w:t>）</w:t>
      </w:r>
    </w:p>
    <w:p w14:paraId="2AD36AB7">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2024年我局11个项目较</w:t>
      </w:r>
      <w:r>
        <w:rPr>
          <w:rFonts w:hint="eastAsia" w:hAnsi="仿宋_GB2312" w:eastAsia="仿宋_GB2312" w:cs="仿宋_GB2312"/>
          <w:color w:val="000000"/>
          <w:kern w:val="0"/>
          <w:sz w:val="32"/>
          <w:szCs w:val="32"/>
          <w:shd w:val="clear" w:color="auto" w:fill="FFFFFF"/>
          <w:lang w:eastAsia="zh-CN"/>
        </w:rPr>
        <w:t>好地完成</w:t>
      </w:r>
      <w:r>
        <w:rPr>
          <w:rFonts w:hint="eastAsia" w:ascii="仿宋_GB2312" w:hAnsi="仿宋_GB2312" w:eastAsia="仿宋_GB2312" w:cs="仿宋_GB2312"/>
          <w:color w:val="000000"/>
          <w:kern w:val="0"/>
          <w:sz w:val="32"/>
          <w:szCs w:val="32"/>
          <w:shd w:val="clear" w:color="auto" w:fill="FFFFFF"/>
        </w:rPr>
        <w:t>了数量绩效目标，不存在偏离绩效指标的情况。</w:t>
      </w:r>
    </w:p>
    <w:p w14:paraId="69EC416F">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：4分</w:t>
      </w:r>
    </w:p>
    <w:p w14:paraId="709B1A4A">
      <w:pPr>
        <w:pageBreakBefore w:val="0"/>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（3）实现效果（</w:t>
      </w:r>
      <w:r>
        <w:rPr>
          <w:rFonts w:hint="eastAsia" w:ascii="仿宋_GB2312" w:hAnsi="仿宋_GB2312" w:eastAsia="仿宋_GB2312" w:cs="仿宋_GB2312"/>
          <w:b w:val="0"/>
          <w:bCs w:val="0"/>
          <w:color w:val="000000"/>
          <w:kern w:val="0"/>
          <w:sz w:val="32"/>
          <w:szCs w:val="32"/>
          <w:shd w:val="clear" w:color="auto" w:fill="FFFFFF"/>
        </w:rPr>
        <w:t>3分</w:t>
      </w:r>
      <w:r>
        <w:rPr>
          <w:rFonts w:hint="eastAsia" w:ascii="仿宋_GB2312" w:hAnsi="仿宋_GB2312" w:eastAsia="仿宋_GB2312" w:cs="仿宋_GB2312"/>
          <w:b w:val="0"/>
          <w:bCs w:val="0"/>
          <w:color w:val="000000"/>
          <w:kern w:val="0"/>
          <w:sz w:val="32"/>
          <w:szCs w:val="32"/>
          <w:shd w:val="clear" w:color="auto" w:fill="FFFFFF"/>
          <w:lang w:val="zh-CN"/>
        </w:rPr>
        <w:t>）</w:t>
      </w:r>
    </w:p>
    <w:p w14:paraId="7AEE40BF">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2024年我局政务服务大厅为群众提供一站式服务，让群众办事“最多跑一趟”，为红原县高质量发展做好政务服务工作。</w:t>
      </w:r>
    </w:p>
    <w:p w14:paraId="3EE6F0B1">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eastAsia="zh-CN"/>
        </w:rPr>
        <w:t>自评得分</w:t>
      </w:r>
      <w:r>
        <w:rPr>
          <w:rFonts w:hint="eastAsia" w:ascii="仿宋_GB2312" w:hAnsi="仿宋_GB2312" w:eastAsia="仿宋_GB2312" w:cs="仿宋_GB2312"/>
          <w:color w:val="000000"/>
          <w:kern w:val="0"/>
          <w:sz w:val="32"/>
          <w:szCs w:val="32"/>
          <w:shd w:val="clear" w:color="auto" w:fill="FFFFFF"/>
        </w:rPr>
        <w:t>：3分</w:t>
      </w:r>
    </w:p>
    <w:p w14:paraId="2199B87D">
      <w:pPr>
        <w:pageBreakBefore w:val="0"/>
        <w:numPr>
          <w:ilvl w:val="0"/>
          <w:numId w:val="4"/>
        </w:numPr>
        <w:kinsoku/>
        <w:wordWrap/>
        <w:overflowPunct/>
        <w:topLinePunct w:val="0"/>
        <w:autoSpaceDE/>
        <w:autoSpaceDN/>
        <w:bidi w:val="0"/>
        <w:snapToGrid w:val="0"/>
        <w:spacing w:line="560" w:lineRule="exact"/>
        <w:ind w:left="0" w:leftChars="0" w:firstLine="643" w:firstLineChars="200"/>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绩效结果应用情况</w:t>
      </w:r>
    </w:p>
    <w:p w14:paraId="405324DA">
      <w:pPr>
        <w:pageBreakBefore w:val="0"/>
        <w:kinsoku/>
        <w:wordWrap/>
        <w:overflowPunct/>
        <w:topLinePunct w:val="0"/>
        <w:autoSpaceDE/>
        <w:autoSpaceDN/>
        <w:bidi w:val="0"/>
        <w:snapToGrid w:val="0"/>
        <w:spacing w:line="560" w:lineRule="exact"/>
        <w:ind w:left="0" w:leftChars="0" w:firstLine="640" w:firstLineChars="20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1.</w:t>
      </w:r>
      <w:r>
        <w:rPr>
          <w:rFonts w:hint="eastAsia" w:ascii="仿宋_GB2312" w:hAnsi="仿宋_GB2312" w:eastAsia="仿宋_GB2312" w:cs="仿宋_GB2312"/>
          <w:b w:val="0"/>
          <w:bCs w:val="0"/>
          <w:sz w:val="32"/>
          <w:szCs w:val="32"/>
        </w:rPr>
        <w:t xml:space="preserve">内部应用情况 </w:t>
      </w:r>
    </w:p>
    <w:p w14:paraId="53656314">
      <w:pPr>
        <w:pStyle w:val="11"/>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绩效评价找准了病根，如预算编制精准度不够，绩效指标设置不够细化全面。我局通过全面掌握预算需求，细心测算预算需求等办法，逐年提高了预算编制的精准度；通过加强学习，提升业务能力等办法，2025年我局绩效目标设置更加细化、合理。</w:t>
      </w:r>
    </w:p>
    <w:p w14:paraId="4B7FAC9C">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 信息公开情况 </w:t>
      </w:r>
    </w:p>
    <w:p w14:paraId="7CC0D6B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公开范围：绩效自评报告、重点项目评价结果已在部门官</w:t>
      </w:r>
    </w:p>
    <w:p w14:paraId="21140B31">
      <w:pPr>
        <w:pStyle w:val="10"/>
        <w:pageBreakBefore w:val="0"/>
        <w:kinsoku/>
        <w:wordWrap/>
        <w:overflowPunct/>
        <w:topLinePunct w:val="0"/>
        <w:autoSpaceDE/>
        <w:autoSpaceDN/>
        <w:bidi w:val="0"/>
        <w:spacing w:after="0"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网公示，但报告未细化至三级指标得分。  </w:t>
      </w:r>
    </w:p>
    <w:p w14:paraId="3FCF3DE8">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公开时效：按要求在预算批复后20日内公开。  </w:t>
      </w:r>
    </w:p>
    <w:p w14:paraId="24DB3AC1">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 整改反馈情况  </w:t>
      </w:r>
    </w:p>
    <w:p w14:paraId="34B6B9AD">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问题整改：针对2024年财政专项监督检查及巡视发现的8</w:t>
      </w:r>
    </w:p>
    <w:p w14:paraId="1FA9DE39">
      <w:pPr>
        <w:pStyle w:val="10"/>
        <w:pageBreakBefore w:val="0"/>
        <w:kinsoku/>
        <w:wordWrap/>
        <w:overflowPunct/>
        <w:topLinePunct w:val="0"/>
        <w:autoSpaceDE/>
        <w:autoSpaceDN/>
        <w:bidi w:val="0"/>
        <w:spacing w:after="0"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项问题（如预算绩效管理不规范、附件不齐）已全部整改。  </w:t>
      </w:r>
    </w:p>
    <w:p w14:paraId="24A6E5E9">
      <w:pPr>
        <w:pStyle w:val="10"/>
        <w:pageBreakBefore w:val="0"/>
        <w:kinsoku/>
        <w:wordWrap/>
        <w:overflowPunct/>
        <w:topLinePunct w:val="0"/>
        <w:autoSpaceDE/>
        <w:autoSpaceDN/>
        <w:bidi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长效机制：建立“评价-反馈-整改-回头看”闭环管理流程，</w:t>
      </w:r>
    </w:p>
    <w:p w14:paraId="718E3216">
      <w:pPr>
        <w:pStyle w:val="10"/>
        <w:pageBreakBefore w:val="0"/>
        <w:kinsoku/>
        <w:wordWrap/>
        <w:overflowPunct/>
        <w:topLinePunct w:val="0"/>
        <w:autoSpaceDE/>
        <w:autoSpaceDN/>
        <w:bidi w:val="0"/>
        <w:spacing w:after="0"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每季度开展执行督查。  </w:t>
      </w:r>
    </w:p>
    <w:p w14:paraId="4FD33FFE">
      <w:pPr>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14:paraId="6CBB9B9B">
      <w:pPr>
        <w:pageBreakBefore w:val="0"/>
        <w:widowControl/>
        <w:kinsoku/>
        <w:wordWrap/>
        <w:overflowPunct/>
        <w:topLinePunct w:val="0"/>
        <w:autoSpaceDE/>
        <w:autoSpaceDN/>
        <w:bidi w:val="0"/>
        <w:adjustRightInd w:val="0"/>
        <w:snapToGrid w:val="0"/>
        <w:spacing w:line="560" w:lineRule="exact"/>
        <w:ind w:left="0" w:leftChars="0" w:firstLine="643" w:firstLineChars="200"/>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14:paraId="02A81718">
      <w:pPr>
        <w:pageBreakBefore w:val="0"/>
        <w:widowControl/>
        <w:kinsoku/>
        <w:wordWrap/>
        <w:overflowPunct/>
        <w:topLinePunct w:val="0"/>
        <w:autoSpaceDE/>
        <w:autoSpaceDN/>
        <w:bidi w:val="0"/>
        <w:adjustRightInd w:val="0"/>
        <w:snapToGrid w:val="0"/>
        <w:spacing w:line="560" w:lineRule="exact"/>
        <w:ind w:left="0" w:leftChars="0" w:firstLine="640" w:firstLineChars="200"/>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sz w:val="32"/>
          <w:szCs w:val="32"/>
        </w:rPr>
        <w:t>根据《红原县部门整体支出绩效评价指标体系》自查得分</w:t>
      </w:r>
      <w:r>
        <w:rPr>
          <w:rFonts w:hint="eastAsia" w:ascii="仿宋_GB2312" w:hAnsi="仿宋_GB2312" w:eastAsia="仿宋_GB2312" w:cs="仿宋_GB2312"/>
          <w:color w:val="000000"/>
          <w:sz w:val="32"/>
          <w:szCs w:val="32"/>
          <w:lang w:val="en-US" w:eastAsia="zh-CN"/>
        </w:rPr>
        <w:t>92.9</w:t>
      </w:r>
      <w:r>
        <w:rPr>
          <w:rFonts w:hint="eastAsia" w:ascii="仿宋_GB2312" w:hAnsi="仿宋_GB2312" w:eastAsia="仿宋_GB2312" w:cs="仿宋_GB2312"/>
          <w:color w:val="000000"/>
          <w:sz w:val="32"/>
          <w:szCs w:val="32"/>
        </w:rPr>
        <w:t>分，总体评价较好。</w:t>
      </w:r>
    </w:p>
    <w:p w14:paraId="7DCB457D">
      <w:pPr>
        <w:pageBreakBefore w:val="0"/>
        <w:widowControl/>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14:paraId="096424D2">
      <w:pPr>
        <w:pageBreakBefore w:val="0"/>
        <w:widowControl/>
        <w:kinsoku/>
        <w:wordWrap/>
        <w:overflowPunct/>
        <w:topLinePunct w:val="0"/>
        <w:autoSpaceDE/>
        <w:autoSpaceDN/>
        <w:bidi w:val="0"/>
        <w:adjustRightInd w:val="0"/>
        <w:snapToGrid w:val="0"/>
        <w:spacing w:line="560" w:lineRule="exact"/>
        <w:ind w:left="0" w:leftChars="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预算编制不够精准，绩效目标设置不够细化、合理。</w:t>
      </w:r>
    </w:p>
    <w:p w14:paraId="3709504A">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三</w:t>
      </w:r>
      <w:r>
        <w:rPr>
          <w:rFonts w:hint="eastAsia" w:ascii="仿宋_GB2312" w:hAnsi="仿宋_GB2312" w:eastAsia="仿宋_GB2312" w:cs="仿宋_GB2312"/>
          <w:b/>
          <w:bCs/>
          <w:color w:val="000000"/>
          <w:kern w:val="0"/>
          <w:sz w:val="32"/>
          <w:szCs w:val="32"/>
          <w:shd w:val="clear" w:color="auto" w:fill="FFFFFF"/>
          <w:lang w:val="zh-CN"/>
        </w:rPr>
        <w:t>）改进建议</w:t>
      </w:r>
      <w:bookmarkStart w:id="115" w:name="_Hlk110546638"/>
    </w:p>
    <w:p w14:paraId="727C9C3F">
      <w:pPr>
        <w:pageBreakBefore w:val="0"/>
        <w:widowControl/>
        <w:kinsoku/>
        <w:wordWrap/>
        <w:overflowPunct/>
        <w:topLinePunct w:val="0"/>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全面统筹规划，细心核算各项经济成本，提高预算</w:t>
      </w:r>
    </w:p>
    <w:p w14:paraId="66428C02">
      <w:pPr>
        <w:pStyle w:val="10"/>
        <w:pageBreakBefore w:val="0"/>
        <w:kinsoku/>
        <w:wordWrap/>
        <w:overflowPunct/>
        <w:topLinePunct w:val="0"/>
        <w:autoSpaceDE/>
        <w:autoSpaceDN/>
        <w:bidi w:val="0"/>
        <w:spacing w:after="0" w:line="56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编制精准度。</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加强业务学习、培训，提升绩效管理应用能力。</w:t>
      </w:r>
    </w:p>
    <w:bookmarkEnd w:id="115"/>
    <w:p w14:paraId="4E6CE048">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w:t>
      </w:r>
    </w:p>
    <w:p w14:paraId="66685E29">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Cs/>
          <w:sz w:val="32"/>
          <w:szCs w:val="32"/>
          <w:lang w:val="en-US" w:eastAsia="zh-CN"/>
        </w:rPr>
      </w:pPr>
    </w:p>
    <w:p w14:paraId="647A6257">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Cs/>
          <w:sz w:val="32"/>
          <w:szCs w:val="32"/>
          <w:lang w:val="en-US" w:eastAsia="zh-CN"/>
        </w:rPr>
      </w:pPr>
    </w:p>
    <w:p w14:paraId="437B5E4C">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Cs/>
          <w:sz w:val="32"/>
          <w:szCs w:val="32"/>
          <w:lang w:val="en-US" w:eastAsia="zh-CN"/>
        </w:rPr>
      </w:pPr>
    </w:p>
    <w:p w14:paraId="63F97730">
      <w:pPr>
        <w:pStyle w:val="7"/>
        <w:pageBreakBefore w:val="0"/>
        <w:kinsoku/>
        <w:wordWrap/>
        <w:overflowPunct/>
        <w:topLinePunct w:val="0"/>
        <w:autoSpaceDE/>
        <w:autoSpaceDN/>
        <w:bidi w:val="0"/>
        <w:spacing w:line="560" w:lineRule="exact"/>
        <w:ind w:left="0" w:leftChars="0"/>
        <w:rPr>
          <w:rFonts w:hint="eastAsia" w:ascii="仿宋_GB2312" w:hAnsi="仿宋_GB2312" w:eastAsia="仿宋_GB2312" w:cs="仿宋_GB2312"/>
          <w:bCs/>
          <w:sz w:val="32"/>
          <w:szCs w:val="32"/>
          <w:lang w:val="en-US" w:eastAsia="zh-CN"/>
        </w:rPr>
      </w:pPr>
    </w:p>
    <w:p w14:paraId="0EBEDD57">
      <w:pPr>
        <w:pageBreakBefore w:val="0"/>
        <w:kinsoku/>
        <w:wordWrap/>
        <w:overflowPunct/>
        <w:topLinePunct w:val="0"/>
        <w:autoSpaceDE/>
        <w:autoSpaceDN/>
        <w:bidi w:val="0"/>
        <w:spacing w:line="560" w:lineRule="exact"/>
        <w:ind w:left="0" w:leftChars="0"/>
        <w:rPr>
          <w:rFonts w:hint="eastAsia" w:ascii="仿宋_GB2312" w:hAnsi="仿宋_GB2312" w:eastAsia="仿宋_GB2312" w:cs="仿宋_GB2312"/>
          <w:bCs/>
          <w:sz w:val="32"/>
          <w:szCs w:val="32"/>
          <w:lang w:val="en-US" w:eastAsia="zh-CN"/>
        </w:rPr>
      </w:pPr>
    </w:p>
    <w:p w14:paraId="0D4050B8">
      <w:pPr>
        <w:pStyle w:val="2"/>
        <w:pageBreakBefore w:val="0"/>
        <w:kinsoku/>
        <w:wordWrap/>
        <w:overflowPunct/>
        <w:topLinePunct w:val="0"/>
        <w:autoSpaceDE/>
        <w:autoSpaceDN/>
        <w:bidi w:val="0"/>
        <w:spacing w:line="560" w:lineRule="exact"/>
        <w:ind w:left="0" w:leftChars="0"/>
        <w:rPr>
          <w:rFonts w:hint="eastAsia" w:ascii="仿宋_GB2312" w:hAnsi="仿宋_GB2312" w:eastAsia="仿宋_GB2312" w:cs="仿宋_GB2312"/>
          <w:bCs/>
          <w:sz w:val="32"/>
          <w:szCs w:val="32"/>
          <w:lang w:val="en-US" w:eastAsia="zh-CN"/>
        </w:rPr>
      </w:pPr>
    </w:p>
    <w:p w14:paraId="711775C1">
      <w:pPr>
        <w:pStyle w:val="2"/>
        <w:pageBreakBefore w:val="0"/>
        <w:kinsoku/>
        <w:wordWrap/>
        <w:overflowPunct/>
        <w:topLinePunct w:val="0"/>
        <w:autoSpaceDE/>
        <w:autoSpaceDN/>
        <w:bidi w:val="0"/>
        <w:spacing w:line="560" w:lineRule="exact"/>
        <w:ind w:left="0" w:leftChars="0"/>
        <w:rPr>
          <w:rFonts w:hint="eastAsia" w:ascii="仿宋_GB2312" w:hAnsi="仿宋_GB2312" w:eastAsia="仿宋_GB2312" w:cs="仿宋_GB2312"/>
          <w:bCs/>
          <w:sz w:val="32"/>
          <w:szCs w:val="32"/>
          <w:lang w:val="en-US" w:eastAsia="zh-CN"/>
        </w:rPr>
      </w:pPr>
    </w:p>
    <w:bookmarkEnd w:id="110"/>
    <w:p w14:paraId="20D8DF19">
      <w:pPr>
        <w:pageBreakBefore w:val="0"/>
        <w:widowControl/>
        <w:kinsoku/>
        <w:wordWrap/>
        <w:overflowPunct/>
        <w:topLinePunct w:val="0"/>
        <w:autoSpaceDE/>
        <w:autoSpaceDN/>
        <w:bidi w:val="0"/>
        <w:spacing w:line="560" w:lineRule="exact"/>
        <w:ind w:left="0" w:leftChars="0"/>
        <w:jc w:val="both"/>
        <w:rPr>
          <w:rFonts w:hint="eastAsia" w:ascii="仿宋_GB2312" w:hAnsi="仿宋_GB2312" w:eastAsia="仿宋_GB2312" w:cs="仿宋_GB2312"/>
          <w:color w:val="auto"/>
          <w:sz w:val="32"/>
          <w:szCs w:val="32"/>
          <w:highlight w:val="none"/>
        </w:rPr>
      </w:pPr>
      <w:bookmarkStart w:id="116" w:name="_Toc15396618"/>
    </w:p>
    <w:p w14:paraId="63BAABF8">
      <w:pPr>
        <w:pageBreakBefore w:val="0"/>
        <w:widowControl/>
        <w:kinsoku/>
        <w:wordWrap/>
        <w:overflowPunct/>
        <w:topLinePunct w:val="0"/>
        <w:autoSpaceDE/>
        <w:autoSpaceDN/>
        <w:bidi w:val="0"/>
        <w:spacing w:line="560" w:lineRule="exact"/>
        <w:ind w:left="0" w:leftChars="0"/>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Style w:val="34"/>
          <w:rFonts w:hint="eastAsia" w:ascii="方正小标宋简体" w:hAnsi="方正小标宋简体" w:eastAsia="方正小标宋简体" w:cs="方正小标宋简体"/>
          <w:b w:val="0"/>
          <w:color w:val="auto"/>
          <w:sz w:val="44"/>
          <w:szCs w:val="44"/>
          <w:highlight w:val="none"/>
        </w:rPr>
        <w:t>五部分 附表</w:t>
      </w:r>
      <w:bookmarkEnd w:id="111"/>
      <w:bookmarkEnd w:id="116"/>
      <w:bookmarkStart w:id="117" w:name="_Toc15396619"/>
    </w:p>
    <w:p w14:paraId="16BA829B">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p>
    <w:p w14:paraId="07E9ACF4">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bookmarkEnd w:id="117"/>
    </w:p>
    <w:p w14:paraId="413B1836">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18" w:name="_Toc15396620"/>
      <w:r>
        <w:rPr>
          <w:rFonts w:hint="eastAsia" w:ascii="仿宋_GB2312" w:hAnsi="仿宋_GB2312" w:eastAsia="仿宋_GB2312" w:cs="仿宋_GB2312"/>
          <w:color w:val="auto"/>
          <w:sz w:val="32"/>
          <w:szCs w:val="32"/>
          <w:highlight w:val="none"/>
        </w:rPr>
        <w:t>二、收入决算表</w:t>
      </w:r>
      <w:bookmarkEnd w:id="118"/>
    </w:p>
    <w:p w14:paraId="45A44F7D">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19" w:name="_Toc15396621"/>
      <w:r>
        <w:rPr>
          <w:rFonts w:hint="eastAsia" w:ascii="仿宋_GB2312" w:hAnsi="仿宋_GB2312" w:eastAsia="仿宋_GB2312" w:cs="仿宋_GB2312"/>
          <w:color w:val="auto"/>
          <w:sz w:val="32"/>
          <w:szCs w:val="32"/>
          <w:highlight w:val="none"/>
        </w:rPr>
        <w:t>三、支出决算表</w:t>
      </w:r>
      <w:bookmarkEnd w:id="119"/>
    </w:p>
    <w:p w14:paraId="747ECCCB">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0" w:name="_Toc15396622"/>
      <w:r>
        <w:rPr>
          <w:rFonts w:hint="eastAsia" w:ascii="仿宋_GB2312" w:hAnsi="仿宋_GB2312" w:eastAsia="仿宋_GB2312" w:cs="仿宋_GB2312"/>
          <w:color w:val="auto"/>
          <w:sz w:val="32"/>
          <w:szCs w:val="32"/>
          <w:highlight w:val="none"/>
        </w:rPr>
        <w:t>四、财政拨款收入支出决算总表</w:t>
      </w:r>
      <w:bookmarkEnd w:id="120"/>
    </w:p>
    <w:p w14:paraId="5480F272">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1" w:name="_Toc15396623"/>
      <w:r>
        <w:rPr>
          <w:rFonts w:hint="eastAsia" w:ascii="仿宋_GB2312" w:hAnsi="仿宋_GB2312" w:eastAsia="仿宋_GB2312" w:cs="仿宋_GB2312"/>
          <w:color w:val="auto"/>
          <w:sz w:val="32"/>
          <w:szCs w:val="32"/>
          <w:highlight w:val="none"/>
        </w:rPr>
        <w:t>五、财政拨款支出决算明细表</w:t>
      </w:r>
      <w:bookmarkEnd w:id="121"/>
      <w:bookmarkStart w:id="122" w:name="_Toc15396624"/>
    </w:p>
    <w:p w14:paraId="3EEF77A7">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六、一般公共预算财政拨款支出决算表</w:t>
      </w:r>
      <w:bookmarkEnd w:id="122"/>
    </w:p>
    <w:p w14:paraId="58A61C8D">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3" w:name="_Toc15396625"/>
      <w:r>
        <w:rPr>
          <w:rFonts w:hint="eastAsia" w:ascii="仿宋_GB2312" w:hAnsi="仿宋_GB2312" w:eastAsia="仿宋_GB2312" w:cs="仿宋_GB2312"/>
          <w:color w:val="auto"/>
          <w:sz w:val="32"/>
          <w:szCs w:val="32"/>
          <w:highlight w:val="none"/>
        </w:rPr>
        <w:t>七、一般公共预算财政拨款支出决算明细表</w:t>
      </w:r>
      <w:bookmarkEnd w:id="123"/>
    </w:p>
    <w:p w14:paraId="47507F04">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4" w:name="_Toc15396626"/>
      <w:r>
        <w:rPr>
          <w:rFonts w:hint="eastAsia" w:ascii="仿宋_GB2312" w:hAnsi="仿宋_GB2312" w:eastAsia="仿宋_GB2312" w:cs="仿宋_GB2312"/>
          <w:color w:val="auto"/>
          <w:sz w:val="32"/>
          <w:szCs w:val="32"/>
          <w:highlight w:val="none"/>
        </w:rPr>
        <w:t>八、一般公共预算财政拨款基本支出决算表</w:t>
      </w:r>
      <w:bookmarkEnd w:id="124"/>
    </w:p>
    <w:p w14:paraId="72FAD1EA">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5" w:name="_Toc15396627"/>
      <w:r>
        <w:rPr>
          <w:rFonts w:hint="eastAsia" w:ascii="仿宋_GB2312" w:hAnsi="仿宋_GB2312" w:eastAsia="仿宋_GB2312" w:cs="仿宋_GB2312"/>
          <w:color w:val="auto"/>
          <w:sz w:val="32"/>
          <w:szCs w:val="32"/>
          <w:highlight w:val="none"/>
        </w:rPr>
        <w:t>九、一般公共预算财政拨款项目支出决算表</w:t>
      </w:r>
      <w:bookmarkEnd w:id="125"/>
    </w:p>
    <w:p w14:paraId="001A900F">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6" w:name="_Toc15396628"/>
      <w:r>
        <w:rPr>
          <w:rFonts w:hint="eastAsia" w:ascii="仿宋_GB2312" w:hAnsi="仿宋_GB2312" w:eastAsia="仿宋_GB2312" w:cs="仿宋_GB2312"/>
          <w:color w:val="auto"/>
          <w:sz w:val="32"/>
          <w:szCs w:val="32"/>
          <w:highlight w:val="none"/>
        </w:rPr>
        <w:t>十、</w:t>
      </w:r>
      <w:bookmarkEnd w:id="126"/>
      <w:r>
        <w:rPr>
          <w:rFonts w:hint="eastAsia" w:ascii="仿宋_GB2312" w:hAnsi="仿宋_GB2312" w:eastAsia="仿宋_GB2312" w:cs="仿宋_GB2312"/>
          <w:color w:val="auto"/>
          <w:sz w:val="32"/>
          <w:szCs w:val="32"/>
          <w:highlight w:val="none"/>
        </w:rPr>
        <w:t>政府性基金预算财政拨款收入支出决算表</w:t>
      </w:r>
    </w:p>
    <w:p w14:paraId="0FEB6E4C">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7" w:name="_Toc15396629"/>
      <w:r>
        <w:rPr>
          <w:rFonts w:hint="eastAsia" w:ascii="仿宋_GB2312" w:hAnsi="仿宋_GB2312" w:eastAsia="仿宋_GB2312" w:cs="仿宋_GB2312"/>
          <w:color w:val="auto"/>
          <w:sz w:val="32"/>
          <w:szCs w:val="32"/>
          <w:highlight w:val="none"/>
        </w:rPr>
        <w:t>十一、</w:t>
      </w:r>
      <w:bookmarkEnd w:id="127"/>
      <w:r>
        <w:rPr>
          <w:rFonts w:hint="eastAsia" w:ascii="仿宋_GB2312" w:hAnsi="仿宋_GB2312" w:eastAsia="仿宋_GB2312" w:cs="仿宋_GB2312"/>
          <w:color w:val="auto"/>
          <w:sz w:val="32"/>
          <w:szCs w:val="32"/>
          <w:highlight w:val="none"/>
        </w:rPr>
        <w:t>国有资本经营预算</w:t>
      </w:r>
      <w:r>
        <w:rPr>
          <w:rFonts w:hint="eastAsia" w:ascii="仿宋_GB2312" w:hAnsi="仿宋_GB2312" w:eastAsia="仿宋_GB2312" w:cs="仿宋_GB2312"/>
          <w:color w:val="auto"/>
          <w:sz w:val="32"/>
          <w:szCs w:val="32"/>
          <w:highlight w:val="none"/>
          <w:lang w:eastAsia="zh-CN"/>
        </w:rPr>
        <w:t>财政拨款收入</w:t>
      </w:r>
      <w:r>
        <w:rPr>
          <w:rFonts w:hint="eastAsia" w:ascii="仿宋_GB2312" w:hAnsi="仿宋_GB2312" w:eastAsia="仿宋_GB2312" w:cs="仿宋_GB2312"/>
          <w:color w:val="auto"/>
          <w:sz w:val="32"/>
          <w:szCs w:val="32"/>
          <w:highlight w:val="none"/>
        </w:rPr>
        <w:t>支出决算表</w:t>
      </w:r>
    </w:p>
    <w:p w14:paraId="1F678C79">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rPr>
      </w:pPr>
      <w:bookmarkStart w:id="128" w:name="_Toc15396630"/>
      <w:r>
        <w:rPr>
          <w:rFonts w:hint="eastAsia" w:ascii="仿宋_GB2312" w:hAnsi="仿宋_GB2312" w:eastAsia="仿宋_GB2312" w:cs="仿宋_GB2312"/>
          <w:color w:val="auto"/>
          <w:sz w:val="32"/>
          <w:szCs w:val="32"/>
          <w:highlight w:val="none"/>
        </w:rPr>
        <w:t>十二、</w:t>
      </w:r>
      <w:bookmarkEnd w:id="128"/>
      <w:r>
        <w:rPr>
          <w:rFonts w:hint="eastAsia" w:ascii="仿宋_GB2312" w:hAnsi="仿宋_GB2312" w:eastAsia="仿宋_GB2312" w:cs="仿宋_GB2312"/>
          <w:color w:val="auto"/>
          <w:sz w:val="32"/>
          <w:szCs w:val="32"/>
          <w:highlight w:val="none"/>
          <w:lang w:eastAsia="zh-CN"/>
        </w:rPr>
        <w:t>国有资本经营预算财政拨款支出决算表</w:t>
      </w:r>
    </w:p>
    <w:p w14:paraId="6F9372B4">
      <w:pPr>
        <w:pStyle w:val="18"/>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hint="eastAsia" w:ascii="仿宋_GB2312" w:hAnsi="仿宋_GB2312" w:eastAsia="仿宋_GB2312" w:cs="仿宋_GB2312"/>
          <w:color w:val="auto"/>
          <w:sz w:val="32"/>
          <w:szCs w:val="32"/>
          <w:highlight w:val="none"/>
          <w:lang w:eastAsia="zh-CN"/>
        </w:rPr>
      </w:pPr>
      <w:bookmarkStart w:id="129" w:name="_Toc15396631"/>
      <w:r>
        <w:rPr>
          <w:rFonts w:hint="eastAsia" w:ascii="仿宋_GB2312" w:hAnsi="仿宋_GB2312" w:eastAsia="仿宋_GB2312" w:cs="仿宋_GB2312"/>
          <w:color w:val="auto"/>
          <w:sz w:val="32"/>
          <w:szCs w:val="32"/>
          <w:highlight w:val="none"/>
        </w:rPr>
        <w:t>十三、</w:t>
      </w:r>
      <w:bookmarkEnd w:id="129"/>
      <w:r>
        <w:rPr>
          <w:rFonts w:hint="eastAsia" w:ascii="仿宋_GB2312" w:hAnsi="仿宋_GB2312" w:eastAsia="仿宋_GB2312" w:cs="仿宋_GB2312"/>
          <w:color w:val="auto"/>
          <w:sz w:val="32"/>
          <w:szCs w:val="32"/>
          <w:highlight w:val="none"/>
          <w:lang w:eastAsia="zh-CN"/>
        </w:rPr>
        <w:t>财政拨款“三公”经费支出决算表</w:t>
      </w:r>
    </w:p>
    <w:p w14:paraId="3DFD3B8F">
      <w:pPr>
        <w:pStyle w:val="1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bookmarkStart w:id="130" w:name="_Toc1273"/>
      <w:r>
        <w:rPr>
          <w:rFonts w:hint="eastAsia" w:ascii="仿宋_GB2312" w:hAnsi="仿宋_GB2312" w:eastAsia="仿宋_GB2312" w:cs="仿宋_GB2312"/>
          <w:color w:val="000000"/>
          <w:sz w:val="32"/>
          <w:szCs w:val="32"/>
        </w:rPr>
        <w:t>十四、部门项目支出绩效目标表</w:t>
      </w:r>
      <w:bookmarkEnd w:id="130"/>
    </w:p>
    <w:p w14:paraId="3779C758">
      <w:pPr>
        <w:pageBreakBefore w:val="0"/>
        <w:kinsoku/>
        <w:wordWrap/>
        <w:overflowPunct/>
        <w:topLinePunct w:val="0"/>
        <w:autoSpaceDE/>
        <w:autoSpaceDN/>
        <w:bidi w:val="0"/>
        <w:spacing w:line="560" w:lineRule="exact"/>
        <w:ind w:left="0" w:leftChars="0"/>
        <w:rPr>
          <w:rFonts w:hint="eastAsia" w:ascii="仿宋_GB2312" w:hAnsi="仿宋_GB2312" w:eastAsia="仿宋_GB2312" w:cs="仿宋_GB2312"/>
          <w:sz w:val="32"/>
          <w:szCs w:val="32"/>
          <w:lang w:eastAsia="zh-CN"/>
        </w:rPr>
      </w:pPr>
    </w:p>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74630">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FBB5A">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CBFBB5A">
                    <w:pPr>
                      <w:pStyle w:val="14"/>
                    </w:pPr>
                    <w:r>
                      <w:fldChar w:fldCharType="begin"/>
                    </w:r>
                    <w:r>
                      <w:instrText xml:space="preserve"> PAGE  \* MERGEFORMAT </w:instrText>
                    </w:r>
                    <w:r>
                      <w:fldChar w:fldCharType="separate"/>
                    </w:r>
                    <w:r>
                      <w:t>- 1 -</w:t>
                    </w:r>
                    <w:r>
                      <w:fldChar w:fldCharType="end"/>
                    </w:r>
                  </w:p>
                </w:txbxContent>
              </v:textbox>
            </v:shape>
          </w:pict>
        </mc:Fallback>
      </mc:AlternateContent>
    </w:r>
  </w:p>
  <w:p w14:paraId="246DE6D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BE73">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AD09B">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31AD09B">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3A61C">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D8171">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F6D8171">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p w14:paraId="6628912B">
    <w:pPr>
      <w:pStyle w:val="14"/>
      <w:rPr>
        <w:rFonts w:hint="eastAsia" w:ascii="仿宋_GB2312" w:hAnsi="仿宋_GB2312" w:eastAsia="仿宋_GB2312" w:cs="仿宋_GB2312"/>
        <w:color w:val="000000"/>
        <w:kern w:val="0"/>
        <w:sz w:val="32"/>
        <w:szCs w:val="32"/>
        <w:shd w:val="clear" w:color="auto" w:fill="auto"/>
        <w:lang w:val="en-US" w:eastAsia="zh-CN" w:bidi="a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A599C">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F1E0B">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04F1E0B">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B4EF9">
    <w:pPr>
      <w:pStyle w:val="15"/>
      <w:pBdr>
        <w:bottom w:val="none" w:color="auto" w:sz="0" w:space="0"/>
      </w:pBdr>
      <w:rPr>
        <w:rFonts w:hint="eastAsia" w:ascii="仿宋_GB2312" w:hAnsi="仿宋_GB2312" w:eastAsia="仿宋_GB2312" w:cs="仿宋_GB2312"/>
        <w:color w:val="000000"/>
        <w:kern w:val="0"/>
        <w:sz w:val="32"/>
        <w:szCs w:val="32"/>
        <w:shd w:val="clear" w:color="auto" w:fill="auto"/>
        <w:lang w:val="en-US" w:eastAsia="zh-CN" w:bidi="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23DF0"/>
    <w:multiLevelType w:val="singleLevel"/>
    <w:tmpl w:val="C1E23DF0"/>
    <w:lvl w:ilvl="0" w:tentative="0">
      <w:start w:val="2"/>
      <w:numFmt w:val="chineseCounting"/>
      <w:suff w:val="space"/>
      <w:lvlText w:val="第%1部分"/>
      <w:lvlJc w:val="left"/>
      <w:rPr>
        <w:rFonts w:hint="eastAsia"/>
      </w:rPr>
    </w:lvl>
  </w:abstractNum>
  <w:abstractNum w:abstractNumId="1">
    <w:nsid w:val="D76F065C"/>
    <w:multiLevelType w:val="singleLevel"/>
    <w:tmpl w:val="D76F065C"/>
    <w:lvl w:ilvl="0" w:tentative="0">
      <w:start w:val="2"/>
      <w:numFmt w:val="chineseCounting"/>
      <w:suff w:val="nothing"/>
      <w:lvlText w:val="（%1）"/>
      <w:lvlJc w:val="left"/>
      <w:rPr>
        <w:rFonts w:hint="eastAsia"/>
        <w:b/>
        <w:bCs/>
      </w:rPr>
    </w:lvl>
  </w:abstractNum>
  <w:abstractNum w:abstractNumId="2">
    <w:nsid w:val="D9660D67"/>
    <w:multiLevelType w:val="singleLevel"/>
    <w:tmpl w:val="D9660D67"/>
    <w:lvl w:ilvl="0" w:tentative="0">
      <w:start w:val="2"/>
      <w:numFmt w:val="chineseCounting"/>
      <w:suff w:val="nothing"/>
      <w:lvlText w:val="（%1）"/>
      <w:lvlJc w:val="left"/>
      <w:rPr>
        <w:rFonts w:hint="eastAsia"/>
      </w:rPr>
    </w:lvl>
  </w:abstractNum>
  <w:abstractNum w:abstractNumId="3">
    <w:nsid w:val="35FEA71C"/>
    <w:multiLevelType w:val="singleLevel"/>
    <w:tmpl w:val="35FEA71C"/>
    <w:lvl w:ilvl="0" w:tentative="0">
      <w:start w:val="4"/>
      <w:numFmt w:val="chineseCounting"/>
      <w:suff w:val="space"/>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NWIwZTJhNGRlNzY4ZWFhMGUwZjdhZmE4NzhkZjIifQ=="/>
  </w:docVars>
  <w:rsids>
    <w:rsidRoot w:val="00F1361C"/>
    <w:rsid w:val="000222C6"/>
    <w:rsid w:val="0002549F"/>
    <w:rsid w:val="000468DB"/>
    <w:rsid w:val="000610C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A4948"/>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7F1455"/>
    <w:rsid w:val="02860CC6"/>
    <w:rsid w:val="02A039BD"/>
    <w:rsid w:val="02F525AC"/>
    <w:rsid w:val="02FEBE30"/>
    <w:rsid w:val="031F3758"/>
    <w:rsid w:val="03CB3121"/>
    <w:rsid w:val="03CC63CC"/>
    <w:rsid w:val="0469709D"/>
    <w:rsid w:val="04916F1E"/>
    <w:rsid w:val="04CF71C3"/>
    <w:rsid w:val="055A7363"/>
    <w:rsid w:val="05B222AB"/>
    <w:rsid w:val="061E35DE"/>
    <w:rsid w:val="064635D5"/>
    <w:rsid w:val="066E0107"/>
    <w:rsid w:val="068154EF"/>
    <w:rsid w:val="06AB172E"/>
    <w:rsid w:val="0705648D"/>
    <w:rsid w:val="070A6036"/>
    <w:rsid w:val="07996F6E"/>
    <w:rsid w:val="07DFD8BA"/>
    <w:rsid w:val="086870F7"/>
    <w:rsid w:val="08D31906"/>
    <w:rsid w:val="093079A7"/>
    <w:rsid w:val="09867E8F"/>
    <w:rsid w:val="09F409C5"/>
    <w:rsid w:val="0A2032A3"/>
    <w:rsid w:val="0C203701"/>
    <w:rsid w:val="0C2C3490"/>
    <w:rsid w:val="0CA8290A"/>
    <w:rsid w:val="0D35B1ED"/>
    <w:rsid w:val="0D5154EF"/>
    <w:rsid w:val="0DF77E44"/>
    <w:rsid w:val="0E254B6B"/>
    <w:rsid w:val="0E8B4545"/>
    <w:rsid w:val="0EC20452"/>
    <w:rsid w:val="0EC96E88"/>
    <w:rsid w:val="0F392DD8"/>
    <w:rsid w:val="0F42685F"/>
    <w:rsid w:val="0F98263C"/>
    <w:rsid w:val="101860EC"/>
    <w:rsid w:val="101F47CC"/>
    <w:rsid w:val="10305154"/>
    <w:rsid w:val="10563548"/>
    <w:rsid w:val="10B14FA6"/>
    <w:rsid w:val="10C055FF"/>
    <w:rsid w:val="10D75F66"/>
    <w:rsid w:val="10E86CDE"/>
    <w:rsid w:val="115149D1"/>
    <w:rsid w:val="115B693C"/>
    <w:rsid w:val="11694EBD"/>
    <w:rsid w:val="11772AA4"/>
    <w:rsid w:val="118107EC"/>
    <w:rsid w:val="11BF336F"/>
    <w:rsid w:val="12333415"/>
    <w:rsid w:val="12E24EE2"/>
    <w:rsid w:val="12F41BF3"/>
    <w:rsid w:val="13D50BC4"/>
    <w:rsid w:val="142B6A9A"/>
    <w:rsid w:val="14857C64"/>
    <w:rsid w:val="14B17F78"/>
    <w:rsid w:val="15543DCE"/>
    <w:rsid w:val="155C469D"/>
    <w:rsid w:val="15A01877"/>
    <w:rsid w:val="15FC5A3B"/>
    <w:rsid w:val="165E0673"/>
    <w:rsid w:val="166138EB"/>
    <w:rsid w:val="166B7621"/>
    <w:rsid w:val="16B831D5"/>
    <w:rsid w:val="16BB723D"/>
    <w:rsid w:val="17C31A12"/>
    <w:rsid w:val="17E50567"/>
    <w:rsid w:val="185B4F34"/>
    <w:rsid w:val="185D751D"/>
    <w:rsid w:val="186504BB"/>
    <w:rsid w:val="188B364F"/>
    <w:rsid w:val="197A6140"/>
    <w:rsid w:val="1991739F"/>
    <w:rsid w:val="19A445FC"/>
    <w:rsid w:val="1A0815C6"/>
    <w:rsid w:val="1A3B3EC6"/>
    <w:rsid w:val="1AC01CEF"/>
    <w:rsid w:val="1ADB3778"/>
    <w:rsid w:val="1BE8440E"/>
    <w:rsid w:val="1C4F621B"/>
    <w:rsid w:val="1D155CEE"/>
    <w:rsid w:val="1D1638FE"/>
    <w:rsid w:val="1D6A0867"/>
    <w:rsid w:val="1E312DEB"/>
    <w:rsid w:val="1E740ACF"/>
    <w:rsid w:val="1E776D73"/>
    <w:rsid w:val="1FC5492A"/>
    <w:rsid w:val="1FF35744"/>
    <w:rsid w:val="1FF6BC77"/>
    <w:rsid w:val="215333E7"/>
    <w:rsid w:val="2186353C"/>
    <w:rsid w:val="219952B5"/>
    <w:rsid w:val="23860B96"/>
    <w:rsid w:val="23C45AE8"/>
    <w:rsid w:val="23D20962"/>
    <w:rsid w:val="240371BF"/>
    <w:rsid w:val="24170DE9"/>
    <w:rsid w:val="244F3473"/>
    <w:rsid w:val="24B76870"/>
    <w:rsid w:val="24C97D99"/>
    <w:rsid w:val="25341F2E"/>
    <w:rsid w:val="25375EAB"/>
    <w:rsid w:val="25A718F0"/>
    <w:rsid w:val="25BB59F6"/>
    <w:rsid w:val="25CE1A57"/>
    <w:rsid w:val="25CE54D7"/>
    <w:rsid w:val="260F557C"/>
    <w:rsid w:val="26390E3F"/>
    <w:rsid w:val="26970054"/>
    <w:rsid w:val="26DC3F03"/>
    <w:rsid w:val="281408E2"/>
    <w:rsid w:val="28CD6544"/>
    <w:rsid w:val="2959155B"/>
    <w:rsid w:val="298E7457"/>
    <w:rsid w:val="29E02CE0"/>
    <w:rsid w:val="29FD04D3"/>
    <w:rsid w:val="2B454AF8"/>
    <w:rsid w:val="2B514F38"/>
    <w:rsid w:val="2BFF7BC6"/>
    <w:rsid w:val="2C2B4BD0"/>
    <w:rsid w:val="2C8A61B5"/>
    <w:rsid w:val="2C8B2374"/>
    <w:rsid w:val="2D080B74"/>
    <w:rsid w:val="2D2D51D9"/>
    <w:rsid w:val="2D713C6E"/>
    <w:rsid w:val="2DF04E50"/>
    <w:rsid w:val="2E586DFA"/>
    <w:rsid w:val="2F040D46"/>
    <w:rsid w:val="2F6B035B"/>
    <w:rsid w:val="2FAE5751"/>
    <w:rsid w:val="2FB1A395"/>
    <w:rsid w:val="2FD9A7D8"/>
    <w:rsid w:val="2FDBF714"/>
    <w:rsid w:val="30055A4E"/>
    <w:rsid w:val="30AB6865"/>
    <w:rsid w:val="30AF7C9F"/>
    <w:rsid w:val="31322263"/>
    <w:rsid w:val="315F1E36"/>
    <w:rsid w:val="31763FFA"/>
    <w:rsid w:val="319F7F4E"/>
    <w:rsid w:val="32BA5E48"/>
    <w:rsid w:val="32BD1EF1"/>
    <w:rsid w:val="3304709D"/>
    <w:rsid w:val="33A773CB"/>
    <w:rsid w:val="349D6851"/>
    <w:rsid w:val="35D94948"/>
    <w:rsid w:val="3684230E"/>
    <w:rsid w:val="36AA5135"/>
    <w:rsid w:val="36BE0DA7"/>
    <w:rsid w:val="376B6AA6"/>
    <w:rsid w:val="376D39B2"/>
    <w:rsid w:val="37B81B43"/>
    <w:rsid w:val="37BB002E"/>
    <w:rsid w:val="37E16F03"/>
    <w:rsid w:val="37F53A3B"/>
    <w:rsid w:val="389B6C89"/>
    <w:rsid w:val="38CC5105"/>
    <w:rsid w:val="38D469F0"/>
    <w:rsid w:val="391706D5"/>
    <w:rsid w:val="39627CCD"/>
    <w:rsid w:val="397BAF1F"/>
    <w:rsid w:val="39A64349"/>
    <w:rsid w:val="39E31249"/>
    <w:rsid w:val="3AAA60BB"/>
    <w:rsid w:val="3AB79AF3"/>
    <w:rsid w:val="3AE834C0"/>
    <w:rsid w:val="3B0D4BB0"/>
    <w:rsid w:val="3B7C7A57"/>
    <w:rsid w:val="3B7EF35A"/>
    <w:rsid w:val="3B9FDB6C"/>
    <w:rsid w:val="3BF5BC2F"/>
    <w:rsid w:val="3C0F6D71"/>
    <w:rsid w:val="3C42492E"/>
    <w:rsid w:val="3C715B53"/>
    <w:rsid w:val="3CD75B90"/>
    <w:rsid w:val="3CEBA265"/>
    <w:rsid w:val="3D98207C"/>
    <w:rsid w:val="3DEE7CF3"/>
    <w:rsid w:val="3E740A63"/>
    <w:rsid w:val="3E78745D"/>
    <w:rsid w:val="3EE17838"/>
    <w:rsid w:val="3F55381A"/>
    <w:rsid w:val="3F7F7599"/>
    <w:rsid w:val="3FF4CAE0"/>
    <w:rsid w:val="3FF7B227"/>
    <w:rsid w:val="40EE3E7E"/>
    <w:rsid w:val="41546D80"/>
    <w:rsid w:val="4175016E"/>
    <w:rsid w:val="41F067CF"/>
    <w:rsid w:val="435B772B"/>
    <w:rsid w:val="43E814B4"/>
    <w:rsid w:val="44A56A8B"/>
    <w:rsid w:val="44B00772"/>
    <w:rsid w:val="44D01E4F"/>
    <w:rsid w:val="44E268DA"/>
    <w:rsid w:val="450D13D7"/>
    <w:rsid w:val="45506656"/>
    <w:rsid w:val="46A97481"/>
    <w:rsid w:val="47716BFE"/>
    <w:rsid w:val="47C36A0E"/>
    <w:rsid w:val="486A6C7A"/>
    <w:rsid w:val="48DA5DBD"/>
    <w:rsid w:val="49014F5F"/>
    <w:rsid w:val="490E24BD"/>
    <w:rsid w:val="49D03DCC"/>
    <w:rsid w:val="4A627F82"/>
    <w:rsid w:val="4A6E2C61"/>
    <w:rsid w:val="4AD0171C"/>
    <w:rsid w:val="4AD17D48"/>
    <w:rsid w:val="4AE45366"/>
    <w:rsid w:val="4AEF699D"/>
    <w:rsid w:val="4B0E749A"/>
    <w:rsid w:val="4B2477C4"/>
    <w:rsid w:val="4B4F25DA"/>
    <w:rsid w:val="4BE068DB"/>
    <w:rsid w:val="4BF165EF"/>
    <w:rsid w:val="4C922410"/>
    <w:rsid w:val="4D410A91"/>
    <w:rsid w:val="4D577224"/>
    <w:rsid w:val="4D706CF0"/>
    <w:rsid w:val="4DBF1CEB"/>
    <w:rsid w:val="4DF0007C"/>
    <w:rsid w:val="4EAB630A"/>
    <w:rsid w:val="4ECE2238"/>
    <w:rsid w:val="4F833267"/>
    <w:rsid w:val="4FDC7D88"/>
    <w:rsid w:val="4FE60546"/>
    <w:rsid w:val="4FE9BD67"/>
    <w:rsid w:val="4FFB052F"/>
    <w:rsid w:val="50556BD8"/>
    <w:rsid w:val="50820CAF"/>
    <w:rsid w:val="50854860"/>
    <w:rsid w:val="51E11F6A"/>
    <w:rsid w:val="52240C61"/>
    <w:rsid w:val="525A3ACB"/>
    <w:rsid w:val="537E6D0A"/>
    <w:rsid w:val="53F74C96"/>
    <w:rsid w:val="53F8359B"/>
    <w:rsid w:val="55042B68"/>
    <w:rsid w:val="55170BA8"/>
    <w:rsid w:val="553218C9"/>
    <w:rsid w:val="5559450E"/>
    <w:rsid w:val="567E1AA5"/>
    <w:rsid w:val="567F7FA4"/>
    <w:rsid w:val="56E47B74"/>
    <w:rsid w:val="57175D52"/>
    <w:rsid w:val="57B57EEE"/>
    <w:rsid w:val="57BD3DD4"/>
    <w:rsid w:val="57C739B1"/>
    <w:rsid w:val="58B57CAD"/>
    <w:rsid w:val="59301A29"/>
    <w:rsid w:val="5A033A81"/>
    <w:rsid w:val="5AF92295"/>
    <w:rsid w:val="5B250254"/>
    <w:rsid w:val="5B350353"/>
    <w:rsid w:val="5B3504B8"/>
    <w:rsid w:val="5B6A7475"/>
    <w:rsid w:val="5BDD79E6"/>
    <w:rsid w:val="5BF561CA"/>
    <w:rsid w:val="5BFF5DFC"/>
    <w:rsid w:val="5C522529"/>
    <w:rsid w:val="5C734DC8"/>
    <w:rsid w:val="5CD71FC4"/>
    <w:rsid w:val="5D1F11B5"/>
    <w:rsid w:val="5D695134"/>
    <w:rsid w:val="5DAE1B18"/>
    <w:rsid w:val="5DE7D9E5"/>
    <w:rsid w:val="5EB329EE"/>
    <w:rsid w:val="5ECEC941"/>
    <w:rsid w:val="5F80495C"/>
    <w:rsid w:val="5FBF9FF3"/>
    <w:rsid w:val="5FCD4E2C"/>
    <w:rsid w:val="5FEF394A"/>
    <w:rsid w:val="5FF67715"/>
    <w:rsid w:val="60515EE0"/>
    <w:rsid w:val="607400BD"/>
    <w:rsid w:val="613F6CAD"/>
    <w:rsid w:val="614D7355"/>
    <w:rsid w:val="61F01D56"/>
    <w:rsid w:val="62B84CF9"/>
    <w:rsid w:val="62BF3928"/>
    <w:rsid w:val="63B3701E"/>
    <w:rsid w:val="63F0428F"/>
    <w:rsid w:val="641D00AF"/>
    <w:rsid w:val="642A0908"/>
    <w:rsid w:val="647F5392"/>
    <w:rsid w:val="652E1513"/>
    <w:rsid w:val="6562758A"/>
    <w:rsid w:val="65E66580"/>
    <w:rsid w:val="664B1D71"/>
    <w:rsid w:val="664B4E8E"/>
    <w:rsid w:val="669E26A9"/>
    <w:rsid w:val="67277B67"/>
    <w:rsid w:val="672C7CD4"/>
    <w:rsid w:val="67442EB6"/>
    <w:rsid w:val="67AA3209"/>
    <w:rsid w:val="67AC7D4B"/>
    <w:rsid w:val="67B935E4"/>
    <w:rsid w:val="67ED470C"/>
    <w:rsid w:val="688D2B5D"/>
    <w:rsid w:val="6897117D"/>
    <w:rsid w:val="68DE6DAC"/>
    <w:rsid w:val="68FB795E"/>
    <w:rsid w:val="694A4441"/>
    <w:rsid w:val="698D0931"/>
    <w:rsid w:val="69E26F78"/>
    <w:rsid w:val="6A1D3904"/>
    <w:rsid w:val="6A585B4A"/>
    <w:rsid w:val="6A7FE5F3"/>
    <w:rsid w:val="6AAB0F10"/>
    <w:rsid w:val="6AC93392"/>
    <w:rsid w:val="6B053271"/>
    <w:rsid w:val="6B6E1C65"/>
    <w:rsid w:val="6B7765D4"/>
    <w:rsid w:val="6BAE3E29"/>
    <w:rsid w:val="6BDD78B3"/>
    <w:rsid w:val="6C3A254B"/>
    <w:rsid w:val="6C4A05C8"/>
    <w:rsid w:val="6C6E1E97"/>
    <w:rsid w:val="6C8742B8"/>
    <w:rsid w:val="6D0801BB"/>
    <w:rsid w:val="6D264106"/>
    <w:rsid w:val="6D5F1A57"/>
    <w:rsid w:val="6DBF5E93"/>
    <w:rsid w:val="6DCA3DA3"/>
    <w:rsid w:val="6DD27F64"/>
    <w:rsid w:val="6DFF077E"/>
    <w:rsid w:val="6E2B2A93"/>
    <w:rsid w:val="6E714EF0"/>
    <w:rsid w:val="6E7E3605"/>
    <w:rsid w:val="6E7FDCC7"/>
    <w:rsid w:val="6E867766"/>
    <w:rsid w:val="6ED6A62E"/>
    <w:rsid w:val="6EE00B15"/>
    <w:rsid w:val="6EE113A4"/>
    <w:rsid w:val="6F06705D"/>
    <w:rsid w:val="6F6FB3EB"/>
    <w:rsid w:val="6F8731EA"/>
    <w:rsid w:val="6FC85E2C"/>
    <w:rsid w:val="6FCE6052"/>
    <w:rsid w:val="6FD131C7"/>
    <w:rsid w:val="6FD57C00"/>
    <w:rsid w:val="6FEFFFD8"/>
    <w:rsid w:val="6FF5CC65"/>
    <w:rsid w:val="6FFB47EC"/>
    <w:rsid w:val="6FFF034A"/>
    <w:rsid w:val="700F0193"/>
    <w:rsid w:val="702A2025"/>
    <w:rsid w:val="70484440"/>
    <w:rsid w:val="7081316C"/>
    <w:rsid w:val="70C37C92"/>
    <w:rsid w:val="712832BA"/>
    <w:rsid w:val="712A28F1"/>
    <w:rsid w:val="715C0E4B"/>
    <w:rsid w:val="71992E7C"/>
    <w:rsid w:val="72233669"/>
    <w:rsid w:val="72734D90"/>
    <w:rsid w:val="728C7879"/>
    <w:rsid w:val="73067481"/>
    <w:rsid w:val="73160E6D"/>
    <w:rsid w:val="731D4975"/>
    <w:rsid w:val="7332FE48"/>
    <w:rsid w:val="733338A7"/>
    <w:rsid w:val="738F426F"/>
    <w:rsid w:val="73AB61DA"/>
    <w:rsid w:val="73AD73D5"/>
    <w:rsid w:val="73B6EB34"/>
    <w:rsid w:val="73FA497D"/>
    <w:rsid w:val="742B19B4"/>
    <w:rsid w:val="744731E5"/>
    <w:rsid w:val="74547EF0"/>
    <w:rsid w:val="74853F0B"/>
    <w:rsid w:val="74BBD01D"/>
    <w:rsid w:val="74ED5379"/>
    <w:rsid w:val="75DEEEC2"/>
    <w:rsid w:val="75E32345"/>
    <w:rsid w:val="75FE74CD"/>
    <w:rsid w:val="76A85126"/>
    <w:rsid w:val="76CF4057"/>
    <w:rsid w:val="76E3355F"/>
    <w:rsid w:val="76FD4A40"/>
    <w:rsid w:val="76FF5125"/>
    <w:rsid w:val="776F6FFA"/>
    <w:rsid w:val="778769C8"/>
    <w:rsid w:val="77A75DCA"/>
    <w:rsid w:val="77DC22F5"/>
    <w:rsid w:val="78236681"/>
    <w:rsid w:val="783E271A"/>
    <w:rsid w:val="78616DE9"/>
    <w:rsid w:val="7876123C"/>
    <w:rsid w:val="78CA1E86"/>
    <w:rsid w:val="78E875D7"/>
    <w:rsid w:val="79086DAD"/>
    <w:rsid w:val="79BF2595"/>
    <w:rsid w:val="79D7FD79"/>
    <w:rsid w:val="79EE5BA4"/>
    <w:rsid w:val="7A4E6AB5"/>
    <w:rsid w:val="7A664E53"/>
    <w:rsid w:val="7A7E6768"/>
    <w:rsid w:val="7A894339"/>
    <w:rsid w:val="7AD284E8"/>
    <w:rsid w:val="7AFF7572"/>
    <w:rsid w:val="7B447978"/>
    <w:rsid w:val="7B6C7DFB"/>
    <w:rsid w:val="7BB00C9D"/>
    <w:rsid w:val="7BBFBED0"/>
    <w:rsid w:val="7BC3E394"/>
    <w:rsid w:val="7C1F3737"/>
    <w:rsid w:val="7CA87D42"/>
    <w:rsid w:val="7CBFC87B"/>
    <w:rsid w:val="7CFE0F48"/>
    <w:rsid w:val="7D272ABC"/>
    <w:rsid w:val="7D273E64"/>
    <w:rsid w:val="7D7EC23E"/>
    <w:rsid w:val="7E8ADEBF"/>
    <w:rsid w:val="7EEF11D3"/>
    <w:rsid w:val="7EF70770"/>
    <w:rsid w:val="7EFE4840"/>
    <w:rsid w:val="7F0971A6"/>
    <w:rsid w:val="7F1D62E7"/>
    <w:rsid w:val="7F3F679B"/>
    <w:rsid w:val="7F4FC4EF"/>
    <w:rsid w:val="7F5E4D54"/>
    <w:rsid w:val="7F6E0135"/>
    <w:rsid w:val="7F79F205"/>
    <w:rsid w:val="7FA30C79"/>
    <w:rsid w:val="7FA79C44"/>
    <w:rsid w:val="7FAF8ABF"/>
    <w:rsid w:val="7FB7269E"/>
    <w:rsid w:val="7FC6747F"/>
    <w:rsid w:val="7FC96657"/>
    <w:rsid w:val="7FDA9588"/>
    <w:rsid w:val="7FDF220F"/>
    <w:rsid w:val="7FEDC5F7"/>
    <w:rsid w:val="7FEDD9DE"/>
    <w:rsid w:val="7FF32CE5"/>
    <w:rsid w:val="7FF5890D"/>
    <w:rsid w:val="7FF93490"/>
    <w:rsid w:val="7FFA4074"/>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autoRedefine/>
    <w:unhideWhenUsed/>
    <w:qFormat/>
    <w:uiPriority w:val="9"/>
    <w:pPr>
      <w:keepNext/>
      <w:keepLines/>
      <w:spacing w:before="260" w:after="260" w:line="416" w:lineRule="auto"/>
      <w:outlineLvl w:val="2"/>
    </w:pPr>
    <w:rPr>
      <w:b/>
      <w:bCs/>
      <w:sz w:val="32"/>
      <w:szCs w:val="32"/>
    </w:rPr>
  </w:style>
  <w:style w:type="character" w:default="1" w:styleId="21">
    <w:name w:val="Default Paragraph Font"/>
    <w:autoRedefine/>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首行缩进 21"/>
    <w:basedOn w:val="1"/>
    <w:qFormat/>
    <w:uiPriority w:val="0"/>
    <w:pPr>
      <w:spacing w:line="540" w:lineRule="exact"/>
      <w:ind w:firstLine="200" w:firstLineChars="200"/>
      <w:textAlignment w:val="baseline"/>
    </w:pPr>
    <w:rPr>
      <w:kern w:val="0"/>
      <w:szCs w:val="32"/>
    </w:rPr>
  </w:style>
  <w:style w:type="paragraph" w:styleId="6">
    <w:name w:val="index 8"/>
    <w:basedOn w:val="1"/>
    <w:next w:val="1"/>
    <w:qFormat/>
    <w:uiPriority w:val="0"/>
    <w:pPr>
      <w:ind w:left="2940"/>
    </w:pPr>
    <w:rPr>
      <w:rFonts w:ascii="Times New Roman" w:hAnsi="Times New Roman" w:eastAsia="宋体" w:cs="Times New Roman"/>
    </w:rPr>
  </w:style>
  <w:style w:type="paragraph" w:styleId="7">
    <w:name w:val="Salutation"/>
    <w:basedOn w:val="1"/>
    <w:next w:val="1"/>
    <w:qFormat/>
    <w:uiPriority w:val="0"/>
    <w:rPr>
      <w:rFonts w:ascii="等线" w:eastAsia="等线"/>
      <w:kern w:val="2"/>
      <w:szCs w:val="22"/>
    </w:rPr>
  </w:style>
  <w:style w:type="paragraph" w:styleId="8">
    <w:name w:val="Body Text"/>
    <w:basedOn w:val="1"/>
    <w:link w:val="31"/>
    <w:autoRedefine/>
    <w:qFormat/>
    <w:uiPriority w:val="99"/>
    <w:pPr>
      <w:spacing w:beforeLines="30"/>
    </w:pPr>
    <w:rPr>
      <w:rFonts w:ascii="仿宋_GB2312" w:eastAsia="仿宋_GB2312"/>
      <w:kern w:val="0"/>
      <w:sz w:val="30"/>
    </w:rPr>
  </w:style>
  <w:style w:type="paragraph" w:styleId="9">
    <w:name w:val="Body Text Indent"/>
    <w:basedOn w:val="1"/>
    <w:next w:val="10"/>
    <w:autoRedefine/>
    <w:qFormat/>
    <w:uiPriority w:val="0"/>
    <w:pPr>
      <w:spacing w:after="120"/>
      <w:ind w:leftChars="200"/>
    </w:pPr>
    <w:rPr>
      <w:rFonts w:ascii="仿宋_GB2312"/>
      <w:szCs w:val="32"/>
    </w:rPr>
  </w:style>
  <w:style w:type="paragraph" w:styleId="10">
    <w:name w:val="Body Text First Indent 2"/>
    <w:basedOn w:val="9"/>
    <w:next w:val="11"/>
    <w:autoRedefine/>
    <w:unhideWhenUsed/>
    <w:qFormat/>
    <w:uiPriority w:val="99"/>
    <w:pPr>
      <w:ind w:firstLine="420" w:firstLineChars="200"/>
    </w:pPr>
  </w:style>
  <w:style w:type="paragraph" w:styleId="11">
    <w:name w:val="Plain Text"/>
    <w:basedOn w:val="1"/>
    <w:autoRedefine/>
    <w:unhideWhenUsed/>
    <w:qFormat/>
    <w:uiPriority w:val="99"/>
    <w:rPr>
      <w:rFonts w:ascii="宋体" w:hAnsi="Courier New"/>
    </w:rPr>
  </w:style>
  <w:style w:type="paragraph" w:styleId="12">
    <w:name w:val="toc 3"/>
    <w:basedOn w:val="1"/>
    <w:next w:val="1"/>
    <w:autoRedefine/>
    <w:unhideWhenUsed/>
    <w:qFormat/>
    <w:uiPriority w:val="39"/>
    <w:pPr>
      <w:tabs>
        <w:tab w:val="right" w:leader="dot" w:pos="8296"/>
      </w:tabs>
      <w:ind w:left="840" w:leftChars="400"/>
    </w:pPr>
  </w:style>
  <w:style w:type="paragraph" w:styleId="13">
    <w:name w:val="Balloon Text"/>
    <w:basedOn w:val="1"/>
    <w:link w:val="37"/>
    <w:autoRedefine/>
    <w:semiHidden/>
    <w:unhideWhenUsed/>
    <w:qFormat/>
    <w:uiPriority w:val="99"/>
    <w:rPr>
      <w:sz w:val="18"/>
      <w:szCs w:val="18"/>
    </w:rPr>
  </w:style>
  <w:style w:type="paragraph" w:styleId="14">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7"/>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7">
    <w:name w:val="footnote text"/>
    <w:basedOn w:val="1"/>
    <w:next w:val="10"/>
    <w:autoRedefine/>
    <w:semiHidden/>
    <w:qFormat/>
    <w:uiPriority w:val="0"/>
    <w:pPr>
      <w:snapToGrid w:val="0"/>
      <w:jc w:val="left"/>
    </w:pPr>
    <w:rPr>
      <w:sz w:val="18"/>
      <w:szCs w:val="18"/>
    </w:rPr>
  </w:style>
  <w:style w:type="paragraph" w:styleId="18">
    <w:name w:val="toc 2"/>
    <w:basedOn w:val="1"/>
    <w:next w:val="1"/>
    <w:autoRedefine/>
    <w:unhideWhenUsed/>
    <w:qFormat/>
    <w:uiPriority w:val="39"/>
    <w:pPr>
      <w:tabs>
        <w:tab w:val="right" w:leader="dot" w:pos="8296"/>
      </w:tabs>
      <w:ind w:left="420" w:leftChars="200"/>
    </w:pPr>
  </w:style>
  <w:style w:type="paragraph" w:styleId="19">
    <w:name w:val="Normal (Web)"/>
    <w:basedOn w:val="1"/>
    <w:autoRedefine/>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22">
    <w:name w:val="Strong"/>
    <w:basedOn w:val="21"/>
    <w:autoRedefine/>
    <w:qFormat/>
    <w:uiPriority w:val="99"/>
    <w:rPr>
      <w:b/>
    </w:rPr>
  </w:style>
  <w:style w:type="character" w:styleId="23">
    <w:name w:val="Hyperlink"/>
    <w:basedOn w:val="21"/>
    <w:autoRedefine/>
    <w:unhideWhenUsed/>
    <w:qFormat/>
    <w:uiPriority w:val="99"/>
    <w:rPr>
      <w:color w:val="0000FF" w:themeColor="hyperlink"/>
      <w:u w:val="single"/>
      <w14:textFill>
        <w14:solidFill>
          <w14:schemeClr w14:val="hlink"/>
        </w14:solidFill>
      </w14:textFill>
    </w:rPr>
  </w:style>
  <w:style w:type="paragraph" w:customStyle="1" w:styleId="24">
    <w:name w:val="UserStyle_0"/>
    <w:basedOn w:val="1"/>
    <w:next w:val="1"/>
    <w:qFormat/>
    <w:uiPriority w:val="0"/>
    <w:pPr>
      <w:ind w:left="400" w:leftChars="200" w:hanging="200" w:hangingChars="200"/>
      <w:jc w:val="both"/>
      <w:textAlignment w:val="baseline"/>
    </w:pPr>
  </w:style>
  <w:style w:type="paragraph" w:customStyle="1" w:styleId="25">
    <w:name w:val="标题 5（有编号）（绿盟科技）"/>
    <w:next w:val="1"/>
    <w:autoRedefine/>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6">
    <w:name w:val="Header Char"/>
    <w:basedOn w:val="21"/>
    <w:autoRedefine/>
    <w:semiHidden/>
    <w:qFormat/>
    <w:uiPriority w:val="99"/>
    <w:rPr>
      <w:rFonts w:ascii="Times New Roman" w:hAnsi="Times New Roman"/>
      <w:sz w:val="18"/>
      <w:szCs w:val="18"/>
    </w:rPr>
  </w:style>
  <w:style w:type="character" w:customStyle="1" w:styleId="27">
    <w:name w:val="页眉 Char"/>
    <w:link w:val="15"/>
    <w:autoRedefine/>
    <w:semiHidden/>
    <w:qFormat/>
    <w:locked/>
    <w:uiPriority w:val="99"/>
    <w:rPr>
      <w:sz w:val="18"/>
    </w:rPr>
  </w:style>
  <w:style w:type="character" w:customStyle="1" w:styleId="28">
    <w:name w:val="Footer Char"/>
    <w:basedOn w:val="21"/>
    <w:autoRedefine/>
    <w:semiHidden/>
    <w:qFormat/>
    <w:uiPriority w:val="99"/>
    <w:rPr>
      <w:rFonts w:ascii="Times New Roman" w:hAnsi="Times New Roman"/>
      <w:sz w:val="18"/>
      <w:szCs w:val="18"/>
    </w:rPr>
  </w:style>
  <w:style w:type="character" w:customStyle="1" w:styleId="29">
    <w:name w:val="页脚 Char"/>
    <w:link w:val="14"/>
    <w:autoRedefine/>
    <w:qFormat/>
    <w:locked/>
    <w:uiPriority w:val="99"/>
    <w:rPr>
      <w:sz w:val="18"/>
    </w:rPr>
  </w:style>
  <w:style w:type="character" w:customStyle="1" w:styleId="30">
    <w:name w:val="Body Text Char"/>
    <w:basedOn w:val="21"/>
    <w:autoRedefine/>
    <w:semiHidden/>
    <w:qFormat/>
    <w:uiPriority w:val="99"/>
    <w:rPr>
      <w:rFonts w:ascii="Times New Roman" w:hAnsi="Times New Roman"/>
      <w:szCs w:val="24"/>
    </w:rPr>
  </w:style>
  <w:style w:type="character" w:customStyle="1" w:styleId="31">
    <w:name w:val="正文文本 Char"/>
    <w:link w:val="8"/>
    <w:autoRedefine/>
    <w:qFormat/>
    <w:locked/>
    <w:uiPriority w:val="99"/>
    <w:rPr>
      <w:rFonts w:ascii="仿宋_GB2312" w:hAnsi="Times New Roman" w:eastAsia="仿宋_GB2312"/>
      <w:sz w:val="24"/>
    </w:rPr>
  </w:style>
  <w:style w:type="paragraph" w:customStyle="1" w:styleId="32">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3">
    <w:name w:val="List Paragraph"/>
    <w:basedOn w:val="1"/>
    <w:autoRedefine/>
    <w:qFormat/>
    <w:uiPriority w:val="34"/>
    <w:pPr>
      <w:ind w:firstLine="420" w:firstLineChars="200"/>
    </w:pPr>
  </w:style>
  <w:style w:type="character" w:customStyle="1" w:styleId="34">
    <w:name w:val="标题 1 Char"/>
    <w:basedOn w:val="21"/>
    <w:link w:val="3"/>
    <w:autoRedefine/>
    <w:qFormat/>
    <w:uiPriority w:val="9"/>
    <w:rPr>
      <w:rFonts w:ascii="Times New Roman" w:hAnsi="Times New Roman"/>
      <w:b/>
      <w:bCs/>
      <w:kern w:val="44"/>
      <w:sz w:val="44"/>
      <w:szCs w:val="44"/>
    </w:rPr>
  </w:style>
  <w:style w:type="character" w:customStyle="1" w:styleId="35">
    <w:name w:val="标题 2 Char"/>
    <w:basedOn w:val="21"/>
    <w:link w:val="4"/>
    <w:autoRedefine/>
    <w:qFormat/>
    <w:uiPriority w:val="9"/>
    <w:rPr>
      <w:rFonts w:asciiTheme="majorHAnsi" w:hAnsiTheme="majorHAnsi" w:eastAsiaTheme="majorEastAsia" w:cstheme="majorBidi"/>
      <w:b/>
      <w:bCs/>
      <w:kern w:val="2"/>
      <w:sz w:val="32"/>
      <w:szCs w:val="32"/>
    </w:rPr>
  </w:style>
  <w:style w:type="paragraph" w:customStyle="1" w:styleId="36">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Char"/>
    <w:basedOn w:val="21"/>
    <w:link w:val="13"/>
    <w:autoRedefine/>
    <w:semiHidden/>
    <w:qFormat/>
    <w:uiPriority w:val="99"/>
    <w:rPr>
      <w:rFonts w:ascii="Times New Roman" w:hAnsi="Times New Roman"/>
      <w:kern w:val="2"/>
      <w:sz w:val="18"/>
      <w:szCs w:val="18"/>
    </w:rPr>
  </w:style>
  <w:style w:type="character" w:customStyle="1" w:styleId="38">
    <w:name w:val="标题 3 Char"/>
    <w:basedOn w:val="21"/>
    <w:link w:val="5"/>
    <w:autoRedefine/>
    <w:qFormat/>
    <w:uiPriority w:val="9"/>
    <w:rPr>
      <w:rFonts w:ascii="Times New Roman" w:hAnsi="Times New Roman"/>
      <w:b/>
      <w:bCs/>
      <w:kern w:val="2"/>
      <w:sz w:val="32"/>
      <w:szCs w:val="32"/>
    </w:rPr>
  </w:style>
  <w:style w:type="paragraph" w:customStyle="1" w:styleId="39">
    <w:name w:val="TOC Heading"/>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0">
    <w:name w:val="四号正文"/>
    <w:basedOn w:val="1"/>
    <w:autoRedefine/>
    <w:qFormat/>
    <w:uiPriority w:val="0"/>
    <w:pPr>
      <w:spacing w:line="360" w:lineRule="auto"/>
    </w:pPr>
    <w:rPr>
      <w:rFonts w:ascii="??" w:hAnsi="??" w:eastAsia="宋体"/>
      <w:color w:val="000000"/>
      <w:kern w:val="0"/>
      <w:sz w:val="28"/>
      <w:szCs w:val="21"/>
      <w:lang w:val="zh-CN" w:eastAsia="zh-CN"/>
    </w:rPr>
  </w:style>
  <w:style w:type="character" w:customStyle="1" w:styleId="41">
    <w:name w:val="Heading 2 Char"/>
    <w:basedOn w:val="21"/>
    <w:link w:val="4"/>
    <w:qFormat/>
    <w:locked/>
    <w:uiPriority w:val="99"/>
    <w:rPr>
      <w:rFonts w:ascii="Cambria" w:hAnsi="Cambria"/>
      <w:b/>
      <w:bCs/>
      <w:sz w:val="32"/>
      <w:szCs w:val="32"/>
    </w:rPr>
  </w:style>
  <w:style w:type="paragraph" w:customStyle="1" w:styleId="42">
    <w:name w:val="称呼1"/>
    <w:basedOn w:val="1"/>
    <w:next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5.xml"/><Relationship Id="rId18" Type="http://schemas.openxmlformats.org/officeDocument/2006/relationships/chart" Target="charts/chart4.xml"/><Relationship Id="rId17" Type="http://schemas.openxmlformats.org/officeDocument/2006/relationships/chart" Target="charts/chart3.xml"/><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chart" Target="charts/chart2.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收支上下年变动情况表</a:t>
            </a:r>
          </a:p>
        </c:rich>
      </c:tx>
      <c:layout/>
      <c:overlay val="0"/>
      <c:spPr>
        <a:noFill/>
        <a:ln>
          <a:noFill/>
        </a:ln>
        <a:effectLst/>
      </c:spPr>
    </c:title>
    <c:autoTitleDeleted val="0"/>
    <c:plotArea>
      <c:layout>
        <c:manualLayout>
          <c:layoutTarget val="inner"/>
          <c:xMode val="edge"/>
          <c:yMode val="edge"/>
          <c:x val="0.0984422724496029"/>
          <c:y val="0.175035868005739"/>
          <c:w val="0.870250458155162"/>
          <c:h val="0.593830703012913"/>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1106.28</c:v>
                </c:pt>
                <c:pt idx="1">
                  <c:v>1106.28</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1808.16</c:v>
                </c:pt>
                <c:pt idx="1">
                  <c:v>1808.16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9008237"/>
        <c:axId val="400394024"/>
      </c:barChart>
      <c:catAx>
        <c:axId val="5790082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394024"/>
        <c:crosses val="autoZero"/>
        <c:auto val="1"/>
        <c:lblAlgn val="ctr"/>
        <c:lblOffset val="100"/>
        <c:noMultiLvlLbl val="0"/>
      </c:catAx>
      <c:valAx>
        <c:axId val="400394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008237"/>
        <c:crosses val="autoZero"/>
        <c:crossBetween val="between"/>
      </c:valAx>
      <c:spPr>
        <a:noFill/>
        <a:ln>
          <a:noFill/>
        </a:ln>
        <a:effectLst/>
      </c:spPr>
    </c:plotArea>
    <c:legend>
      <c:legendPos val="b"/>
      <c:legendEntry>
        <c:idx val="2"/>
        <c:delete val="1"/>
      </c:legendEntry>
      <c:layout>
        <c:manualLayout>
          <c:xMode val="edge"/>
          <c:yMode val="edge"/>
          <c:x val="0.374236408063531"/>
          <c:y val="0.89120038259206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48a32f1-b7df-4cd2-903f-193539fd6b1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4814432572163"/>
          <c:y val="0.00874125874125874"/>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
                  <c:y val="-0.00318742031449214"/>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基本支出</a:t>
                    </a:r>
                  </a:p>
                  <a:p>
                    <a:pPr defTabSz="914400">
                      <a:defRPr lang="zh-CN" sz="1000" b="1" i="0" u="none" strike="noStrike" kern="1200" spc="0" baseline="0">
                        <a:solidFill>
                          <a:schemeClr val="accent1"/>
                        </a:solidFill>
                        <a:latin typeface="+mn-lt"/>
                        <a:ea typeface="+mn-ea"/>
                        <a:cs typeface="+mn-cs"/>
                      </a:defRPr>
                    </a:pPr>
                    <a:r>
                      <a:rPr lang="en-US" altLang="zh-CN"/>
                      <a:t>356.31</a:t>
                    </a:r>
                    <a:r>
                      <a:rPr altLang="en-US"/>
                      <a:t>万元</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
                  <c:y val="-0.00637484062898428"/>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项目支出</a:t>
                    </a:r>
                  </a:p>
                  <a:p>
                    <a:pPr defTabSz="914400">
                      <a:defRPr lang="zh-CN" sz="1000" b="1" i="0" u="none" strike="noStrike" kern="1200" spc="0" baseline="0">
                        <a:solidFill>
                          <a:schemeClr val="accent2"/>
                        </a:solidFill>
                        <a:latin typeface="+mn-lt"/>
                        <a:ea typeface="+mn-ea"/>
                        <a:cs typeface="+mn-cs"/>
                      </a:defRPr>
                    </a:pPr>
                    <a:r>
                      <a:rPr lang="en-US" altLang="zh-CN"/>
                      <a:t>1451.85</a:t>
                    </a:r>
                    <a:r>
                      <a:rPr altLang="en-US"/>
                      <a:t>万元</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356.31</c:v>
                </c:pt>
                <c:pt idx="1">
                  <c:v>1451.85</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6f93cba4-3823-4eb0-b79c-f5f6e0287d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1713.16</c:v>
                </c:pt>
                <c:pt idx="1">
                  <c:v>48.66</c:v>
                </c:pt>
                <c:pt idx="2">
                  <c:v>17.3</c:v>
                </c:pt>
                <c:pt idx="3">
                  <c:v>26.61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07f2e8-216f-4927-abc1-219b60365b0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1715.59</c:v>
                </c:pt>
                <c:pt idx="1">
                  <c:v>48.66</c:v>
                </c:pt>
                <c:pt idx="2">
                  <c:v>17.3</c:v>
                </c:pt>
                <c:pt idx="3">
                  <c:v>26.6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6099005210801"/>
          <c:y val="0.92945977458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8b6f848-b642-410b-b847-8d0d7c0cc8c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9083890890376"/>
          <c:y val="0.0278810408921933"/>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Lbls>
            <c:dLbl>
              <c:idx val="0"/>
              <c:layout>
                <c:manualLayout>
                  <c:x val="-0.00532466221712997"/>
                  <c:y val="0.062706880684577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公务接待</a:t>
                    </a:r>
                  </a:p>
                  <a:p>
                    <a:pPr defTabSz="914400">
                      <a:defRPr lang="zh-CN" sz="1000" b="0" i="0" u="none" strike="noStrike" kern="1200" baseline="0">
                        <a:solidFill>
                          <a:schemeClr val="dk1">
                            <a:lumMod val="75000"/>
                            <a:lumOff val="25000"/>
                          </a:schemeClr>
                        </a:solidFill>
                        <a:latin typeface="+mn-lt"/>
                        <a:ea typeface="+mn-ea"/>
                        <a:cs typeface="+mn-cs"/>
                      </a:defRPr>
                    </a:pPr>
                    <a:r>
                      <a:t>2.63%</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200948529701924"/>
                  <c:y val="-0.26584017640717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公务车运行维护费97.37%</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214745239320638"/>
                      <c:h val="0.195432819968136"/>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公务接待</c:v>
                </c:pt>
                <c:pt idx="1">
                  <c:v>公务用车运行维护</c:v>
                </c:pt>
              </c:strCache>
            </c:strRef>
          </c:cat>
          <c:val>
            <c:numRef>
              <c:f>Sheet1!$B$2:$B$3</c:f>
              <c:numCache>
                <c:formatCode>General</c:formatCode>
                <c:ptCount val="2"/>
                <c:pt idx="0">
                  <c:v>0.3</c:v>
                </c:pt>
                <c:pt idx="1">
                  <c:v>11.12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a3ce43-ff68-40ce-af93-997aa29d65cc}"/>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9">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55</Pages>
  <Words>7953</Words>
  <Characters>8994</Characters>
  <Lines>61</Lines>
  <Paragraphs>17</Paragraphs>
  <TotalTime>1</TotalTime>
  <ScaleCrop>false</ScaleCrop>
  <LinksUpToDate>false</LinksUpToDate>
  <CharactersWithSpaces>9100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Mr.L</cp:lastModifiedBy>
  <cp:lastPrinted>2025-08-06T17:34:00Z</cp:lastPrinted>
  <dcterms:modified xsi:type="dcterms:W3CDTF">2025-09-29T02:13:07Z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0DD623E8816A474D8BAFBDF78C55400F_13</vt:lpwstr>
  </property>
  <property fmtid="{D5CDD505-2E9C-101B-9397-08002B2CF9AE}" pid="4" name="KSOTemplateDocerSaveRecord">
    <vt:lpwstr>eyJoZGlkIjoiMmEzMWZlMzAwNjgyNzQzOGE1YTI5YmJlNDE4NDk5Y2UiLCJ1c2VySWQiOiIxMDQyNjI3MDE1In0=</vt:lpwstr>
  </property>
</Properties>
</file>