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BAAA5C">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jc w:val="center"/>
        <w:textAlignment w:val="auto"/>
        <w:rPr>
          <w:rStyle w:val="22"/>
          <w:rFonts w:hint="eastAsia" w:ascii="方正小标宋简体" w:hAnsi="方正小标宋简体" w:eastAsia="方正小标宋简体" w:cs="方正小标宋简体"/>
          <w:b w:val="0"/>
          <w:bCs/>
          <w:sz w:val="44"/>
          <w:szCs w:val="44"/>
          <w:shd w:val="clear" w:color="auto" w:fill="FFFFFF"/>
        </w:rPr>
      </w:pPr>
      <w:r>
        <w:rPr>
          <w:rStyle w:val="22"/>
          <w:rFonts w:hint="eastAsia" w:ascii="方正小标宋简体" w:hAnsi="方正小标宋简体" w:eastAsia="方正小标宋简体" w:cs="方正小标宋简体"/>
          <w:b w:val="0"/>
          <w:bCs/>
          <w:sz w:val="44"/>
          <w:szCs w:val="44"/>
          <w:shd w:val="clear" w:color="auto" w:fill="FFFFFF"/>
        </w:rPr>
        <w:t>阿坝州红原县供销合作社联合社</w:t>
      </w:r>
    </w:p>
    <w:p w14:paraId="1A0100A9">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jc w:val="center"/>
        <w:textAlignment w:val="auto"/>
        <w:rPr>
          <w:rStyle w:val="22"/>
          <w:rFonts w:hint="eastAsia" w:ascii="方正小标宋简体" w:hAnsi="方正小标宋简体" w:eastAsia="方正小标宋简体" w:cs="方正小标宋简体"/>
          <w:b w:val="0"/>
          <w:bCs/>
          <w:sz w:val="44"/>
          <w:szCs w:val="44"/>
          <w:shd w:val="clear" w:color="auto" w:fill="FFFFFF"/>
        </w:rPr>
      </w:pPr>
      <w:r>
        <w:rPr>
          <w:rStyle w:val="22"/>
          <w:rFonts w:hint="eastAsia" w:ascii="方正小标宋简体" w:hAnsi="方正小标宋简体" w:eastAsia="方正小标宋简体" w:cs="方正小标宋简体"/>
          <w:b w:val="0"/>
          <w:bCs/>
          <w:sz w:val="44"/>
          <w:szCs w:val="44"/>
          <w:shd w:val="clear" w:color="auto" w:fill="FFFFFF"/>
        </w:rPr>
        <w:t>2024年度部门决算分析报告</w:t>
      </w:r>
    </w:p>
    <w:p w14:paraId="7CF47BD5">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jc w:val="center"/>
        <w:textAlignment w:val="auto"/>
        <w:rPr>
          <w:rFonts w:hint="default" w:cs="宋体"/>
          <w:b w:val="0"/>
          <w:bCs/>
          <w:sz w:val="44"/>
          <w:szCs w:val="44"/>
        </w:rPr>
      </w:pPr>
    </w:p>
    <w:p w14:paraId="55C26584">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黑体" w:hAnsi="黑体" w:eastAsia="黑体" w:cs="黑体"/>
          <w:sz w:val="32"/>
          <w:szCs w:val="32"/>
          <w:shd w:val="clear" w:color="auto" w:fill="FFFFFF"/>
        </w:rPr>
      </w:pPr>
      <w:r>
        <w:rPr>
          <w:rFonts w:ascii="黑体" w:hAnsi="黑体" w:eastAsia="黑体" w:cs="黑体"/>
          <w:sz w:val="32"/>
          <w:szCs w:val="32"/>
          <w:shd w:val="clear" w:color="auto" w:fill="FFFFFF"/>
        </w:rPr>
        <w:t>一、部门情况</w:t>
      </w:r>
    </w:p>
    <w:p w14:paraId="53D90ABF">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Style w:val="22"/>
          <w:rFonts w:hint="eastAsia" w:ascii="楷体_GB2312" w:hAnsi="楷体_GB2312" w:eastAsia="楷体_GB2312" w:cs="楷体_GB2312"/>
          <w:sz w:val="32"/>
          <w:szCs w:val="32"/>
          <w:shd w:val="clear" w:color="auto" w:fill="FFFFFF"/>
        </w:rPr>
      </w:pPr>
      <w:r>
        <w:rPr>
          <w:rStyle w:val="22"/>
          <w:rFonts w:hint="eastAsia" w:ascii="楷体_GB2312" w:hAnsi="楷体_GB2312" w:eastAsia="楷体_GB2312" w:cs="楷体_GB2312"/>
          <w:sz w:val="32"/>
          <w:szCs w:val="32"/>
          <w:shd w:val="clear" w:color="auto" w:fill="FFFFFF"/>
        </w:rPr>
        <w:t>（一）基本情况</w:t>
      </w:r>
    </w:p>
    <w:p w14:paraId="535F0F3F">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1．主要职能</w:t>
      </w:r>
    </w:p>
    <w:p w14:paraId="58495B1F">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红原供销社作为县人民政府的直属参公事业单位，其主要职能和职责是；宣传贯彻党中央、国务院、省委、省政府、州委、州政府和县委、县政府有关农（牧）业、农村经济工作和社会发展的方针、政策；监督管理社有资产，确保社有资产的保值，增值、对直属企业行使出资人的职权，依法享有资产受益、重大决策和选择经营管理者等权利；负责农资和烟花爆竹市场的规范和管理工作；按照州供销社综合改革工作安排，扎实开展红原县供销合作社综合改革试点工作，承担县政府交办的其他事项。</w:t>
      </w:r>
    </w:p>
    <w:p w14:paraId="15F11568">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2.本部门本年度纳入本套决算编制范围的独立编制机构数共1个，比上年增加0个，独立核算机构数共1个，比上年增加0个，无变动。</w:t>
      </w:r>
    </w:p>
    <w:p w14:paraId="5713A33B">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3.本部门本年度年末实有人数为6人，比上年减少1人；年末实有离退休人数为16人，比上年减少1人；年末遗属人数为1人，比上年增加1人。</w:t>
      </w:r>
    </w:p>
    <w:p w14:paraId="0AB513BC">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Style w:val="22"/>
          <w:rFonts w:hint="eastAsia" w:ascii="楷体_GB2312" w:hAnsi="楷体_GB2312" w:eastAsia="楷体_GB2312" w:cs="楷体_GB2312"/>
          <w:sz w:val="32"/>
          <w:szCs w:val="32"/>
          <w:shd w:val="clear" w:color="auto" w:fill="FFFFFF"/>
        </w:rPr>
      </w:pPr>
      <w:r>
        <w:rPr>
          <w:rStyle w:val="22"/>
          <w:rFonts w:hint="eastAsia" w:ascii="楷体_GB2312" w:hAnsi="楷体_GB2312" w:eastAsia="楷体_GB2312" w:cs="楷体_GB2312"/>
          <w:sz w:val="32"/>
          <w:szCs w:val="32"/>
          <w:shd w:val="clear" w:color="auto" w:fill="FFFFFF"/>
        </w:rPr>
        <w:t>（二）当年取得的主要事业成效</w:t>
      </w:r>
    </w:p>
    <w:p w14:paraId="4692E633">
      <w:pPr>
        <w:keepNext w:val="0"/>
        <w:keepLines w:val="0"/>
        <w:pageBreakBefore w:val="0"/>
        <w:numPr>
          <w:ilvl w:val="0"/>
          <w:numId w:val="1"/>
        </w:numPr>
        <w:kinsoku/>
        <w:wordWrap/>
        <w:overflowPunct w:val="0"/>
        <w:topLinePunct w:val="0"/>
        <w:autoSpaceDE/>
        <w:autoSpaceDN/>
        <w:bidi w:val="0"/>
        <w:adjustRightInd/>
        <w:snapToGrid/>
        <w:spacing w:line="576" w:lineRule="exact"/>
        <w:ind w:left="0" w:leftChars="0" w:firstLine="640" w:firstLineChars="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全面深化供销合作社改革工作。</w:t>
      </w:r>
      <w:r>
        <w:rPr>
          <w:rFonts w:hint="eastAsia" w:ascii="仿宋_GB2312" w:hAnsi="仿宋_GB2312" w:eastAsia="仿宋_GB2312" w:cs="仿宋_GB2312"/>
          <w:color w:val="000000"/>
          <w:sz w:val="32"/>
          <w:szCs w:val="32"/>
          <w:lang w:val="en-US" w:eastAsia="zh-CN"/>
        </w:rPr>
        <w:t>健全县供销社系统三会机制（理事会、监事会、社员代表会）。目前只建立理事会，</w:t>
      </w:r>
      <w:r>
        <w:rPr>
          <w:rFonts w:hint="eastAsia" w:ascii="仿宋_GB2312" w:hAnsi="仿宋_GB2312" w:eastAsia="仿宋_GB2312" w:cs="仿宋_GB2312"/>
          <w:sz w:val="32"/>
          <w:szCs w:val="32"/>
          <w:lang w:val="en-US" w:eastAsia="zh-CN"/>
        </w:rPr>
        <w:t>县供销社于2024年6月19日向县委组织部和县委编办申请设立供销社监事会及监事会办公室，目前正积极对接落实；</w:t>
      </w:r>
      <w:r>
        <w:rPr>
          <w:rFonts w:hint="eastAsia" w:ascii="仿宋_GB2312" w:hAnsi="仿宋_GB2312" w:eastAsia="仿宋_GB2312" w:cs="仿宋_GB2312"/>
          <w:color w:val="000000"/>
          <w:sz w:val="32"/>
          <w:szCs w:val="32"/>
          <w:lang w:val="en-US" w:eastAsia="zh-CN"/>
        </w:rPr>
        <w:t>建立县级为农服务平台，整合全县农特产品，提高优质农特产品供给质量和效益，拓展农特产品销售渠道。目前服务红原县农特产品供销中心已搭建完成，并具体由社有资产公司经营管理，各项工作有效开展。</w:t>
      </w:r>
    </w:p>
    <w:p w14:paraId="659A2300">
      <w:pPr>
        <w:keepNext w:val="0"/>
        <w:keepLines w:val="0"/>
        <w:pageBreakBefore w:val="0"/>
        <w:numPr>
          <w:ilvl w:val="0"/>
          <w:numId w:val="1"/>
        </w:numPr>
        <w:kinsoku/>
        <w:wordWrap/>
        <w:overflowPunct w:val="0"/>
        <w:topLinePunct w:val="0"/>
        <w:autoSpaceDE/>
        <w:autoSpaceDN/>
        <w:bidi w:val="0"/>
        <w:adjustRightInd/>
        <w:snapToGrid/>
        <w:spacing w:line="576" w:lineRule="exact"/>
        <w:ind w:left="0" w:leftChars="0" w:firstLine="640" w:firstLineChars="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抓好重点工作，推动高水平发展。</w:t>
      </w:r>
      <w:r>
        <w:rPr>
          <w:rFonts w:hint="eastAsia" w:ascii="仿宋_GB2312" w:hAnsi="仿宋_GB2312" w:eastAsia="仿宋_GB2312" w:cs="仿宋_GB2312"/>
          <w:color w:val="000000"/>
          <w:sz w:val="32"/>
          <w:szCs w:val="32"/>
          <w:lang w:val="en-US" w:eastAsia="zh-CN"/>
        </w:rPr>
        <w:t>1.城乡环境质量提升；安全生产党政同责；食品安全党政同责。按照县委政府安排部署有序推进。2.托底性帮扶工作。完成平台建设任务，主动积极对接协调帮扶单位（人保、绵阳、浙江，中信城开）任务。按照要求均在积极对接推进中，截止目前销售产品1000余万元。</w:t>
      </w:r>
    </w:p>
    <w:p w14:paraId="30BC8B27">
      <w:pPr>
        <w:keepNext w:val="0"/>
        <w:keepLines w:val="0"/>
        <w:pageBreakBefore w:val="0"/>
        <w:numPr>
          <w:ilvl w:val="0"/>
          <w:numId w:val="1"/>
        </w:numPr>
        <w:kinsoku/>
        <w:wordWrap/>
        <w:overflowPunct w:val="0"/>
        <w:topLinePunct w:val="0"/>
        <w:autoSpaceDE/>
        <w:autoSpaceDN/>
        <w:bidi w:val="0"/>
        <w:adjustRightInd/>
        <w:snapToGrid/>
        <w:spacing w:line="576" w:lineRule="exact"/>
        <w:ind w:left="0" w:leftChars="0" w:firstLine="640" w:firstLineChars="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项目工作。</w:t>
      </w:r>
      <w:r>
        <w:rPr>
          <w:rFonts w:hint="eastAsia" w:ascii="仿宋_GB2312" w:hAnsi="仿宋_GB2312" w:eastAsia="仿宋_GB2312" w:cs="仿宋_GB2312"/>
          <w:b/>
          <w:bCs/>
          <w:sz w:val="32"/>
          <w:szCs w:val="32"/>
          <w:lang w:val="en-US" w:eastAsia="zh-CN"/>
        </w:rPr>
        <w:t>一是新建阿木乡卡口村三社融合发展项目。</w:t>
      </w:r>
      <w:r>
        <w:rPr>
          <w:rFonts w:hint="eastAsia" w:ascii="仿宋_GB2312" w:hAnsi="仿宋_GB2312" w:eastAsia="仿宋_GB2312" w:cs="仿宋_GB2312"/>
          <w:sz w:val="32"/>
          <w:szCs w:val="32"/>
          <w:lang w:val="en-US" w:eastAsia="zh-CN"/>
        </w:rPr>
        <w:t>该项目为2024年乡村振兴项目，项目金额15万元，项目建设内容为在阿木乡卡口村室内篮球场旁边建设用房开设农畜产品供销中心1个，目前已完成验收及资金拨付工作。</w:t>
      </w:r>
      <w:r>
        <w:rPr>
          <w:rFonts w:hint="eastAsia" w:ascii="仿宋_GB2312" w:hAnsi="仿宋_GB2312" w:eastAsia="仿宋_GB2312" w:cs="仿宋_GB2312"/>
          <w:b/>
          <w:bCs/>
          <w:sz w:val="32"/>
          <w:szCs w:val="32"/>
          <w:lang w:val="en-US" w:eastAsia="zh-CN"/>
        </w:rPr>
        <w:t>二是续建红原县刷经寺气调库建设项目。</w:t>
      </w:r>
      <w:r>
        <w:rPr>
          <w:rFonts w:hint="eastAsia" w:ascii="仿宋_GB2312" w:hAnsi="仿宋_GB2312" w:eastAsia="仿宋_GB2312" w:cs="仿宋_GB2312"/>
          <w:sz w:val="32"/>
          <w:szCs w:val="32"/>
          <w:lang w:val="en-US" w:eastAsia="zh-CN"/>
        </w:rPr>
        <w:t>项目总投资为400万，目前已拨付预付款102.47万元，2024年度计划拨付297.5万元，目前已完成土建并验收，正在采购气调库配套设施设备。计划11月底前完成对该项目整体验收及资金拨付工作。</w:t>
      </w:r>
    </w:p>
    <w:p w14:paraId="72A592F9">
      <w:pPr>
        <w:keepNext w:val="0"/>
        <w:keepLines w:val="0"/>
        <w:pageBreakBefore w:val="0"/>
        <w:numPr>
          <w:ilvl w:val="0"/>
          <w:numId w:val="1"/>
        </w:numPr>
        <w:kinsoku/>
        <w:wordWrap/>
        <w:overflowPunct w:val="0"/>
        <w:topLinePunct w:val="0"/>
        <w:autoSpaceDE/>
        <w:autoSpaceDN/>
        <w:bidi w:val="0"/>
        <w:adjustRightInd/>
        <w:snapToGrid/>
        <w:spacing w:line="576" w:lineRule="exact"/>
        <w:ind w:left="0" w:leftChars="0" w:firstLine="64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巡察整改。</w:t>
      </w:r>
      <w:r>
        <w:rPr>
          <w:rFonts w:hint="eastAsia" w:ascii="仿宋_GB2312" w:hAnsi="仿宋_GB2312" w:eastAsia="仿宋_GB2312" w:cs="仿宋_GB2312"/>
          <w:sz w:val="32"/>
          <w:szCs w:val="32"/>
        </w:rPr>
        <w:t>7月19日上午，中共红原县委第二巡察组</w:t>
      </w:r>
      <w:r>
        <w:rPr>
          <w:rFonts w:hint="eastAsia" w:ascii="仿宋_GB2312" w:hAnsi="仿宋_GB2312" w:eastAsia="仿宋_GB2312" w:cs="仿宋_GB2312"/>
          <w:sz w:val="32"/>
          <w:szCs w:val="32"/>
          <w:lang w:val="en-US" w:eastAsia="zh-CN"/>
        </w:rPr>
        <w:t>召开</w:t>
      </w:r>
      <w:r>
        <w:rPr>
          <w:rFonts w:hint="eastAsia" w:ascii="仿宋_GB2312" w:hAnsi="仿宋_GB2312" w:eastAsia="仿宋_GB2312" w:cs="仿宋_GB2312"/>
          <w:sz w:val="32"/>
          <w:szCs w:val="32"/>
        </w:rPr>
        <w:t>巡察</w:t>
      </w:r>
      <w:r>
        <w:rPr>
          <w:rFonts w:hint="eastAsia" w:ascii="仿宋_GB2312" w:hAnsi="仿宋_GB2312" w:eastAsia="仿宋_GB2312" w:cs="仿宋_GB2312"/>
          <w:sz w:val="32"/>
          <w:szCs w:val="32"/>
          <w:lang w:val="en-US" w:eastAsia="zh-CN"/>
        </w:rPr>
        <w:t>中共</w:t>
      </w:r>
      <w:r>
        <w:rPr>
          <w:rFonts w:hint="eastAsia" w:ascii="仿宋_GB2312" w:hAnsi="仿宋_GB2312" w:eastAsia="仿宋_GB2312" w:cs="仿宋_GB2312"/>
          <w:sz w:val="32"/>
          <w:szCs w:val="32"/>
        </w:rPr>
        <w:t>红原县</w:t>
      </w:r>
      <w:r>
        <w:rPr>
          <w:rFonts w:hint="eastAsia" w:ascii="仿宋_GB2312" w:hAnsi="仿宋_GB2312" w:eastAsia="仿宋_GB2312" w:cs="仿宋_GB2312"/>
          <w:sz w:val="32"/>
          <w:szCs w:val="32"/>
          <w:lang w:val="en-US" w:eastAsia="zh-CN"/>
        </w:rPr>
        <w:t>供销合作社联合社党组动员会并开展巡察工作，8月19日已完成巡察。</w:t>
      </w:r>
    </w:p>
    <w:p w14:paraId="1A817BA1">
      <w:pPr>
        <w:keepNext w:val="0"/>
        <w:keepLines w:val="0"/>
        <w:pageBreakBefore w:val="0"/>
        <w:numPr>
          <w:ilvl w:val="0"/>
          <w:numId w:val="1"/>
        </w:numPr>
        <w:kinsoku/>
        <w:wordWrap/>
        <w:overflowPunct w:val="0"/>
        <w:topLinePunct w:val="0"/>
        <w:autoSpaceDE/>
        <w:autoSpaceDN/>
        <w:bidi w:val="0"/>
        <w:adjustRightInd/>
        <w:snapToGrid/>
        <w:spacing w:line="576" w:lineRule="exact"/>
        <w:ind w:left="0" w:leftChars="0" w:firstLine="640" w:firstLineChars="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地毯厂起诉事宜。</w:t>
      </w:r>
      <w:r>
        <w:rPr>
          <w:rFonts w:hint="eastAsia" w:ascii="仿宋_GB2312" w:hAnsi="仿宋_GB2312" w:eastAsia="仿宋_GB2312" w:cs="仿宋_GB2312"/>
          <w:sz w:val="32"/>
          <w:szCs w:val="32"/>
          <w:lang w:val="en-US" w:eastAsia="zh-CN"/>
        </w:rPr>
        <w:t>按照县委政府安排开展地毯厂民事诉讼工作，争取资金15.4604元万元，聘请恒德律师事务所开展相关事宜，截止目前已开展诉前保全工作，冻结资金686万元。7月初正式立案，目前向法院申请调刑事案件相关资料，并积极对接县人民法院。截止目前，县人民法院2次庭审已结束，待法院进行判决处理。</w:t>
      </w:r>
    </w:p>
    <w:p w14:paraId="3DC0F44C">
      <w:pPr>
        <w:keepNext w:val="0"/>
        <w:keepLines w:val="0"/>
        <w:pageBreakBefore w:val="0"/>
        <w:numPr>
          <w:ilvl w:val="0"/>
          <w:numId w:val="1"/>
        </w:numPr>
        <w:kinsoku/>
        <w:wordWrap/>
        <w:overflowPunct w:val="0"/>
        <w:topLinePunct w:val="0"/>
        <w:autoSpaceDE/>
        <w:autoSpaceDN/>
        <w:bidi w:val="0"/>
        <w:adjustRightInd/>
        <w:snapToGrid/>
        <w:spacing w:line="576" w:lineRule="exact"/>
        <w:ind w:left="0" w:leftChars="0" w:firstLine="640" w:firstLineChars="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再生资源回收事宜。</w:t>
      </w:r>
      <w:r>
        <w:rPr>
          <w:rFonts w:hint="eastAsia" w:ascii="仿宋_GB2312" w:hAnsi="仿宋_GB2312" w:eastAsia="仿宋_GB2312" w:cs="仿宋_GB2312"/>
          <w:sz w:val="32"/>
          <w:szCs w:val="32"/>
          <w:lang w:val="en-US" w:eastAsia="zh-CN"/>
        </w:rPr>
        <w:t>积极对接州供销社，明确任务及要求，已完成再生资源回收点位挂牌工作。</w:t>
      </w:r>
    </w:p>
    <w:p w14:paraId="1903026C">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黑体" w:hAnsi="黑体" w:eastAsia="黑体" w:cs="黑体"/>
          <w:sz w:val="32"/>
          <w:szCs w:val="32"/>
          <w:shd w:val="clear" w:color="auto" w:fill="FFFFFF"/>
        </w:rPr>
      </w:pPr>
      <w:bookmarkStart w:id="0" w:name="YS060102"/>
      <w:r>
        <w:rPr>
          <w:rFonts w:ascii="黑体" w:hAnsi="黑体" w:eastAsia="黑体" w:cs="黑体"/>
          <w:sz w:val="32"/>
          <w:szCs w:val="32"/>
          <w:shd w:val="clear" w:color="auto" w:fill="FFFFFF"/>
        </w:rPr>
        <w:t>二、收入支出预算执行情况分析</w:t>
      </w:r>
    </w:p>
    <w:bookmarkEnd w:id="0"/>
    <w:p w14:paraId="1CFFBC07">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Style w:val="22"/>
          <w:rFonts w:hint="eastAsia" w:ascii="楷体_GB2312" w:hAnsi="楷体_GB2312" w:eastAsia="楷体_GB2312" w:cs="楷体_GB2312"/>
          <w:sz w:val="32"/>
          <w:szCs w:val="32"/>
          <w:shd w:val="clear" w:color="auto" w:fill="FFFFFF"/>
        </w:rPr>
      </w:pPr>
      <w:r>
        <w:rPr>
          <w:rStyle w:val="22"/>
          <w:rFonts w:hint="eastAsia" w:ascii="楷体_GB2312" w:hAnsi="楷体_GB2312" w:eastAsia="楷体_GB2312" w:cs="楷体_GB2312"/>
          <w:sz w:val="32"/>
          <w:szCs w:val="32"/>
          <w:shd w:val="clear" w:color="auto" w:fill="FFFFFF"/>
        </w:rPr>
        <w:t>（一）收入支出预算安排情况</w:t>
      </w:r>
    </w:p>
    <w:p w14:paraId="6FDC9F6C">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Style w:val="22"/>
          <w:rFonts w:hint="eastAsia" w:ascii="宋体" w:hAnsi="宋体" w:cs="宋体"/>
          <w:b w:val="0"/>
          <w:bCs/>
          <w:sz w:val="30"/>
          <w:szCs w:val="30"/>
          <w:shd w:val="clear" w:color="auto" w:fill="FFFFFF"/>
        </w:rPr>
      </w:pPr>
      <w:r>
        <w:rPr>
          <w:rFonts w:ascii="仿宋_GB2312" w:hAnsi="仿宋_GB2312" w:eastAsia="仿宋_GB2312" w:cs="仿宋_GB2312"/>
          <w:sz w:val="32"/>
          <w:szCs w:val="32"/>
          <w:shd w:val="clear" w:color="auto" w:fill="FFFFFF"/>
        </w:rPr>
        <w:t>本部门本年度收入的年初预算数为214.69万元，上年度收入的年初预算数为 205.94 万元，差异为 8.75万元；</w:t>
      </w:r>
      <w:r>
        <w:rPr>
          <w:rStyle w:val="22"/>
          <w:rFonts w:hint="eastAsia" w:ascii="仿宋_GB2312" w:hAnsi="仿宋_GB2312" w:eastAsia="仿宋_GB2312" w:cs="仿宋_GB2312"/>
          <w:sz w:val="32"/>
          <w:szCs w:val="32"/>
          <w:shd w:val="clear" w:color="auto" w:fill="FFFFFF"/>
        </w:rPr>
        <w:t>主要原因为今年项目增加</w:t>
      </w:r>
      <w:r>
        <w:rPr>
          <w:rFonts w:ascii="仿宋_GB2312" w:hAnsi="仿宋_GB2312" w:eastAsia="仿宋_GB2312" w:cs="仿宋_GB2312"/>
          <w:sz w:val="32"/>
          <w:szCs w:val="32"/>
          <w:shd w:val="clear" w:color="auto" w:fill="FFFFFF"/>
        </w:rPr>
        <w:t>。本年度支出的年初预算数为214.69万元，上年度支出的年初预算数为 205.94 万元，差异为 8.75  万元；</w:t>
      </w:r>
      <w:r>
        <w:rPr>
          <w:rStyle w:val="22"/>
          <w:rFonts w:hint="eastAsia" w:ascii="仿宋_GB2312" w:hAnsi="仿宋_GB2312" w:eastAsia="仿宋_GB2312" w:cs="仿宋_GB2312"/>
          <w:sz w:val="32"/>
          <w:szCs w:val="32"/>
          <w:shd w:val="clear" w:color="auto" w:fill="FFFFFF"/>
        </w:rPr>
        <w:t>主要原因为今年项目增加。</w:t>
      </w:r>
      <w:r>
        <w:rPr>
          <w:rStyle w:val="22"/>
          <w:rFonts w:hint="eastAsia" w:ascii="宋体" w:hAnsi="宋体" w:cs="宋体"/>
          <w:shd w:val="clear" w:color="auto" w:fill="FFFFFF"/>
        </w:rPr>
        <w:t xml:space="preserve"> </w:t>
      </w:r>
    </w:p>
    <w:p w14:paraId="6E00B720">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Style w:val="22"/>
          <w:rFonts w:hint="eastAsia" w:ascii="楷体_GB2312" w:hAnsi="楷体_GB2312" w:eastAsia="楷体_GB2312" w:cs="楷体_GB2312"/>
          <w:sz w:val="32"/>
          <w:szCs w:val="32"/>
          <w:shd w:val="clear" w:color="auto" w:fill="FFFFFF"/>
        </w:rPr>
      </w:pPr>
      <w:r>
        <w:rPr>
          <w:rStyle w:val="22"/>
          <w:rFonts w:hint="eastAsia" w:ascii="楷体_GB2312" w:hAnsi="楷体_GB2312" w:eastAsia="楷体_GB2312" w:cs="楷体_GB2312"/>
          <w:sz w:val="32"/>
          <w:szCs w:val="32"/>
          <w:shd w:val="clear" w:color="auto" w:fill="FFFFFF"/>
        </w:rPr>
        <w:t>（二）收入支出预算执行情况</w:t>
      </w:r>
    </w:p>
    <w:p w14:paraId="4B2E79B2">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本部门本年度收入调整预算数为687.08万元，收入决算数为628.85万元，预算完成度为91.53%，上年度预算完成度为63.76%。本年度支出调整预算数为687.08万元，支出决算数为628.85万元，预算完成度为91.53%，上年度预算完成度为63.76%。</w:t>
      </w:r>
    </w:p>
    <w:p w14:paraId="7D81F404">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default" w:ascii="仿宋" w:hAnsi="仿宋" w:eastAsia="仿宋" w:cs="仿宋"/>
          <w:sz w:val="30"/>
          <w:szCs w:val="30"/>
        </w:rPr>
      </w:pPr>
      <w:r>
        <w:rPr>
          <w:rFonts w:ascii="仿宋_GB2312" w:hAnsi="仿宋_GB2312" w:eastAsia="仿宋_GB2312" w:cs="仿宋_GB2312"/>
          <w:b/>
          <w:bCs/>
          <w:sz w:val="32"/>
          <w:szCs w:val="32"/>
          <w:shd w:val="clear" w:color="auto" w:fill="FFFFFF"/>
        </w:rPr>
        <w:t>1．收入支出与预算对比分析</w:t>
      </w:r>
    </w:p>
    <w:p w14:paraId="3AD7FA5E">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b/>
          <w:bCs/>
          <w:sz w:val="32"/>
          <w:szCs w:val="32"/>
          <w:shd w:val="clear" w:color="auto" w:fill="FFFFFF"/>
        </w:rPr>
      </w:pPr>
      <w:r>
        <w:rPr>
          <w:rFonts w:ascii="仿宋_GB2312" w:hAnsi="仿宋_GB2312" w:eastAsia="仿宋_GB2312" w:cs="仿宋_GB2312"/>
          <w:sz w:val="32"/>
          <w:szCs w:val="32"/>
          <w:shd w:val="clear" w:color="auto" w:fill="FFFFFF"/>
        </w:rPr>
        <w:t>本部门本年度收入年初预算数为214.69万元，收入决算数为628.85万元，相差414.16万元，</w:t>
      </w:r>
      <w:r>
        <w:rPr>
          <w:rFonts w:ascii="仿宋_GB2312" w:hAnsi="仿宋_GB2312" w:eastAsia="仿宋_GB2312" w:cs="仿宋_GB2312"/>
          <w:b/>
          <w:bCs/>
          <w:sz w:val="32"/>
          <w:szCs w:val="32"/>
          <w:shd w:val="clear" w:color="auto" w:fill="FFFFFF"/>
        </w:rPr>
        <w:t>主要原因为今年项目增加</w:t>
      </w:r>
      <w:r>
        <w:rPr>
          <w:rFonts w:ascii="仿宋_GB2312" w:hAnsi="仿宋_GB2312" w:eastAsia="仿宋_GB2312" w:cs="仿宋_GB2312"/>
          <w:sz w:val="32"/>
          <w:szCs w:val="32"/>
          <w:shd w:val="clear" w:color="auto" w:fill="FFFFFF"/>
        </w:rPr>
        <w:t>。本部门本年度支出年初预算数214.69万元，支出决算数为628.85万元，相差414.16万元，</w:t>
      </w:r>
      <w:r>
        <w:rPr>
          <w:rFonts w:ascii="仿宋_GB2312" w:hAnsi="仿宋_GB2312" w:eastAsia="仿宋_GB2312" w:cs="仿宋_GB2312"/>
          <w:b/>
          <w:bCs/>
          <w:sz w:val="32"/>
          <w:szCs w:val="32"/>
          <w:shd w:val="clear" w:color="auto" w:fill="FFFFFF"/>
        </w:rPr>
        <w:t>主要原因为今年项目增加。</w:t>
      </w:r>
    </w:p>
    <w:p w14:paraId="456C32DB">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default" w:ascii="仿宋_GB2312" w:hAnsi="仿宋_GB2312" w:eastAsia="仿宋_GB2312" w:cs="仿宋_GB2312"/>
          <w:b/>
          <w:bCs/>
          <w:sz w:val="32"/>
          <w:szCs w:val="32"/>
          <w:shd w:val="clear" w:color="auto" w:fill="FFFFFF"/>
        </w:rPr>
      </w:pPr>
      <w:r>
        <w:rPr>
          <w:rFonts w:ascii="仿宋_GB2312" w:hAnsi="仿宋_GB2312" w:eastAsia="仿宋_GB2312" w:cs="仿宋_GB2312"/>
          <w:b/>
          <w:bCs/>
          <w:sz w:val="32"/>
          <w:szCs w:val="32"/>
          <w:shd w:val="clear" w:color="auto" w:fill="FFFFFF"/>
        </w:rPr>
        <w:t>2．收入支出结构分析</w:t>
      </w:r>
    </w:p>
    <w:p w14:paraId="63852254">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ascii="仿宋" w:hAnsi="仿宋" w:eastAsia="仿宋" w:cs="仿宋"/>
          <w:sz w:val="30"/>
          <w:szCs w:val="30"/>
          <w:shd w:val="clear" w:color="auto" w:fill="FFFFFF"/>
        </w:rPr>
      </w:pPr>
      <w:r>
        <w:rPr>
          <w:rFonts w:ascii="仿宋_GB2312" w:hAnsi="仿宋_GB2312" w:eastAsia="仿宋_GB2312" w:cs="仿宋_GB2312"/>
          <w:sz w:val="32"/>
          <w:szCs w:val="32"/>
          <w:shd w:val="clear" w:color="auto" w:fill="FFFFFF"/>
        </w:rPr>
        <w:t>本部门本年度总收入为628.85万元。其中：一般公共预算财政拨款收入为628.85万元，占比100%。</w:t>
      </w:r>
    </w:p>
    <w:p w14:paraId="0DD6243B">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ascii="仿宋" w:hAnsi="仿宋" w:eastAsia="仿宋" w:cs="仿宋"/>
          <w:sz w:val="30"/>
          <w:szCs w:val="30"/>
          <w:shd w:val="clear" w:color="auto" w:fill="FFFFFF"/>
        </w:rPr>
      </w:pPr>
      <w:r>
        <w:rPr>
          <w:rFonts w:ascii="仿宋_GB2312" w:hAnsi="仿宋_GB2312" w:eastAsia="仿宋_GB2312" w:cs="仿宋_GB2312"/>
          <w:sz w:val="32"/>
          <w:szCs w:val="32"/>
          <w:shd w:val="clear" w:color="auto" w:fill="FFFFFF"/>
        </w:rPr>
        <w:t>本年度总支出为628.85万元。其中：一般公共服务支出为0.00万元，占比0.00%；文化旅游体育与传媒支出为0.00万元，占比0.00%；社会保障和就业支出为19.57万元，占比3.11%；卫生健康支出为10.78万元，占比1.71%；节能环保支出为0.00万元，占比0.00%；城乡社区支出为0.00万元，占比0.00%；农林水支出为377.81万元，占比60.08%；资源勘探工业信息等支出为5.73万元，占比0.91%住房保障支出为11.61万元，占比1.85 %；商业服务业等支出为203.36万元，占比32.33%。</w:t>
      </w:r>
    </w:p>
    <w:p w14:paraId="56316866">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 w:hAnsi="仿宋" w:eastAsia="仿宋" w:cs="仿宋"/>
          <w:sz w:val="30"/>
          <w:szCs w:val="30"/>
          <w:shd w:val="clear" w:color="auto" w:fill="FFFFFF"/>
        </w:rPr>
      </w:pPr>
      <w:r>
        <w:rPr>
          <w:rFonts w:ascii="仿宋_GB2312" w:hAnsi="仿宋_GB2312" w:eastAsia="仿宋_GB2312" w:cs="仿宋_GB2312"/>
          <w:sz w:val="32"/>
          <w:szCs w:val="32"/>
          <w:shd w:val="clear" w:color="auto" w:fill="FFFFFF"/>
        </w:rPr>
        <w:t>本年度社会保障和就业支出相比上年度减少4.97万元，</w:t>
      </w:r>
      <w:r>
        <w:rPr>
          <w:rStyle w:val="22"/>
          <w:rFonts w:hint="eastAsia" w:ascii="仿宋_GB2312" w:hAnsi="仿宋_GB2312" w:eastAsia="仿宋_GB2312" w:cs="仿宋_GB2312"/>
          <w:sz w:val="32"/>
          <w:szCs w:val="32"/>
          <w:shd w:val="clear" w:color="auto" w:fill="FFFFFF"/>
        </w:rPr>
        <w:t>主要原因为人员调整</w:t>
      </w:r>
      <w:r>
        <w:rPr>
          <w:rFonts w:ascii="仿宋_GB2312" w:hAnsi="仿宋_GB2312" w:eastAsia="仿宋_GB2312" w:cs="仿宋_GB2312"/>
          <w:b/>
          <w:bCs/>
          <w:sz w:val="32"/>
          <w:szCs w:val="32"/>
          <w:shd w:val="clear" w:color="auto" w:fill="FFFFFF"/>
        </w:rPr>
        <w:t>；</w:t>
      </w:r>
      <w:r>
        <w:rPr>
          <w:rFonts w:ascii="仿宋_GB2312" w:hAnsi="仿宋_GB2312" w:eastAsia="仿宋_GB2312" w:cs="仿宋_GB2312"/>
          <w:sz w:val="32"/>
          <w:szCs w:val="32"/>
          <w:shd w:val="clear" w:color="auto" w:fill="FFFFFF"/>
        </w:rPr>
        <w:t>卫生健康支出相比上年度减少2.48万元，住房保障支出相比上年度减少0.49万元，</w:t>
      </w:r>
      <w:r>
        <w:rPr>
          <w:rStyle w:val="22"/>
          <w:rFonts w:hint="eastAsia" w:ascii="仿宋_GB2312" w:hAnsi="仿宋_GB2312" w:eastAsia="仿宋_GB2312" w:cs="仿宋_GB2312"/>
          <w:sz w:val="32"/>
          <w:szCs w:val="32"/>
          <w:shd w:val="clear" w:color="auto" w:fill="FFFFFF"/>
        </w:rPr>
        <w:t>主要原因为本年人员经费减少；</w:t>
      </w:r>
      <w:r>
        <w:rPr>
          <w:rStyle w:val="22"/>
          <w:rFonts w:hint="eastAsia" w:ascii="仿宋_GB2312" w:hAnsi="仿宋_GB2312" w:eastAsia="仿宋_GB2312" w:cs="仿宋_GB2312"/>
          <w:b w:val="0"/>
          <w:bCs/>
          <w:sz w:val="32"/>
          <w:szCs w:val="32"/>
          <w:shd w:val="clear" w:color="auto" w:fill="FFFFFF"/>
        </w:rPr>
        <w:t>商业服务业等支出相比上年度增加9.64万元，</w:t>
      </w:r>
      <w:r>
        <w:rPr>
          <w:rStyle w:val="22"/>
          <w:rFonts w:hint="eastAsia" w:ascii="仿宋_GB2312" w:hAnsi="仿宋_GB2312" w:eastAsia="仿宋_GB2312" w:cs="仿宋_GB2312"/>
          <w:sz w:val="32"/>
          <w:szCs w:val="32"/>
          <w:shd w:val="clear" w:color="auto" w:fill="FFFFFF"/>
        </w:rPr>
        <w:t>主要原因为本年项目增加</w:t>
      </w:r>
      <w:r>
        <w:rPr>
          <w:rStyle w:val="22"/>
          <w:rFonts w:hint="eastAsia" w:ascii="仿宋_GB2312" w:hAnsi="仿宋_GB2312" w:eastAsia="仿宋_GB2312" w:cs="仿宋_GB2312"/>
          <w:b w:val="0"/>
          <w:bCs/>
          <w:sz w:val="32"/>
          <w:szCs w:val="32"/>
          <w:shd w:val="clear" w:color="auto" w:fill="FFFFFF"/>
        </w:rPr>
        <w:t>；农林水支出相比上年度减少35.71万元，</w:t>
      </w:r>
      <w:r>
        <w:rPr>
          <w:rStyle w:val="22"/>
          <w:rFonts w:hint="eastAsia" w:ascii="仿宋_GB2312" w:hAnsi="仿宋_GB2312" w:eastAsia="仿宋_GB2312" w:cs="仿宋_GB2312"/>
          <w:sz w:val="32"/>
          <w:szCs w:val="32"/>
          <w:shd w:val="clear" w:color="auto" w:fill="FFFFFF"/>
        </w:rPr>
        <w:t>主要原因为本年项目是延续性项目较多</w:t>
      </w:r>
      <w:r>
        <w:rPr>
          <w:rFonts w:ascii="仿宋_GB2312" w:hAnsi="仿宋_GB2312" w:eastAsia="仿宋_GB2312" w:cs="仿宋_GB2312"/>
          <w:b/>
          <w:sz w:val="32"/>
          <w:szCs w:val="32"/>
          <w:shd w:val="clear" w:color="auto" w:fill="FFFFFF"/>
        </w:rPr>
        <w:t>。</w:t>
      </w:r>
    </w:p>
    <w:p w14:paraId="78AE1F46">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default" w:ascii="仿宋_GB2312" w:hAnsi="仿宋_GB2312" w:eastAsia="仿宋_GB2312" w:cs="仿宋_GB2312"/>
          <w:b/>
          <w:bCs/>
          <w:sz w:val="32"/>
          <w:szCs w:val="32"/>
          <w:shd w:val="clear" w:color="auto" w:fill="FFFFFF"/>
        </w:rPr>
      </w:pPr>
      <w:r>
        <w:rPr>
          <w:rFonts w:ascii="仿宋_GB2312" w:hAnsi="仿宋_GB2312" w:eastAsia="仿宋_GB2312" w:cs="仿宋_GB2312"/>
          <w:b/>
          <w:bCs/>
          <w:sz w:val="32"/>
          <w:szCs w:val="32"/>
          <w:shd w:val="clear" w:color="auto" w:fill="FFFFFF"/>
        </w:rPr>
        <w:t>3．支出按经济分类科目分析</w:t>
      </w:r>
    </w:p>
    <w:p w14:paraId="654FA5D2">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（1）“三公”经费支出情况：本部门本年度“三公”经费支出决算数为2.71万元。其中:因公出国（境）费支出决算数为0.00元，相比上年度增加1.67万元</w:t>
      </w:r>
      <w:r>
        <w:rPr>
          <w:rStyle w:val="22"/>
          <w:rFonts w:hint="eastAsia" w:ascii="仿宋_GB2312" w:hAnsi="仿宋_GB2312" w:eastAsia="仿宋_GB2312" w:cs="仿宋_GB2312"/>
          <w:sz w:val="32"/>
          <w:szCs w:val="32"/>
          <w:shd w:val="clear" w:color="auto" w:fill="FFFFFF"/>
        </w:rPr>
        <w:t>。</w:t>
      </w:r>
    </w:p>
    <w:p w14:paraId="23D8E991">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公务用车购置及运行维护费支出决算数为2.57万元，相比上年度增加1.53万元</w:t>
      </w:r>
      <w:r>
        <w:rPr>
          <w:rStyle w:val="22"/>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公务接待费支出决算数为0.14万元，相比上年度增加0.14万元</w:t>
      </w:r>
      <w:r>
        <w:rPr>
          <w:rFonts w:ascii="仿宋_GB2312" w:hAnsi="仿宋_GB2312" w:eastAsia="仿宋_GB2312" w:cs="仿宋_GB2312"/>
          <w:b/>
          <w:bCs/>
          <w:sz w:val="32"/>
          <w:szCs w:val="32"/>
          <w:shd w:val="clear" w:color="auto" w:fill="FFFFFF"/>
        </w:rPr>
        <w:t>。</w:t>
      </w:r>
    </w:p>
    <w:p w14:paraId="5326A05E">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本年度“三公”经费支出预算数为2.76万元，决算数为2.71万元，预算完成度为98.19%。本年度因公出国（境）费人均支出为0.00万元，公务用车购置及运行维护费人均支出为0.43万元，公务接待费人均支出为0.02万元。</w:t>
      </w:r>
    </w:p>
    <w:p w14:paraId="194CF716">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160" w:firstLineChars="5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（2）会议费支出情况：本部门本年度会议费支出决算数为0.00万元，相比上年度减少0.00万元，</w:t>
      </w:r>
      <w:r>
        <w:rPr>
          <w:rFonts w:ascii="仿宋_GB2312" w:hAnsi="仿宋_GB2312" w:eastAsia="仿宋_GB2312" w:cs="仿宋_GB2312"/>
          <w:b/>
          <w:bCs/>
          <w:sz w:val="32"/>
          <w:szCs w:val="32"/>
          <w:shd w:val="clear" w:color="auto" w:fill="FFFFFF"/>
        </w:rPr>
        <w:t>主要原因为本年没有会议。</w:t>
      </w:r>
    </w:p>
    <w:p w14:paraId="6818EAA5">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160" w:firstLineChars="5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（3）培训费支出情况：本部门本年度培训费支出决算数为0.00万元，相比上年度减少1.18万元，</w:t>
      </w:r>
      <w:r>
        <w:rPr>
          <w:rFonts w:ascii="仿宋_GB2312" w:hAnsi="仿宋_GB2312" w:eastAsia="仿宋_GB2312" w:cs="仿宋_GB2312"/>
          <w:b/>
          <w:bCs/>
          <w:sz w:val="32"/>
          <w:szCs w:val="32"/>
          <w:shd w:val="clear" w:color="auto" w:fill="FFFFFF"/>
        </w:rPr>
        <w:t>主要原因为本年工没有培训。</w:t>
      </w:r>
    </w:p>
    <w:p w14:paraId="1628F969">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default" w:ascii="仿宋" w:hAnsi="仿宋" w:eastAsia="仿宋" w:cs="仿宋"/>
          <w:sz w:val="30"/>
          <w:szCs w:val="30"/>
        </w:rPr>
      </w:pPr>
      <w:r>
        <w:rPr>
          <w:rFonts w:ascii="仿宋_GB2312" w:hAnsi="仿宋_GB2312" w:eastAsia="仿宋_GB2312" w:cs="仿宋_GB2312"/>
          <w:b/>
          <w:bCs/>
          <w:sz w:val="32"/>
          <w:szCs w:val="32"/>
          <w:shd w:val="clear" w:color="auto" w:fill="FFFFFF"/>
        </w:rPr>
        <w:t>4.财政拨款收入、支出分析</w:t>
      </w:r>
    </w:p>
    <w:p w14:paraId="34A5EBB8">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本部门本年度年初结转和结余0.00万元，财政拨款收入628.85万元，财政拨款支出为628.85万元，其中：基本支出169.96万元，人员经费支出为158.74万元，公用经费支出为11.22万元。项目支出458.89万元，其中中基本建设类项目支出为422.81万元。</w:t>
      </w:r>
    </w:p>
    <w:p w14:paraId="6E1C7D1A">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02" w:firstLineChars="200"/>
        <w:jc w:val="both"/>
        <w:textAlignment w:val="auto"/>
        <w:rPr>
          <w:rFonts w:hint="default" w:ascii="仿宋_GB2312" w:hAnsi="仿宋_GB2312" w:eastAsia="仿宋_GB2312" w:cs="仿宋_GB2312"/>
          <w:sz w:val="32"/>
          <w:szCs w:val="32"/>
          <w:shd w:val="clear" w:color="auto" w:fill="FFFFFF"/>
        </w:rPr>
      </w:pPr>
      <w:r>
        <w:rPr>
          <w:rStyle w:val="22"/>
          <w:rFonts w:hint="eastAsia" w:ascii="仿宋" w:hAnsi="仿宋" w:eastAsia="仿宋" w:cs="仿宋"/>
          <w:sz w:val="30"/>
          <w:szCs w:val="30"/>
          <w:shd w:val="clear" w:color="auto" w:fill="FFFFFF"/>
        </w:rPr>
        <w:t>（</w:t>
      </w:r>
      <w:r>
        <w:rPr>
          <w:rStyle w:val="22"/>
          <w:rFonts w:hint="eastAsia" w:ascii="楷体_GB2312" w:hAnsi="楷体_GB2312" w:eastAsia="楷体_GB2312" w:cs="楷体_GB2312"/>
          <w:sz w:val="32"/>
          <w:szCs w:val="32"/>
          <w:shd w:val="clear" w:color="auto" w:fill="FFFFFF"/>
        </w:rPr>
        <w:t>三）年末结转和结余情况</w:t>
      </w:r>
    </w:p>
    <w:p w14:paraId="186A3230">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 w:hAnsi="仿宋" w:eastAsia="仿宋" w:cs="仿宋"/>
          <w:sz w:val="32"/>
          <w:szCs w:val="32"/>
          <w:shd w:val="clear" w:color="auto" w:fill="FFFFFF"/>
        </w:rPr>
      </w:pPr>
      <w:r>
        <w:rPr>
          <w:rFonts w:ascii="仿宋_GB2312" w:hAnsi="仿宋_GB2312" w:eastAsia="仿宋_GB2312" w:cs="仿宋_GB2312"/>
          <w:sz w:val="32"/>
          <w:szCs w:val="32"/>
          <w:shd w:val="clear" w:color="auto" w:fill="FFFFFF"/>
        </w:rPr>
        <w:t>本年末无结转结余资金。</w:t>
      </w:r>
    </w:p>
    <w:p w14:paraId="41EE23BD">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Style w:val="22"/>
          <w:rFonts w:hint="eastAsia" w:ascii="楷体_GB2312" w:hAnsi="楷体_GB2312" w:eastAsia="楷体_GB2312" w:cs="楷体_GB2312"/>
          <w:sz w:val="32"/>
          <w:szCs w:val="32"/>
          <w:shd w:val="clear" w:color="auto" w:fill="FFFFFF"/>
        </w:rPr>
      </w:pPr>
      <w:r>
        <w:rPr>
          <w:rStyle w:val="22"/>
          <w:rFonts w:hint="eastAsia" w:ascii="楷体_GB2312" w:hAnsi="楷体_GB2312" w:eastAsia="楷体_GB2312" w:cs="楷体_GB2312"/>
          <w:sz w:val="32"/>
          <w:szCs w:val="32"/>
          <w:shd w:val="clear" w:color="auto" w:fill="FFFFFF"/>
        </w:rPr>
        <w:t>（四）与预算支出相关的其他指标分析</w:t>
      </w:r>
    </w:p>
    <w:p w14:paraId="2A803BB2">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本年资产合计1002.99万元，其中银行存款1.56万元，占总资产0.15%，其他应收款2.08万元，占总资产0.21%；固定资产资产净值15.08万元，占总资产1.50%，在建工程546.64万元，占总资产54.50%；无形资产净值432.89，占总资产43.16%。</w:t>
      </w:r>
    </w:p>
    <w:p w14:paraId="26B85ACE">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本年负债合计2.62万元，其中应交财政款0.015万元，其他应付款2.60万元。</w:t>
      </w:r>
    </w:p>
    <w:p w14:paraId="42E52AB5">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cs="宋体"/>
          <w:shd w:val="clear" w:color="auto" w:fill="FFFFFF"/>
        </w:rPr>
      </w:pPr>
      <w:r>
        <w:rPr>
          <w:rFonts w:ascii="仿宋_GB2312" w:hAnsi="仿宋_GB2312" w:eastAsia="仿宋_GB2312" w:cs="仿宋_GB2312"/>
          <w:sz w:val="32"/>
          <w:szCs w:val="32"/>
          <w:shd w:val="clear" w:color="auto" w:fill="FFFFFF"/>
        </w:rPr>
        <w:t>本年度资产负债率为0.26%，负债率较小。</w:t>
      </w:r>
    </w:p>
    <w:p w14:paraId="72DB8E6A">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Style w:val="22"/>
          <w:rFonts w:hint="eastAsia" w:ascii="楷体_GB2312" w:hAnsi="楷体_GB2312" w:eastAsia="楷体_GB2312" w:cs="楷体_GB2312"/>
          <w:sz w:val="32"/>
          <w:szCs w:val="32"/>
          <w:shd w:val="clear" w:color="auto" w:fill="FFFFFF"/>
        </w:rPr>
      </w:pPr>
      <w:r>
        <w:rPr>
          <w:rStyle w:val="22"/>
          <w:rFonts w:hint="eastAsia" w:ascii="楷体_GB2312" w:hAnsi="楷体_GB2312" w:eastAsia="楷体_GB2312" w:cs="楷体_GB2312"/>
          <w:sz w:val="32"/>
          <w:szCs w:val="32"/>
          <w:shd w:val="clear" w:color="auto" w:fill="FFFFFF"/>
        </w:rPr>
        <w:t>（五）绩效目标完成情况</w:t>
      </w:r>
    </w:p>
    <w:p w14:paraId="4C1B1AF3">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本年及时完成本年的资金支付和项目开展进度有达到预期。</w:t>
      </w:r>
    </w:p>
    <w:p w14:paraId="29CDECA6">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Style w:val="22"/>
          <w:rFonts w:hint="eastAsia" w:ascii="楷体_GB2312" w:hAnsi="楷体_GB2312" w:eastAsia="楷体_GB2312" w:cs="楷体_GB2312"/>
          <w:sz w:val="32"/>
          <w:szCs w:val="32"/>
          <w:shd w:val="clear" w:color="auto" w:fill="FFFFFF"/>
        </w:rPr>
      </w:pPr>
      <w:r>
        <w:rPr>
          <w:rStyle w:val="22"/>
          <w:rFonts w:hint="eastAsia" w:ascii="楷体_GB2312" w:hAnsi="楷体_GB2312" w:eastAsia="楷体_GB2312" w:cs="楷体_GB2312"/>
          <w:sz w:val="32"/>
          <w:szCs w:val="32"/>
          <w:shd w:val="clear" w:color="auto" w:fill="FFFFFF"/>
        </w:rPr>
        <w:t>（六）当年预算执行及绩效管理中存在问题、原因及改进措施</w:t>
      </w:r>
    </w:p>
    <w:p w14:paraId="2170FDB0">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本年预算执行及绩效管理中没有存在问题。</w:t>
      </w:r>
    </w:p>
    <w:p w14:paraId="140A02B6">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黑体" w:hAnsi="黑体" w:eastAsia="黑体" w:cs="黑体"/>
          <w:sz w:val="32"/>
          <w:szCs w:val="32"/>
          <w:shd w:val="clear" w:color="auto" w:fill="FFFFFF"/>
        </w:rPr>
      </w:pPr>
      <w:r>
        <w:rPr>
          <w:rFonts w:ascii="黑体" w:hAnsi="黑体" w:eastAsia="黑体" w:cs="黑体"/>
          <w:sz w:val="32"/>
          <w:szCs w:val="32"/>
          <w:shd w:val="clear" w:color="auto" w:fill="FFFFFF"/>
        </w:rPr>
        <w:t>三、本年度部门决算等财务工作开展情况</w:t>
      </w:r>
    </w:p>
    <w:p w14:paraId="465A83E2">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cs="宋体"/>
          <w:sz w:val="30"/>
          <w:szCs w:val="30"/>
          <w:shd w:val="clear" w:color="auto" w:fill="FFFFFF"/>
        </w:rPr>
      </w:pPr>
      <w:r>
        <w:rPr>
          <w:rFonts w:ascii="仿宋_GB2312" w:hAnsi="仿宋_GB2312" w:eastAsia="仿宋_GB2312" w:cs="仿宋_GB2312"/>
          <w:sz w:val="32"/>
          <w:szCs w:val="32"/>
          <w:shd w:val="clear" w:color="auto" w:fill="FFFFFF"/>
        </w:rPr>
        <w:t>2024年度，我单位按照勤俭节约原则和财务收支管理相关规定坚持以预算为中心，以节约为重点，以求真务实的工作作风，严格遵守改革新制《政府会计制度》，抓好单位财务管理，较好地完成了各项工作任务。</w:t>
      </w:r>
    </w:p>
    <w:p w14:paraId="0D525B5F">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jc w:val="both"/>
        <w:textAlignment w:val="auto"/>
        <w:rPr>
          <w:rFonts w:hint="default" w:cs="宋体"/>
          <w:sz w:val="30"/>
          <w:szCs w:val="30"/>
          <w:shd w:val="clear" w:color="auto" w:fill="FFFFFF"/>
        </w:rPr>
        <w:sectPr>
          <w:footerReference r:id="rId3" w:type="default"/>
          <w:pgSz w:w="11915" w:h="16851"/>
          <w:pgMar w:top="2098" w:right="1474" w:bottom="1984" w:left="1587" w:header="851" w:footer="992" w:gutter="0"/>
          <w:pgNumType w:fmt="decimal"/>
          <w:cols w:space="0" w:num="1"/>
          <w:docGrid w:type="lines" w:linePitch="312" w:charSpace="0"/>
        </w:sectPr>
      </w:pPr>
    </w:p>
    <w:p w14:paraId="68FD6330">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6C823C90">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jc w:val="both"/>
        <w:textAlignment w:val="auto"/>
        <w:rPr>
          <w:rFonts w:hint="default" w:cs="宋体"/>
          <w:sz w:val="30"/>
          <w:szCs w:val="30"/>
        </w:rPr>
      </w:pPr>
      <w:r>
        <w:rPr>
          <w:rFonts w:cs="宋体"/>
          <w:sz w:val="30"/>
          <w:szCs w:val="30"/>
          <w:shd w:val="clear" w:color="auto" w:fill="FFFFFF"/>
        </w:rPr>
        <w:t xml:space="preserve"> </w:t>
      </w:r>
    </w:p>
    <w:p w14:paraId="0190754E">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jc w:val="both"/>
        <w:textAlignment w:val="auto"/>
        <w:rPr>
          <w:rStyle w:val="22"/>
          <w:rFonts w:hint="eastAsia" w:ascii="方正小标宋简体" w:hAnsi="方正小标宋简体" w:eastAsia="方正小标宋简体" w:cs="方正小标宋简体"/>
          <w:sz w:val="44"/>
          <w:szCs w:val="44"/>
          <w:shd w:val="clear" w:color="auto" w:fill="FFFFFF"/>
        </w:rPr>
      </w:pPr>
      <w:r>
        <w:rPr>
          <w:rStyle w:val="22"/>
          <w:rFonts w:hint="eastAsia" w:ascii="方正小标宋简体" w:hAnsi="方正小标宋简体" w:eastAsia="方正小标宋简体" w:cs="方正小标宋简体"/>
          <w:sz w:val="44"/>
          <w:szCs w:val="44"/>
          <w:shd w:val="clear" w:color="auto" w:fill="FFFFFF"/>
        </w:rPr>
        <w:t>行政事业单位财务分析指标</w:t>
      </w:r>
    </w:p>
    <w:p w14:paraId="3A5552D8">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jc w:val="both"/>
        <w:textAlignment w:val="auto"/>
        <w:rPr>
          <w:rFonts w:hint="default" w:cs="宋体"/>
          <w:sz w:val="30"/>
          <w:szCs w:val="30"/>
        </w:rPr>
      </w:pPr>
      <w:r>
        <w:rPr>
          <w:rFonts w:cs="宋体"/>
          <w:sz w:val="30"/>
          <w:szCs w:val="30"/>
          <w:shd w:val="clear" w:color="auto" w:fill="FFFFFF"/>
        </w:rPr>
        <w:t xml:space="preserve"> </w:t>
      </w:r>
    </w:p>
    <w:p w14:paraId="79E283B9">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黑体" w:hAnsi="黑体" w:eastAsia="黑体" w:cs="黑体"/>
          <w:sz w:val="32"/>
          <w:szCs w:val="32"/>
          <w:shd w:val="clear" w:color="auto" w:fill="FFFFFF"/>
        </w:rPr>
      </w:pPr>
      <w:r>
        <w:rPr>
          <w:rFonts w:ascii="黑体" w:hAnsi="黑体" w:eastAsia="黑体" w:cs="黑体"/>
          <w:sz w:val="32"/>
          <w:szCs w:val="32"/>
          <w:shd w:val="clear" w:color="auto" w:fill="FFFFFF"/>
        </w:rPr>
        <w:t>一、行政单位财务分析指标</w:t>
      </w:r>
    </w:p>
    <w:p w14:paraId="49E3E3A3">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1.支出增长率，衡量行政单位支出的增长水平。计算公式为：</w:t>
      </w:r>
    </w:p>
    <w:p w14:paraId="0F70F623">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支出增长率＝(本期支出总额÷上期支出总额-1)×100%=40.73%</w:t>
      </w:r>
    </w:p>
    <w:p w14:paraId="302DC361">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2.当年预算支出完成率，衡量行政单位当年支出总预算及分项预算完成的程度。计算公式为：</w:t>
      </w:r>
    </w:p>
    <w:p w14:paraId="38BA8E18">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当年预算支出完成率＝年终执行数÷调整预算数×100%=63.76%</w:t>
      </w:r>
    </w:p>
    <w:p w14:paraId="663BCB83">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3.人均开支，衡量行政单位人均年消耗经费水平。计算公式为：</w:t>
      </w:r>
    </w:p>
    <w:p w14:paraId="12531990">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人均开支＝本期支出数÷本期平均在职人员数=32.10</w:t>
      </w:r>
    </w:p>
    <w:p w14:paraId="23ED8422">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4.项目支出占总支出的比率，衡量行政单位的支出结构。计算公式为：</w:t>
      </w:r>
    </w:p>
    <w:p w14:paraId="15F7189F">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项目支出比率=本期项目支出数÷本期支出总数×100%=65.80%</w:t>
      </w:r>
    </w:p>
    <w:p w14:paraId="43C14919">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5.人员支出、公用支出占总支出的比率，衡量行政单位的支出结构。计算公式为：</w:t>
      </w:r>
    </w:p>
    <w:p w14:paraId="09229A88">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人员支出比率=本期人员支出数÷本期支出总数×100%=32.19%</w:t>
      </w:r>
    </w:p>
    <w:p w14:paraId="7FE0EB41">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公用支出比率=本期公用支出数÷本期支出总数×100%=2.00%</w:t>
      </w:r>
    </w:p>
    <w:p w14:paraId="633114F2">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6.人均办公使用面积，衡量行政单位办公用房配备情况。计算公式为：</w:t>
      </w:r>
    </w:p>
    <w:p w14:paraId="598ACF62">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人均办公使用面积=本期末单位办公用房使用面积÷本期末在职人员数=0.00</w:t>
      </w:r>
    </w:p>
    <w:p w14:paraId="0B6B5885">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7.人车比例，衡量行政单位公务用车配备情况。计算公式为：</w:t>
      </w:r>
    </w:p>
    <w:p w14:paraId="3A9283E5">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人车比例=本期末在职人员数÷本期末公务用车实有数=0.00</w:t>
      </w:r>
    </w:p>
    <w:p w14:paraId="747B7BFB">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黑体" w:hAnsi="黑体" w:eastAsia="黑体" w:cs="黑体"/>
          <w:sz w:val="32"/>
          <w:szCs w:val="32"/>
          <w:shd w:val="clear" w:color="auto" w:fill="FFFFFF"/>
        </w:rPr>
      </w:pPr>
      <w:r>
        <w:rPr>
          <w:rFonts w:ascii="黑体" w:hAnsi="黑体" w:eastAsia="黑体" w:cs="黑体"/>
          <w:sz w:val="32"/>
          <w:szCs w:val="32"/>
          <w:shd w:val="clear" w:color="auto" w:fill="FFFFFF"/>
        </w:rPr>
        <w:t xml:space="preserve"> 二、事业单位财务分析指标</w:t>
      </w:r>
    </w:p>
    <w:p w14:paraId="7490DDC5">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1.预算收入和支出完成率，衡量事业单位收入和支出总预算及分项预算完成的程度。计算公式为：</w:t>
      </w:r>
    </w:p>
    <w:p w14:paraId="6265E963">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预算收入完成率＝年终执行数÷调整预算数×100%=100%</w:t>
      </w:r>
    </w:p>
    <w:p w14:paraId="51DDEFBA">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预算支出完成率＝年终执行数÷调整预算数×100%=100%</w:t>
      </w:r>
    </w:p>
    <w:p w14:paraId="330CA171">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2.人员支出、公用支出占事业支出的比率，衡量事业单位事业支出结构。计算公式为：</w:t>
      </w:r>
    </w:p>
    <w:p w14:paraId="30DF3622">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人员支出比率＝人员支出÷事业支出×100%=100%</w:t>
      </w:r>
    </w:p>
    <w:p w14:paraId="304B326B">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公用支出比率＝公用支出÷事业支出×100%=100%</w:t>
      </w:r>
    </w:p>
    <w:p w14:paraId="3FD8FA86">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3.人均基本支出，衡量事业单位按照实际在编人数平均的基本支出水平。计算公式为：</w:t>
      </w:r>
    </w:p>
    <w:p w14:paraId="47A0DF40">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人均基本支出＝（基本支出-离退休人员支出）÷实际在编人数=0.00</w:t>
      </w:r>
    </w:p>
    <w:p w14:paraId="2AAB3CD6">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bookmarkStart w:id="1" w:name="_GoBack"/>
      <w:bookmarkEnd w:id="1"/>
      <w:r>
        <w:rPr>
          <w:rFonts w:ascii="仿宋_GB2312" w:hAnsi="仿宋_GB2312" w:eastAsia="仿宋_GB2312" w:cs="仿宋_GB2312"/>
          <w:sz w:val="32"/>
          <w:szCs w:val="32"/>
          <w:shd w:val="clear" w:color="auto" w:fill="FFFFFF"/>
        </w:rPr>
        <w:t>此外，行业事业单位还可根据相关财务制度规定和分析需要增加相关分析指标，如：</w:t>
      </w:r>
    </w:p>
    <w:p w14:paraId="61E62799">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1.财政拨款依存度,衡量部门（单位）对财政拨款的依赖程度。</w:t>
      </w:r>
    </w:p>
    <w:p w14:paraId="33AB731D">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财政拨款依存度＝财政拨款收入÷收入总额×100%=100.00%</w:t>
      </w:r>
    </w:p>
    <w:p w14:paraId="1B004F46">
      <w:pPr>
        <w:pStyle w:val="24"/>
        <w:keepNext w:val="0"/>
        <w:keepLines w:val="0"/>
        <w:pageBreakBefore w:val="0"/>
        <w:widowControl/>
        <w:kinsoku/>
        <w:wordWrap/>
        <w:overflowPunct w:val="0"/>
        <w:topLinePunct w:val="0"/>
        <w:autoSpaceDE/>
        <w:autoSpaceDN/>
        <w:bidi w:val="0"/>
        <w:adjustRightInd/>
        <w:snapToGrid/>
        <w:spacing w:beforeAutospacing="0" w:afterAutospacing="0" w:line="576" w:lineRule="exact"/>
        <w:ind w:firstLine="600" w:firstLineChars="200"/>
        <w:jc w:val="both"/>
        <w:textAlignment w:val="auto"/>
        <w:rPr>
          <w:rFonts w:hint="default" w:ascii="仿宋" w:hAnsi="仿宋" w:eastAsia="仿宋" w:cs="仿宋"/>
          <w:sz w:val="30"/>
          <w:szCs w:val="30"/>
        </w:rPr>
      </w:pPr>
    </w:p>
    <w:sectPr>
      <w:pgSz w:w="11915" w:h="16851"/>
      <w:pgMar w:top="2098" w:right="1474" w:bottom="1984" w:left="158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Segoe MDL2 Assets">
    <w:panose1 w:val="050A0102010101010101"/>
    <w:charset w:val="00"/>
    <w:family w:val="auto"/>
    <w:pitch w:val="default"/>
    <w:sig w:usb0="00000000" w:usb1="10000000" w:usb2="00000000" w:usb3="00000000" w:csb0="00000001" w:csb1="00000000"/>
  </w:font>
  <w:font w:name="Segoe UI Light">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4EF8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9ABC603">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79ABC603">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CF946B"/>
    <w:multiLevelType w:val="singleLevel"/>
    <w:tmpl w:val="B4CF946B"/>
    <w:lvl w:ilvl="0" w:tentative="0">
      <w:start w:val="1"/>
      <w:numFmt w:val="decimal"/>
      <w:suff w:val="nothing"/>
      <w:lvlText w:val="%1．"/>
      <w:lvlJc w:val="left"/>
      <w:pPr>
        <w:ind w:left="0" w:firstLine="400"/>
      </w:pPr>
      <w:rPr>
        <w:rFonts w:hint="default" w:ascii="仿宋_GB2312" w:hAnsi="仿宋_GB2312" w:eastAsia="仿宋_GB2312" w:cs="仿宋_GB2312"/>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7"/>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0OWJmYmFlM2RjZDJhNjllNGZjNTZhMmI5MGRkNTMifQ=="/>
  </w:docVars>
  <w:rsids>
    <w:rsidRoot w:val="00801ABB"/>
    <w:rsid w:val="00022210"/>
    <w:rsid w:val="001D7C43"/>
    <w:rsid w:val="001D7D62"/>
    <w:rsid w:val="00201518"/>
    <w:rsid w:val="00233BEE"/>
    <w:rsid w:val="003058C6"/>
    <w:rsid w:val="003421B3"/>
    <w:rsid w:val="003577A2"/>
    <w:rsid w:val="00801ABB"/>
    <w:rsid w:val="008B1C80"/>
    <w:rsid w:val="009A38E3"/>
    <w:rsid w:val="009B1E23"/>
    <w:rsid w:val="00A97227"/>
    <w:rsid w:val="00AE786B"/>
    <w:rsid w:val="00CC0113"/>
    <w:rsid w:val="00DC2D83"/>
    <w:rsid w:val="00E84571"/>
    <w:rsid w:val="01E943A0"/>
    <w:rsid w:val="02775E4F"/>
    <w:rsid w:val="02E16CA8"/>
    <w:rsid w:val="030F10B7"/>
    <w:rsid w:val="04D1466B"/>
    <w:rsid w:val="05B055A6"/>
    <w:rsid w:val="05BF529F"/>
    <w:rsid w:val="06FE2F2D"/>
    <w:rsid w:val="076D3A81"/>
    <w:rsid w:val="07A96AEE"/>
    <w:rsid w:val="07B37C1F"/>
    <w:rsid w:val="08345D51"/>
    <w:rsid w:val="0874513E"/>
    <w:rsid w:val="08FA36D7"/>
    <w:rsid w:val="09AA6B0A"/>
    <w:rsid w:val="09CB4CD3"/>
    <w:rsid w:val="0A0338DA"/>
    <w:rsid w:val="0A3E30F2"/>
    <w:rsid w:val="0AE778EA"/>
    <w:rsid w:val="0B187AA4"/>
    <w:rsid w:val="0D5116CB"/>
    <w:rsid w:val="0E9E1642"/>
    <w:rsid w:val="0ED541D7"/>
    <w:rsid w:val="11551A52"/>
    <w:rsid w:val="1235718D"/>
    <w:rsid w:val="127B5956"/>
    <w:rsid w:val="12CD42D0"/>
    <w:rsid w:val="133D4207"/>
    <w:rsid w:val="139D792C"/>
    <w:rsid w:val="14724BAC"/>
    <w:rsid w:val="14C070ED"/>
    <w:rsid w:val="14D62EA9"/>
    <w:rsid w:val="15D67329"/>
    <w:rsid w:val="177B1AE6"/>
    <w:rsid w:val="17EF06F4"/>
    <w:rsid w:val="18ED2570"/>
    <w:rsid w:val="18F41B50"/>
    <w:rsid w:val="190E24E6"/>
    <w:rsid w:val="195066E0"/>
    <w:rsid w:val="19B7492C"/>
    <w:rsid w:val="19BD5EE0"/>
    <w:rsid w:val="19EA1203"/>
    <w:rsid w:val="1AF0162C"/>
    <w:rsid w:val="1B736FAF"/>
    <w:rsid w:val="1B7725A8"/>
    <w:rsid w:val="1BBC27E6"/>
    <w:rsid w:val="1BEF65FF"/>
    <w:rsid w:val="1C9553F8"/>
    <w:rsid w:val="1CEC12BA"/>
    <w:rsid w:val="1D4F79E5"/>
    <w:rsid w:val="1E677DFF"/>
    <w:rsid w:val="1E8C6387"/>
    <w:rsid w:val="1EDB78DB"/>
    <w:rsid w:val="1F8F34FB"/>
    <w:rsid w:val="1FE43FA1"/>
    <w:rsid w:val="203A2EFB"/>
    <w:rsid w:val="20827A42"/>
    <w:rsid w:val="215F7D83"/>
    <w:rsid w:val="22D16A5E"/>
    <w:rsid w:val="22DA3EDC"/>
    <w:rsid w:val="23B33488"/>
    <w:rsid w:val="242A3FC1"/>
    <w:rsid w:val="263058CE"/>
    <w:rsid w:val="264F79AF"/>
    <w:rsid w:val="26832575"/>
    <w:rsid w:val="27602AA7"/>
    <w:rsid w:val="278B5211"/>
    <w:rsid w:val="287C563E"/>
    <w:rsid w:val="28AB1AFF"/>
    <w:rsid w:val="29B831BD"/>
    <w:rsid w:val="2A461AE0"/>
    <w:rsid w:val="2AE31A25"/>
    <w:rsid w:val="2CAF7D9B"/>
    <w:rsid w:val="2CCB019C"/>
    <w:rsid w:val="2D0E06C6"/>
    <w:rsid w:val="2D8477E3"/>
    <w:rsid w:val="2DCA7CF3"/>
    <w:rsid w:val="2E314855"/>
    <w:rsid w:val="2E5E3B86"/>
    <w:rsid w:val="2F603327"/>
    <w:rsid w:val="2F7D6357"/>
    <w:rsid w:val="3064495C"/>
    <w:rsid w:val="317F1D7B"/>
    <w:rsid w:val="325A3C70"/>
    <w:rsid w:val="33ED255F"/>
    <w:rsid w:val="343926B5"/>
    <w:rsid w:val="348558FB"/>
    <w:rsid w:val="34E41A9A"/>
    <w:rsid w:val="356A12DA"/>
    <w:rsid w:val="36C64A84"/>
    <w:rsid w:val="36E20AAE"/>
    <w:rsid w:val="37652E67"/>
    <w:rsid w:val="37C643CA"/>
    <w:rsid w:val="383B4C4E"/>
    <w:rsid w:val="387C0DC3"/>
    <w:rsid w:val="389B56ED"/>
    <w:rsid w:val="38CA4224"/>
    <w:rsid w:val="399D7289"/>
    <w:rsid w:val="39F74BA5"/>
    <w:rsid w:val="3A706705"/>
    <w:rsid w:val="3AF15D07"/>
    <w:rsid w:val="3B086599"/>
    <w:rsid w:val="3B940D00"/>
    <w:rsid w:val="3B9B5A04"/>
    <w:rsid w:val="3CB1383A"/>
    <w:rsid w:val="3F035D9A"/>
    <w:rsid w:val="3F7607FD"/>
    <w:rsid w:val="3FB3156E"/>
    <w:rsid w:val="3FC92B3F"/>
    <w:rsid w:val="405B137D"/>
    <w:rsid w:val="407E54EA"/>
    <w:rsid w:val="42F55DE0"/>
    <w:rsid w:val="42FA5706"/>
    <w:rsid w:val="430B7913"/>
    <w:rsid w:val="438A0837"/>
    <w:rsid w:val="439F6C52"/>
    <w:rsid w:val="43D07B8B"/>
    <w:rsid w:val="44BA514C"/>
    <w:rsid w:val="44BC2C73"/>
    <w:rsid w:val="44F62E14"/>
    <w:rsid w:val="450255B5"/>
    <w:rsid w:val="45667082"/>
    <w:rsid w:val="458E4348"/>
    <w:rsid w:val="45EF0E26"/>
    <w:rsid w:val="462D25CE"/>
    <w:rsid w:val="4832149E"/>
    <w:rsid w:val="486C726D"/>
    <w:rsid w:val="48757D08"/>
    <w:rsid w:val="497D499A"/>
    <w:rsid w:val="49F40337"/>
    <w:rsid w:val="49FB3008"/>
    <w:rsid w:val="4B024675"/>
    <w:rsid w:val="4BC468B1"/>
    <w:rsid w:val="4C725668"/>
    <w:rsid w:val="4C8A18A8"/>
    <w:rsid w:val="4CD86AB8"/>
    <w:rsid w:val="4D3006A2"/>
    <w:rsid w:val="4D6345A6"/>
    <w:rsid w:val="4E2B70BB"/>
    <w:rsid w:val="4E4C41CE"/>
    <w:rsid w:val="4EF86F9D"/>
    <w:rsid w:val="50FA0EA6"/>
    <w:rsid w:val="51542485"/>
    <w:rsid w:val="52CD28C8"/>
    <w:rsid w:val="52FB705C"/>
    <w:rsid w:val="55A87F2C"/>
    <w:rsid w:val="575C2093"/>
    <w:rsid w:val="5798756F"/>
    <w:rsid w:val="57D9322F"/>
    <w:rsid w:val="584E5E80"/>
    <w:rsid w:val="5876B902"/>
    <w:rsid w:val="58DF4D2A"/>
    <w:rsid w:val="58F42EAF"/>
    <w:rsid w:val="598C540C"/>
    <w:rsid w:val="59A55F2E"/>
    <w:rsid w:val="59AB20A1"/>
    <w:rsid w:val="5A3926B7"/>
    <w:rsid w:val="5A6A4AC7"/>
    <w:rsid w:val="5AA1498D"/>
    <w:rsid w:val="5B773940"/>
    <w:rsid w:val="5DE76D29"/>
    <w:rsid w:val="5E8E347A"/>
    <w:rsid w:val="5F422A11"/>
    <w:rsid w:val="5F5A2904"/>
    <w:rsid w:val="600357A2"/>
    <w:rsid w:val="60B42F40"/>
    <w:rsid w:val="61190980"/>
    <w:rsid w:val="616177F4"/>
    <w:rsid w:val="61C62B9A"/>
    <w:rsid w:val="643D2F37"/>
    <w:rsid w:val="64547F6B"/>
    <w:rsid w:val="64855DC5"/>
    <w:rsid w:val="64EB5335"/>
    <w:rsid w:val="658C7FE7"/>
    <w:rsid w:val="665E1984"/>
    <w:rsid w:val="670D087B"/>
    <w:rsid w:val="675F3C06"/>
    <w:rsid w:val="67685E63"/>
    <w:rsid w:val="67FD341E"/>
    <w:rsid w:val="689618A9"/>
    <w:rsid w:val="694831A6"/>
    <w:rsid w:val="69F412EE"/>
    <w:rsid w:val="6A837C0B"/>
    <w:rsid w:val="6A95683A"/>
    <w:rsid w:val="6ACB5A74"/>
    <w:rsid w:val="6B741C4A"/>
    <w:rsid w:val="6B905DD2"/>
    <w:rsid w:val="6C3A69EF"/>
    <w:rsid w:val="6E250C27"/>
    <w:rsid w:val="6E731D44"/>
    <w:rsid w:val="6E946CD9"/>
    <w:rsid w:val="6EF235B1"/>
    <w:rsid w:val="70167673"/>
    <w:rsid w:val="702E23C7"/>
    <w:rsid w:val="70473489"/>
    <w:rsid w:val="70722C7F"/>
    <w:rsid w:val="70B36D70"/>
    <w:rsid w:val="735F6D3B"/>
    <w:rsid w:val="739A7D73"/>
    <w:rsid w:val="74007F76"/>
    <w:rsid w:val="75005A8A"/>
    <w:rsid w:val="757840E4"/>
    <w:rsid w:val="75EC1263"/>
    <w:rsid w:val="75F220E9"/>
    <w:rsid w:val="76BA1D3C"/>
    <w:rsid w:val="76E063E5"/>
    <w:rsid w:val="79420C91"/>
    <w:rsid w:val="79BD2A0E"/>
    <w:rsid w:val="79C0778B"/>
    <w:rsid w:val="7A431165"/>
    <w:rsid w:val="7A911ED0"/>
    <w:rsid w:val="7B0F6DF0"/>
    <w:rsid w:val="7B951E03"/>
    <w:rsid w:val="7E9B67B0"/>
    <w:rsid w:val="7ED303FC"/>
    <w:rsid w:val="FEDEB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99"/>
    <w:rPr>
      <w:rFonts w:hint="eastAsia" w:ascii="宋体" w:hAnsi="宋体" w:eastAsia="宋体" w:cs="Times New Roman"/>
      <w:sz w:val="24"/>
      <w:szCs w:val="24"/>
      <w:lang w:val="en-US" w:eastAsia="zh-CN" w:bidi="ar-SA"/>
    </w:rPr>
  </w:style>
  <w:style w:type="paragraph" w:styleId="3">
    <w:name w:val="heading 1"/>
    <w:basedOn w:val="1"/>
    <w:next w:val="1"/>
    <w:qFormat/>
    <w:uiPriority w:val="0"/>
    <w:pPr>
      <w:spacing w:beforeAutospacing="1" w:afterAutospacing="1"/>
      <w:outlineLvl w:val="0"/>
    </w:pPr>
    <w:rPr>
      <w:b/>
      <w:bCs/>
      <w:kern w:val="44"/>
      <w:sz w:val="48"/>
      <w:szCs w:val="48"/>
    </w:rPr>
  </w:style>
  <w:style w:type="paragraph" w:styleId="2">
    <w:name w:val="heading 2"/>
    <w:basedOn w:val="1"/>
    <w:next w:val="1"/>
    <w:qFormat/>
    <w:uiPriority w:val="0"/>
    <w:pPr>
      <w:spacing w:beforeAutospacing="1" w:afterAutospacing="1"/>
      <w:outlineLvl w:val="1"/>
    </w:pPr>
    <w:rPr>
      <w:b/>
      <w:bCs/>
      <w:sz w:val="36"/>
      <w:szCs w:val="36"/>
    </w:rPr>
  </w:style>
  <w:style w:type="paragraph" w:styleId="4">
    <w:name w:val="heading 3"/>
    <w:basedOn w:val="1"/>
    <w:next w:val="1"/>
    <w:qFormat/>
    <w:uiPriority w:val="0"/>
    <w:pPr>
      <w:spacing w:beforeAutospacing="1" w:afterAutospacing="1"/>
      <w:outlineLvl w:val="2"/>
    </w:pPr>
    <w:rPr>
      <w:b/>
      <w:bCs/>
      <w:sz w:val="27"/>
      <w:szCs w:val="27"/>
    </w:rPr>
  </w:style>
  <w:style w:type="paragraph" w:styleId="5">
    <w:name w:val="heading 4"/>
    <w:basedOn w:val="1"/>
    <w:next w:val="1"/>
    <w:qFormat/>
    <w:uiPriority w:val="0"/>
    <w:pPr>
      <w:spacing w:beforeAutospacing="1" w:afterAutospacing="1"/>
      <w:outlineLvl w:val="3"/>
    </w:pPr>
    <w:rPr>
      <w:b/>
      <w:bCs/>
    </w:rPr>
  </w:style>
  <w:style w:type="paragraph" w:styleId="6">
    <w:name w:val="heading 5"/>
    <w:basedOn w:val="1"/>
    <w:next w:val="1"/>
    <w:qFormat/>
    <w:uiPriority w:val="0"/>
    <w:pPr>
      <w:spacing w:beforeAutospacing="1" w:afterAutospacing="1"/>
      <w:outlineLvl w:val="4"/>
    </w:pPr>
    <w:rPr>
      <w:b/>
      <w:bCs/>
      <w:sz w:val="20"/>
      <w:szCs w:val="20"/>
    </w:rPr>
  </w:style>
  <w:style w:type="paragraph" w:styleId="7">
    <w:name w:val="heading 6"/>
    <w:basedOn w:val="1"/>
    <w:next w:val="1"/>
    <w:qFormat/>
    <w:uiPriority w:val="0"/>
    <w:pPr>
      <w:spacing w:beforeAutospacing="1" w:afterAutospacing="1"/>
      <w:outlineLvl w:val="5"/>
    </w:pPr>
    <w:rPr>
      <w:b/>
      <w:bCs/>
      <w:sz w:val="15"/>
      <w:szCs w:val="15"/>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Body Text"/>
    <w:basedOn w:val="1"/>
    <w:qFormat/>
    <w:uiPriority w:val="0"/>
    <w:pPr>
      <w:spacing w:beforeAutospacing="1" w:afterAutospacing="1"/>
    </w:pPr>
  </w:style>
  <w:style w:type="paragraph" w:styleId="9">
    <w:name w:val="Body Text Indent"/>
    <w:basedOn w:val="1"/>
    <w:next w:val="10"/>
    <w:qFormat/>
    <w:uiPriority w:val="0"/>
    <w:pPr>
      <w:ind w:left="359"/>
    </w:pPr>
    <w:rPr>
      <w:rFonts w:hint="default" w:ascii="Times New Roman" w:hAnsi="Times New Roman"/>
      <w:sz w:val="28"/>
      <w:szCs w:val="28"/>
    </w:rPr>
  </w:style>
  <w:style w:type="paragraph" w:styleId="10">
    <w:name w:val="Body Text First Indent 2"/>
    <w:basedOn w:val="9"/>
    <w:qFormat/>
    <w:uiPriority w:val="0"/>
    <w:rPr>
      <w:rFonts w:ascii="Calibri" w:hAnsi="Calibri"/>
      <w:sz w:val="21"/>
      <w:szCs w:val="21"/>
    </w:rPr>
  </w:style>
  <w:style w:type="paragraph" w:styleId="11">
    <w:name w:val="Balloon Text"/>
    <w:basedOn w:val="1"/>
    <w:link w:val="27"/>
    <w:qFormat/>
    <w:uiPriority w:val="0"/>
    <w:rPr>
      <w:sz w:val="18"/>
      <w:szCs w:val="18"/>
    </w:rPr>
  </w:style>
  <w:style w:type="paragraph" w:styleId="12">
    <w:name w:val="footer"/>
    <w:basedOn w:val="1"/>
    <w:qFormat/>
    <w:uiPriority w:val="0"/>
    <w:pPr>
      <w:snapToGrid w:val="0"/>
    </w:pPr>
    <w:rPr>
      <w:sz w:val="18"/>
      <w:szCs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15">
    <w:name w:val="Normal (Web)"/>
    <w:basedOn w:val="1"/>
    <w:qFormat/>
    <w:uiPriority w:val="0"/>
    <w:pPr>
      <w:spacing w:beforeAutospacing="1" w:afterAutospacing="1"/>
    </w:pPr>
  </w:style>
  <w:style w:type="paragraph" w:customStyle="1" w:styleId="18">
    <w:name w:val="BodyText1I2"/>
    <w:basedOn w:val="19"/>
    <w:qFormat/>
    <w:uiPriority w:val="0"/>
    <w:pPr>
      <w:ind w:left="420" w:firstLine="420" w:firstLineChars="200"/>
    </w:pPr>
    <w:rPr>
      <w:rFonts w:hAnsi="Calibri"/>
      <w:sz w:val="21"/>
    </w:rPr>
  </w:style>
  <w:style w:type="paragraph" w:customStyle="1" w:styleId="19">
    <w:name w:val="BodyTextIndent"/>
    <w:basedOn w:val="1"/>
    <w:qFormat/>
    <w:uiPriority w:val="0"/>
    <w:pPr>
      <w:spacing w:after="120"/>
      <w:ind w:left="200" w:leftChars="200"/>
      <w:jc w:val="both"/>
      <w:textAlignment w:val="baseline"/>
    </w:pPr>
  </w:style>
  <w:style w:type="character" w:customStyle="1" w:styleId="20">
    <w:name w:val="16"/>
    <w:basedOn w:val="17"/>
    <w:qFormat/>
    <w:uiPriority w:val="0"/>
    <w:rPr>
      <w:rFonts w:hint="default" w:ascii="Times New Roman" w:hAnsi="Times New Roman" w:cs="Times New Roman"/>
      <w:b/>
    </w:rPr>
  </w:style>
  <w:style w:type="paragraph" w:customStyle="1" w:styleId="21">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22">
    <w:name w:val="15"/>
    <w:basedOn w:val="17"/>
    <w:qFormat/>
    <w:uiPriority w:val="0"/>
    <w:rPr>
      <w:rFonts w:hint="default" w:ascii="Times New Roman" w:hAnsi="Times New Roman" w:cs="Times New Roman"/>
      <w:b/>
    </w:rPr>
  </w:style>
  <w:style w:type="character" w:customStyle="1" w:styleId="23">
    <w:name w:val="10"/>
    <w:basedOn w:val="17"/>
    <w:qFormat/>
    <w:uiPriority w:val="0"/>
    <w:rPr>
      <w:rFonts w:hint="default" w:ascii="Times New Roman" w:hAnsi="Times New Roman" w:cs="Times New Roman"/>
    </w:rPr>
  </w:style>
  <w:style w:type="paragraph" w:customStyle="1" w:styleId="24">
    <w:name w:val="普通(网站) Char"/>
    <w:basedOn w:val="1"/>
    <w:qFormat/>
    <w:uiPriority w:val="0"/>
    <w:pPr>
      <w:spacing w:beforeAutospacing="1" w:afterAutospacing="1"/>
    </w:pPr>
  </w:style>
  <w:style w:type="character" w:customStyle="1" w:styleId="25">
    <w:name w:val="NormalCharacter"/>
    <w:link w:val="26"/>
    <w:qFormat/>
    <w:uiPriority w:val="0"/>
  </w:style>
  <w:style w:type="paragraph" w:customStyle="1" w:styleId="26">
    <w:name w:val="UserStyle_0"/>
    <w:basedOn w:val="1"/>
    <w:link w:val="25"/>
    <w:qFormat/>
    <w:uiPriority w:val="0"/>
    <w:pPr>
      <w:spacing w:before="312" w:after="160" w:line="240" w:lineRule="exact"/>
      <w:textAlignment w:val="baseline"/>
    </w:pPr>
  </w:style>
  <w:style w:type="character" w:customStyle="1" w:styleId="27">
    <w:name w:val="批注框文本 Char"/>
    <w:basedOn w:val="17"/>
    <w:link w:val="11"/>
    <w:qFormat/>
    <w:uiPriority w:val="0"/>
    <w:rPr>
      <w:rFonts w:ascii="宋体" w:hAnsi="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3419</Words>
  <Characters>3917</Characters>
  <Lines>5</Lines>
  <Paragraphs>8</Paragraphs>
  <TotalTime>1</TotalTime>
  <ScaleCrop>false</ScaleCrop>
  <LinksUpToDate>false</LinksUpToDate>
  <CharactersWithSpaces>3933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2025-01-18T10:34:00Z</dcterms:created>
  <dc:creator>Administrator</dc:creator>
  <cp:lastModifiedBy>贪狼星</cp:lastModifiedBy>
  <dcterms:modified xsi:type="dcterms:W3CDTF">2025-01-20T03:22:20Z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547A8FDE11FF4DA1A6735C04B1918F53_13</vt:lpwstr>
  </property>
  <property fmtid="{D5CDD505-2E9C-101B-9397-08002B2CF9AE}" pid="4" name="KSOTemplateDocerSaveRecord">
    <vt:lpwstr>eyJoZGlkIjoiN2RhYTBmMzY5NmJkNzJiNWJkZDljZmNlZmQyODRiZDYiLCJ1c2VySWQiOiIxMjE0NTk0OTg1In0=</vt:lpwstr>
  </property>
</Properties>
</file>