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F12E3B">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lang w:eastAsia="zh-CN"/>
        </w:rPr>
      </w:pPr>
    </w:p>
    <w:p w14:paraId="26720836">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lang w:eastAsia="zh-CN"/>
        </w:rPr>
      </w:pPr>
    </w:p>
    <w:p w14:paraId="50667E0D">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lang w:eastAsia="zh-CN"/>
        </w:rPr>
      </w:pPr>
    </w:p>
    <w:p w14:paraId="58D2B182">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lang w:eastAsia="zh-CN"/>
        </w:rPr>
      </w:pPr>
    </w:p>
    <w:p w14:paraId="1B7AB0E0">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lang w:eastAsia="zh-CN"/>
        </w:rPr>
      </w:pPr>
    </w:p>
    <w:p w14:paraId="3F3F2194">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lang w:eastAsia="zh-CN"/>
        </w:rPr>
      </w:pPr>
    </w:p>
    <w:p w14:paraId="3C2DB62C">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lang w:eastAsia="zh-CN"/>
        </w:rPr>
      </w:pPr>
    </w:p>
    <w:p w14:paraId="2E576B39">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lang w:eastAsia="zh-CN"/>
        </w:rPr>
      </w:pPr>
    </w:p>
    <w:p w14:paraId="431283F7">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lang w:eastAsia="zh-CN"/>
        </w:rPr>
      </w:pPr>
      <w:r>
        <w:rPr>
          <w:rFonts w:hint="eastAsia" w:ascii="方正小标宋简体" w:hAnsi="方正小标宋简体" w:eastAsia="方正小标宋简体" w:cs="方正小标宋简体"/>
          <w:b w:val="0"/>
          <w:bCs/>
          <w:sz w:val="44"/>
          <w:szCs w:val="44"/>
          <w:lang w:eastAsia="zh-CN"/>
        </w:rPr>
        <w:t>红原县司法局</w:t>
      </w:r>
    </w:p>
    <w:p w14:paraId="7326EB21">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0"/>
          <w:szCs w:val="40"/>
        </w:rPr>
      </w:pPr>
      <w:r>
        <w:rPr>
          <w:rFonts w:hint="eastAsia" w:ascii="方正小标宋简体" w:hAnsi="方正小标宋简体" w:eastAsia="方正小标宋简体" w:cs="方正小标宋简体"/>
          <w:b w:val="0"/>
          <w:bCs/>
          <w:sz w:val="44"/>
          <w:szCs w:val="44"/>
          <w:lang w:eastAsia="zh-CN"/>
        </w:rPr>
        <w:t>202</w:t>
      </w:r>
      <w:r>
        <w:rPr>
          <w:rFonts w:hint="eastAsia" w:ascii="方正小标宋简体" w:hAnsi="方正小标宋简体" w:eastAsia="方正小标宋简体" w:cs="方正小标宋简体"/>
          <w:b w:val="0"/>
          <w:bCs/>
          <w:sz w:val="44"/>
          <w:szCs w:val="44"/>
          <w:lang w:val="en-US" w:eastAsia="zh-CN"/>
        </w:rPr>
        <w:t>5</w:t>
      </w:r>
      <w:r>
        <w:rPr>
          <w:rFonts w:hint="eastAsia" w:ascii="方正小标宋简体" w:hAnsi="方正小标宋简体" w:eastAsia="方正小标宋简体" w:cs="方正小标宋简体"/>
          <w:b w:val="0"/>
          <w:bCs/>
          <w:sz w:val="44"/>
          <w:szCs w:val="44"/>
          <w:lang w:eastAsia="zh-CN"/>
        </w:rPr>
        <w:t>年</w:t>
      </w:r>
      <w:r>
        <w:rPr>
          <w:rFonts w:hint="eastAsia" w:ascii="方正小标宋简体" w:hAnsi="方正小标宋简体" w:eastAsia="方正小标宋简体" w:cs="方正小标宋简体"/>
          <w:b w:val="0"/>
          <w:bCs/>
          <w:sz w:val="44"/>
          <w:szCs w:val="44"/>
        </w:rPr>
        <w:t>部门预算编制的说明</w:t>
      </w:r>
    </w:p>
    <w:p w14:paraId="2D70FF5F">
      <w:pPr>
        <w:pStyle w:val="4"/>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宋体" w:hAnsi="宋体" w:eastAsia="宋体"/>
          <w:b/>
          <w:sz w:val="44"/>
          <w:szCs w:val="44"/>
        </w:rPr>
      </w:pPr>
      <w:r>
        <w:rPr>
          <w:rFonts w:hint="eastAsia" w:ascii="宋体" w:hAnsi="宋体" w:eastAsia="宋体"/>
          <w:b/>
          <w:sz w:val="44"/>
          <w:szCs w:val="44"/>
        </w:rPr>
        <w:t xml:space="preserve">    </w:t>
      </w:r>
    </w:p>
    <w:p w14:paraId="6ACD45C9">
      <w:pPr>
        <w:spacing w:before="0" w:beforeLines="0" w:after="0" w:afterLines="0" w:line="240" w:lineRule="auto"/>
        <w:ind w:right="0" w:rightChars="0"/>
        <w:jc w:val="center"/>
        <w:rPr>
          <w:rFonts w:ascii="宋体" w:hAnsi="宋体" w:eastAsia="宋体"/>
          <w:b/>
          <w:sz w:val="44"/>
          <w:szCs w:val="44"/>
        </w:rPr>
      </w:pPr>
    </w:p>
    <w:p w14:paraId="4504A3B9">
      <w:pPr>
        <w:spacing w:before="0" w:beforeLines="0" w:after="0" w:afterLines="0" w:line="240" w:lineRule="auto"/>
        <w:ind w:right="0" w:rightChars="0"/>
        <w:jc w:val="center"/>
        <w:rPr>
          <w:rFonts w:ascii="宋体" w:hAnsi="宋体" w:eastAsia="宋体"/>
          <w:b/>
          <w:sz w:val="44"/>
          <w:szCs w:val="44"/>
        </w:rPr>
      </w:pPr>
    </w:p>
    <w:p w14:paraId="7A994CDE">
      <w:pPr>
        <w:spacing w:before="0" w:beforeLines="0" w:after="0" w:afterLines="0" w:line="240" w:lineRule="auto"/>
        <w:ind w:right="0" w:rightChars="0"/>
        <w:jc w:val="center"/>
        <w:rPr>
          <w:rFonts w:ascii="宋体" w:hAnsi="宋体" w:eastAsia="宋体"/>
          <w:b/>
          <w:sz w:val="44"/>
          <w:szCs w:val="44"/>
        </w:rPr>
      </w:pPr>
    </w:p>
    <w:p w14:paraId="6A50B714">
      <w:pPr>
        <w:spacing w:before="0" w:beforeLines="0" w:after="0" w:afterLines="0" w:line="240" w:lineRule="auto"/>
        <w:ind w:right="0" w:rightChars="0"/>
        <w:jc w:val="center"/>
        <w:rPr>
          <w:rFonts w:ascii="宋体" w:hAnsi="宋体" w:eastAsia="宋体"/>
          <w:b/>
          <w:sz w:val="44"/>
          <w:szCs w:val="44"/>
        </w:rPr>
      </w:pPr>
    </w:p>
    <w:p w14:paraId="63914AF0">
      <w:pPr>
        <w:spacing w:before="0" w:beforeLines="0" w:after="0" w:afterLines="0" w:line="240" w:lineRule="auto"/>
        <w:ind w:right="0" w:rightChars="0"/>
        <w:jc w:val="center"/>
        <w:rPr>
          <w:rFonts w:ascii="宋体" w:hAnsi="宋体" w:eastAsia="宋体"/>
          <w:b/>
          <w:sz w:val="44"/>
          <w:szCs w:val="44"/>
        </w:rPr>
      </w:pPr>
    </w:p>
    <w:p w14:paraId="0AA10B73">
      <w:pPr>
        <w:spacing w:before="0" w:beforeLines="0" w:after="0" w:afterLines="0" w:line="240" w:lineRule="auto"/>
        <w:ind w:right="0" w:rightChars="0"/>
        <w:jc w:val="center"/>
        <w:rPr>
          <w:rFonts w:ascii="宋体" w:hAnsi="宋体" w:eastAsia="宋体"/>
          <w:b/>
          <w:sz w:val="44"/>
          <w:szCs w:val="44"/>
        </w:rPr>
      </w:pPr>
    </w:p>
    <w:p w14:paraId="377D910F">
      <w:pPr>
        <w:spacing w:before="0" w:beforeLines="0" w:after="0" w:afterLines="0" w:line="240" w:lineRule="auto"/>
        <w:ind w:right="0" w:rightChars="0"/>
        <w:jc w:val="center"/>
        <w:rPr>
          <w:rFonts w:ascii="宋体" w:hAnsi="宋体" w:eastAsia="宋体"/>
          <w:b/>
          <w:sz w:val="44"/>
          <w:szCs w:val="44"/>
        </w:rPr>
      </w:pPr>
    </w:p>
    <w:p w14:paraId="0DDC090F">
      <w:pPr>
        <w:spacing w:before="0" w:beforeLines="0" w:after="0" w:afterLines="0" w:line="240" w:lineRule="auto"/>
        <w:ind w:right="0" w:rightChars="0"/>
        <w:jc w:val="center"/>
        <w:rPr>
          <w:rFonts w:ascii="宋体" w:hAnsi="宋体" w:eastAsia="宋体"/>
          <w:b/>
          <w:sz w:val="44"/>
          <w:szCs w:val="44"/>
        </w:rPr>
      </w:pPr>
    </w:p>
    <w:p w14:paraId="3E4E714A">
      <w:pPr>
        <w:spacing w:before="0" w:beforeLines="0" w:after="0" w:afterLines="0" w:line="240" w:lineRule="auto"/>
        <w:ind w:right="0" w:rightChars="0"/>
        <w:jc w:val="both"/>
        <w:rPr>
          <w:rFonts w:ascii="宋体" w:hAnsi="宋体" w:eastAsia="宋体"/>
          <w:b/>
          <w:sz w:val="44"/>
          <w:szCs w:val="44"/>
        </w:rPr>
      </w:pPr>
    </w:p>
    <w:p w14:paraId="0AA3A80C">
      <w:pPr>
        <w:spacing w:before="0" w:beforeLines="0" w:after="0" w:afterLines="0" w:line="240" w:lineRule="auto"/>
        <w:ind w:right="0" w:rightChars="0"/>
        <w:jc w:val="center"/>
        <w:rPr>
          <w:rFonts w:ascii="宋体" w:hAnsi="宋体" w:eastAsia="宋体"/>
          <w:b/>
          <w:sz w:val="44"/>
          <w:szCs w:val="44"/>
        </w:rPr>
      </w:pPr>
    </w:p>
    <w:p w14:paraId="33FF3B51">
      <w:pPr>
        <w:spacing w:before="0" w:beforeLines="0" w:after="0" w:afterLines="0" w:line="240" w:lineRule="auto"/>
        <w:ind w:right="0" w:rightChars="0"/>
        <w:jc w:val="center"/>
        <w:rPr>
          <w:rFonts w:ascii="宋体" w:hAnsi="宋体" w:eastAsia="宋体"/>
          <w:b/>
          <w:sz w:val="44"/>
          <w:szCs w:val="44"/>
        </w:rPr>
      </w:pPr>
    </w:p>
    <w:p w14:paraId="1E5490E4">
      <w:pPr>
        <w:spacing w:before="0" w:beforeLines="0" w:after="0" w:afterLines="0" w:line="240" w:lineRule="auto"/>
        <w:ind w:right="0" w:rightChars="0"/>
        <w:jc w:val="center"/>
        <w:rPr>
          <w:rFonts w:ascii="宋体" w:hAnsi="宋体" w:eastAsia="宋体"/>
          <w:b/>
          <w:sz w:val="44"/>
          <w:szCs w:val="44"/>
        </w:rPr>
        <w:sectPr>
          <w:headerReference r:id="rId3" w:type="default"/>
          <w:footerReference r:id="rId4" w:type="default"/>
          <w:pgSz w:w="11906" w:h="16838"/>
          <w:pgMar w:top="2098" w:right="1418" w:bottom="1588" w:left="1644" w:header="851" w:footer="992" w:gutter="0"/>
          <w:pgNumType w:start="1"/>
          <w:cols w:space="720" w:num="1"/>
          <w:docGrid w:type="lines" w:linePitch="312" w:charSpace="0"/>
        </w:sectPr>
      </w:pPr>
    </w:p>
    <w:p w14:paraId="5C1F0DFE">
      <w:pPr>
        <w:spacing w:before="0" w:beforeLines="0" w:after="0" w:afterLines="0" w:line="240" w:lineRule="auto"/>
        <w:ind w:right="0" w:rightChars="0"/>
        <w:jc w:val="center"/>
        <w:rPr>
          <w:rFonts w:hint="eastAsia" w:ascii="微软雅黑" w:hAnsi="微软雅黑" w:eastAsia="微软雅黑" w:cs="微软雅黑"/>
          <w:sz w:val="40"/>
          <w:szCs w:val="40"/>
        </w:rPr>
      </w:pPr>
      <w:r>
        <w:rPr>
          <w:rFonts w:ascii="宋体" w:hAnsi="宋体" w:eastAsia="宋体"/>
          <w:b/>
          <w:sz w:val="44"/>
          <w:szCs w:val="44"/>
        </w:rPr>
        <w:t xml:space="preserve">  </w:t>
      </w:r>
      <w:r>
        <w:rPr>
          <w:rFonts w:hint="eastAsia" w:ascii="微软雅黑" w:hAnsi="微软雅黑" w:eastAsia="微软雅黑" w:cs="微软雅黑"/>
          <w:sz w:val="40"/>
          <w:szCs w:val="40"/>
        </w:rPr>
        <w:t>目录</w:t>
      </w:r>
    </w:p>
    <w:p w14:paraId="0369F528">
      <w:pPr>
        <w:pStyle w:val="15"/>
        <w:tabs>
          <w:tab w:val="right" w:leader="dot" w:pos="8844"/>
        </w:tabs>
        <w:rPr>
          <w:rFonts w:hint="eastAsia" w:ascii="仿宋" w:hAnsi="仿宋" w:eastAsia="仿宋" w:cs="仿宋"/>
          <w:sz w:val="32"/>
          <w:szCs w:val="32"/>
          <w:lang w:eastAsia="zh-CN"/>
        </w:rPr>
      </w:pPr>
    </w:p>
    <w:p w14:paraId="1F10D988">
      <w:pPr>
        <w:pStyle w:val="15"/>
        <w:tabs>
          <w:tab w:val="right" w:leader="dot" w:pos="8844"/>
        </w:tabs>
        <w:rPr>
          <w:rFonts w:hint="eastAsia" w:ascii="仿宋" w:hAnsi="仿宋" w:eastAsia="仿宋" w:cs="仿宋"/>
          <w:b/>
          <w:sz w:val="32"/>
          <w:szCs w:val="32"/>
        </w:rPr>
      </w:pPr>
      <w:r>
        <w:rPr>
          <w:rFonts w:hint="eastAsia" w:ascii="仿宋" w:hAnsi="仿宋" w:eastAsia="仿宋" w:cs="仿宋"/>
          <w:sz w:val="32"/>
          <w:szCs w:val="32"/>
          <w:lang w:eastAsia="zh-CN"/>
        </w:rPr>
        <w:fldChar w:fldCharType="begin"/>
      </w:r>
      <w:r>
        <w:rPr>
          <w:rFonts w:hint="eastAsia" w:ascii="仿宋" w:hAnsi="仿宋" w:eastAsia="仿宋" w:cs="仿宋"/>
          <w:sz w:val="32"/>
          <w:szCs w:val="32"/>
          <w:lang w:eastAsia="zh-CN"/>
        </w:rPr>
        <w:instrText xml:space="preserve">TOC \o "1-2" \h \u </w:instrText>
      </w:r>
      <w:r>
        <w:rPr>
          <w:rFonts w:hint="eastAsia" w:ascii="仿宋" w:hAnsi="仿宋" w:eastAsia="仿宋" w:cs="仿宋"/>
          <w:sz w:val="32"/>
          <w:szCs w:val="32"/>
          <w:lang w:eastAsia="zh-CN"/>
        </w:rPr>
        <w:fldChar w:fldCharType="separate"/>
      </w:r>
      <w:r>
        <w:rPr>
          <w:rFonts w:hint="eastAsia" w:ascii="仿宋" w:hAnsi="仿宋" w:eastAsia="仿宋" w:cs="仿宋"/>
          <w:b/>
          <w:sz w:val="32"/>
          <w:szCs w:val="32"/>
          <w:lang w:eastAsia="zh-CN"/>
        </w:rPr>
        <w:fldChar w:fldCharType="begin"/>
      </w:r>
      <w:r>
        <w:rPr>
          <w:rFonts w:hint="eastAsia" w:ascii="仿宋" w:hAnsi="仿宋" w:eastAsia="仿宋" w:cs="仿宋"/>
          <w:b/>
          <w:sz w:val="32"/>
          <w:szCs w:val="32"/>
          <w:lang w:eastAsia="zh-CN"/>
        </w:rPr>
        <w:instrText xml:space="preserve"> HYPERLINK \l _Toc16170 </w:instrText>
      </w:r>
      <w:r>
        <w:rPr>
          <w:rFonts w:hint="eastAsia" w:ascii="仿宋" w:hAnsi="仿宋" w:eastAsia="仿宋" w:cs="仿宋"/>
          <w:b/>
          <w:sz w:val="32"/>
          <w:szCs w:val="32"/>
          <w:lang w:eastAsia="zh-CN"/>
        </w:rPr>
        <w:fldChar w:fldCharType="separate"/>
      </w:r>
      <w:r>
        <w:rPr>
          <w:rFonts w:hint="eastAsia" w:ascii="仿宋" w:hAnsi="仿宋" w:eastAsia="仿宋" w:cs="仿宋"/>
          <w:b/>
          <w:bCs/>
          <w:sz w:val="32"/>
          <w:szCs w:val="32"/>
        </w:rPr>
        <w:t>一、基本职能及主要工作</w:t>
      </w:r>
      <w:r>
        <w:rPr>
          <w:rFonts w:hint="eastAsia" w:ascii="仿宋" w:hAnsi="仿宋" w:eastAsia="仿宋" w:cs="仿宋"/>
          <w:b/>
          <w:sz w:val="32"/>
          <w:szCs w:val="32"/>
        </w:rPr>
        <w:tab/>
      </w:r>
      <w:r>
        <w:rPr>
          <w:rFonts w:hint="eastAsia" w:ascii="仿宋" w:hAnsi="仿宋" w:eastAsia="仿宋" w:cs="仿宋"/>
          <w:b/>
          <w:sz w:val="32"/>
          <w:szCs w:val="32"/>
          <w:lang w:val="en-US" w:eastAsia="zh-CN"/>
        </w:rPr>
        <w:t>1</w:t>
      </w:r>
      <w:r>
        <w:rPr>
          <w:rFonts w:hint="eastAsia" w:ascii="仿宋" w:hAnsi="仿宋" w:eastAsia="仿宋" w:cs="仿宋"/>
          <w:b/>
          <w:sz w:val="32"/>
          <w:szCs w:val="32"/>
          <w:lang w:eastAsia="zh-CN"/>
        </w:rPr>
        <w:fldChar w:fldCharType="end"/>
      </w:r>
    </w:p>
    <w:p w14:paraId="1E528AA2">
      <w:pPr>
        <w:pStyle w:val="16"/>
        <w:tabs>
          <w:tab w:val="right" w:leader="dot" w:pos="8844"/>
        </w:tabs>
        <w:rPr>
          <w:rFonts w:hint="eastAsia" w:ascii="仿宋" w:hAnsi="仿宋" w:eastAsia="仿宋" w:cs="仿宋"/>
          <w:sz w:val="32"/>
          <w:szCs w:val="32"/>
        </w:rPr>
      </w:pPr>
      <w:r>
        <w:rPr>
          <w:rFonts w:hint="eastAsia" w:ascii="仿宋" w:hAnsi="仿宋" w:eastAsia="仿宋" w:cs="仿宋"/>
          <w:sz w:val="32"/>
          <w:szCs w:val="32"/>
          <w:lang w:eastAsia="zh-CN"/>
        </w:rPr>
        <w:fldChar w:fldCharType="begin"/>
      </w:r>
      <w:r>
        <w:rPr>
          <w:rFonts w:hint="eastAsia" w:ascii="仿宋" w:hAnsi="仿宋" w:eastAsia="仿宋" w:cs="仿宋"/>
          <w:sz w:val="32"/>
          <w:szCs w:val="32"/>
          <w:lang w:eastAsia="zh-CN"/>
        </w:rPr>
        <w:instrText xml:space="preserve"> HYPERLINK \l _Toc4904 </w:instrText>
      </w:r>
      <w:r>
        <w:rPr>
          <w:rFonts w:hint="eastAsia" w:ascii="仿宋" w:hAnsi="仿宋" w:eastAsia="仿宋" w:cs="仿宋"/>
          <w:sz w:val="32"/>
          <w:szCs w:val="32"/>
          <w:lang w:eastAsia="zh-CN"/>
        </w:rPr>
        <w:fldChar w:fldCharType="separate"/>
      </w:r>
      <w:r>
        <w:rPr>
          <w:rFonts w:hint="eastAsia" w:ascii="仿宋" w:hAnsi="仿宋" w:eastAsia="仿宋" w:cs="仿宋"/>
          <w:sz w:val="32"/>
          <w:szCs w:val="32"/>
        </w:rPr>
        <w:t>（一）基本职能</w:t>
      </w:r>
      <w:r>
        <w:rPr>
          <w:rFonts w:hint="eastAsia" w:ascii="仿宋" w:hAnsi="仿宋" w:eastAsia="仿宋" w:cs="仿宋"/>
          <w:sz w:val="32"/>
          <w:szCs w:val="32"/>
        </w:rPr>
        <w:tab/>
      </w:r>
      <w:r>
        <w:rPr>
          <w:rFonts w:hint="eastAsia" w:ascii="仿宋" w:hAnsi="仿宋" w:eastAsia="仿宋" w:cs="仿宋"/>
          <w:sz w:val="32"/>
          <w:szCs w:val="32"/>
          <w:lang w:val="en-US" w:eastAsia="zh-CN"/>
        </w:rPr>
        <w:t>1</w:t>
      </w:r>
      <w:r>
        <w:rPr>
          <w:rFonts w:hint="eastAsia" w:ascii="仿宋" w:hAnsi="仿宋" w:eastAsia="仿宋" w:cs="仿宋"/>
          <w:sz w:val="32"/>
          <w:szCs w:val="32"/>
          <w:lang w:eastAsia="zh-CN"/>
        </w:rPr>
        <w:fldChar w:fldCharType="end"/>
      </w:r>
    </w:p>
    <w:p w14:paraId="389E5C5F">
      <w:pPr>
        <w:pStyle w:val="16"/>
        <w:tabs>
          <w:tab w:val="right" w:leader="dot" w:pos="8844"/>
        </w:tabs>
        <w:rPr>
          <w:rFonts w:hint="default" w:ascii="仿宋" w:hAnsi="仿宋" w:eastAsia="仿宋" w:cs="仿宋"/>
          <w:sz w:val="32"/>
          <w:szCs w:val="32"/>
          <w:lang w:val="en-US"/>
        </w:rPr>
      </w:pPr>
      <w:r>
        <w:rPr>
          <w:rFonts w:hint="eastAsia" w:ascii="仿宋" w:hAnsi="仿宋" w:eastAsia="仿宋" w:cs="仿宋"/>
          <w:sz w:val="32"/>
          <w:szCs w:val="32"/>
          <w:lang w:eastAsia="zh-CN"/>
        </w:rPr>
        <w:fldChar w:fldCharType="begin"/>
      </w:r>
      <w:r>
        <w:rPr>
          <w:rFonts w:hint="eastAsia" w:ascii="仿宋" w:hAnsi="仿宋" w:eastAsia="仿宋" w:cs="仿宋"/>
          <w:sz w:val="32"/>
          <w:szCs w:val="32"/>
          <w:lang w:eastAsia="zh-CN"/>
        </w:rPr>
        <w:instrText xml:space="preserve"> HYPERLINK \l _Toc24298 </w:instrText>
      </w:r>
      <w:r>
        <w:rPr>
          <w:rFonts w:hint="eastAsia" w:ascii="仿宋" w:hAnsi="仿宋" w:eastAsia="仿宋" w:cs="仿宋"/>
          <w:sz w:val="32"/>
          <w:szCs w:val="32"/>
          <w:lang w:eastAsia="zh-CN"/>
        </w:rPr>
        <w:fldChar w:fldCharType="separate"/>
      </w:r>
      <w:r>
        <w:rPr>
          <w:rFonts w:hint="eastAsia" w:ascii="仿宋" w:hAnsi="仿宋" w:eastAsia="仿宋" w:cs="仿宋"/>
          <w:sz w:val="32"/>
          <w:szCs w:val="32"/>
        </w:rPr>
        <w:t>（二）</w:t>
      </w:r>
      <w:r>
        <w:rPr>
          <w:rFonts w:hint="eastAsia" w:ascii="仿宋" w:hAnsi="仿宋" w:eastAsia="仿宋" w:cs="仿宋"/>
          <w:sz w:val="32"/>
          <w:szCs w:val="32"/>
          <w:lang w:eastAsia="zh-CN"/>
        </w:rPr>
        <w:t>202</w:t>
      </w:r>
      <w:r>
        <w:rPr>
          <w:rFonts w:hint="eastAsia" w:ascii="仿宋" w:hAnsi="仿宋" w:eastAsia="仿宋" w:cs="仿宋"/>
          <w:sz w:val="32"/>
          <w:szCs w:val="32"/>
          <w:lang w:val="en-US" w:eastAsia="zh-CN"/>
        </w:rPr>
        <w:t>5</w:t>
      </w:r>
      <w:r>
        <w:rPr>
          <w:rFonts w:hint="eastAsia" w:ascii="仿宋" w:hAnsi="仿宋" w:eastAsia="仿宋" w:cs="仿宋"/>
          <w:sz w:val="32"/>
          <w:szCs w:val="32"/>
        </w:rPr>
        <w:t>年重点工作任务</w:t>
      </w:r>
      <w:r>
        <w:rPr>
          <w:rFonts w:hint="eastAsia" w:ascii="仿宋" w:hAnsi="仿宋" w:eastAsia="仿宋" w:cs="仿宋"/>
          <w:sz w:val="32"/>
          <w:szCs w:val="32"/>
        </w:rPr>
        <w:tab/>
      </w:r>
      <w:r>
        <w:rPr>
          <w:rFonts w:hint="eastAsia" w:ascii="仿宋" w:hAnsi="仿宋" w:eastAsia="仿宋" w:cs="仿宋"/>
          <w:sz w:val="32"/>
          <w:szCs w:val="32"/>
          <w:lang w:eastAsia="zh-CN"/>
        </w:rPr>
        <w:fldChar w:fldCharType="end"/>
      </w:r>
      <w:r>
        <w:rPr>
          <w:rFonts w:hint="eastAsia" w:ascii="仿宋" w:hAnsi="仿宋" w:eastAsia="仿宋" w:cs="仿宋"/>
          <w:sz w:val="32"/>
          <w:szCs w:val="32"/>
          <w:lang w:val="en-US" w:eastAsia="zh-CN"/>
        </w:rPr>
        <w:t>2</w:t>
      </w:r>
    </w:p>
    <w:p w14:paraId="64367EE3">
      <w:pPr>
        <w:pStyle w:val="15"/>
        <w:tabs>
          <w:tab w:val="right" w:leader="dot" w:pos="8844"/>
        </w:tabs>
        <w:rPr>
          <w:rFonts w:hint="eastAsia" w:ascii="仿宋" w:hAnsi="仿宋" w:eastAsia="仿宋" w:cs="仿宋"/>
          <w:b/>
          <w:sz w:val="32"/>
          <w:szCs w:val="32"/>
        </w:rPr>
      </w:pPr>
      <w:r>
        <w:rPr>
          <w:rFonts w:hint="eastAsia" w:ascii="仿宋" w:hAnsi="仿宋" w:eastAsia="仿宋" w:cs="仿宋"/>
          <w:b/>
          <w:sz w:val="32"/>
          <w:szCs w:val="32"/>
          <w:lang w:eastAsia="zh-CN"/>
        </w:rPr>
        <w:fldChar w:fldCharType="begin"/>
      </w:r>
      <w:r>
        <w:rPr>
          <w:rFonts w:hint="eastAsia" w:ascii="仿宋" w:hAnsi="仿宋" w:eastAsia="仿宋" w:cs="仿宋"/>
          <w:b/>
          <w:sz w:val="32"/>
          <w:szCs w:val="32"/>
          <w:lang w:eastAsia="zh-CN"/>
        </w:rPr>
        <w:instrText xml:space="preserve"> HYPERLINK \l _Toc8547 </w:instrText>
      </w:r>
      <w:r>
        <w:rPr>
          <w:rFonts w:hint="eastAsia" w:ascii="仿宋" w:hAnsi="仿宋" w:eastAsia="仿宋" w:cs="仿宋"/>
          <w:b/>
          <w:sz w:val="32"/>
          <w:szCs w:val="32"/>
          <w:lang w:eastAsia="zh-CN"/>
        </w:rPr>
        <w:fldChar w:fldCharType="separate"/>
      </w:r>
      <w:r>
        <w:rPr>
          <w:rFonts w:hint="eastAsia" w:ascii="仿宋" w:hAnsi="仿宋" w:eastAsia="仿宋" w:cs="仿宋"/>
          <w:b/>
          <w:bCs/>
          <w:sz w:val="32"/>
          <w:szCs w:val="32"/>
          <w:lang w:eastAsia="zh-CN"/>
        </w:rPr>
        <w:t>二、</w:t>
      </w:r>
      <w:r>
        <w:rPr>
          <w:rFonts w:hint="eastAsia" w:ascii="仿宋" w:hAnsi="仿宋" w:eastAsia="仿宋" w:cs="仿宋"/>
          <w:b/>
          <w:bCs/>
          <w:sz w:val="32"/>
          <w:szCs w:val="32"/>
        </w:rPr>
        <w:t>部门</w:t>
      </w:r>
      <w:r>
        <w:rPr>
          <w:rFonts w:hint="eastAsia" w:ascii="仿宋" w:hAnsi="仿宋" w:eastAsia="仿宋" w:cs="仿宋"/>
          <w:b/>
          <w:bCs/>
          <w:sz w:val="32"/>
          <w:szCs w:val="32"/>
          <w:lang w:eastAsia="zh-CN"/>
        </w:rPr>
        <w:t>预算单位构成</w:t>
      </w:r>
      <w:r>
        <w:rPr>
          <w:rFonts w:hint="eastAsia" w:ascii="仿宋" w:hAnsi="仿宋" w:eastAsia="仿宋" w:cs="仿宋"/>
          <w:b/>
          <w:sz w:val="32"/>
          <w:szCs w:val="32"/>
        </w:rPr>
        <w:tab/>
      </w:r>
      <w:r>
        <w:rPr>
          <w:rFonts w:hint="eastAsia" w:ascii="仿宋" w:hAnsi="仿宋" w:eastAsia="仿宋" w:cs="仿宋"/>
          <w:b/>
          <w:sz w:val="32"/>
          <w:szCs w:val="32"/>
          <w:lang w:val="en-US" w:eastAsia="zh-CN"/>
        </w:rPr>
        <w:t>4</w:t>
      </w:r>
      <w:r>
        <w:rPr>
          <w:rFonts w:hint="eastAsia" w:ascii="仿宋" w:hAnsi="仿宋" w:eastAsia="仿宋" w:cs="仿宋"/>
          <w:b/>
          <w:sz w:val="32"/>
          <w:szCs w:val="32"/>
          <w:lang w:eastAsia="zh-CN"/>
        </w:rPr>
        <w:fldChar w:fldCharType="end"/>
      </w:r>
    </w:p>
    <w:p w14:paraId="1B6FD09C">
      <w:pPr>
        <w:pStyle w:val="15"/>
        <w:tabs>
          <w:tab w:val="right" w:leader="dot" w:pos="8844"/>
        </w:tabs>
        <w:rPr>
          <w:rFonts w:hint="eastAsia" w:ascii="仿宋" w:hAnsi="仿宋" w:eastAsia="仿宋" w:cs="仿宋"/>
          <w:b/>
          <w:sz w:val="32"/>
          <w:szCs w:val="32"/>
        </w:rPr>
      </w:pPr>
      <w:r>
        <w:rPr>
          <w:rFonts w:hint="eastAsia" w:ascii="仿宋" w:hAnsi="仿宋" w:eastAsia="仿宋" w:cs="仿宋"/>
          <w:b/>
          <w:sz w:val="32"/>
          <w:szCs w:val="32"/>
          <w:lang w:eastAsia="zh-CN"/>
        </w:rPr>
        <w:fldChar w:fldCharType="begin"/>
      </w:r>
      <w:r>
        <w:rPr>
          <w:rFonts w:hint="eastAsia" w:ascii="仿宋" w:hAnsi="仿宋" w:eastAsia="仿宋" w:cs="仿宋"/>
          <w:b/>
          <w:sz w:val="32"/>
          <w:szCs w:val="32"/>
          <w:lang w:eastAsia="zh-CN"/>
        </w:rPr>
        <w:instrText xml:space="preserve"> HYPERLINK \l _Toc12775 </w:instrText>
      </w:r>
      <w:r>
        <w:rPr>
          <w:rFonts w:hint="eastAsia" w:ascii="仿宋" w:hAnsi="仿宋" w:eastAsia="仿宋" w:cs="仿宋"/>
          <w:b/>
          <w:sz w:val="32"/>
          <w:szCs w:val="32"/>
          <w:lang w:eastAsia="zh-CN"/>
        </w:rPr>
        <w:fldChar w:fldCharType="separate"/>
      </w:r>
      <w:r>
        <w:rPr>
          <w:rFonts w:hint="eastAsia" w:ascii="仿宋" w:hAnsi="仿宋" w:eastAsia="仿宋" w:cs="仿宋"/>
          <w:b/>
          <w:bCs/>
          <w:sz w:val="32"/>
          <w:szCs w:val="32"/>
        </w:rPr>
        <w:t>三、收支预算总体情况</w:t>
      </w:r>
      <w:r>
        <w:rPr>
          <w:rFonts w:hint="eastAsia" w:ascii="仿宋" w:hAnsi="仿宋" w:eastAsia="仿宋" w:cs="仿宋"/>
          <w:b/>
          <w:sz w:val="32"/>
          <w:szCs w:val="32"/>
        </w:rPr>
        <w:tab/>
      </w:r>
      <w:r>
        <w:rPr>
          <w:rFonts w:hint="eastAsia" w:ascii="仿宋" w:hAnsi="仿宋" w:eastAsia="仿宋" w:cs="仿宋"/>
          <w:b/>
          <w:sz w:val="32"/>
          <w:szCs w:val="32"/>
          <w:lang w:val="en-US" w:eastAsia="zh-CN"/>
        </w:rPr>
        <w:t>4</w:t>
      </w:r>
      <w:r>
        <w:rPr>
          <w:rFonts w:hint="eastAsia" w:ascii="仿宋" w:hAnsi="仿宋" w:eastAsia="仿宋" w:cs="仿宋"/>
          <w:b/>
          <w:sz w:val="32"/>
          <w:szCs w:val="32"/>
          <w:lang w:eastAsia="zh-CN"/>
        </w:rPr>
        <w:fldChar w:fldCharType="end"/>
      </w:r>
    </w:p>
    <w:p w14:paraId="38DD0625">
      <w:pPr>
        <w:pStyle w:val="15"/>
        <w:tabs>
          <w:tab w:val="right" w:leader="dot" w:pos="8844"/>
        </w:tabs>
        <w:rPr>
          <w:rFonts w:hint="eastAsia" w:ascii="仿宋" w:hAnsi="仿宋" w:eastAsia="仿宋" w:cs="仿宋"/>
          <w:b/>
          <w:sz w:val="32"/>
          <w:szCs w:val="32"/>
        </w:rPr>
      </w:pPr>
      <w:r>
        <w:rPr>
          <w:rFonts w:hint="eastAsia" w:ascii="仿宋" w:hAnsi="仿宋" w:eastAsia="仿宋" w:cs="仿宋"/>
          <w:b/>
          <w:sz w:val="32"/>
          <w:szCs w:val="32"/>
          <w:lang w:eastAsia="zh-CN"/>
        </w:rPr>
        <w:fldChar w:fldCharType="begin"/>
      </w:r>
      <w:r>
        <w:rPr>
          <w:rFonts w:hint="eastAsia" w:ascii="仿宋" w:hAnsi="仿宋" w:eastAsia="仿宋" w:cs="仿宋"/>
          <w:b/>
          <w:sz w:val="32"/>
          <w:szCs w:val="32"/>
          <w:lang w:eastAsia="zh-CN"/>
        </w:rPr>
        <w:instrText xml:space="preserve"> HYPERLINK \l _Toc23810 </w:instrText>
      </w:r>
      <w:r>
        <w:rPr>
          <w:rFonts w:hint="eastAsia" w:ascii="仿宋" w:hAnsi="仿宋" w:eastAsia="仿宋" w:cs="仿宋"/>
          <w:b/>
          <w:sz w:val="32"/>
          <w:szCs w:val="32"/>
          <w:lang w:eastAsia="zh-CN"/>
        </w:rPr>
        <w:fldChar w:fldCharType="separate"/>
      </w:r>
      <w:r>
        <w:rPr>
          <w:rFonts w:hint="eastAsia" w:ascii="仿宋" w:hAnsi="仿宋" w:eastAsia="仿宋" w:cs="仿宋"/>
          <w:b/>
          <w:bCs/>
          <w:sz w:val="32"/>
          <w:szCs w:val="32"/>
          <w:lang w:eastAsia="zh-CN"/>
        </w:rPr>
        <w:t>四、</w:t>
      </w:r>
      <w:r>
        <w:rPr>
          <w:rFonts w:hint="eastAsia" w:ascii="仿宋" w:hAnsi="仿宋" w:eastAsia="仿宋" w:cs="仿宋"/>
          <w:b/>
          <w:bCs/>
          <w:sz w:val="32"/>
          <w:szCs w:val="32"/>
        </w:rPr>
        <w:t>支出预算安排情况</w:t>
      </w:r>
      <w:r>
        <w:rPr>
          <w:rFonts w:hint="eastAsia" w:ascii="仿宋" w:hAnsi="仿宋" w:eastAsia="仿宋" w:cs="仿宋"/>
          <w:b/>
          <w:sz w:val="32"/>
          <w:szCs w:val="32"/>
        </w:rPr>
        <w:tab/>
      </w:r>
      <w:r>
        <w:rPr>
          <w:rFonts w:hint="eastAsia" w:ascii="仿宋" w:hAnsi="仿宋" w:eastAsia="仿宋" w:cs="仿宋"/>
          <w:b/>
          <w:sz w:val="32"/>
          <w:szCs w:val="32"/>
          <w:lang w:val="en-US" w:eastAsia="zh-CN"/>
        </w:rPr>
        <w:t>4</w:t>
      </w:r>
      <w:r>
        <w:rPr>
          <w:rFonts w:hint="eastAsia" w:ascii="仿宋" w:hAnsi="仿宋" w:eastAsia="仿宋" w:cs="仿宋"/>
          <w:b/>
          <w:sz w:val="32"/>
          <w:szCs w:val="32"/>
          <w:lang w:eastAsia="zh-CN"/>
        </w:rPr>
        <w:fldChar w:fldCharType="end"/>
      </w:r>
    </w:p>
    <w:p w14:paraId="232A2EC2">
      <w:pPr>
        <w:pStyle w:val="15"/>
        <w:tabs>
          <w:tab w:val="right" w:leader="dot" w:pos="8844"/>
        </w:tabs>
        <w:rPr>
          <w:rFonts w:hint="eastAsia" w:ascii="仿宋" w:hAnsi="仿宋" w:eastAsia="仿宋" w:cs="仿宋"/>
          <w:b/>
          <w:sz w:val="32"/>
          <w:szCs w:val="32"/>
        </w:rPr>
      </w:pPr>
      <w:r>
        <w:rPr>
          <w:rFonts w:hint="eastAsia" w:ascii="仿宋" w:hAnsi="仿宋" w:eastAsia="仿宋" w:cs="仿宋"/>
          <w:b/>
          <w:sz w:val="32"/>
          <w:szCs w:val="32"/>
          <w:lang w:eastAsia="zh-CN"/>
        </w:rPr>
        <w:fldChar w:fldCharType="begin"/>
      </w:r>
      <w:r>
        <w:rPr>
          <w:rFonts w:hint="eastAsia" w:ascii="仿宋" w:hAnsi="仿宋" w:eastAsia="仿宋" w:cs="仿宋"/>
          <w:b/>
          <w:sz w:val="32"/>
          <w:szCs w:val="32"/>
          <w:lang w:eastAsia="zh-CN"/>
        </w:rPr>
        <w:instrText xml:space="preserve"> HYPERLINK \l _Toc22641 </w:instrText>
      </w:r>
      <w:r>
        <w:rPr>
          <w:rFonts w:hint="eastAsia" w:ascii="仿宋" w:hAnsi="仿宋" w:eastAsia="仿宋" w:cs="仿宋"/>
          <w:b/>
          <w:sz w:val="32"/>
          <w:szCs w:val="32"/>
          <w:lang w:eastAsia="zh-CN"/>
        </w:rPr>
        <w:fldChar w:fldCharType="separate"/>
      </w:r>
      <w:r>
        <w:rPr>
          <w:rFonts w:hint="eastAsia" w:ascii="仿宋" w:hAnsi="仿宋" w:eastAsia="仿宋" w:cs="仿宋"/>
          <w:b/>
          <w:bCs/>
          <w:kern w:val="0"/>
          <w:sz w:val="32"/>
          <w:szCs w:val="32"/>
          <w:shd w:val="clear" w:color="auto" w:fill="FFFFFF"/>
        </w:rPr>
        <w:t>五、较上年度增减变化</w:t>
      </w:r>
      <w:r>
        <w:rPr>
          <w:rFonts w:hint="eastAsia" w:ascii="仿宋" w:hAnsi="仿宋" w:eastAsia="仿宋" w:cs="仿宋"/>
          <w:b/>
          <w:sz w:val="32"/>
          <w:szCs w:val="32"/>
        </w:rPr>
        <w:tab/>
      </w:r>
      <w:r>
        <w:rPr>
          <w:rFonts w:hint="eastAsia" w:ascii="仿宋" w:hAnsi="仿宋" w:eastAsia="仿宋" w:cs="仿宋"/>
          <w:b/>
          <w:sz w:val="32"/>
          <w:szCs w:val="32"/>
          <w:lang w:val="en-US" w:eastAsia="zh-CN"/>
        </w:rPr>
        <w:t>5</w:t>
      </w:r>
      <w:r>
        <w:rPr>
          <w:rFonts w:hint="eastAsia" w:ascii="仿宋" w:hAnsi="仿宋" w:eastAsia="仿宋" w:cs="仿宋"/>
          <w:b/>
          <w:sz w:val="32"/>
          <w:szCs w:val="32"/>
          <w:lang w:eastAsia="zh-CN"/>
        </w:rPr>
        <w:fldChar w:fldCharType="end"/>
      </w:r>
    </w:p>
    <w:p w14:paraId="27AFB27B">
      <w:pPr>
        <w:pStyle w:val="15"/>
        <w:tabs>
          <w:tab w:val="right" w:leader="dot" w:pos="8844"/>
        </w:tabs>
        <w:rPr>
          <w:rFonts w:hint="eastAsia" w:ascii="仿宋" w:hAnsi="仿宋" w:eastAsia="仿宋" w:cs="仿宋"/>
          <w:b/>
          <w:sz w:val="32"/>
          <w:szCs w:val="32"/>
        </w:rPr>
      </w:pPr>
      <w:r>
        <w:rPr>
          <w:rFonts w:hint="eastAsia" w:ascii="仿宋" w:hAnsi="仿宋" w:eastAsia="仿宋" w:cs="仿宋"/>
          <w:b/>
          <w:sz w:val="32"/>
          <w:szCs w:val="32"/>
          <w:lang w:eastAsia="zh-CN"/>
        </w:rPr>
        <w:fldChar w:fldCharType="begin"/>
      </w:r>
      <w:r>
        <w:rPr>
          <w:rFonts w:hint="eastAsia" w:ascii="仿宋" w:hAnsi="仿宋" w:eastAsia="仿宋" w:cs="仿宋"/>
          <w:b/>
          <w:sz w:val="32"/>
          <w:szCs w:val="32"/>
          <w:lang w:eastAsia="zh-CN"/>
        </w:rPr>
        <w:instrText xml:space="preserve"> HYPERLINK \l _Toc30672 </w:instrText>
      </w:r>
      <w:r>
        <w:rPr>
          <w:rFonts w:hint="eastAsia" w:ascii="仿宋" w:hAnsi="仿宋" w:eastAsia="仿宋" w:cs="仿宋"/>
          <w:b/>
          <w:sz w:val="32"/>
          <w:szCs w:val="32"/>
          <w:lang w:eastAsia="zh-CN"/>
        </w:rPr>
        <w:fldChar w:fldCharType="separate"/>
      </w:r>
      <w:r>
        <w:rPr>
          <w:rFonts w:hint="eastAsia" w:ascii="仿宋" w:hAnsi="仿宋" w:eastAsia="仿宋" w:cs="仿宋"/>
          <w:b/>
          <w:bCs/>
          <w:kern w:val="0"/>
          <w:sz w:val="32"/>
          <w:szCs w:val="32"/>
          <w:shd w:val="clear" w:color="auto" w:fill="FFFFFF"/>
          <w:lang w:eastAsia="zh-CN"/>
        </w:rPr>
        <w:t>六</w:t>
      </w:r>
      <w:r>
        <w:rPr>
          <w:rFonts w:hint="eastAsia" w:ascii="仿宋" w:hAnsi="仿宋" w:eastAsia="仿宋" w:cs="仿宋"/>
          <w:b/>
          <w:bCs/>
          <w:kern w:val="0"/>
          <w:sz w:val="32"/>
          <w:szCs w:val="32"/>
          <w:shd w:val="clear" w:color="auto" w:fill="FFFFFF"/>
        </w:rPr>
        <w:t>、“三公”经费预算</w:t>
      </w:r>
      <w:r>
        <w:rPr>
          <w:rFonts w:hint="eastAsia" w:ascii="仿宋" w:hAnsi="仿宋" w:eastAsia="仿宋" w:cs="仿宋"/>
          <w:b/>
          <w:sz w:val="32"/>
          <w:szCs w:val="32"/>
        </w:rPr>
        <w:tab/>
      </w:r>
      <w:r>
        <w:rPr>
          <w:rFonts w:hint="eastAsia" w:ascii="仿宋" w:hAnsi="仿宋" w:eastAsia="仿宋" w:cs="仿宋"/>
          <w:b/>
          <w:sz w:val="32"/>
          <w:szCs w:val="32"/>
          <w:lang w:val="en-US" w:eastAsia="zh-CN"/>
        </w:rPr>
        <w:t>6</w:t>
      </w:r>
      <w:r>
        <w:rPr>
          <w:rFonts w:hint="eastAsia" w:ascii="仿宋" w:hAnsi="仿宋" w:eastAsia="仿宋" w:cs="仿宋"/>
          <w:b/>
          <w:sz w:val="32"/>
          <w:szCs w:val="32"/>
          <w:lang w:eastAsia="zh-CN"/>
        </w:rPr>
        <w:fldChar w:fldCharType="end"/>
      </w:r>
    </w:p>
    <w:p w14:paraId="7EE53FB8">
      <w:pPr>
        <w:pStyle w:val="15"/>
        <w:tabs>
          <w:tab w:val="right" w:leader="dot" w:pos="8844"/>
        </w:tabs>
        <w:rPr>
          <w:rFonts w:hint="eastAsia" w:ascii="仿宋" w:hAnsi="仿宋" w:eastAsia="仿宋" w:cs="仿宋"/>
          <w:b/>
          <w:sz w:val="32"/>
          <w:szCs w:val="32"/>
        </w:rPr>
      </w:pPr>
      <w:r>
        <w:rPr>
          <w:rFonts w:hint="eastAsia" w:ascii="仿宋" w:hAnsi="仿宋" w:eastAsia="仿宋" w:cs="仿宋"/>
          <w:b/>
          <w:sz w:val="32"/>
          <w:szCs w:val="32"/>
          <w:lang w:eastAsia="zh-CN"/>
        </w:rPr>
        <w:fldChar w:fldCharType="begin"/>
      </w:r>
      <w:r>
        <w:rPr>
          <w:rFonts w:hint="eastAsia" w:ascii="仿宋" w:hAnsi="仿宋" w:eastAsia="仿宋" w:cs="仿宋"/>
          <w:b/>
          <w:sz w:val="32"/>
          <w:szCs w:val="32"/>
          <w:lang w:eastAsia="zh-CN"/>
        </w:rPr>
        <w:instrText xml:space="preserve"> HYPERLINK \l _Toc3294 </w:instrText>
      </w:r>
      <w:r>
        <w:rPr>
          <w:rFonts w:hint="eastAsia" w:ascii="仿宋" w:hAnsi="仿宋" w:eastAsia="仿宋" w:cs="仿宋"/>
          <w:b/>
          <w:sz w:val="32"/>
          <w:szCs w:val="32"/>
          <w:lang w:eastAsia="zh-CN"/>
        </w:rPr>
        <w:fldChar w:fldCharType="separate"/>
      </w:r>
      <w:r>
        <w:rPr>
          <w:rFonts w:hint="eastAsia" w:ascii="仿宋" w:hAnsi="仿宋" w:eastAsia="仿宋" w:cs="仿宋"/>
          <w:b/>
          <w:bCs/>
          <w:kern w:val="0"/>
          <w:sz w:val="32"/>
          <w:szCs w:val="32"/>
          <w:shd w:val="clear" w:color="auto" w:fill="FFFFFF"/>
          <w:lang w:val="en-US" w:eastAsia="zh-CN" w:bidi="ar"/>
        </w:rPr>
        <w:t>七、政府性基金预算收支情况说明</w:t>
      </w:r>
      <w:r>
        <w:rPr>
          <w:rFonts w:hint="eastAsia" w:ascii="仿宋" w:hAnsi="仿宋" w:eastAsia="仿宋" w:cs="仿宋"/>
          <w:b/>
          <w:sz w:val="32"/>
          <w:szCs w:val="32"/>
        </w:rPr>
        <w:tab/>
      </w:r>
      <w:r>
        <w:rPr>
          <w:rFonts w:hint="eastAsia" w:ascii="仿宋" w:hAnsi="仿宋" w:eastAsia="仿宋" w:cs="仿宋"/>
          <w:b/>
          <w:sz w:val="32"/>
          <w:szCs w:val="32"/>
          <w:lang w:val="en-US" w:eastAsia="zh-CN"/>
        </w:rPr>
        <w:t>6</w:t>
      </w:r>
      <w:r>
        <w:rPr>
          <w:rFonts w:hint="eastAsia" w:ascii="仿宋" w:hAnsi="仿宋" w:eastAsia="仿宋" w:cs="仿宋"/>
          <w:b/>
          <w:sz w:val="32"/>
          <w:szCs w:val="32"/>
          <w:lang w:eastAsia="zh-CN"/>
        </w:rPr>
        <w:fldChar w:fldCharType="end"/>
      </w:r>
    </w:p>
    <w:p w14:paraId="4765AF4C">
      <w:pPr>
        <w:pStyle w:val="15"/>
        <w:tabs>
          <w:tab w:val="right" w:leader="dot" w:pos="8844"/>
        </w:tabs>
        <w:rPr>
          <w:rFonts w:hint="eastAsia" w:ascii="仿宋" w:hAnsi="仿宋" w:eastAsia="仿宋" w:cs="仿宋"/>
          <w:b/>
          <w:sz w:val="32"/>
          <w:szCs w:val="32"/>
        </w:rPr>
      </w:pPr>
      <w:r>
        <w:rPr>
          <w:rFonts w:hint="eastAsia" w:ascii="仿宋" w:hAnsi="仿宋" w:eastAsia="仿宋" w:cs="仿宋"/>
          <w:b/>
          <w:sz w:val="32"/>
          <w:szCs w:val="32"/>
          <w:lang w:eastAsia="zh-CN"/>
        </w:rPr>
        <w:fldChar w:fldCharType="begin"/>
      </w:r>
      <w:r>
        <w:rPr>
          <w:rFonts w:hint="eastAsia" w:ascii="仿宋" w:hAnsi="仿宋" w:eastAsia="仿宋" w:cs="仿宋"/>
          <w:b/>
          <w:sz w:val="32"/>
          <w:szCs w:val="32"/>
          <w:lang w:eastAsia="zh-CN"/>
        </w:rPr>
        <w:instrText xml:space="preserve"> HYPERLINK \l _Toc15268 </w:instrText>
      </w:r>
      <w:r>
        <w:rPr>
          <w:rFonts w:hint="eastAsia" w:ascii="仿宋" w:hAnsi="仿宋" w:eastAsia="仿宋" w:cs="仿宋"/>
          <w:b/>
          <w:sz w:val="32"/>
          <w:szCs w:val="32"/>
          <w:lang w:eastAsia="zh-CN"/>
        </w:rPr>
        <w:fldChar w:fldCharType="separate"/>
      </w:r>
      <w:r>
        <w:rPr>
          <w:rFonts w:hint="eastAsia" w:ascii="仿宋" w:hAnsi="仿宋" w:eastAsia="仿宋" w:cs="仿宋"/>
          <w:b/>
          <w:bCs/>
          <w:kern w:val="0"/>
          <w:sz w:val="32"/>
          <w:szCs w:val="32"/>
          <w:shd w:val="clear" w:color="auto" w:fill="FFFFFF"/>
          <w:lang w:val="en-US" w:eastAsia="zh-CN" w:bidi="ar"/>
        </w:rPr>
        <w:t>八、国有资本经营预算收支情况说明</w:t>
      </w:r>
      <w:r>
        <w:rPr>
          <w:rFonts w:hint="eastAsia" w:ascii="仿宋" w:hAnsi="仿宋" w:eastAsia="仿宋" w:cs="仿宋"/>
          <w:b/>
          <w:sz w:val="32"/>
          <w:szCs w:val="32"/>
        </w:rPr>
        <w:tab/>
      </w:r>
      <w:r>
        <w:rPr>
          <w:rFonts w:hint="eastAsia" w:ascii="仿宋" w:hAnsi="仿宋" w:eastAsia="仿宋" w:cs="仿宋"/>
          <w:b/>
          <w:sz w:val="32"/>
          <w:szCs w:val="32"/>
          <w:lang w:val="en-US" w:eastAsia="zh-CN"/>
        </w:rPr>
        <w:t>6</w:t>
      </w:r>
      <w:r>
        <w:rPr>
          <w:rFonts w:hint="eastAsia" w:ascii="仿宋" w:hAnsi="仿宋" w:eastAsia="仿宋" w:cs="仿宋"/>
          <w:b/>
          <w:sz w:val="32"/>
          <w:szCs w:val="32"/>
          <w:lang w:eastAsia="zh-CN"/>
        </w:rPr>
        <w:fldChar w:fldCharType="end"/>
      </w:r>
    </w:p>
    <w:p w14:paraId="553CF4E5">
      <w:pPr>
        <w:pStyle w:val="15"/>
        <w:tabs>
          <w:tab w:val="right" w:leader="dot" w:pos="8844"/>
        </w:tabs>
        <w:rPr>
          <w:rFonts w:hint="eastAsia" w:ascii="仿宋" w:hAnsi="仿宋" w:eastAsia="仿宋" w:cs="仿宋"/>
          <w:b/>
          <w:sz w:val="32"/>
          <w:szCs w:val="32"/>
        </w:rPr>
      </w:pPr>
      <w:r>
        <w:rPr>
          <w:rFonts w:hint="eastAsia" w:ascii="仿宋" w:hAnsi="仿宋" w:eastAsia="仿宋" w:cs="仿宋"/>
          <w:b/>
          <w:sz w:val="32"/>
          <w:szCs w:val="32"/>
          <w:lang w:eastAsia="zh-CN"/>
        </w:rPr>
        <w:fldChar w:fldCharType="begin"/>
      </w:r>
      <w:r>
        <w:rPr>
          <w:rFonts w:hint="eastAsia" w:ascii="仿宋" w:hAnsi="仿宋" w:eastAsia="仿宋" w:cs="仿宋"/>
          <w:b/>
          <w:sz w:val="32"/>
          <w:szCs w:val="32"/>
          <w:lang w:eastAsia="zh-CN"/>
        </w:rPr>
        <w:instrText xml:space="preserve"> HYPERLINK \l _Toc20277 </w:instrText>
      </w:r>
      <w:r>
        <w:rPr>
          <w:rFonts w:hint="eastAsia" w:ascii="仿宋" w:hAnsi="仿宋" w:eastAsia="仿宋" w:cs="仿宋"/>
          <w:b/>
          <w:sz w:val="32"/>
          <w:szCs w:val="32"/>
          <w:lang w:eastAsia="zh-CN"/>
        </w:rPr>
        <w:fldChar w:fldCharType="separate"/>
      </w:r>
      <w:r>
        <w:rPr>
          <w:rFonts w:hint="eastAsia" w:ascii="仿宋" w:hAnsi="仿宋" w:eastAsia="仿宋" w:cs="仿宋"/>
          <w:b/>
          <w:bCs/>
          <w:kern w:val="0"/>
          <w:sz w:val="32"/>
          <w:szCs w:val="32"/>
          <w:shd w:val="clear" w:color="auto" w:fill="FFFFFF"/>
          <w:lang w:val="en-US" w:eastAsia="zh-CN" w:bidi="ar"/>
        </w:rPr>
        <w:t>九、其他重要事项的情况说明</w:t>
      </w:r>
      <w:r>
        <w:rPr>
          <w:rFonts w:hint="eastAsia" w:ascii="仿宋" w:hAnsi="仿宋" w:eastAsia="仿宋" w:cs="仿宋"/>
          <w:b/>
          <w:sz w:val="32"/>
          <w:szCs w:val="32"/>
        </w:rPr>
        <w:tab/>
      </w:r>
      <w:r>
        <w:rPr>
          <w:rFonts w:hint="eastAsia" w:ascii="仿宋" w:hAnsi="仿宋" w:eastAsia="仿宋" w:cs="仿宋"/>
          <w:b/>
          <w:sz w:val="32"/>
          <w:szCs w:val="32"/>
          <w:lang w:val="en-US" w:eastAsia="zh-CN"/>
        </w:rPr>
        <w:t>6</w:t>
      </w:r>
      <w:r>
        <w:rPr>
          <w:rFonts w:hint="eastAsia" w:ascii="仿宋" w:hAnsi="仿宋" w:eastAsia="仿宋" w:cs="仿宋"/>
          <w:b/>
          <w:sz w:val="32"/>
          <w:szCs w:val="32"/>
          <w:lang w:eastAsia="zh-CN"/>
        </w:rPr>
        <w:fldChar w:fldCharType="end"/>
      </w:r>
    </w:p>
    <w:p w14:paraId="7C222654">
      <w:pPr>
        <w:pStyle w:val="16"/>
        <w:tabs>
          <w:tab w:val="right" w:leader="dot" w:pos="8844"/>
        </w:tabs>
        <w:rPr>
          <w:rFonts w:hint="eastAsia" w:ascii="仿宋" w:hAnsi="仿宋" w:eastAsia="仿宋" w:cs="仿宋"/>
          <w:sz w:val="32"/>
          <w:szCs w:val="32"/>
        </w:rPr>
      </w:pPr>
      <w:r>
        <w:rPr>
          <w:rFonts w:hint="eastAsia" w:ascii="仿宋" w:hAnsi="仿宋" w:eastAsia="仿宋" w:cs="仿宋"/>
          <w:sz w:val="32"/>
          <w:szCs w:val="32"/>
          <w:lang w:eastAsia="zh-CN"/>
        </w:rPr>
        <w:fldChar w:fldCharType="begin"/>
      </w:r>
      <w:r>
        <w:rPr>
          <w:rFonts w:hint="eastAsia" w:ascii="仿宋" w:hAnsi="仿宋" w:eastAsia="仿宋" w:cs="仿宋"/>
          <w:sz w:val="32"/>
          <w:szCs w:val="32"/>
          <w:lang w:eastAsia="zh-CN"/>
        </w:rPr>
        <w:instrText xml:space="preserve"> HYPERLINK \l _Toc14278 </w:instrText>
      </w:r>
      <w:r>
        <w:rPr>
          <w:rFonts w:hint="eastAsia" w:ascii="仿宋" w:hAnsi="仿宋" w:eastAsia="仿宋" w:cs="仿宋"/>
          <w:sz w:val="32"/>
          <w:szCs w:val="32"/>
          <w:lang w:eastAsia="zh-CN"/>
        </w:rPr>
        <w:fldChar w:fldCharType="separate"/>
      </w:r>
      <w:r>
        <w:rPr>
          <w:rFonts w:hint="eastAsia" w:ascii="仿宋" w:hAnsi="仿宋" w:eastAsia="仿宋" w:cs="仿宋"/>
          <w:bCs/>
          <w:kern w:val="0"/>
          <w:sz w:val="32"/>
          <w:szCs w:val="32"/>
          <w:shd w:val="clear" w:color="auto" w:fill="FFFFFF"/>
          <w:lang w:val="en-US" w:eastAsia="zh-CN" w:bidi="ar"/>
        </w:rPr>
        <w:t>（一）政府采购预算情况</w:t>
      </w:r>
      <w:r>
        <w:rPr>
          <w:rFonts w:hint="eastAsia" w:ascii="仿宋" w:hAnsi="仿宋" w:eastAsia="仿宋" w:cs="仿宋"/>
          <w:sz w:val="32"/>
          <w:szCs w:val="32"/>
        </w:rPr>
        <w:tab/>
      </w:r>
      <w:r>
        <w:rPr>
          <w:rFonts w:hint="eastAsia" w:ascii="仿宋" w:hAnsi="仿宋" w:eastAsia="仿宋" w:cs="仿宋"/>
          <w:sz w:val="32"/>
          <w:szCs w:val="32"/>
          <w:lang w:val="en-US" w:eastAsia="zh-CN"/>
        </w:rPr>
        <w:t>6</w:t>
      </w:r>
      <w:r>
        <w:rPr>
          <w:rFonts w:hint="eastAsia" w:ascii="仿宋" w:hAnsi="仿宋" w:eastAsia="仿宋" w:cs="仿宋"/>
          <w:sz w:val="32"/>
          <w:szCs w:val="32"/>
          <w:lang w:eastAsia="zh-CN"/>
        </w:rPr>
        <w:fldChar w:fldCharType="end"/>
      </w:r>
    </w:p>
    <w:p w14:paraId="14BA5704">
      <w:pPr>
        <w:pStyle w:val="16"/>
        <w:tabs>
          <w:tab w:val="right" w:leader="dot" w:pos="8844"/>
        </w:tabs>
        <w:rPr>
          <w:rFonts w:hint="eastAsia" w:ascii="仿宋" w:hAnsi="仿宋" w:eastAsia="仿宋" w:cs="仿宋"/>
          <w:sz w:val="32"/>
          <w:szCs w:val="32"/>
        </w:rPr>
      </w:pPr>
      <w:r>
        <w:rPr>
          <w:rFonts w:hint="eastAsia" w:ascii="仿宋" w:hAnsi="仿宋" w:eastAsia="仿宋" w:cs="仿宋"/>
          <w:sz w:val="32"/>
          <w:szCs w:val="32"/>
          <w:lang w:eastAsia="zh-CN"/>
        </w:rPr>
        <w:fldChar w:fldCharType="begin"/>
      </w:r>
      <w:r>
        <w:rPr>
          <w:rFonts w:hint="eastAsia" w:ascii="仿宋" w:hAnsi="仿宋" w:eastAsia="仿宋" w:cs="仿宋"/>
          <w:sz w:val="32"/>
          <w:szCs w:val="32"/>
          <w:lang w:eastAsia="zh-CN"/>
        </w:rPr>
        <w:instrText xml:space="preserve"> HYPERLINK \l _Toc19319 </w:instrText>
      </w:r>
      <w:r>
        <w:rPr>
          <w:rFonts w:hint="eastAsia" w:ascii="仿宋" w:hAnsi="仿宋" w:eastAsia="仿宋" w:cs="仿宋"/>
          <w:sz w:val="32"/>
          <w:szCs w:val="32"/>
          <w:lang w:eastAsia="zh-CN"/>
        </w:rPr>
        <w:fldChar w:fldCharType="separate"/>
      </w:r>
      <w:r>
        <w:rPr>
          <w:rFonts w:hint="eastAsia" w:ascii="仿宋" w:hAnsi="仿宋" w:eastAsia="仿宋" w:cs="仿宋"/>
          <w:bCs/>
          <w:kern w:val="0"/>
          <w:sz w:val="32"/>
          <w:szCs w:val="32"/>
          <w:shd w:val="clear" w:color="auto" w:fill="FFFFFF"/>
          <w:lang w:val="en-US" w:eastAsia="zh-CN" w:bidi="ar"/>
        </w:rPr>
        <w:t>（二）政府财政国有资产占用情况</w:t>
      </w:r>
      <w:r>
        <w:rPr>
          <w:rFonts w:hint="eastAsia" w:ascii="仿宋" w:hAnsi="仿宋" w:eastAsia="仿宋" w:cs="仿宋"/>
          <w:sz w:val="32"/>
          <w:szCs w:val="32"/>
        </w:rPr>
        <w:tab/>
      </w:r>
      <w:r>
        <w:rPr>
          <w:rFonts w:hint="eastAsia" w:ascii="仿宋" w:hAnsi="仿宋" w:eastAsia="仿宋" w:cs="仿宋"/>
          <w:sz w:val="32"/>
          <w:szCs w:val="32"/>
          <w:lang w:val="en-US" w:eastAsia="zh-CN"/>
        </w:rPr>
        <w:t>6</w:t>
      </w:r>
      <w:r>
        <w:rPr>
          <w:rFonts w:hint="eastAsia" w:ascii="仿宋" w:hAnsi="仿宋" w:eastAsia="仿宋" w:cs="仿宋"/>
          <w:sz w:val="32"/>
          <w:szCs w:val="32"/>
          <w:lang w:eastAsia="zh-CN"/>
        </w:rPr>
        <w:fldChar w:fldCharType="end"/>
      </w:r>
    </w:p>
    <w:p w14:paraId="1FE2F829">
      <w:pPr>
        <w:pStyle w:val="16"/>
        <w:tabs>
          <w:tab w:val="right" w:leader="dot" w:pos="8844"/>
        </w:tabs>
        <w:rPr>
          <w:rFonts w:hint="eastAsia" w:ascii="仿宋" w:hAnsi="仿宋" w:eastAsia="仿宋" w:cs="仿宋"/>
          <w:sz w:val="32"/>
          <w:szCs w:val="32"/>
          <w:lang w:eastAsia="zh-CN"/>
        </w:rPr>
      </w:pPr>
      <w:r>
        <w:rPr>
          <w:rFonts w:hint="eastAsia" w:ascii="仿宋" w:hAnsi="仿宋" w:eastAsia="仿宋" w:cs="仿宋"/>
          <w:sz w:val="32"/>
          <w:szCs w:val="32"/>
          <w:lang w:eastAsia="zh-CN"/>
        </w:rPr>
        <w:fldChar w:fldCharType="begin"/>
      </w:r>
      <w:r>
        <w:rPr>
          <w:rFonts w:hint="eastAsia" w:ascii="仿宋" w:hAnsi="仿宋" w:eastAsia="仿宋" w:cs="仿宋"/>
          <w:sz w:val="32"/>
          <w:szCs w:val="32"/>
          <w:lang w:eastAsia="zh-CN"/>
        </w:rPr>
        <w:instrText xml:space="preserve"> HYPERLINK \l _Toc17064 </w:instrText>
      </w:r>
      <w:r>
        <w:rPr>
          <w:rFonts w:hint="eastAsia" w:ascii="仿宋" w:hAnsi="仿宋" w:eastAsia="仿宋" w:cs="仿宋"/>
          <w:sz w:val="32"/>
          <w:szCs w:val="32"/>
          <w:lang w:eastAsia="zh-CN"/>
        </w:rPr>
        <w:fldChar w:fldCharType="separate"/>
      </w:r>
      <w:r>
        <w:rPr>
          <w:rFonts w:hint="eastAsia" w:ascii="仿宋" w:hAnsi="仿宋" w:eastAsia="仿宋" w:cs="仿宋"/>
          <w:bCs/>
          <w:kern w:val="0"/>
          <w:sz w:val="32"/>
          <w:szCs w:val="32"/>
          <w:shd w:val="clear" w:color="auto" w:fill="FFFFFF"/>
          <w:lang w:val="en-US" w:eastAsia="zh-CN" w:bidi="ar"/>
        </w:rPr>
        <w:t>（三）绩效目标设置情况</w:t>
      </w:r>
      <w:r>
        <w:rPr>
          <w:rFonts w:hint="eastAsia" w:ascii="仿宋" w:hAnsi="仿宋" w:eastAsia="仿宋" w:cs="仿宋"/>
          <w:sz w:val="32"/>
          <w:szCs w:val="32"/>
        </w:rPr>
        <w:tab/>
      </w:r>
      <w:r>
        <w:rPr>
          <w:rFonts w:hint="eastAsia" w:ascii="仿宋" w:hAnsi="仿宋" w:eastAsia="仿宋" w:cs="仿宋"/>
          <w:sz w:val="32"/>
          <w:szCs w:val="32"/>
          <w:lang w:val="en-US" w:eastAsia="zh-CN"/>
        </w:rPr>
        <w:t>6</w:t>
      </w:r>
      <w:r>
        <w:rPr>
          <w:rFonts w:hint="eastAsia" w:ascii="仿宋" w:hAnsi="仿宋" w:eastAsia="仿宋" w:cs="仿宋"/>
          <w:sz w:val="32"/>
          <w:szCs w:val="32"/>
          <w:lang w:eastAsia="zh-CN"/>
        </w:rPr>
        <w:fldChar w:fldCharType="end"/>
      </w:r>
      <w:bookmarkStart w:id="0" w:name="_GoBack"/>
      <w:bookmarkEnd w:id="0"/>
    </w:p>
    <w:p w14:paraId="76C0478C">
      <w:pPr>
        <w:pStyle w:val="15"/>
        <w:tabs>
          <w:tab w:val="right" w:leader="dot" w:pos="8844"/>
        </w:tabs>
        <w:rPr>
          <w:rFonts w:hint="eastAsia" w:ascii="仿宋" w:hAnsi="仿宋" w:eastAsia="仿宋" w:cs="仿宋"/>
          <w:b/>
          <w:sz w:val="32"/>
          <w:szCs w:val="32"/>
        </w:rPr>
      </w:pPr>
      <w:r>
        <w:rPr>
          <w:rFonts w:hint="eastAsia" w:ascii="仿宋" w:hAnsi="仿宋" w:eastAsia="仿宋" w:cs="仿宋"/>
          <w:b/>
          <w:sz w:val="32"/>
          <w:szCs w:val="32"/>
          <w:lang w:eastAsia="zh-CN"/>
        </w:rPr>
        <w:fldChar w:fldCharType="begin"/>
      </w:r>
      <w:r>
        <w:rPr>
          <w:rFonts w:hint="eastAsia" w:ascii="仿宋" w:hAnsi="仿宋" w:eastAsia="仿宋" w:cs="仿宋"/>
          <w:b/>
          <w:sz w:val="32"/>
          <w:szCs w:val="32"/>
          <w:lang w:eastAsia="zh-CN"/>
        </w:rPr>
        <w:instrText xml:space="preserve"> HYPERLINK \l _Toc20277 </w:instrText>
      </w:r>
      <w:r>
        <w:rPr>
          <w:rFonts w:hint="eastAsia" w:ascii="仿宋" w:hAnsi="仿宋" w:eastAsia="仿宋" w:cs="仿宋"/>
          <w:b/>
          <w:sz w:val="32"/>
          <w:szCs w:val="32"/>
          <w:lang w:eastAsia="zh-CN"/>
        </w:rPr>
        <w:fldChar w:fldCharType="separate"/>
      </w:r>
      <w:r>
        <w:rPr>
          <w:rFonts w:hint="eastAsia" w:ascii="仿宋" w:hAnsi="仿宋" w:eastAsia="仿宋" w:cs="仿宋"/>
          <w:b/>
          <w:sz w:val="32"/>
          <w:szCs w:val="32"/>
          <w:lang w:eastAsia="zh-CN"/>
        </w:rPr>
        <w:t>十</w:t>
      </w:r>
      <w:r>
        <w:rPr>
          <w:rFonts w:hint="eastAsia" w:ascii="仿宋" w:hAnsi="仿宋" w:eastAsia="仿宋" w:cs="仿宋"/>
          <w:b/>
          <w:bCs/>
          <w:kern w:val="0"/>
          <w:sz w:val="32"/>
          <w:szCs w:val="32"/>
          <w:shd w:val="clear" w:color="auto" w:fill="FFFFFF"/>
          <w:lang w:val="en-US" w:eastAsia="zh-CN" w:bidi="ar"/>
        </w:rPr>
        <w:t>、名词解释</w:t>
      </w:r>
      <w:r>
        <w:rPr>
          <w:rFonts w:hint="eastAsia" w:ascii="仿宋" w:hAnsi="仿宋" w:eastAsia="仿宋" w:cs="仿宋"/>
          <w:b/>
          <w:sz w:val="32"/>
          <w:szCs w:val="32"/>
        </w:rPr>
        <w:tab/>
      </w:r>
      <w:r>
        <w:rPr>
          <w:rFonts w:hint="eastAsia" w:ascii="仿宋" w:hAnsi="仿宋" w:eastAsia="仿宋" w:cs="仿宋"/>
          <w:b/>
          <w:sz w:val="32"/>
          <w:szCs w:val="32"/>
          <w:lang w:val="en-US" w:eastAsia="zh-CN"/>
        </w:rPr>
        <w:t>7</w:t>
      </w:r>
      <w:r>
        <w:rPr>
          <w:rFonts w:hint="eastAsia" w:ascii="仿宋" w:hAnsi="仿宋" w:eastAsia="仿宋" w:cs="仿宋"/>
          <w:b/>
          <w:sz w:val="32"/>
          <w:szCs w:val="32"/>
          <w:lang w:eastAsia="zh-CN"/>
        </w:rPr>
        <w:fldChar w:fldCharType="end"/>
      </w:r>
    </w:p>
    <w:p w14:paraId="7B228894">
      <w:pPr>
        <w:pStyle w:val="16"/>
        <w:tabs>
          <w:tab w:val="right" w:leader="dot" w:pos="8844"/>
        </w:tabs>
        <w:rPr>
          <w:rFonts w:hint="eastAsia" w:ascii="仿宋" w:hAnsi="仿宋" w:eastAsia="仿宋" w:cs="仿宋"/>
          <w:sz w:val="32"/>
          <w:szCs w:val="32"/>
          <w:lang w:eastAsia="zh-CN"/>
        </w:rPr>
      </w:pPr>
    </w:p>
    <w:p w14:paraId="387425D5">
      <w:pPr>
        <w:pStyle w:val="4"/>
        <w:adjustRightInd w:val="0"/>
        <w:snapToGrid w:val="0"/>
        <w:spacing w:beforeLines="0" w:line="560" w:lineRule="exact"/>
        <w:rPr>
          <w:rFonts w:hint="eastAsia" w:ascii="仿宋" w:hAnsi="仿宋" w:eastAsia="仿宋" w:cs="仿宋"/>
          <w:b/>
          <w:sz w:val="32"/>
          <w:szCs w:val="32"/>
          <w:lang w:eastAsia="zh-CN"/>
        </w:rPr>
        <w:sectPr>
          <w:footerReference r:id="rId5" w:type="default"/>
          <w:pgSz w:w="11906" w:h="16838"/>
          <w:pgMar w:top="2098" w:right="1418" w:bottom="1588" w:left="1644" w:header="851" w:footer="992" w:gutter="0"/>
          <w:pgNumType w:start="1"/>
          <w:cols w:space="720" w:num="1"/>
          <w:docGrid w:type="lines" w:linePitch="312" w:charSpace="0"/>
        </w:sectPr>
      </w:pPr>
    </w:p>
    <w:p w14:paraId="52A970FB">
      <w:pPr>
        <w:pStyle w:val="4"/>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宋体" w:hAnsi="宋体" w:eastAsia="宋体"/>
          <w:b/>
          <w:sz w:val="44"/>
          <w:szCs w:val="44"/>
        </w:rPr>
      </w:pPr>
      <w:r>
        <w:rPr>
          <w:rFonts w:hint="eastAsia" w:ascii="仿宋" w:hAnsi="仿宋" w:eastAsia="仿宋" w:cs="仿宋"/>
          <w:b/>
          <w:sz w:val="32"/>
          <w:szCs w:val="32"/>
          <w:lang w:eastAsia="zh-CN"/>
        </w:rPr>
        <w:fldChar w:fldCharType="end"/>
      </w:r>
      <w:r>
        <w:rPr>
          <w:rFonts w:hint="eastAsia" w:ascii="仿宋" w:hAnsi="仿宋" w:eastAsia="仿宋" w:cs="仿宋"/>
          <w:b/>
          <w:sz w:val="32"/>
          <w:szCs w:val="32"/>
          <w:lang w:val="en-US" w:eastAsia="zh-CN"/>
        </w:rPr>
        <w:t xml:space="preserve">   </w:t>
      </w:r>
      <w:r>
        <w:rPr>
          <w:rFonts w:hint="eastAsia"/>
          <w:sz w:val="32"/>
          <w:szCs w:val="32"/>
        </w:rPr>
        <w:t>按照预算管理有关规定，目前部门预算的编制实行综合预算制度，即全部收入和支出都反映在预算中。</w:t>
      </w:r>
    </w:p>
    <w:p w14:paraId="4D9A1D1D">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一、基本职能及主要工作</w:t>
      </w:r>
    </w:p>
    <w:p w14:paraId="2827ED33">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（一）基本职能</w:t>
      </w:r>
    </w:p>
    <w:p w14:paraId="7C0B932F">
      <w:pPr>
        <w:pStyle w:val="4"/>
        <w:shd w:val="clear" w:fill="FFFFFF" w:themeFill="background1"/>
        <w:adjustRightInd w:val="0"/>
        <w:snapToGrid w:val="0"/>
        <w:spacing w:before="93" w:line="560" w:lineRule="exact"/>
        <w:ind w:firstLine="672" w:firstLineChars="210"/>
        <w:rPr>
          <w:rFonts w:hint="eastAsia" w:ascii="仿宋_GB2312" w:hAnsi="仿宋_GB2312" w:eastAsia="仿宋_GB2312" w:cs="仿宋_GB2312"/>
          <w:b w:val="0"/>
          <w:bCs/>
          <w:color w:val="000000" w:themeColor="text1"/>
          <w:sz w:val="32"/>
          <w:szCs w:val="32"/>
          <w14:textFill>
            <w14:solidFill>
              <w14:schemeClr w14:val="tx1"/>
            </w14:solidFill>
          </w14:textFill>
        </w:rPr>
      </w:pPr>
      <w:r>
        <w:rPr>
          <w:rFonts w:hint="eastAsia" w:hAnsi="仿宋_GB2312" w:cs="仿宋_GB2312"/>
          <w:b w:val="0"/>
          <w:bCs/>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b w:val="0"/>
          <w:bCs/>
          <w:color w:val="000000" w:themeColor="text1"/>
          <w:sz w:val="32"/>
          <w:szCs w:val="32"/>
          <w14:textFill>
            <w14:solidFill>
              <w14:schemeClr w14:val="tx1"/>
            </w14:solidFill>
          </w14:textFill>
        </w:rPr>
        <w:t>贯彻执行国家、省、州、县关于司法行政工作的方针、政策和法律、法规及规章，制订司法行政规范性文件和工作发展规划、工作计划并组织实施。</w:t>
      </w:r>
    </w:p>
    <w:p w14:paraId="44A23528">
      <w:pPr>
        <w:pStyle w:val="4"/>
        <w:shd w:val="clear" w:fill="FFFFFF" w:themeFill="background1"/>
        <w:adjustRightInd w:val="0"/>
        <w:snapToGrid w:val="0"/>
        <w:spacing w:before="93" w:line="560" w:lineRule="exact"/>
        <w:ind w:firstLine="672" w:firstLineChars="210"/>
        <w:rPr>
          <w:rFonts w:hint="eastAsia" w:hAnsi="仿宋_GB2312" w:cs="仿宋_GB2312"/>
          <w:b w:val="0"/>
          <w:bCs/>
          <w:color w:val="000000" w:themeColor="text1"/>
          <w:sz w:val="32"/>
          <w:szCs w:val="32"/>
          <w:lang w:val="en-US" w:eastAsia="zh-CN"/>
          <w14:textFill>
            <w14:solidFill>
              <w14:schemeClr w14:val="tx1"/>
            </w14:solidFill>
          </w14:textFill>
        </w:rPr>
      </w:pPr>
      <w:r>
        <w:rPr>
          <w:rFonts w:hint="eastAsia" w:hAnsi="仿宋_GB2312" w:cs="仿宋_GB2312"/>
          <w:b w:val="0"/>
          <w:bCs/>
          <w:color w:val="000000" w:themeColor="text1"/>
          <w:sz w:val="32"/>
          <w:szCs w:val="32"/>
          <w:lang w:val="en-US" w:eastAsia="zh-CN"/>
          <w14:textFill>
            <w14:solidFill>
              <w14:schemeClr w14:val="tx1"/>
            </w14:solidFill>
          </w14:textFill>
        </w:rPr>
        <w:t>2、按照县委全面依法治县委员会要求，贯彻落实依法治县决策部署。承担全面依法治县重大问题的政策研究，协调有关方面提出全面依法治县规划建议，负责重大决策部署督察工作。</w:t>
      </w:r>
    </w:p>
    <w:p w14:paraId="52E4BFEF">
      <w:pPr>
        <w:pStyle w:val="4"/>
        <w:shd w:val="clear" w:fill="FFFFFF" w:themeFill="background1"/>
        <w:adjustRightInd w:val="0"/>
        <w:snapToGrid w:val="0"/>
        <w:spacing w:before="93" w:line="560" w:lineRule="exact"/>
        <w:ind w:firstLine="672" w:firstLineChars="210"/>
        <w:rPr>
          <w:rFonts w:hint="eastAsia" w:ascii="仿宋_GB2312" w:hAnsi="仿宋_GB2312" w:eastAsia="仿宋_GB2312" w:cs="仿宋_GB2312"/>
          <w:b w:val="0"/>
          <w:bCs/>
          <w:color w:val="000000" w:themeColor="text1"/>
          <w:sz w:val="32"/>
          <w:szCs w:val="32"/>
          <w14:textFill>
            <w14:solidFill>
              <w14:schemeClr w14:val="tx1"/>
            </w14:solidFill>
          </w14:textFill>
        </w:rPr>
      </w:pPr>
      <w:r>
        <w:rPr>
          <w:rFonts w:hint="eastAsia" w:hAnsi="仿宋_GB2312" w:cs="仿宋_GB2312"/>
          <w:b w:val="0"/>
          <w:bCs/>
          <w:color w:val="000000" w:themeColor="text1"/>
          <w:sz w:val="32"/>
          <w:szCs w:val="32"/>
          <w:lang w:val="en-US" w:eastAsia="zh-CN"/>
          <w14:textFill>
            <w14:solidFill>
              <w14:schemeClr w14:val="tx1"/>
            </w14:solidFill>
          </w14:textFill>
        </w:rPr>
        <w:t>3、负责县政府规范性文件、重大行政决策发布前的合法性审查。承办县政府规范性文件报送备案工作。负责各乡（镇）人民政府和县政府各部门规范性文件报送县政府的备案审查工作。组织开展规范性文件清理。</w:t>
      </w:r>
    </w:p>
    <w:p w14:paraId="6504855E">
      <w:pPr>
        <w:pStyle w:val="4"/>
        <w:shd w:val="clear" w:fill="FFFFFF" w:themeFill="background1"/>
        <w:adjustRightInd w:val="0"/>
        <w:snapToGrid w:val="0"/>
        <w:spacing w:before="93" w:line="560" w:lineRule="exact"/>
        <w:ind w:firstLine="672" w:firstLineChars="210"/>
        <w:rPr>
          <w:rFonts w:hint="eastAsia" w:ascii="仿宋_GB2312" w:hAnsi="仿宋_GB2312" w:eastAsia="仿宋_GB2312" w:cs="仿宋_GB2312"/>
          <w:b w:val="0"/>
          <w:bCs/>
          <w:color w:val="000000" w:themeColor="text1"/>
          <w:sz w:val="32"/>
          <w:szCs w:val="32"/>
          <w14:textFill>
            <w14:solidFill>
              <w14:schemeClr w14:val="tx1"/>
            </w14:solidFill>
          </w14:textFill>
        </w:rPr>
      </w:pPr>
      <w:r>
        <w:rPr>
          <w:rFonts w:hint="eastAsia" w:hAnsi="仿宋_GB2312" w:cs="仿宋_GB2312"/>
          <w:b w:val="0"/>
          <w:bCs/>
          <w:color w:val="000000" w:themeColor="text1"/>
          <w:sz w:val="32"/>
          <w:szCs w:val="32"/>
          <w:lang w:val="en-US" w:eastAsia="zh-CN"/>
          <w14:textFill>
            <w14:solidFill>
              <w14:schemeClr w14:val="tx1"/>
            </w14:solidFill>
          </w14:textFill>
        </w:rPr>
        <w:t>4、承担统筹推进法治政府建设的责任。指导监督县政府各部门、各乡（镇）人民政府依法行政工作。负责综合协调、监督检查行政执法，承担推进行政执法体制改革有关工作，推进严格规范公正文明执法。指导监督全县行政复议、行政应诉和行政赔偿工作，承办向县政府申请的行政复议、行政赔偿案件，代理县政府行政应诉案件。</w:t>
      </w:r>
    </w:p>
    <w:p w14:paraId="73F9F215">
      <w:pPr>
        <w:pStyle w:val="4"/>
        <w:shd w:val="clear" w:fill="FFFFFF" w:themeFill="background1"/>
        <w:adjustRightInd w:val="0"/>
        <w:snapToGrid w:val="0"/>
        <w:spacing w:before="93" w:line="560" w:lineRule="exact"/>
        <w:ind w:firstLine="672" w:firstLineChars="210"/>
        <w:rPr>
          <w:rFonts w:hint="eastAsia" w:hAnsi="仿宋_GB2312" w:cs="仿宋_GB2312"/>
          <w:b w:val="0"/>
          <w:bCs/>
          <w:color w:val="000000" w:themeColor="text1"/>
          <w:sz w:val="32"/>
          <w:szCs w:val="32"/>
          <w:lang w:val="en-US" w:eastAsia="zh-CN"/>
          <w14:textFill>
            <w14:solidFill>
              <w14:schemeClr w14:val="tx1"/>
            </w14:solidFill>
          </w14:textFill>
        </w:rPr>
      </w:pPr>
      <w:r>
        <w:rPr>
          <w:rFonts w:hint="eastAsia" w:hAnsi="仿宋_GB2312" w:cs="仿宋_GB2312"/>
          <w:b w:val="0"/>
          <w:bCs/>
          <w:color w:val="000000" w:themeColor="text1"/>
          <w:sz w:val="32"/>
          <w:szCs w:val="32"/>
          <w:lang w:val="en-US" w:eastAsia="zh-CN"/>
          <w14:textFill>
            <w14:solidFill>
              <w14:schemeClr w14:val="tx1"/>
            </w14:solidFill>
          </w14:textFill>
        </w:rPr>
        <w:t>5、负责拟定法治宣传教育规划，组织实施普法宣传工作，指导全县各行业的法治宣传和依法治理工作。</w:t>
      </w:r>
    </w:p>
    <w:p w14:paraId="184051E4">
      <w:pPr>
        <w:pStyle w:val="4"/>
        <w:shd w:val="clear" w:fill="FFFFFF" w:themeFill="background1"/>
        <w:adjustRightInd w:val="0"/>
        <w:snapToGrid w:val="0"/>
        <w:spacing w:before="93" w:line="560" w:lineRule="exact"/>
        <w:ind w:firstLine="672" w:firstLineChars="210"/>
        <w:rPr>
          <w:rFonts w:hint="eastAsia" w:ascii="仿宋_GB2312" w:hAnsi="仿宋_GB2312" w:eastAsia="仿宋_GB2312" w:cs="仿宋_GB2312"/>
          <w:b w:val="0"/>
          <w:bCs/>
          <w:color w:val="000000" w:themeColor="text1"/>
          <w:sz w:val="32"/>
          <w:szCs w:val="32"/>
          <w14:textFill>
            <w14:solidFill>
              <w14:schemeClr w14:val="tx1"/>
            </w14:solidFill>
          </w14:textFill>
        </w:rPr>
      </w:pPr>
      <w:r>
        <w:rPr>
          <w:rFonts w:hint="eastAsia" w:hAnsi="仿宋_GB2312" w:cs="仿宋_GB2312"/>
          <w:b w:val="0"/>
          <w:bCs/>
          <w:color w:val="000000" w:themeColor="text1"/>
          <w:sz w:val="32"/>
          <w:szCs w:val="32"/>
          <w:lang w:val="en-US" w:eastAsia="zh-CN"/>
          <w14:textFill>
            <w14:solidFill>
              <w14:schemeClr w14:val="tx1"/>
            </w14:solidFill>
          </w14:textFill>
        </w:rPr>
        <w:t>6、负责拟定全县公共法律服务体系建设规划并指导实施。指导、监督全县律师、公证、法律援助工作。</w:t>
      </w:r>
    </w:p>
    <w:p w14:paraId="5924FEAD">
      <w:pPr>
        <w:pStyle w:val="4"/>
        <w:shd w:val="clear" w:fill="FFFFFF" w:themeFill="background1"/>
        <w:adjustRightInd w:val="0"/>
        <w:snapToGrid w:val="0"/>
        <w:spacing w:before="93" w:line="560" w:lineRule="exact"/>
        <w:ind w:firstLine="672" w:firstLineChars="210"/>
        <w:rPr>
          <w:rFonts w:hint="eastAsia" w:ascii="仿宋_GB2312" w:hAnsi="仿宋_GB2312" w:eastAsia="仿宋_GB2312" w:cs="仿宋_GB2312"/>
          <w:b w:val="0"/>
          <w:bCs/>
          <w:color w:val="000000" w:themeColor="text1"/>
          <w:sz w:val="32"/>
          <w:szCs w:val="32"/>
          <w14:textFill>
            <w14:solidFill>
              <w14:schemeClr w14:val="tx1"/>
            </w14:solidFill>
          </w14:textFill>
        </w:rPr>
      </w:pPr>
      <w:r>
        <w:rPr>
          <w:rFonts w:hint="eastAsia" w:hAnsi="仿宋_GB2312" w:cs="仿宋_GB2312"/>
          <w:b w:val="0"/>
          <w:bCs/>
          <w:color w:val="000000" w:themeColor="text1"/>
          <w:sz w:val="32"/>
          <w:szCs w:val="32"/>
          <w:lang w:val="en-US" w:eastAsia="zh-CN"/>
          <w14:textFill>
            <w14:solidFill>
              <w14:schemeClr w14:val="tx1"/>
            </w14:solidFill>
          </w14:textFill>
        </w:rPr>
        <w:t>7、指导、监督基层司法所建设和人民调解、基层法律服务管理工作。指导人民陪审员、人民监督员选任管理工作。</w:t>
      </w:r>
    </w:p>
    <w:p w14:paraId="5A8785BB">
      <w:pPr>
        <w:pStyle w:val="4"/>
        <w:shd w:val="clear" w:fill="FFFFFF" w:themeFill="background1"/>
        <w:adjustRightInd w:val="0"/>
        <w:snapToGrid w:val="0"/>
        <w:spacing w:before="93" w:line="560" w:lineRule="exact"/>
        <w:ind w:firstLine="672" w:firstLineChars="210"/>
        <w:rPr>
          <w:rFonts w:hint="eastAsia" w:ascii="仿宋_GB2312" w:hAnsi="仿宋_GB2312" w:eastAsia="仿宋_GB2312" w:cs="仿宋_GB2312"/>
          <w:b w:val="0"/>
          <w:bCs/>
          <w:color w:val="000000" w:themeColor="text1"/>
          <w:sz w:val="32"/>
          <w:szCs w:val="32"/>
          <w14:textFill>
            <w14:solidFill>
              <w14:schemeClr w14:val="tx1"/>
            </w14:solidFill>
          </w14:textFill>
        </w:rPr>
      </w:pPr>
      <w:r>
        <w:rPr>
          <w:rFonts w:hint="eastAsia" w:hAnsi="仿宋_GB2312" w:cs="仿宋_GB2312"/>
          <w:b w:val="0"/>
          <w:bCs/>
          <w:color w:val="000000" w:themeColor="text1"/>
          <w:sz w:val="32"/>
          <w:szCs w:val="32"/>
          <w:lang w:val="en-US" w:eastAsia="zh-CN"/>
          <w14:textFill>
            <w14:solidFill>
              <w14:schemeClr w14:val="tx1"/>
            </w14:solidFill>
          </w14:textFill>
        </w:rPr>
        <w:t>8、指导管理社区矫正工作。指导刑满释放人员帮教安置工作。</w:t>
      </w:r>
      <w:r>
        <w:rPr>
          <w:rFonts w:hint="eastAsia" w:ascii="仿宋_GB2312" w:hAnsi="仿宋_GB2312" w:eastAsia="仿宋_GB2312" w:cs="仿宋_GB2312"/>
          <w:b w:val="0"/>
          <w:bCs/>
          <w:color w:val="000000" w:themeColor="text1"/>
          <w:sz w:val="32"/>
          <w:szCs w:val="32"/>
          <w14:textFill>
            <w14:solidFill>
              <w14:schemeClr w14:val="tx1"/>
            </w14:solidFill>
          </w14:textFill>
        </w:rPr>
        <w:t>主管司法鉴定机构和司法鉴定人的管理、审查登记工作。</w:t>
      </w:r>
    </w:p>
    <w:p w14:paraId="07DC64D9">
      <w:pPr>
        <w:pStyle w:val="4"/>
        <w:shd w:val="clear" w:fill="FFFFFF" w:themeFill="background1"/>
        <w:adjustRightInd w:val="0"/>
        <w:snapToGrid w:val="0"/>
        <w:spacing w:before="93" w:line="560" w:lineRule="exact"/>
        <w:ind w:firstLine="672" w:firstLineChars="210"/>
        <w:rPr>
          <w:rFonts w:hint="eastAsia" w:ascii="仿宋_GB2312" w:hAnsi="仿宋_GB2312" w:eastAsia="仿宋_GB2312" w:cs="仿宋_GB2312"/>
          <w:b w:val="0"/>
          <w:bCs/>
          <w:color w:val="000000" w:themeColor="text1"/>
          <w:sz w:val="32"/>
          <w:szCs w:val="32"/>
          <w14:textFill>
            <w14:solidFill>
              <w14:schemeClr w14:val="tx1"/>
            </w14:solidFill>
          </w14:textFill>
        </w:rPr>
      </w:pPr>
      <w:r>
        <w:rPr>
          <w:rFonts w:hint="eastAsia" w:hAnsi="仿宋_GB2312" w:cs="仿宋_GB2312"/>
          <w:b w:val="0"/>
          <w:bCs/>
          <w:color w:val="000000" w:themeColor="text1"/>
          <w:sz w:val="32"/>
          <w:szCs w:val="32"/>
          <w:lang w:val="en-US" w:eastAsia="zh-CN"/>
          <w14:textFill>
            <w14:solidFill>
              <w14:schemeClr w14:val="tx1"/>
            </w14:solidFill>
          </w14:textFill>
        </w:rPr>
        <w:t>9、协助上级主管部门开展国家司法考试、司法鉴定工作。</w:t>
      </w:r>
    </w:p>
    <w:p w14:paraId="21BAF61D">
      <w:pPr>
        <w:pStyle w:val="4"/>
        <w:shd w:val="clear" w:fill="FFFFFF" w:themeFill="background1"/>
        <w:adjustRightInd w:val="0"/>
        <w:snapToGrid w:val="0"/>
        <w:spacing w:before="93" w:line="560" w:lineRule="exact"/>
        <w:ind w:firstLine="672" w:firstLineChars="210"/>
        <w:rPr>
          <w:rFonts w:hint="eastAsia" w:ascii="仿宋_GB2312" w:hAnsi="仿宋_GB2312" w:eastAsia="仿宋_GB2312" w:cs="仿宋_GB2312"/>
          <w:b w:val="0"/>
          <w:bCs/>
          <w:color w:val="000000" w:themeColor="text1"/>
          <w:sz w:val="32"/>
          <w:szCs w:val="32"/>
          <w14:textFill>
            <w14:solidFill>
              <w14:schemeClr w14:val="tx1"/>
            </w14:solidFill>
          </w14:textFill>
        </w:rPr>
      </w:pPr>
      <w:r>
        <w:rPr>
          <w:rFonts w:hint="eastAsia" w:hAnsi="仿宋_GB2312" w:cs="仿宋_GB2312"/>
          <w:b w:val="0"/>
          <w:bCs/>
          <w:color w:val="000000" w:themeColor="text1"/>
          <w:sz w:val="32"/>
          <w:szCs w:val="32"/>
          <w:lang w:val="en-US" w:eastAsia="zh-CN"/>
          <w14:textFill>
            <w14:solidFill>
              <w14:schemeClr w14:val="tx1"/>
            </w14:solidFill>
          </w14:textFill>
        </w:rPr>
        <w:t>10、</w:t>
      </w:r>
      <w:r>
        <w:rPr>
          <w:rFonts w:hint="eastAsia" w:ascii="仿宋_GB2312" w:hAnsi="仿宋_GB2312" w:eastAsia="仿宋_GB2312" w:cs="仿宋_GB2312"/>
          <w:b w:val="0"/>
          <w:bCs/>
          <w:color w:val="000000" w:themeColor="text1"/>
          <w:sz w:val="32"/>
          <w:szCs w:val="32"/>
          <w14:textFill>
            <w14:solidFill>
              <w14:schemeClr w14:val="tx1"/>
            </w14:solidFill>
          </w14:textFill>
        </w:rPr>
        <w:t>指导管理全县司法行政系统的计划、财务、车辆、服装等物资装备工作。</w:t>
      </w:r>
    </w:p>
    <w:p w14:paraId="1B1F12F1">
      <w:pPr>
        <w:pStyle w:val="4"/>
        <w:shd w:val="clear" w:fill="FFFFFF" w:themeFill="background1"/>
        <w:adjustRightInd w:val="0"/>
        <w:snapToGrid w:val="0"/>
        <w:spacing w:before="93" w:line="560" w:lineRule="exact"/>
        <w:ind w:firstLine="672" w:firstLineChars="210"/>
        <w:rPr>
          <w:rFonts w:hint="eastAsia" w:ascii="仿宋_GB2312" w:hAnsi="仿宋_GB2312" w:eastAsia="仿宋_GB2312" w:cs="仿宋_GB2312"/>
          <w:b w:val="0"/>
          <w:bCs/>
          <w:color w:val="000000" w:themeColor="text1"/>
          <w:sz w:val="32"/>
          <w:szCs w:val="32"/>
          <w14:textFill>
            <w14:solidFill>
              <w14:schemeClr w14:val="tx1"/>
            </w14:solidFill>
          </w14:textFill>
        </w:rPr>
      </w:pPr>
      <w:r>
        <w:rPr>
          <w:rFonts w:hint="eastAsia" w:hAnsi="仿宋_GB2312" w:cs="仿宋_GB2312"/>
          <w:b w:val="0"/>
          <w:bCs/>
          <w:color w:val="000000" w:themeColor="text1"/>
          <w:sz w:val="32"/>
          <w:szCs w:val="32"/>
          <w:lang w:val="en-US" w:eastAsia="zh-CN"/>
          <w14:textFill>
            <w14:solidFill>
              <w14:schemeClr w14:val="tx1"/>
            </w14:solidFill>
          </w14:textFill>
        </w:rPr>
        <w:t>11、</w:t>
      </w:r>
      <w:r>
        <w:rPr>
          <w:rFonts w:hint="eastAsia" w:ascii="仿宋_GB2312" w:hAnsi="仿宋_GB2312" w:eastAsia="仿宋_GB2312" w:cs="仿宋_GB2312"/>
          <w:b w:val="0"/>
          <w:bCs/>
          <w:color w:val="000000" w:themeColor="text1"/>
          <w:sz w:val="32"/>
          <w:szCs w:val="32"/>
          <w14:textFill>
            <w14:solidFill>
              <w14:schemeClr w14:val="tx1"/>
            </w14:solidFill>
          </w14:textFill>
        </w:rPr>
        <w:t>指导、监督全县司法行政系统队伍建设和思想政治工作，负责本系统人事警务和干警培训工作。</w:t>
      </w:r>
    </w:p>
    <w:p w14:paraId="37D99C28">
      <w:pPr>
        <w:pStyle w:val="4"/>
        <w:shd w:val="clear" w:fill="FFFFFF" w:themeFill="background1"/>
        <w:adjustRightInd w:val="0"/>
        <w:snapToGrid w:val="0"/>
        <w:spacing w:before="93" w:line="560" w:lineRule="exact"/>
        <w:ind w:firstLine="672" w:firstLineChars="210"/>
        <w:rPr>
          <w:rFonts w:hint="eastAsia" w:hAnsi="仿宋_GB2312" w:cs="仿宋_GB2312"/>
          <w:b w:val="0"/>
          <w:bCs/>
          <w:color w:val="000000" w:themeColor="text1"/>
          <w:sz w:val="32"/>
          <w:szCs w:val="32"/>
          <w:lang w:val="en-US" w:eastAsia="zh-CN"/>
          <w14:textFill>
            <w14:solidFill>
              <w14:schemeClr w14:val="tx1"/>
            </w14:solidFill>
          </w14:textFill>
        </w:rPr>
      </w:pPr>
      <w:r>
        <w:rPr>
          <w:rFonts w:hint="eastAsia" w:hAnsi="仿宋_GB2312" w:cs="仿宋_GB2312"/>
          <w:b w:val="0"/>
          <w:bCs/>
          <w:color w:val="000000" w:themeColor="text1"/>
          <w:sz w:val="32"/>
          <w:szCs w:val="32"/>
          <w:lang w:val="en-US" w:eastAsia="zh-CN"/>
          <w14:textFill>
            <w14:solidFill>
              <w14:schemeClr w14:val="tx1"/>
            </w14:solidFill>
          </w14:textFill>
        </w:rPr>
        <w:t>12、完成县委、县政府交办的其他任务。</w:t>
      </w:r>
    </w:p>
    <w:p w14:paraId="2675D092">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（二）202</w:t>
      </w:r>
      <w:r>
        <w:rPr>
          <w:rFonts w:hint="eastAsia" w:ascii="楷体_GB2312" w:hAnsi="楷体_GB2312" w:eastAsia="楷体_GB2312" w:cs="楷体_GB2312"/>
          <w:b/>
          <w:bCs w:val="0"/>
          <w:sz w:val="32"/>
          <w:szCs w:val="32"/>
          <w:lang w:val="en-US" w:eastAsia="zh-CN"/>
        </w:rPr>
        <w:t>5</w:t>
      </w:r>
      <w:r>
        <w:rPr>
          <w:rFonts w:hint="eastAsia" w:ascii="楷体_GB2312" w:hAnsi="楷体_GB2312" w:eastAsia="楷体_GB2312" w:cs="楷体_GB2312"/>
          <w:b/>
          <w:bCs w:val="0"/>
          <w:sz w:val="32"/>
          <w:szCs w:val="32"/>
          <w:lang w:eastAsia="zh-CN"/>
        </w:rPr>
        <w:t>年重点工作任务</w:t>
      </w:r>
    </w:p>
    <w:p w14:paraId="4C4D29ED">
      <w:pPr>
        <w:keepNext w:val="0"/>
        <w:keepLines w:val="0"/>
        <w:pageBreakBefore w:val="0"/>
        <w:kinsoku/>
        <w:wordWrap/>
        <w:overflowPunct/>
        <w:topLinePunct w:val="0"/>
        <w:autoSpaceDE/>
        <w:autoSpaceDN/>
        <w:bidi w:val="0"/>
        <w:spacing w:beforeAutospacing="0" w:afterAutospacing="0" w:line="560" w:lineRule="exact"/>
        <w:ind w:left="0" w:leftChars="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坚持以习近平新时代中国特色社会主义思想为指导，以法治</w:t>
      </w:r>
      <w:r>
        <w:rPr>
          <w:rFonts w:hint="eastAsia" w:ascii="仿宋_GB2312" w:hAnsi="仿宋_GB2312" w:eastAsia="仿宋_GB2312" w:cs="仿宋_GB2312"/>
          <w:sz w:val="32"/>
          <w:szCs w:val="32"/>
          <w:lang w:val="en-US" w:eastAsia="zh-CN"/>
        </w:rPr>
        <w:t>红原</w:t>
      </w:r>
      <w:r>
        <w:rPr>
          <w:rFonts w:hint="eastAsia" w:ascii="仿宋_GB2312" w:hAnsi="仿宋_GB2312" w:eastAsia="仿宋_GB2312" w:cs="仿宋_GB2312"/>
          <w:sz w:val="32"/>
          <w:szCs w:val="32"/>
        </w:rPr>
        <w:t>建设为总领，法治政府建设为关键，法治社会建设为基础，“两联一进”为载体，“法律政策七进”为抓手，全面提升公共法律及政策宣传服务水平，推动</w:t>
      </w:r>
      <w:r>
        <w:rPr>
          <w:rFonts w:hint="eastAsia" w:ascii="仿宋_GB2312" w:hAnsi="仿宋_GB2312" w:eastAsia="仿宋_GB2312" w:cs="仿宋_GB2312"/>
          <w:sz w:val="32"/>
          <w:szCs w:val="32"/>
          <w:lang w:val="en-US" w:eastAsia="zh-CN"/>
        </w:rPr>
        <w:t>红原</w:t>
      </w:r>
      <w:r>
        <w:rPr>
          <w:rFonts w:hint="eastAsia" w:ascii="仿宋_GB2312" w:hAnsi="仿宋_GB2312" w:eastAsia="仿宋_GB2312" w:cs="仿宋_GB2312"/>
          <w:sz w:val="32"/>
          <w:szCs w:val="32"/>
        </w:rPr>
        <w:t>司法行政整体工作再上新台阶。</w:t>
      </w:r>
    </w:p>
    <w:p w14:paraId="38ED79EE">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N/>
        <w:bidi w:val="0"/>
        <w:spacing w:before="0" w:beforeAutospacing="0" w:after="0" w:afterAutospacing="0" w:line="560" w:lineRule="exact"/>
        <w:ind w:right="0" w:firstLine="643" w:firstLineChars="200"/>
        <w:jc w:val="both"/>
        <w:rPr>
          <w:rFonts w:hint="eastAsia" w:ascii="仿宋_GB2312" w:hAnsi="仿宋_GB2312" w:eastAsia="仿宋_GB2312" w:cs="仿宋_GB2312"/>
          <w:kern w:val="2"/>
          <w:sz w:val="32"/>
          <w:szCs w:val="32"/>
          <w:lang w:val="en-US" w:eastAsia="zh-CN" w:bidi="ar-SA"/>
        </w:rPr>
      </w:pPr>
      <w:r>
        <w:rPr>
          <w:rFonts w:hint="eastAsia" w:ascii="楷体_GB2312" w:hAnsi="楷体_GB2312" w:eastAsia="楷体_GB2312" w:cs="楷体_GB2312"/>
          <w:b/>
          <w:bCs/>
          <w:sz w:val="32"/>
          <w:szCs w:val="32"/>
        </w:rPr>
        <w:t>（一）</w:t>
      </w:r>
      <w:r>
        <w:rPr>
          <w:rFonts w:hint="eastAsia" w:ascii="楷体_GB2312" w:hAnsi="楷体_GB2312" w:eastAsia="楷体_GB2312" w:cs="楷体_GB2312"/>
          <w:b/>
          <w:bCs/>
          <w:kern w:val="2"/>
          <w:sz w:val="32"/>
          <w:szCs w:val="32"/>
          <w:lang w:val="en-US" w:eastAsia="zh-CN" w:bidi="ar-SA"/>
        </w:rPr>
        <w:t>扎实抓好主题教育。</w:t>
      </w:r>
      <w:r>
        <w:rPr>
          <w:rFonts w:hint="eastAsia" w:ascii="仿宋_GB2312" w:hAnsi="仿宋_GB2312" w:eastAsia="仿宋_GB2312" w:cs="仿宋_GB2312"/>
          <w:kern w:val="2"/>
          <w:sz w:val="32"/>
          <w:szCs w:val="32"/>
          <w:lang w:val="en-US" w:eastAsia="zh-CN" w:bidi="ar-SA"/>
        </w:rPr>
        <w:t>要抓好理论学习，把理论学习贯彻主题教育始终，在“以学增智”中不断提升政治能力、思维能力、实践能力。要抓好检视整改，找准问题、制定措施，确保整改到位。要抓好两个批次主题教育的衔接，坚持同题共答，提升整体效果。</w:t>
      </w:r>
    </w:p>
    <w:p w14:paraId="099998B5">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firstLine="640" w:firstLineChars="200"/>
        <w:textAlignment w:val="auto"/>
        <w:rPr>
          <w:rFonts w:hint="eastAsia" w:ascii="仿宋_GB2312" w:hAnsi="仿宋_GB2312" w:eastAsia="仿宋_GB2312" w:cs="仿宋_GB2312"/>
          <w:bCs/>
          <w:sz w:val="32"/>
          <w:szCs w:val="32"/>
        </w:rPr>
      </w:pPr>
      <w:r>
        <w:rPr>
          <w:rFonts w:hint="eastAsia" w:ascii="Times New Roman" w:hAnsi="Times New Roman" w:eastAsia="方正楷体_GBK"/>
          <w:b/>
          <w:bCs/>
          <w:sz w:val="32"/>
          <w:szCs w:val="32"/>
          <w:lang w:val="en-US" w:eastAsia="zh-CN"/>
        </w:rPr>
        <w:t>（二）</w:t>
      </w:r>
      <w:r>
        <w:rPr>
          <w:rFonts w:ascii="Times New Roman" w:hAnsi="Times New Roman" w:eastAsia="方正楷体_GBK"/>
          <w:b/>
          <w:bCs/>
          <w:sz w:val="32"/>
          <w:szCs w:val="32"/>
          <w:lang w:val="en-US" w:eastAsia="zh-CN"/>
        </w:rPr>
        <w:t>全面提升公共法律服务水平。</w:t>
      </w:r>
      <w:r>
        <w:rPr>
          <w:rFonts w:hint="eastAsia" w:ascii="仿宋_GB2312" w:hAnsi="仿宋_GB2312" w:eastAsia="仿宋_GB2312" w:cs="仿宋_GB2312"/>
          <w:bCs/>
          <w:sz w:val="32"/>
          <w:szCs w:val="32"/>
        </w:rPr>
        <w:t>有序推进“智慧司法”建设，</w:t>
      </w:r>
      <w:r>
        <w:rPr>
          <w:rFonts w:hint="eastAsia" w:ascii="仿宋_GB2312" w:hAnsi="仿宋_GB2312" w:eastAsia="仿宋_GB2312" w:cs="仿宋_GB2312"/>
          <w:bCs/>
          <w:sz w:val="32"/>
          <w:szCs w:val="32"/>
          <w:lang w:val="en-US" w:eastAsia="zh-CN"/>
        </w:rPr>
        <w:t>提高公共法律服务质量，切实做到我为群众办实事，倡导群众尊法守法用法，</w:t>
      </w:r>
      <w:r>
        <w:rPr>
          <w:rFonts w:hint="eastAsia" w:ascii="仿宋_GB2312" w:hAnsi="仿宋_GB2312" w:eastAsia="仿宋_GB2312" w:cs="仿宋_GB2312"/>
          <w:bCs/>
          <w:sz w:val="32"/>
          <w:szCs w:val="32"/>
        </w:rPr>
        <w:t>为加快推进现代公共法律服务体系建设提供强有力的保障。</w:t>
      </w:r>
    </w:p>
    <w:p w14:paraId="02800DE5">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N/>
        <w:bidi w:val="0"/>
        <w:spacing w:before="0" w:beforeAutospacing="0" w:after="0" w:afterAutospacing="0" w:line="560" w:lineRule="exact"/>
        <w:ind w:right="0" w:firstLine="643" w:firstLineChars="200"/>
        <w:jc w:val="both"/>
        <w:rPr>
          <w:rFonts w:hint="eastAsia" w:ascii="仿宋_GB2312" w:hAnsi="仿宋_GB2312" w:eastAsia="仿宋_GB2312" w:cs="仿宋_GB2312"/>
          <w:kern w:val="2"/>
          <w:sz w:val="32"/>
          <w:szCs w:val="32"/>
          <w:lang w:val="en-US" w:eastAsia="zh-CN" w:bidi="ar-SA"/>
        </w:rPr>
      </w:pPr>
      <w:r>
        <w:rPr>
          <w:rFonts w:hint="eastAsia" w:ascii="楷体_GB2312" w:hAnsi="楷体_GB2312" w:eastAsia="楷体_GB2312" w:cs="楷体_GB2312"/>
          <w:b/>
          <w:bCs/>
          <w:sz w:val="32"/>
          <w:szCs w:val="32"/>
        </w:rPr>
        <w:t>（</w:t>
      </w:r>
      <w:r>
        <w:rPr>
          <w:rFonts w:hint="eastAsia" w:ascii="楷体_GB2312" w:hAnsi="楷体_GB2312" w:eastAsia="楷体_GB2312" w:cs="楷体_GB2312"/>
          <w:b/>
          <w:bCs/>
          <w:sz w:val="32"/>
          <w:szCs w:val="32"/>
          <w:lang w:val="en-US" w:eastAsia="zh-CN"/>
        </w:rPr>
        <w:t>三</w:t>
      </w:r>
      <w:r>
        <w:rPr>
          <w:rFonts w:hint="eastAsia" w:ascii="楷体_GB2312" w:hAnsi="楷体_GB2312" w:eastAsia="楷体_GB2312" w:cs="楷体_GB2312"/>
          <w:b/>
          <w:bCs/>
          <w:sz w:val="32"/>
          <w:szCs w:val="32"/>
        </w:rPr>
        <w:t>）</w:t>
      </w:r>
      <w:r>
        <w:rPr>
          <w:rFonts w:hint="eastAsia" w:ascii="楷体_GB2312" w:hAnsi="楷体_GB2312" w:eastAsia="楷体_GB2312" w:cs="楷体_GB2312"/>
          <w:b/>
          <w:bCs/>
          <w:kern w:val="2"/>
          <w:sz w:val="32"/>
          <w:szCs w:val="32"/>
          <w:lang w:val="en-US" w:eastAsia="zh-CN" w:bidi="ar-SA"/>
        </w:rPr>
        <w:t>统筹推进法治建设。</w:t>
      </w:r>
      <w:r>
        <w:rPr>
          <w:rFonts w:hint="eastAsia" w:ascii="仿宋_GB2312" w:hAnsi="仿宋_GB2312" w:eastAsia="仿宋_GB2312" w:cs="仿宋_GB2312"/>
          <w:kern w:val="2"/>
          <w:sz w:val="32"/>
          <w:szCs w:val="32"/>
          <w:lang w:val="en-US" w:eastAsia="zh-CN" w:bidi="ar-SA"/>
        </w:rPr>
        <w:t>持续深化“1+8”示范试点成果推广运用，</w:t>
      </w:r>
      <w:r>
        <w:rPr>
          <w:rFonts w:hint="eastAsia" w:ascii="仿宋_GB2312" w:hAnsi="仿宋_GB2312" w:eastAsia="仿宋_GB2312" w:cs="仿宋_GB2312"/>
          <w:sz w:val="32"/>
          <w:szCs w:val="32"/>
        </w:rPr>
        <w:t>深入开展法治示范创建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kern w:val="2"/>
          <w:sz w:val="32"/>
          <w:szCs w:val="32"/>
          <w:lang w:val="en-US" w:eastAsia="zh-CN" w:bidi="ar-SA"/>
        </w:rPr>
        <w:t>切实推动道路交通安全和运输执法领域突出问题专项整治见行见效。</w:t>
      </w:r>
    </w:p>
    <w:p w14:paraId="7B1F43D7">
      <w:pPr>
        <w:keepNext w:val="0"/>
        <w:keepLines w:val="0"/>
        <w:pageBreakBefore w:val="0"/>
        <w:kinsoku/>
        <w:wordWrap/>
        <w:overflowPunct/>
        <w:topLinePunct w:val="0"/>
        <w:autoSpaceDE/>
        <w:autoSpaceDN/>
        <w:bidi w:val="0"/>
        <w:spacing w:beforeAutospacing="0" w:afterAutospacing="0" w:line="560" w:lineRule="exact"/>
        <w:ind w:left="0" w:leftChars="0" w:right="0" w:firstLine="643"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四</w:t>
      </w: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rPr>
        <w:t>持续推进“法律政策七进”。</w:t>
      </w:r>
      <w:r>
        <w:rPr>
          <w:rFonts w:hint="eastAsia" w:ascii="仿宋_GB2312" w:hAnsi="仿宋_GB2312" w:eastAsia="仿宋_GB2312" w:cs="仿宋_GB2312"/>
          <w:sz w:val="32"/>
          <w:szCs w:val="32"/>
        </w:rPr>
        <w:t>抓住寺庙普法这个“牛鼻子”，强化法治教育，策应反分维稳、扫黑除恶工作，推动民族团结进步。组织藏汉双语法律政策宣讲团开展巡回法治宣讲。全面推进法律进寺庙“四进七有”工作，将工作纳入常态，形成长效机制。</w:t>
      </w:r>
    </w:p>
    <w:p w14:paraId="2BCE7091">
      <w:pPr>
        <w:keepNext w:val="0"/>
        <w:keepLines w:val="0"/>
        <w:pageBreakBefore w:val="0"/>
        <w:kinsoku/>
        <w:wordWrap/>
        <w:overflowPunct/>
        <w:topLinePunct w:val="0"/>
        <w:autoSpaceDE/>
        <w:autoSpaceDN/>
        <w:bidi w:val="0"/>
        <w:spacing w:beforeAutospacing="0" w:afterAutospacing="0" w:line="560" w:lineRule="exact"/>
        <w:ind w:left="0" w:leftChars="0" w:right="0" w:firstLine="640" w:firstLineChars="200"/>
        <w:textAlignment w:val="auto"/>
        <w:rPr>
          <w:rFonts w:hint="eastAsia" w:ascii="仿宋_GB2312" w:hAnsi="仿宋_GB2312" w:eastAsia="仿宋_GB2312" w:cs="仿宋_GB2312"/>
          <w:sz w:val="32"/>
          <w:szCs w:val="32"/>
        </w:rPr>
      </w:pPr>
      <w:r>
        <w:rPr>
          <w:rFonts w:ascii="Times New Roman" w:hAnsi="Times New Roman" w:eastAsia="方正楷体_GBK"/>
          <w:b/>
          <w:bCs/>
          <w:sz w:val="32"/>
          <w:szCs w:val="32"/>
          <w:lang w:val="en-US" w:eastAsia="zh-CN"/>
        </w:rPr>
        <w:t>（</w:t>
      </w:r>
      <w:r>
        <w:rPr>
          <w:rFonts w:hint="eastAsia" w:ascii="Times New Roman" w:hAnsi="Times New Roman" w:eastAsia="方正楷体_GBK"/>
          <w:b/>
          <w:bCs/>
          <w:sz w:val="32"/>
          <w:szCs w:val="32"/>
          <w:lang w:val="en-US" w:eastAsia="zh-CN"/>
        </w:rPr>
        <w:t>五</w:t>
      </w:r>
      <w:r>
        <w:rPr>
          <w:rFonts w:ascii="Times New Roman" w:hAnsi="Times New Roman" w:eastAsia="方正楷体_GBK"/>
          <w:b/>
          <w:bCs/>
          <w:sz w:val="32"/>
          <w:szCs w:val="32"/>
          <w:lang w:val="en-US" w:eastAsia="zh-CN"/>
        </w:rPr>
        <w:t>）持续强化基层社会治理，全力维护社会稳定。</w:t>
      </w:r>
      <w:r>
        <w:rPr>
          <w:rFonts w:hint="eastAsia" w:ascii="仿宋_GB2312" w:hAnsi="仿宋_GB2312" w:eastAsia="仿宋_GB2312" w:cs="仿宋_GB2312"/>
          <w:bCs/>
          <w:sz w:val="32"/>
          <w:szCs w:val="32"/>
        </w:rPr>
        <w:t>切实加强社区矫正和安置帮教工作，健全完善管控帮教机制，严格落实各项监管措施，确保不出现脱管漏管现象。坚持和发展新时代 “枫桥经验”，创新调解工作机制，加快构建新时代大调解工作格局，积极推动人民调解工作创新发展</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lang w:val="en-US" w:eastAsia="zh-CN"/>
        </w:rPr>
        <w:t>为提升法治素养，夯实基层人民调解基础，将组织基层人民调解员进行提能培训</w:t>
      </w:r>
      <w:r>
        <w:rPr>
          <w:rFonts w:hint="eastAsia" w:ascii="仿宋_GB2312" w:hAnsi="仿宋_GB2312" w:eastAsia="仿宋_GB2312" w:cs="仿宋_GB2312"/>
          <w:bCs/>
          <w:sz w:val="32"/>
          <w:szCs w:val="32"/>
        </w:rPr>
        <w:t>。</w:t>
      </w:r>
      <w:r>
        <w:rPr>
          <w:rFonts w:hint="eastAsia" w:ascii="仿宋_GB2312" w:hAnsi="仿宋_GB2312" w:eastAsia="仿宋_GB2312" w:cs="仿宋_GB2312"/>
          <w:sz w:val="32"/>
          <w:szCs w:val="32"/>
        </w:rPr>
        <w:t>积极参与重大风险防范化解，抓早抓小、应调尽调，努力实现矛盾纠纷不上交。</w:t>
      </w:r>
    </w:p>
    <w:p w14:paraId="66342234">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firstLine="640" w:firstLineChars="200"/>
        <w:textAlignment w:val="auto"/>
        <w:rPr>
          <w:rFonts w:ascii="Times New Roman" w:hAnsi="Times New Roman" w:eastAsia="方正仿宋_GBK"/>
          <w:bCs/>
          <w:sz w:val="32"/>
          <w:szCs w:val="32"/>
        </w:rPr>
      </w:pPr>
      <w:r>
        <w:rPr>
          <w:rFonts w:ascii="Times New Roman" w:hAnsi="Times New Roman" w:eastAsia="方正楷体_GBK"/>
          <w:b/>
          <w:bCs/>
          <w:sz w:val="32"/>
          <w:szCs w:val="32"/>
          <w:lang w:val="en-US" w:eastAsia="zh-CN"/>
        </w:rPr>
        <w:t>（</w:t>
      </w:r>
      <w:r>
        <w:rPr>
          <w:rFonts w:hint="eastAsia" w:ascii="Times New Roman" w:hAnsi="Times New Roman" w:eastAsia="方正楷体_GBK"/>
          <w:b/>
          <w:bCs/>
          <w:sz w:val="32"/>
          <w:szCs w:val="32"/>
          <w:lang w:val="en-US" w:eastAsia="zh-CN"/>
        </w:rPr>
        <w:t>六</w:t>
      </w:r>
      <w:r>
        <w:rPr>
          <w:rFonts w:ascii="Times New Roman" w:hAnsi="Times New Roman" w:eastAsia="方正楷体_GBK"/>
          <w:b/>
          <w:bCs/>
          <w:sz w:val="32"/>
          <w:szCs w:val="32"/>
          <w:lang w:val="en-US" w:eastAsia="zh-CN"/>
        </w:rPr>
        <w:t>）加强思想作风建设，全面提升队伍素质。</w:t>
      </w:r>
      <w:r>
        <w:rPr>
          <w:rFonts w:hint="eastAsia" w:ascii="仿宋_GB2312" w:hAnsi="仿宋_GB2312" w:eastAsia="仿宋_GB2312" w:cs="仿宋_GB2312"/>
          <w:bCs/>
          <w:sz w:val="32"/>
          <w:szCs w:val="32"/>
        </w:rPr>
        <w:t>狠抓队伍作风建设，加大干部队伍的教育培训力度，努力营造清正廉洁，干事创业的良好氛围，推动司法行政工作提档升级。</w:t>
      </w:r>
    </w:p>
    <w:p w14:paraId="36D73B36">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二、部门</w:t>
      </w:r>
      <w:r>
        <w:rPr>
          <w:rFonts w:hint="eastAsia" w:ascii="黑体" w:eastAsia="黑体"/>
          <w:sz w:val="32"/>
          <w:szCs w:val="32"/>
          <w:lang w:eastAsia="zh-CN"/>
        </w:rPr>
        <w:t>预算单位构成</w:t>
      </w:r>
    </w:p>
    <w:p w14:paraId="312A267B">
      <w:pPr>
        <w:keepNext w:val="0"/>
        <w:keepLines w:val="0"/>
        <w:pageBreakBefore w:val="0"/>
        <w:widowControl w:val="0"/>
        <w:numPr>
          <w:ilvl w:val="0"/>
          <w:numId w:val="0"/>
        </w:numPr>
        <w:pBdr>
          <w:bottom w:val="single" w:color="FFFFFF" w:sz="4" w:space="28"/>
        </w:pBdr>
        <w:tabs>
          <w:tab w:val="left" w:pos="1440"/>
        </w:tabs>
        <w:kinsoku/>
        <w:wordWrap/>
        <w:overflowPunct/>
        <w:topLinePunct w:val="0"/>
        <w:autoSpaceDE/>
        <w:autoSpaceDN/>
        <w:bidi w:val="0"/>
        <w:adjustRightInd w:val="0"/>
        <w:snapToGrid w:val="0"/>
        <w:spacing w:line="540" w:lineRule="exact"/>
        <w:ind w:right="0" w:rightChars="0" w:firstLine="640" w:firstLineChars="200"/>
        <w:textAlignment w:val="auto"/>
        <w:outlineLvl w:val="9"/>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eastAsia="zh-CN"/>
        </w:rPr>
        <w:t>红原县司法局</w:t>
      </w:r>
      <w:r>
        <w:rPr>
          <w:rFonts w:hint="eastAsia" w:ascii="仿宋_GB2312" w:hAnsi="仿宋_GB2312" w:eastAsia="仿宋_GB2312" w:cs="仿宋_GB2312"/>
          <w:bCs/>
          <w:sz w:val="32"/>
          <w:szCs w:val="32"/>
        </w:rPr>
        <w:t>为独立核算全额拨款行政单位，下设</w:t>
      </w:r>
      <w:r>
        <w:rPr>
          <w:rFonts w:hint="eastAsia" w:ascii="仿宋_GB2312" w:hAnsi="仿宋_GB2312" w:eastAsia="仿宋_GB2312" w:cs="仿宋_GB2312"/>
          <w:bCs/>
          <w:sz w:val="32"/>
          <w:szCs w:val="32"/>
          <w:lang w:val="en-US" w:eastAsia="zh-CN"/>
        </w:rPr>
        <w:t>8</w:t>
      </w:r>
      <w:r>
        <w:rPr>
          <w:rFonts w:hint="eastAsia" w:ascii="仿宋_GB2312" w:hAnsi="仿宋_GB2312" w:eastAsia="仿宋_GB2312" w:cs="仿宋_GB2312"/>
          <w:bCs/>
          <w:sz w:val="32"/>
          <w:szCs w:val="32"/>
        </w:rPr>
        <w:t>个</w:t>
      </w:r>
      <w:r>
        <w:rPr>
          <w:rFonts w:hint="eastAsia" w:ascii="仿宋_GB2312" w:hAnsi="仿宋_GB2312" w:eastAsia="仿宋_GB2312" w:cs="仿宋_GB2312"/>
          <w:bCs/>
          <w:sz w:val="32"/>
          <w:szCs w:val="32"/>
          <w:lang w:eastAsia="zh-CN"/>
        </w:rPr>
        <w:t>机构</w:t>
      </w:r>
      <w:r>
        <w:rPr>
          <w:rFonts w:hint="eastAsia" w:ascii="仿宋_GB2312" w:hAnsi="仿宋_GB2312" w:eastAsia="仿宋_GB2312" w:cs="仿宋_GB2312"/>
          <w:bCs/>
          <w:sz w:val="32"/>
          <w:szCs w:val="32"/>
        </w:rPr>
        <w:t>：办公室、</w:t>
      </w:r>
      <w:r>
        <w:rPr>
          <w:rFonts w:hint="eastAsia" w:ascii="仿宋_GB2312" w:hAnsi="仿宋_GB2312" w:eastAsia="仿宋_GB2312" w:cs="仿宋_GB2312"/>
          <w:bCs/>
          <w:sz w:val="32"/>
          <w:szCs w:val="32"/>
          <w:lang w:eastAsia="zh-CN"/>
        </w:rPr>
        <w:t>法制股、</w:t>
      </w:r>
      <w:r>
        <w:rPr>
          <w:rFonts w:hint="eastAsia" w:ascii="仿宋_GB2312" w:hAnsi="仿宋_GB2312" w:eastAsia="仿宋_GB2312" w:cs="仿宋_GB2312"/>
          <w:bCs/>
          <w:sz w:val="32"/>
          <w:szCs w:val="32"/>
        </w:rPr>
        <w:t>基层工作股、法治宣传</w:t>
      </w:r>
      <w:r>
        <w:rPr>
          <w:rFonts w:hint="eastAsia" w:ascii="仿宋_GB2312" w:hAnsi="仿宋_GB2312" w:eastAsia="仿宋_GB2312" w:cs="仿宋_GB2312"/>
          <w:bCs/>
          <w:sz w:val="32"/>
          <w:szCs w:val="32"/>
          <w:lang w:eastAsia="zh-CN"/>
        </w:rPr>
        <w:t>教育</w:t>
      </w:r>
      <w:r>
        <w:rPr>
          <w:rFonts w:hint="eastAsia" w:ascii="仿宋_GB2312" w:hAnsi="仿宋_GB2312" w:eastAsia="仿宋_GB2312" w:cs="仿宋_GB2312"/>
          <w:bCs/>
          <w:sz w:val="32"/>
          <w:szCs w:val="32"/>
        </w:rPr>
        <w:t>股、</w:t>
      </w:r>
      <w:r>
        <w:rPr>
          <w:rFonts w:hint="eastAsia" w:ascii="仿宋_GB2312" w:hAnsi="仿宋_GB2312" w:eastAsia="仿宋_GB2312" w:cs="仿宋_GB2312"/>
          <w:bCs/>
          <w:sz w:val="32"/>
          <w:szCs w:val="32"/>
          <w:lang w:eastAsia="zh-CN"/>
        </w:rPr>
        <w:t>装备财务保障股、公共法律服务管理股、政工室、社区矫正执法大队。</w:t>
      </w:r>
    </w:p>
    <w:p w14:paraId="3D367499">
      <w:pPr>
        <w:keepNext w:val="0"/>
        <w:keepLines w:val="0"/>
        <w:pageBreakBefore w:val="0"/>
        <w:widowControl w:val="0"/>
        <w:numPr>
          <w:ilvl w:val="0"/>
          <w:numId w:val="0"/>
        </w:numPr>
        <w:pBdr>
          <w:bottom w:val="single" w:color="FFFFFF" w:sz="4" w:space="28"/>
        </w:pBdr>
        <w:tabs>
          <w:tab w:val="left" w:pos="1440"/>
        </w:tabs>
        <w:kinsoku/>
        <w:wordWrap/>
        <w:overflowPunct/>
        <w:topLinePunct w:val="0"/>
        <w:autoSpaceDE/>
        <w:autoSpaceDN/>
        <w:bidi w:val="0"/>
        <w:adjustRightInd w:val="0"/>
        <w:snapToGrid w:val="0"/>
        <w:spacing w:line="540" w:lineRule="exact"/>
        <w:ind w:right="0" w:rightChars="0" w:firstLine="640" w:firstLineChars="200"/>
        <w:textAlignment w:val="auto"/>
        <w:outlineLvl w:val="9"/>
        <w:rPr>
          <w:rFonts w:hint="eastAsia" w:ascii="仿宋_GB2312" w:hAnsi="宋体" w:eastAsia="仿宋_GB2312" w:cs="Times New Roman"/>
          <w:kern w:val="2"/>
          <w:sz w:val="32"/>
          <w:szCs w:val="32"/>
          <w:lang w:val="en-US" w:eastAsia="zh-CN" w:bidi="ar-SA"/>
        </w:rPr>
      </w:pPr>
      <w:r>
        <w:rPr>
          <w:rFonts w:hint="eastAsia" w:ascii="仿宋_GB2312" w:hAnsi="宋体" w:eastAsia="仿宋_GB2312" w:cs="Times New Roman"/>
          <w:kern w:val="2"/>
          <w:sz w:val="32"/>
          <w:szCs w:val="32"/>
          <w:lang w:val="en-US" w:eastAsia="zh-CN" w:bidi="ar-SA"/>
        </w:rPr>
        <w:t>截止2025年底我单位共有编制35个，其中公务员编制28个，行政工勤编制2个，事业编制5个;在职33人，其中公务员26人，事业5人，工勤2人。</w:t>
      </w:r>
    </w:p>
    <w:p w14:paraId="0E1D0F36">
      <w:pPr>
        <w:keepNext w:val="0"/>
        <w:keepLines w:val="0"/>
        <w:pageBreakBefore w:val="0"/>
        <w:widowControl w:val="0"/>
        <w:numPr>
          <w:ilvl w:val="0"/>
          <w:numId w:val="1"/>
        </w:numPr>
        <w:pBdr>
          <w:bottom w:val="single" w:color="FFFFFF" w:sz="4" w:space="28"/>
        </w:pBdr>
        <w:tabs>
          <w:tab w:val="left" w:pos="1440"/>
        </w:tabs>
        <w:kinsoku/>
        <w:wordWrap/>
        <w:overflowPunct/>
        <w:topLinePunct w:val="0"/>
        <w:autoSpaceDE/>
        <w:autoSpaceDN/>
        <w:bidi w:val="0"/>
        <w:adjustRightInd w:val="0"/>
        <w:snapToGrid w:val="0"/>
        <w:spacing w:line="540" w:lineRule="exact"/>
        <w:ind w:right="0" w:rightChars="0" w:firstLine="640" w:firstLineChars="200"/>
        <w:textAlignment w:val="auto"/>
        <w:outlineLvl w:val="9"/>
        <w:rPr>
          <w:rFonts w:hint="eastAsia" w:ascii="黑体" w:eastAsia="黑体"/>
          <w:sz w:val="32"/>
          <w:szCs w:val="32"/>
        </w:rPr>
      </w:pPr>
      <w:r>
        <w:rPr>
          <w:rFonts w:hint="eastAsia" w:ascii="黑体" w:eastAsia="黑体"/>
          <w:sz w:val="32"/>
          <w:szCs w:val="32"/>
        </w:rPr>
        <w:t>收支预算总体情况</w:t>
      </w:r>
    </w:p>
    <w:p w14:paraId="4B0EE9E4">
      <w:pPr>
        <w:keepNext w:val="0"/>
        <w:keepLines w:val="0"/>
        <w:pageBreakBefore w:val="0"/>
        <w:widowControl w:val="0"/>
        <w:numPr>
          <w:ilvl w:val="0"/>
          <w:numId w:val="0"/>
        </w:numPr>
        <w:pBdr>
          <w:bottom w:val="single" w:color="FFFFFF" w:sz="4" w:space="28"/>
        </w:pBdr>
        <w:tabs>
          <w:tab w:val="left" w:pos="1440"/>
        </w:tabs>
        <w:kinsoku/>
        <w:wordWrap/>
        <w:overflowPunct/>
        <w:topLinePunct w:val="0"/>
        <w:autoSpaceDE/>
        <w:autoSpaceDN/>
        <w:bidi w:val="0"/>
        <w:adjustRightInd w:val="0"/>
        <w:snapToGrid w:val="0"/>
        <w:spacing w:line="540" w:lineRule="exact"/>
        <w:ind w:right="0" w:rightChars="0" w:firstLine="640" w:firstLineChars="200"/>
        <w:textAlignment w:val="auto"/>
        <w:outlineLvl w:val="9"/>
        <w:rPr>
          <w:rFonts w:hint="eastAsia" w:ascii="仿宋_GB2312" w:eastAsia="仿宋_GB2312"/>
          <w:sz w:val="32"/>
          <w:szCs w:val="32"/>
        </w:rPr>
      </w:pPr>
      <w:r>
        <w:rPr>
          <w:rFonts w:hint="eastAsia" w:ascii="仿宋_GB2312" w:eastAsia="仿宋_GB2312"/>
          <w:sz w:val="32"/>
          <w:szCs w:val="32"/>
          <w:lang w:eastAsia="zh-CN"/>
        </w:rPr>
        <w:t>2025年红原县司法局</w:t>
      </w:r>
      <w:r>
        <w:rPr>
          <w:rFonts w:hint="eastAsia" w:ascii="仿宋_GB2312" w:eastAsia="仿宋_GB2312"/>
          <w:sz w:val="32"/>
          <w:szCs w:val="32"/>
        </w:rPr>
        <w:t>收入预算总额为</w:t>
      </w:r>
      <w:r>
        <w:rPr>
          <w:rFonts w:hint="eastAsia" w:ascii="仿宋_GB2312" w:eastAsia="仿宋_GB2312"/>
          <w:sz w:val="32"/>
          <w:szCs w:val="32"/>
          <w:lang w:val="en-US" w:eastAsia="zh-CN"/>
        </w:rPr>
        <w:t>1040.91</w:t>
      </w:r>
      <w:r>
        <w:rPr>
          <w:rFonts w:hint="eastAsia" w:ascii="仿宋_GB2312" w:eastAsia="仿宋_GB2312"/>
          <w:sz w:val="32"/>
          <w:szCs w:val="32"/>
        </w:rPr>
        <w:t>万元，其中：当年财政拨款收入</w:t>
      </w:r>
      <w:r>
        <w:rPr>
          <w:rFonts w:hint="eastAsia" w:ascii="仿宋_GB2312" w:eastAsia="仿宋_GB2312"/>
          <w:sz w:val="32"/>
          <w:szCs w:val="32"/>
          <w:lang w:val="en-US" w:eastAsia="zh-CN"/>
        </w:rPr>
        <w:t>1040.91</w:t>
      </w:r>
      <w:r>
        <w:rPr>
          <w:rFonts w:hint="eastAsia" w:ascii="仿宋_GB2312" w:eastAsia="仿宋_GB2312"/>
          <w:sz w:val="32"/>
          <w:szCs w:val="32"/>
        </w:rPr>
        <w:t>万元。相应安排支出预算</w:t>
      </w:r>
      <w:r>
        <w:rPr>
          <w:rFonts w:hint="eastAsia" w:ascii="仿宋_GB2312" w:eastAsia="仿宋_GB2312"/>
          <w:sz w:val="32"/>
          <w:szCs w:val="32"/>
          <w:lang w:val="en-US" w:eastAsia="zh-CN"/>
        </w:rPr>
        <w:t>1040.91</w:t>
      </w:r>
      <w:r>
        <w:rPr>
          <w:rFonts w:hint="eastAsia" w:ascii="仿宋_GB2312" w:eastAsia="仿宋_GB2312"/>
          <w:sz w:val="32"/>
          <w:szCs w:val="32"/>
        </w:rPr>
        <w:t>万元，其中：公共</w:t>
      </w:r>
      <w:r>
        <w:rPr>
          <w:rFonts w:hint="eastAsia" w:ascii="仿宋_GB2312" w:eastAsia="仿宋_GB2312"/>
          <w:sz w:val="32"/>
          <w:szCs w:val="32"/>
          <w:lang w:eastAsia="zh-CN"/>
        </w:rPr>
        <w:t>安全支出</w:t>
      </w:r>
      <w:r>
        <w:rPr>
          <w:rFonts w:hint="eastAsia" w:ascii="仿宋_GB2312" w:eastAsia="仿宋_GB2312"/>
          <w:sz w:val="32"/>
          <w:szCs w:val="32"/>
          <w:lang w:val="en-US" w:eastAsia="zh-CN"/>
        </w:rPr>
        <w:t>789.60</w:t>
      </w:r>
      <w:r>
        <w:rPr>
          <w:rFonts w:hint="eastAsia" w:ascii="仿宋_GB2312" w:eastAsia="仿宋_GB2312"/>
          <w:sz w:val="32"/>
          <w:szCs w:val="32"/>
        </w:rPr>
        <w:t>万元，社会保障和就业</w:t>
      </w:r>
      <w:r>
        <w:rPr>
          <w:rFonts w:hint="eastAsia" w:ascii="仿宋_GB2312" w:eastAsia="仿宋_GB2312"/>
          <w:sz w:val="32"/>
          <w:szCs w:val="32"/>
          <w:lang w:val="en-US" w:eastAsia="zh-CN"/>
        </w:rPr>
        <w:t>131.50</w:t>
      </w:r>
      <w:r>
        <w:rPr>
          <w:rFonts w:hint="eastAsia" w:ascii="仿宋_GB2312" w:eastAsia="仿宋_GB2312"/>
          <w:sz w:val="32"/>
          <w:szCs w:val="32"/>
        </w:rPr>
        <w:t>万元，卫生</w:t>
      </w:r>
      <w:r>
        <w:rPr>
          <w:rFonts w:hint="eastAsia" w:ascii="仿宋_GB2312" w:eastAsia="仿宋_GB2312"/>
          <w:sz w:val="32"/>
          <w:szCs w:val="32"/>
          <w:lang w:eastAsia="zh-CN"/>
        </w:rPr>
        <w:t>健康支出</w:t>
      </w:r>
      <w:r>
        <w:rPr>
          <w:rFonts w:hint="eastAsia" w:ascii="仿宋_GB2312" w:eastAsia="仿宋_GB2312"/>
          <w:sz w:val="32"/>
          <w:szCs w:val="32"/>
          <w:lang w:val="en-US" w:eastAsia="zh-CN"/>
        </w:rPr>
        <w:t>48.53</w:t>
      </w:r>
      <w:r>
        <w:rPr>
          <w:rFonts w:hint="eastAsia" w:ascii="仿宋_GB2312" w:eastAsia="仿宋_GB2312"/>
          <w:sz w:val="32"/>
          <w:szCs w:val="32"/>
        </w:rPr>
        <w:t>万元，住房保障支出</w:t>
      </w:r>
      <w:r>
        <w:rPr>
          <w:rFonts w:hint="eastAsia" w:ascii="仿宋_GB2312" w:eastAsia="仿宋_GB2312"/>
          <w:sz w:val="32"/>
          <w:szCs w:val="32"/>
          <w:lang w:val="en-US" w:eastAsia="zh-CN"/>
        </w:rPr>
        <w:t>71.29</w:t>
      </w:r>
      <w:r>
        <w:rPr>
          <w:rFonts w:hint="eastAsia" w:ascii="仿宋_GB2312" w:eastAsia="仿宋_GB2312"/>
          <w:sz w:val="32"/>
          <w:szCs w:val="32"/>
        </w:rPr>
        <w:t>万元。</w:t>
      </w:r>
    </w:p>
    <w:p w14:paraId="6B474295">
      <w:pPr>
        <w:keepNext w:val="0"/>
        <w:keepLines w:val="0"/>
        <w:pageBreakBefore w:val="0"/>
        <w:widowControl w:val="0"/>
        <w:numPr>
          <w:ilvl w:val="0"/>
          <w:numId w:val="1"/>
        </w:numPr>
        <w:pBdr>
          <w:bottom w:val="single" w:color="FFFFFF" w:sz="4" w:space="28"/>
        </w:pBdr>
        <w:tabs>
          <w:tab w:val="left" w:pos="1440"/>
        </w:tabs>
        <w:kinsoku/>
        <w:wordWrap/>
        <w:overflowPunct/>
        <w:topLinePunct w:val="0"/>
        <w:autoSpaceDE/>
        <w:autoSpaceDN/>
        <w:bidi w:val="0"/>
        <w:adjustRightInd w:val="0"/>
        <w:snapToGrid w:val="0"/>
        <w:spacing w:line="540" w:lineRule="exact"/>
        <w:ind w:left="0" w:leftChars="0" w:right="0" w:rightChars="0" w:firstLine="640" w:firstLineChars="200"/>
        <w:textAlignment w:val="auto"/>
        <w:outlineLvl w:val="9"/>
        <w:rPr>
          <w:rFonts w:hint="eastAsia" w:ascii="黑体" w:eastAsia="黑体"/>
          <w:sz w:val="32"/>
          <w:szCs w:val="32"/>
        </w:rPr>
      </w:pPr>
      <w:r>
        <w:rPr>
          <w:rFonts w:hint="eastAsia" w:ascii="黑体" w:eastAsia="黑体"/>
          <w:sz w:val="32"/>
          <w:szCs w:val="32"/>
        </w:rPr>
        <w:t>支出预算安排情况</w:t>
      </w:r>
    </w:p>
    <w:p w14:paraId="01130C6C">
      <w:pPr>
        <w:keepNext w:val="0"/>
        <w:keepLines w:val="0"/>
        <w:pageBreakBefore w:val="0"/>
        <w:widowControl w:val="0"/>
        <w:numPr>
          <w:ilvl w:val="0"/>
          <w:numId w:val="0"/>
        </w:numPr>
        <w:pBdr>
          <w:bottom w:val="single" w:color="FFFFFF" w:sz="4" w:space="28"/>
        </w:pBdr>
        <w:tabs>
          <w:tab w:val="left" w:pos="1440"/>
        </w:tabs>
        <w:kinsoku/>
        <w:wordWrap/>
        <w:overflowPunct/>
        <w:topLinePunct w:val="0"/>
        <w:autoSpaceDE/>
        <w:autoSpaceDN/>
        <w:bidi w:val="0"/>
        <w:adjustRightInd w:val="0"/>
        <w:snapToGrid w:val="0"/>
        <w:spacing w:line="540" w:lineRule="exact"/>
        <w:ind w:right="0" w:rightChars="0" w:firstLine="640" w:firstLineChars="200"/>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红原县司法局</w:t>
      </w:r>
      <w:r>
        <w:rPr>
          <w:rFonts w:hint="eastAsia" w:ascii="仿宋_GB2312" w:eastAsia="仿宋_GB2312"/>
          <w:sz w:val="32"/>
          <w:szCs w:val="32"/>
        </w:rPr>
        <w:t>预算安排支出主要用于保障该部门机构正常运转、完成日常工作任务以及承担</w:t>
      </w:r>
      <w:r>
        <w:rPr>
          <w:rFonts w:hint="eastAsia" w:ascii="仿宋_GB2312" w:eastAsia="仿宋_GB2312"/>
          <w:sz w:val="32"/>
          <w:szCs w:val="32"/>
          <w:lang w:eastAsia="zh-CN"/>
        </w:rPr>
        <w:t>法律服务</w:t>
      </w:r>
      <w:r>
        <w:rPr>
          <w:rFonts w:hint="eastAsia" w:ascii="仿宋_GB2312" w:eastAsia="仿宋_GB2312"/>
          <w:sz w:val="32"/>
          <w:szCs w:val="32"/>
        </w:rPr>
        <w:t>事业发展相关工作。  基本支出</w:t>
      </w:r>
      <w:r>
        <w:rPr>
          <w:rFonts w:hint="eastAsia" w:ascii="仿宋_GB2312" w:eastAsia="仿宋_GB2312"/>
          <w:sz w:val="32"/>
          <w:szCs w:val="32"/>
          <w:lang w:val="en-US" w:eastAsia="zh-CN"/>
        </w:rPr>
        <w:t>989.07</w:t>
      </w:r>
      <w:r>
        <w:rPr>
          <w:rFonts w:hint="eastAsia" w:ascii="仿宋_GB2312" w:eastAsia="仿宋_GB2312"/>
          <w:sz w:val="32"/>
          <w:szCs w:val="32"/>
          <w:lang w:eastAsia="zh-CN"/>
        </w:rPr>
        <w:t>万元</w:t>
      </w:r>
      <w:r>
        <w:rPr>
          <w:rFonts w:hint="eastAsia" w:ascii="仿宋_GB2312" w:eastAsia="仿宋_GB2312"/>
          <w:sz w:val="32"/>
          <w:szCs w:val="32"/>
          <w:lang w:val="en-US" w:eastAsia="zh-CN"/>
        </w:rPr>
        <w:t>。</w:t>
      </w:r>
      <w:r>
        <w:rPr>
          <w:rFonts w:hint="eastAsia" w:ascii="仿宋_GB2312" w:eastAsia="仿宋_GB2312"/>
          <w:sz w:val="32"/>
          <w:szCs w:val="32"/>
          <w:lang w:eastAsia="zh-CN"/>
        </w:rPr>
        <w:t>其中人员经费支出</w:t>
      </w:r>
      <w:r>
        <w:rPr>
          <w:rFonts w:hint="eastAsia" w:ascii="仿宋_GB2312" w:eastAsia="仿宋_GB2312"/>
          <w:sz w:val="32"/>
          <w:szCs w:val="32"/>
          <w:lang w:val="en-US" w:eastAsia="zh-CN"/>
        </w:rPr>
        <w:t>886.15万元，机关运行经费102.92万元，其中：办公费15.86万元，差旅费7万元，工会经费5.83万元，公务用车运行维护费15万元，水费0.5万元，电费4万元，邮电费7.5万元，取暖费4万元，劳务费4万元，公务接待费1.12万元。</w:t>
      </w:r>
    </w:p>
    <w:p w14:paraId="33B0793E">
      <w:pPr>
        <w:keepNext w:val="0"/>
        <w:keepLines w:val="0"/>
        <w:pageBreakBefore w:val="0"/>
        <w:widowControl w:val="0"/>
        <w:numPr>
          <w:ilvl w:val="0"/>
          <w:numId w:val="0"/>
        </w:numPr>
        <w:pBdr>
          <w:bottom w:val="single" w:color="FFFFFF" w:sz="4" w:space="28"/>
        </w:pBdr>
        <w:tabs>
          <w:tab w:val="left" w:pos="1440"/>
        </w:tabs>
        <w:kinsoku/>
        <w:wordWrap/>
        <w:overflowPunct/>
        <w:topLinePunct w:val="0"/>
        <w:autoSpaceDE/>
        <w:autoSpaceDN/>
        <w:bidi w:val="0"/>
        <w:adjustRightInd w:val="0"/>
        <w:snapToGrid w:val="0"/>
        <w:spacing w:line="540" w:lineRule="exact"/>
        <w:ind w:right="0" w:rightChars="0" w:firstLine="640" w:firstLineChars="200"/>
        <w:textAlignment w:val="auto"/>
        <w:outlineLvl w:val="9"/>
        <w:rPr>
          <w:rFonts w:hint="eastAsia" w:ascii="仿宋_GB2312" w:eastAsia="仿宋_GB2312"/>
          <w:sz w:val="32"/>
          <w:szCs w:val="32"/>
        </w:rPr>
      </w:pPr>
      <w:r>
        <w:rPr>
          <w:rFonts w:hint="eastAsia" w:ascii="仿宋_GB2312" w:eastAsia="仿宋_GB2312"/>
          <w:sz w:val="32"/>
          <w:szCs w:val="32"/>
        </w:rPr>
        <w:t>按支出功能分类主要用于以下方面:</w:t>
      </w:r>
    </w:p>
    <w:p w14:paraId="56886218">
      <w:pPr>
        <w:keepNext w:val="0"/>
        <w:keepLines w:val="0"/>
        <w:pageBreakBefore w:val="0"/>
        <w:widowControl w:val="0"/>
        <w:numPr>
          <w:ilvl w:val="0"/>
          <w:numId w:val="0"/>
        </w:numPr>
        <w:pBdr>
          <w:bottom w:val="single" w:color="FFFFFF" w:sz="4" w:space="28"/>
        </w:pBdr>
        <w:tabs>
          <w:tab w:val="left" w:pos="1440"/>
        </w:tabs>
        <w:kinsoku/>
        <w:wordWrap/>
        <w:overflowPunct/>
        <w:topLinePunct w:val="0"/>
        <w:autoSpaceDE/>
        <w:autoSpaceDN/>
        <w:bidi w:val="0"/>
        <w:adjustRightInd w:val="0"/>
        <w:snapToGrid w:val="0"/>
        <w:spacing w:line="540" w:lineRule="exact"/>
        <w:ind w:right="0" w:rightChars="0" w:firstLine="640" w:firstLineChars="200"/>
        <w:textAlignment w:val="auto"/>
        <w:outlineLvl w:val="9"/>
        <w:rPr>
          <w:rFonts w:hint="eastAsia" w:ascii="仿宋_GB2312" w:eastAsia="仿宋_GB2312"/>
          <w:sz w:val="32"/>
          <w:szCs w:val="32"/>
        </w:rPr>
      </w:pPr>
      <w:r>
        <w:rPr>
          <w:rFonts w:hint="eastAsia" w:ascii="仿宋_GB2312" w:eastAsia="仿宋_GB2312" w:hAnsiTheme="minorHAnsi" w:cstheme="minorBidi"/>
          <w:kern w:val="2"/>
          <w:sz w:val="32"/>
          <w:szCs w:val="32"/>
          <w:lang w:val="en-US" w:eastAsia="zh-CN" w:bidi="ar-SA"/>
        </w:rPr>
        <w:t>（一）</w:t>
      </w:r>
      <w:r>
        <w:rPr>
          <w:rFonts w:hint="eastAsia" w:ascii="仿宋_GB2312" w:eastAsia="仿宋_GB2312"/>
          <w:sz w:val="32"/>
          <w:szCs w:val="32"/>
          <w:lang w:eastAsia="zh-CN"/>
        </w:rPr>
        <w:t>公共安全</w:t>
      </w:r>
      <w:r>
        <w:rPr>
          <w:rFonts w:hint="eastAsia" w:ascii="仿宋_GB2312" w:eastAsia="仿宋_GB2312"/>
          <w:sz w:val="32"/>
          <w:szCs w:val="32"/>
          <w:lang w:val="en-US" w:eastAsia="zh-CN"/>
        </w:rPr>
        <w:t>789.60</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，主要用于机关及下属事业单位人员工资、日常运转以及为完成特定行政工作任务和事业发展目标而安排的年度项目支出。</w:t>
      </w:r>
    </w:p>
    <w:p w14:paraId="76CD29BC">
      <w:pPr>
        <w:keepNext w:val="0"/>
        <w:keepLines w:val="0"/>
        <w:pageBreakBefore w:val="0"/>
        <w:widowControl w:val="0"/>
        <w:numPr>
          <w:ilvl w:val="0"/>
          <w:numId w:val="0"/>
        </w:numPr>
        <w:pBdr>
          <w:bottom w:val="single" w:color="FFFFFF" w:sz="4" w:space="28"/>
        </w:pBdr>
        <w:tabs>
          <w:tab w:val="left" w:pos="1440"/>
        </w:tabs>
        <w:kinsoku/>
        <w:wordWrap/>
        <w:overflowPunct/>
        <w:topLinePunct w:val="0"/>
        <w:autoSpaceDE/>
        <w:autoSpaceDN/>
        <w:bidi w:val="0"/>
        <w:adjustRightInd w:val="0"/>
        <w:snapToGrid w:val="0"/>
        <w:spacing w:line="540" w:lineRule="exact"/>
        <w:ind w:left="0" w:leftChars="0" w:right="0" w:rightChars="0" w:firstLine="640" w:firstLineChars="200"/>
        <w:textAlignment w:val="auto"/>
        <w:outlineLvl w:val="9"/>
        <w:rPr>
          <w:rFonts w:hint="eastAsia" w:ascii="仿宋_GB2312" w:eastAsia="仿宋_GB2312"/>
          <w:sz w:val="32"/>
          <w:szCs w:val="32"/>
        </w:rPr>
      </w:pPr>
      <w:r>
        <w:rPr>
          <w:rFonts w:hint="eastAsia" w:ascii="仿宋_GB2312" w:eastAsia="仿宋_GB2312" w:hAnsiTheme="minorHAnsi" w:cstheme="minorBidi"/>
          <w:kern w:val="2"/>
          <w:sz w:val="32"/>
          <w:szCs w:val="32"/>
          <w:lang w:val="en-US" w:eastAsia="zh-CN" w:bidi="ar-SA"/>
        </w:rPr>
        <w:t>（二）</w:t>
      </w:r>
      <w:r>
        <w:rPr>
          <w:rFonts w:hint="eastAsia" w:ascii="仿宋_GB2312" w:eastAsia="仿宋_GB2312"/>
          <w:sz w:val="32"/>
          <w:szCs w:val="32"/>
        </w:rPr>
        <w:t>社会保障和就业</w:t>
      </w:r>
      <w:r>
        <w:rPr>
          <w:rFonts w:hint="eastAsia" w:ascii="仿宋_GB2312" w:eastAsia="仿宋_GB2312"/>
          <w:sz w:val="32"/>
          <w:szCs w:val="32"/>
          <w:lang w:val="en-US" w:eastAsia="zh-CN"/>
        </w:rPr>
        <w:t>131.50</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w:t>
      </w:r>
      <w:r>
        <w:rPr>
          <w:rFonts w:hint="eastAsia" w:ascii="仿宋_GB2312" w:eastAsia="仿宋_GB2312"/>
          <w:sz w:val="32"/>
          <w:szCs w:val="32"/>
          <w:lang w:eastAsia="zh-CN"/>
        </w:rPr>
        <w:t>养老保险及职业年金缴费</w:t>
      </w:r>
      <w:r>
        <w:rPr>
          <w:rFonts w:hint="eastAsia" w:ascii="仿宋_GB2312" w:eastAsia="仿宋_GB2312"/>
          <w:sz w:val="32"/>
          <w:szCs w:val="32"/>
        </w:rPr>
        <w:t>。</w:t>
      </w:r>
    </w:p>
    <w:p w14:paraId="3336FD42">
      <w:pPr>
        <w:keepNext w:val="0"/>
        <w:keepLines w:val="0"/>
        <w:pageBreakBefore w:val="0"/>
        <w:widowControl w:val="0"/>
        <w:numPr>
          <w:ilvl w:val="0"/>
          <w:numId w:val="0"/>
        </w:numPr>
        <w:pBdr>
          <w:bottom w:val="single" w:color="FFFFFF" w:sz="4" w:space="28"/>
        </w:pBdr>
        <w:tabs>
          <w:tab w:val="left" w:pos="1440"/>
        </w:tabs>
        <w:kinsoku/>
        <w:wordWrap/>
        <w:overflowPunct/>
        <w:topLinePunct w:val="0"/>
        <w:autoSpaceDE/>
        <w:autoSpaceDN/>
        <w:bidi w:val="0"/>
        <w:adjustRightInd w:val="0"/>
        <w:snapToGrid w:val="0"/>
        <w:spacing w:line="540" w:lineRule="exact"/>
        <w:ind w:left="0" w:leftChars="0" w:right="0" w:rightChars="0" w:firstLine="640" w:firstLineChars="200"/>
        <w:textAlignment w:val="auto"/>
        <w:outlineLvl w:val="9"/>
        <w:rPr>
          <w:rFonts w:hint="eastAsia" w:ascii="仿宋_GB2312" w:eastAsia="仿宋_GB2312"/>
          <w:sz w:val="32"/>
          <w:szCs w:val="32"/>
        </w:rPr>
      </w:pPr>
      <w:r>
        <w:rPr>
          <w:rFonts w:hint="eastAsia" w:ascii="仿宋_GB2312" w:eastAsia="仿宋_GB2312" w:hAnsiTheme="minorHAnsi" w:cstheme="minorBidi"/>
          <w:kern w:val="2"/>
          <w:sz w:val="32"/>
          <w:szCs w:val="32"/>
          <w:lang w:val="en-US" w:eastAsia="zh-CN" w:bidi="ar-SA"/>
        </w:rPr>
        <w:t>（三）</w:t>
      </w:r>
      <w:r>
        <w:rPr>
          <w:rFonts w:hint="eastAsia" w:ascii="仿宋_GB2312" w:eastAsia="仿宋_GB2312"/>
          <w:sz w:val="32"/>
          <w:szCs w:val="32"/>
        </w:rPr>
        <w:t>卫生</w:t>
      </w:r>
      <w:r>
        <w:rPr>
          <w:rFonts w:hint="eastAsia" w:ascii="仿宋_GB2312" w:eastAsia="仿宋_GB2312"/>
          <w:sz w:val="32"/>
          <w:szCs w:val="32"/>
          <w:lang w:eastAsia="zh-CN"/>
        </w:rPr>
        <w:t>健康</w:t>
      </w:r>
      <w:r>
        <w:rPr>
          <w:rFonts w:hint="eastAsia" w:ascii="仿宋_GB2312" w:eastAsia="仿宋_GB2312"/>
          <w:sz w:val="32"/>
          <w:szCs w:val="32"/>
          <w:lang w:val="en-US" w:eastAsia="zh-CN"/>
        </w:rPr>
        <w:t>48.53</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，主要用于机关及下属事业单位按照规定标准为职工缴纳的基本医疗保险及公务员医疗补助等支出。</w:t>
      </w:r>
    </w:p>
    <w:p w14:paraId="031BED92">
      <w:pPr>
        <w:keepNext w:val="0"/>
        <w:keepLines w:val="0"/>
        <w:pageBreakBefore w:val="0"/>
        <w:widowControl w:val="0"/>
        <w:numPr>
          <w:ilvl w:val="0"/>
          <w:numId w:val="0"/>
        </w:numPr>
        <w:pBdr>
          <w:bottom w:val="single" w:color="FFFFFF" w:sz="4" w:space="28"/>
        </w:pBdr>
        <w:tabs>
          <w:tab w:val="left" w:pos="1440"/>
        </w:tabs>
        <w:kinsoku/>
        <w:wordWrap/>
        <w:overflowPunct/>
        <w:topLinePunct w:val="0"/>
        <w:autoSpaceDE/>
        <w:autoSpaceDN/>
        <w:bidi w:val="0"/>
        <w:adjustRightInd w:val="0"/>
        <w:snapToGrid w:val="0"/>
        <w:spacing w:line="540" w:lineRule="exact"/>
        <w:ind w:left="0" w:leftChars="0" w:right="0" w:rightChars="0" w:firstLine="640" w:firstLineChars="200"/>
        <w:textAlignment w:val="auto"/>
        <w:outlineLvl w:val="9"/>
        <w:rPr>
          <w:rFonts w:hint="eastAsia" w:ascii="仿宋_GB2312" w:eastAsia="仿宋_GB2312"/>
          <w:sz w:val="32"/>
          <w:szCs w:val="32"/>
        </w:rPr>
      </w:pPr>
      <w:r>
        <w:rPr>
          <w:rFonts w:hint="eastAsia" w:ascii="仿宋_GB2312" w:eastAsia="仿宋_GB2312" w:hAnsiTheme="minorHAnsi" w:cstheme="minorBidi"/>
          <w:kern w:val="2"/>
          <w:sz w:val="32"/>
          <w:szCs w:val="32"/>
          <w:lang w:val="en-US" w:eastAsia="zh-CN" w:bidi="ar-SA"/>
        </w:rPr>
        <w:t>（四）</w:t>
      </w:r>
      <w:r>
        <w:rPr>
          <w:rFonts w:hint="eastAsia" w:ascii="仿宋_GB2312" w:eastAsia="仿宋_GB2312"/>
          <w:sz w:val="32"/>
          <w:szCs w:val="32"/>
        </w:rPr>
        <w:t>住房保障支出</w:t>
      </w:r>
      <w:r>
        <w:rPr>
          <w:rFonts w:hint="eastAsia" w:ascii="仿宋_GB2312" w:eastAsia="仿宋_GB2312"/>
          <w:sz w:val="32"/>
          <w:szCs w:val="32"/>
          <w:lang w:val="en-US" w:eastAsia="zh-CN"/>
        </w:rPr>
        <w:t>71.29</w:t>
      </w:r>
      <w:r>
        <w:rPr>
          <w:rFonts w:hint="eastAsia" w:ascii="仿宋_GB2312" w:eastAsia="仿宋_GB2312"/>
          <w:sz w:val="32"/>
          <w:szCs w:val="32"/>
          <w:lang w:eastAsia="zh-CN"/>
        </w:rPr>
        <w:t>万元</w:t>
      </w:r>
      <w:r>
        <w:rPr>
          <w:rFonts w:hint="eastAsia" w:ascii="仿宋_GB2312" w:eastAsia="仿宋_GB2312"/>
          <w:sz w:val="32"/>
          <w:szCs w:val="32"/>
        </w:rPr>
        <w:t>，用于机关及下属事业单位按照规定标准为职工缴纳住房公积金等支出。</w:t>
      </w:r>
    </w:p>
    <w:p w14:paraId="6C2689CE">
      <w:pPr>
        <w:keepNext w:val="0"/>
        <w:keepLines w:val="0"/>
        <w:pageBreakBefore w:val="0"/>
        <w:widowControl w:val="0"/>
        <w:numPr>
          <w:ilvl w:val="0"/>
          <w:numId w:val="0"/>
        </w:numPr>
        <w:pBdr>
          <w:bottom w:val="single" w:color="FFFFFF" w:sz="4" w:space="28"/>
        </w:pBdr>
        <w:tabs>
          <w:tab w:val="left" w:pos="1440"/>
        </w:tabs>
        <w:kinsoku/>
        <w:wordWrap/>
        <w:overflowPunct/>
        <w:topLinePunct w:val="0"/>
        <w:autoSpaceDE/>
        <w:autoSpaceDN/>
        <w:bidi w:val="0"/>
        <w:adjustRightInd w:val="0"/>
        <w:snapToGrid w:val="0"/>
        <w:spacing w:line="540" w:lineRule="exact"/>
        <w:ind w:left="0" w:leftChars="0" w:right="0" w:rightChars="0" w:firstLine="640" w:firstLineChars="200"/>
        <w:textAlignment w:val="auto"/>
        <w:outlineLvl w:val="9"/>
        <w:rPr>
          <w:rFonts w:hint="eastAsia" w:ascii="黑体" w:hAnsi="黑体" w:eastAsia="黑体" w:cs="黑体"/>
          <w:sz w:val="32"/>
          <w:szCs w:val="32"/>
        </w:rPr>
      </w:pPr>
      <w:r>
        <w:rPr>
          <w:rFonts w:hint="eastAsia" w:ascii="仿宋_GB2312" w:eastAsia="仿宋_GB2312"/>
          <w:sz w:val="32"/>
          <w:szCs w:val="32"/>
          <w:lang w:val="en-US" w:eastAsia="zh-CN"/>
        </w:rPr>
        <w:t>（五）</w:t>
      </w:r>
      <w:r>
        <w:rPr>
          <w:rFonts w:hint="eastAsia" w:ascii="仿宋_GB2312" w:eastAsia="仿宋_GB2312"/>
          <w:sz w:val="32"/>
          <w:szCs w:val="32"/>
        </w:rPr>
        <w:t>（其他科目支出主要用途）</w:t>
      </w:r>
    </w:p>
    <w:p w14:paraId="516F1490">
      <w:pPr>
        <w:keepNext w:val="0"/>
        <w:keepLines w:val="0"/>
        <w:pageBreakBefore w:val="0"/>
        <w:widowControl w:val="0"/>
        <w:numPr>
          <w:ilvl w:val="0"/>
          <w:numId w:val="1"/>
        </w:numPr>
        <w:pBdr>
          <w:bottom w:val="single" w:color="FFFFFF" w:sz="4" w:space="28"/>
        </w:pBdr>
        <w:tabs>
          <w:tab w:val="left" w:pos="1440"/>
        </w:tabs>
        <w:kinsoku/>
        <w:wordWrap/>
        <w:overflowPunct/>
        <w:topLinePunct w:val="0"/>
        <w:autoSpaceDE/>
        <w:autoSpaceDN/>
        <w:bidi w:val="0"/>
        <w:adjustRightInd w:val="0"/>
        <w:snapToGrid w:val="0"/>
        <w:spacing w:line="540" w:lineRule="exact"/>
        <w:ind w:left="0" w:leftChars="0" w:right="0" w:rightChars="0" w:firstLine="640" w:firstLineChars="200"/>
        <w:textAlignment w:val="auto"/>
        <w:outlineLvl w:val="9"/>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较上年度增减变化</w:t>
      </w:r>
    </w:p>
    <w:p w14:paraId="02738DA1">
      <w:pPr>
        <w:keepNext w:val="0"/>
        <w:keepLines w:val="0"/>
        <w:pageBreakBefore w:val="0"/>
        <w:widowControl w:val="0"/>
        <w:numPr>
          <w:ilvl w:val="0"/>
          <w:numId w:val="0"/>
        </w:numPr>
        <w:pBdr>
          <w:bottom w:val="single" w:color="FFFFFF" w:sz="4" w:space="28"/>
        </w:pBdr>
        <w:tabs>
          <w:tab w:val="left" w:pos="1440"/>
        </w:tabs>
        <w:kinsoku/>
        <w:wordWrap/>
        <w:overflowPunct/>
        <w:topLinePunct w:val="0"/>
        <w:autoSpaceDE/>
        <w:autoSpaceDN/>
        <w:bidi w:val="0"/>
        <w:adjustRightInd w:val="0"/>
        <w:snapToGrid w:val="0"/>
        <w:spacing w:line="540" w:lineRule="exact"/>
        <w:ind w:right="0" w:rightChars="0" w:firstLine="640" w:firstLineChars="200"/>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本年度预算拨款收入1040.91万元，较上年度预算1057.60万元减少了1.58%，其中基本行政运行经费预算989.07万元，占全部总预算的95.02%，较上年1005.76万元减少了1.66%，原因是业务量减少，精神基本支出，厉行节约；专项业务工作经费预算51.84万元，占总预算的4.98%，较上年预算持平。 </w:t>
      </w:r>
      <w:r>
        <w:rPr>
          <w:rFonts w:hint="eastAsia" w:ascii="黑体" w:hAnsi="黑体" w:eastAsia="黑体" w:cs="黑体"/>
          <w:color w:val="333333"/>
          <w:kern w:val="0"/>
          <w:sz w:val="32"/>
          <w:szCs w:val="32"/>
          <w:shd w:val="clear" w:color="auto" w:fill="FFFFFF"/>
          <w:lang w:val="en-US" w:eastAsia="zh-CN" w:bidi="ar"/>
        </w:rPr>
        <w:t xml:space="preserve"> </w:t>
      </w:r>
      <w:r>
        <w:rPr>
          <w:rFonts w:hint="eastAsia" w:ascii="仿宋_GB2312" w:eastAsia="仿宋_GB2312"/>
          <w:sz w:val="32"/>
          <w:szCs w:val="32"/>
          <w:lang w:val="en-US" w:eastAsia="zh-CN"/>
        </w:rPr>
        <w:t xml:space="preserve"> </w:t>
      </w:r>
    </w:p>
    <w:p w14:paraId="3B690739">
      <w:pPr>
        <w:keepNext w:val="0"/>
        <w:keepLines w:val="0"/>
        <w:pageBreakBefore w:val="0"/>
        <w:widowControl w:val="0"/>
        <w:numPr>
          <w:ilvl w:val="0"/>
          <w:numId w:val="1"/>
        </w:numPr>
        <w:pBdr>
          <w:bottom w:val="single" w:color="FFFFFF" w:sz="4" w:space="28"/>
        </w:pBdr>
        <w:tabs>
          <w:tab w:val="left" w:pos="1440"/>
        </w:tabs>
        <w:kinsoku/>
        <w:wordWrap/>
        <w:overflowPunct/>
        <w:topLinePunct w:val="0"/>
        <w:autoSpaceDE/>
        <w:autoSpaceDN/>
        <w:bidi w:val="0"/>
        <w:adjustRightInd w:val="0"/>
        <w:snapToGrid w:val="0"/>
        <w:spacing w:line="540" w:lineRule="exact"/>
        <w:ind w:left="0" w:leftChars="0" w:right="0" w:rightChars="0" w:firstLine="640" w:firstLineChars="200"/>
        <w:textAlignment w:val="auto"/>
        <w:outlineLvl w:val="9"/>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“三公”经费预算</w:t>
      </w:r>
    </w:p>
    <w:p w14:paraId="71E1F50D">
      <w:pPr>
        <w:keepNext w:val="0"/>
        <w:keepLines w:val="0"/>
        <w:pageBreakBefore w:val="0"/>
        <w:widowControl w:val="0"/>
        <w:numPr>
          <w:ilvl w:val="0"/>
          <w:numId w:val="0"/>
        </w:numPr>
        <w:pBdr>
          <w:bottom w:val="single" w:color="FFFFFF" w:sz="4" w:space="28"/>
        </w:pBdr>
        <w:tabs>
          <w:tab w:val="left" w:pos="1440"/>
        </w:tabs>
        <w:kinsoku/>
        <w:wordWrap/>
        <w:overflowPunct/>
        <w:topLinePunct w:val="0"/>
        <w:autoSpaceDE/>
        <w:autoSpaceDN/>
        <w:bidi w:val="0"/>
        <w:adjustRightInd w:val="0"/>
        <w:snapToGrid w:val="0"/>
        <w:spacing w:line="540" w:lineRule="exact"/>
        <w:ind w:right="0" w:rightChars="0" w:firstLine="640" w:firstLineChars="200"/>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本年度三公经费预算安排支出为16.32万元，其中：出国费0万元，与上年持平，主要原因为未安排因公出国；公车购置费0万元，与上年持平；公务用车维护费支出15万元，较上年度预算15万元，与上年持平；公务接待费1.32万元。</w:t>
      </w:r>
    </w:p>
    <w:p w14:paraId="573178E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七、政府性基金预算收支情况说明</w:t>
      </w:r>
    </w:p>
    <w:p w14:paraId="16839291">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2025年无使用政府性基金预算拨款安排的支出</w:t>
      </w:r>
      <w:r>
        <w:rPr>
          <w:rFonts w:hint="eastAsia" w:ascii="仿宋_GB2312" w:eastAsia="仿宋_GB2312"/>
          <w:sz w:val="32"/>
          <w:szCs w:val="32"/>
        </w:rPr>
        <w:t>。</w:t>
      </w:r>
    </w:p>
    <w:p w14:paraId="17D14F9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八、国有资本经营预算收支情况说明</w:t>
      </w:r>
    </w:p>
    <w:p w14:paraId="429CD7AB">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2025年无使用国有资本经营预算拨款安排的支出。</w:t>
      </w:r>
    </w:p>
    <w:p w14:paraId="022D1FF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九、其他重要事项的情况说明</w:t>
      </w:r>
    </w:p>
    <w:p w14:paraId="3EE782F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（一）政府采购预算情况</w:t>
      </w:r>
      <w:r>
        <w:rPr>
          <w:rFonts w:hint="eastAsia" w:ascii="黑体" w:hAnsi="黑体" w:eastAsia="黑体" w:cs="黑体"/>
          <w:color w:val="333333"/>
          <w:kern w:val="0"/>
          <w:sz w:val="32"/>
          <w:szCs w:val="32"/>
          <w:shd w:val="clear" w:color="auto" w:fill="FFFFFF"/>
          <w:lang w:val="en-US" w:eastAsia="zh-CN" w:bidi="ar"/>
        </w:rPr>
        <w:t xml:space="preserve"> </w:t>
      </w:r>
    </w:p>
    <w:p w14:paraId="6636DA98">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2025年度安排政府采购预算0万元。</w:t>
      </w:r>
    </w:p>
    <w:p w14:paraId="727E3AC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pPr>
      <w:r>
        <w:rPr>
          <w:rFonts w:hint="eastAsia" w:ascii="楷体_GB2312" w:hAnsi="楷体_GB2312" w:eastAsia="楷体_GB2312" w:cs="楷体_GB2312"/>
          <w:b/>
          <w:bCs/>
          <w:color w:val="333333"/>
          <w:kern w:val="0"/>
          <w:sz w:val="32"/>
          <w:szCs w:val="32"/>
          <w:shd w:val="clear" w:color="auto" w:fill="FFFFFF"/>
          <w:lang w:val="en-US" w:eastAsia="zh-CN" w:bidi="ar"/>
        </w:rPr>
        <w:t>（二）政府财政国有资产占用情况</w:t>
      </w:r>
      <w:r>
        <w:rPr>
          <w:rFonts w:hint="eastAsia" w:ascii="微软雅黑" w:hAnsi="微软雅黑" w:eastAsia="微软雅黑" w:cs="微软雅黑"/>
          <w:color w:val="333333"/>
          <w:kern w:val="0"/>
          <w:sz w:val="24"/>
          <w:szCs w:val="24"/>
          <w:shd w:val="clear" w:color="auto" w:fill="FFFFFF"/>
          <w:lang w:val="en-US" w:eastAsia="zh-CN" w:bidi="ar"/>
        </w:rPr>
        <w:t xml:space="preserve"> </w:t>
      </w:r>
    </w:p>
    <w:p w14:paraId="1396ED93">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截止2024年底，实际共有固定资产价值659.41</w:t>
      </w:r>
      <w:r>
        <w:rPr>
          <w:rFonts w:hint="eastAsia" w:ascii="仿宋_GB2312" w:eastAsia="仿宋_GB2312"/>
          <w:sz w:val="32"/>
          <w:szCs w:val="32"/>
          <w:lang w:eastAsia="zh-CN"/>
        </w:rPr>
        <w:t>万元：其中：公务用车</w:t>
      </w:r>
      <w:r>
        <w:rPr>
          <w:rFonts w:hint="eastAsia" w:ascii="仿宋_GB2312" w:eastAsia="仿宋_GB2312"/>
          <w:sz w:val="32"/>
          <w:szCs w:val="32"/>
          <w:lang w:val="en-US" w:eastAsia="zh-CN"/>
        </w:rPr>
        <w:t>56.83</w:t>
      </w:r>
      <w:r>
        <w:rPr>
          <w:rFonts w:hint="eastAsia" w:ascii="仿宋_GB2312" w:eastAsia="仿宋_GB2312"/>
          <w:sz w:val="32"/>
          <w:szCs w:val="32"/>
          <w:lang w:eastAsia="zh-CN"/>
        </w:rPr>
        <w:t>万元（包括应急保障车辆：摩托车一辆，价值</w:t>
      </w:r>
      <w:r>
        <w:rPr>
          <w:rFonts w:hint="eastAsia" w:ascii="仿宋_GB2312" w:eastAsia="仿宋_GB2312"/>
          <w:sz w:val="32"/>
          <w:szCs w:val="32"/>
          <w:lang w:val="en-US" w:eastAsia="zh-CN"/>
        </w:rPr>
        <w:t>6120元</w:t>
      </w:r>
      <w:r>
        <w:rPr>
          <w:rFonts w:hint="eastAsia" w:ascii="仿宋_GB2312" w:eastAsia="仿宋_GB2312"/>
          <w:sz w:val="32"/>
          <w:szCs w:val="32"/>
          <w:lang w:eastAsia="zh-CN"/>
        </w:rPr>
        <w:t>），业务用房</w:t>
      </w:r>
      <w:r>
        <w:rPr>
          <w:rFonts w:hint="eastAsia" w:ascii="仿宋_GB2312" w:eastAsia="仿宋_GB2312"/>
          <w:sz w:val="32"/>
          <w:szCs w:val="32"/>
          <w:lang w:val="en-US" w:eastAsia="zh-CN"/>
        </w:rPr>
        <w:t>296.74</w:t>
      </w:r>
      <w:r>
        <w:rPr>
          <w:rFonts w:hint="eastAsia" w:ascii="仿宋_GB2312" w:eastAsia="仿宋_GB2312"/>
          <w:sz w:val="32"/>
          <w:szCs w:val="32"/>
          <w:lang w:eastAsia="zh-CN"/>
        </w:rPr>
        <w:t>万元，其他固定资产</w:t>
      </w:r>
      <w:r>
        <w:rPr>
          <w:rFonts w:hint="eastAsia" w:ascii="仿宋_GB2312" w:eastAsia="仿宋_GB2312"/>
          <w:sz w:val="32"/>
          <w:szCs w:val="32"/>
          <w:lang w:val="en-US" w:eastAsia="zh-CN"/>
        </w:rPr>
        <w:t>305.84万元。</w:t>
      </w:r>
    </w:p>
    <w:p w14:paraId="336163DD">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楷体_GB2312" w:hAnsi="楷体_GB2312" w:eastAsia="楷体_GB2312" w:cs="楷体_GB2312"/>
          <w:b/>
          <w:bCs/>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（三）绩效目标设置情况</w:t>
      </w:r>
    </w:p>
    <w:p w14:paraId="3909205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绩效目标是预算编制的前提和基础，按照“费随事定”的原则，2025年我单位项目支出按要求编制了绩效目标，从项目完成、项目效益、满意度。</w:t>
      </w:r>
    </w:p>
    <w:p w14:paraId="366D49AA">
      <w:pPr>
        <w:keepNext w:val="0"/>
        <w:keepLines w:val="0"/>
        <w:pageBreakBefore w:val="0"/>
        <w:kinsoku/>
        <w:wordWrap/>
        <w:overflowPunct/>
        <w:topLinePunct w:val="0"/>
        <w:autoSpaceDE/>
        <w:autoSpaceDN/>
        <w:bidi w:val="0"/>
        <w:spacing w:line="560" w:lineRule="exact"/>
        <w:ind w:left="640" w:leftChars="0" w:right="0" w:rightChars="0" w:hanging="640" w:hangingChars="200"/>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 xml:space="preserve"> </w:t>
      </w:r>
    </w:p>
    <w:p w14:paraId="15C4C530">
      <w:pPr>
        <w:keepNext w:val="0"/>
        <w:keepLines w:val="0"/>
        <w:pageBreakBefore w:val="0"/>
        <w:kinsoku/>
        <w:wordWrap/>
        <w:overflowPunct/>
        <w:topLinePunct w:val="0"/>
        <w:autoSpaceDE/>
        <w:autoSpaceDN/>
        <w:bidi w:val="0"/>
        <w:spacing w:line="560" w:lineRule="exact"/>
        <w:ind w:left="640" w:leftChars="0" w:right="0" w:rightChars="0" w:hanging="640" w:hangingChars="200"/>
        <w:textAlignment w:val="auto"/>
        <w:rPr>
          <w:rFonts w:hint="eastAsia" w:ascii="仿宋_GB2312" w:eastAsia="仿宋_GB2312"/>
          <w:sz w:val="32"/>
          <w:szCs w:val="32"/>
          <w:lang w:val="en-US" w:eastAsia="zh-CN"/>
        </w:rPr>
      </w:pPr>
      <w:r>
        <w:rPr>
          <w:rFonts w:hint="eastAsia" w:ascii="黑体" w:hAnsi="黑体" w:eastAsia="黑体" w:cs="黑体"/>
          <w:color w:val="333333"/>
          <w:kern w:val="0"/>
          <w:sz w:val="32"/>
          <w:szCs w:val="32"/>
          <w:shd w:val="clear" w:color="auto" w:fill="FFFFFF"/>
          <w:lang w:val="en-US" w:eastAsia="zh-CN" w:bidi="ar"/>
        </w:rPr>
        <w:t xml:space="preserve">   十、名词解释</w:t>
      </w:r>
      <w:r>
        <w:rPr>
          <w:rFonts w:hint="eastAsia" w:ascii="宋体" w:hAnsi="宋体" w:eastAsia="宋体" w:cs="宋体"/>
          <w:sz w:val="28"/>
          <w:szCs w:val="28"/>
          <w:lang w:val="en-US" w:eastAsia="zh-CN"/>
        </w:rPr>
        <w:br w:type="textWrapping"/>
      </w:r>
      <w:r>
        <w:rPr>
          <w:rFonts w:hint="eastAsia" w:ascii="仿宋_GB2312" w:eastAsia="仿宋_GB2312"/>
          <w:sz w:val="32"/>
          <w:szCs w:val="32"/>
          <w:lang w:val="en-US" w:eastAsia="zh-CN"/>
        </w:rPr>
        <w:t xml:space="preserve">1.财政拨款收入：指财政部门核拨给单位的财政预算资金。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2.其他收入：指除上述财政部门拨付单位以外的收入。</w:t>
      </w:r>
    </w:p>
    <w:p w14:paraId="0AC0E59F">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3.基本支出：指为保障单位机关正常运转、完成日常工作任务而发生的人员支出和公用支出。</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4.项目支出：指在基本支出之外为完成特定行政任务和事业发展目标所发生的支出。</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5.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1E59A102">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p>
    <w:p w14:paraId="2BDD1A5B">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附件：表1.部门收支总表</w:t>
      </w:r>
    </w:p>
    <w:p w14:paraId="0530D5DB">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表2.部门收入总表</w:t>
      </w:r>
    </w:p>
    <w:p w14:paraId="31B38C5E">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表3.部门支出总表</w:t>
      </w:r>
    </w:p>
    <w:p w14:paraId="24340943">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表4.财政拨款收支预算总表</w:t>
      </w:r>
    </w:p>
    <w:p w14:paraId="3B41C9DE">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表5.财政拨款支出预算表（部门经济分类科目）</w:t>
      </w:r>
    </w:p>
    <w:p w14:paraId="73EF4675">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表6.一般公共预算支出预算表</w:t>
      </w:r>
    </w:p>
    <w:p w14:paraId="2070E8F0">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表7.一般公共预算基本支出预算表</w:t>
      </w:r>
    </w:p>
    <w:p w14:paraId="3E2499ED">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表8.一般公共预算项目支出预算表</w:t>
      </w:r>
    </w:p>
    <w:p w14:paraId="35E0751F">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表9.一般公共预算“三公”经费支出预算表</w:t>
      </w:r>
    </w:p>
    <w:p w14:paraId="2A325D0C">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表10.政府性基金支出预算表</w:t>
      </w:r>
    </w:p>
    <w:p w14:paraId="303B74EF">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表11.政府性基金预算“三公”经费支出预算表</w:t>
      </w:r>
    </w:p>
    <w:p w14:paraId="5EBB678A">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表12.国有资本经营预算支出预算表</w:t>
      </w:r>
    </w:p>
    <w:p w14:paraId="607D8C93">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表13.部门项目支出绩效目标表（2025年度）</w:t>
      </w:r>
    </w:p>
    <w:p w14:paraId="7651C347">
      <w:pPr>
        <w:bidi w:val="0"/>
        <w:rPr>
          <w:rFonts w:hint="default" w:eastAsia="宋体" w:asciiTheme="minorHAnsi" w:hAnsiTheme="minorHAnsi" w:cstheme="minorBidi"/>
          <w:kern w:val="2"/>
          <w:sz w:val="21"/>
          <w:szCs w:val="24"/>
          <w:lang w:val="en-US" w:eastAsia="zh-CN" w:bidi="ar-SA"/>
        </w:rPr>
      </w:pPr>
    </w:p>
    <w:p w14:paraId="6CEB177A">
      <w:pPr>
        <w:keepNext w:val="0"/>
        <w:keepLines w:val="0"/>
        <w:pageBreakBefore w:val="0"/>
        <w:kinsoku/>
        <w:wordWrap/>
        <w:overflowPunct/>
        <w:topLinePunct w:val="0"/>
        <w:autoSpaceDE/>
        <w:autoSpaceDN/>
        <w:bidi w:val="0"/>
        <w:spacing w:line="560" w:lineRule="exact"/>
        <w:ind w:right="0" w:rightChars="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（此页无正文）</w:t>
      </w:r>
    </w:p>
    <w:p w14:paraId="0C16D2AF">
      <w:pPr>
        <w:bidi w:val="0"/>
        <w:rPr>
          <w:rFonts w:hint="default"/>
          <w:lang w:val="en-US" w:eastAsia="zh-CN"/>
        </w:rPr>
      </w:pPr>
    </w:p>
    <w:p w14:paraId="630212D0">
      <w:pPr>
        <w:bidi w:val="0"/>
        <w:rPr>
          <w:rFonts w:hint="default"/>
          <w:lang w:val="en-US" w:eastAsia="zh-CN"/>
        </w:rPr>
      </w:pPr>
    </w:p>
    <w:p w14:paraId="2E860C82">
      <w:pPr>
        <w:bidi w:val="0"/>
        <w:rPr>
          <w:rFonts w:hint="default"/>
          <w:lang w:val="en-US" w:eastAsia="zh-CN"/>
        </w:rPr>
      </w:pPr>
    </w:p>
    <w:p w14:paraId="3451A7EE">
      <w:pPr>
        <w:bidi w:val="0"/>
        <w:rPr>
          <w:rFonts w:hint="default"/>
          <w:lang w:val="en-US" w:eastAsia="zh-CN"/>
        </w:rPr>
      </w:pPr>
    </w:p>
    <w:p w14:paraId="20181E45">
      <w:pPr>
        <w:bidi w:val="0"/>
        <w:rPr>
          <w:rFonts w:hint="default"/>
          <w:lang w:val="en-US" w:eastAsia="zh-CN"/>
        </w:rPr>
      </w:pPr>
    </w:p>
    <w:p w14:paraId="3A54BF3E">
      <w:pPr>
        <w:bidi w:val="0"/>
        <w:rPr>
          <w:rFonts w:hint="default"/>
          <w:lang w:val="en-US" w:eastAsia="zh-CN"/>
        </w:rPr>
      </w:pPr>
    </w:p>
    <w:p w14:paraId="6ABEB938">
      <w:pPr>
        <w:bidi w:val="0"/>
        <w:rPr>
          <w:rFonts w:hint="default"/>
          <w:lang w:val="en-US" w:eastAsia="zh-CN"/>
        </w:rPr>
      </w:pPr>
    </w:p>
    <w:p w14:paraId="717F1FE2">
      <w:pPr>
        <w:bidi w:val="0"/>
        <w:rPr>
          <w:rFonts w:hint="default"/>
          <w:lang w:val="en-US" w:eastAsia="zh-CN"/>
        </w:rPr>
      </w:pPr>
    </w:p>
    <w:p w14:paraId="4AA30A18">
      <w:pPr>
        <w:bidi w:val="0"/>
        <w:rPr>
          <w:rFonts w:hint="default"/>
          <w:lang w:val="en-US" w:eastAsia="zh-CN"/>
        </w:rPr>
      </w:pPr>
    </w:p>
    <w:p w14:paraId="0F0788AB">
      <w:pPr>
        <w:bidi w:val="0"/>
        <w:rPr>
          <w:rFonts w:hint="default"/>
          <w:lang w:val="en-US" w:eastAsia="zh-CN"/>
        </w:rPr>
      </w:pPr>
    </w:p>
    <w:p w14:paraId="59B9DF29">
      <w:pPr>
        <w:bidi w:val="0"/>
        <w:rPr>
          <w:rFonts w:hint="default"/>
          <w:lang w:val="en-US" w:eastAsia="zh-CN"/>
        </w:rPr>
      </w:pPr>
    </w:p>
    <w:p w14:paraId="61B95058">
      <w:pPr>
        <w:bidi w:val="0"/>
        <w:rPr>
          <w:rFonts w:hint="default"/>
          <w:lang w:val="en-US" w:eastAsia="zh-CN"/>
        </w:rPr>
      </w:pPr>
    </w:p>
    <w:p w14:paraId="29D04E82">
      <w:pPr>
        <w:bidi w:val="0"/>
        <w:rPr>
          <w:rFonts w:hint="default"/>
          <w:lang w:val="en-US" w:eastAsia="zh-CN"/>
        </w:rPr>
      </w:pPr>
    </w:p>
    <w:p w14:paraId="41EB23D3">
      <w:pPr>
        <w:bidi w:val="0"/>
        <w:rPr>
          <w:rFonts w:hint="default"/>
          <w:lang w:val="en-US" w:eastAsia="zh-CN"/>
        </w:rPr>
      </w:pPr>
    </w:p>
    <w:p w14:paraId="445DD64C">
      <w:pPr>
        <w:bidi w:val="0"/>
        <w:rPr>
          <w:rFonts w:hint="default"/>
          <w:lang w:val="en-US" w:eastAsia="zh-CN"/>
        </w:rPr>
      </w:pPr>
    </w:p>
    <w:p w14:paraId="52AF5640">
      <w:pPr>
        <w:bidi w:val="0"/>
        <w:rPr>
          <w:rFonts w:hint="default"/>
          <w:lang w:val="en-US" w:eastAsia="zh-CN"/>
        </w:rPr>
      </w:pPr>
    </w:p>
    <w:p w14:paraId="5502A33C">
      <w:pPr>
        <w:bidi w:val="0"/>
        <w:rPr>
          <w:rFonts w:hint="default"/>
          <w:lang w:val="en-US" w:eastAsia="zh-CN"/>
        </w:rPr>
      </w:pPr>
    </w:p>
    <w:p w14:paraId="72CBBE0B">
      <w:pPr>
        <w:bidi w:val="0"/>
        <w:rPr>
          <w:rFonts w:hint="default"/>
          <w:lang w:val="en-US" w:eastAsia="zh-CN"/>
        </w:rPr>
      </w:pPr>
    </w:p>
    <w:p w14:paraId="5AA00AB4">
      <w:pPr>
        <w:bidi w:val="0"/>
        <w:rPr>
          <w:rFonts w:hint="default"/>
          <w:lang w:val="en-US" w:eastAsia="zh-CN"/>
        </w:rPr>
      </w:pPr>
    </w:p>
    <w:p w14:paraId="27D39EC2">
      <w:pPr>
        <w:bidi w:val="0"/>
        <w:rPr>
          <w:rFonts w:hint="default"/>
          <w:lang w:val="en-US" w:eastAsia="zh-CN"/>
        </w:rPr>
      </w:pPr>
    </w:p>
    <w:p w14:paraId="65E402B0">
      <w:pPr>
        <w:bidi w:val="0"/>
        <w:rPr>
          <w:rFonts w:hint="default"/>
          <w:lang w:val="en-US" w:eastAsia="zh-CN"/>
        </w:rPr>
      </w:pPr>
    </w:p>
    <w:p w14:paraId="0AD751F7">
      <w:pPr>
        <w:bidi w:val="0"/>
        <w:rPr>
          <w:rFonts w:hint="default"/>
          <w:lang w:val="en-US" w:eastAsia="zh-CN"/>
        </w:rPr>
      </w:pPr>
    </w:p>
    <w:p w14:paraId="75CADEEE">
      <w:pPr>
        <w:bidi w:val="0"/>
        <w:rPr>
          <w:rFonts w:hint="default"/>
          <w:lang w:val="en-US" w:eastAsia="zh-CN"/>
        </w:rPr>
      </w:pPr>
    </w:p>
    <w:p w14:paraId="7A691FB0">
      <w:pPr>
        <w:bidi w:val="0"/>
        <w:rPr>
          <w:rFonts w:hint="default"/>
          <w:lang w:val="en-US" w:eastAsia="zh-CN"/>
        </w:rPr>
      </w:pPr>
    </w:p>
    <w:p w14:paraId="7C71E387">
      <w:pPr>
        <w:tabs>
          <w:tab w:val="left" w:pos="8071"/>
        </w:tabs>
        <w:bidi w:val="0"/>
        <w:jc w:val="center"/>
        <w:rPr>
          <w:rFonts w:hint="eastAsia" w:ascii="仿宋_GB2312" w:hAnsi="仿宋_GB2312" w:eastAsia="仿宋_GB2312" w:cs="仿宋_GB2312"/>
          <w:sz w:val="32"/>
          <w:szCs w:val="32"/>
          <w:lang w:val="en-US" w:eastAsia="zh-CN"/>
        </w:rPr>
      </w:pPr>
      <w:r>
        <w:rPr>
          <w:rFonts w:hint="eastAsia"/>
          <w:lang w:val="en-US" w:eastAsia="zh-CN"/>
        </w:rPr>
        <w:t xml:space="preserve">                                                             </w:t>
      </w:r>
      <w:r>
        <w:rPr>
          <w:rFonts w:hint="eastAsia" w:ascii="仿宋_GB2312" w:hAnsi="仿宋_GB2312" w:eastAsia="仿宋_GB2312" w:cs="仿宋_GB2312"/>
          <w:sz w:val="32"/>
          <w:szCs w:val="32"/>
          <w:lang w:val="en-US" w:eastAsia="zh-CN"/>
        </w:rPr>
        <w:t>红原县司法局</w:t>
      </w:r>
    </w:p>
    <w:p w14:paraId="77A55D6E">
      <w:pPr>
        <w:pStyle w:val="8"/>
        <w:jc w:val="righ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32"/>
          <w:szCs w:val="32"/>
          <w:lang w:val="en-US" w:eastAsia="zh-CN"/>
        </w:rPr>
        <w:t>2025年6月4日</w:t>
      </w:r>
    </w:p>
    <w:p w14:paraId="3C8C6D77">
      <w:pPr>
        <w:bidi w:val="0"/>
        <w:rPr>
          <w:rFonts w:hint="default"/>
          <w:lang w:val="en-US" w:eastAsia="zh-CN"/>
        </w:rPr>
      </w:pPr>
    </w:p>
    <w:p w14:paraId="08D3EC56">
      <w:pPr>
        <w:tabs>
          <w:tab w:val="left" w:pos="7606"/>
        </w:tabs>
        <w:bidi w:val="0"/>
        <w:jc w:val="left"/>
        <w:rPr>
          <w:rFonts w:hint="default"/>
          <w:lang w:val="en-US" w:eastAsia="zh-CN"/>
        </w:rPr>
      </w:pPr>
    </w:p>
    <w:sectPr>
      <w:footerReference r:id="rId6" w:type="default"/>
      <w:footerReference r:id="rId7" w:type="even"/>
      <w:pgSz w:w="11906" w:h="16838"/>
      <w:pgMar w:top="2098" w:right="1474" w:bottom="1984" w:left="1587"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方正小标宋简体">
    <w:altName w:val="黑体"/>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方正楷体_GBK">
    <w:altName w:val="微软雅黑"/>
    <w:panose1 w:val="03000509000000000000"/>
    <w:charset w:val="86"/>
    <w:family w:val="auto"/>
    <w:pitch w:val="default"/>
    <w:sig w:usb0="00000000" w:usb1="00000000" w:usb2="00000000" w:usb3="00000000" w:csb0="00040000" w:csb1="00000000"/>
  </w:font>
  <w:font w:name="方正仿宋_GBK">
    <w:altName w:val="微软雅黑"/>
    <w:panose1 w:val="03000509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A1091C">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4AC5FE">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DA1CCB">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D9C724">
                          <w:pPr>
                            <w:pStyle w:val="6"/>
                            <w:rPr>
                              <w:rStyle w:val="12"/>
                            </w:rPr>
                          </w:pPr>
                          <w:r>
                            <w:fldChar w:fldCharType="begin"/>
                          </w:r>
                          <w:r>
                            <w:rPr>
                              <w:rStyle w:val="12"/>
                            </w:rPr>
                            <w:instrText xml:space="preserve">PAGE  </w:instrText>
                          </w:r>
                          <w:r>
                            <w:fldChar w:fldCharType="separate"/>
                          </w:r>
                          <w:r>
                            <w:rPr>
                              <w:rStyle w:val="12"/>
                            </w:rP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CD9C724">
                    <w:pPr>
                      <w:pStyle w:val="6"/>
                      <w:rPr>
                        <w:rStyle w:val="12"/>
                      </w:rPr>
                    </w:pPr>
                    <w:r>
                      <w:fldChar w:fldCharType="begin"/>
                    </w:r>
                    <w:r>
                      <w:rPr>
                        <w:rStyle w:val="12"/>
                      </w:rPr>
                      <w:instrText xml:space="preserve">PAGE  </w:instrText>
                    </w:r>
                    <w:r>
                      <w:fldChar w:fldCharType="separate"/>
                    </w:r>
                    <w:r>
                      <w:rPr>
                        <w:rStyle w:val="12"/>
                      </w:rPr>
                      <w:t>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4B5856">
    <w:pPr>
      <w:pStyle w:val="6"/>
      <w:framePr w:wrap="around" w:vAnchor="text" w:hAnchor="margin" w:xAlign="center" w:y="1"/>
      <w:rPr>
        <w:rStyle w:val="12"/>
      </w:rPr>
    </w:pPr>
    <w:r>
      <w:fldChar w:fldCharType="begin"/>
    </w:r>
    <w:r>
      <w:rPr>
        <w:rStyle w:val="12"/>
      </w:rPr>
      <w:instrText xml:space="preserve">PAGE  </w:instrText>
    </w:r>
    <w:r>
      <w:fldChar w:fldCharType="end"/>
    </w:r>
  </w:p>
  <w:p w14:paraId="738CD66C">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6AC13B">
    <w:pPr>
      <w:pStyle w:val="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82CED9"/>
    <w:multiLevelType w:val="singleLevel"/>
    <w:tmpl w:val="8182CED9"/>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UyNDljYmVlNTIzMTczZjE3Y2QwNWNkNmQ0ZmRhNDYifQ=="/>
  </w:docVars>
  <w:rsids>
    <w:rsidRoot w:val="00172A27"/>
    <w:rsid w:val="053D7AB5"/>
    <w:rsid w:val="08E41274"/>
    <w:rsid w:val="0A6E1F7B"/>
    <w:rsid w:val="0CEE610B"/>
    <w:rsid w:val="0DF76B88"/>
    <w:rsid w:val="10B92046"/>
    <w:rsid w:val="10D1569D"/>
    <w:rsid w:val="14FB342F"/>
    <w:rsid w:val="15CC4C5B"/>
    <w:rsid w:val="16200FF8"/>
    <w:rsid w:val="18870CA9"/>
    <w:rsid w:val="18DE7327"/>
    <w:rsid w:val="19824755"/>
    <w:rsid w:val="1C5A19C3"/>
    <w:rsid w:val="1DFF1124"/>
    <w:rsid w:val="1F27502F"/>
    <w:rsid w:val="22136955"/>
    <w:rsid w:val="25736E70"/>
    <w:rsid w:val="28CA79FA"/>
    <w:rsid w:val="29BC7F1B"/>
    <w:rsid w:val="2A005C83"/>
    <w:rsid w:val="2C224ECE"/>
    <w:rsid w:val="2D241839"/>
    <w:rsid w:val="2E320F6A"/>
    <w:rsid w:val="2FFA2D68"/>
    <w:rsid w:val="31027B54"/>
    <w:rsid w:val="31810576"/>
    <w:rsid w:val="32B9061F"/>
    <w:rsid w:val="369A69F7"/>
    <w:rsid w:val="36BF5689"/>
    <w:rsid w:val="39113013"/>
    <w:rsid w:val="3A4C3D1D"/>
    <w:rsid w:val="3BC743E8"/>
    <w:rsid w:val="3C0A0ED9"/>
    <w:rsid w:val="3CA76458"/>
    <w:rsid w:val="3D6C3AFB"/>
    <w:rsid w:val="40950799"/>
    <w:rsid w:val="41C14C68"/>
    <w:rsid w:val="41F46A2D"/>
    <w:rsid w:val="427E0C26"/>
    <w:rsid w:val="49A62E0C"/>
    <w:rsid w:val="4A7D7DE9"/>
    <w:rsid w:val="4A91694F"/>
    <w:rsid w:val="4D440815"/>
    <w:rsid w:val="501669E8"/>
    <w:rsid w:val="5032284C"/>
    <w:rsid w:val="53050450"/>
    <w:rsid w:val="546703A6"/>
    <w:rsid w:val="550D5715"/>
    <w:rsid w:val="555E53B0"/>
    <w:rsid w:val="55CA71B9"/>
    <w:rsid w:val="56F015BA"/>
    <w:rsid w:val="57160908"/>
    <w:rsid w:val="58063D6C"/>
    <w:rsid w:val="581E3F14"/>
    <w:rsid w:val="589E5BC9"/>
    <w:rsid w:val="59EF2EAC"/>
    <w:rsid w:val="5F532348"/>
    <w:rsid w:val="5F7C16CC"/>
    <w:rsid w:val="636966A0"/>
    <w:rsid w:val="63957059"/>
    <w:rsid w:val="64CB299B"/>
    <w:rsid w:val="65CF619D"/>
    <w:rsid w:val="670175BB"/>
    <w:rsid w:val="69772B35"/>
    <w:rsid w:val="6A7F4532"/>
    <w:rsid w:val="6D84631D"/>
    <w:rsid w:val="6E711791"/>
    <w:rsid w:val="6FBF4B32"/>
    <w:rsid w:val="70F00356"/>
    <w:rsid w:val="75B570E6"/>
    <w:rsid w:val="791D6D8C"/>
    <w:rsid w:val="79E377E8"/>
    <w:rsid w:val="7B312348"/>
    <w:rsid w:val="7BE04CFB"/>
    <w:rsid w:val="7D096C0D"/>
    <w:rsid w:val="7D8A680A"/>
    <w:rsid w:val="7DAE0999"/>
    <w:rsid w:val="7FE10D9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99"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eastAsia="宋体" w:asciiTheme="minorHAnsi" w:hAnsiTheme="minorHAnsi" w:cstheme="minorBidi"/>
      <w:kern w:val="2"/>
      <w:sz w:val="21"/>
      <w:szCs w:val="24"/>
      <w:lang w:val="en-US" w:eastAsia="zh-CN" w:bidi="ar-SA"/>
    </w:rPr>
  </w:style>
  <w:style w:type="character" w:default="1" w:styleId="11">
    <w:name w:val="Default Paragraph Font"/>
    <w:autoRedefine/>
    <w:semiHidden/>
    <w:qFormat/>
    <w:uiPriority w:val="0"/>
  </w:style>
  <w:style w:type="table" w:default="1" w:styleId="10">
    <w:name w:val="Normal Table"/>
    <w:autoRedefine/>
    <w:semiHidden/>
    <w:qFormat/>
    <w:uiPriority w:val="0"/>
    <w:tblPr>
      <w:tblCellMar>
        <w:top w:w="0" w:type="dxa"/>
        <w:left w:w="108" w:type="dxa"/>
        <w:bottom w:w="0" w:type="dxa"/>
        <w:right w:w="108" w:type="dxa"/>
      </w:tblCellMar>
    </w:tblPr>
  </w:style>
  <w:style w:type="paragraph" w:styleId="2">
    <w:name w:val="Body Text First Indent 2"/>
    <w:basedOn w:val="3"/>
    <w:unhideWhenUsed/>
    <w:qFormat/>
    <w:uiPriority w:val="99"/>
    <w:pPr>
      <w:widowControl w:val="0"/>
      <w:spacing w:before="0" w:after="120"/>
      <w:ind w:left="420" w:leftChars="200" w:right="0" w:firstLine="420" w:firstLineChars="200"/>
      <w:jc w:val="both"/>
    </w:pPr>
    <w:rPr>
      <w:rFonts w:hint="eastAsia" w:ascii="Times New Roman" w:hAnsi="Times New Roman" w:eastAsia="宋体" w:cs="Times New Roman"/>
      <w:kern w:val="2"/>
      <w:sz w:val="21"/>
      <w:lang w:val="en-US" w:eastAsia="zh-CN"/>
    </w:rPr>
  </w:style>
  <w:style w:type="paragraph" w:styleId="3">
    <w:name w:val="Body Text Indent"/>
    <w:basedOn w:val="1"/>
    <w:next w:val="2"/>
    <w:unhideWhenUsed/>
    <w:qFormat/>
    <w:uiPriority w:val="99"/>
    <w:pPr>
      <w:widowControl w:val="0"/>
      <w:spacing w:before="0" w:after="120"/>
      <w:ind w:left="420" w:leftChars="200" w:right="0"/>
      <w:jc w:val="both"/>
    </w:pPr>
    <w:rPr>
      <w:rFonts w:hint="eastAsia" w:ascii="Times New Roman" w:hAnsi="Times New Roman" w:eastAsia="宋体" w:cs="Times New Roman"/>
      <w:kern w:val="2"/>
      <w:sz w:val="21"/>
      <w:lang w:val="en-US" w:eastAsia="zh-CN"/>
    </w:rPr>
  </w:style>
  <w:style w:type="paragraph" w:styleId="4">
    <w:name w:val="Body Text"/>
    <w:basedOn w:val="1"/>
    <w:qFormat/>
    <w:uiPriority w:val="0"/>
    <w:pPr>
      <w:spacing w:before="93" w:beforeLines="30"/>
    </w:pPr>
    <w:rPr>
      <w:rFonts w:ascii="仿宋_GB2312" w:eastAsia="仿宋_GB2312"/>
      <w:sz w:val="30"/>
    </w:rPr>
  </w:style>
  <w:style w:type="paragraph" w:styleId="5">
    <w:name w:val="Plain Text"/>
    <w:basedOn w:val="1"/>
    <w:qFormat/>
    <w:uiPriority w:val="0"/>
    <w:rPr>
      <w:rFonts w:ascii="宋体" w:hAnsi="宋体" w:eastAsia="楷体_GB2312" w:cs="Courier New"/>
      <w:sz w:val="32"/>
      <w:szCs w:val="21"/>
      <w:lang w:bidi="ar-SA"/>
    </w:rPr>
  </w:style>
  <w:style w:type="paragraph" w:styleId="6">
    <w:name w:val="footer"/>
    <w:basedOn w:val="1"/>
    <w:autoRedefine/>
    <w:qFormat/>
    <w:uiPriority w:val="0"/>
    <w:pPr>
      <w:tabs>
        <w:tab w:val="center" w:pos="4153"/>
        <w:tab w:val="right" w:pos="8306"/>
      </w:tabs>
      <w:snapToGrid w:val="0"/>
      <w:jc w:val="left"/>
    </w:pPr>
    <w:rPr>
      <w:sz w:val="18"/>
      <w:szCs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table of figures"/>
    <w:basedOn w:val="1"/>
    <w:next w:val="1"/>
    <w:semiHidden/>
    <w:qFormat/>
    <w:uiPriority w:val="99"/>
    <w:pPr>
      <w:ind w:left="200" w:leftChars="200" w:hanging="200" w:hangingChars="200"/>
    </w:pPr>
  </w:style>
  <w:style w:type="paragraph" w:styleId="9">
    <w:name w:val="Normal (Web)"/>
    <w:basedOn w:val="1"/>
    <w:qFormat/>
    <w:uiPriority w:val="0"/>
    <w:pPr>
      <w:widowControl/>
      <w:spacing w:before="100" w:beforeAutospacing="1" w:after="100" w:afterAutospacing="1"/>
      <w:jc w:val="left"/>
    </w:pPr>
    <w:rPr>
      <w:rFonts w:ascii="宋体" w:cs="宋体"/>
      <w:kern w:val="0"/>
      <w:sz w:val="24"/>
      <w:szCs w:val="24"/>
      <w:lang w:bidi="ar-SA"/>
    </w:rPr>
  </w:style>
  <w:style w:type="character" w:styleId="12">
    <w:name w:val="page number"/>
    <w:basedOn w:val="11"/>
    <w:autoRedefine/>
    <w:qFormat/>
    <w:uiPriority w:val="0"/>
  </w:style>
  <w:style w:type="character" w:styleId="13">
    <w:name w:val="line number"/>
    <w:basedOn w:val="11"/>
    <w:autoRedefine/>
    <w:qFormat/>
    <w:uiPriority w:val="0"/>
    <w:rPr>
      <w:rFonts w:hint="default"/>
      <w:sz w:val="22"/>
    </w:rPr>
  </w:style>
  <w:style w:type="character" w:styleId="14">
    <w:name w:val="Hyperlink"/>
    <w:autoRedefine/>
    <w:qFormat/>
    <w:uiPriority w:val="0"/>
    <w:rPr>
      <w:rFonts w:hint="default"/>
      <w:sz w:val="22"/>
    </w:rPr>
  </w:style>
  <w:style w:type="paragraph" w:customStyle="1" w:styleId="15">
    <w:name w:val="WPSOffice手动目录 1"/>
    <w:qFormat/>
    <w:uiPriority w:val="0"/>
    <w:pPr>
      <w:ind w:leftChars="0"/>
    </w:pPr>
    <w:rPr>
      <w:rFonts w:ascii="Times New Roman" w:hAnsi="Times New Roman" w:eastAsia="宋体" w:cs="Times New Roman"/>
      <w:sz w:val="20"/>
      <w:szCs w:val="20"/>
    </w:rPr>
  </w:style>
  <w:style w:type="paragraph" w:customStyle="1" w:styleId="16">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1369</Words>
  <Characters>1381</Characters>
  <Lines>0</Lines>
  <Paragraphs>0</Paragraphs>
  <TotalTime>366</TotalTime>
  <ScaleCrop>false</ScaleCrop>
  <LinksUpToDate>false</LinksUpToDate>
  <CharactersWithSpaces>1405</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2018-01-31T07:35:00Z</dcterms:created>
  <dc:creator>Administrator</dc:creator>
  <cp:lastModifiedBy>Administrator</cp:lastModifiedBy>
  <cp:lastPrinted>2025-06-04T07:31:00Z</cp:lastPrinted>
  <dcterms:modified xsi:type="dcterms:W3CDTF">2025-06-04T08:18:32Z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D9280B70D6B34304905B81FED4053502_13</vt:lpwstr>
  </property>
  <property fmtid="{D5CDD505-2E9C-101B-9397-08002B2CF9AE}" pid="4" name="KSOTemplateDocerSaveRecord">
    <vt:lpwstr>eyJoZGlkIjoiODBmZGUwYTRiZWRhNmMxZDM3MjFkMmU3NTQ3NzEwYWYifQ==</vt:lpwstr>
  </property>
</Properties>
</file>