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pPr>
        <w:adjustRightInd w:val="0"/>
        <w:snapToGrid w:val="0"/>
        <w:spacing w:line="360" w:lineRule="auto"/>
        <w:jc w:val="center"/>
        <w:outlineLvl w:val="9"/>
        <w:rPr>
          <w:rFonts w:ascii="黑体" w:hAnsi="黑体" w:eastAsia="黑体"/>
          <w:color w:val="000000"/>
          <w:sz w:val="72"/>
          <w:szCs w:val="72"/>
        </w:rPr>
      </w:pPr>
    </w:p>
    <w:p>
      <w:pPr>
        <w:adjustRightInd w:val="0"/>
        <w:snapToGrid w:val="0"/>
        <w:spacing w:line="360" w:lineRule="auto"/>
        <w:jc w:val="center"/>
        <w:outlineLvl w:val="8"/>
        <w:rPr>
          <w:rFonts w:ascii="方正小标宋简体" w:hAnsi="宋体" w:eastAsia="方正小标宋简体"/>
          <w:color w:val="000000"/>
          <w:sz w:val="72"/>
          <w:szCs w:val="72"/>
        </w:rPr>
      </w:pPr>
      <w:bookmarkStart w:id="0" w:name="_Toc12490"/>
      <w:r>
        <w:rPr>
          <w:rFonts w:ascii="黑体" w:hAnsi="黑体" w:eastAsia="黑体"/>
          <w:color w:val="000000"/>
          <w:sz w:val="72"/>
          <w:szCs w:val="72"/>
        </w:rPr>
        <w:t>20</w:t>
      </w:r>
      <w:r>
        <w:rPr>
          <w:rFonts w:hint="eastAsia" w:ascii="黑体" w:hAnsi="黑体" w:eastAsia="黑体"/>
          <w:color w:val="000000"/>
          <w:sz w:val="72"/>
          <w:szCs w:val="72"/>
          <w:lang w:val="en-US" w:eastAsia="zh-CN"/>
        </w:rPr>
        <w:t>25</w:t>
      </w:r>
      <w:r>
        <w:rPr>
          <w:rFonts w:hint="eastAsia" w:ascii="方正小标宋简体" w:hAnsi="宋体" w:eastAsia="方正小标宋简体"/>
          <w:color w:val="000000"/>
          <w:sz w:val="72"/>
          <w:szCs w:val="72"/>
        </w:rPr>
        <w:t>年度</w:t>
      </w:r>
      <w:bookmarkEnd w:id="0"/>
    </w:p>
    <w:p>
      <w:pPr>
        <w:adjustRightInd w:val="0"/>
        <w:snapToGrid w:val="0"/>
        <w:spacing w:line="360" w:lineRule="auto"/>
        <w:jc w:val="center"/>
        <w:outlineLvl w:val="0"/>
        <w:rPr>
          <w:rFonts w:hint="eastAsia" w:ascii="黑体" w:hAnsi="黑体" w:eastAsia="黑体"/>
          <w:color w:val="000000"/>
          <w:sz w:val="72"/>
          <w:szCs w:val="72"/>
          <w:lang w:val="en-US" w:eastAsia="zh-CN"/>
        </w:rPr>
      </w:pPr>
      <w:bookmarkStart w:id="1" w:name="_Toc13333"/>
      <w:bookmarkStart w:id="2" w:name="_Toc4520"/>
      <w:bookmarkStart w:id="3" w:name="_Toc1387"/>
      <w:bookmarkStart w:id="4" w:name="_Toc19026"/>
      <w:bookmarkStart w:id="5" w:name="_Toc22562"/>
      <w:bookmarkStart w:id="6" w:name="_Toc17482"/>
      <w:bookmarkStart w:id="7" w:name="_Toc20861"/>
      <w:bookmarkStart w:id="8" w:name="_Toc22415"/>
      <w:bookmarkStart w:id="9" w:name="_Toc7896"/>
      <w:bookmarkStart w:id="10" w:name="_Toc28762"/>
      <w:bookmarkStart w:id="11" w:name="_Toc15983"/>
      <w:bookmarkStart w:id="12" w:name="_Toc28333"/>
      <w:bookmarkStart w:id="13" w:name="_Toc28659"/>
      <w:bookmarkStart w:id="14" w:name="_Toc23284"/>
      <w:bookmarkStart w:id="15" w:name="_Toc31528"/>
      <w:bookmarkStart w:id="16" w:name="_Toc21644"/>
      <w:bookmarkStart w:id="17" w:name="_Toc26014"/>
      <w:bookmarkStart w:id="18" w:name="_Toc18829"/>
      <w:r>
        <w:rPr>
          <w:rFonts w:hint="eastAsia" w:ascii="黑体" w:hAnsi="黑体" w:eastAsia="黑体"/>
          <w:color w:val="000000"/>
          <w:sz w:val="72"/>
          <w:szCs w:val="72"/>
          <w:lang w:eastAsia="zh-CN"/>
        </w:rPr>
        <w:t>红原县</w:t>
      </w:r>
      <w:bookmarkEnd w:id="1"/>
      <w:bookmarkEnd w:id="2"/>
      <w:bookmarkStart w:id="19" w:name="_Toc19355"/>
      <w:bookmarkStart w:id="20" w:name="_Toc26087"/>
      <w:r>
        <w:rPr>
          <w:rFonts w:hint="eastAsia" w:ascii="黑体" w:hAnsi="黑体" w:eastAsia="黑体"/>
          <w:color w:val="000000"/>
          <w:sz w:val="72"/>
          <w:szCs w:val="72"/>
          <w:lang w:val="en-US" w:eastAsia="zh-CN"/>
        </w:rPr>
        <w:t>退役军人事务局</w:t>
      </w:r>
      <w:bookmarkEnd w:id="3"/>
      <w:bookmarkEnd w:id="4"/>
      <w:bookmarkEnd w:id="5"/>
      <w:bookmarkEnd w:id="6"/>
    </w:p>
    <w:p>
      <w:pPr>
        <w:adjustRightInd w:val="0"/>
        <w:snapToGrid w:val="0"/>
        <w:spacing w:line="360" w:lineRule="auto"/>
        <w:jc w:val="center"/>
        <w:outlineLvl w:val="0"/>
        <w:rPr>
          <w:rFonts w:ascii="黑体" w:hAnsi="黑体" w:eastAsia="黑体"/>
          <w:color w:val="000000"/>
          <w:sz w:val="72"/>
          <w:szCs w:val="72"/>
        </w:rPr>
      </w:pPr>
      <w:bookmarkStart w:id="21" w:name="_Toc13093"/>
      <w:bookmarkStart w:id="22" w:name="_Toc2639"/>
      <w:bookmarkStart w:id="23" w:name="_Toc14338"/>
      <w:bookmarkStart w:id="24" w:name="_Toc4593"/>
      <w:bookmarkStart w:id="25" w:name="_Toc4210"/>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5</w:t>
      </w:r>
      <w:r>
        <w:rPr>
          <w:rFonts w:hint="eastAsia" w:ascii="黑体" w:hAnsi="黑体" w:eastAsia="黑体"/>
          <w:color w:val="000000"/>
          <w:sz w:val="72"/>
          <w:szCs w:val="72"/>
        </w:rPr>
        <w:t>年部门预算编制的说明</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bookmarkStart w:id="26" w:name="_Toc11763"/>
      <w:bookmarkStart w:id="27" w:name="_Toc15725"/>
      <w:bookmarkStart w:id="28" w:name="_Toc20639"/>
      <w:bookmarkStart w:id="29" w:name="_Toc19416"/>
      <w:bookmarkStart w:id="30" w:name="_Toc3879"/>
      <w:bookmarkStart w:id="31" w:name="_Toc29260"/>
      <w:r>
        <w:rPr>
          <w:rFonts w:hint="eastAsia" w:ascii="仿宋_GB2312" w:hAnsi="Calibri" w:eastAsia="仿宋_GB2312" w:cs="仿宋_GB2312"/>
          <w:sz w:val="32"/>
          <w:szCs w:val="32"/>
        </w:rPr>
        <w:t>保密审查情况：已审查，内容审定</w:t>
      </w:r>
      <w:bookmarkEnd w:id="26"/>
      <w:bookmarkEnd w:id="27"/>
      <w:bookmarkEnd w:id="28"/>
      <w:bookmarkEnd w:id="29"/>
      <w:bookmarkEnd w:id="30"/>
      <w:bookmarkEnd w:id="31"/>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bookmarkStart w:id="32" w:name="_Toc16073"/>
      <w:bookmarkStart w:id="33" w:name="_Toc480"/>
      <w:bookmarkStart w:id="34" w:name="_Toc25414"/>
      <w:bookmarkStart w:id="35" w:name="_Toc24968"/>
      <w:bookmarkStart w:id="36" w:name="_Toc15358"/>
      <w:bookmarkStart w:id="37" w:name="_Toc25291"/>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End w:id="32"/>
      <w:bookmarkEnd w:id="33"/>
      <w:bookmarkEnd w:id="34"/>
      <w:bookmarkEnd w:id="35"/>
      <w:bookmarkEnd w:id="36"/>
      <w:bookmarkEnd w:id="37"/>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5"/>
        <w:tabs>
          <w:tab w:val="right" w:leader="dot" w:pos="8844"/>
        </w:tabs>
        <w:jc w:val="center"/>
        <w:rPr>
          <w:rFonts w:hint="eastAsia" w:ascii="黑体" w:hAnsi="黑体" w:eastAsia="黑体" w:cs="黑体"/>
          <w:kern w:val="2"/>
          <w:sz w:val="44"/>
          <w:szCs w:val="44"/>
          <w:lang w:val="en-US" w:eastAsia="zh-CN" w:bidi="ar-SA"/>
        </w:rPr>
      </w:pPr>
      <w:bookmarkStart w:id="38" w:name="_Toc29620"/>
    </w:p>
    <w:p>
      <w:pPr>
        <w:pStyle w:val="5"/>
        <w:tabs>
          <w:tab w:val="right" w:leader="dot" w:pos="8844"/>
        </w:tabs>
        <w:jc w:val="center"/>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目录</w:t>
      </w:r>
      <w:bookmarkEnd w:id="38"/>
    </w:p>
    <w:p>
      <w:pPr>
        <w:pStyle w:val="5"/>
        <w:tabs>
          <w:tab w:val="right" w:leader="dot" w:pos="8306"/>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TOC \f F \t "正文" \h \c</w:instrText>
      </w:r>
      <w:r>
        <w:rPr>
          <w:rFonts w:hint="eastAsia" w:ascii="仿宋" w:hAnsi="仿宋" w:eastAsia="仿宋" w:cs="仿宋"/>
          <w:kern w:val="2"/>
          <w:sz w:val="32"/>
          <w:szCs w:val="32"/>
          <w:lang w:val="en-US" w:eastAsia="zh-CN" w:bidi="ar-SA"/>
        </w:rPr>
        <w:fldChar w:fldCharType="separate"/>
      </w:r>
    </w:p>
    <w:sdt>
      <w:sdtPr>
        <w:rPr>
          <w:rFonts w:ascii="宋体" w:hAnsi="宋体" w:eastAsia="宋体" w:cstheme="minorBidi"/>
          <w:kern w:val="2"/>
          <w:sz w:val="21"/>
          <w:szCs w:val="24"/>
          <w:lang w:val="en-US" w:eastAsia="zh-CN" w:bidi="ar-SA"/>
        </w:rPr>
        <w:id w:val="147454882"/>
        <w15:color w:val="DBDBDB"/>
        <w:docPartObj>
          <w:docPartGallery w:val="Table of Contents"/>
          <w:docPartUnique/>
        </w:docPartObj>
      </w:sdtPr>
      <w:sdtEndPr>
        <w:rPr>
          <w:rFonts w:eastAsia="宋体" w:asciiTheme="minorHAnsi" w:hAnsiTheme="minorHAnsi"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06"/>
            </w:tabs>
            <w:rPr>
              <w:rFonts w:hint="eastAsia" w:ascii="宋体" w:hAnsi="宋体" w:eastAsia="宋体" w:cs="宋体"/>
              <w:sz w:val="32"/>
              <w:szCs w:val="32"/>
            </w:rPr>
          </w:pPr>
          <w:r>
            <w:fldChar w:fldCharType="begin"/>
          </w:r>
          <w:r>
            <w:instrText xml:space="preserve">TOC \o "1-1" \h \u </w:instrText>
          </w:r>
          <w:r>
            <w:fldChar w:fldCharType="separate"/>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_Toc17482 </w:instrText>
          </w:r>
          <w:r>
            <w:rPr>
              <w:rFonts w:hint="eastAsia" w:ascii="宋体" w:hAnsi="宋体" w:eastAsia="宋体" w:cs="宋体"/>
              <w:sz w:val="32"/>
              <w:szCs w:val="32"/>
            </w:rPr>
            <w:fldChar w:fldCharType="separate"/>
          </w:r>
          <w:r>
            <w:rPr>
              <w:rFonts w:hint="eastAsia" w:ascii="宋体" w:hAnsi="宋体" w:eastAsia="宋体" w:cs="宋体"/>
              <w:sz w:val="32"/>
              <w:szCs w:val="32"/>
              <w:lang w:eastAsia="zh-CN"/>
            </w:rPr>
            <w:t>红原县</w:t>
          </w:r>
          <w:r>
            <w:rPr>
              <w:rFonts w:hint="eastAsia" w:ascii="宋体" w:hAnsi="宋体" w:eastAsia="宋体" w:cs="宋体"/>
              <w:sz w:val="32"/>
              <w:szCs w:val="32"/>
              <w:lang w:val="en-US" w:eastAsia="zh-CN"/>
            </w:rPr>
            <w:t>退役军人事务局</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_Toc17482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_Toc4210 </w:instrText>
          </w:r>
          <w:r>
            <w:rPr>
              <w:rFonts w:hint="eastAsia" w:ascii="宋体" w:hAnsi="宋体" w:eastAsia="宋体" w:cs="宋体"/>
              <w:sz w:val="32"/>
              <w:szCs w:val="32"/>
            </w:rPr>
            <w:fldChar w:fldCharType="separate"/>
          </w:r>
          <w:r>
            <w:rPr>
              <w:rFonts w:hint="eastAsia" w:ascii="宋体" w:hAnsi="宋体" w:eastAsia="宋体" w:cs="宋体"/>
              <w:sz w:val="32"/>
              <w:szCs w:val="32"/>
            </w:rPr>
            <w:t>关于</w:t>
          </w:r>
          <w:r>
            <w:rPr>
              <w:rFonts w:hint="eastAsia" w:ascii="宋体" w:hAnsi="宋体" w:eastAsia="宋体" w:cs="宋体"/>
              <w:sz w:val="32"/>
              <w:szCs w:val="32"/>
              <w:lang w:eastAsia="zh-CN"/>
            </w:rPr>
            <w:t>202</w:t>
          </w:r>
          <w:r>
            <w:rPr>
              <w:rFonts w:hint="eastAsia" w:ascii="宋体" w:hAnsi="宋体" w:eastAsia="宋体" w:cs="宋体"/>
              <w:sz w:val="32"/>
              <w:szCs w:val="32"/>
              <w:lang w:val="en-US" w:eastAsia="zh-CN"/>
            </w:rPr>
            <w:t>5</w:t>
          </w:r>
          <w:r>
            <w:rPr>
              <w:rFonts w:hint="eastAsia" w:ascii="宋体" w:hAnsi="宋体" w:eastAsia="宋体" w:cs="宋体"/>
              <w:sz w:val="32"/>
              <w:szCs w:val="32"/>
            </w:rPr>
            <w:t>年部门预算编制的说明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_Toc4210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_Toc20837 </w:instrText>
          </w:r>
          <w:r>
            <w:rPr>
              <w:rFonts w:hint="eastAsia" w:ascii="宋体" w:hAnsi="宋体" w:eastAsia="宋体" w:cs="宋体"/>
              <w:sz w:val="32"/>
              <w:szCs w:val="32"/>
            </w:rPr>
            <w:fldChar w:fldCharType="separate"/>
          </w:r>
          <w:r>
            <w:rPr>
              <w:rFonts w:hint="eastAsia" w:ascii="宋体" w:hAnsi="宋体" w:eastAsia="宋体" w:cs="宋体"/>
              <w:sz w:val="32"/>
              <w:szCs w:val="32"/>
            </w:rPr>
            <w:t>一、基本职能及主要工作</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_Toc20837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_Toc6651 </w:instrText>
          </w:r>
          <w:r>
            <w:rPr>
              <w:rFonts w:hint="eastAsia" w:ascii="宋体" w:hAnsi="宋体" w:eastAsia="宋体" w:cs="宋体"/>
              <w:sz w:val="32"/>
              <w:szCs w:val="32"/>
            </w:rPr>
            <w:fldChar w:fldCharType="separate"/>
          </w:r>
          <w:r>
            <w:rPr>
              <w:rFonts w:hint="eastAsia" w:ascii="宋体" w:hAnsi="宋体" w:eastAsia="宋体" w:cs="宋体"/>
              <w:sz w:val="32"/>
              <w:szCs w:val="32"/>
            </w:rPr>
            <w:t>二、部门</w:t>
          </w:r>
          <w:r>
            <w:rPr>
              <w:rFonts w:hint="eastAsia" w:ascii="宋体" w:hAnsi="宋体" w:eastAsia="宋体" w:cs="宋体"/>
              <w:sz w:val="32"/>
              <w:szCs w:val="32"/>
              <w:lang w:eastAsia="zh-CN"/>
            </w:rPr>
            <w:t>预算单位构成</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_Toc6651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_Toc27356 </w:instrText>
          </w:r>
          <w:r>
            <w:rPr>
              <w:rFonts w:hint="eastAsia" w:ascii="宋体" w:hAnsi="宋体" w:eastAsia="宋体" w:cs="宋体"/>
              <w:sz w:val="32"/>
              <w:szCs w:val="32"/>
            </w:rPr>
            <w:fldChar w:fldCharType="separate"/>
          </w:r>
          <w:r>
            <w:rPr>
              <w:rFonts w:hint="eastAsia" w:ascii="宋体" w:hAnsi="宋体" w:eastAsia="宋体" w:cs="宋体"/>
              <w:sz w:val="32"/>
              <w:szCs w:val="32"/>
            </w:rPr>
            <w:t>三、收支预算总体情况</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_Toc27356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_Toc20859 </w:instrText>
          </w:r>
          <w:r>
            <w:rPr>
              <w:rFonts w:hint="eastAsia" w:ascii="宋体" w:hAnsi="宋体" w:eastAsia="宋体" w:cs="宋体"/>
              <w:sz w:val="32"/>
              <w:szCs w:val="32"/>
            </w:rPr>
            <w:fldChar w:fldCharType="separate"/>
          </w:r>
          <w:r>
            <w:rPr>
              <w:rFonts w:hint="eastAsia" w:ascii="宋体" w:hAnsi="宋体" w:eastAsia="宋体" w:cs="宋体"/>
              <w:sz w:val="32"/>
              <w:szCs w:val="32"/>
            </w:rPr>
            <w:t>四、 支出预算安排情况</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_Toc20859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_Toc17992 </w:instrText>
          </w:r>
          <w:r>
            <w:rPr>
              <w:rFonts w:hint="eastAsia" w:ascii="宋体" w:hAnsi="宋体" w:eastAsia="宋体" w:cs="宋体"/>
              <w:sz w:val="32"/>
              <w:szCs w:val="32"/>
            </w:rPr>
            <w:fldChar w:fldCharType="separate"/>
          </w:r>
          <w:r>
            <w:rPr>
              <w:rFonts w:hint="eastAsia" w:ascii="宋体" w:hAnsi="宋体" w:eastAsia="宋体" w:cs="宋体"/>
              <w:kern w:val="0"/>
              <w:sz w:val="32"/>
              <w:szCs w:val="32"/>
              <w:shd w:val="clear" w:color="auto" w:fill="FFFFFF"/>
              <w:lang w:val="en-US" w:eastAsia="zh-CN" w:bidi="ar"/>
            </w:rPr>
            <w:t>五、较上年度增减变化</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_Toc17992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_Toc4244 </w:instrText>
          </w:r>
          <w:r>
            <w:rPr>
              <w:rFonts w:hint="eastAsia" w:ascii="宋体" w:hAnsi="宋体" w:eastAsia="宋体" w:cs="宋体"/>
              <w:sz w:val="32"/>
              <w:szCs w:val="32"/>
            </w:rPr>
            <w:fldChar w:fldCharType="separate"/>
          </w:r>
          <w:r>
            <w:rPr>
              <w:rFonts w:hint="eastAsia" w:ascii="宋体" w:hAnsi="宋体" w:eastAsia="宋体" w:cs="宋体"/>
              <w:kern w:val="0"/>
              <w:sz w:val="32"/>
              <w:szCs w:val="32"/>
              <w:shd w:val="clear" w:color="auto" w:fill="FFFFFF"/>
              <w:lang w:val="en-US" w:eastAsia="zh-CN" w:bidi="ar"/>
            </w:rPr>
            <w:t>六、“三公”经费预算</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_Toc4244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_Toc3969 </w:instrText>
          </w:r>
          <w:r>
            <w:rPr>
              <w:rFonts w:hint="eastAsia" w:ascii="宋体" w:hAnsi="宋体" w:eastAsia="宋体" w:cs="宋体"/>
              <w:sz w:val="32"/>
              <w:szCs w:val="32"/>
            </w:rPr>
            <w:fldChar w:fldCharType="separate"/>
          </w:r>
          <w:r>
            <w:rPr>
              <w:rFonts w:hint="eastAsia" w:ascii="宋体" w:hAnsi="宋体" w:eastAsia="宋体" w:cs="宋体"/>
              <w:kern w:val="0"/>
              <w:sz w:val="32"/>
              <w:szCs w:val="32"/>
              <w:shd w:val="clear" w:color="auto" w:fill="FFFFFF"/>
              <w:lang w:val="en-US" w:eastAsia="zh-CN" w:bidi="ar"/>
            </w:rPr>
            <w:t>七、政府性基金预算收支情况说明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_Toc3969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_Toc12665 </w:instrText>
          </w:r>
          <w:r>
            <w:rPr>
              <w:rFonts w:hint="eastAsia" w:ascii="宋体" w:hAnsi="宋体" w:eastAsia="宋体" w:cs="宋体"/>
              <w:sz w:val="32"/>
              <w:szCs w:val="32"/>
            </w:rPr>
            <w:fldChar w:fldCharType="separate"/>
          </w:r>
          <w:r>
            <w:rPr>
              <w:rFonts w:hint="eastAsia" w:ascii="宋体" w:hAnsi="宋体" w:eastAsia="宋体" w:cs="宋体"/>
              <w:kern w:val="0"/>
              <w:sz w:val="32"/>
              <w:szCs w:val="32"/>
              <w:shd w:val="clear" w:color="auto" w:fill="FFFFFF"/>
              <w:lang w:val="en-US" w:eastAsia="zh-CN" w:bidi="ar"/>
            </w:rPr>
            <w:t>八、国有资本经营预算收支情况说明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_Toc12665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_Toc1732 </w:instrText>
          </w:r>
          <w:r>
            <w:rPr>
              <w:rFonts w:hint="eastAsia" w:ascii="宋体" w:hAnsi="宋体" w:eastAsia="宋体" w:cs="宋体"/>
              <w:sz w:val="32"/>
              <w:szCs w:val="32"/>
            </w:rPr>
            <w:fldChar w:fldCharType="separate"/>
          </w:r>
          <w:r>
            <w:rPr>
              <w:rFonts w:hint="eastAsia" w:ascii="宋体" w:hAnsi="宋体" w:eastAsia="宋体" w:cs="宋体"/>
              <w:kern w:val="0"/>
              <w:sz w:val="32"/>
              <w:szCs w:val="32"/>
              <w:shd w:val="clear" w:color="auto" w:fill="FFFFFF"/>
              <w:lang w:val="en-US" w:eastAsia="zh-CN" w:bidi="ar"/>
            </w:rPr>
            <w:t>九、其他重要事项的情况说明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_Toc1732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8"/>
            <w:tabs>
              <w:tab w:val="right" w:leader="dot" w:pos="8306"/>
            </w:tabs>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_Toc20220 </w:instrText>
          </w:r>
          <w:r>
            <w:rPr>
              <w:rFonts w:hint="eastAsia" w:ascii="宋体" w:hAnsi="宋体" w:eastAsia="宋体" w:cs="宋体"/>
              <w:sz w:val="32"/>
              <w:szCs w:val="32"/>
            </w:rPr>
            <w:fldChar w:fldCharType="separate"/>
          </w:r>
          <w:r>
            <w:rPr>
              <w:rFonts w:hint="eastAsia" w:ascii="宋体" w:hAnsi="宋体" w:eastAsia="宋体" w:cs="宋体"/>
              <w:kern w:val="0"/>
              <w:sz w:val="32"/>
              <w:szCs w:val="32"/>
              <w:shd w:val="clear" w:fill="FFFFFF"/>
              <w:lang w:val="en-US" w:eastAsia="zh-CN" w:bidi="ar"/>
            </w:rPr>
            <w:t xml:space="preserve">十、 </w:t>
          </w:r>
          <w:r>
            <w:rPr>
              <w:rFonts w:hint="eastAsia" w:ascii="宋体" w:hAnsi="宋体" w:eastAsia="宋体" w:cs="宋体"/>
              <w:kern w:val="0"/>
              <w:sz w:val="32"/>
              <w:szCs w:val="32"/>
              <w:shd w:val="clear" w:color="auto" w:fill="FFFFFF"/>
              <w:lang w:val="en-US" w:eastAsia="zh-CN" w:bidi="ar"/>
            </w:rPr>
            <w:t>名词解释、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_Toc20220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r>
            <w:fldChar w:fldCharType="end"/>
          </w:r>
        </w:p>
      </w:sdtContent>
    </w:sdt>
    <w:p/>
    <w:p>
      <w:pPr>
        <w:pStyle w:val="5"/>
        <w:tabs>
          <w:tab w:val="right" w:leader="dot" w:pos="8306"/>
        </w:tabs>
        <w:ind w:left="0" w:leftChars="0" w:firstLine="0" w:firstLineChars="0"/>
      </w:pPr>
    </w:p>
    <w:p>
      <w:pPr>
        <w:pStyle w:val="5"/>
        <w:tabs>
          <w:tab w:val="right" w:leader="dot" w:pos="8306"/>
        </w:tabs>
      </w:pPr>
    </w:p>
    <w:p>
      <w:pPr>
        <w:pStyle w:val="5"/>
        <w:tabs>
          <w:tab w:val="right" w:leader="dot" w:pos="8306"/>
        </w:tabs>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00" w:firstLineChars="200"/>
        <w:textAlignment w:val="auto"/>
        <w:rPr>
          <w:rFonts w:hint="eastAsia" w:ascii="仿宋" w:hAnsi="仿宋" w:eastAsia="仿宋" w:cs="仿宋"/>
          <w:kern w:val="2"/>
          <w:szCs w:val="32"/>
          <w:lang w:val="en-US" w:eastAsia="zh-CN" w:bidi="ar-SA"/>
        </w:rPr>
      </w:pPr>
      <w:r>
        <w:rPr>
          <w:rFonts w:hint="eastAsia" w:ascii="仿宋" w:hAnsi="仿宋" w:eastAsia="仿宋" w:cs="仿宋"/>
          <w:kern w:val="2"/>
          <w:szCs w:val="32"/>
          <w:lang w:val="en-US" w:eastAsia="zh-CN" w:bidi="ar-SA"/>
        </w:rPr>
        <w:fldChar w:fldCharType="end"/>
      </w:r>
      <w:bookmarkStart w:id="114" w:name="_GoBack"/>
      <w:bookmarkEnd w:id="114"/>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00" w:firstLineChars="200"/>
        <w:textAlignment w:val="auto"/>
        <w:rPr>
          <w:rFonts w:hint="eastAsia" w:ascii="仿宋" w:hAnsi="仿宋" w:eastAsia="仿宋" w:cs="仿宋"/>
          <w:kern w:val="2"/>
          <w:szCs w:val="32"/>
          <w:lang w:val="en-US" w:eastAsia="zh-CN" w:bidi="ar-SA"/>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00" w:firstLineChars="200"/>
        <w:textAlignment w:val="auto"/>
        <w:rPr>
          <w:rFonts w:hint="eastAsia" w:ascii="仿宋" w:hAnsi="仿宋" w:eastAsia="仿宋" w:cs="仿宋"/>
          <w:kern w:val="2"/>
          <w:szCs w:val="32"/>
          <w:lang w:val="en-US" w:eastAsia="zh-CN" w:bidi="ar-SA"/>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39" w:name="_Toc30438"/>
      <w:bookmarkStart w:id="40" w:name="_Toc32522"/>
      <w:bookmarkStart w:id="41" w:name="_Toc20837"/>
      <w:r>
        <w:rPr>
          <w:rFonts w:hint="eastAsia" w:ascii="黑体" w:eastAsia="黑体"/>
          <w:sz w:val="32"/>
          <w:szCs w:val="32"/>
        </w:rPr>
        <w:t>一、基本职能及主要工作</w:t>
      </w:r>
      <w:bookmarkEnd w:id="39"/>
      <w:bookmarkEnd w:id="40"/>
      <w:bookmarkEnd w:id="41"/>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color w:val="000000"/>
          <w:kern w:val="0"/>
          <w:sz w:val="32"/>
          <w:szCs w:val="32"/>
        </w:rPr>
      </w:pPr>
      <w:bookmarkStart w:id="42" w:name="_Toc3353"/>
      <w:r>
        <w:rPr>
          <w:rFonts w:hint="eastAsia" w:ascii="仿宋_GB2312" w:hAnsi="仿宋_GB2312" w:eastAsia="仿宋_GB2312" w:cs="仿宋_GB2312"/>
          <w:color w:val="000000"/>
          <w:kern w:val="0"/>
          <w:sz w:val="32"/>
          <w:szCs w:val="32"/>
        </w:rPr>
        <w:t>贯彻落实党中央、国务院有关退役军人工作方针政策、法律法规和省、市重大决策部署，拟定退役军人思想政治、管理保障等工作政策措施并组织实施，负责军队转业干部、复员干部、退休干部、退役士兵的移交安置工作和服务管理、待遇保障工作，组织开展抚恤优待、拥军优属和荣誉奖励、军人公墓维护以及纪念活动等。</w:t>
      </w:r>
      <w:bookmarkEnd w:id="42"/>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color w:val="000000"/>
          <w:kern w:val="0"/>
          <w:sz w:val="32"/>
          <w:szCs w:val="32"/>
        </w:rPr>
      </w:pPr>
      <w:bookmarkStart w:id="43" w:name="_Toc27255"/>
      <w:r>
        <w:rPr>
          <w:rFonts w:hint="eastAsia" w:ascii="仿宋_GB2312" w:hAnsi="仿宋_GB2312" w:eastAsia="仿宋_GB2312" w:cs="仿宋_GB2312"/>
          <w:b/>
          <w:bCs/>
          <w:color w:val="000000"/>
          <w:kern w:val="0"/>
          <w:sz w:val="32"/>
          <w:szCs w:val="32"/>
        </w:rPr>
        <w:t>一是</w:t>
      </w:r>
      <w:r>
        <w:rPr>
          <w:rFonts w:hint="eastAsia" w:ascii="仿宋_GB2312" w:hAnsi="仿宋_GB2312" w:eastAsia="仿宋_GB2312" w:cs="仿宋_GB2312"/>
          <w:color w:val="000000"/>
          <w:kern w:val="0"/>
          <w:sz w:val="32"/>
          <w:szCs w:val="32"/>
        </w:rPr>
        <w:t>抓好思想政治工作，加强退役军人党员教育管理，加大典型宣传表彰力度，探索建立诚信机制，激发退役军人正能量。</w:t>
      </w:r>
      <w:bookmarkEnd w:id="43"/>
    </w:p>
    <w:p>
      <w:pPr>
        <w:keepNext w:val="0"/>
        <w:keepLines w:val="0"/>
        <w:pageBreakBefore w:val="0"/>
        <w:widowControl/>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w:t>
      </w:r>
      <w:bookmarkStart w:id="44" w:name="_Toc13454"/>
      <w:bookmarkStart w:id="45" w:name="_Toc31735"/>
      <w:r>
        <w:rPr>
          <w:rFonts w:hint="eastAsia" w:ascii="仿宋_GB2312" w:hAnsi="仿宋_GB2312" w:eastAsia="仿宋_GB2312" w:cs="仿宋_GB2312"/>
          <w:b/>
          <w:bCs/>
          <w:color w:val="000000"/>
          <w:kern w:val="0"/>
          <w:sz w:val="32"/>
          <w:szCs w:val="32"/>
          <w:lang w:eastAsia="zh-CN"/>
        </w:rPr>
        <w:t>二</w:t>
      </w:r>
      <w:r>
        <w:rPr>
          <w:rFonts w:hint="eastAsia" w:ascii="仿宋_GB2312" w:hAnsi="仿宋_GB2312" w:eastAsia="仿宋_GB2312" w:cs="仿宋_GB2312"/>
          <w:b/>
          <w:bCs/>
          <w:color w:val="000000"/>
          <w:kern w:val="0"/>
          <w:sz w:val="32"/>
          <w:szCs w:val="32"/>
        </w:rPr>
        <w:t>是</w:t>
      </w:r>
      <w:r>
        <w:rPr>
          <w:rFonts w:hint="eastAsia" w:ascii="仿宋_GB2312" w:hAnsi="仿宋_GB2312" w:eastAsia="仿宋_GB2312" w:cs="仿宋_GB2312"/>
          <w:color w:val="000000"/>
          <w:kern w:val="0"/>
          <w:sz w:val="32"/>
          <w:szCs w:val="32"/>
        </w:rPr>
        <w:t>做好移交安置和服务管理工作，推进安置制度改革，改进军休人员和伤病残人员接收安置机制，创新军休服务管理模式。</w:t>
      </w:r>
      <w:bookmarkEnd w:id="44"/>
      <w:bookmarkEnd w:id="45"/>
    </w:p>
    <w:p>
      <w:pPr>
        <w:keepNext w:val="0"/>
        <w:keepLines w:val="0"/>
        <w:pageBreakBefore w:val="0"/>
        <w:widowControl/>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w:t>
      </w:r>
      <w:bookmarkStart w:id="46" w:name="_Toc12581"/>
      <w:bookmarkStart w:id="47" w:name="_Toc25218"/>
      <w:r>
        <w:rPr>
          <w:rFonts w:hint="eastAsia" w:ascii="仿宋_GB2312" w:hAnsi="仿宋_GB2312" w:eastAsia="仿宋_GB2312" w:cs="仿宋_GB2312"/>
          <w:b/>
          <w:bCs/>
          <w:color w:val="000000"/>
          <w:kern w:val="0"/>
          <w:sz w:val="32"/>
          <w:szCs w:val="32"/>
          <w:lang w:eastAsia="zh-CN"/>
        </w:rPr>
        <w:t>三</w:t>
      </w:r>
      <w:r>
        <w:rPr>
          <w:rFonts w:hint="eastAsia" w:ascii="仿宋_GB2312" w:hAnsi="仿宋_GB2312" w:eastAsia="仿宋_GB2312" w:cs="仿宋_GB2312"/>
          <w:b/>
          <w:bCs/>
          <w:color w:val="000000"/>
          <w:kern w:val="0"/>
          <w:sz w:val="32"/>
          <w:szCs w:val="32"/>
        </w:rPr>
        <w:t>是</w:t>
      </w:r>
      <w:r>
        <w:rPr>
          <w:rFonts w:hint="eastAsia" w:ascii="仿宋_GB2312" w:hAnsi="仿宋_GB2312" w:eastAsia="仿宋_GB2312" w:cs="仿宋_GB2312"/>
          <w:color w:val="000000"/>
          <w:kern w:val="0"/>
          <w:sz w:val="32"/>
          <w:szCs w:val="32"/>
        </w:rPr>
        <w:t>加强教育培训，提高自主就业退役士兵职业技能教育，加大就业创业服务扶持力度，提高退役军人就业竞争力。</w:t>
      </w:r>
      <w:bookmarkEnd w:id="46"/>
      <w:bookmarkEnd w:id="47"/>
    </w:p>
    <w:p>
      <w:pPr>
        <w:keepNext w:val="0"/>
        <w:keepLines w:val="0"/>
        <w:pageBreakBefore w:val="0"/>
        <w:widowControl/>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bCs/>
          <w:color w:val="000000"/>
          <w:kern w:val="0"/>
          <w:sz w:val="32"/>
          <w:szCs w:val="32"/>
        </w:rPr>
        <w:t>　</w:t>
      </w:r>
      <w:bookmarkStart w:id="48" w:name="_Toc26239"/>
      <w:bookmarkStart w:id="49" w:name="_Toc32480"/>
      <w:r>
        <w:rPr>
          <w:rFonts w:hint="eastAsia" w:ascii="仿宋_GB2312" w:hAnsi="仿宋_GB2312" w:eastAsia="仿宋_GB2312" w:cs="仿宋_GB2312"/>
          <w:b/>
          <w:bCs/>
          <w:color w:val="000000"/>
          <w:kern w:val="0"/>
          <w:sz w:val="32"/>
          <w:szCs w:val="32"/>
          <w:lang w:eastAsia="zh-CN"/>
        </w:rPr>
        <w:t>四</w:t>
      </w:r>
      <w:r>
        <w:rPr>
          <w:rFonts w:hint="eastAsia" w:ascii="仿宋_GB2312" w:hAnsi="仿宋_GB2312" w:eastAsia="仿宋_GB2312" w:cs="仿宋_GB2312"/>
          <w:b/>
          <w:bCs/>
          <w:color w:val="000000"/>
          <w:kern w:val="0"/>
          <w:sz w:val="32"/>
          <w:szCs w:val="32"/>
        </w:rPr>
        <w:t>是</w:t>
      </w:r>
      <w:r>
        <w:rPr>
          <w:rFonts w:hint="eastAsia" w:ascii="仿宋_GB2312" w:hAnsi="仿宋_GB2312" w:eastAsia="仿宋_GB2312" w:cs="仿宋_GB2312"/>
          <w:color w:val="000000"/>
          <w:kern w:val="0"/>
          <w:sz w:val="32"/>
          <w:szCs w:val="32"/>
        </w:rPr>
        <w:t>构建统筹平衡的抚恤补助标准，加强社会优待工作，逐步实现从生活解困向褒扬激励转变。</w:t>
      </w:r>
      <w:bookmarkEnd w:id="48"/>
      <w:bookmarkEnd w:id="49"/>
    </w:p>
    <w:p>
      <w:pPr>
        <w:keepNext w:val="0"/>
        <w:keepLines w:val="0"/>
        <w:pageBreakBefore w:val="0"/>
        <w:widowControl/>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w:t>
      </w:r>
      <w:bookmarkStart w:id="50" w:name="_Toc20997"/>
      <w:bookmarkStart w:id="51" w:name="_Toc14776"/>
      <w:r>
        <w:rPr>
          <w:rFonts w:hint="eastAsia" w:ascii="仿宋_GB2312" w:hAnsi="仿宋_GB2312" w:eastAsia="仿宋_GB2312" w:cs="仿宋_GB2312"/>
          <w:b/>
          <w:bCs/>
          <w:color w:val="000000"/>
          <w:kern w:val="0"/>
          <w:sz w:val="32"/>
          <w:szCs w:val="32"/>
          <w:lang w:eastAsia="zh-CN"/>
        </w:rPr>
        <w:t>五</w:t>
      </w:r>
      <w:r>
        <w:rPr>
          <w:rFonts w:hint="eastAsia" w:ascii="仿宋_GB2312" w:hAnsi="仿宋_GB2312" w:eastAsia="仿宋_GB2312" w:cs="仿宋_GB2312"/>
          <w:b/>
          <w:bCs/>
          <w:color w:val="000000"/>
          <w:kern w:val="0"/>
          <w:sz w:val="32"/>
          <w:szCs w:val="32"/>
        </w:rPr>
        <w:t>是</w:t>
      </w:r>
      <w:r>
        <w:rPr>
          <w:rFonts w:hint="eastAsia" w:ascii="仿宋_GB2312" w:hAnsi="仿宋_GB2312" w:eastAsia="仿宋_GB2312" w:cs="仿宋_GB2312"/>
          <w:color w:val="000000"/>
          <w:kern w:val="0"/>
          <w:sz w:val="32"/>
          <w:szCs w:val="32"/>
        </w:rPr>
        <w:t>做好褒扬纪念工作，推动形成崇尚英雄、缅怀先烈的良好社会风尚。</w:t>
      </w:r>
      <w:bookmarkEnd w:id="50"/>
      <w:bookmarkEnd w:id="51"/>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仿宋_GB2312" w:hAnsi="仿宋_GB2312" w:eastAsia="仿宋_GB2312" w:cs="仿宋_GB2312"/>
          <w:color w:val="000000"/>
          <w:kern w:val="0"/>
          <w:sz w:val="32"/>
          <w:szCs w:val="32"/>
        </w:rPr>
      </w:pPr>
      <w:bookmarkStart w:id="52" w:name="_Toc1507"/>
      <w:bookmarkStart w:id="53" w:name="_Toc6535"/>
      <w:r>
        <w:rPr>
          <w:rFonts w:hint="eastAsia" w:ascii="仿宋_GB2312" w:hAnsi="仿宋_GB2312" w:eastAsia="仿宋_GB2312" w:cs="仿宋_GB2312"/>
          <w:b/>
          <w:bCs/>
          <w:color w:val="000000"/>
          <w:kern w:val="0"/>
          <w:sz w:val="32"/>
          <w:szCs w:val="32"/>
          <w:lang w:eastAsia="zh-CN"/>
        </w:rPr>
        <w:t>六</w:t>
      </w:r>
      <w:r>
        <w:rPr>
          <w:rFonts w:hint="eastAsia" w:ascii="仿宋_GB2312" w:hAnsi="仿宋_GB2312" w:eastAsia="仿宋_GB2312" w:cs="仿宋_GB2312"/>
          <w:b/>
          <w:bCs/>
          <w:color w:val="000000"/>
          <w:kern w:val="0"/>
          <w:sz w:val="32"/>
          <w:szCs w:val="32"/>
        </w:rPr>
        <w:t>是</w:t>
      </w:r>
      <w:r>
        <w:rPr>
          <w:rFonts w:hint="eastAsia" w:ascii="仿宋_GB2312" w:hAnsi="仿宋_GB2312" w:eastAsia="仿宋_GB2312" w:cs="仿宋_GB2312"/>
          <w:color w:val="000000"/>
          <w:kern w:val="0"/>
          <w:sz w:val="32"/>
          <w:szCs w:val="32"/>
        </w:rPr>
        <w:t>做好信访工作，完善督导检查机制，加大关爱帮扶力度，维护退役军人合法权益。着力破解矛盾问题，及时回应退役军人最直接最现实的利益诉求。</w:t>
      </w:r>
      <w:bookmarkEnd w:id="52"/>
      <w:bookmarkEnd w:id="5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54" w:name="_Toc18559"/>
      <w:bookmarkStart w:id="55" w:name="_Toc16095"/>
      <w:bookmarkStart w:id="56" w:name="_Toc6651"/>
      <w:r>
        <w:rPr>
          <w:rFonts w:hint="eastAsia" w:ascii="黑体" w:eastAsia="黑体"/>
          <w:sz w:val="32"/>
          <w:szCs w:val="32"/>
        </w:rPr>
        <w:t>二、部门</w:t>
      </w:r>
      <w:r>
        <w:rPr>
          <w:rFonts w:hint="eastAsia" w:ascii="黑体" w:eastAsia="黑体"/>
          <w:sz w:val="32"/>
          <w:szCs w:val="32"/>
          <w:lang w:eastAsia="zh-CN"/>
        </w:rPr>
        <w:t>预算单位构成</w:t>
      </w:r>
      <w:bookmarkEnd w:id="54"/>
      <w:bookmarkEnd w:id="55"/>
      <w:bookmarkEnd w:id="56"/>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红原县退役军人事务局</w:t>
      </w:r>
      <w:r>
        <w:rPr>
          <w:rFonts w:hint="eastAsia"/>
          <w:sz w:val="32"/>
          <w:szCs w:val="32"/>
          <w:lang w:eastAsia="zh-CN"/>
        </w:rPr>
        <w:t>下设单位</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个，其他事业单位</w:t>
      </w:r>
      <w:r>
        <w:rPr>
          <w:rFonts w:hint="eastAsia"/>
          <w:sz w:val="32"/>
          <w:szCs w:val="32"/>
          <w:lang w:val="en-US" w:eastAsia="zh-CN"/>
        </w:rPr>
        <w:t>0</w:t>
      </w:r>
      <w:r>
        <w:rPr>
          <w:rFonts w:hint="eastAsia"/>
          <w:sz w:val="32"/>
          <w:szCs w:val="32"/>
        </w:rPr>
        <w:t>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57" w:name="_Toc4635"/>
      <w:bookmarkStart w:id="58" w:name="_Toc9717"/>
      <w:bookmarkStart w:id="59" w:name="_Toc27356"/>
      <w:r>
        <w:rPr>
          <w:rFonts w:hint="eastAsia" w:ascii="黑体" w:eastAsia="黑体"/>
          <w:sz w:val="32"/>
          <w:szCs w:val="32"/>
        </w:rPr>
        <w:t>三、收支预算总体情况</w:t>
      </w:r>
      <w:bookmarkEnd w:id="57"/>
      <w:bookmarkEnd w:id="58"/>
      <w:bookmarkEnd w:id="59"/>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60" w:name="_Toc11441"/>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红原县退役军人事务局</w:t>
      </w:r>
      <w:r>
        <w:rPr>
          <w:rFonts w:hint="eastAsia" w:ascii="仿宋_GB2312" w:eastAsia="仿宋_GB2312"/>
          <w:sz w:val="32"/>
          <w:szCs w:val="32"/>
        </w:rPr>
        <w:t>收入预算总额为705.93万元，其中：当年财政拨款收入705.93万元。相应安排支出预算705.93万元，其中：一般公共服务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万元，社会保障和就业676.87万元，医疗卫生11.42万元，住房保障支出17.63万元。</w:t>
      </w:r>
      <w:bookmarkEnd w:id="60"/>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61" w:name="_Toc17888"/>
      <w:bookmarkStart w:id="62" w:name="_Toc2340"/>
      <w:bookmarkStart w:id="63" w:name="_Toc20859"/>
      <w:r>
        <w:rPr>
          <w:rFonts w:hint="eastAsia" w:ascii="黑体" w:eastAsia="黑体"/>
          <w:sz w:val="32"/>
          <w:szCs w:val="32"/>
        </w:rPr>
        <w:t>支出预算安排情况</w:t>
      </w:r>
      <w:bookmarkEnd w:id="61"/>
      <w:bookmarkEnd w:id="62"/>
      <w:bookmarkEnd w:id="63"/>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bookmarkStart w:id="64" w:name="_Toc4591"/>
      <w:r>
        <w:rPr>
          <w:rFonts w:hint="eastAsia" w:ascii="仿宋_GB2312" w:eastAsia="仿宋_GB2312"/>
          <w:sz w:val="32"/>
          <w:szCs w:val="32"/>
          <w:lang w:val="en-US" w:eastAsia="zh-CN"/>
        </w:rPr>
        <w:t>红原县退役军人事务局</w:t>
      </w:r>
      <w:r>
        <w:rPr>
          <w:rFonts w:hint="eastAsia" w:ascii="仿宋_GB2312" w:eastAsia="仿宋_GB2312"/>
          <w:sz w:val="32"/>
          <w:szCs w:val="32"/>
        </w:rPr>
        <w:t>预算安排支出主要用于保障该部门机构正常运转、完成日常工作任务以及承担事业发展相关工作。</w:t>
      </w:r>
      <w:bookmarkEnd w:id="64"/>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bookmarkStart w:id="65" w:name="_Toc12194"/>
      <w:r>
        <w:rPr>
          <w:rFonts w:hint="eastAsia" w:ascii="仿宋_GB2312" w:eastAsia="仿宋_GB2312"/>
          <w:sz w:val="32"/>
          <w:szCs w:val="32"/>
        </w:rPr>
        <w:t>基本支出244.69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222.02</w:t>
      </w:r>
      <w:r>
        <w:rPr>
          <w:rFonts w:hint="eastAsia" w:ascii="仿宋_GB2312" w:eastAsia="仿宋_GB2312"/>
          <w:sz w:val="32"/>
          <w:szCs w:val="32"/>
          <w:lang w:val="en-US" w:eastAsia="zh-CN"/>
        </w:rPr>
        <w:t>万元，机关运行经费</w:t>
      </w:r>
      <w:r>
        <w:rPr>
          <w:rFonts w:hint="eastAsia" w:ascii="仿宋_GB2312" w:eastAsia="仿宋_GB2312"/>
          <w:sz w:val="32"/>
          <w:szCs w:val="32"/>
        </w:rPr>
        <w:t>22.67</w:t>
      </w:r>
      <w:r>
        <w:rPr>
          <w:rFonts w:hint="eastAsia" w:ascii="仿宋_GB2312" w:eastAsia="仿宋_GB2312"/>
          <w:sz w:val="32"/>
          <w:szCs w:val="32"/>
          <w:lang w:val="en-US" w:eastAsia="zh-CN"/>
        </w:rPr>
        <w:t>万元，其中：办公费2.88万元，印刷费1万元，电费1.07万元，邮电费0.3万元，取暖费0.8万元，差旅费1.2万元，工会经费1.61万元，福利费3.95万元，公务用车运行维护费5万元</w:t>
      </w:r>
      <w:r>
        <w:rPr>
          <w:rFonts w:hint="eastAsia" w:ascii="仿宋_GB2312" w:eastAsia="仿宋_GB2312"/>
          <w:sz w:val="32"/>
          <w:szCs w:val="32"/>
          <w:lang w:eastAsia="zh-CN"/>
        </w:rPr>
        <w:t>，其他商品和服务支出</w:t>
      </w:r>
      <w:r>
        <w:rPr>
          <w:rFonts w:hint="eastAsia" w:ascii="仿宋_GB2312" w:eastAsia="仿宋_GB2312"/>
          <w:sz w:val="32"/>
          <w:szCs w:val="32"/>
          <w:lang w:val="en-US" w:eastAsia="zh-CN"/>
        </w:rPr>
        <w:t>2.15万元，委托业务费2.7万元。</w:t>
      </w:r>
      <w:bookmarkEnd w:id="65"/>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66" w:name="_Toc14038"/>
      <w:r>
        <w:rPr>
          <w:rFonts w:hint="eastAsia" w:ascii="仿宋_GB2312" w:eastAsia="仿宋_GB2312"/>
          <w:sz w:val="32"/>
          <w:szCs w:val="32"/>
        </w:rPr>
        <w:t>按支出功能分类主要用于以下方面:</w:t>
      </w:r>
      <w:bookmarkEnd w:id="66"/>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67" w:name="_Toc3713"/>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bookmarkEnd w:id="67"/>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68" w:name="_Toc21789"/>
      <w:r>
        <w:rPr>
          <w:rFonts w:hint="eastAsia" w:ascii="仿宋_GB2312" w:eastAsia="仿宋_GB2312"/>
          <w:sz w:val="32"/>
          <w:szCs w:val="32"/>
        </w:rPr>
        <w:t>（二）社会保障和就业</w:t>
      </w:r>
      <w:r>
        <w:rPr>
          <w:rFonts w:hint="eastAsia" w:ascii="仿宋_GB2312" w:eastAsia="仿宋_GB2312"/>
          <w:sz w:val="32"/>
          <w:szCs w:val="32"/>
          <w:lang w:val="en-US" w:eastAsia="zh-CN"/>
        </w:rPr>
        <w:t>676.87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bookmarkEnd w:id="6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69" w:name="_Toc6179"/>
      <w:r>
        <w:rPr>
          <w:rFonts w:hint="eastAsia" w:ascii="仿宋_GB2312" w:eastAsia="仿宋_GB2312"/>
          <w:sz w:val="32"/>
          <w:szCs w:val="32"/>
        </w:rPr>
        <w:t>（三）医疗卫生</w:t>
      </w:r>
      <w:r>
        <w:rPr>
          <w:rFonts w:hint="eastAsia" w:ascii="仿宋_GB2312" w:eastAsia="仿宋_GB2312"/>
          <w:sz w:val="32"/>
          <w:szCs w:val="32"/>
          <w:lang w:val="en-US" w:eastAsia="zh-CN"/>
        </w:rPr>
        <w:t>11.42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bookmarkEnd w:id="69"/>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bookmarkStart w:id="70" w:name="_Toc19312"/>
      <w:r>
        <w:rPr>
          <w:rFonts w:hint="eastAsia" w:ascii="仿宋_GB2312" w:eastAsia="仿宋_GB2312"/>
          <w:sz w:val="32"/>
          <w:szCs w:val="32"/>
        </w:rPr>
        <w:t>（四）住房保障支出</w:t>
      </w:r>
      <w:r>
        <w:rPr>
          <w:rFonts w:hint="eastAsia" w:ascii="仿宋_GB2312" w:eastAsia="仿宋_GB2312"/>
          <w:sz w:val="32"/>
          <w:szCs w:val="32"/>
          <w:lang w:val="en-US" w:eastAsia="zh-CN"/>
        </w:rPr>
        <w:t>17.63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bookmarkEnd w:id="7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sz w:val="32"/>
          <w:szCs w:val="32"/>
        </w:rPr>
      </w:pPr>
      <w:bookmarkStart w:id="71" w:name="_Toc14752"/>
      <w:bookmarkStart w:id="72" w:name="_Toc12727"/>
      <w:bookmarkStart w:id="73" w:name="_Toc17992"/>
      <w:r>
        <w:rPr>
          <w:rFonts w:hint="eastAsia" w:ascii="黑体" w:hAnsi="黑体" w:eastAsia="黑体" w:cs="黑体"/>
          <w:color w:val="333333"/>
          <w:kern w:val="0"/>
          <w:sz w:val="32"/>
          <w:szCs w:val="32"/>
          <w:shd w:val="clear" w:color="auto" w:fill="FFFFFF"/>
          <w:lang w:val="en-US" w:eastAsia="zh-CN" w:bidi="ar"/>
        </w:rPr>
        <w:t>五、较上年度增减变化</w:t>
      </w:r>
      <w:bookmarkEnd w:id="71"/>
      <w:bookmarkEnd w:id="72"/>
      <w:bookmarkEnd w:id="7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74" w:name="_Toc7993"/>
      <w:r>
        <w:rPr>
          <w:rFonts w:hint="eastAsia" w:ascii="仿宋_GB2312" w:eastAsia="仿宋_GB2312"/>
          <w:sz w:val="32"/>
          <w:szCs w:val="32"/>
          <w:lang w:val="en-US" w:eastAsia="zh-CN"/>
        </w:rPr>
        <w:t>本年度预算拨款收入</w:t>
      </w:r>
      <w:r>
        <w:rPr>
          <w:rFonts w:hint="eastAsia" w:ascii="仿宋_GB2312" w:eastAsia="仿宋_GB2312"/>
          <w:sz w:val="32"/>
          <w:szCs w:val="32"/>
        </w:rPr>
        <w:t>705.93</w:t>
      </w:r>
      <w:r>
        <w:rPr>
          <w:rFonts w:hint="eastAsia" w:ascii="仿宋_GB2312" w:eastAsia="仿宋_GB2312"/>
          <w:sz w:val="32"/>
          <w:szCs w:val="32"/>
          <w:lang w:val="en-US" w:eastAsia="zh-CN"/>
        </w:rPr>
        <w:t>万元较上年度预算</w:t>
      </w:r>
      <w:r>
        <w:rPr>
          <w:rFonts w:hint="eastAsia" w:ascii="仿宋_GB2312" w:eastAsia="仿宋_GB2312"/>
          <w:color w:val="000000"/>
          <w:sz w:val="32"/>
          <w:szCs w:val="32"/>
          <w:highlight w:val="none"/>
          <w:lang w:val="en-US" w:eastAsia="zh-CN"/>
        </w:rPr>
        <w:t>725.26</w:t>
      </w:r>
      <w:r>
        <w:rPr>
          <w:rFonts w:hint="eastAsia" w:ascii="仿宋_GB2312" w:eastAsia="仿宋_GB2312"/>
          <w:sz w:val="32"/>
          <w:szCs w:val="32"/>
          <w:lang w:val="en-US" w:eastAsia="zh-CN"/>
        </w:rPr>
        <w:t>万元减少了2.66%，其中基本行政运行经费预算</w:t>
      </w:r>
      <w:r>
        <w:rPr>
          <w:rFonts w:hint="eastAsia" w:ascii="仿宋_GB2312" w:eastAsia="仿宋_GB2312"/>
          <w:sz w:val="32"/>
          <w:szCs w:val="32"/>
        </w:rPr>
        <w:t>244.69</w:t>
      </w:r>
      <w:r>
        <w:rPr>
          <w:rFonts w:hint="eastAsia" w:ascii="仿宋_GB2312" w:eastAsia="仿宋_GB2312"/>
          <w:sz w:val="32"/>
          <w:szCs w:val="32"/>
          <w:lang w:val="en-US" w:eastAsia="zh-CN"/>
        </w:rPr>
        <w:t>万元，占全部总预算的34.66%，较上年</w:t>
      </w:r>
      <w:r>
        <w:rPr>
          <w:rFonts w:hint="eastAsia" w:ascii="仿宋_GB2312" w:eastAsia="仿宋_GB2312"/>
          <w:color w:val="000000"/>
          <w:sz w:val="32"/>
          <w:szCs w:val="32"/>
          <w:highlight w:val="none"/>
          <w:lang w:val="en-US" w:eastAsia="zh-CN"/>
        </w:rPr>
        <w:t>264.88</w:t>
      </w:r>
      <w:r>
        <w:rPr>
          <w:rFonts w:hint="eastAsia" w:ascii="仿宋_GB2312" w:eastAsia="仿宋_GB2312"/>
          <w:sz w:val="32"/>
          <w:szCs w:val="32"/>
          <w:lang w:val="en-US" w:eastAsia="zh-CN"/>
        </w:rPr>
        <w:t>万元减少了7.62%，原因为压缩各项开支，减少基本支出；专项业务工作经费预算</w:t>
      </w:r>
      <w:r>
        <w:rPr>
          <w:rFonts w:hint="eastAsia" w:ascii="仿宋_GB2312" w:eastAsia="仿宋_GB2312"/>
          <w:sz w:val="32"/>
          <w:szCs w:val="32"/>
        </w:rPr>
        <w:t>461.23</w:t>
      </w:r>
      <w:r>
        <w:rPr>
          <w:rFonts w:hint="eastAsia" w:ascii="仿宋_GB2312" w:eastAsia="仿宋_GB2312"/>
          <w:sz w:val="32"/>
          <w:szCs w:val="32"/>
          <w:lang w:val="en-US" w:eastAsia="zh-CN"/>
        </w:rPr>
        <w:t>万元，占总预算的65.34%，较上年预算</w:t>
      </w:r>
      <w:r>
        <w:rPr>
          <w:rFonts w:hint="eastAsia" w:ascii="仿宋_GB2312" w:eastAsia="仿宋_GB2312"/>
          <w:color w:val="000000"/>
          <w:sz w:val="32"/>
          <w:szCs w:val="32"/>
          <w:highlight w:val="none"/>
          <w:lang w:val="en-US" w:eastAsia="zh-CN"/>
        </w:rPr>
        <w:t>460.38</w:t>
      </w:r>
      <w:r>
        <w:rPr>
          <w:rFonts w:hint="eastAsia" w:ascii="仿宋_GB2312" w:eastAsia="仿宋_GB2312"/>
          <w:sz w:val="32"/>
          <w:szCs w:val="32"/>
          <w:lang w:val="en-US" w:eastAsia="zh-CN"/>
        </w:rPr>
        <w:t>万元增加了0.18%，主要原因为增加了项目经费开支，增加相关支出。</w:t>
      </w:r>
      <w:bookmarkEnd w:id="74"/>
      <w:r>
        <w:rPr>
          <w:rFonts w:hint="eastAsia" w:ascii="仿宋_GB2312" w:eastAsia="仿宋_GB2312"/>
          <w:sz w:val="32"/>
          <w:szCs w:val="32"/>
          <w:lang w:val="en-US" w:eastAsia="zh-CN"/>
        </w:rPr>
        <w:t xml:space="preserve">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75" w:name="_Toc17568"/>
      <w:bookmarkStart w:id="76" w:name="_Toc12110"/>
      <w:bookmarkStart w:id="77" w:name="_Toc4244"/>
      <w:r>
        <w:rPr>
          <w:rFonts w:hint="eastAsia" w:ascii="黑体" w:hAnsi="黑体" w:eastAsia="黑体" w:cs="黑体"/>
          <w:color w:val="333333"/>
          <w:kern w:val="0"/>
          <w:sz w:val="32"/>
          <w:szCs w:val="32"/>
          <w:shd w:val="clear" w:color="auto" w:fill="FFFFFF"/>
          <w:lang w:val="en-US" w:eastAsia="zh-CN" w:bidi="ar"/>
        </w:rPr>
        <w:t>六、“三公”经费预算</w:t>
      </w:r>
      <w:bookmarkEnd w:id="75"/>
      <w:bookmarkEnd w:id="76"/>
      <w:bookmarkEnd w:id="77"/>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78" w:name="_Toc24004"/>
      <w:r>
        <w:rPr>
          <w:rFonts w:hint="eastAsia" w:ascii="仿宋_GB2312" w:eastAsia="仿宋_GB2312"/>
          <w:sz w:val="32"/>
          <w:szCs w:val="32"/>
          <w:lang w:val="en-US" w:eastAsia="zh-CN"/>
        </w:rPr>
        <w:t>本年度三公经费预算安排支出为5万元，其中：出国费0万元，与上年持平，主要原因为未安排因公出国；公车购置费0元，与上年持平；公务用车维护费支出5万元，较上年度预算5.27万元略有减少，主要原因严格执行“八项规定、六项禁令”；二是将有关股室的工作有机地结合起来，减少不必要的资源浪费。较上年度预算减少0.27万元，主要是安排的专项工作用车减少；公务接待费0万元，较上年度预算持平，主要原因为本年度我们将严格执行“八项规定、六项禁令”，结合本年度工作需要，减少不必 要的开支。</w:t>
      </w:r>
      <w:bookmarkEnd w:id="7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79" w:name="_Toc4732"/>
      <w:bookmarkStart w:id="80" w:name="_Toc18310"/>
      <w:bookmarkStart w:id="81" w:name="_Toc3969"/>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79"/>
      <w:bookmarkEnd w:id="80"/>
      <w:bookmarkEnd w:id="81"/>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82" w:name="_Toc24409"/>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bookmarkEnd w:id="82"/>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83" w:name="_Toc13672"/>
      <w:bookmarkStart w:id="84" w:name="_Toc10008"/>
      <w:bookmarkStart w:id="85" w:name="_Toc12665"/>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83"/>
      <w:bookmarkEnd w:id="84"/>
      <w:bookmarkEnd w:id="85"/>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86" w:name="_Toc17467"/>
      <w:r>
        <w:rPr>
          <w:rFonts w:hint="eastAsia" w:ascii="仿宋_GB2312" w:eastAsia="仿宋_GB2312"/>
          <w:sz w:val="32"/>
          <w:szCs w:val="32"/>
          <w:lang w:val="en-US" w:eastAsia="zh-CN"/>
        </w:rPr>
        <w:t>2025年无使用国有资本经营预算拨款安排的支出。</w:t>
      </w:r>
      <w:bookmarkEnd w:id="86"/>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bookmarkStart w:id="87" w:name="_Toc20463"/>
      <w:bookmarkStart w:id="88" w:name="_Toc15911"/>
      <w:bookmarkStart w:id="89" w:name="_Toc1732"/>
      <w:r>
        <w:rPr>
          <w:rFonts w:hint="eastAsia" w:ascii="黑体" w:hAnsi="黑体" w:eastAsia="黑体" w:cs="黑体"/>
          <w:color w:val="333333"/>
          <w:kern w:val="0"/>
          <w:sz w:val="32"/>
          <w:szCs w:val="32"/>
          <w:shd w:val="clear" w:color="auto" w:fill="FFFFFF"/>
          <w:lang w:val="en-US" w:eastAsia="zh-CN" w:bidi="ar"/>
        </w:rPr>
        <w:t>九、其他重要事项的情况说明</w:t>
      </w:r>
      <w:bookmarkEnd w:id="87"/>
      <w:bookmarkEnd w:id="88"/>
      <w:bookmarkEnd w:id="8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bookmarkStart w:id="90" w:name="_Toc701"/>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90"/>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91" w:name="_Toc11590"/>
      <w:r>
        <w:rPr>
          <w:rFonts w:hint="eastAsia" w:ascii="仿宋_GB2312" w:eastAsia="仿宋_GB2312"/>
          <w:sz w:val="32"/>
          <w:szCs w:val="32"/>
          <w:lang w:val="en-US" w:eastAsia="zh-CN"/>
        </w:rPr>
        <w:t>2025年度安排政府采购预算0万元。</w:t>
      </w:r>
      <w:bookmarkEnd w:id="91"/>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bookmarkStart w:id="92" w:name="_Toc22208"/>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92"/>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93" w:name="_Toc18754"/>
      <w:r>
        <w:rPr>
          <w:rFonts w:hint="eastAsia" w:ascii="仿宋_GB2312" w:eastAsia="仿宋_GB2312"/>
          <w:sz w:val="32"/>
          <w:szCs w:val="32"/>
          <w:lang w:val="en-US" w:eastAsia="zh-CN"/>
        </w:rPr>
        <w:t>截止2024年底，实际共有固定资产价值33.8</w:t>
      </w:r>
      <w:r>
        <w:rPr>
          <w:rFonts w:hint="eastAsia" w:ascii="仿宋_GB2312" w:eastAsia="仿宋_GB2312"/>
          <w:sz w:val="32"/>
          <w:szCs w:val="32"/>
          <w:lang w:eastAsia="zh-CN"/>
        </w:rPr>
        <w:t>万元：其中：</w:t>
      </w:r>
      <w:r>
        <w:rPr>
          <w:rFonts w:hint="eastAsia" w:ascii="仿宋_GB2312" w:eastAsia="仿宋_GB2312"/>
          <w:sz w:val="32"/>
          <w:szCs w:val="32"/>
          <w:lang w:val="en-US" w:eastAsia="zh-CN"/>
        </w:rPr>
        <w:t>设备29.76万元，家具和用具4.04万元。</w:t>
      </w:r>
      <w:bookmarkEnd w:id="93"/>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bookmarkStart w:id="94" w:name="_Toc9815"/>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9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bookmarkStart w:id="95" w:name="_Toc11512"/>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bookmarkEnd w:id="95"/>
    </w:p>
    <w:p>
      <w:pPr>
        <w:keepNext w:val="0"/>
        <w:keepLines w:val="0"/>
        <w:pageBreakBefore w:val="0"/>
        <w:numPr>
          <w:ilvl w:val="0"/>
          <w:numId w:val="2"/>
        </w:numPr>
        <w:kinsoku/>
        <w:wordWrap/>
        <w:overflowPunct/>
        <w:topLinePunct w:val="0"/>
        <w:autoSpaceDE/>
        <w:autoSpaceDN/>
        <w:bidi w:val="0"/>
        <w:spacing w:line="560" w:lineRule="exact"/>
        <w:ind w:left="640" w:leftChars="0" w:right="0" w:rightChars="0" w:firstLine="0" w:firstLineChars="0"/>
        <w:textAlignment w:val="auto"/>
        <w:outlineLvl w:val="0"/>
        <w:rPr>
          <w:rFonts w:hint="eastAsia" w:ascii="黑体" w:hAnsi="黑体" w:eastAsia="黑体" w:cs="黑体"/>
          <w:color w:val="333333"/>
          <w:kern w:val="0"/>
          <w:sz w:val="32"/>
          <w:szCs w:val="32"/>
          <w:shd w:val="clear" w:color="auto" w:fill="FFFFFF"/>
          <w:lang w:val="en-US" w:eastAsia="zh-CN" w:bidi="ar"/>
        </w:rPr>
      </w:pPr>
      <w:bookmarkStart w:id="96" w:name="_Toc19562"/>
      <w:bookmarkStart w:id="97" w:name="_Toc3160"/>
      <w:bookmarkStart w:id="98" w:name="_Toc20220"/>
      <w:r>
        <w:rPr>
          <w:rFonts w:hint="eastAsia" w:ascii="黑体" w:hAnsi="黑体" w:eastAsia="黑体" w:cs="黑体"/>
          <w:color w:val="333333"/>
          <w:kern w:val="0"/>
          <w:sz w:val="32"/>
          <w:szCs w:val="32"/>
          <w:shd w:val="clear" w:color="auto" w:fill="FFFFFF"/>
          <w:lang w:val="en-US" w:eastAsia="zh-CN" w:bidi="ar"/>
        </w:rPr>
        <w:t>名词解释、</w:t>
      </w:r>
      <w:bookmarkEnd w:id="96"/>
      <w:bookmarkEnd w:id="97"/>
      <w:bookmarkEnd w:id="98"/>
    </w:p>
    <w:p>
      <w:pPr>
        <w:keepNext w:val="0"/>
        <w:keepLines w:val="0"/>
        <w:pageBreakBefore w:val="0"/>
        <w:numPr>
          <w:numId w:val="0"/>
        </w:numPr>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lang w:val="en-US" w:eastAsia="zh-CN"/>
        </w:rPr>
      </w:pPr>
      <w:bookmarkStart w:id="99" w:name="_Toc27974"/>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2.其他收入：指除上述财政部门拨付单位以外的收入。</w:t>
      </w:r>
      <w:bookmarkEnd w:id="99"/>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00" w:name="_Toc394"/>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End w:id="100"/>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bookmarkStart w:id="101" w:name="_Toc17122"/>
      <w:r>
        <w:rPr>
          <w:rFonts w:hint="eastAsia" w:ascii="仿宋_GB2312" w:eastAsia="仿宋_GB2312"/>
          <w:sz w:val="32"/>
          <w:szCs w:val="32"/>
          <w:lang w:val="en-US" w:eastAsia="zh-CN"/>
        </w:rPr>
        <w:t>附件：表1.部门收支总表</w:t>
      </w:r>
      <w:bookmarkEnd w:id="10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2" w:name="_Toc7259"/>
      <w:r>
        <w:rPr>
          <w:rFonts w:hint="eastAsia" w:ascii="仿宋_GB2312" w:eastAsia="仿宋_GB2312"/>
          <w:sz w:val="32"/>
          <w:szCs w:val="32"/>
          <w:lang w:val="en-US" w:eastAsia="zh-CN"/>
        </w:rPr>
        <w:t>表2.部门收入总表</w:t>
      </w:r>
      <w:bookmarkEnd w:id="10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3" w:name="_Toc12192"/>
      <w:r>
        <w:rPr>
          <w:rFonts w:hint="eastAsia" w:ascii="仿宋_GB2312" w:eastAsia="仿宋_GB2312"/>
          <w:sz w:val="32"/>
          <w:szCs w:val="32"/>
          <w:lang w:val="en-US" w:eastAsia="zh-CN"/>
        </w:rPr>
        <w:t>表3.部门支出总表</w:t>
      </w:r>
      <w:bookmarkEnd w:id="10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4" w:name="_Toc28211"/>
      <w:r>
        <w:rPr>
          <w:rFonts w:hint="eastAsia" w:ascii="仿宋_GB2312" w:eastAsia="仿宋_GB2312"/>
          <w:sz w:val="32"/>
          <w:szCs w:val="32"/>
          <w:lang w:val="en-US" w:eastAsia="zh-CN"/>
        </w:rPr>
        <w:t>表4.财政拨款收支预算总表</w:t>
      </w:r>
      <w:bookmarkEnd w:id="10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5" w:name="_Toc772"/>
      <w:r>
        <w:rPr>
          <w:rFonts w:hint="eastAsia" w:ascii="仿宋_GB2312" w:eastAsia="仿宋_GB2312"/>
          <w:sz w:val="32"/>
          <w:szCs w:val="32"/>
          <w:lang w:val="en-US" w:eastAsia="zh-CN"/>
        </w:rPr>
        <w:t>表5.财政拨款支出预算表（部门经济分类科目）</w:t>
      </w:r>
      <w:bookmarkEnd w:id="10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6" w:name="_Toc26088"/>
      <w:r>
        <w:rPr>
          <w:rFonts w:hint="eastAsia" w:ascii="仿宋_GB2312" w:eastAsia="仿宋_GB2312"/>
          <w:sz w:val="32"/>
          <w:szCs w:val="32"/>
          <w:lang w:val="en-US" w:eastAsia="zh-CN"/>
        </w:rPr>
        <w:t>表6.一般公共预算支出预算表</w:t>
      </w:r>
      <w:bookmarkEnd w:id="10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7" w:name="_Toc24677"/>
      <w:r>
        <w:rPr>
          <w:rFonts w:hint="eastAsia" w:ascii="仿宋_GB2312" w:eastAsia="仿宋_GB2312"/>
          <w:sz w:val="32"/>
          <w:szCs w:val="32"/>
          <w:lang w:val="en-US" w:eastAsia="zh-CN"/>
        </w:rPr>
        <w:t>表7.一般公共预算基本支出预算表</w:t>
      </w:r>
      <w:bookmarkEnd w:id="10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8" w:name="_Toc12774"/>
      <w:r>
        <w:rPr>
          <w:rFonts w:hint="eastAsia" w:ascii="仿宋_GB2312" w:eastAsia="仿宋_GB2312"/>
          <w:sz w:val="32"/>
          <w:szCs w:val="32"/>
          <w:lang w:val="en-US" w:eastAsia="zh-CN"/>
        </w:rPr>
        <w:t>表8.一般公共预算项目支出预算表</w:t>
      </w:r>
      <w:bookmarkEnd w:id="10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09" w:name="_Toc15146"/>
      <w:r>
        <w:rPr>
          <w:rFonts w:hint="eastAsia" w:ascii="仿宋_GB2312" w:eastAsia="仿宋_GB2312"/>
          <w:sz w:val="32"/>
          <w:szCs w:val="32"/>
          <w:lang w:val="en-US" w:eastAsia="zh-CN"/>
        </w:rPr>
        <w:t>表9.一般公共预算“三公”经费支出预算表</w:t>
      </w:r>
      <w:bookmarkEnd w:id="10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10" w:name="_Toc9210"/>
      <w:r>
        <w:rPr>
          <w:rFonts w:hint="eastAsia" w:ascii="仿宋_GB2312" w:eastAsia="仿宋_GB2312"/>
          <w:sz w:val="32"/>
          <w:szCs w:val="32"/>
          <w:lang w:val="en-US" w:eastAsia="zh-CN"/>
        </w:rPr>
        <w:t>表10.政府性基金支出预算表</w:t>
      </w:r>
      <w:bookmarkEnd w:id="11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11" w:name="_Toc8679"/>
      <w:r>
        <w:rPr>
          <w:rFonts w:hint="eastAsia" w:ascii="仿宋_GB2312" w:eastAsia="仿宋_GB2312"/>
          <w:sz w:val="32"/>
          <w:szCs w:val="32"/>
          <w:lang w:val="en-US" w:eastAsia="zh-CN"/>
        </w:rPr>
        <w:t>表11.政府性基金预算“三公”经费支出预算表</w:t>
      </w:r>
      <w:bookmarkEnd w:id="11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112" w:name="_Toc27770"/>
      <w:r>
        <w:rPr>
          <w:rFonts w:hint="eastAsia" w:ascii="仿宋_GB2312" w:eastAsia="仿宋_GB2312"/>
          <w:sz w:val="32"/>
          <w:szCs w:val="32"/>
          <w:lang w:val="en-US" w:eastAsia="zh-CN"/>
        </w:rPr>
        <w:t>表12.国有资本经营预算支出预算表</w:t>
      </w:r>
      <w:bookmarkEnd w:id="11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bookmarkStart w:id="113" w:name="_Toc14178"/>
      <w:r>
        <w:rPr>
          <w:rFonts w:hint="eastAsia" w:ascii="仿宋_GB2312" w:eastAsia="仿宋_GB2312"/>
          <w:sz w:val="32"/>
          <w:szCs w:val="32"/>
          <w:lang w:val="en-US" w:eastAsia="zh-CN"/>
        </w:rPr>
        <w:t>表13.部门项目支出绩效目标表（2025年度）</w:t>
      </w:r>
      <w:bookmarkEnd w:id="113"/>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8ADC4B"/>
    <w:multiLevelType w:val="singleLevel"/>
    <w:tmpl w:val="428ADC4B"/>
    <w:lvl w:ilvl="0" w:tentative="0">
      <w:start w:val="10"/>
      <w:numFmt w:val="chineseCounting"/>
      <w:suff w:val="nothing"/>
      <w:lvlText w:val="%1、"/>
      <w:lvlJc w:val="left"/>
      <w:pPr>
        <w:ind w:left="640" w:leftChars="0" w:firstLine="0" w:firstLineChars="0"/>
      </w:pPr>
      <w:rPr>
        <w:rFonts w:hint="eastAsia"/>
      </w:r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F9A681D"/>
    <w:rsid w:val="16A57986"/>
    <w:rsid w:val="19C1402F"/>
    <w:rsid w:val="27A30139"/>
    <w:rsid w:val="28DE5846"/>
    <w:rsid w:val="40A01D90"/>
    <w:rsid w:val="4A83571B"/>
    <w:rsid w:val="5F78432A"/>
    <w:rsid w:val="645B6096"/>
    <w:rsid w:val="6CC217D0"/>
    <w:rsid w:val="749E5ED4"/>
    <w:rsid w:val="7BA73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rPr>
      <w:rFonts w:ascii="Times New Roman" w:hAnsi="Times New Roman" w:eastAsia="宋体" w:cs="Times New Roman"/>
    </w:rPr>
  </w:style>
  <w:style w:type="paragraph" w:styleId="3">
    <w:name w:val="Body Text Indent"/>
    <w:basedOn w:val="1"/>
    <w:next w:val="2"/>
    <w:qFormat/>
    <w:uiPriority w:val="0"/>
    <w:pPr>
      <w:widowControl/>
      <w:spacing w:line="540" w:lineRule="exact"/>
      <w:ind w:firstLine="200" w:firstLineChars="200"/>
      <w:textAlignment w:val="baseline"/>
    </w:pPr>
    <w:rPr>
      <w:rFonts w:ascii="Times New Roman" w:hAnsi="Times New Roman" w:eastAsia="仿宋_GB2312" w:cs="Times New Roman"/>
      <w:color w:val="000000"/>
      <w:kern w:val="0"/>
      <w:sz w:val="32"/>
      <w:szCs w:val="32"/>
    </w:rPr>
  </w:style>
  <w:style w:type="paragraph" w:styleId="4">
    <w:name w:val="Body Text"/>
    <w:basedOn w:val="1"/>
    <w:qFormat/>
    <w:uiPriority w:val="0"/>
    <w:pPr>
      <w:spacing w:before="93" w:beforeLines="30"/>
    </w:pPr>
    <w:rPr>
      <w:rFonts w:ascii="仿宋_GB2312" w:eastAsia="仿宋_GB2312"/>
      <w:sz w:val="30"/>
    </w:rPr>
  </w:style>
  <w:style w:type="paragraph" w:styleId="5">
    <w:name w:val="table of figures"/>
    <w:basedOn w:val="1"/>
    <w:next w:val="1"/>
    <w:uiPriority w:val="0"/>
    <w:pPr>
      <w:ind w:leftChars="200" w:hanging="200" w:hangingChars="200"/>
    </w:pPr>
  </w:style>
  <w:style w:type="paragraph" w:customStyle="1" w:styleId="8">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cp:lastModifiedBy>
  <dcterms:modified xsi:type="dcterms:W3CDTF">2025-05-28T12:40:10Z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B7D557E0FAD6446491D3A8C60E83113B</vt:lpwstr>
  </property>
</Properties>
</file>