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5EFC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default" w:ascii="方正小标宋简体" w:hAnsi="方正小标宋简体" w:eastAsia="方正小标宋简体" w:cs="方正小标宋简体"/>
          <w:b w:val="0"/>
          <w:bCs/>
          <w:sz w:val="44"/>
          <w:szCs w:val="44"/>
        </w:rPr>
        <w:t>红原县卫生健康局</w:t>
      </w:r>
    </w:p>
    <w:p w14:paraId="634147B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783E5E89">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19DAE8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761D37E9">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5A54B553">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eastAsia"/>
          <w:bCs/>
          <w:sz w:val="32"/>
          <w:szCs w:val="32"/>
        </w:rPr>
        <w:t>1.贯彻执行国家、省、州、县关于卫生计生工作的方针、政策与</w:t>
      </w:r>
      <w:r>
        <w:rPr>
          <w:rFonts w:hint="eastAsia"/>
          <w:bCs/>
          <w:sz w:val="32"/>
          <w:szCs w:val="32"/>
          <w:lang w:eastAsia="zh-CN"/>
        </w:rPr>
        <w:t>法律法规</w:t>
      </w:r>
      <w:r>
        <w:rPr>
          <w:rFonts w:hint="eastAsia"/>
          <w:bCs/>
          <w:sz w:val="32"/>
          <w:szCs w:val="32"/>
        </w:rPr>
        <w:t>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r>
        <w:rPr>
          <w:rFonts w:hint="default"/>
          <w:bCs/>
          <w:sz w:val="32"/>
          <w:szCs w:val="32"/>
        </w:rPr>
        <w:br w:type="textWrapping"/>
      </w:r>
      <w:r>
        <w:rPr>
          <w:rFonts w:hint="default"/>
          <w:bCs/>
          <w:sz w:val="32"/>
          <w:szCs w:val="32"/>
        </w:rPr>
        <w:t>2.贯彻落实《</w:t>
      </w:r>
      <w:r>
        <w:rPr>
          <w:rFonts w:hint="eastAsia"/>
          <w:bCs/>
          <w:sz w:val="32"/>
          <w:szCs w:val="32"/>
          <w:lang w:eastAsia="zh-CN"/>
        </w:rPr>
        <w:t>中华人民共和国传染病防治法</w:t>
      </w:r>
      <w:r>
        <w:rPr>
          <w:rFonts w:hint="default"/>
          <w:bCs/>
          <w:sz w:val="32"/>
          <w:szCs w:val="32"/>
        </w:rPr>
        <w:t>》，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r>
        <w:rPr>
          <w:rFonts w:hint="default"/>
          <w:bCs/>
          <w:sz w:val="32"/>
          <w:szCs w:val="32"/>
        </w:rPr>
        <w:br w:type="textWrapping"/>
      </w:r>
      <w:r>
        <w:rPr>
          <w:rFonts w:hint="default"/>
          <w:bCs/>
          <w:sz w:val="32"/>
          <w:szCs w:val="32"/>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r>
        <w:rPr>
          <w:rFonts w:hint="default"/>
          <w:bCs/>
          <w:sz w:val="32"/>
          <w:szCs w:val="32"/>
        </w:rPr>
        <w:br w:type="textWrapping"/>
      </w:r>
      <w:r>
        <w:rPr>
          <w:rFonts w:hint="default"/>
          <w:bCs/>
          <w:sz w:val="32"/>
          <w:szCs w:val="32"/>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14:paraId="704611C0">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0B6645D8">
      <w:pPr>
        <w:pStyle w:val="3"/>
        <w:keepNext w:val="0"/>
        <w:keepLines w:val="0"/>
        <w:pageBreakBefore w:val="0"/>
        <w:numPr>
          <w:ilvl w:val="0"/>
          <w:numId w:val="1"/>
        </w:numPr>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bCs/>
          <w:sz w:val="32"/>
          <w:szCs w:val="32"/>
        </w:rPr>
      </w:pPr>
      <w:r>
        <w:rPr>
          <w:rFonts w:hint="eastAsia"/>
          <w:bCs/>
          <w:sz w:val="32"/>
          <w:szCs w:val="32"/>
        </w:rPr>
        <w:t>推进紧密医共体建设</w:t>
      </w:r>
      <w:r>
        <w:rPr>
          <w:rFonts w:hint="default"/>
          <w:bCs/>
          <w:sz w:val="32"/>
          <w:szCs w:val="32"/>
        </w:rPr>
        <w:t>：全力确保医共体工作在全县顺利实现实体化运行，解决医疗资源发展不均衡等制约发展的瓶颈问题。</w:t>
      </w:r>
    </w:p>
    <w:p w14:paraId="1C31C29A">
      <w:pPr>
        <w:pStyle w:val="3"/>
        <w:keepNext w:val="0"/>
        <w:keepLines w:val="0"/>
        <w:pageBreakBefore w:val="0"/>
        <w:numPr>
          <w:ilvl w:val="0"/>
          <w:numId w:val="1"/>
        </w:numPr>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default"/>
          <w:bCs/>
          <w:sz w:val="32"/>
          <w:szCs w:val="32"/>
        </w:rPr>
        <w:t>提升医疗服务水平：各医疗机构聚焦医疗卫生事业高质量发展，优化资源配置，推动医疗技术创新，提升诊疗能力和服务质量。加大对医疗卫生基础设施的投入，改善医疗条件。</w:t>
      </w:r>
    </w:p>
    <w:p w14:paraId="03422EE8">
      <w:pPr>
        <w:pStyle w:val="3"/>
        <w:keepNext w:val="0"/>
        <w:keepLines w:val="0"/>
        <w:pageBreakBefore w:val="0"/>
        <w:numPr>
          <w:ilvl w:val="0"/>
          <w:numId w:val="1"/>
        </w:numPr>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default"/>
          <w:bCs/>
          <w:sz w:val="32"/>
          <w:szCs w:val="32"/>
        </w:rPr>
        <w:t>加强行业作风建设：强化卫健系统行业作风建设，筑牢重点领域安全防线，深入排查救护车辆、医疗废物管理、精麻药品管理、用火用电以及消防安全等方面的风险隐患。</w:t>
      </w:r>
    </w:p>
    <w:p w14:paraId="5EE9F1BD">
      <w:pPr>
        <w:pStyle w:val="3"/>
        <w:keepNext w:val="0"/>
        <w:keepLines w:val="0"/>
        <w:pageBreakBefore w:val="0"/>
        <w:numPr>
          <w:ilvl w:val="0"/>
          <w:numId w:val="1"/>
        </w:numPr>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default"/>
          <w:bCs/>
          <w:sz w:val="32"/>
          <w:szCs w:val="32"/>
        </w:rPr>
        <w:t>推动基本公共卫生服务提质增效：勇于突破体制性障碍，采取有效措施推动基本公共卫生服务实现提质增效，保障民生实事，推动</w:t>
      </w:r>
      <w:r>
        <w:rPr>
          <w:rFonts w:hint="eastAsia"/>
          <w:bCs/>
          <w:sz w:val="32"/>
          <w:szCs w:val="32"/>
          <w:lang w:eastAsia="zh-CN"/>
        </w:rPr>
        <w:t>州委、州政府</w:t>
      </w:r>
      <w:r>
        <w:rPr>
          <w:rFonts w:hint="default"/>
          <w:bCs/>
          <w:sz w:val="32"/>
          <w:szCs w:val="32"/>
        </w:rPr>
        <w:t>卫生健康惠民十大行动在红原落地生根。</w:t>
      </w:r>
    </w:p>
    <w:p w14:paraId="4E473D23">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val="en-US" w:eastAsia="zh-CN"/>
        </w:rPr>
        <w:t>5、</w:t>
      </w:r>
      <w:r>
        <w:rPr>
          <w:rFonts w:hint="default"/>
          <w:bCs/>
          <w:sz w:val="32"/>
          <w:szCs w:val="32"/>
        </w:rPr>
        <w:t>抓好传染病防治工作：</w:t>
      </w:r>
    </w:p>
    <w:p w14:paraId="436B91EB">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w:t>
      </w:r>
      <w:r>
        <w:rPr>
          <w:rFonts w:hint="eastAsia"/>
          <w:bCs/>
          <w:sz w:val="32"/>
          <w:szCs w:val="32"/>
          <w:lang w:val="en-US" w:eastAsia="zh-CN"/>
        </w:rPr>
        <w:t>1</w:t>
      </w:r>
      <w:r>
        <w:rPr>
          <w:rFonts w:hint="eastAsia"/>
          <w:bCs/>
          <w:sz w:val="32"/>
          <w:szCs w:val="32"/>
          <w:lang w:eastAsia="zh-CN"/>
        </w:rPr>
        <w:t>）</w:t>
      </w:r>
      <w:r>
        <w:rPr>
          <w:rFonts w:hint="default"/>
          <w:bCs/>
          <w:sz w:val="32"/>
          <w:szCs w:val="32"/>
        </w:rPr>
        <w:t>加强组织领导：建立健全工作责任制，将传染病防控任务分解到具体部门和个人。</w:t>
      </w:r>
    </w:p>
    <w:p w14:paraId="29B6E1FE">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w:t>
      </w:r>
      <w:r>
        <w:rPr>
          <w:rFonts w:hint="eastAsia"/>
          <w:bCs/>
          <w:sz w:val="32"/>
          <w:szCs w:val="32"/>
          <w:lang w:val="en-US" w:eastAsia="zh-CN"/>
        </w:rPr>
        <w:t>2</w:t>
      </w:r>
      <w:r>
        <w:rPr>
          <w:rFonts w:hint="eastAsia"/>
          <w:bCs/>
          <w:sz w:val="32"/>
          <w:szCs w:val="32"/>
          <w:lang w:eastAsia="zh-CN"/>
        </w:rPr>
        <w:t>）</w:t>
      </w:r>
      <w:r>
        <w:rPr>
          <w:rFonts w:hint="default"/>
          <w:bCs/>
          <w:sz w:val="32"/>
          <w:szCs w:val="32"/>
        </w:rPr>
        <w:t>强化部门协作：卫健部门发挥牵头作用，加强组织协调和业务指导，各乡镇、各部门积极配合。</w:t>
      </w:r>
    </w:p>
    <w:p w14:paraId="518A3451">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w:t>
      </w:r>
      <w:r>
        <w:rPr>
          <w:rFonts w:hint="eastAsia"/>
          <w:bCs/>
          <w:sz w:val="32"/>
          <w:szCs w:val="32"/>
          <w:lang w:val="en-US" w:eastAsia="zh-CN"/>
        </w:rPr>
        <w:t>3</w:t>
      </w:r>
      <w:r>
        <w:rPr>
          <w:rFonts w:hint="eastAsia"/>
          <w:bCs/>
          <w:sz w:val="32"/>
          <w:szCs w:val="32"/>
          <w:lang w:eastAsia="zh-CN"/>
        </w:rPr>
        <w:t>）</w:t>
      </w:r>
      <w:r>
        <w:rPr>
          <w:rFonts w:hint="default"/>
          <w:bCs/>
          <w:sz w:val="32"/>
          <w:szCs w:val="32"/>
        </w:rPr>
        <w:t>注重督促检查：建立健全督促检查机制，及时总结经验做法，对工作不力的严肃追究责任。</w:t>
      </w:r>
    </w:p>
    <w:p w14:paraId="2E3909E5">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w:t>
      </w:r>
      <w:r>
        <w:rPr>
          <w:rFonts w:hint="eastAsia"/>
          <w:bCs/>
          <w:sz w:val="32"/>
          <w:szCs w:val="32"/>
          <w:lang w:val="en-US" w:eastAsia="zh-CN"/>
        </w:rPr>
        <w:t>4</w:t>
      </w:r>
      <w:r>
        <w:rPr>
          <w:rFonts w:hint="eastAsia"/>
          <w:bCs/>
          <w:sz w:val="32"/>
          <w:szCs w:val="32"/>
          <w:lang w:eastAsia="zh-CN"/>
        </w:rPr>
        <w:t>）</w:t>
      </w:r>
      <w:r>
        <w:rPr>
          <w:rFonts w:hint="default"/>
          <w:bCs/>
          <w:sz w:val="32"/>
          <w:szCs w:val="32"/>
        </w:rPr>
        <w:t>做好宣传引导：利用媒体广泛宣传传染病防控知识，及时发布疫情信息，加强舆情监测和处置。</w:t>
      </w:r>
    </w:p>
    <w:p w14:paraId="51899A8C">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w:t>
      </w:r>
      <w:r>
        <w:rPr>
          <w:rFonts w:hint="eastAsia"/>
          <w:bCs/>
          <w:sz w:val="32"/>
          <w:szCs w:val="32"/>
          <w:lang w:val="en-US" w:eastAsia="zh-CN"/>
        </w:rPr>
        <w:t>5</w:t>
      </w:r>
      <w:r>
        <w:rPr>
          <w:rFonts w:hint="eastAsia"/>
          <w:bCs/>
          <w:sz w:val="32"/>
          <w:szCs w:val="32"/>
          <w:lang w:eastAsia="zh-CN"/>
        </w:rPr>
        <w:t>）</w:t>
      </w:r>
      <w:r>
        <w:rPr>
          <w:rFonts w:hint="default"/>
          <w:bCs/>
          <w:sz w:val="32"/>
          <w:szCs w:val="32"/>
        </w:rPr>
        <w:t>健全监测网络：加强对重点场所和人群的监测，加大疫苗接种宣传力度，优化接种服务，提高接种覆盖率。</w:t>
      </w:r>
    </w:p>
    <w:p w14:paraId="637B4EE8">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val="en-US" w:eastAsia="zh-CN"/>
        </w:rPr>
        <w:t>6、</w:t>
      </w:r>
      <w:r>
        <w:rPr>
          <w:rFonts w:hint="default"/>
          <w:bCs/>
          <w:sz w:val="32"/>
          <w:szCs w:val="32"/>
        </w:rPr>
        <w:t>巩固地方病防治成果：落实全州卫生发展大会精神，深入贯彻阿坝州健康惠民 “十大行动”，巩固大骨节病控制和消除成果，开展大骨节病手术患者精准摸底筛查活动，做好相关救治救助行动准备，继续扩大大骨节病、饮茶型地氟病等多种疾病防治知识宣传教育工作的覆盖面。</w:t>
      </w:r>
    </w:p>
    <w:p w14:paraId="13897800">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p>
    <w:p w14:paraId="6E49176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1D5D0D84">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本单位下设股室9个，其中行政单位1个，参照公务员法管理的事业单位1个，其他事业单位7个。分别是：行政办公室、规财股、卫生执法监督大队、项目办、计生股、基本公共卫生股、医政规、中藏医规、行政办事窗口。</w:t>
      </w:r>
    </w:p>
    <w:p w14:paraId="121F8E2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04DF1E8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红原县卫健局</w:t>
      </w:r>
      <w:r>
        <w:rPr>
          <w:rFonts w:hint="eastAsia" w:ascii="仿宋_GB2312" w:eastAsia="仿宋_GB2312"/>
          <w:sz w:val="32"/>
          <w:szCs w:val="32"/>
        </w:rPr>
        <w:t>收入预算总额为914.57万元，其中：当年财政拨款收入861.38万元</w:t>
      </w:r>
      <w:r>
        <w:rPr>
          <w:rFonts w:hint="eastAsia" w:ascii="仿宋_GB2312" w:eastAsia="仿宋_GB2312"/>
          <w:sz w:val="32"/>
          <w:szCs w:val="32"/>
          <w:lang w:eastAsia="zh-CN"/>
        </w:rPr>
        <w:t>，</w:t>
      </w:r>
      <w:r>
        <w:rPr>
          <w:rFonts w:hint="eastAsia" w:ascii="仿宋_GB2312" w:eastAsia="仿宋_GB2312"/>
          <w:sz w:val="32"/>
          <w:szCs w:val="32"/>
          <w:lang w:val="en-US" w:eastAsia="zh-CN"/>
        </w:rPr>
        <w:t>上年结转收入53.19万元</w:t>
      </w:r>
      <w:r>
        <w:rPr>
          <w:rFonts w:hint="eastAsia" w:ascii="仿宋_GB2312" w:eastAsia="仿宋_GB2312"/>
          <w:sz w:val="32"/>
          <w:szCs w:val="32"/>
        </w:rPr>
        <w:t>。相应安排支出预算914.57万元，其中：社会保障和就业</w:t>
      </w:r>
      <w:r>
        <w:rPr>
          <w:rFonts w:hint="eastAsia" w:ascii="仿宋_GB2312" w:eastAsia="仿宋_GB2312"/>
          <w:sz w:val="32"/>
          <w:szCs w:val="32"/>
          <w:lang w:val="en-US" w:eastAsia="zh-CN"/>
        </w:rPr>
        <w:t>支出89.62</w:t>
      </w:r>
      <w:r>
        <w:rPr>
          <w:rFonts w:hint="eastAsia" w:ascii="仿宋_GB2312" w:eastAsia="仿宋_GB2312"/>
          <w:sz w:val="32"/>
          <w:szCs w:val="32"/>
        </w:rPr>
        <w:t>万元，</w:t>
      </w:r>
      <w:r>
        <w:rPr>
          <w:rFonts w:hint="eastAsia" w:ascii="仿宋_GB2312" w:eastAsia="仿宋_GB2312"/>
          <w:sz w:val="32"/>
          <w:szCs w:val="32"/>
          <w:lang w:val="en-US" w:eastAsia="zh-CN"/>
        </w:rPr>
        <w:t>卫生健康支出774.28</w:t>
      </w:r>
      <w:r>
        <w:rPr>
          <w:rFonts w:hint="eastAsia" w:ascii="仿宋_GB2312" w:eastAsia="仿宋_GB2312"/>
          <w:sz w:val="32"/>
          <w:szCs w:val="32"/>
        </w:rPr>
        <w:t>万元，住房保障支出50.67万元。</w:t>
      </w:r>
    </w:p>
    <w:p w14:paraId="1AE32792">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443363D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红原县卫健局预算安排支出主要用于保障该部门机构正常运转、完成日常工作任务以及承担卫生健康和计划生育事业发展相关工作。</w:t>
      </w:r>
    </w:p>
    <w:p w14:paraId="39118190">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基本支出775.93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709.37</w:t>
      </w:r>
      <w:r>
        <w:rPr>
          <w:rFonts w:hint="eastAsia" w:ascii="仿宋_GB2312" w:eastAsia="仿宋_GB2312"/>
          <w:sz w:val="32"/>
          <w:szCs w:val="32"/>
          <w:lang w:val="en-US" w:eastAsia="zh-CN"/>
        </w:rPr>
        <w:t>万元，机关运行经费</w:t>
      </w:r>
      <w:r>
        <w:rPr>
          <w:rFonts w:hint="eastAsia" w:ascii="仿宋_GB2312" w:eastAsia="仿宋_GB2312"/>
          <w:sz w:val="32"/>
          <w:szCs w:val="32"/>
        </w:rPr>
        <w:t>66.56</w:t>
      </w:r>
      <w:r>
        <w:rPr>
          <w:rFonts w:hint="eastAsia" w:ascii="仿宋_GB2312" w:eastAsia="仿宋_GB2312"/>
          <w:sz w:val="32"/>
          <w:szCs w:val="32"/>
          <w:lang w:val="en-US" w:eastAsia="zh-CN"/>
        </w:rPr>
        <w:t>万元，其中：办公费</w:t>
      </w:r>
      <w:r>
        <w:rPr>
          <w:rFonts w:hint="eastAsia" w:ascii="仿宋_GB2312" w:eastAsia="仿宋_GB2312"/>
          <w:sz w:val="32"/>
          <w:szCs w:val="32"/>
        </w:rPr>
        <w:t>3.96</w:t>
      </w:r>
      <w:r>
        <w:rPr>
          <w:rFonts w:hint="eastAsia" w:ascii="仿宋_GB2312" w:eastAsia="仿宋_GB2312"/>
          <w:sz w:val="32"/>
          <w:szCs w:val="32"/>
          <w:lang w:val="en-US" w:eastAsia="zh-CN"/>
        </w:rPr>
        <w:t>万元，印刷费2.2万元，水费0.5万元，电费1万元，邮电费2万元，差旅费2万元，会议费1万元，公务接待费0.3万元，劳务费1万元，工会经费2.36万元，福利费5.76万元，公务用车运行维护费16.42万元，其他商品和服务支出3.14万元。</w:t>
      </w:r>
    </w:p>
    <w:p w14:paraId="7CE1CF7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3C27057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（一）社会保障和就业支出</w:t>
      </w:r>
      <w:r>
        <w:rPr>
          <w:rFonts w:hint="eastAsia" w:ascii="仿宋_GB2312" w:eastAsia="仿宋_GB2312"/>
          <w:sz w:val="32"/>
          <w:szCs w:val="32"/>
          <w:lang w:val="en-US" w:eastAsia="zh-CN"/>
        </w:rPr>
        <w:t>89.62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，主要用于机关及下属事业单位养老保险及职业年金缴费。</w:t>
      </w:r>
    </w:p>
    <w:p w14:paraId="51C12FD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（二）卫生健康支出774.28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，主要用于机关及下属事业单位按照规定标准为职工缴纳的基本医疗保险及公务员医疗补助、公共卫生特别服务岗位人员待遇保障等支出。</w:t>
      </w:r>
    </w:p>
    <w:p w14:paraId="6F487ED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（三）住房保障支出50.67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，主要用于机关及下属事业单位按照规定标准为职工缴纳住房公积金等支出。</w:t>
      </w:r>
    </w:p>
    <w:p w14:paraId="7CAB9E5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14:paraId="3EB2B3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4BE77E9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914.57</w:t>
      </w:r>
      <w:r>
        <w:rPr>
          <w:rFonts w:hint="eastAsia" w:ascii="仿宋_GB2312" w:eastAsia="仿宋_GB2312"/>
          <w:sz w:val="32"/>
          <w:szCs w:val="32"/>
          <w:lang w:val="en-US" w:eastAsia="zh-CN"/>
        </w:rPr>
        <w:t>万元较上年度预算925.68万元减少了1.2%，其中基本行政运行经费预算41.64万元，占全部总预算的4.44%，较上年39.69万元增加了4.91%，原因为车辆使用年限增加预计需维修费增加，增加了基本支出；专项业务工作经费预算138.63万元，占总预算的15.16%，较上年预算197.38万元减少了29.76%，主要原因为缩减了项目经费开支，减少相关支出。</w:t>
      </w:r>
    </w:p>
    <w:p w14:paraId="0580FA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484140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hint="eastAsia" w:ascii="仿宋_GB2312" w:eastAsia="仿宋_GB2312"/>
          <w:sz w:val="32"/>
          <w:szCs w:val="32"/>
        </w:rPr>
        <w:t>18.92</w:t>
      </w:r>
      <w:r>
        <w:rPr>
          <w:rFonts w:hint="eastAsia" w:ascii="仿宋_GB2312" w:eastAsia="仿宋_GB2312"/>
          <w:sz w:val="32"/>
          <w:szCs w:val="32"/>
          <w:lang w:val="en-US" w:eastAsia="zh-CN"/>
        </w:rPr>
        <w:t>万元，其中：出国费0万元，与上年持平，主要原因为未安排因公出国；公车购置费0元，与上年持平；公务用车维护费支出</w:t>
      </w:r>
      <w:r>
        <w:rPr>
          <w:rFonts w:hint="eastAsia" w:ascii="仿宋_GB2312" w:eastAsia="仿宋_GB2312"/>
          <w:sz w:val="32"/>
          <w:szCs w:val="32"/>
        </w:rPr>
        <w:t>18.42</w:t>
      </w:r>
      <w:r>
        <w:rPr>
          <w:rFonts w:hint="eastAsia" w:ascii="仿宋_GB2312" w:eastAsia="仿宋_GB2312"/>
          <w:sz w:val="32"/>
          <w:szCs w:val="32"/>
          <w:lang w:val="en-US" w:eastAsia="zh-CN"/>
        </w:rPr>
        <w:t>万元，较上年度预算28.22万元减少9.8万元，原因为厉行节约，尽量减少公务用车使用频率；公务接待费0.5万元，较上年0.2万元增加0.3万元，主要是卫生局机关增加了0.3万元公务接待费预算。</w:t>
      </w:r>
    </w:p>
    <w:p w14:paraId="3A3DDA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138E3B1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2025年无政府性基金预算拨款安排的支出</w:t>
      </w:r>
      <w:r>
        <w:rPr>
          <w:rFonts w:hint="eastAsia" w:ascii="仿宋_GB2312" w:eastAsia="仿宋_GB2312"/>
          <w:sz w:val="32"/>
          <w:szCs w:val="32"/>
        </w:rPr>
        <w:t>。</w:t>
      </w:r>
    </w:p>
    <w:p w14:paraId="7EC3E4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4D248A8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2025年无国有资本经营预算拨款安排的支出。</w:t>
      </w:r>
    </w:p>
    <w:p w14:paraId="61D4B90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2054D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5302AC3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00BF12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028EABB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截止2024年底，实际共有固定资产价值1,338.57</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99.63</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543.31</w:t>
      </w:r>
      <w:r>
        <w:rPr>
          <w:rFonts w:hint="eastAsia" w:ascii="仿宋_GB2312" w:eastAsia="仿宋_GB2312"/>
          <w:sz w:val="32"/>
          <w:szCs w:val="32"/>
          <w:lang w:eastAsia="zh-CN"/>
        </w:rPr>
        <w:t>万元</w:t>
      </w:r>
      <w:r>
        <w:rPr>
          <w:rFonts w:hint="eastAsia" w:ascii="仿宋_GB2312" w:eastAsia="仿宋_GB2312"/>
          <w:sz w:val="32"/>
          <w:szCs w:val="32"/>
          <w:lang w:val="en-US" w:eastAsia="zh-CN"/>
        </w:rPr>
        <w:t>,设备760.55万元，家具和用具34.71万元。</w:t>
      </w:r>
    </w:p>
    <w:p w14:paraId="24BB99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6219A3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bookmarkStart w:id="0" w:name="_GoBack"/>
      <w:r>
        <w:rPr>
          <w:rFonts w:hint="eastAsia" w:ascii="仿宋_GB2312" w:eastAsia="仿宋_GB2312"/>
          <w:sz w:val="32"/>
          <w:szCs w:val="32"/>
          <w:lang w:val="en-US" w:eastAsia="zh-CN"/>
        </w:rPr>
        <w:t>等方面进行评价。</w:t>
      </w:r>
      <w:bookmarkEnd w:id="0"/>
    </w:p>
    <w:p w14:paraId="63EDF96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280" w:leftChars="0" w:right="0" w:rightChars="0" w:firstLine="0" w:firstLineChars="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名词解释</w:t>
      </w:r>
    </w:p>
    <w:p w14:paraId="57C9E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（一）一般公共预算拨款收入：指县级财政当年拨付的资金。</w:t>
      </w:r>
    </w:p>
    <w:p w14:paraId="4B6482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（二）事业收入：指事业单位开展专业业务活动及辅助活动取得的收入。城乡及监测，甘美南区</w:t>
      </w:r>
    </w:p>
    <w:p w14:paraId="66105E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（三）事业单位经营收入：指事业单位在专业业务活动及辅助活动之外开展非独立核算经营活动取得的收入。</w:t>
      </w:r>
    </w:p>
    <w:p w14:paraId="750680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（四）其他收入：指除财政拨款、事业收入、事业单位经营收入等以外的各项收入。</w:t>
      </w:r>
    </w:p>
    <w:p w14:paraId="7B333B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（五）上级补助收入：反映事业单位从主管部门和上级单位取得的非财政补助收入。</w:t>
      </w:r>
    </w:p>
    <w:p w14:paraId="564038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（六）上年结转：指以前年度尚未完成、结转到本年按有关规定继续使用的资金。</w:t>
      </w:r>
    </w:p>
    <w:p w14:paraId="01A374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（七）基本支出：指为保障机构正常运转、完成日常工作任务而发生的人员支出和公用支出。</w:t>
      </w:r>
    </w:p>
    <w:p w14:paraId="441DDF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（八）项目支出：指在基本支出之外为完成特定行政任务和事业发展目标所发生的支出。</w:t>
      </w:r>
    </w:p>
    <w:p w14:paraId="162B0A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九）“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公务接待（含外宾接待）支出。</w:t>
      </w:r>
    </w:p>
    <w:p w14:paraId="198221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十）机关运行经费：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09C7587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65AE4A3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317FE6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0FF415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798F5C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68B48CA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27CD65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2DF3D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349B082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04774B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777AD4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210D8A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2EC755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6247AD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5B4FA6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979A4"/>
    <w:multiLevelType w:val="singleLevel"/>
    <w:tmpl w:val="AE5979A4"/>
    <w:lvl w:ilvl="0" w:tentative="0">
      <w:start w:val="10"/>
      <w:numFmt w:val="chineseCounting"/>
      <w:suff w:val="nothing"/>
      <w:lvlText w:val="%1、"/>
      <w:lvlJc w:val="left"/>
      <w:pPr>
        <w:ind w:left="1280" w:leftChars="0" w:firstLine="0" w:firstLineChars="0"/>
      </w:pPr>
      <w:rPr>
        <w:rFonts w:hint="eastAsia"/>
      </w:rPr>
    </w:lvl>
  </w:abstractNum>
  <w:abstractNum w:abstractNumId="1">
    <w:nsid w:val="E0C9A775"/>
    <w:multiLevelType w:val="singleLevel"/>
    <w:tmpl w:val="E0C9A775"/>
    <w:lvl w:ilvl="0" w:tentative="0">
      <w:start w:val="1"/>
      <w:numFmt w:val="decimal"/>
      <w:suff w:val="nothing"/>
      <w:lvlText w:val="%1、"/>
      <w:lvlJc w:val="left"/>
    </w:lvl>
  </w:abstractNum>
  <w:abstractNum w:abstractNumId="2">
    <w:nsid w:val="5A717D6F"/>
    <w:multiLevelType w:val="singleLevel"/>
    <w:tmpl w:val="5A717D6F"/>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CD579A7"/>
    <w:rsid w:val="0E73709D"/>
    <w:rsid w:val="17D31922"/>
    <w:rsid w:val="18223739"/>
    <w:rsid w:val="18925339"/>
    <w:rsid w:val="19C1402F"/>
    <w:rsid w:val="1A5D72FD"/>
    <w:rsid w:val="1BE15269"/>
    <w:rsid w:val="1DDA6E3B"/>
    <w:rsid w:val="1FAF67D1"/>
    <w:rsid w:val="216E7FC6"/>
    <w:rsid w:val="24DF100F"/>
    <w:rsid w:val="2BE912BD"/>
    <w:rsid w:val="2C994A91"/>
    <w:rsid w:val="34897199"/>
    <w:rsid w:val="348A7AF7"/>
    <w:rsid w:val="34F36D08"/>
    <w:rsid w:val="35A95619"/>
    <w:rsid w:val="372633C5"/>
    <w:rsid w:val="38580510"/>
    <w:rsid w:val="3A927813"/>
    <w:rsid w:val="3D0F0457"/>
    <w:rsid w:val="3F732F1F"/>
    <w:rsid w:val="40291830"/>
    <w:rsid w:val="495A6EFE"/>
    <w:rsid w:val="4A5751EC"/>
    <w:rsid w:val="4BBC79FC"/>
    <w:rsid w:val="52A82A88"/>
    <w:rsid w:val="53164933"/>
    <w:rsid w:val="536075F9"/>
    <w:rsid w:val="563F3703"/>
    <w:rsid w:val="5BF345DF"/>
    <w:rsid w:val="5F78432A"/>
    <w:rsid w:val="605440F6"/>
    <w:rsid w:val="67FD341E"/>
    <w:rsid w:val="68142C42"/>
    <w:rsid w:val="6D9739CD"/>
    <w:rsid w:val="703674CE"/>
    <w:rsid w:val="70423FE7"/>
    <w:rsid w:val="704327AC"/>
    <w:rsid w:val="7510653F"/>
    <w:rsid w:val="78593F22"/>
    <w:rsid w:val="78BE6933"/>
    <w:rsid w:val="7A346298"/>
    <w:rsid w:val="7C06244A"/>
    <w:rsid w:val="7C831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93" w:beforeLines="30"/>
    </w:pPr>
    <w:rPr>
      <w:rFonts w:ascii="仿宋_GB2312" w:eastAsia="仿宋_GB2312"/>
      <w:sz w:val="30"/>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3347</Words>
  <Characters>3572</Characters>
  <Lines>0</Lines>
  <Paragraphs>0</Paragraphs>
  <TotalTime>41</TotalTime>
  <ScaleCrop>false</ScaleCrop>
  <LinksUpToDate>false</LinksUpToDate>
  <CharactersWithSpaces>3575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偏执怪人</cp:lastModifiedBy>
  <dcterms:modified xsi:type="dcterms:W3CDTF">2025-06-03T01:19:19Z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eyJoZGlkIjoiYTc4ZjI4YWY0YjEyOGZlNmJlMzZhNjk0ZWUzYzljOWIiLCJ1c2VySWQiOiIyNTc3MTU3MjgifQ==</vt:lpwstr>
  </property>
  <property fmtid="{D5CDD505-2E9C-101B-9397-08002B2CF9AE}" pid="4" name="ICV">
    <vt:lpwstr>D4D47E1B81BD42EE954DA17BDC7DA80C_13</vt:lpwstr>
  </property>
</Properties>
</file>