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233A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关于红原县疾病预防控制中心</w:t>
      </w:r>
    </w:p>
    <w:p w14:paraId="78849947">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5DA31155">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24C16E00">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0822B4A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61D6C9AC">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bookmarkStart w:id="1" w:name="_GoBack"/>
      <w:bookmarkEnd w:id="1"/>
    </w:p>
    <w:p w14:paraId="03A16446">
      <w:pPr>
        <w:ind w:firstLine="627" w:firstLineChars="196"/>
        <w:rPr>
          <w:rFonts w:hint="eastAsia"/>
          <w:bCs/>
          <w:sz w:val="32"/>
          <w:szCs w:val="32"/>
          <w:lang w:eastAsia="zh-CN"/>
        </w:rPr>
      </w:pPr>
      <w:r>
        <w:rPr>
          <w:rFonts w:hint="eastAsia" w:ascii="仿宋_GB2312" w:eastAsia="仿宋_GB2312" w:cs="仿宋_GB2312"/>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对其从业人员定期进行健康体检；为社会人群提供预防性疫苗接种等工作。</w:t>
      </w:r>
    </w:p>
    <w:p w14:paraId="5083F0B0">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5092A478">
      <w:pPr>
        <w:ind w:firstLine="47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及时调整、优化工作计划和实施方案，强化监督督促，加快推进疾病防控各项目工作，确保资金使用进度；按照简约、集优、高效的原则，进一步优化事项整合与资源配置，切实提高人、财、物、事组合效率，运转，确保各项工作的组织实施高质量；依据有关法律法规和工作流程，抓实政府采购和应急物资储备工作。</w:t>
      </w:r>
    </w:p>
    <w:p w14:paraId="1A2FFC75">
      <w:pPr>
        <w:shd w:val="clear"/>
        <w:ind w:left="105" w:right="105" w:firstLine="640"/>
        <w:jc w:val="left"/>
        <w:rPr>
          <w:rFonts w:hint="eastAsia" w:ascii="仿宋_GB2312" w:hAnsi="仿宋_GB2312" w:eastAsia="仿宋_GB2312" w:cs="仿宋_GB2312"/>
          <w:b w:val="0"/>
          <w:bCs w:val="0"/>
          <w:color w:val="000000"/>
          <w:spacing w:val="0"/>
          <w:w w:val="100"/>
          <w:position w:val="0"/>
          <w:sz w:val="32"/>
          <w:szCs w:val="32"/>
          <w:lang w:val="en-US" w:eastAsia="zh-CN"/>
        </w:rPr>
      </w:pPr>
      <w:r>
        <w:rPr>
          <w:rFonts w:hint="eastAsia" w:ascii="楷体" w:hAnsi="楷体" w:eastAsia="楷体" w:cs="楷体"/>
          <w:sz w:val="32"/>
          <w:szCs w:val="32"/>
          <w:lang w:val="en-US" w:eastAsia="zh-CN"/>
        </w:rPr>
        <w:t>一是加紧推进地方病防治工作。</w:t>
      </w:r>
      <w:r>
        <w:rPr>
          <w:rFonts w:hint="eastAsia" w:ascii="仿宋_GB2312" w:hAnsi="仿宋_GB2312" w:eastAsia="仿宋_GB2312" w:cs="仿宋_GB2312"/>
          <w:sz w:val="32"/>
          <w:szCs w:val="32"/>
          <w:lang w:val="en-US" w:eastAsia="zh-CN"/>
        </w:rPr>
        <w:t>1.</w:t>
      </w:r>
      <w:r>
        <w:rPr>
          <w:rFonts w:hint="eastAsia" w:ascii="仿宋_GB2312" w:eastAsia="仿宋_GB2312" w:cs="仿宋_GB2312"/>
          <w:sz w:val="32"/>
          <w:szCs w:val="32"/>
          <w:lang w:val="en-US" w:eastAsia="zh-CN"/>
        </w:rPr>
        <w:t>做好</w:t>
      </w:r>
      <w:r>
        <w:rPr>
          <w:rFonts w:hint="eastAsia" w:ascii="仿宋_GB2312" w:eastAsia="仿宋_GB2312" w:cs="仿宋_GB2312"/>
          <w:sz w:val="32"/>
          <w:szCs w:val="32"/>
          <w:lang w:eastAsia="zh-CN"/>
        </w:rPr>
        <w:t>藏医院地方病治疗、管理及大骨节病资料诊断作证材料上传的督导；</w:t>
      </w:r>
      <w:r>
        <w:rPr>
          <w:rFonts w:hint="eastAsia" w:ascii="仿宋_GB2312" w:eastAsia="仿宋_GB2312" w:cs="仿宋_GB2312"/>
          <w:sz w:val="32"/>
          <w:szCs w:val="32"/>
          <w:lang w:val="en-US" w:eastAsia="zh-CN"/>
        </w:rPr>
        <w:t>2.</w:t>
      </w:r>
      <w:r>
        <w:rPr>
          <w:rFonts w:hint="eastAsia" w:ascii="仿宋_GB2312" w:hAnsi="仿宋_GB2312" w:eastAsia="仿宋_GB2312" w:cs="仿宋_GB2312"/>
          <w:color w:val="000000"/>
          <w:spacing w:val="0"/>
          <w:w w:val="100"/>
          <w:position w:val="0"/>
          <w:sz w:val="32"/>
          <w:szCs w:val="32"/>
          <w:lang w:val="en-US" w:eastAsia="zh-CN"/>
        </w:rPr>
        <w:t>收集监测县和</w:t>
      </w:r>
      <w:r>
        <w:rPr>
          <w:rFonts w:hint="eastAsia" w:ascii="仿宋_GB2312" w:hAnsi="仿宋_GB2312" w:eastAsia="仿宋_GB2312" w:cs="仿宋_GB2312"/>
          <w:color w:val="000000"/>
          <w:spacing w:val="0"/>
          <w:w w:val="100"/>
          <w:position w:val="0"/>
          <w:sz w:val="32"/>
          <w:szCs w:val="32"/>
        </w:rPr>
        <w:t>监测村基本资料</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持续开展</w:t>
      </w:r>
      <w:bookmarkStart w:id="0" w:name="bookmark119"/>
      <w:bookmarkEnd w:id="0"/>
      <w:r>
        <w:rPr>
          <w:rFonts w:hint="eastAsia" w:ascii="仿宋_GB2312" w:hAnsi="仿宋_GB2312" w:eastAsia="仿宋_GB2312" w:cs="仿宋_GB2312"/>
          <w:color w:val="000000"/>
          <w:spacing w:val="0"/>
          <w:w w:val="100"/>
          <w:position w:val="0"/>
          <w:sz w:val="32"/>
          <w:szCs w:val="32"/>
        </w:rPr>
        <w:t>病区村</w:t>
      </w:r>
      <w:r>
        <w:rPr>
          <w:rFonts w:hint="eastAsia" w:ascii="仿宋_GB2312" w:hAnsi="仿宋_GB2312" w:eastAsia="仿宋_GB2312" w:cs="仿宋_GB2312"/>
          <w:color w:val="000000"/>
          <w:spacing w:val="0"/>
          <w:w w:val="100"/>
          <w:position w:val="0"/>
          <w:sz w:val="32"/>
          <w:szCs w:val="32"/>
          <w:lang w:val="en-US" w:eastAsia="en-US" w:bidi="en-US"/>
        </w:rPr>
        <w:t>7-12</w:t>
      </w:r>
      <w:r>
        <w:rPr>
          <w:rFonts w:hint="eastAsia" w:ascii="仿宋_GB2312" w:hAnsi="仿宋_GB2312" w:eastAsia="仿宋_GB2312" w:cs="仿宋_GB2312"/>
          <w:color w:val="000000"/>
          <w:spacing w:val="0"/>
          <w:w w:val="100"/>
          <w:position w:val="0"/>
          <w:sz w:val="32"/>
          <w:szCs w:val="32"/>
        </w:rPr>
        <w:t>周岁儿童（常住人口）儿童病情监测</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3.深入开展包虫病、</w:t>
      </w:r>
      <w:r>
        <w:rPr>
          <w:rFonts w:hint="eastAsia" w:ascii="仿宋_GB2312" w:hAnsi="仿宋_GB2312" w:eastAsia="仿宋_GB2312" w:cs="仿宋_GB2312"/>
          <w:b w:val="0"/>
          <w:bCs w:val="0"/>
          <w:color w:val="000000"/>
          <w:spacing w:val="0"/>
          <w:w w:val="100"/>
          <w:position w:val="0"/>
          <w:sz w:val="32"/>
          <w:szCs w:val="32"/>
          <w:lang w:val="en-US" w:eastAsia="zh-CN"/>
        </w:rPr>
        <w:t>饮茶型地氟病、</w:t>
      </w:r>
      <w:r>
        <w:rPr>
          <w:rFonts w:hint="eastAsia" w:ascii="仿宋_GB2312" w:hAnsi="仿宋_GB2312" w:eastAsia="仿宋_GB2312" w:cs="仿宋_GB2312"/>
          <w:b w:val="0"/>
          <w:bCs w:val="0"/>
          <w:sz w:val="32"/>
          <w:szCs w:val="32"/>
          <w:lang w:val="en-US" w:eastAsia="zh-CN"/>
        </w:rPr>
        <w:t>碘缺乏病、麻风病</w:t>
      </w:r>
      <w:r>
        <w:rPr>
          <w:rFonts w:hint="eastAsia" w:ascii="仿宋_GB2312" w:hAnsi="仿宋_GB2312" w:eastAsia="仿宋_GB2312" w:cs="仿宋_GB2312"/>
          <w:b w:val="0"/>
          <w:bCs w:val="0"/>
          <w:color w:val="000000"/>
          <w:spacing w:val="0"/>
          <w:w w:val="100"/>
          <w:position w:val="0"/>
          <w:sz w:val="32"/>
          <w:szCs w:val="32"/>
          <w:lang w:val="en-US" w:eastAsia="zh-CN"/>
        </w:rPr>
        <w:t>防治、鼠疫监测及相应健康教育工作。</w:t>
      </w:r>
    </w:p>
    <w:p w14:paraId="4EBA8AF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0" w:firstLineChars="2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spacing w:val="0"/>
          <w:w w:val="100"/>
          <w:position w:val="0"/>
          <w:sz w:val="32"/>
          <w:szCs w:val="32"/>
          <w:lang w:val="en-US" w:eastAsia="zh-CN"/>
        </w:rPr>
        <w:t>二是稳步推进慢性病防治工作。</w:t>
      </w:r>
      <w:r>
        <w:rPr>
          <w:rFonts w:hint="eastAsia" w:ascii="仿宋_GB2312" w:hAnsi="仿宋_GB2312" w:eastAsia="仿宋_GB2312" w:cs="仿宋_GB2312"/>
          <w:sz w:val="32"/>
          <w:szCs w:val="32"/>
          <w:lang w:val="en-US" w:eastAsia="zh-CN"/>
        </w:rPr>
        <w:t>1.做好全人群死因监测。</w:t>
      </w:r>
      <w:r>
        <w:rPr>
          <w:rFonts w:hint="eastAsia" w:ascii="仿宋_GB2312" w:eastAsia="仿宋_GB2312"/>
          <w:color w:val="000000" w:themeColor="text1"/>
          <w:sz w:val="32"/>
          <w:szCs w:val="32"/>
          <w:lang w:eastAsia="zh-CN"/>
          <w14:textFill>
            <w14:solidFill>
              <w14:schemeClr w14:val="tx1"/>
            </w14:solidFill>
          </w14:textFill>
        </w:rPr>
        <w:t>对辖区内的死亡病例报告</w:t>
      </w:r>
      <w:r>
        <w:rPr>
          <w:rFonts w:hint="eastAsia" w:ascii="仿宋_GB2312" w:eastAsia="仿宋_GB2312"/>
          <w:color w:val="000000" w:themeColor="text1"/>
          <w:sz w:val="32"/>
          <w:szCs w:val="32"/>
          <w:lang w:val="en-US" w:eastAsia="zh-CN"/>
          <w14:textFill>
            <w14:solidFill>
              <w14:schemeClr w14:val="tx1"/>
            </w14:solidFill>
          </w14:textFill>
        </w:rPr>
        <w:t>7天内审核达到100%</w:t>
      </w:r>
      <w:r>
        <w:rPr>
          <w:rFonts w:hint="eastAsia" w:ascii="仿宋_GB2312" w:eastAsia="仿宋_GB2312"/>
          <w:color w:val="000000" w:themeColor="text1"/>
          <w:sz w:val="32"/>
          <w:szCs w:val="32"/>
          <w14:textFill>
            <w14:solidFill>
              <w14:schemeClr w14:val="tx1"/>
            </w14:solidFill>
          </w14:textFill>
        </w:rPr>
        <w:t>;发病到死亡的时间填写完整率≥85%；调查记录应填率≥85%。</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s="仿宋_GB2312"/>
          <w:sz w:val="32"/>
          <w:szCs w:val="32"/>
          <w:lang w:eastAsia="zh-CN"/>
        </w:rPr>
        <w:t>督促</w:t>
      </w:r>
      <w:r>
        <w:rPr>
          <w:rFonts w:hint="eastAsia" w:ascii="仿宋_GB2312" w:eastAsia="仿宋_GB2312" w:cs="仿宋_GB2312"/>
          <w:sz w:val="32"/>
          <w:szCs w:val="32"/>
        </w:rPr>
        <w:t>各</w:t>
      </w:r>
      <w:r>
        <w:rPr>
          <w:rFonts w:hint="eastAsia" w:ascii="仿宋_GB2312" w:eastAsia="仿宋_GB2312" w:cs="仿宋_GB2312"/>
          <w:sz w:val="32"/>
          <w:szCs w:val="32"/>
          <w:lang w:eastAsia="zh-CN"/>
        </w:rPr>
        <w:t>医疗机构</w:t>
      </w:r>
      <w:r>
        <w:rPr>
          <w:rFonts w:hint="eastAsia" w:ascii="仿宋_GB2312" w:eastAsia="仿宋_GB2312" w:cs="仿宋_GB2312"/>
          <w:sz w:val="32"/>
          <w:szCs w:val="32"/>
          <w:lang w:val="en-US" w:eastAsia="zh-CN"/>
        </w:rPr>
        <w:t>认真开展肿瘤登记工作，对登记在册的患者全部进行随访，</w:t>
      </w:r>
      <w:r>
        <w:rPr>
          <w:rFonts w:hint="eastAsia" w:ascii="仿宋_GB2312" w:eastAsia="仿宋_GB2312" w:cs="仿宋_GB2312"/>
          <w:sz w:val="32"/>
          <w:szCs w:val="32"/>
        </w:rPr>
        <w:t>所有医疗机构报告覆盖率100%</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3.同步抓好心脑血管发病监测、</w:t>
      </w:r>
      <w:r>
        <w:rPr>
          <w:rFonts w:hint="eastAsia" w:ascii="仿宋_GB2312" w:eastAsia="仿宋_GB2312"/>
          <w:color w:val="000000" w:themeColor="text1"/>
          <w:sz w:val="32"/>
          <w:szCs w:val="32"/>
          <w:lang w:eastAsia="zh-CN"/>
          <w14:textFill>
            <w14:solidFill>
              <w14:schemeClr w14:val="tx1"/>
            </w14:solidFill>
          </w14:textFill>
        </w:rPr>
        <w:t>严重精神障碍患者管理、</w:t>
      </w:r>
      <w:r>
        <w:rPr>
          <w:rFonts w:hint="eastAsia" w:ascii="仿宋_GB2312" w:eastAsia="仿宋_GB2312"/>
          <w:color w:val="000000" w:themeColor="text1"/>
          <w:sz w:val="32"/>
          <w:szCs w:val="32"/>
          <w:lang w:val="en-US" w:eastAsia="zh-CN"/>
          <w14:textFill>
            <w14:solidFill>
              <w14:schemeClr w14:val="tx1"/>
            </w14:solidFill>
          </w14:textFill>
        </w:rPr>
        <w:t>全民健康生活方式。</w:t>
      </w:r>
    </w:p>
    <w:p w14:paraId="6ABEE79D">
      <w:pPr>
        <w:pStyle w:val="5"/>
        <w:ind w:left="0" w:leftChars="0"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三是抓深抓实传染病管理工作。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充分发挥监测预警功能。扎实落实传染病监测卡片审核、日报表分析及研判等常态工作，做到早发现、早报告、早预警。2.定期开展学校传染病防治工作督导，严防结核等重大传染病疫情在校园聚集性暴发。3.及时处置辖区内散发传染病疫情。</w:t>
      </w:r>
    </w:p>
    <w:p w14:paraId="2149F531">
      <w:pPr>
        <w:ind w:firstLine="640" w:firstLineChars="200"/>
        <w:rPr>
          <w:rFonts w:hint="eastAsia" w:ascii="仿宋_GB2312" w:hAnsi="仿宋_GB2312" w:eastAsia="仿宋_GB2312" w:cs="仿宋_GB2312"/>
          <w:sz w:val="32"/>
          <w:szCs w:val="32"/>
          <w:lang w:val="en-US" w:eastAsia="zh-CN"/>
        </w:rPr>
      </w:pPr>
      <w:r>
        <w:rPr>
          <w:rFonts w:hint="eastAsia" w:ascii="楷体" w:hAnsi="楷体" w:eastAsia="楷体" w:cs="楷体"/>
          <w:color w:val="000000" w:themeColor="text1"/>
          <w:sz w:val="32"/>
          <w:szCs w:val="32"/>
          <w:lang w:val="en-US" w:eastAsia="zh-CN"/>
          <w14:textFill>
            <w14:solidFill>
              <w14:schemeClr w14:val="tx1"/>
            </w14:solidFill>
          </w14:textFill>
        </w:rPr>
        <w:t>四是切实做好结核、艾滋等重大传染病防控及卫生监测工作。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认真落实结核病、艾滋病目标人群筛查、病人管理及监测和省州卫生监测项目工作。</w:t>
      </w:r>
    </w:p>
    <w:p w14:paraId="5A321BD5">
      <w:p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五是积极落实免疫规划督导指导工作责任。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督促、指导各医疗机构开展免疫规划常规工作；统筹推进全县9～14岁女孩国产二价宫颈癌疫苗高质量落实。</w:t>
      </w:r>
    </w:p>
    <w:p w14:paraId="435851F2">
      <w:pPr>
        <w:pStyle w:val="5"/>
        <w:rPr>
          <w:rFonts w:hint="default" w:ascii="楷体" w:hAnsi="楷体" w:eastAsia="楷体" w:cs="楷体"/>
          <w:sz w:val="32"/>
          <w:szCs w:val="32"/>
          <w:lang w:val="en-US" w:eastAsia="zh-CN"/>
        </w:rPr>
      </w:pPr>
      <w:r>
        <w:rPr>
          <w:rFonts w:hint="eastAsia"/>
          <w:lang w:val="en-US" w:eastAsia="zh-CN"/>
        </w:rPr>
        <w:t xml:space="preserve"> </w:t>
      </w:r>
      <w:r>
        <w:rPr>
          <w:rFonts w:hint="eastAsia" w:ascii="楷体" w:hAnsi="楷体" w:eastAsia="楷体" w:cs="楷体"/>
          <w:sz w:val="32"/>
          <w:szCs w:val="32"/>
          <w:lang w:val="en-US" w:eastAsia="zh-CN"/>
        </w:rPr>
        <w:t xml:space="preserve"> 六是强化监督督促，加快各项目资金食用进度。</w:t>
      </w:r>
    </w:p>
    <w:p w14:paraId="739BC38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6375AE2E">
      <w:pPr>
        <w:keepNext w:val="0"/>
        <w:keepLines w:val="0"/>
        <w:pageBreakBefore w:val="0"/>
        <w:widowControl/>
        <w:kinsoku/>
        <w:wordWrap/>
        <w:overflowPunct/>
        <w:topLinePunct w:val="0"/>
        <w:bidi w:val="0"/>
        <w:adjustRightInd/>
        <w:snapToGrid/>
        <w:spacing w:line="540" w:lineRule="exact"/>
        <w:ind w:right="0" w:firstLine="640" w:firstLineChars="200"/>
        <w:jc w:val="left"/>
        <w:textAlignment w:val="auto"/>
        <w:outlineLvl w:val="9"/>
        <w:rPr>
          <w:rFonts w:hint="eastAsia" w:ascii="仿宋_GB2312" w:eastAsia="仿宋_GB2312"/>
          <w:sz w:val="32"/>
          <w:szCs w:val="32"/>
          <w:lang w:eastAsia="zh-CN"/>
        </w:rPr>
      </w:pPr>
      <w:r>
        <w:rPr>
          <w:rFonts w:hint="eastAsia" w:ascii="仿宋_GB2312" w:eastAsia="仿宋_GB2312" w:cs="仿宋"/>
          <w:bCs/>
          <w:sz w:val="32"/>
          <w:szCs w:val="32"/>
        </w:rPr>
        <w:t>本单位为</w:t>
      </w:r>
      <w:r>
        <w:rPr>
          <w:rFonts w:hint="eastAsia" w:ascii="仿宋_GB2312" w:eastAsia="仿宋_GB2312" w:cs="仿宋"/>
          <w:bCs/>
          <w:sz w:val="32"/>
          <w:szCs w:val="32"/>
          <w:lang w:eastAsia="zh-CN"/>
        </w:rPr>
        <w:t>红原县卫生健康局</w:t>
      </w:r>
      <w:r>
        <w:rPr>
          <w:rFonts w:hint="eastAsia" w:ascii="仿宋_GB2312" w:eastAsia="仿宋_GB2312" w:cs="仿宋"/>
          <w:bCs/>
          <w:sz w:val="32"/>
          <w:szCs w:val="32"/>
        </w:rPr>
        <w:t>所属</w:t>
      </w:r>
      <w:r>
        <w:rPr>
          <w:rFonts w:hint="eastAsia" w:ascii="仿宋_GB2312" w:eastAsia="仿宋_GB2312" w:cs="仿宋"/>
          <w:bCs/>
          <w:sz w:val="32"/>
          <w:szCs w:val="32"/>
          <w:lang w:eastAsia="zh-CN"/>
        </w:rPr>
        <w:t>二</w:t>
      </w:r>
      <w:r>
        <w:rPr>
          <w:rFonts w:hint="eastAsia" w:ascii="仿宋_GB2312" w:eastAsia="仿宋_GB2312" w:cs="仿宋"/>
          <w:bCs/>
          <w:sz w:val="32"/>
          <w:szCs w:val="32"/>
        </w:rPr>
        <w:t>级</w:t>
      </w:r>
      <w:r>
        <w:rPr>
          <w:rFonts w:hint="eastAsia" w:ascii="仿宋_GB2312" w:eastAsia="仿宋_GB2312" w:cs="仿宋"/>
          <w:bCs/>
          <w:spacing w:val="14"/>
          <w:sz w:val="32"/>
          <w:szCs w:val="32"/>
        </w:rPr>
        <w:t>预算单位，单位性质</w:t>
      </w:r>
      <w:r>
        <w:rPr>
          <w:rFonts w:hint="eastAsia" w:ascii="仿宋_GB2312" w:eastAsia="仿宋_GB2312" w:cs="仿宋"/>
          <w:bCs/>
          <w:sz w:val="32"/>
          <w:szCs w:val="32"/>
        </w:rPr>
        <w:t>为</w:t>
      </w:r>
      <w:r>
        <w:rPr>
          <w:rFonts w:hint="eastAsia" w:ascii="仿宋_GB2312" w:eastAsia="仿宋_GB2312" w:cs="仿宋"/>
          <w:bCs/>
          <w:sz w:val="32"/>
          <w:szCs w:val="32"/>
          <w:lang w:eastAsia="zh-CN"/>
        </w:rPr>
        <w:t>全额拨款公益一类事业单位；</w:t>
      </w:r>
      <w:r>
        <w:rPr>
          <w:rFonts w:hint="eastAsia" w:ascii="仿宋_GB2312" w:eastAsia="仿宋_GB2312" w:cs="仿宋"/>
          <w:bCs/>
          <w:sz w:val="32"/>
          <w:szCs w:val="32"/>
        </w:rPr>
        <w:t>单位</w:t>
      </w:r>
      <w:r>
        <w:rPr>
          <w:rFonts w:hint="eastAsia" w:ascii="仿宋_GB2312" w:eastAsia="仿宋_GB2312"/>
          <w:sz w:val="32"/>
          <w:szCs w:val="32"/>
          <w:lang w:eastAsia="zh-CN"/>
        </w:rPr>
        <w:t>下设科室</w:t>
      </w:r>
      <w:r>
        <w:rPr>
          <w:rFonts w:hint="eastAsia" w:ascii="仿宋_GB2312" w:eastAsia="仿宋_GB2312"/>
          <w:sz w:val="32"/>
          <w:szCs w:val="32"/>
          <w:lang w:val="en-US" w:eastAsia="zh-CN"/>
        </w:rPr>
        <w:t>12</w:t>
      </w:r>
      <w:r>
        <w:rPr>
          <w:rFonts w:hint="eastAsia" w:ascii="仿宋_GB2312" w:eastAsia="仿宋_GB2312"/>
          <w:sz w:val="32"/>
          <w:szCs w:val="32"/>
        </w:rPr>
        <w:t>个，</w:t>
      </w:r>
      <w:r>
        <w:rPr>
          <w:rFonts w:hint="eastAsia" w:ascii="仿宋_GB2312" w:eastAsia="仿宋_GB2312"/>
          <w:sz w:val="32"/>
          <w:szCs w:val="32"/>
          <w:lang w:eastAsia="zh-CN"/>
        </w:rPr>
        <w:t>分别是：主任办公室</w:t>
      </w:r>
      <w:r>
        <w:rPr>
          <w:rFonts w:hint="eastAsia" w:ascii="仿宋_GB2312" w:eastAsia="仿宋_GB2312"/>
          <w:sz w:val="32"/>
          <w:szCs w:val="32"/>
          <w:lang w:val="en-US" w:eastAsia="zh-CN"/>
        </w:rPr>
        <w:t>，副主任办公室，党建办，行政办公室，财务室，地防科，结艾科，传管科，监测科及包虫病防治办公室，免规科，检验科，公卫科</w:t>
      </w:r>
      <w:r>
        <w:rPr>
          <w:rFonts w:hint="eastAsia" w:ascii="仿宋_GB2312" w:eastAsia="仿宋_GB2312"/>
          <w:sz w:val="32"/>
          <w:szCs w:val="32"/>
          <w:lang w:eastAsia="zh-CN"/>
        </w:rPr>
        <w:t>。</w:t>
      </w:r>
    </w:p>
    <w:p w14:paraId="1BC4E198">
      <w:pPr>
        <w:keepNext w:val="0"/>
        <w:keepLines w:val="0"/>
        <w:pageBreakBefore w:val="0"/>
        <w:widowControl/>
        <w:kinsoku/>
        <w:wordWrap/>
        <w:overflowPunct/>
        <w:topLinePunct w:val="0"/>
        <w:adjustRightInd/>
        <w:snapToGrid/>
        <w:spacing w:line="540" w:lineRule="exact"/>
        <w:ind w:firstLine="640" w:firstLineChars="200"/>
        <w:jc w:val="left"/>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rPr>
        <w:t>总编制</w:t>
      </w:r>
      <w:r>
        <w:rPr>
          <w:rFonts w:hint="eastAsia" w:ascii="仿宋_GB2312" w:eastAsia="仿宋_GB2312" w:cs="宋体"/>
          <w:color w:val="000000"/>
          <w:kern w:val="0"/>
          <w:sz w:val="32"/>
          <w:szCs w:val="32"/>
          <w:lang w:val="en-US" w:eastAsia="zh-CN"/>
        </w:rPr>
        <w:t>39</w:t>
      </w:r>
      <w:r>
        <w:rPr>
          <w:rFonts w:hint="eastAsia" w:ascii="仿宋_GB2312" w:eastAsia="仿宋_GB2312" w:cs="宋体"/>
          <w:color w:val="000000"/>
          <w:kern w:val="0"/>
          <w:sz w:val="32"/>
          <w:szCs w:val="32"/>
        </w:rPr>
        <w:t>名,其中:事业编制</w:t>
      </w:r>
      <w:r>
        <w:rPr>
          <w:rFonts w:hint="eastAsia" w:ascii="仿宋_GB2312" w:eastAsia="仿宋_GB2312" w:cs="宋体"/>
          <w:color w:val="000000"/>
          <w:kern w:val="0"/>
          <w:sz w:val="32"/>
          <w:szCs w:val="32"/>
          <w:lang w:val="en-US" w:eastAsia="zh-CN"/>
        </w:rPr>
        <w:t>39</w:t>
      </w:r>
      <w:r>
        <w:rPr>
          <w:rFonts w:hint="eastAsia" w:ascii="仿宋_GB2312" w:eastAsia="仿宋_GB2312" w:cs="宋体"/>
          <w:color w:val="000000"/>
          <w:kern w:val="0"/>
          <w:sz w:val="32"/>
          <w:szCs w:val="32"/>
        </w:rPr>
        <w:t>名。在职人员总数</w:t>
      </w:r>
      <w:r>
        <w:rPr>
          <w:rFonts w:hint="eastAsia" w:ascii="仿宋_GB2312" w:eastAsia="仿宋_GB2312" w:cs="宋体"/>
          <w:color w:val="000000"/>
          <w:kern w:val="0"/>
          <w:sz w:val="32"/>
          <w:szCs w:val="32"/>
          <w:lang w:val="en-US" w:eastAsia="zh-CN"/>
        </w:rPr>
        <w:t>35</w:t>
      </w:r>
      <w:r>
        <w:rPr>
          <w:rFonts w:hint="eastAsia" w:ascii="仿宋_GB2312" w:eastAsia="仿宋_GB2312" w:cs="宋体"/>
          <w:color w:val="000000"/>
          <w:kern w:val="0"/>
          <w:sz w:val="32"/>
          <w:szCs w:val="32"/>
        </w:rPr>
        <w:t>名，其中：事业</w:t>
      </w:r>
      <w:r>
        <w:rPr>
          <w:rFonts w:hint="eastAsia" w:ascii="仿宋_GB2312" w:eastAsia="仿宋_GB2312" w:cs="宋体"/>
          <w:color w:val="000000"/>
          <w:kern w:val="0"/>
          <w:sz w:val="32"/>
          <w:szCs w:val="32"/>
          <w:lang w:eastAsia="zh-CN"/>
        </w:rPr>
        <w:t>专技</w:t>
      </w:r>
      <w:r>
        <w:rPr>
          <w:rFonts w:hint="eastAsia" w:ascii="仿宋_GB2312" w:eastAsia="仿宋_GB2312" w:cs="宋体"/>
          <w:color w:val="000000"/>
          <w:kern w:val="0"/>
          <w:sz w:val="32"/>
          <w:szCs w:val="32"/>
        </w:rPr>
        <w:t>人员</w:t>
      </w:r>
      <w:r>
        <w:rPr>
          <w:rFonts w:hint="eastAsia" w:ascii="仿宋_GB2312" w:eastAsia="仿宋_GB2312" w:cs="宋体"/>
          <w:color w:val="000000"/>
          <w:kern w:val="0"/>
          <w:sz w:val="32"/>
          <w:szCs w:val="32"/>
          <w:lang w:val="en-US" w:eastAsia="zh-CN"/>
        </w:rPr>
        <w:t>32</w:t>
      </w:r>
      <w:r>
        <w:rPr>
          <w:rFonts w:hint="eastAsia" w:ascii="仿宋_GB2312" w:eastAsia="仿宋_GB2312" w:cs="宋体"/>
          <w:color w:val="000000"/>
          <w:kern w:val="0"/>
          <w:sz w:val="32"/>
          <w:szCs w:val="32"/>
        </w:rPr>
        <w:t>名，事业</w:t>
      </w:r>
      <w:r>
        <w:rPr>
          <w:rFonts w:hint="eastAsia" w:ascii="仿宋_GB2312" w:eastAsia="仿宋_GB2312" w:cs="宋体"/>
          <w:color w:val="000000"/>
          <w:kern w:val="0"/>
          <w:sz w:val="32"/>
          <w:szCs w:val="32"/>
          <w:lang w:eastAsia="zh-CN"/>
        </w:rPr>
        <w:t>管理</w:t>
      </w:r>
      <w:r>
        <w:rPr>
          <w:rFonts w:hint="eastAsia" w:ascii="仿宋_GB2312" w:eastAsia="仿宋_GB2312" w:cs="宋体"/>
          <w:color w:val="000000"/>
          <w:kern w:val="0"/>
          <w:sz w:val="32"/>
          <w:szCs w:val="32"/>
        </w:rPr>
        <w:t>人员</w:t>
      </w:r>
      <w:r>
        <w:rPr>
          <w:rFonts w:hint="eastAsia" w:ascii="仿宋_GB2312" w:eastAsia="仿宋_GB2312" w:cs="宋体"/>
          <w:color w:val="000000"/>
          <w:kern w:val="0"/>
          <w:sz w:val="32"/>
          <w:szCs w:val="32"/>
          <w:lang w:val="en-US" w:eastAsia="zh-CN"/>
        </w:rPr>
        <w:t>1</w:t>
      </w:r>
      <w:r>
        <w:rPr>
          <w:rFonts w:hint="eastAsia" w:ascii="仿宋_GB2312" w:eastAsia="仿宋_GB2312" w:cs="宋体"/>
          <w:color w:val="000000"/>
          <w:kern w:val="0"/>
          <w:sz w:val="32"/>
          <w:szCs w:val="32"/>
        </w:rPr>
        <w:t>名；</w:t>
      </w:r>
      <w:r>
        <w:rPr>
          <w:rFonts w:hint="eastAsia" w:ascii="仿宋_GB2312" w:eastAsia="仿宋_GB2312" w:cs="宋体"/>
          <w:color w:val="000000"/>
          <w:kern w:val="0"/>
          <w:sz w:val="32"/>
          <w:szCs w:val="32"/>
          <w:lang w:eastAsia="zh-CN"/>
        </w:rPr>
        <w:t>工勤</w:t>
      </w:r>
      <w:r>
        <w:rPr>
          <w:rFonts w:hint="eastAsia" w:ascii="仿宋_GB2312" w:eastAsia="仿宋_GB2312" w:cs="宋体"/>
          <w:color w:val="000000"/>
          <w:kern w:val="0"/>
          <w:sz w:val="32"/>
          <w:szCs w:val="32"/>
        </w:rPr>
        <w:t>人员</w:t>
      </w:r>
      <w:r>
        <w:rPr>
          <w:rFonts w:hint="eastAsia" w:ascii="仿宋_GB2312" w:eastAsia="仿宋_GB2312" w:cs="宋体"/>
          <w:color w:val="000000"/>
          <w:kern w:val="0"/>
          <w:sz w:val="32"/>
          <w:szCs w:val="32"/>
          <w:lang w:val="en-US" w:eastAsia="zh-CN"/>
        </w:rPr>
        <w:t>2</w:t>
      </w:r>
      <w:r>
        <w:rPr>
          <w:rFonts w:hint="eastAsia" w:ascii="仿宋_GB2312" w:eastAsia="仿宋_GB2312" w:cs="宋体"/>
          <w:color w:val="000000"/>
          <w:kern w:val="0"/>
          <w:sz w:val="32"/>
          <w:szCs w:val="32"/>
        </w:rPr>
        <w:t>人，退休人员</w:t>
      </w:r>
      <w:r>
        <w:rPr>
          <w:rFonts w:hint="eastAsia" w:ascii="仿宋_GB2312" w:eastAsia="仿宋_GB2312" w:cs="宋体"/>
          <w:color w:val="000000"/>
          <w:kern w:val="0"/>
          <w:sz w:val="32"/>
          <w:szCs w:val="32"/>
          <w:lang w:val="en-US" w:eastAsia="zh-CN"/>
        </w:rPr>
        <w:t>15</w:t>
      </w:r>
      <w:r>
        <w:rPr>
          <w:rFonts w:hint="eastAsia" w:ascii="仿宋_GB2312" w:eastAsia="仿宋_GB2312" w:cs="宋体"/>
          <w:color w:val="000000"/>
          <w:kern w:val="0"/>
          <w:sz w:val="32"/>
          <w:szCs w:val="32"/>
        </w:rPr>
        <w:t>人。</w:t>
      </w:r>
    </w:p>
    <w:p w14:paraId="506EDD3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2C86246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红原县疾病预防控制中心</w:t>
      </w:r>
      <w:r>
        <w:rPr>
          <w:rFonts w:hint="eastAsia" w:ascii="仿宋_GB2312" w:eastAsia="仿宋_GB2312"/>
          <w:sz w:val="32"/>
          <w:szCs w:val="32"/>
        </w:rPr>
        <w:t>收入预算总额为</w:t>
      </w:r>
      <w:r>
        <w:rPr>
          <w:rFonts w:hint="eastAsia" w:ascii="仿宋_GB2312" w:eastAsia="仿宋_GB2312"/>
          <w:sz w:val="32"/>
          <w:szCs w:val="32"/>
          <w:lang w:val="en-US" w:eastAsia="zh-CN"/>
        </w:rPr>
        <w:t>894.1</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894.1</w:t>
      </w:r>
      <w:r>
        <w:rPr>
          <w:rFonts w:hint="eastAsia" w:ascii="仿宋_GB2312" w:eastAsia="仿宋_GB2312"/>
          <w:sz w:val="32"/>
          <w:szCs w:val="32"/>
        </w:rPr>
        <w:t>万元。相应安排支出预算</w:t>
      </w:r>
      <w:r>
        <w:rPr>
          <w:rFonts w:hint="eastAsia" w:ascii="仿宋_GB2312" w:eastAsia="仿宋_GB2312"/>
          <w:sz w:val="32"/>
          <w:szCs w:val="32"/>
          <w:lang w:val="en-US" w:eastAsia="zh-CN"/>
        </w:rPr>
        <w:t>894.1</w:t>
      </w:r>
      <w:r>
        <w:rPr>
          <w:rFonts w:hint="eastAsia" w:ascii="仿宋_GB2312" w:eastAsia="仿宋_GB2312"/>
          <w:sz w:val="32"/>
          <w:szCs w:val="32"/>
        </w:rPr>
        <w:t>万元，其中：社会保障和就业</w:t>
      </w:r>
      <w:r>
        <w:rPr>
          <w:rFonts w:hint="eastAsia" w:ascii="仿宋_GB2312" w:eastAsia="仿宋_GB2312"/>
          <w:sz w:val="32"/>
          <w:szCs w:val="32"/>
          <w:lang w:val="en-US" w:eastAsia="zh-CN"/>
        </w:rPr>
        <w:t>114.6</w:t>
      </w:r>
      <w:r>
        <w:rPr>
          <w:rFonts w:hint="eastAsia" w:ascii="仿宋_GB2312" w:eastAsia="仿宋_GB2312"/>
          <w:sz w:val="32"/>
          <w:szCs w:val="32"/>
        </w:rPr>
        <w:t>万元，医疗卫生</w:t>
      </w:r>
      <w:r>
        <w:rPr>
          <w:rFonts w:hint="eastAsia" w:ascii="仿宋_GB2312" w:eastAsia="仿宋_GB2312"/>
          <w:sz w:val="32"/>
          <w:szCs w:val="32"/>
          <w:lang w:val="en-US" w:eastAsia="zh-CN"/>
        </w:rPr>
        <w:t>716.54</w:t>
      </w:r>
      <w:r>
        <w:rPr>
          <w:rFonts w:hint="eastAsia" w:ascii="仿宋_GB2312" w:eastAsia="仿宋_GB2312"/>
          <w:sz w:val="32"/>
          <w:szCs w:val="32"/>
        </w:rPr>
        <w:t>万元，住房保障支出</w:t>
      </w:r>
      <w:r>
        <w:rPr>
          <w:rFonts w:hint="eastAsia" w:ascii="仿宋_GB2312" w:eastAsia="仿宋_GB2312"/>
          <w:sz w:val="32"/>
          <w:szCs w:val="32"/>
          <w:lang w:val="en-US" w:eastAsia="zh-CN"/>
        </w:rPr>
        <w:t>62.96</w:t>
      </w:r>
      <w:r>
        <w:rPr>
          <w:rFonts w:hint="eastAsia" w:ascii="仿宋_GB2312" w:eastAsia="仿宋_GB2312"/>
          <w:sz w:val="32"/>
          <w:szCs w:val="32"/>
        </w:rPr>
        <w:t>万元。</w:t>
      </w:r>
    </w:p>
    <w:p w14:paraId="0577C135">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6E774BAB">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红原县疾病预防控制中心</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卫生</w:t>
      </w:r>
      <w:r>
        <w:rPr>
          <w:rFonts w:hint="eastAsia" w:ascii="仿宋_GB2312" w:eastAsia="仿宋_GB2312"/>
          <w:sz w:val="32"/>
          <w:szCs w:val="32"/>
        </w:rPr>
        <w:t xml:space="preserve">事业发展相关工作。  </w:t>
      </w:r>
    </w:p>
    <w:p w14:paraId="33FF084C">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841.44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775.29万元，机关运行经费66.15万元，其中：办公费18.2万元，差旅费6万元，工会经费5.73万元，公务用车运行维护费3.2万元，印刷费1.2万元，培训费0万元，手续费0.1万元，电费1.5万元，取暖费2.4万元，维修维护费1.5万元，租赁费0万元，专用材料费0万元，公务接待费0.68万元，劳务费3.5万元，邮电费0.5万元，信息网络购建费0万元，其他商品和服务支出7.64万元，福利费14.01万元，对家庭和个人的补助18.51万元。</w:t>
      </w:r>
    </w:p>
    <w:p w14:paraId="7FC8A4B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036CA8F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25AE3D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114.6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32BDC96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716.54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70DB332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62.96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25B3B7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6F05CFB2">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894.1万元较上年度预算912.35万元减少了18.25万元，其中基本经费预算841.44万元，占全部总预算的94.11%，较上年减少,是因为系统内人员调动，导致工资减少,各类保险减少；专项业务工作经费预算29.82</w:t>
      </w:r>
      <w:r>
        <w:rPr>
          <w:rFonts w:hint="eastAsia" w:ascii="仿宋_GB2312" w:eastAsia="仿宋_GB2312"/>
          <w:i w:val="0"/>
          <w:iCs w:val="0"/>
          <w:sz w:val="32"/>
          <w:szCs w:val="32"/>
          <w:lang w:val="en-US" w:eastAsia="zh-CN"/>
        </w:rPr>
        <w:t>万元，占总预算的3.33%，较上年持平</w:t>
      </w:r>
      <w:r>
        <w:rPr>
          <w:rFonts w:hint="eastAsia" w:ascii="仿宋_GB2312" w:eastAsia="仿宋_GB2312"/>
          <w:sz w:val="32"/>
          <w:szCs w:val="32"/>
          <w:lang w:val="en-US" w:eastAsia="zh-CN"/>
        </w:rPr>
        <w:t xml:space="preserve">。 </w:t>
      </w:r>
      <w:r>
        <w:rPr>
          <w:rFonts w:hint="eastAsia" w:ascii="黑体" w:eastAsia="黑体" w:cs="黑体"/>
          <w:color w:val="333333"/>
          <w:kern w:val="0"/>
          <w:sz w:val="32"/>
          <w:szCs w:val="32"/>
          <w:shd w:val="clear" w:color="auto" w:fill="FFFFFF"/>
          <w:lang w:val="en-US" w:eastAsia="zh-CN"/>
        </w:rPr>
        <w:t xml:space="preserve"> </w:t>
      </w:r>
      <w:r>
        <w:rPr>
          <w:rFonts w:hint="eastAsia" w:ascii="仿宋_GB2312" w:eastAsia="仿宋_GB2312"/>
          <w:sz w:val="32"/>
          <w:szCs w:val="32"/>
          <w:lang w:val="en-US" w:eastAsia="zh-CN"/>
        </w:rPr>
        <w:t xml:space="preserve"> </w:t>
      </w:r>
    </w:p>
    <w:p w14:paraId="14A337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0B9BA50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3.88万元，其中：出国费0万元，与上年持平，主要原因为未安排因公出国；公车购置费0元，与上年减少/持平/增加；公务用车维护费支出3.2万元，较上年度预算持平，主要原因严格执行“八项规定、六项禁令”；二是将有关股室的工作有机地结合起来，减少不必要的资源浪费。/较上年度预算增加0万元，主要是安排的**专项工作用车较多；公务接待费0.68万元，较上年度预算减少0.02万元，主要原因为公用经费减少，本年度我们将严格执行“八项规定、六项禁令”，结合本年度工作需要，减少不必要的开支。</w:t>
      </w:r>
    </w:p>
    <w:p w14:paraId="30C25E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51CC6E0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6B891A0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4370DE2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105F24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48B4BC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6CDE82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30DE0B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056B4550">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截止2024年底，实际共有固定资产价值2093.04</w:t>
      </w:r>
      <w:r>
        <w:rPr>
          <w:rFonts w:hint="eastAsia" w:ascii="仿宋_GB2312" w:eastAsia="仿宋_GB2312"/>
          <w:sz w:val="32"/>
          <w:szCs w:val="32"/>
          <w:lang w:eastAsia="zh-CN"/>
        </w:rPr>
        <w:t>万元，</w:t>
      </w:r>
      <w:r>
        <w:rPr>
          <w:rFonts w:hint="eastAsia" w:ascii="仿宋_GB2312" w:eastAsia="仿宋_GB2312"/>
          <w:sz w:val="32"/>
          <w:szCs w:val="32"/>
          <w:lang w:val="en-US" w:eastAsia="zh-CN"/>
        </w:rPr>
        <w:t>2024年新增固定资产457.28万元；</w:t>
      </w:r>
      <w:r>
        <w:rPr>
          <w:rFonts w:hint="eastAsia" w:ascii="仿宋_GB2312" w:eastAsia="仿宋_GB2312"/>
          <w:sz w:val="32"/>
          <w:szCs w:val="32"/>
          <w:lang w:eastAsia="zh-CN"/>
        </w:rPr>
        <w:t>累计折旧金额为</w:t>
      </w:r>
      <w:r>
        <w:rPr>
          <w:rFonts w:hint="eastAsia" w:ascii="仿宋_GB2312" w:eastAsia="仿宋_GB2312"/>
          <w:sz w:val="32"/>
          <w:szCs w:val="32"/>
          <w:lang w:val="en-US" w:eastAsia="zh-CN"/>
        </w:rPr>
        <w:t>1016.58万元</w:t>
      </w:r>
      <w:r>
        <w:rPr>
          <w:rFonts w:hint="eastAsia" w:ascii="仿宋_GB2312" w:eastAsia="仿宋_GB2312"/>
          <w:sz w:val="32"/>
          <w:szCs w:val="32"/>
          <w:lang w:eastAsia="zh-CN"/>
        </w:rPr>
        <w:t>：其中：公务用车原值</w:t>
      </w:r>
      <w:r>
        <w:rPr>
          <w:rFonts w:hint="eastAsia" w:ascii="仿宋_GB2312" w:eastAsia="仿宋_GB2312"/>
          <w:sz w:val="32"/>
          <w:szCs w:val="32"/>
          <w:lang w:val="en-US" w:eastAsia="zh-CN"/>
        </w:rPr>
        <w:t>130.09万元,净值为34.69</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净值为407.22</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净值为667.34万元。</w:t>
      </w:r>
    </w:p>
    <w:p w14:paraId="233BD2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1E0A85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0583C92F">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53C11CA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1C1BB7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37E9A2E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2145B63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49572E4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6294B43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24591D7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569034B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5328F6B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11D56BF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64EDB41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336BD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79FE3C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672D96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3D5E77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4A0A50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15E0C7E"/>
    <w:rsid w:val="14564456"/>
    <w:rsid w:val="19C1402F"/>
    <w:rsid w:val="5F78432A"/>
    <w:rsid w:val="75625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spacing w:after="120"/>
      <w:ind w:left="200" w:leftChars="200"/>
    </w:pPr>
  </w:style>
  <w:style w:type="paragraph" w:styleId="4">
    <w:name w:val="Body Text"/>
    <w:basedOn w:val="1"/>
    <w:uiPriority w:val="0"/>
    <w:pPr>
      <w:spacing w:before="93" w:beforeLines="30"/>
    </w:pPr>
    <w:rPr>
      <w:rFonts w:ascii="仿宋_GB2312" w:eastAsia="仿宋_GB2312"/>
      <w:sz w:val="30"/>
    </w:rPr>
  </w:style>
  <w:style w:type="paragraph" w:styleId="5">
    <w:name w:val="table of figures"/>
    <w:basedOn w:val="1"/>
    <w:next w:val="1"/>
    <w:semiHidden/>
    <w:qFormat/>
    <w:uiPriority w:val="99"/>
    <w:pPr>
      <w:ind w:left="200" w:leftChars="200" w:hanging="200" w:hanging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1745</Words>
  <Characters>1855</Characters>
  <Lines>0</Lines>
  <Paragraphs>0</Paragraphs>
  <TotalTime>15</TotalTime>
  <ScaleCrop>false</ScaleCrop>
  <LinksUpToDate>false</LinksUpToDate>
  <CharactersWithSpaces>1884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平淡的幸福</cp:lastModifiedBy>
  <dcterms:modified xsi:type="dcterms:W3CDTF">2025-06-03T08:43:47Z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A240935A38AE4373A04538ACBD7AF473_13</vt:lpwstr>
  </property>
  <property fmtid="{D5CDD505-2E9C-101B-9397-08002B2CF9AE}" pid="4" name="KSOTemplateDocerSaveRecord">
    <vt:lpwstr>eyJoZGlkIjoiZmE5NTJhM2Q2M2EwZGRmZTE5ZmMxNjNmMzc3MTQ2ZDEiLCJ1c2VySWQiOiIxMzAzMjUyNzYyIn0=</vt:lpwstr>
  </property>
</Properties>
</file>