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8"/>
        <w:rPr>
          <w:rFonts w:ascii="黑体" w:hAnsi="黑体" w:eastAsia="黑体"/>
          <w:color w:val="000000"/>
          <w:sz w:val="72"/>
          <w:szCs w:val="72"/>
        </w:rPr>
      </w:pPr>
      <w:bookmarkStart w:id="0" w:name="_Toc16625"/>
      <w:bookmarkStart w:id="1" w:name="_Toc16660"/>
      <w:bookmarkStart w:id="2" w:name="_Toc27719"/>
      <w:bookmarkStart w:id="3" w:name="_Toc25690"/>
      <w:bookmarkStart w:id="4" w:name="_Toc13173"/>
      <w:bookmarkStart w:id="5" w:name="_Toc19924"/>
      <w:bookmarkStart w:id="6" w:name="_Toc2396"/>
      <w:bookmarkStart w:id="7" w:name="_Toc13097"/>
      <w:bookmarkStart w:id="8" w:name="_Toc15006"/>
      <w:bookmarkStart w:id="9" w:name="_Toc9065"/>
      <w:bookmarkStart w:id="10" w:name="_Toc29542"/>
      <w:bookmarkStart w:id="11" w:name="_Toc14033"/>
      <w:bookmarkStart w:id="12" w:name="_Toc23832"/>
    </w:p>
    <w:p>
      <w:pPr>
        <w:adjustRightInd w:val="0"/>
        <w:snapToGrid w:val="0"/>
        <w:spacing w:line="360" w:lineRule="auto"/>
        <w:jc w:val="center"/>
        <w:outlineLvl w:val="8"/>
        <w:rPr>
          <w:rFonts w:ascii="方正小标宋简体" w:hAnsi="宋体" w:eastAsia="方正小标宋简体"/>
          <w:color w:val="000000"/>
          <w:sz w:val="72"/>
          <w:szCs w:val="72"/>
        </w:rPr>
      </w:pPr>
      <w:r>
        <w:rPr>
          <w:rFonts w:ascii="黑体" w:hAnsi="黑体" w:eastAsia="黑体"/>
          <w:color w:val="000000"/>
          <w:sz w:val="72"/>
          <w:szCs w:val="72"/>
        </w:rPr>
        <w:t>20</w:t>
      </w:r>
      <w:r>
        <w:rPr>
          <w:rFonts w:hint="eastAsia" w:ascii="黑体" w:hAnsi="黑体" w:eastAsia="黑体"/>
          <w:color w:val="000000"/>
          <w:sz w:val="72"/>
          <w:szCs w:val="72"/>
          <w:lang w:val="en-US" w:eastAsia="zh-CN"/>
        </w:rPr>
        <w:t>25</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End w:id="6"/>
      <w:bookmarkEnd w:id="7"/>
      <w:bookmarkEnd w:id="8"/>
      <w:bookmarkEnd w:id="9"/>
      <w:bookmarkEnd w:id="10"/>
      <w:bookmarkEnd w:id="11"/>
      <w:bookmarkEnd w:id="12"/>
    </w:p>
    <w:p>
      <w:pPr>
        <w:adjustRightInd w:val="0"/>
        <w:snapToGrid w:val="0"/>
        <w:spacing w:line="360" w:lineRule="auto"/>
        <w:jc w:val="center"/>
        <w:outlineLvl w:val="0"/>
        <w:rPr>
          <w:rFonts w:hint="eastAsia" w:ascii="黑体" w:hAnsi="黑体" w:eastAsia="黑体"/>
          <w:color w:val="000000"/>
          <w:sz w:val="72"/>
          <w:szCs w:val="72"/>
          <w:lang w:val="en-US" w:eastAsia="zh-CN"/>
        </w:rPr>
      </w:pPr>
      <w:bookmarkStart w:id="13" w:name="_Toc13333"/>
      <w:bookmarkStart w:id="14" w:name="_Toc4520"/>
      <w:bookmarkStart w:id="15" w:name="_Toc28762"/>
      <w:bookmarkStart w:id="16" w:name="_Toc20861"/>
      <w:bookmarkStart w:id="17" w:name="_Toc18829"/>
      <w:bookmarkStart w:id="18" w:name="_Toc28333"/>
      <w:bookmarkStart w:id="19" w:name="_Toc28659"/>
      <w:bookmarkStart w:id="20" w:name="_Toc23284"/>
      <w:bookmarkStart w:id="21" w:name="_Toc31528"/>
      <w:bookmarkStart w:id="22" w:name="_Toc7896"/>
      <w:bookmarkStart w:id="23" w:name="_Toc22415"/>
      <w:bookmarkStart w:id="24" w:name="_Toc21644"/>
      <w:bookmarkStart w:id="25" w:name="_Toc15983"/>
      <w:bookmarkStart w:id="26" w:name="_Toc26014"/>
      <w:r>
        <w:rPr>
          <w:rFonts w:hint="eastAsia" w:ascii="黑体" w:hAnsi="黑体" w:eastAsia="黑体"/>
          <w:color w:val="000000"/>
          <w:sz w:val="72"/>
          <w:szCs w:val="72"/>
          <w:lang w:eastAsia="zh-CN"/>
        </w:rPr>
        <w:t>红原县</w:t>
      </w:r>
      <w:bookmarkEnd w:id="13"/>
      <w:bookmarkStart w:id="27" w:name="_Toc19355"/>
      <w:r>
        <w:rPr>
          <w:rFonts w:hint="eastAsia" w:ascii="黑体" w:hAnsi="黑体" w:eastAsia="黑体"/>
          <w:color w:val="000000"/>
          <w:sz w:val="72"/>
          <w:szCs w:val="72"/>
          <w:lang w:val="en-US" w:eastAsia="zh-CN"/>
        </w:rPr>
        <w:t>民族宗教局</w:t>
      </w:r>
      <w:bookmarkEnd w:id="14"/>
    </w:p>
    <w:p>
      <w:pPr>
        <w:adjustRightInd w:val="0"/>
        <w:snapToGrid w:val="0"/>
        <w:spacing w:line="360" w:lineRule="auto"/>
        <w:jc w:val="center"/>
        <w:outlineLvl w:val="0"/>
        <w:rPr>
          <w:rFonts w:ascii="黑体" w:hAnsi="黑体" w:eastAsia="黑体"/>
          <w:color w:val="000000"/>
          <w:sz w:val="72"/>
          <w:szCs w:val="72"/>
        </w:rPr>
      </w:pPr>
      <w:bookmarkStart w:id="28" w:name="_Toc26087"/>
      <w:r>
        <w:rPr>
          <w:rFonts w:hint="eastAsia" w:ascii="黑体" w:hAnsi="黑体" w:eastAsia="黑体"/>
          <w:color w:val="000000"/>
          <w:sz w:val="72"/>
          <w:szCs w:val="72"/>
        </w:rPr>
        <w:t>关于</w:t>
      </w:r>
      <w:r>
        <w:rPr>
          <w:rFonts w:hint="eastAsia" w:ascii="黑体" w:hAnsi="黑体" w:eastAsia="黑体"/>
          <w:color w:val="000000"/>
          <w:sz w:val="72"/>
          <w:szCs w:val="72"/>
          <w:lang w:eastAsia="zh-CN"/>
        </w:rPr>
        <w:t>202</w:t>
      </w:r>
      <w:r>
        <w:rPr>
          <w:rFonts w:hint="eastAsia" w:ascii="黑体" w:hAnsi="黑体" w:eastAsia="黑体"/>
          <w:color w:val="000000"/>
          <w:sz w:val="72"/>
          <w:szCs w:val="72"/>
          <w:lang w:val="en-US" w:eastAsia="zh-CN"/>
        </w:rPr>
        <w:t>5</w:t>
      </w:r>
      <w:bookmarkStart w:id="65" w:name="_GoBack"/>
      <w:bookmarkEnd w:id="65"/>
      <w:r>
        <w:rPr>
          <w:rFonts w:hint="eastAsia" w:ascii="黑体" w:hAnsi="黑体" w:eastAsia="黑体"/>
          <w:color w:val="000000"/>
          <w:sz w:val="72"/>
          <w:szCs w:val="72"/>
        </w:rPr>
        <w:t>年部门预算编制的说明</w:t>
      </w:r>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2"/>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bookmarkStart w:id="29" w:name="_Toc20639"/>
      <w:bookmarkStart w:id="30" w:name="_Toc15725"/>
      <w:bookmarkStart w:id="31" w:name="_Toc19416"/>
      <w:bookmarkStart w:id="32" w:name="_Toc3879"/>
      <w:r>
        <w:rPr>
          <w:rFonts w:hint="eastAsia" w:ascii="仿宋_GB2312" w:hAnsi="Calibri" w:eastAsia="仿宋_GB2312" w:cs="仿宋_GB2312"/>
          <w:sz w:val="32"/>
          <w:szCs w:val="32"/>
        </w:rPr>
        <w:t>保密审查情况：已审查，内容审定</w:t>
      </w:r>
      <w:bookmarkEnd w:id="29"/>
      <w:bookmarkEnd w:id="30"/>
      <w:bookmarkEnd w:id="31"/>
      <w:bookmarkEnd w:id="32"/>
    </w:p>
    <w:p>
      <w:pPr>
        <w:autoSpaceDE w:val="0"/>
        <w:autoSpaceDN w:val="0"/>
        <w:adjustRightInd w:val="0"/>
        <w:ind w:firstLine="1276"/>
        <w:jc w:val="left"/>
        <w:rPr>
          <w:rFonts w:eastAsia="仿宋_GB2312"/>
          <w:sz w:val="32"/>
          <w:szCs w:val="32"/>
        </w:rPr>
      </w:pPr>
      <w:bookmarkStart w:id="33" w:name="_Toc15358"/>
      <w:bookmarkStart w:id="34" w:name="_Toc24968"/>
      <w:bookmarkStart w:id="35" w:name="_Toc25414"/>
      <w:bookmarkStart w:id="36" w:name="_Toc480"/>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bookmarkEnd w:id="33"/>
      <w:bookmarkEnd w:id="34"/>
      <w:bookmarkEnd w:id="35"/>
      <w:bookmarkEnd w:id="36"/>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p>
    <w:p>
      <w:pPr>
        <w:pStyle w:val="2"/>
        <w:ind w:left="0" w:leftChars="0" w:firstLine="0" w:firstLineChars="0"/>
        <w:rPr>
          <w:rFonts w:hint="eastAsia" w:ascii="方正小标宋简体" w:hAnsi="方正小标宋简体" w:eastAsia="方正小标宋简体" w:cs="方正小标宋简体"/>
          <w:b w:val="0"/>
          <w:bCs/>
          <w:sz w:val="44"/>
          <w:szCs w:val="44"/>
          <w:lang w:eastAsia="zh-CN"/>
        </w:rPr>
      </w:pPr>
    </w:p>
    <w:p>
      <w:pPr>
        <w:rPr>
          <w:rFonts w:hint="eastAsia" w:ascii="方正小标宋简体" w:hAnsi="方正小标宋简体" w:eastAsia="方正小标宋简体" w:cs="方正小标宋简体"/>
          <w:b w:val="0"/>
          <w:bCs/>
          <w:sz w:val="44"/>
          <w:szCs w:val="44"/>
          <w:lang w:eastAsia="zh-CN"/>
        </w:rPr>
      </w:pP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jc w:val="center"/>
        <w:textAlignment w:val="auto"/>
        <w:rPr>
          <w:rFonts w:hint="eastAsia" w:ascii="黑体" w:hAnsi="黑体" w:eastAsia="黑体" w:cs="黑体"/>
          <w:b/>
          <w:sz w:val="44"/>
          <w:szCs w:val="44"/>
          <w:lang w:val="en-US" w:eastAsia="zh-CN"/>
        </w:rPr>
      </w:pPr>
      <w:bookmarkStart w:id="37" w:name="_Toc4479"/>
      <w:r>
        <w:rPr>
          <w:rFonts w:hint="eastAsia" w:ascii="黑体" w:hAnsi="黑体" w:eastAsia="黑体" w:cs="黑体"/>
          <w:b/>
          <w:sz w:val="44"/>
          <w:szCs w:val="44"/>
          <w:lang w:val="en-US" w:eastAsia="zh-CN"/>
        </w:rPr>
        <w:t>目录</w:t>
      </w:r>
      <w:bookmarkEnd w:id="37"/>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default" w:ascii="宋体" w:hAnsi="宋体" w:eastAsia="宋体"/>
          <w:b/>
          <w:sz w:val="44"/>
          <w:szCs w:val="44"/>
          <w:lang w:val="en-US" w:eastAsia="zh-CN"/>
        </w:rPr>
      </w:pPr>
    </w:p>
    <w:p>
      <w:pPr>
        <w:pStyle w:val="5"/>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TOC \f F \t "正文" \h \c</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_Toc13097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2025年度</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_Toc13097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5"/>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_Toc4520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红原县民族宗教局</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_Toc4520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5"/>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_Toc31996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一、基本职能及主要工作</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_Toc31996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5</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5"/>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_Toc28064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二、部门预算单位构成</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_Toc28064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9</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5"/>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_Toc27646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三、收支预算总体情况</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_Toc27646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9</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5"/>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_Toc22245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四、 支出预算安排情况</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_Toc22245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9</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5"/>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_Toc16377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五、较上年度增减变化</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_Toc16377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10</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5"/>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_Toc30813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六、“三公”经费预算</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_Toc30813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10</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5"/>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_Toc17288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七、政府性基金预算收支情况说明</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_Toc17288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11</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5"/>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_Toc22928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八、国有资本经营预算收支情况说明</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_Toc22928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11</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5"/>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_Toc26084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九、其他重要事项的情况说明</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_Toc26084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11</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5"/>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_Toc17933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（一）政府采购预算情况</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_Toc17933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11</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5"/>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_Toc28164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（二）政府财政国有资产占用情况</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_Toc28164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11</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5"/>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_Toc19644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（三）绩效目标设置情况</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_Toc19644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11</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5"/>
        <w:tabs>
          <w:tab w:val="right" w:leader="dot" w:pos="8844"/>
        </w:tabs>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HYPERLINK \l _Toc29453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十、名词解释  　</w:t>
      </w:r>
      <w:r>
        <w:rPr>
          <w:rFonts w:hint="eastAsia" w:ascii="仿宋" w:hAnsi="仿宋" w:eastAsia="仿宋" w:cs="仿宋"/>
          <w:kern w:val="2"/>
          <w:sz w:val="32"/>
          <w:szCs w:val="32"/>
          <w:lang w:val="en-US" w:eastAsia="zh-CN" w:bidi="ar-SA"/>
        </w:rPr>
        <w:tab/>
      </w:r>
      <w:r>
        <w:rPr>
          <w:rFonts w:hint="eastAsia" w:ascii="仿宋" w:hAnsi="仿宋" w:eastAsia="仿宋" w:cs="仿宋"/>
          <w:kern w:val="2"/>
          <w:sz w:val="32"/>
          <w:szCs w:val="32"/>
          <w:lang w:val="en-US" w:eastAsia="zh-CN" w:bidi="ar-SA"/>
        </w:rPr>
        <w:fldChar w:fldCharType="begin"/>
      </w:r>
      <w:r>
        <w:rPr>
          <w:rFonts w:hint="eastAsia" w:ascii="仿宋" w:hAnsi="仿宋" w:eastAsia="仿宋" w:cs="仿宋"/>
          <w:kern w:val="2"/>
          <w:sz w:val="32"/>
          <w:szCs w:val="32"/>
          <w:lang w:val="en-US" w:eastAsia="zh-CN" w:bidi="ar-SA"/>
        </w:rPr>
        <w:instrText xml:space="preserve"> PAGEREF _Toc29453 \h </w:instrText>
      </w:r>
      <w:r>
        <w:rPr>
          <w:rFonts w:hint="eastAsia" w:ascii="仿宋" w:hAnsi="仿宋" w:eastAsia="仿宋" w:cs="仿宋"/>
          <w:kern w:val="2"/>
          <w:sz w:val="32"/>
          <w:szCs w:val="32"/>
          <w:lang w:val="en-US" w:eastAsia="zh-CN" w:bidi="ar-SA"/>
        </w:rPr>
        <w:fldChar w:fldCharType="separate"/>
      </w:r>
      <w:r>
        <w:rPr>
          <w:rFonts w:hint="eastAsia" w:ascii="仿宋" w:hAnsi="仿宋" w:eastAsia="仿宋" w:cs="仿宋"/>
          <w:kern w:val="2"/>
          <w:sz w:val="32"/>
          <w:szCs w:val="32"/>
          <w:lang w:val="en-US" w:eastAsia="zh-CN" w:bidi="ar-SA"/>
        </w:rPr>
        <w:t>11</w:t>
      </w:r>
      <w:r>
        <w:rPr>
          <w:rFonts w:hint="eastAsia" w:ascii="仿宋" w:hAnsi="仿宋" w:eastAsia="仿宋" w:cs="仿宋"/>
          <w:kern w:val="2"/>
          <w:sz w:val="32"/>
          <w:szCs w:val="32"/>
          <w:lang w:val="en-US" w:eastAsia="zh-CN" w:bidi="ar-SA"/>
        </w:rPr>
        <w:fldChar w:fldCharType="end"/>
      </w:r>
      <w:r>
        <w:rPr>
          <w:rFonts w:hint="eastAsia" w:ascii="仿宋" w:hAnsi="仿宋" w:eastAsia="仿宋" w:cs="仿宋"/>
          <w:kern w:val="2"/>
          <w:sz w:val="32"/>
          <w:szCs w:val="32"/>
          <w:lang w:val="en-US" w:eastAsia="zh-CN" w:bidi="ar-SA"/>
        </w:rPr>
        <w:fldChar w:fldCharType="end"/>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r>
        <w:rPr>
          <w:rFonts w:hint="eastAsia" w:ascii="仿宋" w:hAnsi="仿宋" w:eastAsia="仿宋" w:cs="仿宋"/>
          <w:kern w:val="2"/>
          <w:sz w:val="32"/>
          <w:szCs w:val="32"/>
          <w:lang w:val="en-US" w:eastAsia="zh-CN" w:bidi="ar-SA"/>
        </w:rPr>
        <w:fldChar w:fldCharType="end"/>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sz w:val="32"/>
          <w:szCs w:val="32"/>
        </w:rPr>
      </w:pP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bookmarkStart w:id="38" w:name="_Toc17907"/>
      <w:r>
        <w:rPr>
          <w:rFonts w:hint="eastAsia" w:ascii="楷体_GB2312" w:hAnsi="楷体_GB2312" w:eastAsia="楷体_GB2312" w:cs="楷体_GB2312"/>
          <w:b/>
          <w:bCs w:val="0"/>
          <w:sz w:val="32"/>
          <w:szCs w:val="32"/>
          <w:lang w:eastAsia="zh-CN"/>
        </w:rPr>
        <w:t>（一）基本职能</w:t>
      </w:r>
      <w:bookmarkEnd w:id="38"/>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39" w:name="_Toc30548"/>
      <w:bookmarkStart w:id="40" w:name="_Toc30143"/>
      <w:r>
        <w:rPr>
          <w:rFonts w:ascii="仿宋_GB2312" w:hAnsi="仿宋_GB2312" w:eastAsia="仿宋_GB2312" w:cs="仿宋_GB2312"/>
          <w:color w:val="auto"/>
          <w:spacing w:val="0"/>
          <w:position w:val="0"/>
          <w:sz w:val="32"/>
          <w:shd w:val="clear" w:fill="auto"/>
        </w:rPr>
        <w:t>1、贯彻执行党和国家关于民族、宗教工作的方针、政策和法规，负责组织指导全县民族、宗教政策和法律法规及民族基本知识的宣传教育工作，提出有关民族、宗教工作的政策建议，当好县委、县政府民族、宗教工作方面的参谋助手，依法协调各民族间关系，会同处理民族关系中的重大事项，促进各民族共同团结奋斗、共同繁荣发展，维护民族团结、社会稳定和国家统一；</w:t>
      </w:r>
      <w:bookmarkEnd w:id="39"/>
      <w:bookmarkEnd w:id="40"/>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41" w:name="_Toc15474"/>
      <w:bookmarkStart w:id="42" w:name="_Toc24929"/>
      <w:r>
        <w:rPr>
          <w:rFonts w:ascii="仿宋_GB2312" w:hAnsi="仿宋_GB2312" w:eastAsia="仿宋_GB2312" w:cs="仿宋_GB2312"/>
          <w:color w:val="auto"/>
          <w:spacing w:val="0"/>
          <w:position w:val="0"/>
          <w:sz w:val="32"/>
          <w:shd w:val="clear" w:fill="auto"/>
        </w:rPr>
        <w:t>2、组织开展民族宗教政策、理论和民族宗教工作等重大课题的综合调研，掌握全县民族、宗教情况和动态，研究制定我县民族、宗教方面的规范性文件，并负责组织实施和监督检查，保障少数民族的合法权益，指导、督查、协调“一法两规定一条例”等民族法律法规的贯彻落实；</w:t>
      </w:r>
      <w:bookmarkEnd w:id="41"/>
      <w:bookmarkEnd w:id="42"/>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43" w:name="_Toc16856"/>
      <w:bookmarkStart w:id="44" w:name="_Toc8238"/>
      <w:r>
        <w:rPr>
          <w:rFonts w:ascii="仿宋_GB2312" w:hAnsi="仿宋_GB2312" w:eastAsia="仿宋_GB2312" w:cs="仿宋_GB2312"/>
          <w:color w:val="auto"/>
          <w:spacing w:val="0"/>
          <w:position w:val="0"/>
          <w:sz w:val="32"/>
          <w:shd w:val="clear" w:fill="auto"/>
        </w:rPr>
        <w:t>3、负责协调推动有关部门履行民族工作相关职责，对全县民族工作实施管理、指导，促进民族政策在经济发展和社会事业等相关领域的实施、衔接。参与制定全县社会经济和教育、文化、科技、卫生、体育等项事业发展的中长期规划和年度计划，促进建立和完善少数民族事业发展综合评价检测体系，推进民族事务服务体系和民族事务管理信息化建设；组织协调实施县委、县政府民生工程的相关工作，参与协调全县移民、扶贫开发等相关工作；</w:t>
      </w:r>
      <w:bookmarkEnd w:id="43"/>
      <w:bookmarkEnd w:id="44"/>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45" w:name="_Toc5217"/>
      <w:bookmarkStart w:id="46" w:name="_Toc24533"/>
      <w:r>
        <w:rPr>
          <w:rFonts w:ascii="仿宋_GB2312" w:hAnsi="仿宋_GB2312" w:eastAsia="仿宋_GB2312" w:cs="仿宋_GB2312"/>
          <w:color w:val="auto"/>
          <w:spacing w:val="0"/>
          <w:position w:val="0"/>
          <w:sz w:val="32"/>
          <w:shd w:val="clear" w:fill="auto"/>
        </w:rPr>
        <w:t>4、依法加强对宗教事务的管理，保护公民宗教信仰自由，保护宗教教职人员履行正常的教务活动，保护宗教教团和宗教活动场所的合法权益，巩固和发展同宗教界人士进行爱国主义、社会主义、拥护祖国统一和民族团结的自我教育，引导宗教与社会主义社会相适应，团结和动员广大信教群众为改革开放和经济建设服务；</w:t>
      </w:r>
      <w:bookmarkEnd w:id="45"/>
      <w:bookmarkEnd w:id="46"/>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47" w:name="_Toc17637"/>
      <w:bookmarkStart w:id="48" w:name="_Toc13826"/>
      <w:r>
        <w:rPr>
          <w:rFonts w:ascii="仿宋_GB2312" w:hAnsi="仿宋_GB2312" w:eastAsia="仿宋_GB2312" w:cs="仿宋_GB2312"/>
          <w:color w:val="auto"/>
          <w:spacing w:val="0"/>
          <w:position w:val="0"/>
          <w:sz w:val="32"/>
          <w:shd w:val="clear" w:fill="auto"/>
        </w:rPr>
        <w:t>5、承办县委、县政府民族团结进步表彰活动，组织开展民族团结进步创建活动，负责组织协调全县民族工作领域有关对</w:t>
      </w:r>
      <w:r>
        <w:rPr>
          <w:rFonts w:hint="eastAsia" w:ascii="仿宋_GB2312" w:hAnsi="仿宋_GB2312" w:eastAsia="仿宋_GB2312" w:cs="仿宋_GB2312"/>
          <w:color w:val="auto"/>
          <w:spacing w:val="0"/>
          <w:position w:val="0"/>
          <w:sz w:val="32"/>
          <w:shd w:val="clear" w:fill="auto"/>
          <w:lang w:eastAsia="zh-CN"/>
        </w:rPr>
        <w:t>外</w:t>
      </w:r>
      <w:r>
        <w:rPr>
          <w:rFonts w:ascii="仿宋_GB2312" w:hAnsi="仿宋_GB2312" w:eastAsia="仿宋_GB2312" w:cs="仿宋_GB2312"/>
          <w:color w:val="auto"/>
          <w:spacing w:val="0"/>
          <w:position w:val="0"/>
          <w:sz w:val="32"/>
          <w:shd w:val="clear" w:fill="auto"/>
        </w:rPr>
        <w:t>和对港澳台的交流与合作，参与涉及民族事务的对外宣传工作，做好民族上层人士、宗教界人士参观及学习等各项管理工作，组织少数民族开展健康有益的文化、体育、爱国卫生及民俗活动；</w:t>
      </w:r>
      <w:bookmarkEnd w:id="47"/>
      <w:bookmarkEnd w:id="48"/>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49" w:name="_Toc13058"/>
      <w:bookmarkStart w:id="50" w:name="_Toc28461"/>
      <w:r>
        <w:rPr>
          <w:rFonts w:ascii="仿宋_GB2312" w:hAnsi="仿宋_GB2312" w:eastAsia="仿宋_GB2312" w:cs="仿宋_GB2312"/>
          <w:color w:val="auto"/>
          <w:spacing w:val="0"/>
          <w:position w:val="0"/>
          <w:sz w:val="32"/>
          <w:shd w:val="clear" w:fill="auto"/>
        </w:rPr>
        <w:t>6、参与拟订全县少数民族人才队伍建设规划；会同有关部门做好少数民族干部的培养、教育和使用工作；</w:t>
      </w:r>
      <w:bookmarkEnd w:id="49"/>
      <w:bookmarkEnd w:id="50"/>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51" w:name="_Toc21325"/>
      <w:bookmarkStart w:id="52" w:name="_Toc19870"/>
      <w:r>
        <w:rPr>
          <w:rFonts w:ascii="仿宋_GB2312" w:hAnsi="仿宋_GB2312" w:eastAsia="仿宋_GB2312" w:cs="仿宋_GB2312"/>
          <w:color w:val="auto"/>
          <w:spacing w:val="0"/>
          <w:position w:val="0"/>
          <w:sz w:val="32"/>
          <w:shd w:val="clear" w:fill="auto"/>
        </w:rPr>
        <w:t>7、积极争取少数民族发展专项资金项目，合理安排项目建设，做好项目资金的使用管理，加强监督检查；组织协调民族贸易、民族特需用品生产和民族地区对位写作；</w:t>
      </w:r>
      <w:bookmarkEnd w:id="51"/>
      <w:bookmarkEnd w:id="52"/>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53" w:name="_Toc31413"/>
      <w:bookmarkStart w:id="54" w:name="_Toc22625"/>
      <w:r>
        <w:rPr>
          <w:rFonts w:ascii="仿宋_GB2312" w:hAnsi="仿宋_GB2312" w:eastAsia="仿宋_GB2312" w:cs="仿宋_GB2312"/>
          <w:color w:val="auto"/>
          <w:spacing w:val="0"/>
          <w:position w:val="0"/>
          <w:sz w:val="32"/>
          <w:shd w:val="clear" w:fill="auto"/>
        </w:rPr>
        <w:t>8、引导宗教在法律、法规和政策范围内活动，预防和制止不法分子利用宗教进行的非法、违法活动；、抵制境内外敌对势力利用宗教对我进行的参透；</w:t>
      </w:r>
      <w:bookmarkEnd w:id="53"/>
      <w:bookmarkEnd w:id="54"/>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55" w:name="_Toc21264"/>
      <w:bookmarkStart w:id="56" w:name="_Toc14847"/>
      <w:r>
        <w:rPr>
          <w:rFonts w:ascii="仿宋_GB2312" w:hAnsi="仿宋_GB2312" w:eastAsia="仿宋_GB2312" w:cs="仿宋_GB2312"/>
          <w:color w:val="auto"/>
          <w:spacing w:val="0"/>
          <w:position w:val="0"/>
          <w:sz w:val="32"/>
          <w:shd w:val="clear" w:fill="auto"/>
        </w:rPr>
        <w:t>9、指导宗教团体在宪法、法律和政策允许的范围内按照独立自主、自办教会的原则，搞好自身建设；帮助宗教团体培养、教育宗教教职人员，做好有关培训组织工作；办理宗教团体需政府协助或协调的事务；</w:t>
      </w:r>
      <w:bookmarkEnd w:id="55"/>
      <w:bookmarkEnd w:id="56"/>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57" w:name="_Toc6757"/>
      <w:bookmarkStart w:id="58" w:name="_Toc16504"/>
      <w:r>
        <w:rPr>
          <w:rFonts w:ascii="仿宋_GB2312" w:hAnsi="仿宋_GB2312" w:eastAsia="仿宋_GB2312" w:cs="仿宋_GB2312"/>
          <w:color w:val="auto"/>
          <w:spacing w:val="0"/>
          <w:position w:val="0"/>
          <w:sz w:val="32"/>
          <w:shd w:val="clear" w:fill="auto"/>
        </w:rPr>
        <w:t>10、负责宣传贯彻国家关于少数民族语言文字方面的政策、法规并监督实施；指导管理藏语语言文字的学习使用、社会市面用文的检查、整顿及藏文翻译工作；指导少数民族语言文字的翻译、出版和少数民族古籍的收集、整理、出版工作，会同有关部门对少数民族题材文化作品（产品）进行审查；</w:t>
      </w:r>
      <w:bookmarkEnd w:id="57"/>
      <w:bookmarkEnd w:id="58"/>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59" w:name="_Toc2216"/>
      <w:bookmarkStart w:id="60" w:name="_Toc11850"/>
      <w:r>
        <w:rPr>
          <w:rFonts w:ascii="仿宋_GB2312" w:hAnsi="仿宋_GB2312" w:eastAsia="仿宋_GB2312" w:cs="仿宋_GB2312"/>
          <w:color w:val="auto"/>
          <w:spacing w:val="0"/>
          <w:position w:val="0"/>
          <w:sz w:val="32"/>
          <w:shd w:val="clear" w:fill="auto"/>
        </w:rPr>
        <w:t>11、贯彻执行国家和省、州有关</w:t>
      </w:r>
      <w:r>
        <w:rPr>
          <w:rFonts w:hint="eastAsia" w:ascii="仿宋_GB2312" w:hAnsi="仿宋_GB2312" w:eastAsia="仿宋_GB2312" w:cs="仿宋_GB2312"/>
          <w:color w:val="auto"/>
          <w:spacing w:val="0"/>
          <w:position w:val="0"/>
          <w:sz w:val="32"/>
          <w:shd w:val="clear" w:fill="auto"/>
          <w:lang w:eastAsia="zh-CN"/>
        </w:rPr>
        <w:t>专</w:t>
      </w:r>
      <w:r>
        <w:rPr>
          <w:rFonts w:ascii="仿宋_GB2312" w:hAnsi="仿宋_GB2312" w:eastAsia="仿宋_GB2312" w:cs="仿宋_GB2312"/>
          <w:color w:val="auto"/>
          <w:spacing w:val="0"/>
          <w:position w:val="0"/>
          <w:sz w:val="32"/>
          <w:shd w:val="clear" w:fill="auto"/>
        </w:rPr>
        <w:t>项资金管理工作的政策和规定，依法管理</w:t>
      </w:r>
      <w:r>
        <w:rPr>
          <w:rFonts w:hint="eastAsia" w:ascii="仿宋_GB2312" w:hAnsi="仿宋_GB2312" w:eastAsia="仿宋_GB2312" w:cs="仿宋_GB2312"/>
          <w:color w:val="auto"/>
          <w:spacing w:val="0"/>
          <w:position w:val="0"/>
          <w:sz w:val="32"/>
          <w:shd w:val="clear" w:fill="auto"/>
          <w:lang w:eastAsia="zh-CN"/>
        </w:rPr>
        <w:t>专</w:t>
      </w:r>
      <w:r>
        <w:rPr>
          <w:rFonts w:ascii="仿宋_GB2312" w:hAnsi="仿宋_GB2312" w:eastAsia="仿宋_GB2312" w:cs="仿宋_GB2312"/>
          <w:color w:val="auto"/>
          <w:spacing w:val="0"/>
          <w:position w:val="0"/>
          <w:sz w:val="32"/>
          <w:shd w:val="clear" w:fill="auto"/>
        </w:rPr>
        <w:t>项资金投资的项目和资金，制定实施全县</w:t>
      </w:r>
      <w:r>
        <w:rPr>
          <w:rFonts w:hint="eastAsia" w:ascii="仿宋_GB2312" w:hAnsi="仿宋_GB2312" w:eastAsia="仿宋_GB2312" w:cs="仿宋_GB2312"/>
          <w:color w:val="auto"/>
          <w:spacing w:val="0"/>
          <w:position w:val="0"/>
          <w:sz w:val="32"/>
          <w:shd w:val="clear" w:fill="auto"/>
          <w:lang w:eastAsia="zh-CN"/>
        </w:rPr>
        <w:t>专</w:t>
      </w:r>
      <w:r>
        <w:rPr>
          <w:rFonts w:ascii="仿宋_GB2312" w:hAnsi="仿宋_GB2312" w:eastAsia="仿宋_GB2312" w:cs="仿宋_GB2312"/>
          <w:color w:val="auto"/>
          <w:spacing w:val="0"/>
          <w:position w:val="0"/>
          <w:sz w:val="32"/>
          <w:shd w:val="clear" w:fill="auto"/>
        </w:rPr>
        <w:t>项资金管理工作的具体办法和意见；对</w:t>
      </w:r>
      <w:r>
        <w:rPr>
          <w:rFonts w:hint="eastAsia" w:ascii="仿宋_GB2312" w:hAnsi="仿宋_GB2312" w:eastAsia="仿宋_GB2312" w:cs="仿宋_GB2312"/>
          <w:color w:val="auto"/>
          <w:spacing w:val="0"/>
          <w:position w:val="0"/>
          <w:sz w:val="32"/>
          <w:shd w:val="clear" w:fill="auto"/>
          <w:lang w:eastAsia="zh-CN"/>
        </w:rPr>
        <w:t>专</w:t>
      </w:r>
      <w:r>
        <w:rPr>
          <w:rFonts w:ascii="仿宋_GB2312" w:hAnsi="仿宋_GB2312" w:eastAsia="仿宋_GB2312" w:cs="仿宋_GB2312"/>
          <w:color w:val="auto"/>
          <w:spacing w:val="0"/>
          <w:position w:val="0"/>
          <w:sz w:val="32"/>
          <w:shd w:val="clear" w:fill="auto"/>
        </w:rPr>
        <w:t>项资金投资项目的审查、报批、实施、验收等全过程进行管理和监督；</w:t>
      </w:r>
      <w:bookmarkEnd w:id="59"/>
      <w:bookmarkEnd w:id="60"/>
    </w:p>
    <w:p>
      <w:pPr>
        <w:spacing w:before="93" w:after="0" w:line="560" w:lineRule="auto"/>
        <w:ind w:left="0" w:right="0" w:firstLine="672"/>
        <w:jc w:val="both"/>
        <w:rPr>
          <w:rFonts w:ascii="仿宋_GB2312" w:hAnsi="仿宋_GB2312" w:eastAsia="仿宋_GB2312" w:cs="仿宋_GB2312"/>
          <w:color w:val="auto"/>
          <w:spacing w:val="0"/>
          <w:position w:val="0"/>
          <w:sz w:val="32"/>
          <w:shd w:val="clear" w:fill="auto"/>
        </w:rPr>
      </w:pPr>
      <w:bookmarkStart w:id="61" w:name="_Toc13928"/>
      <w:bookmarkStart w:id="62" w:name="_Toc29165"/>
      <w:r>
        <w:rPr>
          <w:rFonts w:ascii="仿宋_GB2312" w:hAnsi="仿宋_GB2312" w:eastAsia="仿宋_GB2312" w:cs="仿宋_GB2312"/>
          <w:color w:val="auto"/>
          <w:spacing w:val="0"/>
          <w:position w:val="0"/>
          <w:sz w:val="32"/>
          <w:shd w:val="clear" w:fill="auto"/>
        </w:rPr>
        <w:t>12、承办县委、县政府交办的其他事项。</w:t>
      </w:r>
      <w:bookmarkEnd w:id="61"/>
      <w:bookmarkEnd w:id="62"/>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default" w:ascii="仿宋_GB2312" w:hAnsi="仿宋_GB2312" w:eastAsia="仿宋_GB2312" w:cs="仿宋_GB2312"/>
          <w:color w:val="auto"/>
          <w:spacing w:val="0"/>
          <w:kern w:val="2"/>
          <w:position w:val="0"/>
          <w:sz w:val="32"/>
          <w:szCs w:val="24"/>
          <w:shd w:val="clear" w:fill="auto"/>
          <w:lang w:val="en-US" w:eastAsia="zh-CN" w:bidi="ar-SA"/>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r>
        <w:rPr>
          <w:rFonts w:hint="eastAsia" w:ascii="仿宋_GB2312" w:hAnsi="仿宋_GB2312" w:eastAsia="仿宋_GB2312" w:cs="仿宋_GB2312"/>
          <w:color w:val="auto"/>
          <w:spacing w:val="0"/>
          <w:kern w:val="2"/>
          <w:position w:val="0"/>
          <w:sz w:val="32"/>
          <w:szCs w:val="24"/>
          <w:shd w:val="clear" w:fill="auto"/>
          <w:lang w:val="en-US" w:eastAsia="zh-CN" w:bidi="ar-SA"/>
        </w:rPr>
        <w:t>1.</w:t>
      </w:r>
      <w:r>
        <w:rPr>
          <w:rFonts w:hint="default" w:ascii="仿宋_GB2312" w:hAnsi="仿宋_GB2312" w:eastAsia="仿宋_GB2312" w:cs="仿宋_GB2312"/>
          <w:color w:val="auto"/>
          <w:spacing w:val="0"/>
          <w:kern w:val="2"/>
          <w:position w:val="0"/>
          <w:sz w:val="32"/>
          <w:szCs w:val="24"/>
          <w:shd w:val="clear" w:fill="auto"/>
          <w:lang w:val="en-US" w:eastAsia="zh-CN" w:bidi="ar-SA"/>
        </w:rPr>
        <w:t>民族团结进步创建工作</w:t>
      </w:r>
      <w:r>
        <w:rPr>
          <w:rFonts w:hint="eastAsia" w:ascii="仿宋_GB2312" w:hAnsi="仿宋_GB2312" w:eastAsia="仿宋_GB2312" w:cs="仿宋_GB2312"/>
          <w:color w:val="auto"/>
          <w:spacing w:val="0"/>
          <w:kern w:val="2"/>
          <w:position w:val="0"/>
          <w:sz w:val="32"/>
          <w:szCs w:val="24"/>
          <w:shd w:val="clear" w:fill="auto"/>
          <w:lang w:val="en-US" w:eastAsia="zh-CN" w:bidi="ar-SA"/>
        </w:rPr>
        <w:t>。一是</w:t>
      </w:r>
      <w:r>
        <w:rPr>
          <w:rFonts w:hint="default" w:ascii="仿宋_GB2312" w:hAnsi="仿宋_GB2312" w:eastAsia="仿宋_GB2312" w:cs="仿宋_GB2312"/>
          <w:color w:val="auto"/>
          <w:spacing w:val="0"/>
          <w:kern w:val="2"/>
          <w:position w:val="0"/>
          <w:sz w:val="32"/>
          <w:szCs w:val="24"/>
          <w:shd w:val="clear" w:fill="auto"/>
          <w:lang w:val="en-US" w:eastAsia="zh-CN" w:bidi="ar-SA"/>
        </w:rPr>
        <w:t>做好助力阿坝州新一轮创建全国民族团结进步示范州红原点位迎接检省检、国检工作各项前期工作；</w:t>
      </w:r>
      <w:r>
        <w:rPr>
          <w:rFonts w:hint="eastAsia" w:ascii="仿宋_GB2312" w:hAnsi="仿宋_GB2312" w:eastAsia="仿宋_GB2312" w:cs="仿宋_GB2312"/>
          <w:color w:val="auto"/>
          <w:spacing w:val="0"/>
          <w:kern w:val="2"/>
          <w:position w:val="0"/>
          <w:sz w:val="32"/>
          <w:szCs w:val="24"/>
          <w:shd w:val="clear" w:fill="auto"/>
          <w:lang w:val="en-US" w:eastAsia="zh-CN" w:bidi="ar-SA"/>
        </w:rPr>
        <w:t>二是</w:t>
      </w:r>
      <w:r>
        <w:rPr>
          <w:rFonts w:hint="default" w:ascii="仿宋_GB2312" w:hAnsi="仿宋_GB2312" w:eastAsia="仿宋_GB2312" w:cs="仿宋_GB2312"/>
          <w:color w:val="auto"/>
          <w:spacing w:val="0"/>
          <w:kern w:val="2"/>
          <w:position w:val="0"/>
          <w:sz w:val="32"/>
          <w:szCs w:val="24"/>
          <w:shd w:val="clear" w:fill="auto"/>
          <w:lang w:val="en-US" w:eastAsia="zh-CN" w:bidi="ar-SA"/>
        </w:rPr>
        <w:t>组织全县各乡镇、各部门开展民族团结进步创建和铸牢中华民族共同体意识访谈演练各项工作；</w:t>
      </w:r>
      <w:r>
        <w:rPr>
          <w:rFonts w:hint="eastAsia" w:ascii="仿宋_GB2312" w:hAnsi="仿宋_GB2312" w:eastAsia="仿宋_GB2312" w:cs="仿宋_GB2312"/>
          <w:color w:val="auto"/>
          <w:spacing w:val="0"/>
          <w:kern w:val="2"/>
          <w:position w:val="0"/>
          <w:sz w:val="32"/>
          <w:szCs w:val="24"/>
          <w:shd w:val="clear" w:fill="auto"/>
          <w:lang w:val="en-US" w:eastAsia="zh-CN" w:bidi="ar-SA"/>
        </w:rPr>
        <w:t>三是</w:t>
      </w:r>
      <w:r>
        <w:rPr>
          <w:rFonts w:hint="default" w:ascii="仿宋_GB2312" w:hAnsi="仿宋_GB2312" w:eastAsia="仿宋_GB2312" w:cs="仿宋_GB2312"/>
          <w:color w:val="auto"/>
          <w:spacing w:val="0"/>
          <w:kern w:val="2"/>
          <w:position w:val="0"/>
          <w:sz w:val="32"/>
          <w:szCs w:val="24"/>
          <w:shd w:val="clear" w:fill="auto"/>
          <w:lang w:val="en-US" w:eastAsia="zh-CN" w:bidi="ar-SA"/>
        </w:rPr>
        <w:t>加强指导和督促全县民族团结进步工作，特别是30个重要点位的提档升级。</w:t>
      </w:r>
      <w:r>
        <w:rPr>
          <w:rFonts w:hint="eastAsia" w:ascii="仿宋_GB2312" w:hAnsi="仿宋_GB2312" w:eastAsia="仿宋_GB2312" w:cs="仿宋_GB2312"/>
          <w:color w:val="auto"/>
          <w:spacing w:val="0"/>
          <w:kern w:val="2"/>
          <w:position w:val="0"/>
          <w:sz w:val="32"/>
          <w:szCs w:val="24"/>
          <w:shd w:val="clear" w:fill="auto"/>
          <w:lang w:val="en-US" w:eastAsia="zh-CN" w:bidi="ar-SA"/>
        </w:rPr>
        <w:t>2.</w:t>
      </w:r>
      <w:r>
        <w:rPr>
          <w:rFonts w:hint="default" w:ascii="仿宋_GB2312" w:hAnsi="仿宋_GB2312" w:eastAsia="仿宋_GB2312" w:cs="仿宋_GB2312"/>
          <w:color w:val="auto"/>
          <w:spacing w:val="0"/>
          <w:kern w:val="2"/>
          <w:position w:val="0"/>
          <w:sz w:val="32"/>
          <w:szCs w:val="24"/>
          <w:shd w:val="clear" w:fill="auto"/>
          <w:lang w:val="en-US" w:eastAsia="zh-CN" w:bidi="ar-SA"/>
        </w:rPr>
        <w:t>两资项目工作</w:t>
      </w:r>
      <w:r>
        <w:rPr>
          <w:rFonts w:hint="eastAsia" w:ascii="仿宋_GB2312" w:hAnsi="仿宋_GB2312" w:eastAsia="仿宋_GB2312" w:cs="仿宋_GB2312"/>
          <w:color w:val="auto"/>
          <w:spacing w:val="0"/>
          <w:kern w:val="2"/>
          <w:position w:val="0"/>
          <w:sz w:val="32"/>
          <w:szCs w:val="24"/>
          <w:shd w:val="clear" w:fill="auto"/>
          <w:lang w:val="en-US" w:eastAsia="zh-CN" w:bidi="ar-SA"/>
        </w:rPr>
        <w:t>。一是</w:t>
      </w:r>
      <w:r>
        <w:rPr>
          <w:rFonts w:hint="default" w:ascii="仿宋_GB2312" w:hAnsi="仿宋_GB2312" w:eastAsia="仿宋_GB2312" w:cs="仿宋_GB2312"/>
          <w:color w:val="auto"/>
          <w:spacing w:val="0"/>
          <w:kern w:val="2"/>
          <w:position w:val="0"/>
          <w:sz w:val="32"/>
          <w:szCs w:val="24"/>
          <w:shd w:val="clear" w:fill="auto"/>
          <w:lang w:val="en-US" w:eastAsia="zh-CN" w:bidi="ar-SA"/>
        </w:rPr>
        <w:t>通过提前谋划、科学论证、合理储备下一年度项目，做到及时入库、规模适度、动态管理，又做到量力而行、尽力而为。</w:t>
      </w:r>
      <w:r>
        <w:rPr>
          <w:rFonts w:hint="eastAsia" w:ascii="仿宋_GB2312" w:hAnsi="仿宋_GB2312" w:eastAsia="仿宋_GB2312" w:cs="仿宋_GB2312"/>
          <w:color w:val="auto"/>
          <w:spacing w:val="0"/>
          <w:kern w:val="2"/>
          <w:position w:val="0"/>
          <w:sz w:val="32"/>
          <w:szCs w:val="24"/>
          <w:shd w:val="clear" w:fill="auto"/>
          <w:lang w:val="en-US" w:eastAsia="zh-CN" w:bidi="ar-SA"/>
        </w:rPr>
        <w:t>二是</w:t>
      </w:r>
      <w:r>
        <w:rPr>
          <w:rFonts w:hint="default" w:ascii="仿宋_GB2312" w:hAnsi="仿宋_GB2312" w:eastAsia="仿宋_GB2312" w:cs="仿宋_GB2312"/>
          <w:color w:val="auto"/>
          <w:spacing w:val="0"/>
          <w:kern w:val="2"/>
          <w:position w:val="0"/>
          <w:sz w:val="32"/>
          <w:szCs w:val="24"/>
          <w:shd w:val="clear" w:fill="auto"/>
          <w:lang w:val="en-US" w:eastAsia="zh-CN" w:bidi="ar-SA"/>
        </w:rPr>
        <w:t>持续深入推进民族团结发展项目对铸牢中华民族共同体意识的宣传引领，提升信息公开的质量和效果，采用县、乡、村三级公示制，让群众能充分了解项目的资金、实施及效益情况，保障各族群众的知情权、参与权和监督权。</w:t>
      </w:r>
    </w:p>
    <w:p>
      <w:pPr>
        <w:keepNext w:val="0"/>
        <w:keepLines w:val="0"/>
        <w:pageBreakBefore w:val="0"/>
        <w:numPr>
          <w:numId w:val="0"/>
        </w:numPr>
        <w:kinsoku/>
        <w:wordWrap/>
        <w:overflowPunct/>
        <w:topLinePunct w:val="0"/>
        <w:autoSpaceDE/>
        <w:autoSpaceDN/>
        <w:bidi w:val="0"/>
        <w:spacing w:line="560" w:lineRule="exact"/>
        <w:ind w:leftChars="200" w:right="0" w:rightChars="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pacing w:val="0"/>
          <w:kern w:val="2"/>
          <w:position w:val="0"/>
          <w:sz w:val="32"/>
          <w:szCs w:val="24"/>
          <w:shd w:val="clear" w:fill="auto"/>
          <w:lang w:val="en-US" w:eastAsia="zh-CN" w:bidi="ar-SA"/>
        </w:rPr>
      </w:pPr>
      <w:r>
        <w:rPr>
          <w:rFonts w:hint="default" w:ascii="仿宋_GB2312" w:hAnsi="仿宋_GB2312" w:eastAsia="仿宋_GB2312" w:cs="仿宋_GB2312"/>
          <w:color w:val="auto"/>
          <w:spacing w:val="0"/>
          <w:kern w:val="2"/>
          <w:position w:val="0"/>
          <w:sz w:val="32"/>
          <w:szCs w:val="24"/>
          <w:shd w:val="clear" w:fill="auto"/>
          <w:lang w:val="en-US" w:eastAsia="zh-CN" w:bidi="ar-SA"/>
        </w:rPr>
        <w:t>民族宗教局</w:t>
      </w:r>
      <w:r>
        <w:rPr>
          <w:rFonts w:hint="eastAsia" w:ascii="仿宋_GB2312" w:hAnsi="仿宋_GB2312" w:eastAsia="仿宋_GB2312" w:cs="仿宋_GB2312"/>
          <w:color w:val="auto"/>
          <w:spacing w:val="0"/>
          <w:kern w:val="2"/>
          <w:position w:val="0"/>
          <w:sz w:val="32"/>
          <w:szCs w:val="24"/>
          <w:shd w:val="clear" w:fill="auto"/>
          <w:lang w:val="en-US" w:eastAsia="zh-CN" w:bidi="ar-SA"/>
        </w:rPr>
        <w:t>下设单位2个，其中行政单位1个，参照公务员法管理的事业单位1个，其他事业单位0个。</w:t>
      </w:r>
      <w:bookmarkStart w:id="63" w:name="_Toc23470"/>
      <w:bookmarkStart w:id="64" w:name="_Toc26344"/>
      <w:r>
        <w:rPr>
          <w:rFonts w:hint="default" w:ascii="仿宋_GB2312" w:hAnsi="仿宋_GB2312" w:eastAsia="仿宋_GB2312" w:cs="仿宋_GB2312"/>
          <w:color w:val="auto"/>
          <w:spacing w:val="0"/>
          <w:kern w:val="2"/>
          <w:position w:val="0"/>
          <w:sz w:val="32"/>
          <w:szCs w:val="24"/>
          <w:shd w:val="clear" w:fill="auto"/>
          <w:lang w:val="en-US" w:eastAsia="zh-CN" w:bidi="ar-SA"/>
        </w:rPr>
        <w:t>我单位共有编制</w:t>
      </w:r>
      <w:r>
        <w:rPr>
          <w:rFonts w:hint="eastAsia" w:ascii="仿宋_GB2312" w:hAnsi="仿宋_GB2312" w:eastAsia="仿宋_GB2312" w:cs="仿宋_GB2312"/>
          <w:color w:val="auto"/>
          <w:spacing w:val="0"/>
          <w:kern w:val="2"/>
          <w:position w:val="0"/>
          <w:sz w:val="32"/>
          <w:szCs w:val="24"/>
          <w:shd w:val="clear" w:fill="auto"/>
          <w:lang w:val="en-US" w:eastAsia="zh-CN" w:bidi="ar-SA"/>
        </w:rPr>
        <w:t>15</w:t>
      </w:r>
      <w:r>
        <w:rPr>
          <w:rFonts w:hint="default" w:ascii="仿宋_GB2312" w:hAnsi="仿宋_GB2312" w:eastAsia="仿宋_GB2312" w:cs="仿宋_GB2312"/>
          <w:color w:val="auto"/>
          <w:spacing w:val="0"/>
          <w:kern w:val="2"/>
          <w:position w:val="0"/>
          <w:sz w:val="32"/>
          <w:szCs w:val="24"/>
          <w:shd w:val="clear" w:fill="auto"/>
          <w:lang w:val="en-US" w:eastAsia="zh-CN" w:bidi="ar-SA"/>
        </w:rPr>
        <w:t>个，其中公务员编制</w:t>
      </w:r>
      <w:r>
        <w:rPr>
          <w:rFonts w:hint="eastAsia" w:ascii="仿宋_GB2312" w:hAnsi="仿宋_GB2312" w:eastAsia="仿宋_GB2312" w:cs="仿宋_GB2312"/>
          <w:color w:val="auto"/>
          <w:spacing w:val="0"/>
          <w:kern w:val="2"/>
          <w:position w:val="0"/>
          <w:sz w:val="32"/>
          <w:szCs w:val="24"/>
          <w:shd w:val="clear" w:fill="auto"/>
          <w:lang w:val="en-US" w:eastAsia="zh-CN" w:bidi="ar-SA"/>
        </w:rPr>
        <w:t>10</w:t>
      </w:r>
      <w:r>
        <w:rPr>
          <w:rFonts w:hint="default" w:ascii="仿宋_GB2312" w:hAnsi="仿宋_GB2312" w:eastAsia="仿宋_GB2312" w:cs="仿宋_GB2312"/>
          <w:color w:val="auto"/>
          <w:spacing w:val="0"/>
          <w:kern w:val="2"/>
          <w:position w:val="0"/>
          <w:sz w:val="32"/>
          <w:szCs w:val="24"/>
          <w:shd w:val="clear" w:fill="auto"/>
          <w:lang w:val="en-US" w:eastAsia="zh-CN" w:bidi="ar-SA"/>
        </w:rPr>
        <w:t>个，行政工勤编制1个，事业编制4个。在职</w:t>
      </w:r>
      <w:r>
        <w:rPr>
          <w:rFonts w:hint="eastAsia" w:ascii="仿宋_GB2312" w:hAnsi="仿宋_GB2312" w:eastAsia="仿宋_GB2312" w:cs="仿宋_GB2312"/>
          <w:color w:val="auto"/>
          <w:spacing w:val="0"/>
          <w:kern w:val="2"/>
          <w:position w:val="0"/>
          <w:sz w:val="32"/>
          <w:szCs w:val="24"/>
          <w:shd w:val="clear" w:fill="auto"/>
          <w:lang w:val="en-US" w:eastAsia="zh-CN" w:bidi="ar-SA"/>
        </w:rPr>
        <w:t>15</w:t>
      </w:r>
      <w:r>
        <w:rPr>
          <w:rFonts w:hint="default" w:ascii="仿宋_GB2312" w:hAnsi="仿宋_GB2312" w:eastAsia="仿宋_GB2312" w:cs="仿宋_GB2312"/>
          <w:color w:val="auto"/>
          <w:spacing w:val="0"/>
          <w:kern w:val="2"/>
          <w:position w:val="0"/>
          <w:sz w:val="32"/>
          <w:szCs w:val="24"/>
          <w:shd w:val="clear" w:fill="auto"/>
          <w:lang w:val="en-US" w:eastAsia="zh-CN" w:bidi="ar-SA"/>
        </w:rPr>
        <w:t>人，行政工勤1个，公务员</w:t>
      </w:r>
      <w:r>
        <w:rPr>
          <w:rFonts w:hint="eastAsia" w:ascii="仿宋_GB2312" w:hAnsi="仿宋_GB2312" w:eastAsia="仿宋_GB2312" w:cs="仿宋_GB2312"/>
          <w:color w:val="auto"/>
          <w:spacing w:val="0"/>
          <w:kern w:val="2"/>
          <w:position w:val="0"/>
          <w:sz w:val="32"/>
          <w:szCs w:val="24"/>
          <w:shd w:val="clear" w:fill="auto"/>
          <w:lang w:val="en-US" w:eastAsia="zh-CN" w:bidi="ar-SA"/>
        </w:rPr>
        <w:t>10</w:t>
      </w:r>
      <w:r>
        <w:rPr>
          <w:rFonts w:hint="default" w:ascii="仿宋_GB2312" w:hAnsi="仿宋_GB2312" w:eastAsia="仿宋_GB2312" w:cs="仿宋_GB2312"/>
          <w:color w:val="auto"/>
          <w:spacing w:val="0"/>
          <w:kern w:val="2"/>
          <w:position w:val="0"/>
          <w:sz w:val="32"/>
          <w:szCs w:val="24"/>
          <w:shd w:val="clear" w:fill="auto"/>
          <w:lang w:val="en-US" w:eastAsia="zh-CN" w:bidi="ar-SA"/>
        </w:rPr>
        <w:t>人，事业编制4人，退休</w:t>
      </w:r>
      <w:r>
        <w:rPr>
          <w:rFonts w:hint="eastAsia" w:ascii="仿宋_GB2312" w:hAnsi="仿宋_GB2312" w:eastAsia="仿宋_GB2312" w:cs="仿宋_GB2312"/>
          <w:color w:val="auto"/>
          <w:spacing w:val="0"/>
          <w:kern w:val="2"/>
          <w:position w:val="0"/>
          <w:sz w:val="32"/>
          <w:szCs w:val="24"/>
          <w:shd w:val="clear" w:fill="auto"/>
          <w:lang w:val="en-US" w:eastAsia="zh-CN" w:bidi="ar-SA"/>
        </w:rPr>
        <w:t>4</w:t>
      </w:r>
      <w:r>
        <w:rPr>
          <w:rFonts w:hint="default" w:ascii="仿宋_GB2312" w:hAnsi="仿宋_GB2312" w:eastAsia="仿宋_GB2312" w:cs="仿宋_GB2312"/>
          <w:color w:val="auto"/>
          <w:spacing w:val="0"/>
          <w:kern w:val="2"/>
          <w:position w:val="0"/>
          <w:sz w:val="32"/>
          <w:szCs w:val="24"/>
          <w:shd w:val="clear" w:fill="auto"/>
          <w:lang w:val="en-US" w:eastAsia="zh-CN" w:bidi="ar-SA"/>
        </w:rPr>
        <w:t>人</w:t>
      </w:r>
      <w:bookmarkEnd w:id="63"/>
      <w:bookmarkEnd w:id="64"/>
      <w:r>
        <w:rPr>
          <w:rFonts w:hint="eastAsia" w:ascii="仿宋_GB2312" w:hAnsi="仿宋_GB2312" w:eastAsia="仿宋_GB2312" w:cs="仿宋_GB2312"/>
          <w:color w:val="auto"/>
          <w:spacing w:val="0"/>
          <w:kern w:val="2"/>
          <w:position w:val="0"/>
          <w:sz w:val="32"/>
          <w:szCs w:val="24"/>
          <w:shd w:val="clear" w:fill="auto"/>
          <w:lang w:val="en-US" w:eastAsia="zh-CN" w:bidi="ar-SA"/>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w:t>
      </w:r>
      <w:r>
        <w:rPr>
          <w:rFonts w:hint="eastAsia" w:ascii="仿宋_GB2312" w:eastAsia="仿宋_GB2312"/>
          <w:sz w:val="32"/>
          <w:szCs w:val="32"/>
          <w:lang w:val="en-US" w:eastAsia="zh-CN"/>
        </w:rPr>
        <w:t>红原县民族宗教局</w:t>
      </w:r>
      <w:r>
        <w:rPr>
          <w:rFonts w:hint="eastAsia" w:ascii="仿宋_GB2312" w:eastAsia="仿宋_GB2312"/>
          <w:sz w:val="32"/>
          <w:szCs w:val="32"/>
        </w:rPr>
        <w:t>收入预算总额为</w:t>
      </w:r>
      <w:r>
        <w:rPr>
          <w:rFonts w:hint="eastAsia" w:ascii="仿宋_GB2312" w:eastAsia="仿宋_GB2312"/>
          <w:sz w:val="32"/>
          <w:szCs w:val="32"/>
          <w:lang w:val="en-US" w:eastAsia="zh-CN"/>
        </w:rPr>
        <w:t>429.72</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429.72</w:t>
      </w:r>
      <w:r>
        <w:rPr>
          <w:rFonts w:hint="eastAsia" w:ascii="仿宋_GB2312" w:eastAsia="仿宋_GB2312"/>
          <w:sz w:val="32"/>
          <w:szCs w:val="32"/>
        </w:rPr>
        <w:t>万元。相应安排支出预算</w:t>
      </w:r>
      <w:r>
        <w:rPr>
          <w:rFonts w:hint="eastAsia" w:ascii="仿宋_GB2312" w:eastAsia="仿宋_GB2312"/>
          <w:sz w:val="32"/>
          <w:szCs w:val="32"/>
          <w:lang w:val="en-US" w:eastAsia="zh-CN"/>
        </w:rPr>
        <w:t>429.72</w:t>
      </w:r>
      <w:r>
        <w:rPr>
          <w:rFonts w:hint="eastAsia" w:ascii="仿宋_GB2312" w:eastAsia="仿宋_GB2312"/>
          <w:sz w:val="32"/>
          <w:szCs w:val="32"/>
        </w:rPr>
        <w:t>万元，其中：一般公共服务</w:t>
      </w:r>
      <w:r>
        <w:rPr>
          <w:rFonts w:hint="eastAsia" w:ascii="仿宋_GB2312" w:eastAsia="仿宋_GB2312"/>
          <w:sz w:val="32"/>
          <w:szCs w:val="32"/>
          <w:lang w:val="en-US" w:eastAsia="zh-CN"/>
        </w:rPr>
        <w:t>324.34</w:t>
      </w:r>
      <w:r>
        <w:rPr>
          <w:rFonts w:hint="eastAsia" w:ascii="仿宋_GB2312" w:eastAsia="仿宋_GB2312"/>
          <w:sz w:val="32"/>
          <w:szCs w:val="32"/>
        </w:rPr>
        <w:t>万元，社会保障和就业</w:t>
      </w:r>
      <w:r>
        <w:rPr>
          <w:rFonts w:hint="eastAsia" w:ascii="仿宋_GB2312" w:eastAsia="仿宋_GB2312"/>
          <w:sz w:val="32"/>
          <w:szCs w:val="32"/>
          <w:lang w:val="en-US" w:eastAsia="zh-CN"/>
        </w:rPr>
        <w:t>54.91</w:t>
      </w:r>
      <w:r>
        <w:rPr>
          <w:rFonts w:hint="eastAsia" w:ascii="仿宋_GB2312" w:eastAsia="仿宋_GB2312"/>
          <w:sz w:val="32"/>
          <w:szCs w:val="32"/>
        </w:rPr>
        <w:t>万元，医疗卫生</w:t>
      </w:r>
      <w:r>
        <w:rPr>
          <w:rFonts w:hint="eastAsia" w:ascii="仿宋_GB2312" w:eastAsia="仿宋_GB2312"/>
          <w:sz w:val="32"/>
          <w:szCs w:val="32"/>
          <w:lang w:val="en-US" w:eastAsia="zh-CN"/>
        </w:rPr>
        <w:t>20.22</w:t>
      </w:r>
      <w:r>
        <w:rPr>
          <w:rFonts w:hint="eastAsia" w:ascii="仿宋_GB2312" w:eastAsia="仿宋_GB2312"/>
          <w:sz w:val="32"/>
          <w:szCs w:val="32"/>
        </w:rPr>
        <w:t>万元，住房保障支出</w:t>
      </w:r>
      <w:r>
        <w:rPr>
          <w:rFonts w:hint="eastAsia" w:ascii="仿宋_GB2312" w:eastAsia="仿宋_GB2312"/>
          <w:sz w:val="32"/>
          <w:szCs w:val="32"/>
          <w:lang w:val="en-US" w:eastAsia="zh-CN"/>
        </w:rPr>
        <w:t>30.26</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红原县民族宗教局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民族</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416.32</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365.29万元，机关运行经费51.02万元，其中：办公费12.46万元，差旅费8万元，工会经费2.74万元，公务用车运行维护费5.86万元</w:t>
      </w:r>
      <w:r>
        <w:rPr>
          <w:rFonts w:hint="eastAsia" w:ascii="仿宋_GB2312" w:eastAsia="仿宋_GB2312"/>
          <w:sz w:val="32"/>
          <w:szCs w:val="32"/>
          <w:lang w:eastAsia="zh-CN"/>
        </w:rPr>
        <w:t>，</w:t>
      </w:r>
      <w:r>
        <w:rPr>
          <w:rFonts w:hint="eastAsia" w:ascii="仿宋_GB2312" w:eastAsia="仿宋_GB2312"/>
          <w:sz w:val="32"/>
          <w:szCs w:val="32"/>
          <w:lang w:val="en-US" w:eastAsia="zh-CN"/>
        </w:rPr>
        <w:t>印刷费3.8万元，水费0.52万元，电费0.6万元，邮电费0.5万元，取暖费0.7万元，培训费0.7万元，公务接待费0.28万元，委托业务费4.5万元，福利费6.71万元，其他商品和服务支出3.66万元。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324.34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54.91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20.22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30.26</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429.72万元较上年度预算415.12万元增加了3.52%，其中基本行政运行经费预算416.32万元，占全部总预算的96.88%，较上年401.72万元增加了3.63%，原因为人员经费开支增加；专项业务工作经费预算13.4万元，占总预算的3.12%，较上年预算13.4万元减少了0%。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本年度三公经费预算安排支出为6.14万元，其中：出国费0万元，与上年持平，主要原因为未安排因公出国；公车购置费</w:t>
      </w:r>
      <w:r>
        <w:rPr>
          <w:rFonts w:hint="eastAsia" w:ascii="仿宋_GB2312" w:eastAsia="仿宋_GB2312"/>
          <w:sz w:val="32"/>
          <w:szCs w:val="32"/>
        </w:rPr>
        <w:t>**</w:t>
      </w:r>
      <w:r>
        <w:rPr>
          <w:rFonts w:hint="eastAsia" w:ascii="仿宋_GB2312" w:eastAsia="仿宋_GB2312"/>
          <w:sz w:val="32"/>
          <w:szCs w:val="32"/>
          <w:lang w:val="en-US" w:eastAsia="zh-CN"/>
        </w:rPr>
        <w:t>元，与上年减少/持平/增加；公务用车维护费支出5.86万元，较上年度预算6.46万元略有减少，主要原因严格执行“八项规定、六项禁令”；二是将有关股室的工作有机地结合起来，减少不必要的资源浪费。较上年度预算减0.28万元，较上年度预算持平，主要原因为本年度我们将严格执行“八项规定、六项禁令”，结合本年度工作需要，减少不必 要的开支。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截止2024年底，实际共有固定资产原值价值61.24</w:t>
      </w:r>
      <w:r>
        <w:rPr>
          <w:rFonts w:hint="eastAsia" w:ascii="仿宋_GB2312" w:eastAsia="仿宋_GB2312"/>
          <w:sz w:val="32"/>
          <w:szCs w:val="32"/>
          <w:lang w:eastAsia="zh-CN"/>
        </w:rPr>
        <w:t>万元：其中：通用设备</w:t>
      </w:r>
      <w:r>
        <w:rPr>
          <w:rFonts w:hint="eastAsia" w:ascii="仿宋_GB2312" w:eastAsia="仿宋_GB2312"/>
          <w:sz w:val="32"/>
          <w:szCs w:val="32"/>
          <w:lang w:val="en-US" w:eastAsia="zh-CN"/>
        </w:rPr>
        <w:t>55.3</w:t>
      </w:r>
      <w:r>
        <w:rPr>
          <w:rFonts w:hint="eastAsia" w:ascii="仿宋_GB2312" w:eastAsia="仿宋_GB2312"/>
          <w:sz w:val="32"/>
          <w:szCs w:val="32"/>
          <w:lang w:eastAsia="zh-CN"/>
        </w:rPr>
        <w:t>万元，家具、用具、装具及动植物</w:t>
      </w:r>
      <w:r>
        <w:rPr>
          <w:rFonts w:hint="eastAsia" w:ascii="仿宋_GB2312" w:eastAsia="仿宋_GB2312"/>
          <w:sz w:val="32"/>
          <w:szCs w:val="32"/>
          <w:lang w:val="en-US" w:eastAsia="zh-CN"/>
        </w:rPr>
        <w:t>5.94万元。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8251605"/>
    <w:rsid w:val="0B6443E2"/>
    <w:rsid w:val="159F529C"/>
    <w:rsid w:val="190F58F8"/>
    <w:rsid w:val="19C1402F"/>
    <w:rsid w:val="20BD1CB1"/>
    <w:rsid w:val="28F0327D"/>
    <w:rsid w:val="2D8F0F59"/>
    <w:rsid w:val="2F980FFC"/>
    <w:rsid w:val="49264773"/>
    <w:rsid w:val="494F57F1"/>
    <w:rsid w:val="588D5A68"/>
    <w:rsid w:val="5F78432A"/>
    <w:rsid w:val="74941C62"/>
    <w:rsid w:val="79F026D6"/>
    <w:rsid w:val="7DF84C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rPr>
      <w:rFonts w:ascii="Times New Roman" w:hAnsi="Times New Roman" w:eastAsia="宋体" w:cs="Times New Roman"/>
    </w:rPr>
  </w:style>
  <w:style w:type="paragraph" w:styleId="3">
    <w:name w:val="Body Text Indent"/>
    <w:basedOn w:val="1"/>
    <w:next w:val="2"/>
    <w:qFormat/>
    <w:uiPriority w:val="0"/>
    <w:pPr>
      <w:widowControl/>
      <w:spacing w:line="540" w:lineRule="exact"/>
      <w:ind w:firstLine="200" w:firstLineChars="200"/>
      <w:textAlignment w:val="baseline"/>
    </w:pPr>
    <w:rPr>
      <w:rFonts w:ascii="Times New Roman" w:hAnsi="Times New Roman" w:eastAsia="仿宋_GB2312" w:cs="Times New Roman"/>
      <w:color w:val="000000"/>
      <w:kern w:val="0"/>
      <w:sz w:val="32"/>
      <w:szCs w:val="32"/>
    </w:rPr>
  </w:style>
  <w:style w:type="paragraph" w:styleId="4">
    <w:name w:val="Body Text"/>
    <w:basedOn w:val="1"/>
    <w:uiPriority w:val="0"/>
    <w:pPr>
      <w:spacing w:before="93" w:beforeLines="30"/>
    </w:pPr>
    <w:rPr>
      <w:rFonts w:ascii="仿宋_GB2312" w:eastAsia="仿宋_GB2312"/>
      <w:sz w:val="30"/>
    </w:rPr>
  </w:style>
  <w:style w:type="paragraph" w:styleId="5">
    <w:name w:val="table of figures"/>
    <w:basedOn w:val="1"/>
    <w:next w:val="1"/>
    <w:qFormat/>
    <w:uiPriority w:val="0"/>
    <w:pPr>
      <w:ind w:leftChars="200" w:hanging="200" w:hangingChars="200"/>
    </w:pPr>
  </w:style>
  <w:style w:type="character" w:customStyle="1" w:styleId="8">
    <w:name w:val="NormalCharacter"/>
    <w:qFormat/>
    <w:uiPriority w:val="0"/>
    <w:rPr>
      <w:rFonts w:ascii="Calibri" w:hAnsi="Calibri" w:eastAsia="宋体"/>
      <w:lang w:val="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Admin</cp:lastModifiedBy>
  <dcterms:modified xsi:type="dcterms:W3CDTF">2025-05-28T10:32:19Z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221D4583F32B4D2A83BFF44AB51B959B</vt:lpwstr>
  </property>
</Properties>
</file>