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rPr>
      </w:pPr>
      <w:bookmarkStart w:id="0" w:name="_GoBack"/>
      <w:bookmarkEnd w:id="0"/>
      <w:r>
        <w:rPr>
          <w:rFonts w:hint="eastAsia" w:ascii="方正小标宋简体" w:hAnsi="方正小标宋简体" w:eastAsia="方正小标宋简体" w:cs="方正小标宋简体"/>
          <w:b w:val="0"/>
          <w:bCs/>
          <w:sz w:val="44"/>
          <w:szCs w:val="44"/>
          <w:lang w:eastAsia="zh-CN"/>
        </w:rPr>
        <w:t>红原县人民政府办公室</w:t>
      </w:r>
    </w:p>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eastAsia="zh-CN"/>
        </w:rPr>
        <w:t>202</w:t>
      </w:r>
      <w:r>
        <w:rPr>
          <w:rFonts w:hint="eastAsia" w:ascii="方正小标宋简体" w:hAnsi="方正小标宋简体" w:eastAsia="方正小标宋简体" w:cs="方正小标宋简体"/>
          <w:b w:val="0"/>
          <w:bCs/>
          <w:sz w:val="44"/>
          <w:szCs w:val="44"/>
          <w:lang w:val="en-US" w:eastAsia="zh-CN"/>
        </w:rPr>
        <w:t>5</w:t>
      </w:r>
      <w:r>
        <w:rPr>
          <w:rFonts w:hint="eastAsia" w:ascii="方正小标宋简体" w:hAnsi="方正小标宋简体" w:eastAsia="方正小标宋简体" w:cs="方正小标宋简体"/>
          <w:b w:val="0"/>
          <w:bCs/>
          <w:sz w:val="44"/>
          <w:szCs w:val="44"/>
          <w:lang w:eastAsia="zh-CN"/>
        </w:rPr>
        <w:t>年</w:t>
      </w:r>
      <w:r>
        <w:rPr>
          <w:rFonts w:hint="eastAsia" w:ascii="方正小标宋简体" w:hAnsi="方正小标宋简体" w:eastAsia="方正小标宋简体" w:cs="方正小标宋简体"/>
          <w:b w:val="0"/>
          <w:bCs/>
          <w:sz w:val="44"/>
          <w:szCs w:val="44"/>
        </w:rPr>
        <w:t>部门预算编制的说明</w:t>
      </w:r>
    </w:p>
    <w:p>
      <w:pPr>
        <w:pStyle w:val="2"/>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r>
        <w:rPr>
          <w:rFonts w:hint="eastAsia" w:ascii="宋体" w:hAnsi="宋体" w:eastAsia="宋体"/>
          <w:b/>
          <w:sz w:val="44"/>
          <w:szCs w:val="44"/>
        </w:rPr>
        <w:t xml:space="preserve">    </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ascii="宋体" w:hAnsi="宋体" w:eastAsia="宋体"/>
          <w:b/>
          <w:sz w:val="44"/>
          <w:szCs w:val="44"/>
        </w:rPr>
      </w:pPr>
      <w:r>
        <w:rPr>
          <w:rFonts w:hint="eastAsia"/>
          <w:sz w:val="32"/>
          <w:szCs w:val="32"/>
        </w:rPr>
        <w:t>按照预算管理有关规定，目前部门预算的编制实行综合预算制度，即全部收入和支出都反映在预算中。</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一、基本职能及主要工作</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4"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（一）基本职能</w:t>
      </w:r>
    </w:p>
    <w:p>
      <w:pPr>
        <w:pStyle w:val="2"/>
        <w:adjustRightInd w:val="0"/>
        <w:snapToGrid w:val="0"/>
        <w:spacing w:before="93" w:line="560" w:lineRule="exact"/>
        <w:ind w:firstLine="640" w:firstLineChars="200"/>
        <w:rPr>
          <w:sz w:val="32"/>
          <w:szCs w:val="32"/>
        </w:rPr>
      </w:pPr>
      <w:r>
        <w:rPr>
          <w:rFonts w:hint="eastAsia"/>
          <w:sz w:val="32"/>
          <w:szCs w:val="32"/>
        </w:rPr>
        <w:t>协助县政府领导组织起草或审核以县政府、县政府办公室名义发布的公文。办理州政府、州政府办公室及各州直部门发送县政府的文电。指导全县行政机关公文处理工作。</w:t>
      </w:r>
    </w:p>
    <w:p>
      <w:pPr>
        <w:pStyle w:val="2"/>
        <w:adjustRightInd w:val="0"/>
        <w:snapToGrid w:val="0"/>
        <w:spacing w:before="93" w:line="560" w:lineRule="exact"/>
        <w:ind w:firstLine="640" w:firstLineChars="200"/>
        <w:rPr>
          <w:sz w:val="32"/>
          <w:szCs w:val="32"/>
        </w:rPr>
      </w:pPr>
      <w:r>
        <w:rPr>
          <w:rFonts w:hint="eastAsia"/>
          <w:sz w:val="32"/>
          <w:szCs w:val="32"/>
        </w:rPr>
        <w:t>研究县政府各部门和各乡、镇人民政府请示县政府的事项，提出审核意见，报县政府领导审批。</w:t>
      </w:r>
    </w:p>
    <w:p>
      <w:pPr>
        <w:pStyle w:val="2"/>
        <w:adjustRightInd w:val="0"/>
        <w:snapToGrid w:val="0"/>
        <w:spacing w:before="93" w:line="560" w:lineRule="exact"/>
        <w:ind w:firstLine="640" w:firstLineChars="200"/>
        <w:rPr>
          <w:sz w:val="32"/>
          <w:szCs w:val="32"/>
        </w:rPr>
      </w:pPr>
      <w:r>
        <w:rPr>
          <w:rFonts w:hint="eastAsia"/>
          <w:sz w:val="32"/>
          <w:szCs w:val="32"/>
        </w:rPr>
        <w:t>负责县政府会议的准备工作，协助县政府领导组织实施会议决定事项。根据县政府领导的指示，对县政府各部门和各乡、镇人民政府间争议问题提出处理意见和建议，报县政府领导决定。</w:t>
      </w:r>
    </w:p>
    <w:p>
      <w:pPr>
        <w:pStyle w:val="2"/>
        <w:adjustRightInd w:val="0"/>
        <w:snapToGrid w:val="0"/>
        <w:spacing w:before="93" w:line="560" w:lineRule="exact"/>
        <w:ind w:firstLine="640" w:firstLineChars="200"/>
        <w:rPr>
          <w:sz w:val="32"/>
          <w:szCs w:val="32"/>
        </w:rPr>
      </w:pPr>
      <w:r>
        <w:rPr>
          <w:rFonts w:hint="eastAsia"/>
          <w:sz w:val="32"/>
          <w:szCs w:val="32"/>
        </w:rPr>
        <w:t>督促检查县政府各部门和各乡、镇人民政府对县政府决定事项及县政府领导指示的贯彻落实情况，及时向县政府领导报告。</w:t>
      </w:r>
    </w:p>
    <w:p>
      <w:pPr>
        <w:pStyle w:val="2"/>
        <w:adjustRightInd w:val="0"/>
        <w:snapToGrid w:val="0"/>
        <w:spacing w:before="93" w:line="560" w:lineRule="exact"/>
        <w:ind w:firstLine="640" w:firstLineChars="200"/>
        <w:rPr>
          <w:sz w:val="32"/>
          <w:szCs w:val="32"/>
        </w:rPr>
      </w:pPr>
      <w:r>
        <w:rPr>
          <w:rFonts w:hint="eastAsia"/>
          <w:sz w:val="32"/>
          <w:szCs w:val="32"/>
        </w:rPr>
        <w:t>负责县政府值班工作，指导各乡、镇人民政府和全县政府各部门值班工作，及时报告重要情况。</w:t>
      </w:r>
    </w:p>
    <w:p>
      <w:pPr>
        <w:widowControl/>
        <w:ind w:firstLine="640" w:firstLineChars="200"/>
        <w:jc w:val="left"/>
        <w:rPr>
          <w:rFonts w:ascii="仿宋_GB2312" w:hAnsi="仿宋_GB2312" w:eastAsia="仿宋_GB2312" w:cs="仿宋_GB2312"/>
          <w:color w:val="333333"/>
          <w:kern w:val="0"/>
          <w:sz w:val="32"/>
          <w:szCs w:val="32"/>
          <w:shd w:val="clear" w:color="auto" w:fill="FFFFFF"/>
        </w:rPr>
      </w:pPr>
      <w:r>
        <w:rPr>
          <w:rFonts w:hint="eastAsia" w:ascii="仿宋_GB2312" w:hAnsi="仿宋_GB2312" w:eastAsia="仿宋_GB2312" w:cs="仿宋_GB2312"/>
          <w:color w:val="333333"/>
          <w:kern w:val="0"/>
          <w:sz w:val="32"/>
          <w:szCs w:val="32"/>
          <w:shd w:val="clear" w:color="auto" w:fill="FFFFFF"/>
        </w:rPr>
        <w:t>指导、监督全县政府信息公开工作和机关行政效能建设工作，指导、监督全县政府系统电子政务工作和政府网站建设。</w:t>
      </w:r>
    </w:p>
    <w:p>
      <w:pPr>
        <w:pStyle w:val="2"/>
        <w:adjustRightInd w:val="0"/>
        <w:snapToGrid w:val="0"/>
        <w:spacing w:before="93" w:line="560" w:lineRule="exact"/>
        <w:ind w:firstLine="640" w:firstLineChars="200"/>
        <w:rPr>
          <w:sz w:val="32"/>
          <w:szCs w:val="32"/>
        </w:rPr>
      </w:pPr>
      <w:r>
        <w:rPr>
          <w:rFonts w:hint="eastAsia"/>
          <w:sz w:val="32"/>
          <w:szCs w:val="32"/>
        </w:rPr>
        <w:t>组织办理涉及县政府工作的人大代表议案、批评、建议和政协委员提案、建议案工作。</w:t>
      </w:r>
    </w:p>
    <w:p>
      <w:pPr>
        <w:pStyle w:val="2"/>
        <w:adjustRightInd w:val="0"/>
        <w:snapToGrid w:val="0"/>
        <w:spacing w:before="93" w:line="560" w:lineRule="exact"/>
        <w:ind w:firstLine="640" w:firstLineChars="200"/>
        <w:rPr>
          <w:sz w:val="32"/>
          <w:szCs w:val="32"/>
        </w:rPr>
      </w:pPr>
      <w:r>
        <w:rPr>
          <w:rFonts w:hint="eastAsia"/>
          <w:sz w:val="32"/>
          <w:szCs w:val="32"/>
        </w:rPr>
        <w:t>指导全县应急管理工作，协助县政府领导做好需由县政府组织处理的突发事件的应急处置工作。</w:t>
      </w:r>
    </w:p>
    <w:p>
      <w:pPr>
        <w:pStyle w:val="2"/>
        <w:adjustRightInd w:val="0"/>
        <w:snapToGrid w:val="0"/>
        <w:spacing w:before="93" w:line="560" w:lineRule="exact"/>
        <w:ind w:firstLine="640" w:firstLineChars="200"/>
        <w:rPr>
          <w:sz w:val="32"/>
          <w:szCs w:val="32"/>
        </w:rPr>
      </w:pPr>
      <w:r>
        <w:rPr>
          <w:rFonts w:hint="eastAsia"/>
          <w:sz w:val="32"/>
          <w:szCs w:val="32"/>
        </w:rPr>
        <w:t>围绕县政府中心工作和县政府领导的指示，组织专题调查研究，及时反映情况，提出政策性建议。</w:t>
      </w:r>
    </w:p>
    <w:p>
      <w:pPr>
        <w:pStyle w:val="2"/>
        <w:adjustRightInd w:val="0"/>
        <w:snapToGrid w:val="0"/>
        <w:spacing w:before="93" w:line="560" w:lineRule="exact"/>
        <w:ind w:firstLine="640" w:firstLineChars="200"/>
        <w:rPr>
          <w:sz w:val="32"/>
          <w:szCs w:val="32"/>
        </w:rPr>
      </w:pPr>
      <w:r>
        <w:rPr>
          <w:rFonts w:hint="eastAsia"/>
          <w:sz w:val="32"/>
          <w:szCs w:val="32"/>
        </w:rPr>
        <w:t>指导全县政务服务中心建设，组织全县各部门集中开展行政审批和公共服务。</w:t>
      </w:r>
    </w:p>
    <w:p>
      <w:pPr>
        <w:pStyle w:val="2"/>
        <w:adjustRightInd w:val="0"/>
        <w:snapToGrid w:val="0"/>
        <w:spacing w:before="93" w:line="560" w:lineRule="exact"/>
        <w:ind w:firstLine="640" w:firstLineChars="200"/>
        <w:rPr>
          <w:sz w:val="32"/>
          <w:szCs w:val="32"/>
        </w:rPr>
      </w:pPr>
      <w:r>
        <w:rPr>
          <w:rFonts w:hint="eastAsia"/>
          <w:sz w:val="32"/>
          <w:szCs w:val="32"/>
        </w:rPr>
        <w:t>负责县政府人民防空和民防工作，指导全县人民防空和民防工作。</w:t>
      </w:r>
    </w:p>
    <w:p>
      <w:pPr>
        <w:widowControl/>
        <w:ind w:firstLine="640" w:firstLineChars="200"/>
        <w:jc w:val="left"/>
        <w:rPr>
          <w:rFonts w:ascii="仿宋_GB2312" w:hAnsi="仿宋_GB2312" w:eastAsia="仿宋_GB2312" w:cs="仿宋_GB2312"/>
          <w:color w:val="333333"/>
          <w:kern w:val="0"/>
          <w:sz w:val="32"/>
          <w:szCs w:val="32"/>
          <w:shd w:val="clear" w:color="auto" w:fill="FFFFFF"/>
        </w:rPr>
      </w:pPr>
      <w:r>
        <w:rPr>
          <w:rFonts w:hint="eastAsia" w:ascii="仿宋_GB2312" w:hAnsi="仿宋_GB2312" w:eastAsia="仿宋_GB2312" w:cs="仿宋_GB2312"/>
          <w:color w:val="333333"/>
          <w:kern w:val="0"/>
          <w:sz w:val="32"/>
          <w:szCs w:val="32"/>
          <w:shd w:val="clear" w:color="auto" w:fill="FFFFFF"/>
        </w:rPr>
        <w:t>负责全县机关</w:t>
      </w:r>
      <w:r>
        <w:rPr>
          <w:rFonts w:hint="eastAsia" w:ascii="仿宋_GB2312" w:hAnsi="仿宋_GB2312" w:eastAsia="仿宋_GB2312" w:cs="仿宋_GB2312"/>
          <w:color w:val="333333"/>
          <w:kern w:val="0"/>
          <w:sz w:val="32"/>
          <w:szCs w:val="32"/>
          <w:shd w:val="clear" w:color="auto" w:fill="FFFFFF"/>
          <w:lang w:eastAsia="zh-CN"/>
        </w:rPr>
        <w:t>事务工作，开展机关节能单位创建，对</w:t>
      </w:r>
      <w:r>
        <w:rPr>
          <w:rFonts w:hint="eastAsia" w:ascii="仿宋_GB2312" w:hAnsi="仿宋_GB2312" w:eastAsia="仿宋_GB2312" w:cs="仿宋_GB2312"/>
          <w:color w:val="333333"/>
          <w:kern w:val="0"/>
          <w:sz w:val="32"/>
          <w:szCs w:val="32"/>
          <w:shd w:val="clear" w:color="auto" w:fill="FFFFFF"/>
        </w:rPr>
        <w:t>事业单位小汽车编制</w:t>
      </w:r>
      <w:r>
        <w:rPr>
          <w:rFonts w:hint="eastAsia" w:ascii="仿宋_GB2312" w:hAnsi="仿宋_GB2312" w:eastAsia="仿宋_GB2312" w:cs="仿宋_GB2312"/>
          <w:color w:val="333333"/>
          <w:kern w:val="0"/>
          <w:sz w:val="32"/>
          <w:szCs w:val="32"/>
          <w:shd w:val="clear" w:color="auto" w:fill="FFFFFF"/>
          <w:lang w:eastAsia="zh-CN"/>
        </w:rPr>
        <w:t>进行</w:t>
      </w:r>
      <w:r>
        <w:rPr>
          <w:rFonts w:hint="eastAsia" w:ascii="仿宋_GB2312" w:hAnsi="仿宋_GB2312" w:eastAsia="仿宋_GB2312" w:cs="仿宋_GB2312"/>
          <w:color w:val="333333"/>
          <w:kern w:val="0"/>
          <w:sz w:val="32"/>
          <w:szCs w:val="32"/>
          <w:shd w:val="clear" w:color="auto" w:fill="FFFFFF"/>
        </w:rPr>
        <w:t>审核报批事项。</w:t>
      </w:r>
    </w:p>
    <w:p>
      <w:pPr>
        <w:widowControl/>
        <w:ind w:firstLine="640" w:firstLineChars="200"/>
        <w:jc w:val="left"/>
        <w:rPr>
          <w:rFonts w:hint="eastAsia"/>
          <w:bCs/>
          <w:sz w:val="32"/>
          <w:szCs w:val="32"/>
          <w:lang w:eastAsia="zh-CN"/>
        </w:rPr>
      </w:pPr>
      <w:r>
        <w:rPr>
          <w:rFonts w:hint="eastAsia" w:ascii="仿宋_GB2312" w:hAnsi="仿宋_GB2312" w:eastAsia="仿宋_GB2312" w:cs="仿宋_GB2312"/>
          <w:color w:val="333333"/>
          <w:kern w:val="0"/>
          <w:sz w:val="32"/>
          <w:szCs w:val="32"/>
          <w:shd w:val="clear" w:color="auto" w:fill="FFFFFF"/>
        </w:rPr>
        <w:t>承办县政府和县政府领导交办的其他事项。</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4"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（二）202</w:t>
      </w:r>
      <w:r>
        <w:rPr>
          <w:rFonts w:hint="eastAsia" w:ascii="楷体_GB2312" w:hAnsi="楷体_GB2312" w:eastAsia="楷体_GB2312" w:cs="楷体_GB2312"/>
          <w:b/>
          <w:bCs w:val="0"/>
          <w:sz w:val="32"/>
          <w:szCs w:val="32"/>
          <w:lang w:val="en-US" w:eastAsia="zh-CN"/>
        </w:rPr>
        <w:t>5</w:t>
      </w:r>
      <w:r>
        <w:rPr>
          <w:rFonts w:hint="eastAsia" w:ascii="楷体_GB2312" w:hAnsi="楷体_GB2312" w:eastAsia="楷体_GB2312" w:cs="楷体_GB2312"/>
          <w:b/>
          <w:bCs w:val="0"/>
          <w:sz w:val="32"/>
          <w:szCs w:val="32"/>
          <w:lang w:eastAsia="zh-CN"/>
        </w:rPr>
        <w:t>年重点工作任务</w:t>
      </w:r>
    </w:p>
    <w:p>
      <w:pPr>
        <w:keepNext w:val="0"/>
        <w:keepLines w:val="0"/>
        <w:pageBreakBefore w:val="0"/>
        <w:widowControl w:val="0"/>
        <w:kinsoku/>
        <w:wordWrap/>
        <w:overflowPunct w:val="0"/>
        <w:topLinePunct w:val="0"/>
        <w:autoSpaceDE/>
        <w:autoSpaceDN/>
        <w:adjustRightInd/>
        <w:snapToGrid/>
        <w:spacing w:before="97" w:beforeLines="31" w:beforeAutospacing="0" w:afterAutospacing="0" w:line="576" w:lineRule="exact"/>
        <w:ind w:firstLine="640" w:firstLineChars="200"/>
        <w:rPr>
          <w:rStyle w:val="6"/>
          <w:rFonts w:hint="eastAsia" w:ascii="Times New Roman" w:hAnsi="Times New Roman" w:eastAsia="仿宋_GB2312" w:cs="Times New Roman"/>
          <w:sz w:val="32"/>
          <w:szCs w:val="32"/>
          <w:lang w:eastAsia="zh-CN"/>
        </w:rPr>
      </w:pPr>
      <w:r>
        <w:rPr>
          <w:rStyle w:val="6"/>
          <w:rFonts w:hint="eastAsia" w:ascii="Times New Roman" w:hAnsi="Times New Roman" w:eastAsia="仿宋_GB2312" w:cs="Times New Roman"/>
          <w:sz w:val="32"/>
          <w:szCs w:val="32"/>
          <w:lang w:eastAsia="zh-CN"/>
        </w:rPr>
        <w:t>2025年是“十四五”规划收官之年。做好政府工作，要在以习近平总书记为核心的党中央坚强领导下，以习近平新时代中国特色社会主义思想为指导，坚定执行新时代党的治藏方略，全面贯彻落实党的二十大和二十届二中、三中全会，省委十二届五次、六次全会，州委十二届五次、六次全会和县委十三届五次、六次全会精神，坚持稳中求进工作总基调，完整准确全面贯彻新发展理念，加快构建新发展格局，推动经济持续回升向好；进一步深化改革、扩大内需和对外开放，建设现代化产业体系，推动科技和产业创新融合发展；更好统筹发展和安全，防范化解重点领域风险，不断提高群众生活水平，推动社会和谐稳定，为奋力建设民族地区高质量发展阿坝典范作出红原贡献。</w:t>
      </w:r>
    </w:p>
    <w:p>
      <w:pPr>
        <w:keepNext w:val="0"/>
        <w:keepLines w:val="0"/>
        <w:pageBreakBefore w:val="0"/>
        <w:widowControl w:val="0"/>
        <w:numPr>
          <w:ilvl w:val="0"/>
          <w:numId w:val="1"/>
        </w:numPr>
        <w:kinsoku/>
        <w:wordWrap/>
        <w:overflowPunct w:val="0"/>
        <w:topLinePunct w:val="0"/>
        <w:autoSpaceDE/>
        <w:autoSpaceDN/>
        <w:adjustRightInd/>
        <w:snapToGrid/>
        <w:spacing w:before="97" w:beforeLines="31" w:beforeAutospacing="0" w:afterAutospacing="0" w:line="576" w:lineRule="exact"/>
        <w:rPr>
          <w:rStyle w:val="6"/>
          <w:rFonts w:hint="eastAsia" w:ascii="Times New Roman" w:hAnsi="Times New Roman" w:eastAsia="仿宋_GB2312" w:cs="Times New Roman"/>
          <w:b/>
          <w:bCs/>
          <w:color w:val="auto"/>
          <w:sz w:val="32"/>
          <w:szCs w:val="32"/>
        </w:rPr>
      </w:pPr>
      <w:r>
        <w:rPr>
          <w:rStyle w:val="6"/>
          <w:rFonts w:hint="eastAsia" w:ascii="Times New Roman" w:hAnsi="Times New Roman" w:eastAsia="仿宋_GB2312" w:cs="Times New Roman"/>
          <w:b/>
          <w:bCs/>
          <w:color w:val="auto"/>
          <w:sz w:val="32"/>
          <w:szCs w:val="32"/>
        </w:rPr>
        <w:t>经济建设与项目攻坚</w:t>
      </w:r>
    </w:p>
    <w:p>
      <w:pPr>
        <w:keepNext w:val="0"/>
        <w:keepLines w:val="0"/>
        <w:pageBreakBefore w:val="0"/>
        <w:widowControl w:val="0"/>
        <w:kinsoku/>
        <w:wordWrap/>
        <w:overflowPunct w:val="0"/>
        <w:topLinePunct w:val="0"/>
        <w:autoSpaceDE/>
        <w:autoSpaceDN/>
        <w:adjustRightInd/>
        <w:snapToGrid/>
        <w:spacing w:before="97" w:beforeLines="31" w:beforeAutospacing="0" w:afterAutospacing="0" w:line="576" w:lineRule="exact"/>
        <w:ind w:firstLine="642" w:firstLineChars="200"/>
        <w:rPr>
          <w:rStyle w:val="6"/>
          <w:rFonts w:hint="eastAsia" w:ascii="Times New Roman" w:hAnsi="Times New Roman" w:eastAsia="仿宋_GB2312" w:cs="Times New Roman"/>
          <w:color w:val="auto"/>
          <w:sz w:val="32"/>
          <w:szCs w:val="32"/>
        </w:rPr>
      </w:pPr>
      <w:r>
        <w:rPr>
          <w:rStyle w:val="6"/>
          <w:rFonts w:ascii="Times New Roman" w:hAnsi="Times New Roman" w:eastAsia="仿宋_GB2312" w:cs="Times New Roman"/>
          <w:b/>
          <w:bCs/>
          <w:color w:val="auto"/>
          <w:sz w:val="32"/>
          <w:szCs w:val="32"/>
        </w:rPr>
        <w:t>一是</w:t>
      </w:r>
      <w:r>
        <w:rPr>
          <w:rStyle w:val="6"/>
          <w:rFonts w:hint="eastAsia" w:ascii="Times New Roman" w:hAnsi="Times New Roman" w:eastAsia="仿宋_GB2312" w:cs="Times New Roman"/>
          <w:b/>
          <w:bCs/>
          <w:color w:val="auto"/>
          <w:sz w:val="32"/>
          <w:szCs w:val="32"/>
        </w:rPr>
        <w:t>推动经济指标“开门红”</w:t>
      </w:r>
      <w:r>
        <w:rPr>
          <w:rStyle w:val="6"/>
          <w:rFonts w:ascii="Times New Roman" w:hAnsi="Times New Roman" w:eastAsia="仿宋_GB2312" w:cs="Times New Roman"/>
          <w:b/>
          <w:bCs/>
          <w:color w:val="auto"/>
          <w:sz w:val="32"/>
          <w:szCs w:val="32"/>
        </w:rPr>
        <w:t>。</w:t>
      </w:r>
      <w:r>
        <w:rPr>
          <w:rStyle w:val="6"/>
          <w:rFonts w:hint="eastAsia" w:ascii="Times New Roman" w:hAnsi="Times New Roman" w:eastAsia="仿宋_GB2312" w:cs="Times New Roman"/>
          <w:color w:val="auto"/>
          <w:sz w:val="32"/>
          <w:szCs w:val="32"/>
        </w:rPr>
        <w:t>聚焦一季度经济调度，围绕重点项目倒排工期，强化经济运行分析，确保固定资产投资、规上工业增加值等指标实现增长。落实“项目为王”导向，抢抓国家“两新”“两重”政策机遇，谋划储备重大项目，争取纳入上级政策性资金池。</w:t>
      </w:r>
      <w:r>
        <w:rPr>
          <w:rStyle w:val="6"/>
          <w:rFonts w:ascii="Times New Roman" w:hAnsi="Times New Roman" w:eastAsia="仿宋_GB2312" w:cs="Times New Roman"/>
          <w:b/>
          <w:bCs/>
          <w:color w:val="auto"/>
          <w:sz w:val="32"/>
          <w:szCs w:val="32"/>
        </w:rPr>
        <w:t>二是</w:t>
      </w:r>
      <w:r>
        <w:rPr>
          <w:rStyle w:val="6"/>
          <w:rFonts w:hint="eastAsia" w:ascii="Times New Roman" w:hAnsi="Times New Roman" w:eastAsia="仿宋_GB2312" w:cs="Times New Roman"/>
          <w:b/>
          <w:bCs/>
          <w:color w:val="auto"/>
          <w:sz w:val="32"/>
          <w:szCs w:val="32"/>
        </w:rPr>
        <w:t>深化项目全周期管理</w:t>
      </w:r>
      <w:r>
        <w:rPr>
          <w:rStyle w:val="6"/>
          <w:rFonts w:ascii="Times New Roman" w:hAnsi="Times New Roman" w:eastAsia="仿宋_GB2312" w:cs="Times New Roman"/>
          <w:b/>
          <w:bCs/>
          <w:color w:val="auto"/>
          <w:sz w:val="32"/>
          <w:szCs w:val="32"/>
        </w:rPr>
        <w:t>。</w:t>
      </w:r>
      <w:r>
        <w:rPr>
          <w:rStyle w:val="6"/>
          <w:rFonts w:hint="eastAsia" w:ascii="Times New Roman" w:hAnsi="Times New Roman" w:eastAsia="仿宋_GB2312" w:cs="Times New Roman"/>
          <w:color w:val="auto"/>
          <w:sz w:val="32"/>
          <w:szCs w:val="32"/>
        </w:rPr>
        <w:t>优化项目联审机制，动态跟踪项目进展，统筹协调困难问题，推动新建项目早开工、续建项目早复工。强化督查考核，采用“四不两直”方式深入项目现场督导，确保工程建设进度与质量。</w:t>
      </w:r>
      <w:r>
        <w:rPr>
          <w:rStyle w:val="6"/>
          <w:rFonts w:ascii="Times New Roman" w:hAnsi="Times New Roman" w:eastAsia="仿宋_GB2312" w:cs="Times New Roman"/>
          <w:b/>
          <w:bCs/>
          <w:color w:val="auto"/>
          <w:sz w:val="32"/>
          <w:szCs w:val="32"/>
        </w:rPr>
        <w:t>三是</w:t>
      </w:r>
      <w:r>
        <w:rPr>
          <w:rStyle w:val="6"/>
          <w:rFonts w:hint="eastAsia" w:ascii="Times New Roman" w:hAnsi="Times New Roman" w:eastAsia="仿宋_GB2312" w:cs="Times New Roman"/>
          <w:b/>
          <w:bCs/>
          <w:color w:val="auto"/>
          <w:sz w:val="32"/>
          <w:szCs w:val="32"/>
        </w:rPr>
        <w:t>招商引资与产业升级</w:t>
      </w:r>
      <w:r>
        <w:rPr>
          <w:rStyle w:val="6"/>
          <w:rFonts w:ascii="Times New Roman" w:hAnsi="Times New Roman" w:eastAsia="仿宋_GB2312" w:cs="Times New Roman"/>
          <w:b/>
          <w:bCs/>
          <w:color w:val="auto"/>
          <w:sz w:val="32"/>
          <w:szCs w:val="32"/>
        </w:rPr>
        <w:t>。</w:t>
      </w:r>
      <w:r>
        <w:rPr>
          <w:rStyle w:val="6"/>
          <w:rFonts w:hint="eastAsia" w:ascii="Times New Roman" w:hAnsi="Times New Roman" w:eastAsia="仿宋_GB2312" w:cs="Times New Roman"/>
          <w:color w:val="auto"/>
          <w:sz w:val="32"/>
          <w:szCs w:val="32"/>
        </w:rPr>
        <w:t>围绕文旅、新能源、特色农牧业等领域绘制招商图谱，开展精准招商与以商招商。同时加快牦牛产业高质量发展，实施激励政策，推动草原畜牧业转型升级试点。</w:t>
      </w:r>
    </w:p>
    <w:p>
      <w:pPr>
        <w:keepNext w:val="0"/>
        <w:keepLines w:val="0"/>
        <w:pageBreakBefore w:val="0"/>
        <w:widowControl w:val="0"/>
        <w:numPr>
          <w:ilvl w:val="0"/>
          <w:numId w:val="1"/>
        </w:numPr>
        <w:kinsoku/>
        <w:wordWrap/>
        <w:overflowPunct w:val="0"/>
        <w:topLinePunct w:val="0"/>
        <w:autoSpaceDE/>
        <w:autoSpaceDN/>
        <w:adjustRightInd/>
        <w:snapToGrid/>
        <w:spacing w:before="97" w:beforeLines="31" w:beforeAutospacing="0" w:afterAutospacing="0" w:line="576" w:lineRule="exact"/>
        <w:rPr>
          <w:rStyle w:val="6"/>
          <w:rFonts w:hint="eastAsia" w:ascii="Times New Roman" w:hAnsi="Times New Roman" w:eastAsia="仿宋_GB2312" w:cs="Times New Roman"/>
          <w:b/>
          <w:bCs/>
          <w:sz w:val="32"/>
          <w:szCs w:val="32"/>
        </w:rPr>
      </w:pPr>
      <w:r>
        <w:rPr>
          <w:rStyle w:val="6"/>
          <w:rFonts w:hint="eastAsia" w:ascii="Times New Roman" w:hAnsi="Times New Roman" w:eastAsia="仿宋_GB2312" w:cs="Times New Roman"/>
          <w:b/>
          <w:bCs/>
          <w:sz w:val="32"/>
          <w:szCs w:val="32"/>
        </w:rPr>
        <w:t>安全生产与防灾减灾</w:t>
      </w:r>
    </w:p>
    <w:p>
      <w:pPr>
        <w:keepNext w:val="0"/>
        <w:keepLines w:val="0"/>
        <w:pageBreakBefore w:val="0"/>
        <w:widowControl w:val="0"/>
        <w:kinsoku/>
        <w:wordWrap/>
        <w:overflowPunct w:val="0"/>
        <w:topLinePunct w:val="0"/>
        <w:autoSpaceDE/>
        <w:autoSpaceDN/>
        <w:adjustRightInd/>
        <w:snapToGrid/>
        <w:spacing w:before="97" w:beforeLines="31" w:beforeAutospacing="0" w:afterAutospacing="0" w:line="576" w:lineRule="exact"/>
        <w:ind w:firstLine="642" w:firstLineChars="200"/>
        <w:rPr>
          <w:rStyle w:val="6"/>
          <w:rFonts w:hint="eastAsia" w:ascii="Times New Roman" w:hAnsi="Times New Roman" w:eastAsia="仿宋_GB2312" w:cs="Times New Roman"/>
          <w:color w:val="auto"/>
          <w:sz w:val="32"/>
          <w:szCs w:val="32"/>
        </w:rPr>
      </w:pPr>
      <w:r>
        <w:rPr>
          <w:rStyle w:val="6"/>
          <w:rFonts w:ascii="Times New Roman" w:hAnsi="Times New Roman" w:eastAsia="仿宋_GB2312" w:cs="Times New Roman"/>
          <w:b/>
          <w:bCs/>
          <w:color w:val="auto"/>
          <w:sz w:val="32"/>
          <w:szCs w:val="32"/>
        </w:rPr>
        <w:t>一是</w:t>
      </w:r>
      <w:r>
        <w:rPr>
          <w:rStyle w:val="6"/>
          <w:rFonts w:hint="eastAsia" w:ascii="Times New Roman" w:hAnsi="Times New Roman" w:eastAsia="仿宋_GB2312" w:cs="Times New Roman"/>
          <w:b/>
          <w:bCs/>
          <w:color w:val="auto"/>
          <w:sz w:val="32"/>
          <w:szCs w:val="32"/>
        </w:rPr>
        <w:t>道路交通保障</w:t>
      </w:r>
      <w:r>
        <w:rPr>
          <w:rStyle w:val="6"/>
          <w:rFonts w:ascii="Times New Roman" w:hAnsi="Times New Roman" w:eastAsia="仿宋_GB2312" w:cs="Times New Roman"/>
          <w:b/>
          <w:bCs/>
          <w:color w:val="auto"/>
          <w:sz w:val="32"/>
          <w:szCs w:val="32"/>
        </w:rPr>
        <w:t>。</w:t>
      </w:r>
      <w:r>
        <w:rPr>
          <w:rStyle w:val="6"/>
          <w:rFonts w:hint="eastAsia" w:ascii="Times New Roman" w:hAnsi="Times New Roman" w:eastAsia="仿宋_GB2312" w:cs="Times New Roman"/>
          <w:color w:val="auto"/>
          <w:sz w:val="32"/>
          <w:szCs w:val="32"/>
        </w:rPr>
        <w:t>加强极端天气应对预案，储备融雪剂、除雪设备等物资，实时监控路况，确保</w:t>
      </w:r>
      <w:r>
        <w:rPr>
          <w:rStyle w:val="6"/>
          <w:rFonts w:ascii="Times New Roman" w:hAnsi="Times New Roman" w:eastAsia="仿宋_GB2312" w:cs="Times New Roman"/>
          <w:color w:val="auto"/>
          <w:sz w:val="32"/>
          <w:szCs w:val="32"/>
        </w:rPr>
        <w:t>重点时段</w:t>
      </w:r>
      <w:r>
        <w:rPr>
          <w:rStyle w:val="6"/>
          <w:rFonts w:hint="eastAsia" w:ascii="Times New Roman" w:hAnsi="Times New Roman" w:eastAsia="仿宋_GB2312" w:cs="Times New Roman"/>
          <w:color w:val="auto"/>
          <w:sz w:val="32"/>
          <w:szCs w:val="32"/>
        </w:rPr>
        <w:t>及节假日期间道路畅通。</w:t>
      </w:r>
      <w:r>
        <w:rPr>
          <w:rStyle w:val="6"/>
          <w:rFonts w:ascii="Times New Roman" w:hAnsi="Times New Roman" w:eastAsia="仿宋_GB2312" w:cs="Times New Roman"/>
          <w:b/>
          <w:bCs/>
          <w:color w:val="auto"/>
          <w:sz w:val="32"/>
          <w:szCs w:val="32"/>
        </w:rPr>
        <w:t>二是</w:t>
      </w:r>
      <w:r>
        <w:rPr>
          <w:rStyle w:val="6"/>
          <w:rFonts w:hint="eastAsia" w:ascii="Times New Roman" w:hAnsi="Times New Roman" w:eastAsia="仿宋_GB2312" w:cs="Times New Roman"/>
          <w:b/>
          <w:bCs/>
          <w:color w:val="auto"/>
          <w:sz w:val="32"/>
          <w:szCs w:val="32"/>
        </w:rPr>
        <w:t>森林草原防灭火</w:t>
      </w:r>
      <w:r>
        <w:rPr>
          <w:rStyle w:val="6"/>
          <w:rFonts w:ascii="Times New Roman" w:hAnsi="Times New Roman" w:eastAsia="仿宋_GB2312" w:cs="Times New Roman"/>
          <w:b/>
          <w:bCs/>
          <w:color w:val="auto"/>
          <w:sz w:val="32"/>
          <w:szCs w:val="32"/>
        </w:rPr>
        <w:t>。</w:t>
      </w:r>
      <w:r>
        <w:rPr>
          <w:rStyle w:val="6"/>
          <w:rFonts w:hint="eastAsia" w:ascii="Times New Roman" w:hAnsi="Times New Roman" w:eastAsia="仿宋_GB2312" w:cs="Times New Roman"/>
          <w:color w:val="auto"/>
          <w:sz w:val="32"/>
          <w:szCs w:val="32"/>
        </w:rPr>
        <w:t>压实防火责任，严控野外火源，利用无人机、监控</w:t>
      </w:r>
      <w:r>
        <w:rPr>
          <w:rStyle w:val="6"/>
          <w:rFonts w:ascii="Times New Roman" w:hAnsi="Times New Roman" w:eastAsia="仿宋_GB2312" w:cs="Times New Roman"/>
          <w:color w:val="auto"/>
          <w:sz w:val="32"/>
          <w:szCs w:val="32"/>
        </w:rPr>
        <w:t>站点</w:t>
      </w:r>
      <w:r>
        <w:rPr>
          <w:rStyle w:val="6"/>
          <w:rFonts w:hint="eastAsia" w:ascii="Times New Roman" w:hAnsi="Times New Roman" w:eastAsia="仿宋_GB2312" w:cs="Times New Roman"/>
          <w:color w:val="auto"/>
          <w:sz w:val="32"/>
          <w:szCs w:val="32"/>
        </w:rPr>
        <w:t>等技术强化巡查，高频次宣传《禁火令》。同时加强寺庙等重点区域的防火管理。</w:t>
      </w:r>
      <w:r>
        <w:rPr>
          <w:rStyle w:val="6"/>
          <w:rFonts w:ascii="Times New Roman" w:hAnsi="Times New Roman" w:eastAsia="仿宋_GB2312" w:cs="Times New Roman"/>
          <w:b/>
          <w:bCs/>
          <w:color w:val="auto"/>
          <w:sz w:val="32"/>
          <w:szCs w:val="32"/>
        </w:rPr>
        <w:t>三是</w:t>
      </w:r>
      <w:r>
        <w:rPr>
          <w:rStyle w:val="6"/>
          <w:rFonts w:hint="eastAsia" w:ascii="Times New Roman" w:hAnsi="Times New Roman" w:eastAsia="仿宋_GB2312" w:cs="Times New Roman"/>
          <w:b/>
          <w:bCs/>
          <w:color w:val="auto"/>
          <w:sz w:val="32"/>
          <w:szCs w:val="32"/>
        </w:rPr>
        <w:t>民生安全保障</w:t>
      </w:r>
      <w:r>
        <w:rPr>
          <w:rStyle w:val="6"/>
          <w:rFonts w:ascii="Times New Roman" w:hAnsi="Times New Roman" w:eastAsia="仿宋_GB2312" w:cs="Times New Roman"/>
          <w:b/>
          <w:bCs/>
          <w:color w:val="auto"/>
          <w:sz w:val="32"/>
          <w:szCs w:val="32"/>
        </w:rPr>
        <w:t>。</w:t>
      </w:r>
      <w:r>
        <w:rPr>
          <w:rStyle w:val="6"/>
          <w:rFonts w:hint="eastAsia" w:ascii="Times New Roman" w:hAnsi="Times New Roman" w:eastAsia="仿宋_GB2312" w:cs="Times New Roman"/>
          <w:color w:val="auto"/>
          <w:sz w:val="32"/>
          <w:szCs w:val="32"/>
        </w:rPr>
        <w:t>加强供电、供水、燃气等领域隐患排查，保障供应稳定；严厉打击哄抬物价、囤积居奇等行为，维护市场秩序。</w:t>
      </w:r>
    </w:p>
    <w:p>
      <w:pPr>
        <w:keepNext w:val="0"/>
        <w:keepLines w:val="0"/>
        <w:pageBreakBefore w:val="0"/>
        <w:widowControl w:val="0"/>
        <w:numPr>
          <w:ilvl w:val="0"/>
          <w:numId w:val="1"/>
        </w:numPr>
        <w:kinsoku/>
        <w:wordWrap/>
        <w:overflowPunct w:val="0"/>
        <w:topLinePunct w:val="0"/>
        <w:autoSpaceDE/>
        <w:autoSpaceDN/>
        <w:adjustRightInd/>
        <w:snapToGrid/>
        <w:spacing w:before="97" w:beforeLines="31" w:beforeAutospacing="0" w:afterAutospacing="0" w:line="576" w:lineRule="exact"/>
        <w:rPr>
          <w:rStyle w:val="6"/>
          <w:rFonts w:hint="eastAsia" w:ascii="Times New Roman" w:hAnsi="Times New Roman" w:eastAsia="仿宋_GB2312" w:cs="Times New Roman"/>
          <w:b/>
          <w:bCs/>
          <w:color w:val="auto"/>
          <w:sz w:val="32"/>
          <w:szCs w:val="32"/>
        </w:rPr>
      </w:pPr>
      <w:r>
        <w:rPr>
          <w:rStyle w:val="6"/>
          <w:rFonts w:hint="eastAsia" w:ascii="Times New Roman" w:hAnsi="Times New Roman" w:eastAsia="仿宋_GB2312" w:cs="Times New Roman"/>
          <w:b/>
          <w:bCs/>
          <w:color w:val="auto"/>
          <w:sz w:val="32"/>
          <w:szCs w:val="32"/>
        </w:rPr>
        <w:t>加速城乡融合发展</w:t>
      </w:r>
    </w:p>
    <w:p>
      <w:pPr>
        <w:keepNext w:val="0"/>
        <w:keepLines w:val="0"/>
        <w:pageBreakBefore w:val="0"/>
        <w:widowControl w:val="0"/>
        <w:kinsoku/>
        <w:wordWrap/>
        <w:overflowPunct w:val="0"/>
        <w:topLinePunct w:val="0"/>
        <w:autoSpaceDE/>
        <w:autoSpaceDN/>
        <w:adjustRightInd/>
        <w:snapToGrid/>
        <w:spacing w:before="97" w:beforeLines="31" w:beforeAutospacing="0" w:afterAutospacing="0" w:line="576" w:lineRule="exact"/>
        <w:ind w:firstLine="642" w:firstLineChars="200"/>
        <w:rPr>
          <w:rStyle w:val="6"/>
          <w:rFonts w:hint="eastAsia" w:ascii="Times New Roman" w:hAnsi="Times New Roman" w:eastAsia="仿宋_GB2312" w:cs="Times New Roman"/>
          <w:color w:val="auto"/>
          <w:sz w:val="32"/>
          <w:szCs w:val="32"/>
        </w:rPr>
      </w:pPr>
      <w:r>
        <w:rPr>
          <w:rStyle w:val="6"/>
          <w:rFonts w:ascii="Times New Roman" w:hAnsi="Times New Roman" w:eastAsia="仿宋_GB2312" w:cs="Times New Roman"/>
          <w:b/>
          <w:bCs/>
          <w:color w:val="auto"/>
          <w:sz w:val="32"/>
          <w:szCs w:val="32"/>
        </w:rPr>
        <w:t>一是</w:t>
      </w:r>
      <w:r>
        <w:rPr>
          <w:rStyle w:val="6"/>
          <w:rFonts w:hint="eastAsia" w:ascii="Times New Roman" w:hAnsi="Times New Roman" w:eastAsia="仿宋_GB2312" w:cs="Times New Roman"/>
          <w:b/>
          <w:bCs/>
          <w:color w:val="auto"/>
          <w:sz w:val="32"/>
          <w:szCs w:val="32"/>
        </w:rPr>
        <w:t>提升人居环境</w:t>
      </w:r>
      <w:r>
        <w:rPr>
          <w:rStyle w:val="6"/>
          <w:rFonts w:ascii="Times New Roman" w:hAnsi="Times New Roman" w:eastAsia="仿宋_GB2312" w:cs="Times New Roman"/>
          <w:b/>
          <w:bCs/>
          <w:color w:val="auto"/>
          <w:sz w:val="32"/>
          <w:szCs w:val="32"/>
        </w:rPr>
        <w:t>。</w:t>
      </w:r>
      <w:r>
        <w:rPr>
          <w:rStyle w:val="6"/>
          <w:rFonts w:hint="eastAsia" w:ascii="Times New Roman" w:hAnsi="Times New Roman" w:eastAsia="仿宋_GB2312" w:cs="Times New Roman"/>
          <w:color w:val="auto"/>
          <w:sz w:val="32"/>
          <w:szCs w:val="32"/>
        </w:rPr>
        <w:t>持续完善城镇功能。全面开展县城城市“体检”，投资4.5亿元，实施道路改造建设、市政基础设施建设等城市更新项目7个，提升改造城区雨水、污水、自来水等管线63.7公里</w:t>
      </w:r>
      <w:r>
        <w:rPr>
          <w:rStyle w:val="6"/>
          <w:rFonts w:ascii="Times New Roman" w:hAnsi="Times New Roman" w:eastAsia="仿宋_GB2312" w:cs="Times New Roman"/>
          <w:color w:val="auto"/>
          <w:sz w:val="32"/>
          <w:szCs w:val="32"/>
        </w:rPr>
        <w:t>。</w:t>
      </w:r>
      <w:r>
        <w:rPr>
          <w:rStyle w:val="6"/>
          <w:rFonts w:hint="eastAsia" w:ascii="Times New Roman" w:hAnsi="Times New Roman" w:eastAsia="仿宋_GB2312" w:cs="Times New Roman"/>
          <w:color w:val="auto"/>
          <w:sz w:val="32"/>
          <w:szCs w:val="32"/>
        </w:rPr>
        <w:t>投资3940万元，在全州率先实施高原城区供氧项目，建设分散式供氧站点10个，新增供氧面积3.1万平方米。紧盯低效利用闲置资产，加快化解泽氏藏茶、国际大酒店等历史遗留难题，真正让城市更美丽、人民更满意。</w:t>
      </w:r>
      <w:r>
        <w:rPr>
          <w:rStyle w:val="6"/>
          <w:rFonts w:ascii="Times New Roman" w:hAnsi="Times New Roman" w:eastAsia="仿宋_GB2312" w:cs="Times New Roman"/>
          <w:b/>
          <w:bCs/>
          <w:color w:val="auto"/>
          <w:sz w:val="32"/>
          <w:szCs w:val="32"/>
        </w:rPr>
        <w:t>二是</w:t>
      </w:r>
      <w:r>
        <w:rPr>
          <w:rStyle w:val="6"/>
          <w:rFonts w:hint="eastAsia" w:ascii="Times New Roman" w:hAnsi="Times New Roman" w:eastAsia="仿宋_GB2312" w:cs="Times New Roman"/>
          <w:b/>
          <w:bCs/>
          <w:color w:val="auto"/>
          <w:sz w:val="32"/>
          <w:szCs w:val="32"/>
        </w:rPr>
        <w:t>持续建设和美乡村。</w:t>
      </w:r>
      <w:r>
        <w:rPr>
          <w:rStyle w:val="6"/>
          <w:rFonts w:hint="eastAsia" w:ascii="Times New Roman" w:hAnsi="Times New Roman" w:eastAsia="仿宋_GB2312" w:cs="Times New Roman"/>
          <w:color w:val="auto"/>
          <w:sz w:val="32"/>
          <w:szCs w:val="32"/>
        </w:rPr>
        <w:t>整合资金1.7亿元，实施基础设施补短、人居环境改善等项目41个，全力推动瓦切镇一县一镇提升，重点打造日干村、热多村2个宜居宜业和美乡村，力争建成省级先行片区1个、样板村5个、补短村10个。</w:t>
      </w:r>
      <w:r>
        <w:rPr>
          <w:rStyle w:val="6"/>
          <w:rFonts w:ascii="Times New Roman" w:hAnsi="Times New Roman" w:eastAsia="仿宋_GB2312" w:cs="Times New Roman"/>
          <w:b/>
          <w:bCs/>
          <w:color w:val="auto"/>
          <w:sz w:val="32"/>
          <w:szCs w:val="32"/>
        </w:rPr>
        <w:t>三是</w:t>
      </w:r>
      <w:r>
        <w:rPr>
          <w:rStyle w:val="6"/>
          <w:rFonts w:hint="eastAsia" w:ascii="Times New Roman" w:hAnsi="Times New Roman" w:eastAsia="仿宋_GB2312" w:cs="Times New Roman"/>
          <w:b/>
          <w:bCs/>
          <w:color w:val="auto"/>
          <w:sz w:val="32"/>
          <w:szCs w:val="32"/>
        </w:rPr>
        <w:t>持续提升供给服务。</w:t>
      </w:r>
      <w:r>
        <w:rPr>
          <w:rStyle w:val="6"/>
          <w:rFonts w:hint="eastAsia" w:ascii="Times New Roman" w:hAnsi="Times New Roman" w:eastAsia="仿宋_GB2312" w:cs="Times New Roman"/>
          <w:color w:val="auto"/>
          <w:sz w:val="32"/>
          <w:szCs w:val="32"/>
        </w:rPr>
        <w:t>健全完善县域“多规合一”衔接机制，合理配置空间资源和生产要素。投资2488万元，新建色地和瓦切污水支管网、扩容刷经寺镇污水处理站、提升改造刷经寺和色地自来水厂、新建餐厨无害化垃圾处理厂，持续提升城乡公共服务能力，更好满足人民群众美好生活需要。</w:t>
      </w:r>
    </w:p>
    <w:p>
      <w:pPr>
        <w:keepNext w:val="0"/>
        <w:keepLines w:val="0"/>
        <w:pageBreakBefore w:val="0"/>
        <w:widowControl w:val="0"/>
        <w:numPr>
          <w:ilvl w:val="0"/>
          <w:numId w:val="1"/>
        </w:numPr>
        <w:kinsoku/>
        <w:wordWrap/>
        <w:overflowPunct w:val="0"/>
        <w:topLinePunct w:val="0"/>
        <w:autoSpaceDE/>
        <w:autoSpaceDN/>
        <w:adjustRightInd/>
        <w:snapToGrid/>
        <w:spacing w:before="97" w:beforeLines="31" w:beforeAutospacing="0" w:afterAutospacing="0" w:line="576" w:lineRule="exact"/>
        <w:rPr>
          <w:rStyle w:val="6"/>
          <w:rFonts w:hint="eastAsia" w:ascii="Times New Roman" w:hAnsi="Times New Roman" w:eastAsia="仿宋_GB2312" w:cs="Times New Roman"/>
          <w:b/>
          <w:bCs/>
          <w:sz w:val="32"/>
          <w:szCs w:val="32"/>
        </w:rPr>
      </w:pPr>
      <w:r>
        <w:rPr>
          <w:rStyle w:val="6"/>
          <w:rFonts w:hint="eastAsia" w:ascii="Times New Roman" w:hAnsi="Times New Roman" w:eastAsia="仿宋_GB2312" w:cs="Times New Roman"/>
          <w:b/>
          <w:bCs/>
          <w:sz w:val="32"/>
          <w:szCs w:val="32"/>
        </w:rPr>
        <w:t>民生保障与社会服务</w:t>
      </w:r>
    </w:p>
    <w:p>
      <w:pPr>
        <w:keepNext w:val="0"/>
        <w:keepLines w:val="0"/>
        <w:pageBreakBefore w:val="0"/>
        <w:widowControl w:val="0"/>
        <w:kinsoku/>
        <w:wordWrap/>
        <w:overflowPunct w:val="0"/>
        <w:topLinePunct w:val="0"/>
        <w:autoSpaceDE/>
        <w:autoSpaceDN/>
        <w:adjustRightInd/>
        <w:snapToGrid/>
        <w:spacing w:before="97" w:beforeLines="31" w:beforeAutospacing="0" w:afterAutospacing="0" w:line="576" w:lineRule="exact"/>
        <w:ind w:firstLine="642" w:firstLineChars="200"/>
        <w:rPr>
          <w:rStyle w:val="6"/>
          <w:rFonts w:hint="eastAsia" w:ascii="Times New Roman" w:hAnsi="Times New Roman" w:eastAsia="仿宋_GB2312" w:cs="Times New Roman"/>
          <w:color w:val="auto"/>
          <w:sz w:val="32"/>
          <w:szCs w:val="32"/>
        </w:rPr>
      </w:pPr>
      <w:r>
        <w:rPr>
          <w:rStyle w:val="6"/>
          <w:rFonts w:ascii="Times New Roman" w:hAnsi="Times New Roman" w:eastAsia="仿宋_GB2312" w:cs="Times New Roman"/>
          <w:b/>
          <w:bCs/>
          <w:color w:val="auto"/>
          <w:sz w:val="32"/>
          <w:szCs w:val="32"/>
        </w:rPr>
        <w:t>一是</w:t>
      </w:r>
      <w:r>
        <w:rPr>
          <w:rStyle w:val="6"/>
          <w:rFonts w:hint="eastAsia" w:ascii="Times New Roman" w:hAnsi="Times New Roman" w:eastAsia="仿宋_GB2312" w:cs="Times New Roman"/>
          <w:b/>
          <w:bCs/>
          <w:color w:val="auto"/>
          <w:sz w:val="32"/>
          <w:szCs w:val="32"/>
        </w:rPr>
        <w:t>民生商品稳价保质</w:t>
      </w:r>
      <w:r>
        <w:rPr>
          <w:rStyle w:val="6"/>
          <w:rFonts w:ascii="Times New Roman" w:hAnsi="Times New Roman" w:eastAsia="仿宋_GB2312" w:cs="Times New Roman"/>
          <w:b/>
          <w:bCs/>
          <w:color w:val="auto"/>
          <w:sz w:val="32"/>
          <w:szCs w:val="32"/>
        </w:rPr>
        <w:t>。</w:t>
      </w:r>
      <w:r>
        <w:rPr>
          <w:rStyle w:val="6"/>
          <w:rFonts w:hint="eastAsia" w:ascii="Times New Roman" w:hAnsi="Times New Roman" w:eastAsia="仿宋_GB2312" w:cs="Times New Roman"/>
          <w:color w:val="auto"/>
          <w:sz w:val="32"/>
          <w:szCs w:val="32"/>
        </w:rPr>
        <w:t>加强煤电油气运要素保障，确保群众温暖过冬。落实社会救助政策，分级分类开展困难群众走访慰问。</w:t>
      </w:r>
      <w:r>
        <w:rPr>
          <w:rStyle w:val="6"/>
          <w:rFonts w:ascii="Times New Roman" w:hAnsi="Times New Roman" w:eastAsia="仿宋_GB2312" w:cs="Times New Roman"/>
          <w:b/>
          <w:bCs/>
          <w:color w:val="auto"/>
          <w:sz w:val="32"/>
          <w:szCs w:val="32"/>
        </w:rPr>
        <w:t>二是</w:t>
      </w:r>
      <w:r>
        <w:rPr>
          <w:rStyle w:val="6"/>
          <w:rFonts w:hint="eastAsia" w:ascii="Times New Roman" w:hAnsi="Times New Roman" w:eastAsia="仿宋_GB2312" w:cs="Times New Roman"/>
          <w:b/>
          <w:bCs/>
          <w:color w:val="auto"/>
          <w:sz w:val="32"/>
          <w:szCs w:val="32"/>
        </w:rPr>
        <w:t>教育与社会关爱</w:t>
      </w:r>
      <w:r>
        <w:rPr>
          <w:rStyle w:val="6"/>
          <w:rFonts w:ascii="Times New Roman" w:hAnsi="Times New Roman" w:eastAsia="仿宋_GB2312" w:cs="Times New Roman"/>
          <w:b/>
          <w:bCs/>
          <w:color w:val="auto"/>
          <w:sz w:val="32"/>
          <w:szCs w:val="32"/>
        </w:rPr>
        <w:t>。</w:t>
      </w:r>
      <w:r>
        <w:rPr>
          <w:rStyle w:val="6"/>
          <w:rFonts w:hint="eastAsia" w:ascii="Times New Roman" w:hAnsi="Times New Roman" w:eastAsia="仿宋_GB2312" w:cs="Times New Roman"/>
          <w:color w:val="auto"/>
          <w:sz w:val="32"/>
          <w:szCs w:val="32"/>
        </w:rPr>
        <w:t>推进“爱心爸妈”活动，通过“五个一”行动加强学生关爱。同时优化养老服务，新建社区嵌入式养老机构，扩大托育供给。</w:t>
      </w:r>
    </w:p>
    <w:p>
      <w:pPr>
        <w:keepNext w:val="0"/>
        <w:keepLines w:val="0"/>
        <w:pageBreakBefore w:val="0"/>
        <w:widowControl w:val="0"/>
        <w:numPr>
          <w:ilvl w:val="0"/>
          <w:numId w:val="1"/>
        </w:numPr>
        <w:kinsoku/>
        <w:wordWrap/>
        <w:overflowPunct w:val="0"/>
        <w:topLinePunct w:val="0"/>
        <w:autoSpaceDE/>
        <w:autoSpaceDN/>
        <w:adjustRightInd/>
        <w:snapToGrid/>
        <w:spacing w:before="97" w:beforeLines="31" w:beforeAutospacing="0" w:afterAutospacing="0" w:line="576" w:lineRule="exact"/>
        <w:rPr>
          <w:rStyle w:val="6"/>
          <w:rFonts w:hint="eastAsia" w:ascii="Times New Roman" w:hAnsi="Times New Roman" w:eastAsia="仿宋_GB2312" w:cs="Times New Roman"/>
          <w:b/>
          <w:bCs/>
          <w:sz w:val="32"/>
          <w:szCs w:val="32"/>
        </w:rPr>
      </w:pPr>
      <w:r>
        <w:rPr>
          <w:rStyle w:val="6"/>
          <w:rFonts w:hint="eastAsia" w:ascii="Times New Roman" w:hAnsi="Times New Roman" w:eastAsia="仿宋_GB2312" w:cs="Times New Roman"/>
          <w:b/>
          <w:bCs/>
          <w:sz w:val="32"/>
          <w:szCs w:val="32"/>
        </w:rPr>
        <w:t>社会治理与法治建设</w:t>
      </w:r>
    </w:p>
    <w:p>
      <w:pPr>
        <w:keepNext w:val="0"/>
        <w:keepLines w:val="0"/>
        <w:pageBreakBefore w:val="0"/>
        <w:widowControl w:val="0"/>
        <w:kinsoku/>
        <w:wordWrap/>
        <w:overflowPunct w:val="0"/>
        <w:topLinePunct w:val="0"/>
        <w:autoSpaceDE/>
        <w:autoSpaceDN/>
        <w:adjustRightInd/>
        <w:snapToGrid/>
        <w:spacing w:before="97" w:beforeLines="31" w:beforeAutospacing="0" w:afterAutospacing="0" w:line="576" w:lineRule="exact"/>
        <w:ind w:firstLine="642" w:firstLineChars="200"/>
        <w:rPr>
          <w:rStyle w:val="6"/>
          <w:rFonts w:ascii="Times New Roman" w:hAnsi="Times New Roman" w:eastAsia="仿宋_GB2312" w:cs="Times New Roman"/>
          <w:color w:val="auto"/>
          <w:sz w:val="32"/>
          <w:szCs w:val="32"/>
        </w:rPr>
      </w:pPr>
      <w:r>
        <w:rPr>
          <w:rStyle w:val="6"/>
          <w:rFonts w:ascii="Times New Roman" w:hAnsi="Times New Roman" w:eastAsia="仿宋_GB2312" w:cs="Times New Roman"/>
          <w:b/>
          <w:bCs/>
          <w:color w:val="auto"/>
          <w:sz w:val="32"/>
          <w:szCs w:val="32"/>
        </w:rPr>
        <w:t>一是</w:t>
      </w:r>
      <w:r>
        <w:rPr>
          <w:rStyle w:val="6"/>
          <w:rFonts w:hint="eastAsia" w:ascii="Times New Roman" w:hAnsi="Times New Roman" w:eastAsia="仿宋_GB2312" w:cs="Times New Roman"/>
          <w:b/>
          <w:bCs/>
          <w:color w:val="auto"/>
          <w:sz w:val="32"/>
          <w:szCs w:val="32"/>
        </w:rPr>
        <w:t>全力巩固民族团结进步。</w:t>
      </w:r>
      <w:r>
        <w:rPr>
          <w:rStyle w:val="6"/>
          <w:rFonts w:hint="eastAsia" w:ascii="Times New Roman" w:hAnsi="Times New Roman" w:eastAsia="仿宋_GB2312" w:cs="Times New Roman"/>
          <w:color w:val="auto"/>
          <w:sz w:val="32"/>
          <w:szCs w:val="32"/>
        </w:rPr>
        <w:t>持续推进中华民族共同体建设，巩固全国民族团结进步示范县创建成果，支持“三台·红原·温州”飞地产业园创建国家民族团结示范园区，打造民族团结进步浸润式体验和文化宣传教育基地。不断加强和创新寺庙管理，深入开展“石榴籽”工程“联心同行”行动，全面落实一系列利寺惠僧的政策举措，使寺庙僧尼共享改革发展成果、感受党和政府的温暖，促进宗教和顺、社会和谐、民族和睦。</w:t>
      </w:r>
      <w:r>
        <w:rPr>
          <w:rStyle w:val="6"/>
          <w:rFonts w:ascii="Times New Roman" w:hAnsi="Times New Roman" w:eastAsia="仿宋_GB2312" w:cs="Times New Roman"/>
          <w:b/>
          <w:bCs/>
          <w:color w:val="auto"/>
          <w:sz w:val="32"/>
          <w:szCs w:val="32"/>
        </w:rPr>
        <w:t>二是</w:t>
      </w:r>
      <w:r>
        <w:rPr>
          <w:rStyle w:val="6"/>
          <w:rFonts w:hint="eastAsia" w:ascii="Times New Roman" w:hAnsi="Times New Roman" w:eastAsia="仿宋_GB2312" w:cs="Times New Roman"/>
          <w:b/>
          <w:bCs/>
          <w:color w:val="auto"/>
          <w:sz w:val="32"/>
          <w:szCs w:val="32"/>
        </w:rPr>
        <w:t>全力维护社会大局稳定。</w:t>
      </w:r>
      <w:r>
        <w:rPr>
          <w:rStyle w:val="6"/>
          <w:rFonts w:hint="eastAsia" w:ascii="Times New Roman" w:hAnsi="Times New Roman" w:eastAsia="仿宋_GB2312" w:cs="Times New Roman"/>
          <w:color w:val="auto"/>
          <w:sz w:val="32"/>
          <w:szCs w:val="32"/>
        </w:rPr>
        <w:t>坚持和发展新时代“枫桥经验”，健全自治、法治、德治相结合的城乡基层治理体系，持续推进信访工作法治化。完善社会治安整体防控体系，依法严厉打击黑恶势力、电信网络诈骗等违法犯罪活动，保障人民群众安居乐业、社会安定有序。</w:t>
      </w:r>
      <w:r>
        <w:rPr>
          <w:rStyle w:val="6"/>
          <w:rFonts w:ascii="Times New Roman" w:hAnsi="Times New Roman" w:eastAsia="仿宋_GB2312" w:cs="Times New Roman"/>
          <w:b/>
          <w:bCs/>
          <w:color w:val="auto"/>
          <w:sz w:val="32"/>
          <w:szCs w:val="32"/>
        </w:rPr>
        <w:t>三是</w:t>
      </w:r>
      <w:r>
        <w:rPr>
          <w:rStyle w:val="6"/>
          <w:rFonts w:hint="eastAsia" w:ascii="Times New Roman" w:hAnsi="Times New Roman" w:eastAsia="仿宋_GB2312" w:cs="Times New Roman"/>
          <w:b/>
          <w:bCs/>
          <w:color w:val="auto"/>
          <w:sz w:val="32"/>
          <w:szCs w:val="32"/>
        </w:rPr>
        <w:t>全力防范化解风险隐患。</w:t>
      </w:r>
      <w:r>
        <w:rPr>
          <w:rStyle w:val="6"/>
          <w:rFonts w:hint="eastAsia" w:ascii="Times New Roman" w:hAnsi="Times New Roman" w:eastAsia="仿宋_GB2312" w:cs="Times New Roman"/>
          <w:color w:val="auto"/>
          <w:sz w:val="32"/>
          <w:szCs w:val="32"/>
        </w:rPr>
        <w:t>深入实施安全生产治本攻坚三年行动，做好重点行业领域安全生产风险排查整治，坚决遏制重特大事故发生。紧盯“三保”、社保基金、库款保障等重点领域，全力防范化解财政运行风险。</w:t>
      </w:r>
    </w:p>
    <w:p>
      <w:pPr>
        <w:keepNext w:val="0"/>
        <w:keepLines w:val="0"/>
        <w:pageBreakBefore w:val="0"/>
        <w:widowControl w:val="0"/>
        <w:kinsoku/>
        <w:wordWrap/>
        <w:overflowPunct w:val="0"/>
        <w:topLinePunct w:val="0"/>
        <w:autoSpaceDE/>
        <w:autoSpaceDN/>
        <w:adjustRightInd/>
        <w:snapToGrid/>
        <w:spacing w:before="97" w:beforeLines="31" w:beforeAutospacing="0" w:afterAutospacing="0" w:line="576" w:lineRule="exact"/>
        <w:ind w:firstLine="640" w:firstLineChars="200"/>
        <w:rPr>
          <w:rFonts w:hint="eastAsia" w:ascii="黑体" w:eastAsia="黑体"/>
          <w:sz w:val="32"/>
          <w:szCs w:val="32"/>
        </w:rPr>
      </w:pPr>
      <w:r>
        <w:rPr>
          <w:rStyle w:val="6"/>
          <w:rFonts w:hint="eastAsia" w:ascii="Times New Roman" w:hAnsi="Times New Roman" w:eastAsia="仿宋_GB2312" w:cs="Times New Roman"/>
          <w:color w:val="auto"/>
          <w:sz w:val="32"/>
          <w:szCs w:val="32"/>
        </w:rPr>
        <w:t>红原县2025年的重点工作以高质量发展为主线，突出项目引领、风险防控、民生改善和生态优先。通过强化经济调度、推进乡村振兴、筑牢安全防线、完善社会治理等举措，构建宜居宜业的和美乡村新格局。</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二、部门</w:t>
      </w:r>
      <w:r>
        <w:rPr>
          <w:rFonts w:hint="eastAsia" w:ascii="黑体" w:eastAsia="黑体"/>
          <w:sz w:val="32"/>
          <w:szCs w:val="32"/>
          <w:lang w:eastAsia="zh-CN"/>
        </w:rPr>
        <w:t>预算单位构成</w:t>
      </w:r>
    </w:p>
    <w:p>
      <w:pPr>
        <w:pStyle w:val="2"/>
        <w:adjustRightInd w:val="0"/>
        <w:snapToGrid w:val="0"/>
        <w:spacing w:before="93" w:line="560" w:lineRule="exact"/>
        <w:ind w:firstLine="672" w:firstLineChars="210"/>
        <w:rPr>
          <w:rFonts w:hint="eastAsia"/>
          <w:sz w:val="32"/>
          <w:szCs w:val="32"/>
        </w:rPr>
      </w:pPr>
      <w:r>
        <w:rPr>
          <w:rFonts w:hint="eastAsia"/>
          <w:sz w:val="32"/>
          <w:szCs w:val="32"/>
        </w:rPr>
        <w:t>红原县人民政府办公室下设单位（股室）</w:t>
      </w:r>
      <w:r>
        <w:rPr>
          <w:rFonts w:hint="eastAsia"/>
          <w:sz w:val="32"/>
          <w:szCs w:val="32"/>
          <w:lang w:val="en-US" w:eastAsia="zh-CN"/>
        </w:rPr>
        <w:t>7</w:t>
      </w:r>
      <w:r>
        <w:rPr>
          <w:rFonts w:hint="eastAsia"/>
          <w:sz w:val="32"/>
          <w:szCs w:val="32"/>
        </w:rPr>
        <w:t>个，其中行政单位1个，下属事业</w:t>
      </w:r>
      <w:r>
        <w:rPr>
          <w:rFonts w:hint="eastAsia"/>
          <w:sz w:val="32"/>
          <w:szCs w:val="32"/>
          <w:lang w:eastAsia="zh-CN"/>
        </w:rPr>
        <w:t>单位</w:t>
      </w:r>
      <w:r>
        <w:rPr>
          <w:rFonts w:hint="eastAsia"/>
          <w:sz w:val="32"/>
          <w:szCs w:val="32"/>
          <w:lang w:val="en-US" w:eastAsia="zh-CN"/>
        </w:rPr>
        <w:t>2</w:t>
      </w:r>
      <w:r>
        <w:rPr>
          <w:rFonts w:hint="eastAsia"/>
          <w:sz w:val="32"/>
          <w:szCs w:val="32"/>
        </w:rPr>
        <w:t>个。分别是：红原县政府信息公开中心、</w:t>
      </w:r>
      <w:r>
        <w:rPr>
          <w:rFonts w:hint="eastAsia"/>
          <w:sz w:val="32"/>
          <w:szCs w:val="32"/>
          <w:lang w:eastAsia="zh-CN"/>
        </w:rPr>
        <w:t>红原县国防动员事务中心。</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三、收支预算总体情况</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202</w:t>
      </w:r>
      <w:r>
        <w:rPr>
          <w:rFonts w:hint="eastAsia" w:ascii="仿宋_GB2312" w:eastAsia="仿宋_GB2312"/>
          <w:sz w:val="32"/>
          <w:szCs w:val="32"/>
          <w:lang w:val="en-US" w:eastAsia="zh-CN"/>
        </w:rPr>
        <w:t>5</w:t>
      </w:r>
      <w:r>
        <w:rPr>
          <w:rFonts w:hint="eastAsia" w:ascii="仿宋_GB2312" w:eastAsia="仿宋_GB2312"/>
          <w:sz w:val="32"/>
          <w:szCs w:val="32"/>
          <w:lang w:eastAsia="zh-CN"/>
        </w:rPr>
        <w:t>年红原县人民政府办公室</w:t>
      </w:r>
      <w:r>
        <w:rPr>
          <w:rFonts w:hint="eastAsia" w:ascii="仿宋_GB2312" w:eastAsia="仿宋_GB2312"/>
          <w:sz w:val="32"/>
          <w:szCs w:val="32"/>
        </w:rPr>
        <w:t>收入预算总额为</w:t>
      </w:r>
      <w:r>
        <w:rPr>
          <w:rFonts w:hint="eastAsia" w:ascii="仿宋_GB2312" w:eastAsia="仿宋_GB2312"/>
          <w:sz w:val="32"/>
          <w:szCs w:val="32"/>
          <w:lang w:val="en-US" w:eastAsia="zh-CN"/>
        </w:rPr>
        <w:t>1463.69</w:t>
      </w:r>
      <w:r>
        <w:rPr>
          <w:rFonts w:hint="eastAsia" w:ascii="仿宋_GB2312" w:eastAsia="仿宋_GB2312"/>
          <w:sz w:val="32"/>
          <w:szCs w:val="32"/>
        </w:rPr>
        <w:t>万元，其中：当年财政拨款收入</w:t>
      </w:r>
      <w:r>
        <w:rPr>
          <w:rFonts w:hint="eastAsia" w:ascii="仿宋_GB2312" w:eastAsia="仿宋_GB2312"/>
          <w:sz w:val="32"/>
          <w:szCs w:val="32"/>
          <w:lang w:val="en-US" w:eastAsia="zh-CN"/>
        </w:rPr>
        <w:t>1463.69</w:t>
      </w:r>
      <w:r>
        <w:rPr>
          <w:rFonts w:hint="eastAsia" w:ascii="仿宋_GB2312" w:eastAsia="仿宋_GB2312"/>
          <w:sz w:val="32"/>
          <w:szCs w:val="32"/>
        </w:rPr>
        <w:t>万元。相应安排支出预算</w:t>
      </w:r>
      <w:r>
        <w:rPr>
          <w:rFonts w:hint="eastAsia" w:ascii="仿宋_GB2312" w:eastAsia="仿宋_GB2312"/>
          <w:sz w:val="32"/>
          <w:szCs w:val="32"/>
          <w:lang w:val="en-US" w:eastAsia="zh-CN"/>
        </w:rPr>
        <w:t>1463.69</w:t>
      </w:r>
      <w:r>
        <w:rPr>
          <w:rFonts w:hint="eastAsia" w:ascii="仿宋_GB2312" w:eastAsia="仿宋_GB2312"/>
          <w:sz w:val="32"/>
          <w:szCs w:val="32"/>
        </w:rPr>
        <w:t>万元，其中：一般公共服务</w:t>
      </w:r>
      <w:r>
        <w:rPr>
          <w:rFonts w:hint="eastAsia" w:ascii="仿宋_GB2312" w:eastAsia="仿宋_GB2312"/>
          <w:sz w:val="32"/>
          <w:szCs w:val="32"/>
          <w:lang w:val="en-US" w:eastAsia="zh-CN"/>
        </w:rPr>
        <w:t>1168.65</w:t>
      </w:r>
      <w:r>
        <w:rPr>
          <w:rFonts w:hint="eastAsia" w:ascii="仿宋_GB2312" w:eastAsia="仿宋_GB2312"/>
          <w:sz w:val="32"/>
          <w:szCs w:val="32"/>
        </w:rPr>
        <w:t>万元，社会保障和就业</w:t>
      </w:r>
      <w:r>
        <w:rPr>
          <w:rFonts w:hint="eastAsia" w:ascii="仿宋_GB2312" w:eastAsia="仿宋_GB2312"/>
          <w:sz w:val="32"/>
          <w:szCs w:val="32"/>
          <w:lang w:val="en-US" w:eastAsia="zh-CN"/>
        </w:rPr>
        <w:t>151.6</w:t>
      </w:r>
      <w:r>
        <w:rPr>
          <w:rFonts w:hint="eastAsia" w:ascii="仿宋_GB2312" w:eastAsia="仿宋_GB2312"/>
          <w:sz w:val="32"/>
          <w:szCs w:val="32"/>
        </w:rPr>
        <w:t>万元，医疗卫生</w:t>
      </w:r>
      <w:r>
        <w:rPr>
          <w:rFonts w:hint="eastAsia" w:ascii="仿宋_GB2312" w:eastAsia="仿宋_GB2312"/>
          <w:sz w:val="32"/>
          <w:szCs w:val="32"/>
          <w:lang w:val="en-US" w:eastAsia="zh-CN"/>
        </w:rPr>
        <w:t>56.16</w:t>
      </w:r>
      <w:r>
        <w:rPr>
          <w:rFonts w:hint="eastAsia" w:ascii="仿宋_GB2312" w:eastAsia="仿宋_GB2312"/>
          <w:sz w:val="32"/>
          <w:szCs w:val="32"/>
        </w:rPr>
        <w:t>万元，住房保障支出</w:t>
      </w:r>
      <w:r>
        <w:rPr>
          <w:rFonts w:hint="eastAsia" w:ascii="仿宋_GB2312" w:eastAsia="仿宋_GB2312"/>
          <w:sz w:val="32"/>
          <w:szCs w:val="32"/>
          <w:lang w:val="en-US" w:eastAsia="zh-CN"/>
        </w:rPr>
        <w:t>84.28</w:t>
      </w:r>
      <w:r>
        <w:rPr>
          <w:rFonts w:hint="eastAsia" w:ascii="仿宋_GB2312" w:eastAsia="仿宋_GB2312"/>
          <w:sz w:val="32"/>
          <w:szCs w:val="32"/>
        </w:rPr>
        <w:t>万元</w:t>
      </w:r>
      <w:r>
        <w:rPr>
          <w:rFonts w:hint="eastAsia" w:ascii="仿宋_GB2312" w:eastAsia="仿宋_GB2312"/>
          <w:sz w:val="32"/>
          <w:szCs w:val="32"/>
          <w:lang w:eastAsia="zh-CN"/>
        </w:rPr>
        <w:t>，国防支出</w:t>
      </w:r>
      <w:r>
        <w:rPr>
          <w:rFonts w:hint="eastAsia" w:ascii="仿宋_GB2312" w:eastAsia="仿宋_GB2312"/>
          <w:sz w:val="32"/>
          <w:szCs w:val="32"/>
          <w:lang w:val="en-US" w:eastAsia="zh-CN"/>
        </w:rPr>
        <w:t>3万元</w:t>
      </w:r>
      <w:r>
        <w:rPr>
          <w:rFonts w:hint="eastAsia" w:ascii="仿宋_GB2312" w:eastAsia="仿宋_GB2312"/>
          <w:sz w:val="32"/>
          <w:szCs w:val="32"/>
        </w:rPr>
        <w:t>。</w:t>
      </w:r>
    </w:p>
    <w:p>
      <w:pPr>
        <w:keepNext w:val="0"/>
        <w:keepLines w:val="0"/>
        <w:pageBreakBefore w:val="0"/>
        <w:numPr>
          <w:ilvl w:val="0"/>
          <w:numId w:val="2"/>
        </w:numPr>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支出预算安排情况</w:t>
      </w:r>
    </w:p>
    <w:p>
      <w:pPr>
        <w:spacing w:line="560" w:lineRule="exact"/>
        <w:ind w:firstLine="480" w:firstLineChars="150"/>
        <w:rPr>
          <w:rFonts w:hint="eastAsia" w:ascii="仿宋_GB2312" w:eastAsia="仿宋_GB2312"/>
          <w:sz w:val="32"/>
          <w:szCs w:val="32"/>
        </w:rPr>
      </w:pPr>
      <w:r>
        <w:rPr>
          <w:rFonts w:hint="eastAsia" w:ascii="仿宋_GB2312" w:eastAsia="仿宋_GB2312"/>
          <w:sz w:val="32"/>
          <w:szCs w:val="32"/>
          <w:lang w:eastAsia="zh-CN"/>
        </w:rPr>
        <w:t>红原县人民政府办公室</w:t>
      </w:r>
      <w:r>
        <w:rPr>
          <w:rFonts w:hint="eastAsia" w:ascii="仿宋_GB2312" w:eastAsia="仿宋_GB2312"/>
          <w:sz w:val="32"/>
          <w:szCs w:val="32"/>
        </w:rPr>
        <w:t>预算安排支出主要用于保障该部门机构正常运转、完成日常工作任务以及承担信息</w:t>
      </w:r>
      <w:r>
        <w:rPr>
          <w:rFonts w:hint="eastAsia" w:ascii="仿宋_GB2312" w:eastAsia="仿宋_GB2312"/>
          <w:sz w:val="32"/>
          <w:szCs w:val="32"/>
          <w:lang w:eastAsia="zh-CN"/>
        </w:rPr>
        <w:t>收集上报</w:t>
      </w:r>
      <w:r>
        <w:rPr>
          <w:rFonts w:hint="eastAsia" w:ascii="仿宋_GB2312" w:eastAsia="仿宋_GB2312"/>
          <w:sz w:val="32"/>
          <w:szCs w:val="32"/>
        </w:rPr>
        <w:t xml:space="preserve">发展、人防建设等相关工作。    </w:t>
      </w:r>
    </w:p>
    <w:p>
      <w:pPr>
        <w:keepNext w:val="0"/>
        <w:keepLines w:val="0"/>
        <w:pageBreakBefore w:val="0"/>
        <w:kinsoku/>
        <w:wordWrap/>
        <w:overflowPunct/>
        <w:topLinePunct w:val="0"/>
        <w:autoSpaceDE/>
        <w:autoSpaceDN/>
        <w:bidi w:val="0"/>
        <w:spacing w:line="560" w:lineRule="exact"/>
        <w:ind w:left="0" w:leftChars="0" w:right="0" w:rightChars="0" w:firstLine="640" w:firstLineChars="200"/>
        <w:jc w:val="left"/>
        <w:textAlignment w:val="auto"/>
        <w:outlineLvl w:val="9"/>
        <w:rPr>
          <w:rFonts w:hint="eastAsia" w:ascii="仿宋_GB2312" w:eastAsia="仿宋_GB2312"/>
          <w:sz w:val="32"/>
          <w:szCs w:val="32"/>
        </w:rPr>
      </w:pPr>
      <w:r>
        <w:rPr>
          <w:rFonts w:hint="eastAsia" w:ascii="仿宋_GB2312" w:eastAsia="仿宋_GB2312"/>
          <w:sz w:val="32"/>
          <w:szCs w:val="32"/>
        </w:rPr>
        <w:t>基本支出</w:t>
      </w:r>
      <w:r>
        <w:rPr>
          <w:rFonts w:hint="eastAsia" w:ascii="仿宋_GB2312" w:eastAsia="仿宋_GB2312"/>
          <w:sz w:val="32"/>
          <w:szCs w:val="32"/>
          <w:lang w:val="en-US" w:eastAsia="zh-CN"/>
        </w:rPr>
        <w:t>1193.34</w:t>
      </w:r>
      <w:r>
        <w:rPr>
          <w:rFonts w:hint="eastAsia" w:ascii="仿宋_GB2312" w:eastAsia="仿宋_GB2312"/>
          <w:sz w:val="32"/>
          <w:szCs w:val="32"/>
          <w:lang w:eastAsia="zh-CN"/>
        </w:rPr>
        <w:t>万元</w:t>
      </w:r>
      <w:r>
        <w:rPr>
          <w:rFonts w:hint="eastAsia" w:ascii="仿宋_GB2312" w:eastAsia="仿宋_GB2312"/>
          <w:sz w:val="32"/>
          <w:szCs w:val="32"/>
          <w:lang w:val="en-US" w:eastAsia="zh-CN"/>
        </w:rPr>
        <w:t>。</w:t>
      </w:r>
      <w:r>
        <w:rPr>
          <w:rFonts w:hint="eastAsia" w:ascii="仿宋_GB2312" w:eastAsia="仿宋_GB2312"/>
          <w:sz w:val="32"/>
          <w:szCs w:val="32"/>
          <w:lang w:eastAsia="zh-CN"/>
        </w:rPr>
        <w:t>其中人员经费支出</w:t>
      </w:r>
      <w:r>
        <w:rPr>
          <w:rFonts w:hint="eastAsia" w:ascii="仿宋_GB2312" w:eastAsia="仿宋_GB2312"/>
          <w:sz w:val="32"/>
          <w:szCs w:val="32"/>
          <w:lang w:val="en-US" w:eastAsia="zh-CN"/>
        </w:rPr>
        <w:t>1022.65万元，机关运行经费170.68万元，其中：办公费14.23万元，差旅费5万元，工会经费6.02万元，公务用车运行维护费75.4万元</w:t>
      </w:r>
      <w:r>
        <w:rPr>
          <w:rFonts w:hint="eastAsia" w:ascii="仿宋_GB2312" w:eastAsia="仿宋_GB2312"/>
          <w:sz w:val="32"/>
          <w:szCs w:val="32"/>
          <w:lang w:eastAsia="zh-CN"/>
        </w:rPr>
        <w:t>，其他商品服务支出</w:t>
      </w:r>
      <w:r>
        <w:rPr>
          <w:rFonts w:hint="eastAsia" w:ascii="仿宋_GB2312" w:eastAsia="仿宋_GB2312"/>
          <w:sz w:val="32"/>
          <w:szCs w:val="32"/>
          <w:lang w:val="en-US" w:eastAsia="zh-CN"/>
        </w:rPr>
        <w:t>8.02万元。</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按支出功能分类主要用于以下方面:</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（一）一般公共服务</w:t>
      </w:r>
      <w:r>
        <w:rPr>
          <w:rFonts w:hint="eastAsia" w:ascii="仿宋_GB2312" w:eastAsia="仿宋_GB2312"/>
          <w:sz w:val="32"/>
          <w:szCs w:val="32"/>
          <w:lang w:val="en-US" w:eastAsia="zh-CN"/>
        </w:rPr>
        <w:t>1168.65</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，主要用于机关及下属事业单位人员工资、日常运转以及为完成特定行政工作任务和事业发展目标而安排的年度项目支出。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（二）社会保障和就业</w:t>
      </w:r>
      <w:r>
        <w:rPr>
          <w:rFonts w:hint="eastAsia" w:ascii="仿宋_GB2312" w:eastAsia="仿宋_GB2312"/>
          <w:sz w:val="32"/>
          <w:szCs w:val="32"/>
          <w:lang w:val="en-US" w:eastAsia="zh-CN"/>
        </w:rPr>
        <w:t>151.6</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w:t>
      </w:r>
      <w:r>
        <w:rPr>
          <w:rFonts w:hint="eastAsia" w:ascii="仿宋_GB2312" w:eastAsia="仿宋_GB2312"/>
          <w:sz w:val="32"/>
          <w:szCs w:val="32"/>
          <w:lang w:eastAsia="zh-CN"/>
        </w:rPr>
        <w:t>养老保险及职业年金缴费</w:t>
      </w:r>
      <w:r>
        <w:rPr>
          <w:rFonts w:hint="eastAsia" w:ascii="仿宋_GB2312" w:eastAsia="仿宋_GB2312"/>
          <w:sz w:val="32"/>
          <w:szCs w:val="32"/>
        </w:rPr>
        <w:t>。</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（三）医疗卫生</w:t>
      </w:r>
      <w:r>
        <w:rPr>
          <w:rFonts w:hint="eastAsia" w:ascii="仿宋_GB2312" w:eastAsia="仿宋_GB2312"/>
          <w:sz w:val="32"/>
          <w:szCs w:val="32"/>
          <w:lang w:val="en-US" w:eastAsia="zh-CN"/>
        </w:rPr>
        <w:t>56.16</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，主要用于机关及下属事业单位按照规定标准为职工缴纳的基本医疗保险及公务员医疗补助等支出。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（四）住房保障支出</w:t>
      </w:r>
      <w:r>
        <w:rPr>
          <w:rFonts w:hint="eastAsia" w:ascii="仿宋_GB2312" w:eastAsia="仿宋_GB2312"/>
          <w:sz w:val="32"/>
          <w:szCs w:val="32"/>
          <w:lang w:val="en-US" w:eastAsia="zh-CN"/>
        </w:rPr>
        <w:t>84.28</w:t>
      </w:r>
      <w:r>
        <w:rPr>
          <w:rFonts w:hint="eastAsia" w:ascii="仿宋_GB2312" w:eastAsia="仿宋_GB2312"/>
          <w:sz w:val="32"/>
          <w:szCs w:val="32"/>
          <w:lang w:eastAsia="zh-CN"/>
        </w:rPr>
        <w:t>万元</w:t>
      </w:r>
      <w:r>
        <w:rPr>
          <w:rFonts w:hint="eastAsia" w:ascii="仿宋_GB2312" w:eastAsia="仿宋_GB2312"/>
          <w:sz w:val="32"/>
          <w:szCs w:val="32"/>
        </w:rPr>
        <w:t>，用于机关及下属事业单位按照规定标准为职工缴纳住房公积金等支出。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（五）（其他科目支出主要用途）</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sz w:val="32"/>
          <w:szCs w:val="32"/>
        </w:rPr>
      </w:pPr>
      <w:r>
        <w:rPr>
          <w:rFonts w:hint="eastAsia" w:ascii="黑体" w:hAnsi="黑体" w:eastAsia="黑体" w:cs="黑体"/>
          <w:color w:val="333333"/>
          <w:kern w:val="0"/>
          <w:sz w:val="32"/>
          <w:szCs w:val="32"/>
          <w:shd w:val="clear" w:color="auto" w:fill="FFFFFF"/>
          <w:lang w:val="en-US" w:eastAsia="zh-CN" w:bidi="ar"/>
        </w:rPr>
        <w:t>五、较上年度增减变化</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本年度预算拨款收入1463.69万元较上年度预算1634.05万元减少了12%，其中基本行政运行经费预算719万元，占全部总预算的49%，较上年934.27万元减少了29%，原因为压缩各项开支，减少基本支出；专项业务工作经费预算270.35万元，占总预算的18.47%，较上年预算390.2万元减少了44.25%，主要原因为缩减了项目经费开支，减少相关支出。 </w:t>
      </w:r>
      <w:r>
        <w:rPr>
          <w:rFonts w:hint="eastAsia" w:ascii="黑体" w:hAnsi="黑体" w:eastAsia="黑体" w:cs="黑体"/>
          <w:color w:val="333333"/>
          <w:kern w:val="0"/>
          <w:sz w:val="32"/>
          <w:szCs w:val="32"/>
          <w:shd w:val="clear" w:color="auto" w:fill="FFFFFF"/>
          <w:lang w:val="en-US" w:eastAsia="zh-CN" w:bidi="ar"/>
        </w:rPr>
        <w:t xml:space="preserve"> </w:t>
      </w:r>
      <w:r>
        <w:rPr>
          <w:rFonts w:hint="eastAsia" w:ascii="仿宋_GB2312" w:eastAsia="仿宋_GB2312"/>
          <w:sz w:val="32"/>
          <w:szCs w:val="32"/>
          <w:lang w:val="en-US" w:eastAsia="zh-CN"/>
        </w:rPr>
        <w:t xml:space="preserve">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六、“三公”经费预算</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年度三公经费预算安排支出为169.19万元，其中：出国费0万元，与上年持平，主要原因为未安排因公出国；公车购置费0元，与上年减少；公务用车维护费支出168.21万元，较上年度预算158.21万元略有增加，主要原因严格执行“八项规定、六项禁令”新增公务用车一辆；二是将有关股室的工作有机地结合起来，减少不必要的资源浪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七、政府性基金预算收支情况说明</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2025年无使用政府性基金预算拨款安排的支出</w:t>
      </w:r>
      <w:r>
        <w:rPr>
          <w:rFonts w:hint="eastAsia" w:ascii="仿宋_GB2312" w:eastAsia="仿宋_GB2312"/>
          <w:sz w:val="32"/>
          <w:szCs w:val="32"/>
        </w:rPr>
        <w:t>。</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八、国有资本经营预算收支情况说明</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2025年无使用国有资本经营预算拨款安排的支出。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九、其他重要事项的情况说明</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（一）政府采购预算情况</w:t>
      </w:r>
      <w:r>
        <w:rPr>
          <w:rFonts w:hint="eastAsia" w:ascii="黑体" w:hAnsi="黑体" w:eastAsia="黑体" w:cs="黑体"/>
          <w:color w:val="333333"/>
          <w:kern w:val="0"/>
          <w:sz w:val="32"/>
          <w:szCs w:val="32"/>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2025年度安排政府采购预算0万元。</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pPr>
      <w:r>
        <w:rPr>
          <w:rFonts w:hint="eastAsia" w:ascii="楷体_GB2312" w:hAnsi="楷体_GB2312" w:eastAsia="楷体_GB2312" w:cs="楷体_GB2312"/>
          <w:b/>
          <w:bCs/>
          <w:color w:val="333333"/>
          <w:kern w:val="0"/>
          <w:sz w:val="32"/>
          <w:szCs w:val="32"/>
          <w:shd w:val="clear" w:color="auto" w:fill="FFFFFF"/>
          <w:lang w:val="en-US" w:eastAsia="zh-CN" w:bidi="ar"/>
        </w:rPr>
        <w:t>（二）政府财政国有资产占用情况</w:t>
      </w:r>
      <w:r>
        <w:rPr>
          <w:rFonts w:hint="eastAsia" w:ascii="微软雅黑" w:hAnsi="微软雅黑" w:eastAsia="微软雅黑" w:cs="微软雅黑"/>
          <w:color w:val="333333"/>
          <w:kern w:val="0"/>
          <w:sz w:val="24"/>
          <w:szCs w:val="24"/>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截止2024年底，实际共有固定资产价值1560.33</w:t>
      </w:r>
      <w:r>
        <w:rPr>
          <w:rFonts w:hint="eastAsia" w:ascii="仿宋_GB2312" w:eastAsia="仿宋_GB2312"/>
          <w:sz w:val="32"/>
          <w:szCs w:val="32"/>
          <w:lang w:eastAsia="zh-CN"/>
        </w:rPr>
        <w:t>万元：其中：房屋</w:t>
      </w:r>
      <w:r>
        <w:rPr>
          <w:rFonts w:hint="eastAsia" w:ascii="仿宋_GB2312" w:eastAsia="仿宋_GB2312"/>
          <w:sz w:val="32"/>
          <w:szCs w:val="32"/>
          <w:lang w:val="en-US" w:eastAsia="zh-CN"/>
        </w:rPr>
        <w:t>230.94</w:t>
      </w:r>
      <w:r>
        <w:rPr>
          <w:rFonts w:hint="eastAsia" w:ascii="仿宋_GB2312" w:eastAsia="仿宋_GB2312"/>
          <w:sz w:val="32"/>
          <w:szCs w:val="32"/>
          <w:lang w:eastAsia="zh-CN"/>
        </w:rPr>
        <w:t>万元，设备</w:t>
      </w:r>
      <w:r>
        <w:rPr>
          <w:rFonts w:hint="eastAsia" w:ascii="仿宋_GB2312" w:eastAsia="仿宋_GB2312"/>
          <w:sz w:val="32"/>
          <w:szCs w:val="32"/>
          <w:lang w:val="en-US" w:eastAsia="zh-CN"/>
        </w:rPr>
        <w:t>1314.6</w:t>
      </w:r>
      <w:r>
        <w:rPr>
          <w:rFonts w:hint="eastAsia" w:ascii="仿宋_GB2312" w:eastAsia="仿宋_GB2312"/>
          <w:sz w:val="32"/>
          <w:szCs w:val="32"/>
          <w:lang w:eastAsia="zh-CN"/>
        </w:rPr>
        <w:t>万元，家具类</w:t>
      </w:r>
      <w:r>
        <w:rPr>
          <w:rFonts w:hint="eastAsia" w:ascii="仿宋_GB2312" w:eastAsia="仿宋_GB2312"/>
          <w:sz w:val="32"/>
          <w:szCs w:val="32"/>
          <w:lang w:val="en-US" w:eastAsia="zh-CN"/>
        </w:rPr>
        <w:t>14.79万元。</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楷体_GB2312" w:hAnsi="楷体_GB2312" w:eastAsia="楷体_GB2312" w:cs="楷体_GB2312"/>
          <w:b/>
          <w:bCs/>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（三）绩效目标设置情况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绩效目标是预算编制的前提和基础，按照“费随事定”的原则，2025年我单位项目支出按要求编制了绩效目标，从项目完成、项目效益、满意度。</w:t>
      </w:r>
    </w:p>
    <w:p>
      <w:pPr>
        <w:keepNext w:val="0"/>
        <w:keepLines w:val="0"/>
        <w:pageBreakBefore w:val="0"/>
        <w:kinsoku/>
        <w:wordWrap/>
        <w:overflowPunct/>
        <w:topLinePunct w:val="0"/>
        <w:autoSpaceDE/>
        <w:autoSpaceDN/>
        <w:bidi w:val="0"/>
        <w:spacing w:line="560" w:lineRule="exact"/>
        <w:ind w:left="640" w:leftChars="0" w:right="0" w:rightChars="0" w:hanging="640" w:hangingChars="200"/>
        <w:textAlignment w:val="auto"/>
        <w:rPr>
          <w:rFonts w:hint="eastAsia" w:ascii="仿宋_GB2312" w:eastAsia="仿宋_GB2312"/>
          <w:sz w:val="32"/>
          <w:szCs w:val="32"/>
          <w:lang w:val="en-US" w:eastAsia="zh-CN"/>
        </w:rPr>
      </w:pPr>
      <w:r>
        <w:rPr>
          <w:rFonts w:hint="eastAsia" w:ascii="黑体" w:hAnsi="黑体" w:eastAsia="黑体" w:cs="黑体"/>
          <w:color w:val="333333"/>
          <w:kern w:val="0"/>
          <w:sz w:val="32"/>
          <w:szCs w:val="32"/>
          <w:shd w:val="clear" w:color="auto" w:fill="FFFFFF"/>
          <w:lang w:val="en-US" w:eastAsia="zh-CN" w:bidi="ar"/>
        </w:rPr>
        <w:t xml:space="preserve">    十、名词解释</w:t>
      </w:r>
      <w:r>
        <w:rPr>
          <w:rFonts w:hint="eastAsia" w:ascii="宋体" w:hAnsi="宋体" w:eastAsia="宋体" w:cs="宋体"/>
          <w:sz w:val="28"/>
          <w:szCs w:val="28"/>
          <w:lang w:val="en-US" w:eastAsia="zh-CN"/>
        </w:rPr>
        <w:br w:type="textWrapping"/>
      </w:r>
      <w:r>
        <w:rPr>
          <w:rFonts w:hint="eastAsia" w:ascii="仿宋_GB2312" w:eastAsia="仿宋_GB2312"/>
          <w:sz w:val="32"/>
          <w:szCs w:val="32"/>
          <w:lang w:val="en-US" w:eastAsia="zh-CN"/>
        </w:rPr>
        <w:t xml:space="preserve">1.财政拨款收入：指财政部门核拨给单位的财政预算资金。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2.其他收入：指除上述财政部门拨付单位以外的收入。</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3.基本支出：指为保障单位机关正常运转、完成日常工作任务而发生的人员支出和公用支出。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4.项目支出：指在基本支出之外为完成特定行政任务和事业发展目标所发生的支出。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附件：表1.部门收支总表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表2.部门收入总表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表3.部门支出总表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表4.财政拨款收支预算总表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表5.财政拨款支出预算表（部门经济分类科目）</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表6.一般公共预算支出预算表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表7.一般公共预算基本支出预算表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表8.一般公共预算项目支出预算表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表9.一般公共预算“三公”经费支出预算表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表10.政府性基金支出预算表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表11.政府性基金预算“三公”经费支出预算表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表12.国有资本经营预算支出预算表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default" w:ascii="仿宋_GB2312" w:eastAsia="仿宋_GB2312"/>
          <w:sz w:val="32"/>
          <w:szCs w:val="32"/>
          <w:lang w:val="en-US" w:eastAsia="zh-CN"/>
        </w:rPr>
      </w:pPr>
      <w:r>
        <w:rPr>
          <w:rFonts w:hint="eastAsia" w:ascii="仿宋_GB2312" w:eastAsia="仿宋_GB2312"/>
          <w:sz w:val="32"/>
          <w:szCs w:val="32"/>
          <w:lang w:val="en-US" w:eastAsia="zh-CN"/>
        </w:rPr>
        <w:t>表13.部门项目支出绩效目标表（2025年度）</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altName w:val="黑体"/>
    <w:panose1 w:val="020B0503020204020204"/>
    <w:charset w:val="86"/>
    <w:family w:val="auto"/>
    <w:pitch w:val="default"/>
    <w:sig w:usb0="00000000" w:usb1="00000000" w:usb2="00000016" w:usb3="00000000" w:csb0="0004001F" w:csb1="00000000"/>
  </w:font>
  <w:font w:name="DejaVu Sans">
    <w:panose1 w:val="020B0603030804020204"/>
    <w:charset w:val="00"/>
    <w:family w:val="auto"/>
    <w:pitch w:val="default"/>
    <w:sig w:usb0="E7006EFF" w:usb1="D200FDFF" w:usb2="0A246029" w:usb3="0400200C" w:csb0="600001FF" w:csb1="D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4A2C45"/>
    <w:multiLevelType w:val="multilevel"/>
    <w:tmpl w:val="074A2C45"/>
    <w:lvl w:ilvl="0" w:tentative="0">
      <w:start w:val="1"/>
      <w:numFmt w:val="decimal"/>
      <w:lvlText w:val="%1."/>
      <w:lvlJc w:val="left"/>
      <w:pPr>
        <w:tabs>
          <w:tab w:val="left" w:pos="1060"/>
        </w:tabs>
        <w:ind w:left="1060" w:hanging="420"/>
      </w:pPr>
    </w:lvl>
    <w:lvl w:ilvl="1" w:tentative="0">
      <w:start w:val="1"/>
      <w:numFmt w:val="lowerLetter"/>
      <w:lvlText w:val="%2)"/>
      <w:lvlJc w:val="left"/>
      <w:pPr>
        <w:tabs>
          <w:tab w:val="left" w:pos="1480"/>
        </w:tabs>
        <w:ind w:left="1480" w:hanging="420"/>
      </w:pPr>
    </w:lvl>
    <w:lvl w:ilvl="2" w:tentative="0">
      <w:start w:val="1"/>
      <w:numFmt w:val="lowerRoman"/>
      <w:lvlText w:val="%3."/>
      <w:lvlJc w:val="right"/>
      <w:pPr>
        <w:tabs>
          <w:tab w:val="left" w:pos="1900"/>
        </w:tabs>
        <w:ind w:left="1900" w:hanging="420"/>
      </w:pPr>
    </w:lvl>
    <w:lvl w:ilvl="3" w:tentative="0">
      <w:start w:val="1"/>
      <w:numFmt w:val="decimal"/>
      <w:lvlText w:val="%4."/>
      <w:lvlJc w:val="left"/>
      <w:pPr>
        <w:tabs>
          <w:tab w:val="left" w:pos="2320"/>
        </w:tabs>
        <w:ind w:left="2320" w:hanging="420"/>
      </w:pPr>
    </w:lvl>
    <w:lvl w:ilvl="4" w:tentative="0">
      <w:start w:val="1"/>
      <w:numFmt w:val="lowerLetter"/>
      <w:lvlText w:val="%5)"/>
      <w:lvlJc w:val="left"/>
      <w:pPr>
        <w:tabs>
          <w:tab w:val="left" w:pos="2740"/>
        </w:tabs>
        <w:ind w:left="2740" w:hanging="420"/>
      </w:pPr>
    </w:lvl>
    <w:lvl w:ilvl="5" w:tentative="0">
      <w:start w:val="1"/>
      <w:numFmt w:val="lowerRoman"/>
      <w:lvlText w:val="%6."/>
      <w:lvlJc w:val="right"/>
      <w:pPr>
        <w:tabs>
          <w:tab w:val="left" w:pos="3160"/>
        </w:tabs>
        <w:ind w:left="3160" w:hanging="420"/>
      </w:pPr>
    </w:lvl>
    <w:lvl w:ilvl="6" w:tentative="0">
      <w:start w:val="1"/>
      <w:numFmt w:val="decimal"/>
      <w:lvlText w:val="%7."/>
      <w:lvlJc w:val="left"/>
      <w:pPr>
        <w:tabs>
          <w:tab w:val="left" w:pos="3580"/>
        </w:tabs>
        <w:ind w:left="3580" w:hanging="420"/>
      </w:pPr>
    </w:lvl>
    <w:lvl w:ilvl="7" w:tentative="0">
      <w:start w:val="1"/>
      <w:numFmt w:val="lowerLetter"/>
      <w:lvlText w:val="%8)"/>
      <w:lvlJc w:val="left"/>
      <w:pPr>
        <w:tabs>
          <w:tab w:val="left" w:pos="4000"/>
        </w:tabs>
        <w:ind w:left="4000" w:hanging="420"/>
      </w:pPr>
    </w:lvl>
    <w:lvl w:ilvl="8" w:tentative="0">
      <w:start w:val="1"/>
      <w:numFmt w:val="lowerRoman"/>
      <w:lvlText w:val="%9."/>
      <w:lvlJc w:val="right"/>
      <w:pPr>
        <w:tabs>
          <w:tab w:val="left" w:pos="4420"/>
        </w:tabs>
        <w:ind w:left="4420" w:hanging="420"/>
      </w:pPr>
    </w:lvl>
  </w:abstractNum>
  <w:abstractNum w:abstractNumId="1">
    <w:nsid w:val="5A717D6F"/>
    <w:multiLevelType w:val="singleLevel"/>
    <w:tmpl w:val="5A717D6F"/>
    <w:lvl w:ilvl="0" w:tentative="0">
      <w:start w:val="4"/>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hlNTk3OTZjN2JkNDE3OWI4YTkwNGExNjg5YWIyM2UifQ=="/>
  </w:docVars>
  <w:rsids>
    <w:rsidRoot w:val="5F78432A"/>
    <w:rsid w:val="08BA0DE0"/>
    <w:rsid w:val="14B0492B"/>
    <w:rsid w:val="19C1402F"/>
    <w:rsid w:val="41045256"/>
    <w:rsid w:val="4B29791F"/>
    <w:rsid w:val="54E26736"/>
    <w:rsid w:val="556C2BCC"/>
    <w:rsid w:val="59BC5DF8"/>
    <w:rsid w:val="5F78432A"/>
    <w:rsid w:val="6F6FF90F"/>
    <w:rsid w:val="76382288"/>
    <w:rsid w:val="764359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before="93" w:beforeLines="30"/>
    </w:pPr>
    <w:rPr>
      <w:rFonts w:ascii="仿宋_GB2312" w:eastAsia="仿宋_GB2312"/>
      <w:sz w:val="30"/>
    </w:rPr>
  </w:style>
  <w:style w:type="paragraph" w:styleId="3">
    <w:name w:val="Body Text First Indent"/>
    <w:basedOn w:val="2"/>
    <w:next w:val="1"/>
    <w:qFormat/>
    <w:uiPriority w:val="0"/>
    <w:pPr>
      <w:spacing w:before="100" w:beforeAutospacing="1" w:after="100" w:afterAutospacing="1" w:line="500" w:lineRule="exact"/>
      <w:ind w:left="120" w:firstLine="420"/>
    </w:pPr>
    <w:rPr>
      <w:rFonts w:ascii="宋体" w:cs="宋体"/>
      <w:sz w:val="28"/>
      <w:szCs w:val="28"/>
      <w:lang w:bidi="ar-SA"/>
    </w:rPr>
  </w:style>
  <w:style w:type="character" w:customStyle="1" w:styleId="6">
    <w:name w:val="NormalCharacter"/>
    <w:qFormat/>
    <w:uiPriority w:val="0"/>
  </w:style>
  <w:style w:type="paragraph" w:customStyle="1" w:styleId="7">
    <w:name w:val="UserStyle_0"/>
    <w:basedOn w:val="1"/>
    <w:next w:val="1"/>
    <w:qFormat/>
    <w:uiPriority w:val="0"/>
    <w:pPr>
      <w:ind w:left="400" w:leftChars="200" w:hanging="200" w:hangingChars="200"/>
      <w:jc w:val="both"/>
      <w:textAlignment w:val="baseline"/>
    </w:pPr>
    <w:rPr>
      <w:rFonts w:ascii="Calibri" w:hAnsi="Calibri" w:eastAsia="宋体" w:cs="Arial"/>
      <w:kern w:val="2"/>
      <w:sz w:val="21"/>
      <w:szCs w:val="20"/>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3106</Words>
  <Characters>3150</Characters>
  <Lines>0</Lines>
  <Paragraphs>0</Paragraphs>
  <TotalTime>5</TotalTime>
  <ScaleCrop>false</ScaleCrop>
  <LinksUpToDate>false</LinksUpToDate>
  <CharactersWithSpaces>3155</CharactersWithSpaces>
  <Application>WPS Office_11.1.0.10161_F1E327BC-269C-435d-A152-05C5408002CA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2025-05-27T13:07:00Z</dcterms:created>
  <dc:creator>投资股-李仕昂</dc:creator>
  <cp:lastModifiedBy>user</cp:lastModifiedBy>
  <dcterms:modified xsi:type="dcterms:W3CDTF">2025-05-29T10:34:37Z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y fmtid="{D5CDD505-2E9C-101B-9397-08002B2CF9AE}" pid="3" name="ICV">
    <vt:lpwstr>683412995FFD41CA91F7A0034608A9E2_13</vt:lpwstr>
  </property>
  <property fmtid="{D5CDD505-2E9C-101B-9397-08002B2CF9AE}" pid="4" name="KSOTemplateDocerSaveRecord">
    <vt:lpwstr>eyJoZGlkIjoiMmUzOTk2ZmQzNDNlN2E1NDg0OTRkMWFlZDllZTFkYzEiLCJ1c2VySWQiOiI3ODc2NTU3OTMifQ==</vt:lpwstr>
  </property>
</Properties>
</file>