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475"/>
      <w:bookmarkStart w:id="1" w:name="_Toc15377425"/>
      <w:bookmarkStart w:id="2" w:name="_Toc15378441"/>
      <w:bookmarkStart w:id="3" w:name="_Toc15396597"/>
      <w:bookmarkStart w:id="4" w:name="_Toc15377193"/>
      <w:bookmarkStart w:id="5" w:name="_Toc15306267"/>
    </w:p>
    <w:p>
      <w:pPr>
        <w:pStyle w:val="5"/>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bookmarkEnd w:id="5"/>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426"/>
      <w:bookmarkStart w:id="7" w:name="_Toc15377194"/>
      <w:bookmarkStart w:id="8" w:name="_Toc15396598"/>
      <w:bookmarkStart w:id="9" w:name="_Toc15306268"/>
      <w:bookmarkStart w:id="10" w:name="_Toc15396476"/>
      <w:bookmarkStart w:id="11" w:name="_Toc15378442"/>
      <w:r>
        <w:rPr>
          <w:rFonts w:hint="eastAsia" w:ascii="方正小标宋简体" w:hAnsi="方正小标宋简体" w:eastAsia="方正小标宋简体" w:cs="方正小标宋简体"/>
          <w:sz w:val="72"/>
          <w:szCs w:val="72"/>
          <w:lang w:eastAsia="zh-CN"/>
        </w:rPr>
        <w:t>红原县财政局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keepNext w:val="0"/>
        <w:keepLines w:val="0"/>
        <w:widowControl/>
        <w:suppressLineNumbers w:val="0"/>
        <w:tabs>
          <w:tab w:val="left" w:pos="1378"/>
          <w:tab w:val="center" w:pos="4214"/>
        </w:tabs>
        <w:spacing w:before="0" w:beforeLines="0" w:beforeAutospacing="0" w:after="0" w:afterLines="0" w:afterAutospacing="0"/>
        <w:ind w:left="0" w:leftChars="0" w:right="0" w:rightChars="0" w:firstLine="0" w:firstLineChars="0"/>
        <w:jc w:val="left"/>
        <w:rPr>
          <w:rFonts w:hint="eastAsia"/>
        </w:rPr>
      </w:pPr>
      <w:r>
        <w:rPr>
          <w:rFonts w:hint="eastAsia"/>
          <w:lang w:eastAsia="zh-CN"/>
        </w:rPr>
        <w:tab/>
        <w:t/>
      </w:r>
      <w:r>
        <w:rPr>
          <w:rFonts w:hint="eastAsia"/>
          <w:lang w:eastAsia="zh-CN"/>
        </w:rPr>
        <w:tab/>
      </w: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18</w:t>
      </w:r>
      <w:r>
        <w:rPr>
          <w:rFonts w:hint="eastAsia"/>
        </w:rPr>
        <w:t>日</w:t>
      </w:r>
    </w:p>
    <w:sdt>
      <w:sdtPr>
        <w:rPr>
          <w:rFonts w:ascii="宋体" w:hAnsi="宋体" w:eastAsia="宋体" w:cs="Times New Roman"/>
          <w:kern w:val="2"/>
          <w:sz w:val="21"/>
          <w:szCs w:val="24"/>
          <w:lang w:val="en-US" w:eastAsia="zh-CN" w:bidi="ar-SA"/>
        </w:rPr>
        <w:id w:val="147451941"/>
        <w:docPartObj>
          <w:docPartGallery w:val="Table of Contents"/>
          <w:docPartUnique/>
        </w:docPartObj>
      </w:sdtPr>
      <w:sdtEndPr>
        <w:rPr>
          <w:rFonts w:hint="default" w:ascii="Times New Roman" w:hAnsi="Times New Roman" w:eastAsia="宋体" w:cs="Times New Roman"/>
          <w:kern w:val="0"/>
          <w:sz w:val="20"/>
          <w:szCs w:val="20"/>
          <w:lang w:val="en-US" w:eastAsia="zh-CN" w:bidi="ar"/>
        </w:rPr>
      </w:sdtEndPr>
      <w:sdtContent>
        <w:p>
          <w:pPr>
            <w:spacing w:before="0" w:beforeLines="0" w:after="0" w:afterLines="0" w:line="240" w:lineRule="auto"/>
            <w:ind w:left="0" w:leftChars="0" w:right="0" w:rightChars="0" w:firstLine="0" w:firstLineChars="0"/>
            <w:jc w:val="center"/>
          </w:pPr>
          <w:bookmarkStart w:id="12" w:name="_Toc5962_WPSOffice_Type2"/>
        </w:p>
        <w:p>
          <w:pPr>
            <w:pStyle w:val="37"/>
            <w:tabs>
              <w:tab w:val="right" w:leader="dot" w:pos="8306"/>
            </w:tabs>
          </w:pPr>
          <w:r>
            <w:rPr>
              <w:b/>
              <w:bCs/>
            </w:rPr>
            <w:fldChar w:fldCharType="begin"/>
          </w:r>
          <w:r>
            <w:instrText xml:space="preserve"> HYPERLINK \l _Toc21172_WPSOffice_Level1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1941"/>
              <w:placeholder>
                <w:docPart w:val="{2ab9d1b1-189f-4b48-8987-b206a97a0189}"/>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第一部分 部门概况</w:t>
              </w:r>
            </w:sdtContent>
          </w:sdt>
          <w:r>
            <w:rPr>
              <w:b/>
              <w:bCs/>
            </w:rPr>
            <w:tab/>
          </w:r>
          <w:bookmarkStart w:id="13" w:name="_Toc21172_WPSOffice_Level1Page"/>
          <w:r>
            <w:rPr>
              <w:b/>
              <w:bCs/>
            </w:rPr>
            <w:t>4</w:t>
          </w:r>
          <w:bookmarkEnd w:id="13"/>
          <w:r>
            <w:rPr>
              <w:b/>
              <w:bCs/>
            </w:rPr>
            <w:fldChar w:fldCharType="end"/>
          </w:r>
        </w:p>
        <w:p>
          <w:pPr>
            <w:pStyle w:val="38"/>
            <w:tabs>
              <w:tab w:val="right" w:leader="dot" w:pos="8306"/>
            </w:tabs>
          </w:pPr>
          <w:r>
            <w:fldChar w:fldCharType="begin"/>
          </w:r>
          <w:r>
            <w:instrText xml:space="preserve"> HYPERLINK \l _Toc5962_WPSOffice_Level2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f1cd2791-3ac6-49e6-ac52-efb5177de2dd}"/>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一、 部门职责</w:t>
              </w:r>
            </w:sdtContent>
          </w:sdt>
          <w:r>
            <w:tab/>
          </w:r>
          <w:bookmarkStart w:id="14" w:name="_Toc5962_WPSOffice_Level2Page"/>
          <w:r>
            <w:t>4</w:t>
          </w:r>
          <w:bookmarkEnd w:id="14"/>
          <w:r>
            <w:fldChar w:fldCharType="end"/>
          </w:r>
        </w:p>
        <w:p>
          <w:pPr>
            <w:pStyle w:val="38"/>
            <w:tabs>
              <w:tab w:val="right" w:leader="dot" w:pos="8306"/>
            </w:tabs>
          </w:pPr>
          <w:r>
            <w:fldChar w:fldCharType="begin"/>
          </w:r>
          <w:r>
            <w:instrText xml:space="preserve"> HYPERLINK \l _Toc24957_WPSOffice_Level2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0fa75220-6f05-4667-8f2d-d719d1532b77}"/>
              </w:placeholder>
            </w:sdtPr>
            <w:sdtEndPr>
              <w:rPr>
                <w:rFonts w:ascii="Times New Roman" w:hAnsi="Times New Roman" w:eastAsia="宋体" w:cs="Times New Roman"/>
                <w:kern w:val="2"/>
                <w:sz w:val="21"/>
                <w:szCs w:val="24"/>
                <w:lang w:val="en-US" w:eastAsia="zh-CN" w:bidi="ar-SA"/>
              </w:rPr>
            </w:sdtEndPr>
            <w:sdtContent>
              <w:r>
                <w:rPr>
                  <w:rFonts w:hint="eastAsia" w:ascii="黑体" w:eastAsia="黑体" w:hAnsiTheme="majorHAnsi" w:cstheme="majorBidi"/>
                </w:rPr>
                <w:t>二、</w:t>
              </w:r>
              <w:r>
                <w:rPr>
                  <w:rFonts w:hint="eastAsia" w:ascii="黑体" w:hAnsi="黑体" w:eastAsia="黑体" w:cstheme="majorBidi"/>
                </w:rPr>
                <w:t>机构设置</w:t>
              </w:r>
            </w:sdtContent>
          </w:sdt>
          <w:r>
            <w:tab/>
          </w:r>
          <w:bookmarkStart w:id="15" w:name="_Toc24957_WPSOffice_Level2Page"/>
          <w:r>
            <w:t>6</w:t>
          </w:r>
          <w:bookmarkEnd w:id="15"/>
          <w:r>
            <w:fldChar w:fldCharType="end"/>
          </w:r>
        </w:p>
        <w:p>
          <w:pPr>
            <w:pStyle w:val="37"/>
            <w:tabs>
              <w:tab w:val="right" w:leader="dot" w:pos="8306"/>
            </w:tabs>
          </w:pPr>
          <w:r>
            <w:rPr>
              <w:b/>
              <w:bCs/>
            </w:rPr>
            <w:fldChar w:fldCharType="begin"/>
          </w:r>
          <w:r>
            <w:instrText xml:space="preserve"> HYPERLINK \l _Toc5962_WPSOffice_Level1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1941"/>
              <w:placeholder>
                <w:docPart w:val="{577a4505-62bc-429f-aa28-87751a5cf09c}"/>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第二部分 2023年度部门决算情况说明</w:t>
              </w:r>
            </w:sdtContent>
          </w:sdt>
          <w:r>
            <w:rPr>
              <w:b/>
              <w:bCs/>
            </w:rPr>
            <w:tab/>
          </w:r>
          <w:bookmarkStart w:id="16" w:name="_Toc5962_WPSOffice_Level1Page"/>
          <w:r>
            <w:rPr>
              <w:b/>
              <w:bCs/>
            </w:rPr>
            <w:t>8</w:t>
          </w:r>
          <w:bookmarkEnd w:id="16"/>
          <w:r>
            <w:rPr>
              <w:b/>
              <w:bCs/>
            </w:rPr>
            <w:fldChar w:fldCharType="end"/>
          </w:r>
        </w:p>
        <w:p>
          <w:pPr>
            <w:pStyle w:val="38"/>
            <w:tabs>
              <w:tab w:val="right" w:leader="dot" w:pos="8306"/>
            </w:tabs>
          </w:pPr>
          <w:r>
            <w:fldChar w:fldCharType="begin"/>
          </w:r>
          <w:r>
            <w:instrText xml:space="preserve"> HYPERLINK \l _Toc29709_WPSOffice_Level2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ac9563b0-3065-4889-b019-e85e792b65de}"/>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一、 </w:t>
              </w:r>
              <w:r>
                <w:rPr>
                  <w:rFonts w:hint="eastAsia" w:ascii="黑体" w:hAnsi="黑体" w:eastAsia="黑体" w:cs="Times New Roman"/>
                </w:rPr>
                <w:t>收</w:t>
              </w:r>
              <w:r>
                <w:rPr>
                  <w:rFonts w:hint="eastAsia" w:ascii="黑体" w:hAnsi="黑体" w:eastAsia="黑体" w:cstheme="majorBidi"/>
                </w:rPr>
                <w:t>入支出决算总体情况说明</w:t>
              </w:r>
            </w:sdtContent>
          </w:sdt>
          <w:r>
            <w:tab/>
          </w:r>
          <w:bookmarkStart w:id="17" w:name="_Toc29709_WPSOffice_Level2Page"/>
          <w:r>
            <w:t>8</w:t>
          </w:r>
          <w:bookmarkEnd w:id="17"/>
          <w:r>
            <w:fldChar w:fldCharType="end"/>
          </w:r>
        </w:p>
        <w:p>
          <w:pPr>
            <w:pStyle w:val="38"/>
            <w:tabs>
              <w:tab w:val="right" w:leader="dot" w:pos="8306"/>
            </w:tabs>
          </w:pPr>
          <w:r>
            <w:fldChar w:fldCharType="begin"/>
          </w:r>
          <w:r>
            <w:instrText xml:space="preserve"> HYPERLINK \l _Toc21711_WPSOffice_Level2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20db0686-20ae-485a-9e5a-051b5d0e9892}"/>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二、 </w:t>
              </w:r>
              <w:r>
                <w:rPr>
                  <w:rFonts w:hint="eastAsia" w:ascii="黑体" w:hAnsi="黑体" w:eastAsia="黑体" w:cs="Times New Roman"/>
                </w:rPr>
                <w:t>收</w:t>
              </w:r>
              <w:r>
                <w:rPr>
                  <w:rFonts w:hint="eastAsia" w:ascii="黑体" w:hAnsi="黑体" w:eastAsia="黑体" w:cstheme="majorBidi"/>
                </w:rPr>
                <w:t>入决算情况说明</w:t>
              </w:r>
            </w:sdtContent>
          </w:sdt>
          <w:r>
            <w:tab/>
          </w:r>
          <w:bookmarkStart w:id="18" w:name="_Toc21711_WPSOffice_Level2Page"/>
          <w:r>
            <w:t>8</w:t>
          </w:r>
          <w:bookmarkEnd w:id="18"/>
          <w:r>
            <w:fldChar w:fldCharType="end"/>
          </w:r>
        </w:p>
        <w:p>
          <w:pPr>
            <w:pStyle w:val="38"/>
            <w:tabs>
              <w:tab w:val="right" w:leader="dot" w:pos="8306"/>
            </w:tabs>
          </w:pPr>
          <w:r>
            <w:fldChar w:fldCharType="begin"/>
          </w:r>
          <w:r>
            <w:instrText xml:space="preserve"> HYPERLINK \l _Toc25959_WPSOffice_Level2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98da4a21-fedf-4a93-94b1-61df8db179de}"/>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三、 </w:t>
              </w:r>
              <w:r>
                <w:rPr>
                  <w:rFonts w:hint="eastAsia" w:ascii="黑体" w:hAnsi="黑体" w:eastAsia="黑体" w:cs="Times New Roman"/>
                </w:rPr>
                <w:t>支</w:t>
              </w:r>
              <w:r>
                <w:rPr>
                  <w:rFonts w:hint="eastAsia" w:ascii="黑体" w:hAnsi="黑体" w:eastAsia="黑体" w:cstheme="majorBidi"/>
                </w:rPr>
                <w:t>出决算情况说明</w:t>
              </w:r>
            </w:sdtContent>
          </w:sdt>
          <w:r>
            <w:tab/>
          </w:r>
          <w:bookmarkStart w:id="19" w:name="_Toc25959_WPSOffice_Level2Page"/>
          <w:r>
            <w:t>9</w:t>
          </w:r>
          <w:bookmarkEnd w:id="19"/>
          <w:r>
            <w:fldChar w:fldCharType="end"/>
          </w:r>
        </w:p>
        <w:p>
          <w:pPr>
            <w:pStyle w:val="38"/>
            <w:tabs>
              <w:tab w:val="right" w:leader="dot" w:pos="8306"/>
            </w:tabs>
          </w:pPr>
          <w:r>
            <w:fldChar w:fldCharType="begin"/>
          </w:r>
          <w:r>
            <w:instrText xml:space="preserve"> HYPERLINK \l _Toc26235_WPSOffice_Level2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07821133-45a6-444c-a424-1a374616ee5d}"/>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四、财</w:t>
              </w:r>
              <w:r>
                <w:rPr>
                  <w:rFonts w:hint="eastAsia" w:ascii="黑体" w:hAnsi="黑体" w:eastAsia="黑体" w:cstheme="majorBidi"/>
                </w:rPr>
                <w:t>政拨款收入支出决算总体情况说明</w:t>
              </w:r>
            </w:sdtContent>
          </w:sdt>
          <w:r>
            <w:tab/>
          </w:r>
          <w:bookmarkStart w:id="20" w:name="_Toc26235_WPSOffice_Level2Page"/>
          <w:r>
            <w:t>9</w:t>
          </w:r>
          <w:bookmarkEnd w:id="20"/>
          <w:r>
            <w:fldChar w:fldCharType="end"/>
          </w:r>
        </w:p>
        <w:p>
          <w:pPr>
            <w:pStyle w:val="38"/>
            <w:tabs>
              <w:tab w:val="right" w:leader="dot" w:pos="8306"/>
            </w:tabs>
          </w:pPr>
          <w:r>
            <w:fldChar w:fldCharType="begin"/>
          </w:r>
          <w:r>
            <w:instrText xml:space="preserve"> HYPERLINK \l _Toc10331_WPSOffice_Level2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ab3773df-dd56-4ff6-825a-d9af32119f99}"/>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五、一</w:t>
              </w:r>
              <w:r>
                <w:rPr>
                  <w:rFonts w:hint="eastAsia" w:ascii="黑体" w:hAnsi="黑体" w:eastAsia="黑体" w:cstheme="majorBidi"/>
                </w:rPr>
                <w:t>般公共预算财政拨款支出决算情况说明</w:t>
              </w:r>
            </w:sdtContent>
          </w:sdt>
          <w:r>
            <w:tab/>
          </w:r>
          <w:bookmarkStart w:id="21" w:name="_Toc10331_WPSOffice_Level2Page"/>
          <w:r>
            <w:t>10</w:t>
          </w:r>
          <w:bookmarkEnd w:id="21"/>
          <w:r>
            <w:fldChar w:fldCharType="end"/>
          </w:r>
        </w:p>
        <w:p>
          <w:pPr>
            <w:pStyle w:val="38"/>
            <w:tabs>
              <w:tab w:val="right" w:leader="dot" w:pos="8306"/>
            </w:tabs>
          </w:pPr>
          <w:r>
            <w:fldChar w:fldCharType="begin"/>
          </w:r>
          <w:r>
            <w:instrText xml:space="preserve"> HYPERLINK \l _Toc14932_WPSOffice_Level2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7267efb1-3abd-4d4f-ba4d-7c7e127e1a59}"/>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六、</w:t>
              </w:r>
              <w:r>
                <w:rPr>
                  <w:rFonts w:hint="eastAsia" w:ascii="黑体" w:hAnsi="黑体" w:eastAsia="黑体" w:cs="Times New Roman"/>
                </w:rPr>
                <w:t>一</w:t>
              </w:r>
              <w:r>
                <w:rPr>
                  <w:rFonts w:hint="eastAsia" w:ascii="黑体" w:hAnsi="黑体" w:eastAsia="黑体" w:cstheme="majorBidi"/>
                </w:rPr>
                <w:t>般公共预算财政拨款基本支出决算情况说明</w:t>
              </w:r>
            </w:sdtContent>
          </w:sdt>
          <w:r>
            <w:tab/>
          </w:r>
          <w:bookmarkStart w:id="22" w:name="_Toc14932_WPSOffice_Level2Page"/>
          <w:r>
            <w:t>12</w:t>
          </w:r>
          <w:bookmarkEnd w:id="22"/>
          <w:r>
            <w:fldChar w:fldCharType="end"/>
          </w:r>
        </w:p>
        <w:p>
          <w:pPr>
            <w:pStyle w:val="38"/>
            <w:tabs>
              <w:tab w:val="right" w:leader="dot" w:pos="8306"/>
            </w:tabs>
          </w:pPr>
          <w:r>
            <w:fldChar w:fldCharType="begin"/>
          </w:r>
          <w:r>
            <w:instrText xml:space="preserve"> HYPERLINK \l _Toc18638_WPSOffice_Level2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9cca559-85cf-442f-bbc3-87e0ee823316}"/>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七、</w:t>
              </w:r>
              <w:r>
                <w:rPr>
                  <w:rFonts w:hint="eastAsia" w:ascii="黑体" w:hAnsi="黑体" w:eastAsia="黑体" w:cstheme="majorBidi"/>
                </w:rPr>
                <w:t>财政拨款“三公”经费支出决算情况说明</w:t>
              </w:r>
            </w:sdtContent>
          </w:sdt>
          <w:r>
            <w:tab/>
          </w:r>
          <w:bookmarkStart w:id="23" w:name="_Toc18638_WPSOffice_Level2Page"/>
          <w:r>
            <w:t>14</w:t>
          </w:r>
          <w:bookmarkEnd w:id="23"/>
          <w:r>
            <w:fldChar w:fldCharType="end"/>
          </w:r>
        </w:p>
        <w:p>
          <w:pPr>
            <w:pStyle w:val="38"/>
            <w:tabs>
              <w:tab w:val="right" w:leader="dot" w:pos="8306"/>
            </w:tabs>
          </w:pPr>
          <w:r>
            <w:fldChar w:fldCharType="begin"/>
          </w:r>
          <w:r>
            <w:instrText xml:space="preserve"> HYPERLINK \l _Toc11936_WPSOffice_Level2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004482c8-6cd7-45bb-89e5-d5432a7f7b83}"/>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八、</w:t>
              </w:r>
              <w:r>
                <w:rPr>
                  <w:rFonts w:hint="eastAsia" w:ascii="黑体" w:hAnsi="黑体" w:eastAsia="黑体" w:cstheme="majorBidi"/>
                </w:rPr>
                <w:t>政府性基金预算支出决算情况说明</w:t>
              </w:r>
            </w:sdtContent>
          </w:sdt>
          <w:r>
            <w:tab/>
          </w:r>
          <w:bookmarkStart w:id="24" w:name="_Toc11936_WPSOffice_Level2Page"/>
          <w:r>
            <w:t>15</w:t>
          </w:r>
          <w:bookmarkEnd w:id="24"/>
          <w:r>
            <w:fldChar w:fldCharType="end"/>
          </w:r>
        </w:p>
        <w:p>
          <w:pPr>
            <w:pStyle w:val="38"/>
            <w:tabs>
              <w:tab w:val="right" w:leader="dot" w:pos="8306"/>
            </w:tabs>
          </w:pPr>
          <w:r>
            <w:fldChar w:fldCharType="begin"/>
          </w:r>
          <w:r>
            <w:instrText xml:space="preserve"> HYPERLINK \l _Toc28183_WPSOffice_Level2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f2a6ec60-844f-4f8b-a058-1d62f96cc36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九、 国有资本经营预算支出决算情况说明</w:t>
              </w:r>
            </w:sdtContent>
          </w:sdt>
          <w:r>
            <w:tab/>
          </w:r>
          <w:bookmarkStart w:id="25" w:name="_Toc28183_WPSOffice_Level2Page"/>
          <w:r>
            <w:t>15</w:t>
          </w:r>
          <w:bookmarkEnd w:id="25"/>
          <w:r>
            <w:fldChar w:fldCharType="end"/>
          </w:r>
        </w:p>
        <w:p>
          <w:pPr>
            <w:pStyle w:val="38"/>
            <w:tabs>
              <w:tab w:val="right" w:leader="dot" w:pos="8306"/>
            </w:tabs>
          </w:pPr>
          <w:r>
            <w:fldChar w:fldCharType="begin"/>
          </w:r>
          <w:r>
            <w:instrText xml:space="preserve"> HYPERLINK \l _Toc11998_WPSOffice_Level2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474ea4c2-3e74-4a7a-961c-d9f8a624e6d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十、 其他重要事项的情况说明</w:t>
              </w:r>
            </w:sdtContent>
          </w:sdt>
          <w:r>
            <w:tab/>
          </w:r>
          <w:bookmarkStart w:id="26" w:name="_Toc11998_WPSOffice_Level2Page"/>
          <w:r>
            <w:t>16</w:t>
          </w:r>
          <w:bookmarkEnd w:id="26"/>
          <w:r>
            <w:fldChar w:fldCharType="end"/>
          </w:r>
        </w:p>
        <w:p>
          <w:pPr>
            <w:pStyle w:val="37"/>
            <w:tabs>
              <w:tab w:val="right" w:leader="dot" w:pos="8306"/>
            </w:tabs>
          </w:pPr>
          <w:r>
            <w:rPr>
              <w:b/>
              <w:bCs/>
            </w:rPr>
            <w:fldChar w:fldCharType="begin"/>
          </w:r>
          <w:r>
            <w:instrText xml:space="preserve"> HYPERLINK \l _Toc24957_WPSOffice_Level1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1941"/>
              <w:placeholder>
                <w:docPart w:val="{332b45e8-5260-4fd0-a3a3-e478716d169d}"/>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宋体" w:cs="Times New Roman"/>
                  <w:b/>
                  <w:bCs/>
                </w:rPr>
                <w:t>第三部分 名词解释</w:t>
              </w:r>
            </w:sdtContent>
          </w:sdt>
          <w:r>
            <w:rPr>
              <w:b/>
              <w:bCs/>
            </w:rPr>
            <w:tab/>
          </w:r>
          <w:bookmarkStart w:id="27" w:name="_Toc24957_WPSOffice_Level1Page"/>
          <w:r>
            <w:rPr>
              <w:b/>
              <w:bCs/>
            </w:rPr>
            <w:t>17</w:t>
          </w:r>
          <w:bookmarkEnd w:id="27"/>
          <w:r>
            <w:rPr>
              <w:b/>
              <w:bCs/>
            </w:rPr>
            <w:fldChar w:fldCharType="end"/>
          </w:r>
        </w:p>
        <w:p>
          <w:pPr>
            <w:pStyle w:val="37"/>
            <w:tabs>
              <w:tab w:val="right" w:leader="dot" w:pos="8306"/>
            </w:tabs>
          </w:pPr>
          <w:r>
            <w:rPr>
              <w:b/>
              <w:bCs/>
            </w:rPr>
            <w:fldChar w:fldCharType="begin"/>
          </w:r>
          <w:r>
            <w:instrText xml:space="preserve"> HYPERLINK \l _Toc29709_WPSOffice_Level1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1941"/>
              <w:placeholder>
                <w:docPart w:val="{15e69e76-01d6-421e-a82d-933a9fe5c2fc}"/>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第四部分 附件</w:t>
              </w:r>
            </w:sdtContent>
          </w:sdt>
          <w:r>
            <w:rPr>
              <w:b/>
              <w:bCs/>
            </w:rPr>
            <w:tab/>
          </w:r>
          <w:bookmarkStart w:id="28" w:name="_Toc29709_WPSOffice_Level1Page"/>
          <w:r>
            <w:rPr>
              <w:b/>
              <w:bCs/>
            </w:rPr>
            <w:t>20</w:t>
          </w:r>
          <w:bookmarkEnd w:id="28"/>
          <w:r>
            <w:rPr>
              <w:b/>
              <w:bCs/>
            </w:rPr>
            <w:fldChar w:fldCharType="end"/>
          </w:r>
        </w:p>
        <w:p>
          <w:pPr>
            <w:pStyle w:val="38"/>
            <w:tabs>
              <w:tab w:val="right" w:leader="dot" w:pos="8306"/>
            </w:tabs>
          </w:pPr>
          <w:r>
            <w:fldChar w:fldCharType="begin"/>
          </w:r>
          <w:r>
            <w:instrText xml:space="preserve"> HYPERLINK \l _Toc14644_WPSOffice_Level2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ace3927-9f3c-40eb-8827-7e97c399e88b}"/>
              </w:placeholder>
            </w:sdtPr>
            <w:sdtEndPr>
              <w:rPr>
                <w:rFonts w:ascii="Times New Roman" w:hAnsi="Times New Roman" w:eastAsia="宋体" w:cs="Times New Roman"/>
                <w:kern w:val="2"/>
                <w:sz w:val="21"/>
                <w:szCs w:val="24"/>
                <w:lang w:val="en-US" w:eastAsia="zh-CN" w:bidi="ar-SA"/>
              </w:rPr>
            </w:sdtEndPr>
            <w:sdtContent>
              <w:r>
                <w:rPr>
                  <w:rFonts w:hint="eastAsia" w:ascii="方正小标宋简体" w:hAnsi="方正小标宋简体" w:eastAsia="方正小标宋简体" w:cs="Times New Roman"/>
                </w:rPr>
                <w:t>部门预算绩效评价报告范本</w:t>
              </w:r>
            </w:sdtContent>
          </w:sdt>
          <w:r>
            <w:tab/>
          </w:r>
          <w:bookmarkStart w:id="29" w:name="_Toc14644_WPSOffice_Level2Page"/>
          <w:r>
            <w:t>20</w:t>
          </w:r>
          <w:bookmarkEnd w:id="29"/>
          <w:r>
            <w:fldChar w:fldCharType="end"/>
          </w:r>
        </w:p>
        <w:p>
          <w:pPr>
            <w:pStyle w:val="38"/>
            <w:tabs>
              <w:tab w:val="right" w:leader="dot" w:pos="8306"/>
            </w:tabs>
          </w:pPr>
          <w:r>
            <w:fldChar w:fldCharType="begin"/>
          </w:r>
          <w:r>
            <w:instrText xml:space="preserve"> HYPERLINK \l _Toc5541_WPSOffice_Level2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b75f6939-bb3e-499e-837f-0c013e99d457}"/>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一、部门（单位）基本情况</w:t>
              </w:r>
            </w:sdtContent>
          </w:sdt>
          <w:r>
            <w:tab/>
          </w:r>
          <w:bookmarkStart w:id="30" w:name="_Toc5541_WPSOffice_Level2Page"/>
          <w:r>
            <w:t>20</w:t>
          </w:r>
          <w:bookmarkEnd w:id="30"/>
          <w:r>
            <w:fldChar w:fldCharType="end"/>
          </w:r>
        </w:p>
        <w:p>
          <w:pPr>
            <w:pStyle w:val="38"/>
            <w:tabs>
              <w:tab w:val="right" w:leader="dot" w:pos="8306"/>
            </w:tabs>
          </w:pPr>
          <w:r>
            <w:fldChar w:fldCharType="begin"/>
          </w:r>
          <w:r>
            <w:instrText xml:space="preserve"> HYPERLINK \l _Toc10664_WPSOffice_Level2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7330e43-a971-4491-ac1c-8387398edaa8}"/>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二、部门资金收支情况</w:t>
              </w:r>
            </w:sdtContent>
          </w:sdt>
          <w:r>
            <w:tab/>
          </w:r>
          <w:bookmarkStart w:id="31" w:name="_Toc10664_WPSOffice_Level2Page"/>
          <w:r>
            <w:t>22</w:t>
          </w:r>
          <w:bookmarkEnd w:id="31"/>
          <w:r>
            <w:fldChar w:fldCharType="end"/>
          </w:r>
        </w:p>
        <w:p>
          <w:pPr>
            <w:pStyle w:val="38"/>
            <w:tabs>
              <w:tab w:val="right" w:leader="dot" w:pos="8306"/>
            </w:tabs>
          </w:pPr>
          <w:r>
            <w:fldChar w:fldCharType="begin"/>
          </w:r>
          <w:r>
            <w:instrText xml:space="preserve"> HYPERLINK \l _Toc24203_WPSOffice_Level2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76abf21e-4c0b-4209-bd72-8604acf7b657}"/>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三、部门预算绩效分析</w:t>
              </w:r>
            </w:sdtContent>
          </w:sdt>
          <w:r>
            <w:tab/>
          </w:r>
          <w:bookmarkStart w:id="32" w:name="_Toc24203_WPSOffice_Level2Page"/>
          <w:r>
            <w:t>23</w:t>
          </w:r>
          <w:bookmarkEnd w:id="32"/>
          <w:r>
            <w:fldChar w:fldCharType="end"/>
          </w:r>
        </w:p>
        <w:p>
          <w:pPr>
            <w:pStyle w:val="38"/>
            <w:tabs>
              <w:tab w:val="right" w:leader="dot" w:pos="8306"/>
            </w:tabs>
          </w:pPr>
          <w:r>
            <w:fldChar w:fldCharType="begin"/>
          </w:r>
          <w:r>
            <w:instrText xml:space="preserve"> HYPERLINK \l _Toc26190_WPSOffice_Level2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0ca6158b-f0e8-4aff-8685-a3d76f0c17c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四、评价结论及建议</w:t>
              </w:r>
            </w:sdtContent>
          </w:sdt>
          <w:r>
            <w:tab/>
          </w:r>
          <w:bookmarkStart w:id="33" w:name="_Toc26190_WPSOffice_Level2Page"/>
          <w:r>
            <w:t>24</w:t>
          </w:r>
          <w:bookmarkEnd w:id="33"/>
          <w:r>
            <w:fldChar w:fldCharType="end"/>
          </w:r>
        </w:p>
        <w:p>
          <w:pPr>
            <w:pStyle w:val="38"/>
            <w:tabs>
              <w:tab w:val="right" w:leader="dot" w:pos="8306"/>
            </w:tabs>
          </w:pPr>
          <w:r>
            <w:fldChar w:fldCharType="begin"/>
          </w:r>
          <w:r>
            <w:instrText xml:space="preserve"> HYPERLINK \l _Toc12342_WPSOffice_Level2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9996afc1-30a2-4167-ab04-4863a3b3c739}"/>
              </w:placeholder>
            </w:sdtPr>
            <w:sdtEndPr>
              <w:rPr>
                <w:rFonts w:ascii="Times New Roman" w:hAnsi="Times New Roman" w:eastAsia="宋体" w:cs="Times New Roman"/>
                <w:kern w:val="2"/>
                <w:sz w:val="21"/>
                <w:szCs w:val="24"/>
                <w:lang w:val="en-US" w:eastAsia="zh-CN" w:bidi="ar-SA"/>
              </w:rPr>
            </w:sdtEndPr>
            <w:sdtContent>
              <w:r>
                <w:rPr>
                  <w:rFonts w:hint="default" w:ascii="方正小标宋简体" w:hAnsi="方正小标宋简体" w:eastAsia="方正小标宋简体" w:cs="方正小标宋简体"/>
                </w:rPr>
                <w:t>红原县财政局</w:t>
              </w:r>
            </w:sdtContent>
          </w:sdt>
          <w:r>
            <w:tab/>
          </w:r>
          <w:bookmarkStart w:id="34" w:name="_Toc12342_WPSOffice_Level2Page"/>
          <w:r>
            <w:t>25</w:t>
          </w:r>
          <w:bookmarkEnd w:id="34"/>
          <w:r>
            <w:fldChar w:fldCharType="end"/>
          </w:r>
        </w:p>
        <w:p>
          <w:pPr>
            <w:pStyle w:val="38"/>
            <w:tabs>
              <w:tab w:val="right" w:leader="dot" w:pos="8306"/>
            </w:tabs>
          </w:pPr>
          <w:r>
            <w:fldChar w:fldCharType="begin"/>
          </w:r>
          <w:r>
            <w:instrText xml:space="preserve"> HYPERLINK \l _Toc29082_WPSOffice_Level2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42623b01-7f53-419e-a75e-e50d37133a1d}"/>
              </w:placeholder>
            </w:sdtPr>
            <w:sdtEndPr>
              <w:rPr>
                <w:rFonts w:ascii="Times New Roman" w:hAnsi="Times New Roman" w:eastAsia="宋体" w:cs="Times New Roman"/>
                <w:kern w:val="2"/>
                <w:sz w:val="21"/>
                <w:szCs w:val="24"/>
                <w:lang w:val="en-US" w:eastAsia="zh-CN" w:bidi="ar-SA"/>
              </w:rPr>
            </w:sdtEndPr>
            <w:sdtContent>
              <w:r>
                <w:rPr>
                  <w:rFonts w:hint="default" w:ascii="方正小标宋简体" w:hAnsi="方正小标宋简体" w:eastAsia="方正小标宋简体" w:cs="方正小标宋简体"/>
                </w:rPr>
                <w:t>财政评审及竣工结算审核项目202</w:t>
              </w:r>
              <w:r>
                <w:rPr>
                  <w:rFonts w:hint="eastAsia" w:ascii="方正小标宋简体" w:hAnsi="方正小标宋简体" w:eastAsia="方正小标宋简体" w:cs="方正小标宋简体"/>
                </w:rPr>
                <w:t>3</w:t>
              </w:r>
              <w:r>
                <w:rPr>
                  <w:rFonts w:hint="default" w:ascii="方正小标宋简体" w:hAnsi="方正小标宋简体" w:eastAsia="方正小标宋简体" w:cs="方正小标宋简体"/>
                </w:rPr>
                <w:t>年绩效评价报告</w:t>
              </w:r>
            </w:sdtContent>
          </w:sdt>
          <w:r>
            <w:tab/>
          </w:r>
          <w:bookmarkStart w:id="35" w:name="_Toc29082_WPSOffice_Level2Page"/>
          <w:r>
            <w:t>25</w:t>
          </w:r>
          <w:bookmarkEnd w:id="35"/>
          <w:r>
            <w:fldChar w:fldCharType="end"/>
          </w:r>
        </w:p>
        <w:p>
          <w:pPr>
            <w:pStyle w:val="38"/>
            <w:tabs>
              <w:tab w:val="right" w:leader="dot" w:pos="8306"/>
            </w:tabs>
          </w:pPr>
          <w:r>
            <w:fldChar w:fldCharType="begin"/>
          </w:r>
          <w:r>
            <w:instrText xml:space="preserve"> HYPERLINK \l _Toc18438_WPSOffice_Level2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feb2c01b-119d-4cf9-b1bf-d6dc00e79c3a}"/>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一、项目概况</w:t>
              </w:r>
            </w:sdtContent>
          </w:sdt>
          <w:r>
            <w:tab/>
          </w:r>
          <w:bookmarkStart w:id="36" w:name="_Toc18438_WPSOffice_Level2Page"/>
          <w:r>
            <w:t>25</w:t>
          </w:r>
          <w:bookmarkEnd w:id="36"/>
          <w:r>
            <w:fldChar w:fldCharType="end"/>
          </w:r>
        </w:p>
        <w:p>
          <w:pPr>
            <w:pStyle w:val="38"/>
            <w:tabs>
              <w:tab w:val="right" w:leader="dot" w:pos="8306"/>
            </w:tabs>
          </w:pPr>
          <w:r>
            <w:fldChar w:fldCharType="begin"/>
          </w:r>
          <w:r>
            <w:instrText xml:space="preserve"> HYPERLINK \l _Toc19755_WPSOffice_Level2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6c781d9d-d8eb-4994-a511-3528062681df}"/>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二、评价实施</w:t>
              </w:r>
            </w:sdtContent>
          </w:sdt>
          <w:r>
            <w:tab/>
          </w:r>
          <w:bookmarkStart w:id="37" w:name="_Toc19755_WPSOffice_Level2Page"/>
          <w:r>
            <w:t>26</w:t>
          </w:r>
          <w:bookmarkEnd w:id="37"/>
          <w:r>
            <w:fldChar w:fldCharType="end"/>
          </w:r>
        </w:p>
        <w:p>
          <w:pPr>
            <w:pStyle w:val="38"/>
            <w:tabs>
              <w:tab w:val="right" w:leader="dot" w:pos="8306"/>
            </w:tabs>
          </w:pPr>
          <w:r>
            <w:fldChar w:fldCharType="begin"/>
          </w:r>
          <w:r>
            <w:instrText xml:space="preserve"> HYPERLINK \l _Toc23542_WPSOffice_Level2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bf35f458-5ee0-41d6-9519-a781be368783}"/>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三、绩效分析</w:t>
              </w:r>
            </w:sdtContent>
          </w:sdt>
          <w:r>
            <w:tab/>
          </w:r>
          <w:bookmarkStart w:id="38" w:name="_Toc23542_WPSOffice_Level2Page"/>
          <w:r>
            <w:t>26</w:t>
          </w:r>
          <w:bookmarkEnd w:id="38"/>
          <w:r>
            <w:fldChar w:fldCharType="end"/>
          </w:r>
        </w:p>
        <w:p>
          <w:pPr>
            <w:pStyle w:val="38"/>
            <w:tabs>
              <w:tab w:val="right" w:leader="dot" w:pos="8306"/>
            </w:tabs>
          </w:pPr>
          <w:r>
            <w:fldChar w:fldCharType="begin"/>
          </w:r>
          <w:r>
            <w:instrText xml:space="preserve"> HYPERLINK \l _Toc28308_WPSOffice_Level2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3589a1b0-f3d3-4ead-a14e-adb965d3f090}"/>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四、评价结论</w:t>
              </w:r>
            </w:sdtContent>
          </w:sdt>
          <w:r>
            <w:tab/>
          </w:r>
          <w:bookmarkStart w:id="39" w:name="_Toc28308_WPSOffice_Level2Page"/>
          <w:r>
            <w:t>27</w:t>
          </w:r>
          <w:bookmarkEnd w:id="39"/>
          <w:r>
            <w:fldChar w:fldCharType="end"/>
          </w:r>
        </w:p>
        <w:p>
          <w:pPr>
            <w:pStyle w:val="38"/>
            <w:tabs>
              <w:tab w:val="right" w:leader="dot" w:pos="8306"/>
            </w:tabs>
          </w:pPr>
          <w:r>
            <w:fldChar w:fldCharType="begin"/>
          </w:r>
          <w:r>
            <w:instrText xml:space="preserve"> HYPERLINK \l _Toc27819_WPSOffice_Level2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1af43730-67bb-4ec3-bb96-c96d268dc0e5}"/>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五、存在主要问题</w:t>
              </w:r>
            </w:sdtContent>
          </w:sdt>
          <w:r>
            <w:tab/>
          </w:r>
          <w:bookmarkStart w:id="40" w:name="_Toc27819_WPSOffice_Level2Page"/>
          <w:r>
            <w:t>27</w:t>
          </w:r>
          <w:bookmarkEnd w:id="40"/>
          <w:r>
            <w:fldChar w:fldCharType="end"/>
          </w:r>
        </w:p>
        <w:p>
          <w:pPr>
            <w:pStyle w:val="38"/>
            <w:tabs>
              <w:tab w:val="right" w:leader="dot" w:pos="8306"/>
            </w:tabs>
          </w:pPr>
          <w:r>
            <w:fldChar w:fldCharType="begin"/>
          </w:r>
          <w:r>
            <w:instrText xml:space="preserve"> HYPERLINK \l _Toc14278_WPSOffice_Level2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29b7d617-84fa-4a99-9785-483f48dad4d9}"/>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六、改进建议</w:t>
              </w:r>
            </w:sdtContent>
          </w:sdt>
          <w:r>
            <w:tab/>
          </w:r>
          <w:bookmarkStart w:id="41" w:name="_Toc14278_WPSOffice_Level2Page"/>
          <w:r>
            <w:t>28</w:t>
          </w:r>
          <w:bookmarkEnd w:id="41"/>
          <w:r>
            <w:fldChar w:fldCharType="end"/>
          </w:r>
        </w:p>
        <w:p>
          <w:pPr>
            <w:pStyle w:val="37"/>
            <w:tabs>
              <w:tab w:val="right" w:leader="dot" w:pos="8306"/>
            </w:tabs>
          </w:pPr>
          <w:r>
            <w:rPr>
              <w:b/>
              <w:bCs/>
            </w:rPr>
            <w:fldChar w:fldCharType="begin"/>
          </w:r>
          <w:r>
            <w:instrText xml:space="preserve"> HYPERLINK \l _Toc21711_WPSOffice_Level1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1941"/>
              <w:placeholder>
                <w:docPart w:val="{0d37d432-9a12-4f3d-a3e2-98cf0e983293}"/>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第五部分 附表</w:t>
              </w:r>
            </w:sdtContent>
          </w:sdt>
          <w:r>
            <w:rPr>
              <w:b/>
              <w:bCs/>
            </w:rPr>
            <w:tab/>
          </w:r>
          <w:bookmarkStart w:id="42" w:name="_Toc21711_WPSOffice_Level1Page"/>
          <w:r>
            <w:rPr>
              <w:b/>
              <w:bCs/>
            </w:rPr>
            <w:t>28</w:t>
          </w:r>
          <w:bookmarkEnd w:id="42"/>
          <w:r>
            <w:rPr>
              <w:b/>
              <w:bCs/>
            </w:rPr>
            <w:fldChar w:fldCharType="end"/>
          </w:r>
        </w:p>
        <w:p>
          <w:pPr>
            <w:pStyle w:val="38"/>
            <w:tabs>
              <w:tab w:val="right" w:leader="dot" w:pos="8306"/>
            </w:tabs>
          </w:pPr>
          <w:r>
            <w:fldChar w:fldCharType="begin"/>
          </w:r>
          <w:r>
            <w:instrText xml:space="preserve"> HYPERLINK \l _Toc4292_WPSOffice_Level2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354b0d0d-7b8c-4eae-8916-dd14ab549445}"/>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一、收入支出决算总表</w:t>
              </w:r>
            </w:sdtContent>
          </w:sdt>
          <w:r>
            <w:tab/>
          </w:r>
          <w:bookmarkStart w:id="43" w:name="_Toc4292_WPSOffice_Level2Page"/>
          <w:r>
            <w:t>28</w:t>
          </w:r>
          <w:bookmarkEnd w:id="43"/>
          <w:r>
            <w:fldChar w:fldCharType="end"/>
          </w:r>
        </w:p>
        <w:p>
          <w:pPr>
            <w:pStyle w:val="38"/>
            <w:tabs>
              <w:tab w:val="right" w:leader="dot" w:pos="8306"/>
            </w:tabs>
          </w:pPr>
          <w:r>
            <w:fldChar w:fldCharType="begin"/>
          </w:r>
          <w:r>
            <w:instrText xml:space="preserve"> HYPERLINK \l _Toc30602_WPSOffice_Level2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74627df1-03b0-4b4d-9965-177409b9902f}"/>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二、收入决算表</w:t>
              </w:r>
            </w:sdtContent>
          </w:sdt>
          <w:r>
            <w:tab/>
          </w:r>
          <w:bookmarkStart w:id="44" w:name="_Toc30602_WPSOffice_Level2Page"/>
          <w:r>
            <w:t>28</w:t>
          </w:r>
          <w:bookmarkEnd w:id="44"/>
          <w:r>
            <w:fldChar w:fldCharType="end"/>
          </w:r>
        </w:p>
        <w:p>
          <w:pPr>
            <w:pStyle w:val="38"/>
            <w:tabs>
              <w:tab w:val="right" w:leader="dot" w:pos="8306"/>
            </w:tabs>
          </w:pPr>
          <w:r>
            <w:fldChar w:fldCharType="begin"/>
          </w:r>
          <w:r>
            <w:instrText xml:space="preserve"> HYPERLINK \l _Toc19435_WPSOffice_Level2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d40136ef-f3d2-497b-9561-4e4f9b576264}"/>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三、支出决算表</w:t>
              </w:r>
            </w:sdtContent>
          </w:sdt>
          <w:r>
            <w:tab/>
          </w:r>
          <w:bookmarkStart w:id="45" w:name="_Toc19435_WPSOffice_Level2Page"/>
          <w:r>
            <w:t>28</w:t>
          </w:r>
          <w:bookmarkEnd w:id="45"/>
          <w:r>
            <w:fldChar w:fldCharType="end"/>
          </w:r>
        </w:p>
        <w:p>
          <w:pPr>
            <w:pStyle w:val="38"/>
            <w:tabs>
              <w:tab w:val="right" w:leader="dot" w:pos="8306"/>
            </w:tabs>
          </w:pPr>
          <w:r>
            <w:fldChar w:fldCharType="begin"/>
          </w:r>
          <w:r>
            <w:instrText xml:space="preserve"> HYPERLINK \l _Toc23260_WPSOffice_Level2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bdcecc33-d0ef-4de9-9bc1-b25673aaa94a}"/>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四、财政拨款收入支出决算总表</w:t>
              </w:r>
            </w:sdtContent>
          </w:sdt>
          <w:r>
            <w:tab/>
          </w:r>
          <w:bookmarkStart w:id="46" w:name="_Toc23260_WPSOffice_Level2Page"/>
          <w:r>
            <w:t>28</w:t>
          </w:r>
          <w:bookmarkEnd w:id="46"/>
          <w:r>
            <w:fldChar w:fldCharType="end"/>
          </w:r>
        </w:p>
        <w:p>
          <w:pPr>
            <w:pStyle w:val="38"/>
            <w:tabs>
              <w:tab w:val="right" w:leader="dot" w:pos="8306"/>
            </w:tabs>
          </w:pPr>
          <w:r>
            <w:fldChar w:fldCharType="begin"/>
          </w:r>
          <w:r>
            <w:instrText xml:space="preserve"> HYPERLINK \l _Toc22333_WPSOffice_Level2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c35eb6f1-b1a7-4f5b-8407-219768abc579}"/>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五、财政拨款支出决算明细表</w:t>
              </w:r>
            </w:sdtContent>
          </w:sdt>
          <w:r>
            <w:tab/>
          </w:r>
          <w:bookmarkStart w:id="47" w:name="_Toc22333_WPSOffice_Level2Page"/>
          <w:r>
            <w:t>28</w:t>
          </w:r>
          <w:bookmarkEnd w:id="47"/>
          <w:r>
            <w:fldChar w:fldCharType="end"/>
          </w:r>
        </w:p>
        <w:p>
          <w:pPr>
            <w:pStyle w:val="38"/>
            <w:tabs>
              <w:tab w:val="right" w:leader="dot" w:pos="8306"/>
            </w:tabs>
          </w:pPr>
          <w:r>
            <w:fldChar w:fldCharType="begin"/>
          </w:r>
          <w:r>
            <w:instrText xml:space="preserve"> HYPERLINK \l _Toc15923_WPSOffice_Level2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c39a9ed-0207-4943-bad8-68f6454f9f80}"/>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六、一般公共预算财政拨款支出决算表</w:t>
              </w:r>
            </w:sdtContent>
          </w:sdt>
          <w:r>
            <w:tab/>
          </w:r>
          <w:bookmarkStart w:id="48" w:name="_Toc15923_WPSOffice_Level2Page"/>
          <w:r>
            <w:t>28</w:t>
          </w:r>
          <w:bookmarkEnd w:id="48"/>
          <w:r>
            <w:fldChar w:fldCharType="end"/>
          </w:r>
        </w:p>
        <w:p>
          <w:pPr>
            <w:pStyle w:val="38"/>
            <w:tabs>
              <w:tab w:val="right" w:leader="dot" w:pos="8306"/>
            </w:tabs>
          </w:pPr>
          <w:r>
            <w:fldChar w:fldCharType="begin"/>
          </w:r>
          <w:r>
            <w:instrText xml:space="preserve"> HYPERLINK \l _Toc11762_WPSOffice_Level2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334567f-123c-48dc-8c37-8859d3734aee}"/>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七、一般公共预算财政拨款支出决算明细表</w:t>
              </w:r>
            </w:sdtContent>
          </w:sdt>
          <w:r>
            <w:tab/>
          </w:r>
          <w:bookmarkStart w:id="49" w:name="_Toc11762_WPSOffice_Level2Page"/>
          <w:r>
            <w:t>28</w:t>
          </w:r>
          <w:bookmarkEnd w:id="49"/>
          <w:r>
            <w:fldChar w:fldCharType="end"/>
          </w:r>
        </w:p>
        <w:p>
          <w:pPr>
            <w:pStyle w:val="38"/>
            <w:tabs>
              <w:tab w:val="right" w:leader="dot" w:pos="8306"/>
            </w:tabs>
          </w:pPr>
          <w:r>
            <w:fldChar w:fldCharType="begin"/>
          </w:r>
          <w:r>
            <w:instrText xml:space="preserve"> HYPERLINK \l _Toc1531_WPSOffice_Level2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104b4261-6eda-43ea-90a9-effb8d646e49}"/>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八、一般公共预算财政拨款基本支出决算表</w:t>
              </w:r>
            </w:sdtContent>
          </w:sdt>
          <w:r>
            <w:tab/>
          </w:r>
          <w:bookmarkStart w:id="50" w:name="_Toc1531_WPSOffice_Level2Page"/>
          <w:r>
            <w:t>28</w:t>
          </w:r>
          <w:bookmarkEnd w:id="50"/>
          <w:r>
            <w:fldChar w:fldCharType="end"/>
          </w:r>
        </w:p>
        <w:p>
          <w:pPr>
            <w:pStyle w:val="38"/>
            <w:tabs>
              <w:tab w:val="right" w:leader="dot" w:pos="8306"/>
            </w:tabs>
          </w:pPr>
          <w:r>
            <w:fldChar w:fldCharType="begin"/>
          </w:r>
          <w:r>
            <w:instrText xml:space="preserve"> HYPERLINK \l _Toc2177_WPSOffice_Level2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c6ec430e-a3ec-43eb-89a2-450716508da9}"/>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九、一般公共预算财政拨款项目支出决算表</w:t>
              </w:r>
            </w:sdtContent>
          </w:sdt>
          <w:r>
            <w:tab/>
          </w:r>
          <w:bookmarkStart w:id="51" w:name="_Toc2177_WPSOffice_Level2Page"/>
          <w:r>
            <w:t>28</w:t>
          </w:r>
          <w:bookmarkEnd w:id="51"/>
          <w:r>
            <w:fldChar w:fldCharType="end"/>
          </w:r>
        </w:p>
        <w:p>
          <w:pPr>
            <w:pStyle w:val="38"/>
            <w:tabs>
              <w:tab w:val="right" w:leader="dot" w:pos="8306"/>
            </w:tabs>
          </w:pPr>
          <w:r>
            <w:fldChar w:fldCharType="begin"/>
          </w:r>
          <w:r>
            <w:instrText xml:space="preserve"> HYPERLINK \l _Toc8126_WPSOffice_Level2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04b43c73-bd62-411d-98b6-84b95f525815}"/>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十、政府性基金预算财政拨款收入支出决算表</w:t>
              </w:r>
            </w:sdtContent>
          </w:sdt>
          <w:r>
            <w:tab/>
          </w:r>
          <w:bookmarkStart w:id="52" w:name="_Toc8126_WPSOffice_Level2Page"/>
          <w:r>
            <w:t>28</w:t>
          </w:r>
          <w:bookmarkEnd w:id="52"/>
          <w:r>
            <w:fldChar w:fldCharType="end"/>
          </w:r>
        </w:p>
        <w:p>
          <w:pPr>
            <w:pStyle w:val="38"/>
            <w:tabs>
              <w:tab w:val="right" w:leader="dot" w:pos="8306"/>
            </w:tabs>
          </w:pPr>
          <w:r>
            <w:fldChar w:fldCharType="begin"/>
          </w:r>
          <w:r>
            <w:instrText xml:space="preserve"> HYPERLINK \l _Toc392_WPSOffice_Level2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3fc6ab24-668a-47f1-b325-f22fbf9bf29a}"/>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十一、国有资本经营预算财政拨款收入支出决算表</w:t>
              </w:r>
            </w:sdtContent>
          </w:sdt>
          <w:r>
            <w:tab/>
          </w:r>
          <w:bookmarkStart w:id="53" w:name="_Toc392_WPSOffice_Level2Page"/>
          <w:r>
            <w:t>28</w:t>
          </w:r>
          <w:bookmarkEnd w:id="53"/>
          <w:r>
            <w:fldChar w:fldCharType="end"/>
          </w:r>
        </w:p>
        <w:p>
          <w:pPr>
            <w:pStyle w:val="38"/>
            <w:tabs>
              <w:tab w:val="right" w:leader="dot" w:pos="8306"/>
            </w:tabs>
          </w:pPr>
          <w:r>
            <w:fldChar w:fldCharType="begin"/>
          </w:r>
          <w:r>
            <w:instrText xml:space="preserve"> HYPERLINK \l _Toc6620_WPSOffice_Level2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202838c8-37a2-4297-a740-4a0cfe88942c}"/>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十二、国有资本经营预算财政拨款支出决算表</w:t>
              </w:r>
            </w:sdtContent>
          </w:sdt>
          <w:r>
            <w:tab/>
          </w:r>
          <w:bookmarkStart w:id="54" w:name="_Toc6620_WPSOffice_Level2Page"/>
          <w:r>
            <w:t>28</w:t>
          </w:r>
          <w:bookmarkEnd w:id="54"/>
          <w:r>
            <w:fldChar w:fldCharType="end"/>
          </w:r>
        </w:p>
        <w:p>
          <w:pPr>
            <w:pStyle w:val="38"/>
            <w:tabs>
              <w:tab w:val="right" w:leader="dot" w:pos="8306"/>
            </w:tabs>
          </w:pPr>
          <w:r>
            <w:fldChar w:fldCharType="begin"/>
          </w:r>
          <w:r>
            <w:instrText xml:space="preserve"> HYPERLINK \l _Toc15162_WPSOffice_Level2 </w:instrText>
          </w:r>
          <w:r>
            <w:fldChar w:fldCharType="separate"/>
          </w:r>
          <w:sdt>
            <w:sdtPr>
              <w:rPr>
                <w:rFonts w:ascii="Times New Roman" w:hAnsi="Times New Roman" w:eastAsia="宋体" w:cs="Times New Roman"/>
                <w:kern w:val="2"/>
                <w:sz w:val="21"/>
                <w:szCs w:val="24"/>
                <w:lang w:val="en-US" w:eastAsia="zh-CN" w:bidi="ar-SA"/>
              </w:rPr>
              <w:id w:val="147451941"/>
              <w:placeholder>
                <w:docPart w:val="{e4b31eae-e233-4db5-8681-a630ed61052e}"/>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十三、财政拨款“三公”经费支出决算表</w:t>
              </w:r>
            </w:sdtContent>
          </w:sdt>
          <w:r>
            <w:tab/>
          </w:r>
          <w:bookmarkStart w:id="55" w:name="_Toc15162_WPSOffice_Level2Page"/>
          <w:r>
            <w:t>29</w:t>
          </w:r>
          <w:bookmarkEnd w:id="55"/>
          <w:r>
            <w:fldChar w:fldCharType="end"/>
          </w:r>
          <w:bookmarkEnd w:id="12"/>
        </w:p>
      </w:sdtContent>
    </w:sdt>
    <w:p>
      <w:pPr>
        <w:rPr>
          <w:rFonts w:hint="eastAsia"/>
          <w:lang w:eastAsia="zh-CN"/>
        </w:rPr>
      </w:pPr>
    </w:p>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56" w:name="_Toc15377196"/>
      <w:bookmarkStart w:id="57" w:name="_Toc15396599"/>
      <w:r>
        <w:rPr>
          <w:rFonts w:ascii="仿宋" w:hAnsi="仿宋" w:eastAsia="仿宋"/>
          <w:b/>
          <w:sz w:val="24"/>
        </w:rPr>
        <w:br w:type="page"/>
      </w:r>
    </w:p>
    <w:p>
      <w:pPr>
        <w:pStyle w:val="3"/>
        <w:jc w:val="center"/>
        <w:rPr>
          <w:rFonts w:ascii="黑体" w:eastAsia="黑体"/>
          <w:sz w:val="32"/>
          <w:szCs w:val="32"/>
        </w:rPr>
      </w:pPr>
      <w:bookmarkStart w:id="58" w:name="_Toc21172_WPSOffice_Level1"/>
      <w:r>
        <w:rPr>
          <w:rFonts w:hint="eastAsia" w:ascii="黑体" w:hAnsi="黑体" w:eastAsia="黑体"/>
          <w:b w:val="0"/>
        </w:rPr>
        <w:t xml:space="preserve">第一部分 </w:t>
      </w:r>
      <w:r>
        <w:rPr>
          <w:rStyle w:val="28"/>
          <w:rFonts w:hint="eastAsia" w:ascii="黑体" w:hAnsi="黑体" w:eastAsia="黑体"/>
          <w:b w:val="0"/>
          <w:bCs w:val="0"/>
        </w:rPr>
        <w:t>部门概况</w:t>
      </w:r>
      <w:bookmarkEnd w:id="56"/>
      <w:bookmarkEnd w:id="57"/>
      <w:bookmarkEnd w:id="58"/>
    </w:p>
    <w:p>
      <w:pPr>
        <w:pStyle w:val="2"/>
        <w:numPr>
          <w:ilvl w:val="0"/>
          <w:numId w:val="1"/>
        </w:numPr>
        <w:rPr>
          <w:rFonts w:hint="eastAsia" w:ascii="黑体" w:hAnsi="黑体" w:eastAsia="黑体"/>
          <w:b w:val="0"/>
        </w:rPr>
      </w:pPr>
      <w:bookmarkStart w:id="59" w:name="_Toc5962_WPSOffice_Level2"/>
      <w:r>
        <w:rPr>
          <w:rFonts w:hint="eastAsia" w:ascii="黑体" w:hAnsi="黑体" w:eastAsia="黑体"/>
          <w:b w:val="0"/>
        </w:rPr>
        <w:t>部门职责</w:t>
      </w:r>
      <w:bookmarkEnd w:id="59"/>
    </w:p>
    <w:p>
      <w:pPr>
        <w:pStyle w:val="14"/>
        <w:shd w:val="clear" w:color="auto" w:fill="FFFFFF"/>
        <w:spacing w:before="0" w:beforeAutospacing="0"/>
        <w:ind w:firstLine="643" w:firstLineChars="200"/>
        <w:jc w:val="left"/>
        <w:rPr>
          <w:rFonts w:hint="eastAsia" w:ascii="仿宋_GB2312" w:eastAsia="仿宋_GB2312" w:cs="仿宋_GB2312"/>
          <w:b/>
          <w:bCs/>
          <w:kern w:val="2"/>
          <w:sz w:val="32"/>
          <w:szCs w:val="32"/>
          <w:lang w:bidi="ar-SA"/>
        </w:rPr>
      </w:pPr>
      <w:r>
        <w:rPr>
          <w:rFonts w:hint="eastAsia" w:ascii="仿宋_GB2312" w:eastAsia="仿宋_GB2312" w:cs="仿宋_GB2312"/>
          <w:b/>
          <w:bCs/>
          <w:kern w:val="2"/>
          <w:sz w:val="32"/>
          <w:szCs w:val="32"/>
          <w:lang w:bidi="ar-SA"/>
        </w:rPr>
        <w:t>1．主要职能。</w:t>
      </w:r>
    </w:p>
    <w:p>
      <w:pPr>
        <w:pStyle w:val="14"/>
        <w:shd w:val="clear" w:color="auto" w:fill="FFFFFF"/>
        <w:spacing w:before="0" w:beforeAutospacing="0"/>
        <w:ind w:firstLine="640" w:firstLineChars="200"/>
        <w:jc w:val="left"/>
        <w:rPr>
          <w:rFonts w:hint="eastAsia" w:ascii="仿宋_GB2312" w:eastAsia="仿宋_GB2312" w:cs="仿宋_GB2312"/>
          <w:bCs/>
          <w:sz w:val="32"/>
          <w:szCs w:val="32"/>
          <w:lang w:bidi="ar-SA"/>
        </w:rPr>
      </w:pPr>
      <w:r>
        <w:rPr>
          <w:rFonts w:hint="eastAsia" w:ascii="仿宋_GB2312" w:eastAsia="仿宋_GB2312" w:cs="仿宋_GB2312"/>
          <w:bCs/>
          <w:sz w:val="32"/>
          <w:szCs w:val="32"/>
          <w:lang w:bidi="ar-SA"/>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wordWrap/>
        <w:adjustRightInd/>
        <w:snapToGrid/>
        <w:spacing w:line="576" w:lineRule="exact"/>
        <w:ind w:firstLine="640" w:firstLineChars="200"/>
        <w:jc w:val="both"/>
        <w:outlineLvl w:val="0"/>
        <w:rPr>
          <w:rFonts w:hint="eastAsia" w:ascii="仿宋_GB2312" w:eastAsia="仿宋_GB2312" w:cs="仿宋_GB2312"/>
          <w:bCs/>
          <w:sz w:val="32"/>
          <w:szCs w:val="32"/>
          <w:lang w:bidi="ar-SA"/>
        </w:rPr>
      </w:pPr>
      <w:r>
        <w:rPr>
          <w:rFonts w:hint="eastAsia" w:ascii="仿宋_GB2312" w:eastAsia="仿宋_GB2312" w:cs="仿宋_GB2312"/>
          <w:bCs/>
          <w:sz w:val="32"/>
          <w:szCs w:val="32"/>
          <w:lang w:bidi="ar-SA"/>
        </w:rPr>
        <w:t>（2）贯彻执行国家财税方面的法律、法规和方针、政策，负责组织起草地方性财税法规草案、实施办法和规章制度并组织实施。管理中央转贷的特种国债。</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（4）负责政府非税收入管理。负责政府性基金管理，按规定管理行政事业性收费。管理财政票据。按规定管理彩票基金。</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（5）组织制定全县国库管理制度、国库集中收付制度，指导和监督国库业务，按规定开展国库现金管理工作。负责制定政府采购制度，监督管理全县政府采购工作。</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（6）会同有关部门管理全县社会保障和就业及医疗卫生支出，会同有关部门拟定社会保障资金（基金）的财务管理制度，编制县级社会保障预决算草案。</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（7）负责组织执行政府债务管理制度和政策，制定具体管理办法，负责管理政府债务，防范财政风险。</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（11）负责管理全县会计工作，监督和规范会计行为，组织实施国家统一会计制度和补充规定；会同有关部门管理会计专业技术职称工作。</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（12）负责财政资金绩效评价。监督检查财税政策、法律法规的执行情况，反映财政收支中的重大问题。依法查处重点违反财经纪律的行为。</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（13）制定财政科研计划和教育培训规划；组织财政业务培训；负责财政信息和财政宣传工作；指导全县财政系统抓好精神文明建设和廉政建设，做好财政系统干部职工的思想政治工作。</w:t>
      </w:r>
    </w:p>
    <w:p>
      <w:pPr>
        <w:wordWrap/>
        <w:adjustRightInd/>
        <w:snapToGrid/>
        <w:spacing w:line="576" w:lineRule="exact"/>
        <w:ind w:firstLine="640" w:firstLineChars="200"/>
        <w:jc w:val="both"/>
        <w:outlineLvl w:val="0"/>
        <w:rPr>
          <w:rFonts w:hint="eastAsia" w:ascii="仿宋_GB2312" w:eastAsia="仿宋_GB2312" w:cs="仿宋_GB2312"/>
          <w:sz w:val="32"/>
          <w:szCs w:val="32"/>
          <w:lang w:bidi="ar-SA"/>
        </w:rPr>
      </w:pPr>
      <w:r>
        <w:rPr>
          <w:rFonts w:hint="eastAsia" w:ascii="仿宋_GB2312" w:eastAsia="仿宋_GB2312" w:cs="仿宋_GB2312"/>
          <w:sz w:val="32"/>
          <w:szCs w:val="32"/>
          <w:lang w:bidi="ar-SA"/>
        </w:rPr>
        <w:t>（14）承担县政府公布的有关行政审批事项。</w:t>
      </w:r>
    </w:p>
    <w:p>
      <w:pPr>
        <w:wordWrap/>
        <w:adjustRightInd/>
        <w:snapToGrid/>
        <w:spacing w:line="576" w:lineRule="exact"/>
        <w:ind w:firstLine="640" w:firstLineChars="200"/>
        <w:jc w:val="both"/>
        <w:outlineLvl w:val="0"/>
      </w:pPr>
      <w:r>
        <w:rPr>
          <w:rFonts w:hint="eastAsia" w:ascii="仿宋_GB2312" w:eastAsia="仿宋_GB2312" w:cs="仿宋_GB2312"/>
          <w:bCs/>
          <w:sz w:val="32"/>
          <w:szCs w:val="32"/>
          <w:lang w:bidi="ar-SA"/>
        </w:rPr>
        <w:t>（15）承办县政府交办的其他事项。</w:t>
      </w:r>
    </w:p>
    <w:p>
      <w:pPr>
        <w:pStyle w:val="2"/>
        <w:rPr>
          <w:rStyle w:val="29"/>
          <w:b w:val="0"/>
          <w:bCs w:val="0"/>
        </w:rPr>
      </w:pPr>
      <w:bookmarkStart w:id="60" w:name="_Toc15396601"/>
      <w:bookmarkStart w:id="61" w:name="_Toc15377200"/>
      <w:bookmarkStart w:id="62" w:name="_Toc24957_WPSOffice_Level2"/>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60"/>
      <w:bookmarkEnd w:id="61"/>
      <w:bookmarkEnd w:id="62"/>
    </w:p>
    <w:p>
      <w:pPr>
        <w:ind w:firstLine="800" w:firstLineChars="250"/>
        <w:rPr>
          <w:rFonts w:ascii="仿宋" w:hAnsi="仿宋" w:eastAsia="仿宋"/>
          <w:sz w:val="32"/>
          <w:szCs w:val="32"/>
        </w:rPr>
      </w:pPr>
      <w:r>
        <w:rPr>
          <w:sz w:val="32"/>
          <w:szCs w:val="32"/>
        </w:rPr>
        <w:t>红原县财政局</w:t>
      </w:r>
      <w:r>
        <w:rPr>
          <w:rFonts w:hint="eastAsia" w:ascii="仿宋" w:hAnsi="仿宋" w:eastAsia="仿宋"/>
          <w:sz w:val="32"/>
          <w:szCs w:val="32"/>
        </w:rPr>
        <w:t>下属二级预算单位</w:t>
      </w:r>
      <w:r>
        <w:rPr>
          <w:sz w:val="32"/>
          <w:szCs w:val="32"/>
        </w:rPr>
        <w:t>2</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ascii="Times New Roman" w:eastAsia="宋体"/>
          <w:kern w:val="2"/>
          <w:sz w:val="32"/>
          <w:szCs w:val="32"/>
        </w:rPr>
        <w:t>红原县财政局</w:t>
      </w:r>
      <w:r>
        <w:rPr>
          <w:rFonts w:hint="eastAsia" w:ascii="仿宋" w:hAnsi="仿宋" w:eastAsia="仿宋"/>
          <w:sz w:val="32"/>
          <w:szCs w:val="32"/>
        </w:rPr>
        <w:t>2023年度部门决算编制范围的二级预算单位包括：</w:t>
      </w:r>
    </w:p>
    <w:p>
      <w:pPr>
        <w:pStyle w:val="5"/>
        <w:numPr>
          <w:ilvl w:val="0"/>
          <w:numId w:val="2"/>
        </w:numPr>
        <w:adjustRightInd w:val="0"/>
        <w:snapToGrid w:val="0"/>
        <w:spacing w:before="93" w:line="600" w:lineRule="exact"/>
        <w:outlineLvl w:val="2"/>
        <w:rPr>
          <w:rFonts w:ascii="仿宋" w:hAnsi="仿宋" w:eastAsia="仿宋"/>
          <w:sz w:val="32"/>
          <w:szCs w:val="32"/>
        </w:rPr>
      </w:pPr>
      <w:bookmarkStart w:id="63" w:name="_Toc15377433"/>
      <w:bookmarkStart w:id="64" w:name="_Toc15377202"/>
      <w:bookmarkStart w:id="65" w:name="_Toc15306276"/>
      <w:bookmarkStart w:id="66" w:name="_Toc15378449"/>
      <w:r>
        <w:rPr>
          <w:rFonts w:hint="eastAsia" w:ascii="仿宋" w:hAnsi="仿宋" w:eastAsia="仿宋"/>
          <w:sz w:val="32"/>
          <w:szCs w:val="32"/>
          <w:lang w:eastAsia="zh-CN"/>
        </w:rPr>
        <w:t>红原县财政局机关</w:t>
      </w:r>
      <w:bookmarkEnd w:id="63"/>
      <w:bookmarkEnd w:id="64"/>
      <w:bookmarkEnd w:id="65"/>
      <w:bookmarkEnd w:id="66"/>
      <w:bookmarkStart w:id="67" w:name="_Toc15377434"/>
      <w:bookmarkStart w:id="68" w:name="_Toc15377203"/>
      <w:bookmarkStart w:id="69" w:name="_Toc15306277"/>
      <w:bookmarkStart w:id="70" w:name="_Toc15378450"/>
      <w:r>
        <w:rPr>
          <w:rFonts w:hint="eastAsia" w:ascii="仿宋" w:hAnsi="仿宋" w:eastAsia="仿宋"/>
          <w:sz w:val="32"/>
          <w:szCs w:val="32"/>
          <w:lang w:eastAsia="zh-CN"/>
        </w:rPr>
        <w:t>；</w:t>
      </w:r>
      <w:r>
        <w:rPr>
          <w:rFonts w:hint="eastAsia" w:ascii="仿宋" w:hAnsi="仿宋" w:eastAsia="仿宋"/>
          <w:sz w:val="32"/>
          <w:szCs w:val="32"/>
          <w:lang w:val="en-US" w:eastAsia="zh-CN"/>
        </w:rPr>
        <w:t>2.</w:t>
      </w:r>
      <w:bookmarkEnd w:id="67"/>
      <w:bookmarkEnd w:id="68"/>
      <w:bookmarkEnd w:id="69"/>
      <w:bookmarkEnd w:id="70"/>
      <w:r>
        <w:rPr>
          <w:rFonts w:hint="eastAsia" w:ascii="仿宋" w:hAnsi="仿宋" w:eastAsia="仿宋"/>
          <w:sz w:val="32"/>
          <w:szCs w:val="32"/>
          <w:lang w:eastAsia="zh-CN"/>
        </w:rPr>
        <w:t>红原县财政局投资评审中心。</w:t>
      </w:r>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pPr>
      <w:bookmarkStart w:id="71" w:name="_Toc15396602"/>
      <w:bookmarkStart w:id="72" w:name="_Toc15377204"/>
      <w:bookmarkStart w:id="73" w:name="_Toc5962_WPSOffice_Level1"/>
      <w:r>
        <w:rPr>
          <w:rFonts w:hint="eastAsia" w:ascii="黑体" w:hAnsi="黑体" w:eastAsia="黑体"/>
          <w:b w:val="0"/>
        </w:rPr>
        <w:t>第二部分 2023年度</w:t>
      </w:r>
      <w:r>
        <w:rPr>
          <w:rStyle w:val="28"/>
          <w:rFonts w:hint="eastAsia" w:ascii="黑体" w:hAnsi="黑体" w:eastAsia="黑体"/>
          <w:b w:val="0"/>
          <w:bCs/>
        </w:rPr>
        <w:t>部门决算情况说明</w:t>
      </w:r>
      <w:bookmarkEnd w:id="71"/>
      <w:bookmarkEnd w:id="72"/>
      <w:bookmarkEnd w:id="73"/>
    </w:p>
    <w:p>
      <w:pPr>
        <w:pStyle w:val="27"/>
        <w:numPr>
          <w:ilvl w:val="0"/>
          <w:numId w:val="3"/>
        </w:numPr>
        <w:spacing w:line="600" w:lineRule="exact"/>
        <w:ind w:firstLineChars="0"/>
        <w:outlineLvl w:val="1"/>
        <w:rPr>
          <w:rStyle w:val="29"/>
          <w:rFonts w:ascii="黑体" w:hAnsi="黑体" w:eastAsia="黑体"/>
          <w:b w:val="0"/>
        </w:rPr>
      </w:pPr>
      <w:bookmarkStart w:id="74" w:name="_Toc15396603"/>
      <w:bookmarkStart w:id="75" w:name="_Toc15377205"/>
      <w:bookmarkStart w:id="76" w:name="_Toc29709_WPSOffice_Level2"/>
      <w:r>
        <w:rPr>
          <w:rFonts w:hint="eastAsia" w:ascii="黑体" w:hAnsi="黑体" w:eastAsia="黑体"/>
          <w:sz w:val="32"/>
          <w:szCs w:val="32"/>
        </w:rPr>
        <w:t>收</w:t>
      </w:r>
      <w:r>
        <w:rPr>
          <w:rStyle w:val="29"/>
          <w:rFonts w:hint="eastAsia" w:ascii="黑体" w:hAnsi="黑体" w:eastAsia="黑体"/>
          <w:b w:val="0"/>
        </w:rPr>
        <w:t>入支出决算总体情况说明</w:t>
      </w:r>
      <w:bookmarkEnd w:id="74"/>
      <w:bookmarkEnd w:id="75"/>
      <w:bookmarkEnd w:id="76"/>
    </w:p>
    <w:p>
      <w:pPr>
        <w:spacing w:line="600" w:lineRule="exact"/>
        <w:ind w:firstLine="640" w:firstLineChars="200"/>
        <w:jc w:val="left"/>
        <w:rPr>
          <w:rFonts w:hint="eastAsia" w:ascii="仿宋" w:hAnsi="仿宋" w:eastAsia="仿宋"/>
          <w:sz w:val="32"/>
          <w:szCs w:val="32"/>
          <w:lang w:eastAsia="zh-CN"/>
        </w:rPr>
      </w:pPr>
      <w:r>
        <w:rPr>
          <w:rFonts w:hint="eastAsia" w:ascii="仿宋" w:hAnsi="仿宋" w:eastAsia="仿宋"/>
          <w:sz w:val="32"/>
          <w:szCs w:val="32"/>
        </w:rPr>
        <w:t>2023年度收、支总计均为</w:t>
      </w:r>
      <w:r>
        <w:rPr>
          <w:rFonts w:hint="eastAsia"/>
          <w:sz w:val="32"/>
          <w:szCs w:val="32"/>
        </w:rPr>
        <w:t>1445.34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90.87</w:t>
      </w:r>
      <w:r>
        <w:rPr>
          <w:rFonts w:hint="eastAsia" w:ascii="仿宋" w:hAnsi="仿宋" w:eastAsia="仿宋"/>
          <w:sz w:val="32"/>
          <w:szCs w:val="32"/>
        </w:rPr>
        <w:t>万元，增长</w:t>
      </w:r>
      <w:r>
        <w:rPr>
          <w:rFonts w:hint="eastAsia" w:ascii="仿宋" w:hAnsi="仿宋" w:eastAsia="仿宋"/>
          <w:sz w:val="32"/>
          <w:szCs w:val="32"/>
          <w:lang w:val="en-US" w:eastAsia="zh-CN"/>
        </w:rPr>
        <w:t>0.06</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人员变动，薪资变动；</w:t>
      </w:r>
      <w:r>
        <w:rPr>
          <w:rFonts w:hint="eastAsia" w:ascii="仿宋" w:hAnsi="仿宋" w:eastAsia="仿宋"/>
          <w:sz w:val="32"/>
          <w:szCs w:val="32"/>
          <w:lang w:val="en-US" w:eastAsia="zh-CN"/>
        </w:rPr>
        <w:t>2.</w:t>
      </w:r>
      <w:r>
        <w:rPr>
          <w:rFonts w:hint="eastAsia" w:ascii="仿宋" w:hAnsi="仿宋" w:eastAsia="仿宋"/>
          <w:sz w:val="32"/>
          <w:szCs w:val="32"/>
          <w:lang w:eastAsia="zh-CN"/>
        </w:rPr>
        <w:t>委托业务费增加。</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
        <w:rPr>
          <w:rFonts w:ascii="仿宋_GB2312" w:eastAsia="仿宋_GB2312"/>
          <w:sz w:val="32"/>
          <w:szCs w:val="32"/>
        </w:rPr>
      </w:pPr>
      <w:r>
        <w:drawing>
          <wp:inline distT="0" distB="0" distL="114300" distR="114300">
            <wp:extent cx="4752975" cy="1745615"/>
            <wp:effectExtent l="4445" t="4445" r="5080" b="2159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7"/>
        <w:numPr>
          <w:ilvl w:val="0"/>
          <w:numId w:val="3"/>
        </w:numPr>
        <w:spacing w:line="600" w:lineRule="exact"/>
        <w:ind w:firstLineChars="0"/>
        <w:outlineLvl w:val="1"/>
        <w:rPr>
          <w:rStyle w:val="29"/>
          <w:rFonts w:ascii="黑体" w:hAnsi="黑体" w:eastAsia="黑体"/>
          <w:b w:val="0"/>
        </w:rPr>
      </w:pPr>
      <w:bookmarkStart w:id="77" w:name="_Toc15377206"/>
      <w:bookmarkStart w:id="78" w:name="_Toc15396604"/>
      <w:bookmarkStart w:id="79" w:name="_Toc21711_WPSOffice_Level2"/>
      <w:r>
        <w:rPr>
          <w:rFonts w:hint="eastAsia" w:ascii="黑体" w:hAnsi="黑体" w:eastAsia="黑体"/>
          <w:sz w:val="32"/>
          <w:szCs w:val="32"/>
        </w:rPr>
        <w:t>收</w:t>
      </w:r>
      <w:r>
        <w:rPr>
          <w:rStyle w:val="29"/>
          <w:rFonts w:hint="eastAsia" w:ascii="黑体" w:hAnsi="黑体" w:eastAsia="黑体"/>
          <w:b w:val="0"/>
        </w:rPr>
        <w:t>入决算情况说明</w:t>
      </w:r>
      <w:bookmarkEnd w:id="77"/>
      <w:bookmarkEnd w:id="78"/>
      <w:bookmarkEnd w:id="79"/>
    </w:p>
    <w:p>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1445.34</w:t>
      </w:r>
      <w:r>
        <w:rPr>
          <w:rFonts w:hint="eastAsia" w:ascii="仿宋" w:hAnsi="仿宋" w:eastAsia="仿宋"/>
          <w:sz w:val="32"/>
          <w:szCs w:val="32"/>
        </w:rPr>
        <w:t>万元，其中：一般公共预算财政拨款收入</w:t>
      </w:r>
      <w:r>
        <w:rPr>
          <w:sz w:val="32"/>
          <w:szCs w:val="32"/>
        </w:rPr>
        <w:t>1445.34</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1"/>
        <w:rPr>
          <w:rFonts w:ascii="仿宋" w:hAnsi="仿宋" w:eastAsia="仿宋"/>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r>
        <w:rPr>
          <w:rFonts w:hint="eastAsia" w:ascii="仿宋" w:hAnsi="仿宋" w:eastAsia="仿宋"/>
          <w:sz w:val="32"/>
          <w:szCs w:val="32"/>
        </w:rPr>
        <w:t>（图2：收入决算结构图）（饼状图）</w:t>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rPr>
          <w:rFonts w:ascii="仿宋_GB2312" w:eastAsia="仿宋_GB2312"/>
          <w:sz w:val="32"/>
          <w:szCs w:val="32"/>
        </w:rPr>
      </w:pPr>
      <w:r>
        <w:drawing>
          <wp:anchor distT="0" distB="0" distL="114300" distR="114300" simplePos="0" relativeHeight="251658240" behindDoc="0" locked="0" layoutInCell="1" allowOverlap="1">
            <wp:simplePos x="0" y="0"/>
            <wp:positionH relativeFrom="column">
              <wp:posOffset>271780</wp:posOffset>
            </wp:positionH>
            <wp:positionV relativeFrom="paragraph">
              <wp:posOffset>-2110105</wp:posOffset>
            </wp:positionV>
            <wp:extent cx="4029710" cy="2399665"/>
            <wp:effectExtent l="5080" t="4445" r="22860" b="15240"/>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7"/>
        <w:numPr>
          <w:ilvl w:val="0"/>
          <w:numId w:val="3"/>
        </w:numPr>
        <w:spacing w:line="600" w:lineRule="exact"/>
        <w:ind w:firstLineChars="0"/>
        <w:outlineLvl w:val="1"/>
        <w:rPr>
          <w:rStyle w:val="29"/>
          <w:rFonts w:ascii="黑体" w:hAnsi="黑体" w:eastAsia="黑体"/>
          <w:b w:val="0"/>
        </w:rPr>
      </w:pPr>
      <w:bookmarkStart w:id="80" w:name="_Toc15377207"/>
      <w:bookmarkStart w:id="81" w:name="_Toc15396605"/>
      <w:bookmarkStart w:id="82" w:name="_Toc25959_WPSOffice_Level2"/>
      <w:r>
        <w:rPr>
          <w:rFonts w:hint="eastAsia" w:ascii="黑体" w:hAnsi="黑体" w:eastAsia="黑体"/>
          <w:sz w:val="32"/>
          <w:szCs w:val="32"/>
        </w:rPr>
        <w:t>支</w:t>
      </w:r>
      <w:r>
        <w:rPr>
          <w:rStyle w:val="29"/>
          <w:rFonts w:hint="eastAsia" w:ascii="黑体" w:hAnsi="黑体" w:eastAsia="黑体"/>
          <w:b w:val="0"/>
        </w:rPr>
        <w:t>出决算情况说明</w:t>
      </w:r>
      <w:bookmarkEnd w:id="80"/>
      <w:bookmarkEnd w:id="81"/>
      <w:bookmarkEnd w:id="82"/>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1445.34</w:t>
      </w:r>
      <w:r>
        <w:rPr>
          <w:rFonts w:hint="eastAsia" w:ascii="仿宋" w:hAnsi="仿宋" w:eastAsia="仿宋"/>
          <w:sz w:val="32"/>
          <w:szCs w:val="32"/>
        </w:rPr>
        <w:t>万元，其中：基本支出</w:t>
      </w:r>
      <w:r>
        <w:rPr>
          <w:sz w:val="32"/>
          <w:szCs w:val="32"/>
        </w:rPr>
        <w:t>938.66</w:t>
      </w:r>
      <w:r>
        <w:rPr>
          <w:rFonts w:hint="eastAsia" w:ascii="仿宋" w:hAnsi="仿宋" w:eastAsia="仿宋"/>
          <w:sz w:val="32"/>
          <w:szCs w:val="32"/>
        </w:rPr>
        <w:t>万元，占</w:t>
      </w:r>
      <w:r>
        <w:rPr>
          <w:sz w:val="32"/>
          <w:szCs w:val="32"/>
        </w:rPr>
        <w:t>64.9</w:t>
      </w:r>
      <w:r>
        <w:rPr>
          <w:rFonts w:hint="eastAsia"/>
          <w:sz w:val="32"/>
          <w:szCs w:val="32"/>
          <w:lang w:val="en-US" w:eastAsia="zh-CN"/>
        </w:rPr>
        <w:t>5</w:t>
      </w:r>
      <w:r>
        <w:rPr>
          <w:rFonts w:ascii="仿宋" w:hAnsi="仿宋" w:eastAsia="仿宋"/>
          <w:sz w:val="32"/>
          <w:szCs w:val="32"/>
        </w:rPr>
        <w:t>%</w:t>
      </w:r>
      <w:r>
        <w:rPr>
          <w:rFonts w:hint="eastAsia" w:ascii="仿宋" w:hAnsi="仿宋" w:eastAsia="仿宋"/>
          <w:sz w:val="32"/>
          <w:szCs w:val="32"/>
        </w:rPr>
        <w:t>；项目支出</w:t>
      </w:r>
      <w:r>
        <w:rPr>
          <w:sz w:val="32"/>
          <w:szCs w:val="32"/>
        </w:rPr>
        <w:t>506.69</w:t>
      </w:r>
      <w:r>
        <w:rPr>
          <w:rFonts w:hint="eastAsia" w:ascii="仿宋" w:hAnsi="仿宋" w:eastAsia="仿宋"/>
          <w:sz w:val="32"/>
          <w:szCs w:val="32"/>
        </w:rPr>
        <w:t>万元，占</w:t>
      </w:r>
      <w:r>
        <w:rPr>
          <w:sz w:val="32"/>
          <w:szCs w:val="32"/>
        </w:rPr>
        <w:t>35.05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图3：支出决算结构图）（饼状图）</w:t>
      </w:r>
    </w:p>
    <w:p>
      <w:r>
        <w:drawing>
          <wp:inline distT="0" distB="0" distL="114300" distR="114300">
            <wp:extent cx="4810760" cy="2324735"/>
            <wp:effectExtent l="4445" t="4445" r="23495" b="1397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9"/>
          <w:rFonts w:ascii="黑体" w:hAnsi="黑体" w:eastAsia="黑体"/>
          <w:b w:val="0"/>
        </w:rPr>
      </w:pPr>
      <w:bookmarkStart w:id="83" w:name="_Toc15396606"/>
      <w:bookmarkStart w:id="84" w:name="_Toc15377208"/>
      <w:bookmarkStart w:id="85" w:name="_Toc26235_WPSOffice_Level2"/>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83"/>
      <w:bookmarkEnd w:id="84"/>
      <w:bookmarkEnd w:id="85"/>
    </w:p>
    <w:p>
      <w:pPr>
        <w:spacing w:line="600" w:lineRule="exact"/>
        <w:ind w:firstLine="640"/>
        <w:rPr>
          <w:rFonts w:ascii="仿宋" w:hAnsi="仿宋" w:eastAsia="仿宋"/>
          <w:b/>
          <w:sz w:val="32"/>
          <w:szCs w:val="32"/>
        </w:rPr>
      </w:pPr>
      <w:r>
        <w:rPr>
          <w:rFonts w:hint="eastAsia" w:ascii="仿宋" w:hAnsi="仿宋" w:eastAsia="仿宋"/>
          <w:sz w:val="32"/>
          <w:szCs w:val="32"/>
        </w:rPr>
        <w:t>2023年度财政拨款收、支总计均为</w:t>
      </w:r>
      <w:r>
        <w:rPr>
          <w:sz w:val="32"/>
          <w:szCs w:val="32"/>
        </w:rPr>
        <w:t>1445.34</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90.87</w:t>
      </w:r>
      <w:r>
        <w:rPr>
          <w:rFonts w:hint="eastAsia" w:ascii="仿宋" w:hAnsi="仿宋" w:eastAsia="仿宋"/>
          <w:sz w:val="32"/>
          <w:szCs w:val="32"/>
        </w:rPr>
        <w:t>万元，增长</w:t>
      </w:r>
      <w:r>
        <w:rPr>
          <w:rFonts w:hint="eastAsia" w:ascii="仿宋" w:hAnsi="仿宋" w:eastAsia="仿宋"/>
          <w:sz w:val="32"/>
          <w:szCs w:val="32"/>
          <w:lang w:val="en-US" w:eastAsia="zh-CN"/>
        </w:rPr>
        <w:t>0.6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人员变动，薪资变动；</w:t>
      </w:r>
      <w:r>
        <w:rPr>
          <w:rFonts w:hint="eastAsia" w:ascii="仿宋" w:hAnsi="仿宋" w:eastAsia="仿宋"/>
          <w:sz w:val="32"/>
          <w:szCs w:val="32"/>
          <w:lang w:val="en-US" w:eastAsia="zh-CN"/>
        </w:rPr>
        <w:t>2.</w:t>
      </w:r>
      <w:r>
        <w:rPr>
          <w:rFonts w:hint="eastAsia" w:ascii="仿宋" w:hAnsi="仿宋" w:eastAsia="仿宋"/>
          <w:sz w:val="32"/>
          <w:szCs w:val="32"/>
          <w:lang w:eastAsia="zh-CN"/>
        </w:rPr>
        <w:t>委托业务费增加。</w:t>
      </w:r>
      <w:r>
        <w:rPr>
          <w:rFonts w:hint="eastAsia" w:ascii="仿宋" w:hAnsi="仿宋" w:eastAsia="仿宋"/>
          <w:sz w:val="32"/>
          <w:szCs w:val="32"/>
        </w:rPr>
        <w:t>（图4：财政拨款收、支决算总计变动情况）（柱状图）</w:t>
      </w:r>
    </w:p>
    <w:p>
      <w:pPr>
        <w:pStyle w:val="2"/>
      </w:pPr>
      <w:r>
        <w:drawing>
          <wp:inline distT="0" distB="0" distL="114300" distR="114300">
            <wp:extent cx="4761865" cy="2408555"/>
            <wp:effectExtent l="4445" t="5080" r="15240" b="5715"/>
            <wp:docPr id="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9"/>
          <w:rFonts w:ascii="黑体" w:hAnsi="黑体" w:eastAsia="黑体"/>
          <w:b w:val="0"/>
        </w:rPr>
      </w:pPr>
      <w:bookmarkStart w:id="86" w:name="_Toc15377209"/>
      <w:bookmarkStart w:id="87" w:name="_Toc15396607"/>
      <w:bookmarkStart w:id="88" w:name="_Toc10331_WPSOffice_Level2"/>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86"/>
      <w:bookmarkEnd w:id="87"/>
      <w:bookmarkEnd w:id="88"/>
    </w:p>
    <w:p>
      <w:pPr>
        <w:spacing w:line="600" w:lineRule="exact"/>
        <w:ind w:firstLine="643" w:firstLineChars="200"/>
        <w:outlineLvl w:val="2"/>
        <w:rPr>
          <w:rFonts w:ascii="仿宋" w:hAnsi="仿宋" w:eastAsia="仿宋"/>
          <w:b/>
          <w:sz w:val="32"/>
          <w:szCs w:val="32"/>
        </w:rPr>
      </w:pPr>
      <w:bookmarkStart w:id="89" w:name="_Toc15377210"/>
      <w:r>
        <w:rPr>
          <w:rFonts w:hint="eastAsia" w:ascii="仿宋" w:hAnsi="仿宋" w:eastAsia="仿宋"/>
          <w:b/>
          <w:sz w:val="32"/>
          <w:szCs w:val="32"/>
        </w:rPr>
        <w:t>（一）一般公共预算财政拨款支出决算总体情况</w:t>
      </w:r>
      <w:bookmarkEnd w:id="89"/>
    </w:p>
    <w:p>
      <w:pPr>
        <w:spacing w:line="600" w:lineRule="exact"/>
        <w:ind w:firstLine="640"/>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sz w:val="32"/>
          <w:szCs w:val="32"/>
        </w:rPr>
        <w:t>1445.34</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90.87</w:t>
      </w:r>
      <w:r>
        <w:rPr>
          <w:rFonts w:hint="eastAsia" w:ascii="仿宋" w:hAnsi="仿宋" w:eastAsia="仿宋"/>
          <w:sz w:val="32"/>
          <w:szCs w:val="32"/>
        </w:rPr>
        <w:t>万元，增长</w:t>
      </w:r>
      <w:r>
        <w:rPr>
          <w:rFonts w:hint="eastAsia" w:ascii="仿宋" w:hAnsi="仿宋" w:eastAsia="仿宋"/>
          <w:sz w:val="32"/>
          <w:szCs w:val="32"/>
          <w:lang w:val="en-US" w:eastAsia="zh-CN"/>
        </w:rPr>
        <w:t>0.6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人员变动，薪资变动；</w:t>
      </w:r>
      <w:r>
        <w:rPr>
          <w:rFonts w:hint="eastAsia" w:ascii="仿宋" w:hAnsi="仿宋" w:eastAsia="仿宋"/>
          <w:sz w:val="32"/>
          <w:szCs w:val="32"/>
          <w:lang w:val="en-US" w:eastAsia="zh-CN"/>
        </w:rPr>
        <w:t>2.</w:t>
      </w:r>
      <w:r>
        <w:rPr>
          <w:rFonts w:hint="eastAsia" w:ascii="仿宋" w:hAnsi="仿宋" w:eastAsia="仿宋"/>
          <w:sz w:val="32"/>
          <w:szCs w:val="32"/>
          <w:lang w:eastAsia="zh-CN"/>
        </w:rPr>
        <w:t>委托业务费增加。</w:t>
      </w:r>
    </w:p>
    <w:p>
      <w:pPr>
        <w:spacing w:line="600" w:lineRule="exact"/>
        <w:ind w:firstLine="420" w:firstLineChars="200"/>
        <w:rPr>
          <w:rFonts w:ascii="仿宋" w:hAnsi="仿宋" w:eastAsia="仿宋"/>
          <w:sz w:val="32"/>
          <w:szCs w:val="32"/>
        </w:rPr>
      </w:pPr>
      <w:r>
        <w:drawing>
          <wp:anchor distT="0" distB="0" distL="114300" distR="114300" simplePos="0" relativeHeight="251661312" behindDoc="0" locked="0" layoutInCell="1" allowOverlap="1">
            <wp:simplePos x="0" y="0"/>
            <wp:positionH relativeFrom="column">
              <wp:posOffset>795020</wp:posOffset>
            </wp:positionH>
            <wp:positionV relativeFrom="paragraph">
              <wp:posOffset>756920</wp:posOffset>
            </wp:positionV>
            <wp:extent cx="3679190" cy="2012315"/>
            <wp:effectExtent l="4445" t="4445" r="12065" b="21590"/>
            <wp:wrapSquare wrapText="bothSides"/>
            <wp:docPr id="2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sz w:val="32"/>
          <w:szCs w:val="32"/>
        </w:rPr>
        <w:t>（图5：一般公共预算财政拨款支出决算变动情况）（柱状图）</w:t>
      </w:r>
    </w:p>
    <w:p>
      <w:pPr>
        <w:pStyle w:val="2"/>
        <w:rPr>
          <w:rFonts w:ascii="仿宋" w:hAnsi="仿宋" w:eastAsia="仿宋"/>
          <w:sz w:val="32"/>
          <w:szCs w:val="32"/>
        </w:rPr>
      </w:pPr>
    </w:p>
    <w:p/>
    <w:p>
      <w:pPr>
        <w:spacing w:line="600" w:lineRule="exact"/>
        <w:ind w:firstLine="643" w:firstLineChars="200"/>
        <w:outlineLvl w:val="2"/>
        <w:rPr>
          <w:rFonts w:hint="eastAsia" w:ascii="仿宋" w:hAnsi="仿宋" w:eastAsia="仿宋"/>
          <w:b/>
          <w:sz w:val="32"/>
          <w:szCs w:val="32"/>
        </w:rPr>
      </w:pPr>
      <w:bookmarkStart w:id="90" w:name="_Toc15377211"/>
    </w:p>
    <w:p>
      <w:pPr>
        <w:spacing w:line="600" w:lineRule="exact"/>
        <w:outlineLvl w:val="2"/>
        <w:rPr>
          <w:rFonts w:hint="eastAsia" w:ascii="仿宋" w:hAnsi="仿宋" w:eastAsia="仿宋"/>
          <w:b/>
          <w:sz w:val="32"/>
          <w:szCs w:val="32"/>
        </w:rPr>
      </w:pPr>
    </w:p>
    <w:p>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90"/>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1445.34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1213.34</w:t>
      </w:r>
      <w:r>
        <w:rPr>
          <w:rFonts w:hint="eastAsia" w:ascii="仿宋" w:hAnsi="仿宋" w:eastAsia="仿宋"/>
          <w:sz w:val="32"/>
          <w:szCs w:val="32"/>
        </w:rPr>
        <w:t>万元，占</w:t>
      </w:r>
      <w:r>
        <w:rPr>
          <w:rFonts w:hint="eastAsia" w:ascii="仿宋" w:hAnsi="仿宋" w:eastAsia="仿宋"/>
          <w:sz w:val="32"/>
          <w:szCs w:val="32"/>
          <w:lang w:val="en-US" w:eastAsia="zh-CN"/>
        </w:rPr>
        <w:t>83.94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121.12</w:t>
      </w:r>
      <w:r>
        <w:rPr>
          <w:rFonts w:hint="eastAsia" w:ascii="仿宋" w:hAnsi="仿宋" w:eastAsia="仿宋"/>
          <w:sz w:val="32"/>
          <w:szCs w:val="32"/>
        </w:rPr>
        <w:t>万元，占</w:t>
      </w:r>
      <w:r>
        <w:rPr>
          <w:rFonts w:hint="eastAsia" w:ascii="仿宋" w:hAnsi="仿宋" w:eastAsia="仿宋"/>
          <w:sz w:val="32"/>
          <w:szCs w:val="32"/>
          <w:lang w:val="en-US" w:eastAsia="zh-CN"/>
        </w:rPr>
        <w:t>8.38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50.46</w:t>
      </w:r>
      <w:r>
        <w:rPr>
          <w:rFonts w:hint="eastAsia" w:ascii="仿宋" w:hAnsi="仿宋" w:eastAsia="仿宋"/>
          <w:sz w:val="32"/>
          <w:szCs w:val="32"/>
        </w:rPr>
        <w:t>万元，占</w:t>
      </w:r>
      <w:r>
        <w:rPr>
          <w:rFonts w:hint="eastAsia" w:ascii="仿宋" w:hAnsi="仿宋" w:eastAsia="仿宋"/>
          <w:sz w:val="32"/>
          <w:szCs w:val="32"/>
          <w:lang w:val="en-US" w:eastAsia="zh-CN"/>
        </w:rPr>
        <w:t>3.5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60.42</w:t>
      </w:r>
      <w:r>
        <w:rPr>
          <w:rFonts w:hint="eastAsia" w:ascii="仿宋" w:hAnsi="仿宋" w:eastAsia="仿宋"/>
          <w:sz w:val="32"/>
          <w:szCs w:val="32"/>
        </w:rPr>
        <w:t>万元，占</w:t>
      </w:r>
      <w:r>
        <w:rPr>
          <w:rFonts w:hint="eastAsia" w:ascii="仿宋" w:hAnsi="仿宋" w:eastAsia="仿宋"/>
          <w:sz w:val="32"/>
          <w:szCs w:val="32"/>
          <w:lang w:val="en-US" w:eastAsia="zh-CN"/>
        </w:rPr>
        <w:t>4.18</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r>
        <w:drawing>
          <wp:inline distT="0" distB="0" distL="114300" distR="114300">
            <wp:extent cx="4800600" cy="2334260"/>
            <wp:effectExtent l="5080" t="4445" r="13970" b="2349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sz w:val="32"/>
          <w:szCs w:val="32"/>
        </w:rPr>
      </w:pPr>
      <w:bookmarkStart w:id="91" w:name="_Toc15377212"/>
      <w:r>
        <w:rPr>
          <w:rFonts w:hint="eastAsia" w:ascii="仿宋" w:hAnsi="仿宋" w:eastAsia="仿宋"/>
          <w:b/>
          <w:sz w:val="32"/>
          <w:szCs w:val="32"/>
        </w:rPr>
        <w:t>（三）一般公共预算财政拨款支出决算具体情况</w:t>
      </w:r>
      <w:bookmarkEnd w:id="91"/>
    </w:p>
    <w:p>
      <w:pPr>
        <w:spacing w:line="600" w:lineRule="exact"/>
        <w:ind w:firstLine="643" w:firstLineChars="200"/>
        <w:outlineLvl w:val="2"/>
        <w:rPr>
          <w:rFonts w:ascii="仿宋" w:hAnsi="仿宋" w:eastAsia="仿宋"/>
          <w:sz w:val="32"/>
          <w:szCs w:val="32"/>
        </w:rPr>
      </w:pPr>
      <w:bookmarkStart w:id="92" w:name="_Toc15377213"/>
      <w:bookmarkStart w:id="93" w:name="_Toc15378460"/>
      <w:bookmarkStart w:id="94" w:name="_Toc15377444"/>
      <w:r>
        <w:rPr>
          <w:rFonts w:hint="eastAsia" w:ascii="仿宋" w:hAnsi="仿宋" w:eastAsia="仿宋"/>
          <w:b/>
          <w:sz w:val="32"/>
          <w:szCs w:val="32"/>
        </w:rPr>
        <w:t>2023年度一般公共预算支出决算数为</w:t>
      </w:r>
      <w:r>
        <w:rPr>
          <w:sz w:val="32"/>
          <w:szCs w:val="32"/>
        </w:rPr>
        <w:t>1445.34</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92"/>
      <w:bookmarkEnd w:id="93"/>
      <w:bookmarkEnd w:id="94"/>
    </w:p>
    <w:p>
      <w:pPr>
        <w:spacing w:line="600" w:lineRule="exact"/>
        <w:ind w:firstLine="643" w:firstLineChars="200"/>
        <w:rPr>
          <w:rFonts w:ascii="仿宋" w:hAnsi="仿宋" w:eastAsia="仿宋"/>
          <w:b/>
          <w:sz w:val="32"/>
          <w:szCs w:val="32"/>
        </w:rPr>
      </w:pPr>
      <w:r>
        <w:rPr>
          <w:rStyle w:val="16"/>
          <w:rFonts w:ascii="仿宋" w:hAnsi="仿宋" w:eastAsia="仿宋"/>
          <w:bCs/>
          <w:sz w:val="32"/>
          <w:szCs w:val="32"/>
        </w:rPr>
        <w:t>1.</w:t>
      </w:r>
      <w:r>
        <w:rPr>
          <w:rStyle w:val="16"/>
          <w:rFonts w:hint="eastAsia" w:ascii="仿宋" w:hAnsi="仿宋" w:eastAsia="仿宋"/>
          <w:bCs/>
          <w:sz w:val="32"/>
          <w:szCs w:val="32"/>
        </w:rPr>
        <w:t>一般公共服务</w:t>
      </w:r>
      <w:r>
        <w:rPr>
          <w:rStyle w:val="16"/>
          <w:rFonts w:hint="eastAsia" w:ascii="仿宋" w:hAnsi="仿宋" w:eastAsia="仿宋"/>
          <w:bCs/>
          <w:sz w:val="32"/>
          <w:szCs w:val="32"/>
          <w:lang w:val="en-US" w:eastAsia="zh-CN"/>
        </w:rPr>
        <w:t>201（类）</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1213.34</w:t>
      </w:r>
      <w:r>
        <w:rPr>
          <w:rStyle w:val="16"/>
          <w:rFonts w:hint="eastAsia" w:ascii="仿宋" w:hAnsi="仿宋" w:eastAsia="仿宋"/>
          <w:b w:val="0"/>
          <w:bCs/>
          <w:sz w:val="32"/>
          <w:szCs w:val="32"/>
        </w:rPr>
        <w:t>万元</w:t>
      </w:r>
      <w:r>
        <w:rPr>
          <w:rStyle w:val="16"/>
          <w:rFonts w:hint="eastAsia" w:ascii="仿宋" w:hAnsi="仿宋" w:eastAsia="仿宋"/>
          <w:b w:val="0"/>
          <w:bCs/>
          <w:sz w:val="32"/>
          <w:szCs w:val="32"/>
          <w:lang w:eastAsia="zh-CN"/>
        </w:rPr>
        <w:t>（其中</w:t>
      </w:r>
      <w:r>
        <w:rPr>
          <w:rStyle w:val="16"/>
          <w:rFonts w:hint="eastAsia" w:ascii="仿宋" w:hAnsi="仿宋" w:eastAsia="仿宋"/>
          <w:b w:val="0"/>
          <w:bCs/>
          <w:sz w:val="32"/>
          <w:szCs w:val="32"/>
          <w:lang w:val="en-US" w:eastAsia="zh-CN"/>
        </w:rPr>
        <w:t>2010601</w:t>
      </w:r>
      <w:r>
        <w:rPr>
          <w:rStyle w:val="16"/>
          <w:rFonts w:hint="eastAsia" w:ascii="仿宋" w:hAnsi="仿宋" w:eastAsia="仿宋"/>
          <w:b w:val="0"/>
          <w:bCs/>
          <w:sz w:val="32"/>
          <w:szCs w:val="32"/>
        </w:rPr>
        <w:t>行政运行</w:t>
      </w:r>
      <w:r>
        <w:rPr>
          <w:rStyle w:val="16"/>
          <w:rFonts w:hint="eastAsia" w:ascii="仿宋" w:hAnsi="仿宋" w:eastAsia="仿宋"/>
          <w:b w:val="0"/>
          <w:bCs/>
          <w:sz w:val="32"/>
          <w:szCs w:val="32"/>
          <w:lang w:eastAsia="zh-CN"/>
        </w:rPr>
        <w:t>支出</w:t>
      </w:r>
      <w:r>
        <w:rPr>
          <w:rStyle w:val="16"/>
          <w:rFonts w:hint="eastAsia" w:ascii="仿宋" w:hAnsi="仿宋" w:eastAsia="仿宋"/>
          <w:b w:val="0"/>
          <w:bCs/>
          <w:sz w:val="32"/>
          <w:szCs w:val="32"/>
          <w:lang w:val="en-US" w:eastAsia="zh-CN"/>
        </w:rPr>
        <w:t>513.47万元、2010604预算改革业务支出175.41万元、2010607信息化建设支出33.41万元、2010608财政委托业务支出297.87万元、2010650事业运行支出193.18万元）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3" w:firstLineChars="200"/>
        <w:rPr>
          <w:rStyle w:val="16"/>
          <w:rFonts w:hint="eastAsia" w:ascii="仿宋" w:hAnsi="仿宋" w:eastAsia="仿宋"/>
          <w:b w:val="0"/>
          <w:bCs/>
          <w:sz w:val="32"/>
          <w:szCs w:val="32"/>
          <w:lang w:eastAsia="zh-CN"/>
        </w:rPr>
      </w:pPr>
      <w:r>
        <w:rPr>
          <w:rStyle w:val="16"/>
          <w:rFonts w:ascii="仿宋" w:hAnsi="仿宋" w:eastAsia="仿宋"/>
          <w:bCs/>
          <w:sz w:val="32"/>
          <w:szCs w:val="32"/>
        </w:rPr>
        <w:t>2.</w:t>
      </w:r>
      <w:r>
        <w:rPr>
          <w:rStyle w:val="16"/>
          <w:rFonts w:hint="eastAsia" w:ascii="仿宋" w:hAnsi="仿宋" w:eastAsia="仿宋"/>
          <w:bCs/>
          <w:sz w:val="32"/>
          <w:szCs w:val="32"/>
        </w:rPr>
        <w:t>教育（类）</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0</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lang w:eastAsia="zh-CN"/>
        </w:rPr>
        <w:t>。</w:t>
      </w:r>
    </w:p>
    <w:p>
      <w:pPr>
        <w:spacing w:line="600" w:lineRule="exact"/>
        <w:ind w:firstLine="643" w:firstLineChars="200"/>
        <w:rPr>
          <w:rFonts w:ascii="仿宋" w:hAnsi="仿宋" w:eastAsia="仿宋"/>
          <w:b/>
          <w:sz w:val="32"/>
          <w:szCs w:val="32"/>
        </w:rPr>
      </w:pPr>
      <w:r>
        <w:rPr>
          <w:rStyle w:val="16"/>
          <w:rFonts w:ascii="仿宋" w:hAnsi="仿宋" w:eastAsia="仿宋"/>
          <w:bCs/>
          <w:sz w:val="32"/>
          <w:szCs w:val="32"/>
        </w:rPr>
        <w:t>3.</w:t>
      </w:r>
      <w:r>
        <w:rPr>
          <w:rStyle w:val="16"/>
          <w:rFonts w:hint="eastAsia" w:ascii="仿宋" w:hAnsi="仿宋" w:eastAsia="仿宋"/>
          <w:bCs/>
          <w:sz w:val="32"/>
          <w:szCs w:val="32"/>
        </w:rPr>
        <w:t>科学技术（类）</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0</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6"/>
          <w:rFonts w:ascii="仿宋" w:hAnsi="仿宋" w:eastAsia="仿宋"/>
          <w:bCs/>
          <w:sz w:val="32"/>
          <w:szCs w:val="32"/>
        </w:rPr>
        <w:t>4.</w:t>
      </w:r>
      <w:r>
        <w:rPr>
          <w:rStyle w:val="16"/>
          <w:rFonts w:hint="eastAsia" w:ascii="仿宋" w:hAnsi="仿宋" w:eastAsia="仿宋"/>
          <w:bCs/>
          <w:sz w:val="32"/>
          <w:szCs w:val="32"/>
        </w:rPr>
        <w:t>文化旅游体育与传媒（类</w:t>
      </w:r>
      <w:r>
        <w:rPr>
          <w:rStyle w:val="16"/>
          <w:rFonts w:hint="eastAsia" w:ascii="仿宋" w:hAnsi="仿宋" w:eastAsia="仿宋"/>
          <w:bCs/>
          <w:sz w:val="32"/>
          <w:szCs w:val="32"/>
          <w:lang w:eastAsia="zh-CN"/>
        </w:rPr>
        <w:t>）</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0</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6"/>
          <w:rFonts w:ascii="仿宋" w:hAnsi="仿宋" w:eastAsia="仿宋"/>
          <w:bCs/>
          <w:sz w:val="32"/>
          <w:szCs w:val="32"/>
        </w:rPr>
        <w:t>5.</w:t>
      </w:r>
      <w:r>
        <w:rPr>
          <w:rStyle w:val="16"/>
          <w:rFonts w:hint="eastAsia" w:ascii="仿宋" w:hAnsi="仿宋" w:eastAsia="仿宋"/>
          <w:bCs/>
          <w:sz w:val="32"/>
          <w:szCs w:val="32"/>
        </w:rPr>
        <w:t>社会保障和就业</w:t>
      </w:r>
      <w:r>
        <w:rPr>
          <w:rStyle w:val="16"/>
          <w:rFonts w:hint="eastAsia" w:ascii="仿宋" w:hAnsi="仿宋" w:eastAsia="仿宋"/>
          <w:bCs/>
          <w:sz w:val="32"/>
          <w:szCs w:val="32"/>
          <w:lang w:val="en-US" w:eastAsia="zh-CN"/>
        </w:rPr>
        <w:t>208</w:t>
      </w:r>
      <w:r>
        <w:rPr>
          <w:rStyle w:val="16"/>
          <w:rFonts w:hint="eastAsia" w:ascii="仿宋" w:hAnsi="仿宋" w:eastAsia="仿宋"/>
          <w:bCs/>
          <w:sz w:val="32"/>
          <w:szCs w:val="32"/>
        </w:rPr>
        <w:t>（类）</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121.12</w:t>
      </w:r>
      <w:r>
        <w:rPr>
          <w:rStyle w:val="16"/>
          <w:rFonts w:hint="eastAsia" w:ascii="仿宋" w:hAnsi="仿宋" w:eastAsia="仿宋"/>
          <w:b w:val="0"/>
          <w:bCs/>
          <w:sz w:val="32"/>
          <w:szCs w:val="32"/>
        </w:rPr>
        <w:t>万元</w:t>
      </w:r>
      <w:r>
        <w:rPr>
          <w:rStyle w:val="16"/>
          <w:rFonts w:hint="eastAsia" w:ascii="仿宋" w:hAnsi="仿宋" w:eastAsia="仿宋"/>
          <w:b w:val="0"/>
          <w:bCs/>
          <w:sz w:val="32"/>
          <w:szCs w:val="32"/>
          <w:lang w:eastAsia="zh-CN"/>
        </w:rPr>
        <w:t>（其中</w:t>
      </w:r>
      <w:r>
        <w:rPr>
          <w:rStyle w:val="16"/>
          <w:rFonts w:hint="eastAsia" w:ascii="仿宋" w:hAnsi="仿宋" w:eastAsia="仿宋"/>
          <w:b w:val="0"/>
          <w:bCs/>
          <w:sz w:val="32"/>
          <w:szCs w:val="32"/>
          <w:lang w:val="en-US" w:eastAsia="zh-CN"/>
        </w:rPr>
        <w:t>2080505</w:t>
      </w:r>
      <w:r>
        <w:rPr>
          <w:rStyle w:val="16"/>
          <w:rFonts w:hint="eastAsia" w:ascii="仿宋" w:hAnsi="仿宋" w:eastAsia="仿宋"/>
          <w:b w:val="0"/>
          <w:bCs/>
          <w:sz w:val="32"/>
          <w:szCs w:val="32"/>
        </w:rPr>
        <w:t>行政事业单位养老支出</w:t>
      </w:r>
      <w:r>
        <w:rPr>
          <w:rStyle w:val="16"/>
          <w:rFonts w:hint="eastAsia" w:ascii="仿宋" w:hAnsi="仿宋" w:eastAsia="仿宋"/>
          <w:b w:val="0"/>
          <w:bCs/>
          <w:sz w:val="32"/>
          <w:szCs w:val="32"/>
          <w:lang w:val="en-US" w:eastAsia="zh-CN"/>
        </w:rPr>
        <w:t>80.75万元、2080506</w:t>
      </w:r>
      <w:r>
        <w:rPr>
          <w:rStyle w:val="16"/>
          <w:rFonts w:hint="eastAsia" w:ascii="仿宋" w:hAnsi="仿宋" w:eastAsia="仿宋"/>
          <w:b w:val="0"/>
          <w:bCs/>
          <w:sz w:val="32"/>
          <w:szCs w:val="32"/>
        </w:rPr>
        <w:t>机关事业单位职业年金缴费支</w:t>
      </w:r>
      <w:r>
        <w:rPr>
          <w:rStyle w:val="16"/>
          <w:rFonts w:hint="eastAsia" w:ascii="仿宋" w:hAnsi="仿宋" w:eastAsia="仿宋"/>
          <w:b w:val="0"/>
          <w:bCs/>
          <w:sz w:val="32"/>
          <w:szCs w:val="32"/>
          <w:lang w:eastAsia="zh-CN"/>
        </w:rPr>
        <w:t>出</w:t>
      </w:r>
      <w:r>
        <w:rPr>
          <w:rStyle w:val="16"/>
          <w:rFonts w:hint="eastAsia" w:ascii="仿宋" w:hAnsi="仿宋" w:eastAsia="仿宋"/>
          <w:b w:val="0"/>
          <w:bCs/>
          <w:sz w:val="32"/>
          <w:szCs w:val="32"/>
          <w:lang w:val="en-US" w:eastAsia="zh-CN"/>
        </w:rPr>
        <w:t>40.37万元</w:t>
      </w:r>
      <w:r>
        <w:rPr>
          <w:rStyle w:val="16"/>
          <w:rFonts w:hint="eastAsia" w:ascii="仿宋" w:hAnsi="仿宋" w:eastAsia="仿宋"/>
          <w:b w:val="0"/>
          <w:bCs/>
          <w:sz w:val="32"/>
          <w:szCs w:val="32"/>
          <w:lang w:eastAsia="zh-CN"/>
        </w:rPr>
        <w:t>）</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3" w:firstLineChars="200"/>
        <w:rPr>
          <w:rFonts w:hint="eastAsia" w:ascii="仿宋" w:hAnsi="仿宋" w:eastAsia="仿宋"/>
          <w:sz w:val="32"/>
          <w:szCs w:val="32"/>
          <w:lang w:val="en-US" w:eastAsia="zh-CN"/>
        </w:rPr>
      </w:pPr>
      <w:r>
        <w:rPr>
          <w:rStyle w:val="16"/>
          <w:rFonts w:ascii="仿宋" w:hAnsi="仿宋" w:eastAsia="仿宋"/>
          <w:bCs/>
          <w:sz w:val="32"/>
          <w:szCs w:val="32"/>
        </w:rPr>
        <w:t>6.</w:t>
      </w:r>
      <w:r>
        <w:rPr>
          <w:rFonts w:hint="eastAsia" w:ascii="仿宋" w:hAnsi="仿宋" w:eastAsia="仿宋"/>
          <w:b/>
          <w:bCs/>
          <w:sz w:val="32"/>
          <w:szCs w:val="32"/>
        </w:rPr>
        <w:t>卫生健康</w:t>
      </w:r>
      <w:r>
        <w:rPr>
          <w:rFonts w:hint="eastAsia" w:ascii="仿宋" w:hAnsi="仿宋" w:eastAsia="仿宋"/>
          <w:b/>
          <w:bCs/>
          <w:sz w:val="32"/>
          <w:szCs w:val="32"/>
          <w:lang w:val="en-US" w:eastAsia="zh-CN"/>
        </w:rPr>
        <w:t>210</w:t>
      </w:r>
      <w:r>
        <w:rPr>
          <w:rStyle w:val="16"/>
          <w:rFonts w:hint="eastAsia" w:ascii="仿宋" w:hAnsi="仿宋" w:eastAsia="仿宋"/>
          <w:bCs/>
          <w:sz w:val="32"/>
          <w:szCs w:val="32"/>
        </w:rPr>
        <w:t>（类）</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50.46</w:t>
      </w:r>
      <w:r>
        <w:rPr>
          <w:rStyle w:val="16"/>
          <w:rFonts w:hint="eastAsia" w:ascii="仿宋" w:hAnsi="仿宋" w:eastAsia="仿宋"/>
          <w:b w:val="0"/>
          <w:bCs/>
          <w:sz w:val="32"/>
          <w:szCs w:val="32"/>
        </w:rPr>
        <w:t>万元</w:t>
      </w:r>
      <w:r>
        <w:rPr>
          <w:rStyle w:val="16"/>
          <w:rFonts w:hint="eastAsia" w:ascii="仿宋" w:hAnsi="仿宋" w:eastAsia="仿宋"/>
          <w:b w:val="0"/>
          <w:bCs/>
          <w:sz w:val="32"/>
          <w:szCs w:val="32"/>
          <w:lang w:eastAsia="zh-CN"/>
        </w:rPr>
        <w:t>（其中</w:t>
      </w:r>
      <w:r>
        <w:rPr>
          <w:rStyle w:val="16"/>
          <w:rFonts w:hint="eastAsia" w:ascii="仿宋" w:hAnsi="仿宋" w:eastAsia="仿宋"/>
          <w:b w:val="0"/>
          <w:bCs/>
          <w:sz w:val="32"/>
          <w:szCs w:val="32"/>
          <w:lang w:val="en-US" w:eastAsia="zh-CN"/>
        </w:rPr>
        <w:t>2101101</w:t>
      </w:r>
      <w:r>
        <w:rPr>
          <w:rStyle w:val="16"/>
          <w:rFonts w:hint="eastAsia" w:ascii="仿宋" w:hAnsi="仿宋" w:eastAsia="仿宋"/>
          <w:b w:val="0"/>
          <w:bCs/>
          <w:sz w:val="32"/>
          <w:szCs w:val="32"/>
        </w:rPr>
        <w:t>行政单位医疗</w:t>
      </w:r>
      <w:r>
        <w:rPr>
          <w:rStyle w:val="16"/>
          <w:rFonts w:hint="eastAsia" w:ascii="仿宋" w:hAnsi="仿宋" w:eastAsia="仿宋"/>
          <w:b w:val="0"/>
          <w:bCs/>
          <w:sz w:val="32"/>
          <w:szCs w:val="32"/>
          <w:lang w:eastAsia="zh-CN"/>
        </w:rPr>
        <w:t>支出</w:t>
      </w:r>
      <w:r>
        <w:rPr>
          <w:rStyle w:val="16"/>
          <w:rFonts w:hint="eastAsia" w:ascii="仿宋" w:hAnsi="仿宋" w:eastAsia="仿宋"/>
          <w:b w:val="0"/>
          <w:bCs/>
          <w:sz w:val="32"/>
          <w:szCs w:val="32"/>
          <w:lang w:val="en-US" w:eastAsia="zh-CN"/>
        </w:rPr>
        <w:t>29.2万元、2101102事业单位医疗支出10.95万元,、2</w:t>
      </w:r>
      <w:r>
        <w:rPr>
          <w:rStyle w:val="16"/>
          <w:rFonts w:hint="eastAsia" w:ascii="仿宋" w:hAnsi="仿宋" w:eastAsia="仿宋"/>
          <w:b w:val="0"/>
          <w:bCs/>
          <w:sz w:val="32"/>
          <w:szCs w:val="32"/>
          <w:lang w:val="en-US" w:eastAsia="zh-CN"/>
        </w:rPr>
        <w:t>101103公务员医疗补助7.71万元、2101199其他行政事业单位医疗支出2.6万元）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tabs>
          <w:tab w:val="right" w:pos="8306"/>
        </w:tabs>
        <w:spacing w:line="600" w:lineRule="exact"/>
        <w:ind w:firstLine="640"/>
        <w:outlineLvl w:val="1"/>
        <w:rPr>
          <w:rStyle w:val="29"/>
        </w:rPr>
      </w:pPr>
      <w:bookmarkStart w:id="95" w:name="_Toc15396608"/>
      <w:bookmarkStart w:id="96" w:name="_Toc15377214"/>
      <w:bookmarkStart w:id="97" w:name="_Toc14932_WPSOffice_Level2"/>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95"/>
      <w:bookmarkEnd w:id="96"/>
      <w:bookmarkEnd w:id="97"/>
      <w:r>
        <w:rPr>
          <w:rStyle w:val="29"/>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938.66</w:t>
      </w:r>
      <w:r>
        <w:rPr>
          <w:rFonts w:hint="eastAsia" w:ascii="仿宋" w:hAnsi="仿宋" w:eastAsia="仿宋"/>
          <w:sz w:val="32"/>
          <w:szCs w:val="32"/>
        </w:rPr>
        <w:t>万元，其中：</w:t>
      </w:r>
    </w:p>
    <w:p>
      <w:pPr>
        <w:spacing w:line="600" w:lineRule="exact"/>
        <w:ind w:firstLine="645"/>
        <w:rPr>
          <w:rFonts w:ascii="仿宋" w:hAnsi="仿宋" w:eastAsia="仿宋"/>
          <w:b/>
          <w:sz w:val="32"/>
          <w:szCs w:val="32"/>
        </w:rPr>
      </w:pPr>
      <w:r>
        <w:rPr>
          <w:rFonts w:hint="eastAsia" w:ascii="仿宋" w:hAnsi="仿宋" w:eastAsia="仿宋"/>
          <w:sz w:val="32"/>
          <w:szCs w:val="32"/>
        </w:rPr>
        <w:t>人员经费</w:t>
      </w:r>
      <w:r>
        <w:rPr>
          <w:sz w:val="32"/>
          <w:szCs w:val="32"/>
        </w:rPr>
        <w:t>883.1</w:t>
      </w:r>
      <w:r>
        <w:rPr>
          <w:rFonts w:hint="eastAsia" w:ascii="仿宋" w:hAnsi="仿宋" w:eastAsia="仿宋"/>
          <w:sz w:val="32"/>
          <w:szCs w:val="32"/>
        </w:rPr>
        <w:t>万元，主要包括：基本工资</w:t>
      </w:r>
      <w:r>
        <w:rPr>
          <w:rFonts w:hint="eastAsia" w:ascii="仿宋" w:hAnsi="仿宋" w:eastAsia="仿宋"/>
          <w:sz w:val="32"/>
          <w:szCs w:val="32"/>
          <w:lang w:val="en-US" w:eastAsia="zh-CN"/>
        </w:rPr>
        <w:t>145.23万元</w:t>
      </w:r>
      <w:r>
        <w:rPr>
          <w:rFonts w:hint="eastAsia" w:ascii="仿宋" w:hAnsi="仿宋" w:eastAsia="仿宋"/>
          <w:sz w:val="32"/>
          <w:szCs w:val="32"/>
        </w:rPr>
        <w:t>、津贴补贴</w:t>
      </w:r>
      <w:r>
        <w:rPr>
          <w:rFonts w:hint="eastAsia" w:ascii="仿宋" w:hAnsi="仿宋" w:eastAsia="仿宋"/>
          <w:sz w:val="32"/>
          <w:szCs w:val="32"/>
          <w:lang w:val="en-US" w:eastAsia="zh-CN"/>
        </w:rPr>
        <w:t>234.24万元</w:t>
      </w:r>
      <w:r>
        <w:rPr>
          <w:rFonts w:hint="eastAsia" w:ascii="仿宋" w:hAnsi="仿宋" w:eastAsia="仿宋"/>
          <w:sz w:val="32"/>
          <w:szCs w:val="32"/>
        </w:rPr>
        <w:t>、奖金</w:t>
      </w:r>
      <w:r>
        <w:rPr>
          <w:rFonts w:hint="eastAsia" w:ascii="仿宋" w:hAnsi="仿宋" w:eastAsia="仿宋"/>
          <w:sz w:val="32"/>
          <w:szCs w:val="32"/>
          <w:lang w:val="en-US" w:eastAsia="zh-CN"/>
        </w:rPr>
        <w:t>209.96</w:t>
      </w:r>
      <w:bookmarkStart w:id="150" w:name="_GoBack"/>
      <w:bookmarkEnd w:id="150"/>
      <w:r>
        <w:rPr>
          <w:rFonts w:hint="eastAsia" w:ascii="仿宋" w:hAnsi="仿宋" w:eastAsia="仿宋"/>
          <w:sz w:val="32"/>
          <w:szCs w:val="32"/>
          <w:lang w:val="en-US" w:eastAsia="zh-CN"/>
        </w:rPr>
        <w:t>万元</w:t>
      </w:r>
      <w:r>
        <w:rPr>
          <w:rFonts w:hint="eastAsia" w:ascii="仿宋" w:hAnsi="仿宋" w:eastAsia="仿宋"/>
          <w:sz w:val="32"/>
          <w:szCs w:val="32"/>
        </w:rPr>
        <w:t>、伙食补助费</w:t>
      </w:r>
      <w:r>
        <w:rPr>
          <w:rFonts w:hint="eastAsia" w:ascii="仿宋" w:hAnsi="仿宋" w:eastAsia="仿宋"/>
          <w:sz w:val="32"/>
          <w:szCs w:val="32"/>
          <w:lang w:val="en-US" w:eastAsia="zh-CN"/>
        </w:rPr>
        <w:t>0万元</w:t>
      </w:r>
      <w:r>
        <w:rPr>
          <w:rFonts w:hint="eastAsia" w:ascii="仿宋" w:hAnsi="仿宋" w:eastAsia="仿宋"/>
          <w:sz w:val="32"/>
          <w:szCs w:val="32"/>
        </w:rPr>
        <w:t>、绩效工资</w:t>
      </w:r>
      <w:r>
        <w:rPr>
          <w:rFonts w:hint="eastAsia" w:ascii="仿宋" w:hAnsi="仿宋" w:eastAsia="仿宋"/>
          <w:sz w:val="32"/>
          <w:szCs w:val="32"/>
          <w:lang w:val="en-US" w:eastAsia="zh-CN"/>
        </w:rPr>
        <w:t>36.43万元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80.75万元</w:t>
      </w:r>
      <w:r>
        <w:rPr>
          <w:rFonts w:hint="eastAsia" w:ascii="仿宋" w:hAnsi="仿宋" w:eastAsia="仿宋"/>
          <w:sz w:val="32"/>
          <w:szCs w:val="32"/>
        </w:rPr>
        <w:t>、职业年金缴费</w:t>
      </w:r>
      <w:r>
        <w:rPr>
          <w:rFonts w:hint="eastAsia" w:ascii="仿宋" w:hAnsi="仿宋" w:eastAsia="仿宋"/>
          <w:sz w:val="32"/>
          <w:szCs w:val="32"/>
          <w:lang w:val="en-US" w:eastAsia="zh-CN"/>
        </w:rPr>
        <w:t>40.37万元</w:t>
      </w:r>
      <w:r>
        <w:rPr>
          <w:rFonts w:hint="eastAsia" w:ascii="仿宋" w:hAnsi="仿宋" w:eastAsia="仿宋"/>
          <w:sz w:val="32"/>
          <w:szCs w:val="32"/>
        </w:rPr>
        <w:t>、</w:t>
      </w:r>
      <w:r>
        <w:rPr>
          <w:rFonts w:hint="eastAsia" w:ascii="仿宋" w:hAnsi="仿宋" w:eastAsia="仿宋"/>
          <w:sz w:val="32"/>
          <w:szCs w:val="32"/>
          <w:lang w:eastAsia="zh-CN"/>
        </w:rPr>
        <w:t>职工基本医疗保险缴费</w:t>
      </w:r>
      <w:r>
        <w:rPr>
          <w:rFonts w:hint="eastAsia" w:ascii="仿宋" w:hAnsi="仿宋" w:eastAsia="仿宋"/>
          <w:sz w:val="32"/>
          <w:szCs w:val="32"/>
          <w:lang w:val="en-US" w:eastAsia="zh-CN"/>
        </w:rPr>
        <w:t>40.15万元</w:t>
      </w:r>
      <w:r>
        <w:rPr>
          <w:rFonts w:hint="eastAsia" w:ascii="仿宋" w:hAnsi="仿宋" w:eastAsia="仿宋"/>
          <w:sz w:val="32"/>
          <w:szCs w:val="32"/>
          <w:lang w:eastAsia="zh-CN"/>
        </w:rPr>
        <w:t>、公务员医疗补助缴费</w:t>
      </w:r>
      <w:r>
        <w:rPr>
          <w:rFonts w:hint="eastAsia" w:ascii="仿宋" w:hAnsi="仿宋" w:eastAsia="仿宋"/>
          <w:sz w:val="32"/>
          <w:szCs w:val="32"/>
          <w:lang w:val="en-US" w:eastAsia="zh-CN"/>
        </w:rPr>
        <w:t>10.31万元、</w:t>
      </w:r>
      <w:r>
        <w:rPr>
          <w:rFonts w:hint="eastAsia" w:ascii="仿宋" w:hAnsi="仿宋" w:eastAsia="仿宋"/>
          <w:sz w:val="32"/>
          <w:szCs w:val="32"/>
        </w:rPr>
        <w:t>其他社会保障缴费</w:t>
      </w:r>
      <w:r>
        <w:rPr>
          <w:rFonts w:hint="eastAsia" w:ascii="仿宋" w:hAnsi="仿宋" w:eastAsia="仿宋"/>
          <w:sz w:val="32"/>
          <w:szCs w:val="32"/>
          <w:lang w:val="en-US" w:eastAsia="zh-CN"/>
        </w:rPr>
        <w:t>8.52万元、医疗费3.66万元</w:t>
      </w:r>
      <w:r>
        <w:rPr>
          <w:rFonts w:hint="eastAsia" w:ascii="仿宋" w:hAnsi="仿宋" w:eastAsia="仿宋"/>
          <w:sz w:val="32"/>
          <w:szCs w:val="32"/>
        </w:rPr>
        <w:t>、其他工资福利支出</w:t>
      </w:r>
      <w:r>
        <w:rPr>
          <w:rFonts w:hint="eastAsia" w:ascii="仿宋" w:hAnsi="仿宋" w:eastAsia="仿宋"/>
          <w:sz w:val="32"/>
          <w:szCs w:val="32"/>
          <w:lang w:val="en-US" w:eastAsia="zh-CN"/>
        </w:rPr>
        <w:t>0万元</w:t>
      </w:r>
      <w:r>
        <w:rPr>
          <w:rFonts w:hint="eastAsia" w:ascii="仿宋" w:hAnsi="仿宋" w:eastAsia="仿宋"/>
          <w:sz w:val="32"/>
          <w:szCs w:val="32"/>
        </w:rPr>
        <w:t>、离休费</w:t>
      </w:r>
      <w:r>
        <w:rPr>
          <w:rFonts w:hint="eastAsia" w:ascii="仿宋" w:hAnsi="仿宋" w:eastAsia="仿宋"/>
          <w:sz w:val="32"/>
          <w:szCs w:val="32"/>
          <w:lang w:val="en-US" w:eastAsia="zh-CN"/>
        </w:rPr>
        <w:t>0万元</w:t>
      </w:r>
      <w:r>
        <w:rPr>
          <w:rFonts w:hint="eastAsia" w:ascii="仿宋" w:hAnsi="仿宋" w:eastAsia="仿宋"/>
          <w:sz w:val="32"/>
          <w:szCs w:val="32"/>
        </w:rPr>
        <w:t>、退休费</w:t>
      </w:r>
      <w:r>
        <w:rPr>
          <w:rFonts w:hint="eastAsia" w:ascii="仿宋" w:hAnsi="仿宋" w:eastAsia="仿宋"/>
          <w:sz w:val="32"/>
          <w:szCs w:val="32"/>
          <w:lang w:val="en-US" w:eastAsia="zh-CN"/>
        </w:rPr>
        <w:t>0万元</w:t>
      </w:r>
      <w:r>
        <w:rPr>
          <w:rFonts w:hint="eastAsia" w:ascii="仿宋" w:hAnsi="仿宋" w:eastAsia="仿宋"/>
          <w:sz w:val="32"/>
          <w:szCs w:val="32"/>
        </w:rPr>
        <w:t>、抚恤金</w:t>
      </w:r>
      <w:r>
        <w:rPr>
          <w:rFonts w:hint="eastAsia" w:ascii="仿宋" w:hAnsi="仿宋" w:eastAsia="仿宋"/>
          <w:sz w:val="32"/>
          <w:szCs w:val="32"/>
          <w:lang w:val="en-US" w:eastAsia="zh-CN"/>
        </w:rPr>
        <w:t>0万元</w:t>
      </w:r>
      <w:r>
        <w:rPr>
          <w:rFonts w:hint="eastAsia" w:ascii="仿宋" w:hAnsi="仿宋" w:eastAsia="仿宋"/>
          <w:sz w:val="32"/>
          <w:szCs w:val="32"/>
        </w:rPr>
        <w:t>、生活补助</w:t>
      </w:r>
      <w:r>
        <w:rPr>
          <w:rFonts w:hint="eastAsia" w:ascii="仿宋" w:hAnsi="仿宋" w:eastAsia="仿宋"/>
          <w:sz w:val="32"/>
          <w:szCs w:val="32"/>
          <w:lang w:val="en-US" w:eastAsia="zh-CN"/>
        </w:rPr>
        <w:t>12.47万元</w:t>
      </w:r>
      <w:r>
        <w:rPr>
          <w:rFonts w:hint="eastAsia" w:ascii="仿宋" w:hAnsi="仿宋" w:eastAsia="仿宋"/>
          <w:sz w:val="32"/>
          <w:szCs w:val="32"/>
        </w:rPr>
        <w:t>、医疗费补助</w:t>
      </w:r>
      <w:r>
        <w:rPr>
          <w:rFonts w:hint="eastAsia" w:ascii="仿宋" w:hAnsi="仿宋" w:eastAsia="仿宋"/>
          <w:sz w:val="32"/>
          <w:szCs w:val="32"/>
          <w:lang w:val="en-US" w:eastAsia="zh-CN"/>
        </w:rPr>
        <w:t>0.58万元</w:t>
      </w:r>
      <w:r>
        <w:rPr>
          <w:rFonts w:hint="eastAsia" w:ascii="仿宋" w:hAnsi="仿宋" w:eastAsia="仿宋"/>
          <w:sz w:val="32"/>
          <w:szCs w:val="32"/>
        </w:rPr>
        <w:t>、奖励金</w:t>
      </w:r>
      <w:r>
        <w:rPr>
          <w:rFonts w:hint="eastAsia" w:ascii="仿宋" w:hAnsi="仿宋" w:eastAsia="仿宋"/>
          <w:sz w:val="32"/>
          <w:szCs w:val="32"/>
          <w:lang w:val="en-US" w:eastAsia="zh-CN"/>
        </w:rPr>
        <w:t>0.01万元</w:t>
      </w:r>
      <w:r>
        <w:rPr>
          <w:rFonts w:hint="eastAsia" w:ascii="仿宋" w:hAnsi="仿宋" w:eastAsia="仿宋"/>
          <w:sz w:val="32"/>
          <w:szCs w:val="32"/>
        </w:rPr>
        <w:t>、住房公积金</w:t>
      </w:r>
      <w:r>
        <w:rPr>
          <w:rFonts w:hint="eastAsia" w:ascii="仿宋" w:hAnsi="仿宋" w:eastAsia="仿宋"/>
          <w:sz w:val="32"/>
          <w:szCs w:val="32"/>
          <w:lang w:val="en-US" w:eastAsia="zh-CN"/>
        </w:rPr>
        <w:t>60.42万元</w:t>
      </w:r>
      <w:r>
        <w:rPr>
          <w:rFonts w:hint="eastAsia" w:ascii="仿宋" w:hAnsi="仿宋" w:eastAsia="仿宋"/>
          <w:sz w:val="32"/>
          <w:szCs w:val="32"/>
        </w:rPr>
        <w:t>、其他对个人和家庭的补助支出</w:t>
      </w:r>
      <w:r>
        <w:rPr>
          <w:rFonts w:hint="eastAsia" w:ascii="仿宋" w:hAnsi="仿宋" w:eastAsia="仿宋"/>
          <w:sz w:val="32"/>
          <w:szCs w:val="32"/>
          <w:lang w:val="en-US" w:eastAsia="zh-CN"/>
        </w:rPr>
        <w:t>0万元</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lang w:val="en-US" w:eastAsia="zh-CN"/>
        </w:rPr>
        <w:t xml:space="preserve">    </w:t>
      </w:r>
      <w:r>
        <w:rPr>
          <w:rFonts w:hint="eastAsia" w:ascii="仿宋" w:hAnsi="仿宋" w:eastAsia="仿宋"/>
          <w:sz w:val="32"/>
          <w:szCs w:val="32"/>
        </w:rPr>
        <w:t>公用经费</w:t>
      </w:r>
      <w:r>
        <w:rPr>
          <w:rFonts w:hint="eastAsia" w:eastAsia="仿宋"/>
          <w:sz w:val="32"/>
          <w:szCs w:val="32"/>
          <w:lang w:val="en-US" w:eastAsia="zh-CN"/>
        </w:rPr>
        <w:t>562.24</w:t>
      </w:r>
      <w:r>
        <w:rPr>
          <w:rFonts w:hint="eastAsia" w:ascii="仿宋" w:hAnsi="仿宋" w:eastAsia="仿宋"/>
          <w:sz w:val="32"/>
          <w:szCs w:val="32"/>
        </w:rPr>
        <w:t>万元，主要包括：办公费</w:t>
      </w:r>
      <w:r>
        <w:rPr>
          <w:rFonts w:hint="eastAsia" w:ascii="仿宋" w:hAnsi="仿宋" w:eastAsia="仿宋"/>
          <w:sz w:val="32"/>
          <w:szCs w:val="32"/>
          <w:lang w:val="en-US" w:eastAsia="zh-CN"/>
        </w:rPr>
        <w:t>98.90万元</w:t>
      </w:r>
      <w:r>
        <w:rPr>
          <w:rFonts w:hint="eastAsia" w:ascii="仿宋" w:hAnsi="仿宋" w:eastAsia="仿宋"/>
          <w:sz w:val="32"/>
          <w:szCs w:val="32"/>
        </w:rPr>
        <w:t>、印刷费</w:t>
      </w:r>
      <w:r>
        <w:rPr>
          <w:rFonts w:hint="eastAsia" w:ascii="仿宋" w:hAnsi="仿宋" w:eastAsia="仿宋"/>
          <w:sz w:val="32"/>
          <w:szCs w:val="32"/>
          <w:lang w:val="en-US" w:eastAsia="zh-CN"/>
        </w:rPr>
        <w:t>2.81万元</w:t>
      </w:r>
      <w:r>
        <w:rPr>
          <w:rFonts w:hint="eastAsia" w:ascii="仿宋" w:hAnsi="仿宋" w:eastAsia="仿宋"/>
          <w:sz w:val="32"/>
          <w:szCs w:val="32"/>
        </w:rPr>
        <w:t>、咨询费</w:t>
      </w:r>
      <w:r>
        <w:rPr>
          <w:rFonts w:hint="eastAsia" w:ascii="仿宋" w:hAnsi="仿宋" w:eastAsia="仿宋"/>
          <w:sz w:val="32"/>
          <w:szCs w:val="32"/>
          <w:lang w:val="en-US" w:eastAsia="zh-CN"/>
        </w:rPr>
        <w:t>0.9万元</w:t>
      </w:r>
      <w:r>
        <w:rPr>
          <w:rFonts w:hint="eastAsia" w:ascii="仿宋" w:hAnsi="仿宋" w:eastAsia="仿宋"/>
          <w:sz w:val="32"/>
          <w:szCs w:val="32"/>
        </w:rPr>
        <w:t>、手续费</w:t>
      </w:r>
      <w:r>
        <w:rPr>
          <w:rFonts w:hint="eastAsia" w:ascii="仿宋" w:hAnsi="仿宋" w:eastAsia="仿宋"/>
          <w:sz w:val="32"/>
          <w:szCs w:val="32"/>
          <w:lang w:val="en-US" w:eastAsia="zh-CN"/>
        </w:rPr>
        <w:t>0.05万元</w:t>
      </w:r>
      <w:r>
        <w:rPr>
          <w:rFonts w:hint="eastAsia" w:ascii="仿宋" w:hAnsi="仿宋" w:eastAsia="仿宋"/>
          <w:sz w:val="32"/>
          <w:szCs w:val="32"/>
        </w:rPr>
        <w:t>、水费</w:t>
      </w:r>
      <w:r>
        <w:rPr>
          <w:rFonts w:hint="eastAsia" w:ascii="仿宋" w:hAnsi="仿宋" w:eastAsia="仿宋"/>
          <w:sz w:val="32"/>
          <w:szCs w:val="32"/>
          <w:lang w:val="en-US" w:eastAsia="zh-CN"/>
        </w:rPr>
        <w:t>0.47万元</w:t>
      </w:r>
      <w:r>
        <w:rPr>
          <w:rFonts w:hint="eastAsia" w:ascii="仿宋" w:hAnsi="仿宋" w:eastAsia="仿宋"/>
          <w:sz w:val="32"/>
          <w:szCs w:val="32"/>
        </w:rPr>
        <w:t>、电费</w:t>
      </w:r>
      <w:r>
        <w:rPr>
          <w:rFonts w:hint="eastAsia" w:ascii="仿宋" w:hAnsi="仿宋" w:eastAsia="仿宋"/>
          <w:sz w:val="32"/>
          <w:szCs w:val="32"/>
          <w:lang w:val="en-US" w:eastAsia="zh-CN"/>
        </w:rPr>
        <w:t>13.2万元</w:t>
      </w:r>
      <w:r>
        <w:rPr>
          <w:rFonts w:hint="eastAsia" w:ascii="仿宋" w:hAnsi="仿宋" w:eastAsia="仿宋"/>
          <w:sz w:val="32"/>
          <w:szCs w:val="32"/>
        </w:rPr>
        <w:t>、邮电费</w:t>
      </w:r>
      <w:r>
        <w:rPr>
          <w:rFonts w:hint="eastAsia" w:ascii="仿宋" w:hAnsi="仿宋" w:eastAsia="仿宋"/>
          <w:sz w:val="32"/>
          <w:szCs w:val="32"/>
          <w:lang w:val="en-US" w:eastAsia="zh-CN"/>
        </w:rPr>
        <w:t>2万元</w:t>
      </w:r>
      <w:r>
        <w:rPr>
          <w:rFonts w:hint="eastAsia" w:ascii="仿宋" w:hAnsi="仿宋" w:eastAsia="仿宋"/>
          <w:sz w:val="32"/>
          <w:szCs w:val="32"/>
        </w:rPr>
        <w:t>、取暖费</w:t>
      </w:r>
      <w:r>
        <w:rPr>
          <w:rFonts w:hint="eastAsia" w:ascii="仿宋" w:hAnsi="仿宋" w:eastAsia="仿宋"/>
          <w:sz w:val="32"/>
          <w:szCs w:val="32"/>
          <w:lang w:val="en-US" w:eastAsia="zh-CN"/>
        </w:rPr>
        <w:t>3.21万元</w:t>
      </w:r>
      <w:r>
        <w:rPr>
          <w:rFonts w:hint="eastAsia" w:ascii="仿宋" w:hAnsi="仿宋" w:eastAsia="仿宋"/>
          <w:sz w:val="32"/>
          <w:szCs w:val="32"/>
        </w:rPr>
        <w:t>、物业管理费</w:t>
      </w:r>
      <w:r>
        <w:rPr>
          <w:rFonts w:hint="eastAsia" w:ascii="仿宋" w:hAnsi="仿宋" w:eastAsia="仿宋"/>
          <w:sz w:val="32"/>
          <w:szCs w:val="32"/>
          <w:lang w:val="en-US" w:eastAsia="zh-CN"/>
        </w:rPr>
        <w:t>0万元</w:t>
      </w:r>
      <w:r>
        <w:rPr>
          <w:rFonts w:hint="eastAsia" w:ascii="仿宋" w:hAnsi="仿宋" w:eastAsia="仿宋"/>
          <w:sz w:val="32"/>
          <w:szCs w:val="32"/>
        </w:rPr>
        <w:t>、差旅费</w:t>
      </w:r>
      <w:r>
        <w:rPr>
          <w:rFonts w:hint="eastAsia" w:ascii="仿宋" w:hAnsi="仿宋" w:eastAsia="仿宋"/>
          <w:sz w:val="32"/>
          <w:szCs w:val="32"/>
          <w:lang w:val="en-US" w:eastAsia="zh-CN"/>
        </w:rPr>
        <w:t>23.04万元</w:t>
      </w:r>
      <w:r>
        <w:rPr>
          <w:rFonts w:hint="eastAsia" w:ascii="仿宋" w:hAnsi="仿宋" w:eastAsia="仿宋"/>
          <w:sz w:val="32"/>
          <w:szCs w:val="32"/>
        </w:rPr>
        <w:t>、因公出国（境）费用</w:t>
      </w:r>
      <w:r>
        <w:rPr>
          <w:rFonts w:hint="eastAsia" w:ascii="仿宋" w:hAnsi="仿宋" w:eastAsia="仿宋"/>
          <w:sz w:val="32"/>
          <w:szCs w:val="32"/>
          <w:lang w:val="en-US" w:eastAsia="zh-CN"/>
        </w:rPr>
        <w:t>0万元</w:t>
      </w:r>
      <w:r>
        <w:rPr>
          <w:rFonts w:hint="eastAsia" w:ascii="仿宋" w:hAnsi="仿宋" w:eastAsia="仿宋"/>
          <w:sz w:val="32"/>
          <w:szCs w:val="32"/>
        </w:rPr>
        <w:t>、维修（护）费</w:t>
      </w:r>
      <w:r>
        <w:rPr>
          <w:rFonts w:hint="eastAsia" w:ascii="仿宋" w:hAnsi="仿宋" w:eastAsia="仿宋"/>
          <w:sz w:val="32"/>
          <w:szCs w:val="32"/>
          <w:lang w:val="en-US" w:eastAsia="zh-CN"/>
        </w:rPr>
        <w:t>33.41万元</w:t>
      </w:r>
      <w:r>
        <w:rPr>
          <w:rFonts w:hint="eastAsia" w:ascii="仿宋" w:hAnsi="仿宋" w:eastAsia="仿宋"/>
          <w:sz w:val="32"/>
          <w:szCs w:val="32"/>
        </w:rPr>
        <w:t>、租赁费</w:t>
      </w:r>
      <w:r>
        <w:rPr>
          <w:rFonts w:hint="eastAsia" w:ascii="仿宋" w:hAnsi="仿宋" w:eastAsia="仿宋"/>
          <w:sz w:val="32"/>
          <w:szCs w:val="32"/>
          <w:lang w:val="en-US" w:eastAsia="zh-CN"/>
        </w:rPr>
        <w:t>0万元</w:t>
      </w:r>
      <w:r>
        <w:rPr>
          <w:rFonts w:hint="eastAsia" w:ascii="仿宋" w:hAnsi="仿宋" w:eastAsia="仿宋"/>
          <w:sz w:val="32"/>
          <w:szCs w:val="32"/>
        </w:rPr>
        <w:t>、会议费</w:t>
      </w:r>
      <w:r>
        <w:rPr>
          <w:rFonts w:hint="eastAsia" w:ascii="仿宋" w:hAnsi="仿宋" w:eastAsia="仿宋"/>
          <w:sz w:val="32"/>
          <w:szCs w:val="32"/>
          <w:lang w:val="en-US" w:eastAsia="zh-CN"/>
        </w:rPr>
        <w:t>0万元</w:t>
      </w:r>
      <w:r>
        <w:rPr>
          <w:rFonts w:hint="eastAsia" w:ascii="仿宋" w:hAnsi="仿宋" w:eastAsia="仿宋"/>
          <w:sz w:val="32"/>
          <w:szCs w:val="32"/>
        </w:rPr>
        <w:t>、培训费</w:t>
      </w:r>
      <w:r>
        <w:rPr>
          <w:rFonts w:hint="eastAsia" w:ascii="仿宋" w:hAnsi="仿宋" w:eastAsia="仿宋"/>
          <w:sz w:val="32"/>
          <w:szCs w:val="32"/>
          <w:lang w:val="en-US" w:eastAsia="zh-CN"/>
        </w:rPr>
        <w:t>0.1万元</w:t>
      </w:r>
      <w:r>
        <w:rPr>
          <w:rFonts w:hint="eastAsia" w:ascii="仿宋" w:hAnsi="仿宋" w:eastAsia="仿宋"/>
          <w:sz w:val="32"/>
          <w:szCs w:val="32"/>
        </w:rPr>
        <w:t>、公务接待费</w:t>
      </w:r>
      <w:r>
        <w:rPr>
          <w:rFonts w:hint="eastAsia" w:ascii="仿宋" w:hAnsi="仿宋" w:eastAsia="仿宋"/>
          <w:sz w:val="32"/>
          <w:szCs w:val="32"/>
          <w:lang w:val="en-US" w:eastAsia="zh-CN"/>
        </w:rPr>
        <w:t>1.7万元</w:t>
      </w:r>
      <w:r>
        <w:rPr>
          <w:rFonts w:hint="eastAsia" w:ascii="仿宋" w:hAnsi="仿宋" w:eastAsia="仿宋"/>
          <w:sz w:val="32"/>
          <w:szCs w:val="32"/>
        </w:rPr>
        <w:t>、劳务费</w:t>
      </w:r>
      <w:r>
        <w:rPr>
          <w:rFonts w:hint="eastAsia" w:ascii="仿宋" w:hAnsi="仿宋" w:eastAsia="仿宋"/>
          <w:sz w:val="32"/>
          <w:szCs w:val="32"/>
          <w:lang w:val="en-US" w:eastAsia="zh-CN"/>
        </w:rPr>
        <w:t>0万元</w:t>
      </w:r>
      <w:r>
        <w:rPr>
          <w:rFonts w:hint="eastAsia" w:ascii="仿宋" w:hAnsi="仿宋" w:eastAsia="仿宋"/>
          <w:sz w:val="32"/>
          <w:szCs w:val="32"/>
        </w:rPr>
        <w:t>、委托业务费</w:t>
      </w:r>
      <w:r>
        <w:rPr>
          <w:rFonts w:hint="eastAsia" w:ascii="仿宋" w:hAnsi="仿宋" w:eastAsia="仿宋"/>
          <w:sz w:val="32"/>
          <w:szCs w:val="32"/>
          <w:lang w:val="en-US" w:eastAsia="zh-CN"/>
        </w:rPr>
        <w:t>363.92万元</w:t>
      </w:r>
      <w:r>
        <w:rPr>
          <w:rFonts w:hint="eastAsia" w:ascii="仿宋" w:hAnsi="仿宋" w:eastAsia="仿宋"/>
          <w:sz w:val="32"/>
          <w:szCs w:val="32"/>
        </w:rPr>
        <w:t>、工会经费</w:t>
      </w:r>
      <w:r>
        <w:rPr>
          <w:rFonts w:hint="eastAsia" w:ascii="仿宋" w:hAnsi="仿宋" w:eastAsia="仿宋"/>
          <w:sz w:val="32"/>
          <w:szCs w:val="32"/>
          <w:lang w:val="en-US" w:eastAsia="zh-CN"/>
        </w:rPr>
        <w:t>6.31万元</w:t>
      </w:r>
      <w:r>
        <w:rPr>
          <w:rFonts w:hint="eastAsia" w:ascii="仿宋" w:hAnsi="仿宋" w:eastAsia="仿宋"/>
          <w:sz w:val="32"/>
          <w:szCs w:val="32"/>
        </w:rPr>
        <w:t>、福利费</w:t>
      </w:r>
      <w:r>
        <w:rPr>
          <w:rFonts w:hint="eastAsia" w:ascii="仿宋" w:hAnsi="仿宋" w:eastAsia="仿宋"/>
          <w:sz w:val="32"/>
          <w:szCs w:val="32"/>
          <w:lang w:val="en-US" w:eastAsia="zh-CN"/>
        </w:rPr>
        <w:t>0万元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12.2万元</w:t>
      </w:r>
      <w:r>
        <w:rPr>
          <w:rFonts w:hint="eastAsia" w:ascii="仿宋" w:hAnsi="仿宋" w:eastAsia="仿宋"/>
          <w:sz w:val="32"/>
          <w:szCs w:val="32"/>
        </w:rPr>
        <w:t>、其他交通费</w:t>
      </w:r>
      <w:r>
        <w:rPr>
          <w:rFonts w:hint="eastAsia" w:ascii="仿宋" w:hAnsi="仿宋" w:eastAsia="仿宋"/>
          <w:sz w:val="32"/>
          <w:szCs w:val="32"/>
          <w:lang w:val="en-US" w:eastAsia="zh-CN"/>
        </w:rPr>
        <w:t>0万元</w:t>
      </w:r>
      <w:r>
        <w:rPr>
          <w:rFonts w:hint="eastAsia" w:ascii="仿宋" w:hAnsi="仿宋" w:eastAsia="仿宋"/>
          <w:sz w:val="32"/>
          <w:szCs w:val="32"/>
        </w:rPr>
        <w:t>、税金及附加费用</w:t>
      </w:r>
      <w:r>
        <w:rPr>
          <w:rFonts w:hint="eastAsia" w:ascii="仿宋" w:hAnsi="仿宋" w:eastAsia="仿宋"/>
          <w:sz w:val="32"/>
          <w:szCs w:val="32"/>
          <w:lang w:val="en-US" w:eastAsia="zh-CN"/>
        </w:rPr>
        <w:t>0万元</w:t>
      </w:r>
      <w:r>
        <w:rPr>
          <w:rFonts w:hint="eastAsia" w:ascii="仿宋" w:hAnsi="仿宋" w:eastAsia="仿宋"/>
          <w:sz w:val="32"/>
          <w:szCs w:val="32"/>
        </w:rPr>
        <w:t>、其他商品和服务支出</w:t>
      </w:r>
      <w:r>
        <w:rPr>
          <w:rFonts w:hint="eastAsia" w:ascii="仿宋" w:hAnsi="仿宋" w:eastAsia="仿宋"/>
          <w:sz w:val="32"/>
          <w:szCs w:val="32"/>
          <w:lang w:val="en-US" w:eastAsia="zh-CN"/>
        </w:rPr>
        <w:t>0万元</w:t>
      </w:r>
      <w:r>
        <w:rPr>
          <w:rFonts w:hint="eastAsia" w:ascii="仿宋" w:hAnsi="仿宋" w:eastAsia="仿宋"/>
          <w:sz w:val="32"/>
          <w:szCs w:val="32"/>
        </w:rPr>
        <w:t>、办公设备购置</w:t>
      </w:r>
      <w:r>
        <w:rPr>
          <w:rFonts w:hint="eastAsia" w:ascii="仿宋" w:hAnsi="仿宋" w:eastAsia="仿宋"/>
          <w:sz w:val="32"/>
          <w:szCs w:val="32"/>
          <w:lang w:val="en-US" w:eastAsia="zh-CN"/>
        </w:rPr>
        <w:t>0万元</w:t>
      </w:r>
      <w:r>
        <w:rPr>
          <w:rFonts w:hint="eastAsia" w:ascii="仿宋" w:hAnsi="仿宋" w:eastAsia="仿宋"/>
          <w:sz w:val="32"/>
          <w:szCs w:val="32"/>
        </w:rPr>
        <w:t>、专用设备购置</w:t>
      </w:r>
      <w:r>
        <w:rPr>
          <w:rFonts w:hint="eastAsia" w:ascii="仿宋" w:hAnsi="仿宋" w:eastAsia="仿宋"/>
          <w:sz w:val="32"/>
          <w:szCs w:val="32"/>
          <w:lang w:val="en-US" w:eastAsia="zh-CN"/>
        </w:rPr>
        <w:t>0万元</w:t>
      </w:r>
      <w:r>
        <w:rPr>
          <w:rFonts w:hint="eastAsia" w:ascii="仿宋" w:hAnsi="仿宋" w:eastAsia="仿宋"/>
          <w:sz w:val="32"/>
          <w:szCs w:val="32"/>
        </w:rPr>
        <w:t>、信息网络及软件购置更新</w:t>
      </w:r>
      <w:r>
        <w:rPr>
          <w:rFonts w:hint="eastAsia" w:ascii="仿宋" w:hAnsi="仿宋" w:eastAsia="仿宋"/>
          <w:sz w:val="32"/>
          <w:szCs w:val="32"/>
          <w:lang w:val="en-US" w:eastAsia="zh-CN"/>
        </w:rPr>
        <w:t>0万元</w:t>
      </w:r>
      <w:r>
        <w:rPr>
          <w:rFonts w:hint="eastAsia" w:ascii="仿宋" w:hAnsi="仿宋" w:eastAsia="仿宋"/>
          <w:sz w:val="32"/>
          <w:szCs w:val="32"/>
        </w:rPr>
        <w:t>、其他资本性支出</w:t>
      </w:r>
      <w:r>
        <w:rPr>
          <w:rFonts w:hint="eastAsia" w:ascii="仿宋" w:hAnsi="仿宋" w:eastAsia="仿宋"/>
          <w:sz w:val="32"/>
          <w:szCs w:val="32"/>
          <w:lang w:val="en-US" w:eastAsia="zh-CN"/>
        </w:rPr>
        <w:t>0万元</w:t>
      </w:r>
      <w:r>
        <w:rPr>
          <w:rFonts w:hint="eastAsia" w:ascii="仿宋" w:hAnsi="仿宋" w:eastAsia="仿宋"/>
          <w:sz w:val="32"/>
          <w:szCs w:val="32"/>
        </w:rPr>
        <w:t>。</w:t>
      </w:r>
    </w:p>
    <w:p>
      <w:pPr>
        <w:spacing w:line="600" w:lineRule="exact"/>
        <w:ind w:firstLine="640"/>
        <w:outlineLvl w:val="1"/>
        <w:rPr>
          <w:rStyle w:val="29"/>
          <w:rFonts w:ascii="黑体" w:hAnsi="黑体" w:eastAsia="黑体"/>
          <w:b w:val="0"/>
        </w:rPr>
      </w:pPr>
      <w:bookmarkStart w:id="98" w:name="_Toc15377215"/>
      <w:bookmarkStart w:id="99" w:name="_Toc15396609"/>
      <w:bookmarkStart w:id="100" w:name="_Toc18638_WPSOffice_Level2"/>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98"/>
      <w:bookmarkEnd w:id="99"/>
      <w:bookmarkEnd w:id="100"/>
    </w:p>
    <w:p>
      <w:pPr>
        <w:spacing w:line="600" w:lineRule="exact"/>
        <w:ind w:firstLine="640"/>
        <w:outlineLvl w:val="2"/>
        <w:rPr>
          <w:rFonts w:ascii="仿宋" w:hAnsi="仿宋" w:eastAsia="仿宋"/>
          <w:b/>
          <w:sz w:val="32"/>
          <w:szCs w:val="32"/>
        </w:rPr>
      </w:pPr>
      <w:bookmarkStart w:id="101" w:name="_Toc15377216"/>
      <w:r>
        <w:rPr>
          <w:rFonts w:hint="eastAsia" w:ascii="仿宋" w:hAnsi="仿宋" w:eastAsia="仿宋"/>
          <w:b/>
          <w:sz w:val="32"/>
          <w:szCs w:val="32"/>
        </w:rPr>
        <w:t>（一）“三公”经费财政拨款支出决算总体情况说明</w:t>
      </w:r>
      <w:bookmarkEnd w:id="101"/>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13.9</w:t>
      </w:r>
      <w:r>
        <w:rPr>
          <w:rFonts w:hint="eastAsia" w:ascii="仿宋" w:hAnsi="仿宋" w:eastAsia="仿宋"/>
          <w:sz w:val="32"/>
          <w:szCs w:val="32"/>
        </w:rPr>
        <w:t>万元，完成预算90.24%，较上年度减少</w:t>
      </w:r>
      <w:r>
        <w:rPr>
          <w:rFonts w:hint="eastAsia" w:ascii="仿宋" w:hAnsi="仿宋" w:eastAsia="仿宋"/>
          <w:sz w:val="32"/>
          <w:szCs w:val="32"/>
          <w:lang w:val="en-US" w:eastAsia="zh-CN"/>
        </w:rPr>
        <w:t>2.78</w:t>
      </w:r>
      <w:r>
        <w:rPr>
          <w:rFonts w:hint="eastAsia" w:ascii="仿宋" w:hAnsi="仿宋" w:eastAsia="仿宋"/>
          <w:sz w:val="32"/>
          <w:szCs w:val="32"/>
        </w:rPr>
        <w:t>万元，下降</w:t>
      </w:r>
      <w:r>
        <w:rPr>
          <w:rFonts w:hint="eastAsia" w:ascii="仿宋" w:hAnsi="仿宋" w:eastAsia="仿宋"/>
          <w:sz w:val="32"/>
          <w:szCs w:val="32"/>
          <w:lang w:val="en-US" w:eastAsia="zh-CN"/>
        </w:rPr>
        <w:t>16.66</w:t>
      </w:r>
      <w:r>
        <w:rPr>
          <w:rFonts w:hint="eastAsia" w:ascii="仿宋" w:hAnsi="仿宋" w:eastAsia="仿宋"/>
          <w:sz w:val="32"/>
          <w:szCs w:val="32"/>
        </w:rPr>
        <w:t>%。决算数小于预算数（或与预算数持平）的主要原因是</w:t>
      </w:r>
      <w:r>
        <w:rPr>
          <w:rFonts w:hint="eastAsia" w:ascii="仿宋" w:hAnsi="仿宋" w:eastAsia="仿宋"/>
          <w:sz w:val="32"/>
          <w:szCs w:val="32"/>
          <w:lang w:eastAsia="zh-CN"/>
        </w:rPr>
        <w:t>我单位厉行节约，节俭开支</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102" w:name="_Toc15377217"/>
      <w:r>
        <w:rPr>
          <w:rFonts w:hint="eastAsia" w:ascii="仿宋" w:hAnsi="仿宋" w:eastAsia="仿宋"/>
          <w:b/>
          <w:sz w:val="32"/>
          <w:szCs w:val="32"/>
        </w:rPr>
        <w:t>（二）“三公”经费财政拨款支出决算具体情况说明</w:t>
      </w:r>
      <w:bookmarkEnd w:id="102"/>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12.2</w:t>
      </w:r>
      <w:r>
        <w:rPr>
          <w:rFonts w:hint="eastAsia" w:ascii="仿宋" w:hAnsi="仿宋" w:eastAsia="仿宋"/>
          <w:sz w:val="32"/>
          <w:szCs w:val="32"/>
        </w:rPr>
        <w:t>万元，占</w:t>
      </w:r>
      <w:r>
        <w:rPr>
          <w:sz w:val="32"/>
          <w:szCs w:val="32"/>
        </w:rPr>
        <w:t>87.77</w:t>
      </w:r>
      <w:r>
        <w:rPr>
          <w:rFonts w:ascii="仿宋" w:hAnsi="仿宋" w:eastAsia="仿宋"/>
          <w:sz w:val="32"/>
          <w:szCs w:val="32"/>
        </w:rPr>
        <w:t>%</w:t>
      </w:r>
      <w:r>
        <w:rPr>
          <w:rFonts w:hint="eastAsia" w:ascii="仿宋" w:hAnsi="仿宋" w:eastAsia="仿宋"/>
          <w:sz w:val="32"/>
          <w:szCs w:val="32"/>
        </w:rPr>
        <w:t>；公务接待费支出决算</w:t>
      </w:r>
      <w:r>
        <w:rPr>
          <w:sz w:val="32"/>
          <w:szCs w:val="32"/>
        </w:rPr>
        <w:t>1.7</w:t>
      </w:r>
      <w:r>
        <w:rPr>
          <w:rFonts w:hint="eastAsia" w:ascii="仿宋" w:hAnsi="仿宋" w:eastAsia="仿宋"/>
          <w:sz w:val="32"/>
          <w:szCs w:val="32"/>
        </w:rPr>
        <w:t>万元，占</w:t>
      </w:r>
      <w:r>
        <w:rPr>
          <w:sz w:val="32"/>
          <w:szCs w:val="32"/>
        </w:rPr>
        <w:t>12.22</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r>
        <w:drawing>
          <wp:inline distT="0" distB="0" distL="114300" distR="114300">
            <wp:extent cx="4572000" cy="2743200"/>
            <wp:effectExtent l="4445" t="4445" r="14605" b="14605"/>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eastAsia="zh-CN"/>
        </w:rPr>
        <w:t>与</w:t>
      </w:r>
      <w:r>
        <w:rPr>
          <w:rFonts w:hint="eastAsia" w:ascii="仿宋_GB2312" w:eastAsia="仿宋_GB2312"/>
          <w:sz w:val="32"/>
          <w:szCs w:val="32"/>
        </w:rPr>
        <w:t>2022年</w:t>
      </w:r>
      <w:r>
        <w:rPr>
          <w:rFonts w:hint="eastAsia" w:ascii="仿宋_GB2312" w:eastAsia="仿宋_GB2312"/>
          <w:sz w:val="32"/>
          <w:szCs w:val="32"/>
          <w:lang w:eastAsia="zh-CN"/>
        </w:rPr>
        <w:t>持平</w:t>
      </w:r>
      <w:r>
        <w:rPr>
          <w:rFonts w:hint="eastAsia" w:ascii="仿宋_GB2312" w:eastAsia="仿宋_GB2312"/>
          <w:sz w:val="32"/>
          <w:szCs w:val="32"/>
        </w:rPr>
        <w:t>。主要原因是</w:t>
      </w:r>
      <w:r>
        <w:rPr>
          <w:rFonts w:hint="eastAsia" w:ascii="仿宋_GB2312" w:eastAsia="仿宋_GB2312"/>
          <w:sz w:val="32"/>
          <w:szCs w:val="32"/>
          <w:lang w:eastAsia="zh-CN"/>
        </w:rPr>
        <w:t>无</w:t>
      </w:r>
      <w:r>
        <w:rPr>
          <w:rFonts w:hint="eastAsia" w:ascii="仿宋_GB2312" w:eastAsia="仿宋_GB2312"/>
          <w:sz w:val="32"/>
          <w:szCs w:val="32"/>
        </w:rPr>
        <w:t>因公出国（境）</w:t>
      </w:r>
      <w:r>
        <w:rPr>
          <w:rFonts w:hint="eastAsia" w:ascii="仿宋_GB2312" w:eastAsia="仿宋_GB2312"/>
          <w:sz w:val="32"/>
          <w:szCs w:val="32"/>
          <w:lang w:eastAsia="zh-CN"/>
        </w:rPr>
        <w:t>工作安排</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12.2</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99.98</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w:t>
      </w:r>
      <w:r>
        <w:rPr>
          <w:rFonts w:hint="eastAsia" w:ascii="仿宋_GB2312" w:eastAsia="仿宋_GB2312"/>
          <w:sz w:val="32"/>
          <w:szCs w:val="32"/>
          <w:lang w:val="en-US" w:eastAsia="zh-CN"/>
        </w:rPr>
        <w:t>0.86</w:t>
      </w:r>
      <w:r>
        <w:rPr>
          <w:rFonts w:hint="eastAsia" w:ascii="仿宋_GB2312" w:eastAsia="仿宋_GB2312"/>
          <w:sz w:val="32"/>
          <w:szCs w:val="32"/>
        </w:rPr>
        <w:t>万元，下降</w:t>
      </w:r>
      <w:r>
        <w:rPr>
          <w:rFonts w:hint="eastAsia" w:ascii="仿宋_GB2312" w:eastAsia="仿宋_GB2312"/>
          <w:sz w:val="32"/>
          <w:szCs w:val="32"/>
          <w:lang w:val="en-US" w:eastAsia="zh-CN"/>
        </w:rPr>
        <w:t>6.58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公车维修次数减少</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12.2</w:t>
      </w:r>
      <w:r>
        <w:rPr>
          <w:rFonts w:hint="eastAsia" w:ascii="仿宋_GB2312" w:eastAsia="仿宋_GB2312"/>
          <w:sz w:val="32"/>
          <w:szCs w:val="32"/>
        </w:rPr>
        <w:t>万元。主要用于</w:t>
      </w:r>
      <w:r>
        <w:rPr>
          <w:rFonts w:hint="eastAsia" w:ascii="仿宋_GB2312" w:eastAsia="仿宋_GB2312"/>
          <w:sz w:val="32"/>
          <w:szCs w:val="32"/>
          <w:lang w:eastAsia="zh-CN"/>
        </w:rPr>
        <w:t>下乡开展两联一进，出差参会、检查工作</w:t>
      </w:r>
      <w:r>
        <w:rPr>
          <w:rFonts w:hint="eastAsia" w:ascii="仿宋_GB2312" w:eastAsia="仿宋_GB2312"/>
          <w:sz w:val="32"/>
          <w:szCs w:val="32"/>
        </w:rPr>
        <w:t>等所需的公务用车燃料费、维修费、过路过桥费、保险费等支出。</w:t>
      </w:r>
    </w:p>
    <w:p>
      <w:pPr>
        <w:spacing w:line="600" w:lineRule="exact"/>
        <w:ind w:firstLine="640"/>
        <w:rPr>
          <w:rFonts w:hint="eastAsia"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1.7</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53.1%</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1.92</w:t>
      </w:r>
      <w:r>
        <w:rPr>
          <w:rFonts w:hint="eastAsia" w:ascii="仿宋_GB2312" w:eastAsia="仿宋_GB2312"/>
          <w:sz w:val="32"/>
          <w:szCs w:val="32"/>
        </w:rPr>
        <w:t>万元，下降</w:t>
      </w:r>
      <w:r>
        <w:rPr>
          <w:rFonts w:hint="eastAsia" w:ascii="仿宋_GB2312" w:eastAsia="仿宋_GB2312"/>
          <w:sz w:val="32"/>
          <w:szCs w:val="32"/>
          <w:lang w:val="en-US" w:eastAsia="zh-CN"/>
        </w:rPr>
        <w:t>53.03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接待次数和人员减少</w:t>
      </w:r>
      <w:r>
        <w:rPr>
          <w:rFonts w:hint="eastAsia" w:ascii="仿宋_GB2312" w:eastAsia="仿宋_GB2312"/>
          <w:sz w:val="32"/>
          <w:szCs w:val="32"/>
        </w:rPr>
        <w:t>。其中：国内公务接待支出</w:t>
      </w:r>
      <w:r>
        <w:rPr>
          <w:rFonts w:hint="eastAsia" w:ascii="仿宋_GB2312" w:eastAsia="仿宋_GB2312"/>
          <w:sz w:val="32"/>
          <w:szCs w:val="32"/>
          <w:lang w:val="en-US" w:eastAsia="zh-CN"/>
        </w:rPr>
        <w:t>1.7</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5</w:t>
      </w:r>
      <w:r>
        <w:rPr>
          <w:rFonts w:hint="eastAsia" w:ascii="仿宋_GB2312" w:eastAsia="仿宋_GB2312"/>
          <w:sz w:val="32"/>
          <w:szCs w:val="32"/>
        </w:rPr>
        <w:t>批次，</w:t>
      </w:r>
      <w:r>
        <w:rPr>
          <w:rFonts w:hint="eastAsia" w:ascii="仿宋_GB2312" w:eastAsia="仿宋_GB2312"/>
          <w:sz w:val="32"/>
          <w:szCs w:val="32"/>
          <w:lang w:val="en-US" w:eastAsia="zh-CN"/>
        </w:rPr>
        <w:t>100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1.7</w:t>
      </w:r>
      <w:r>
        <w:rPr>
          <w:rFonts w:hint="eastAsia" w:ascii="仿宋_GB2312" w:eastAsia="仿宋_GB2312"/>
          <w:sz w:val="32"/>
          <w:szCs w:val="32"/>
        </w:rPr>
        <w:t>万元。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103" w:name="_Toc15377218"/>
      <w:bookmarkStart w:id="104" w:name="_Toc15396610"/>
    </w:p>
    <w:p>
      <w:pPr>
        <w:spacing w:line="600" w:lineRule="exact"/>
        <w:ind w:firstLine="640"/>
        <w:outlineLvl w:val="1"/>
        <w:rPr>
          <w:rStyle w:val="29"/>
          <w:rFonts w:ascii="黑体" w:hAnsi="黑体" w:eastAsia="黑体"/>
        </w:rPr>
      </w:pPr>
      <w:bookmarkStart w:id="105" w:name="_Toc11936_WPSOffice_Level2"/>
      <w:r>
        <w:rPr>
          <w:rFonts w:hint="eastAsia" w:ascii="黑体" w:eastAsia="黑体"/>
          <w:sz w:val="32"/>
          <w:szCs w:val="32"/>
        </w:rPr>
        <w:t>八、</w:t>
      </w:r>
      <w:r>
        <w:rPr>
          <w:rStyle w:val="29"/>
          <w:rFonts w:hint="eastAsia" w:ascii="黑体" w:hAnsi="黑体" w:eastAsia="黑体"/>
          <w:b w:val="0"/>
        </w:rPr>
        <w:t>政府性基金预算支出决算情况说明</w:t>
      </w:r>
      <w:bookmarkEnd w:id="103"/>
      <w:bookmarkEnd w:id="104"/>
      <w:bookmarkEnd w:id="105"/>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pPr>
        <w:numPr>
          <w:ilvl w:val="0"/>
          <w:numId w:val="4"/>
        </w:numPr>
        <w:spacing w:line="600" w:lineRule="exact"/>
        <w:ind w:firstLine="640"/>
        <w:outlineLvl w:val="1"/>
        <w:rPr>
          <w:rStyle w:val="29"/>
          <w:rFonts w:ascii="黑体" w:hAnsi="黑体" w:eastAsia="黑体"/>
          <w:b w:val="0"/>
        </w:rPr>
      </w:pPr>
      <w:bookmarkStart w:id="106" w:name="_Toc15377219"/>
      <w:bookmarkStart w:id="107" w:name="_Toc15396611"/>
      <w:bookmarkStart w:id="108" w:name="_Toc28183_WPSOffice_Level2"/>
      <w:r>
        <w:rPr>
          <w:rStyle w:val="29"/>
          <w:rFonts w:hint="eastAsia" w:ascii="黑体" w:hAnsi="黑体" w:eastAsia="黑体"/>
          <w:b w:val="0"/>
        </w:rPr>
        <w:t>国有资本经营预算支出决算情况说明</w:t>
      </w:r>
      <w:bookmarkEnd w:id="106"/>
      <w:bookmarkEnd w:id="107"/>
      <w:bookmarkEnd w:id="108"/>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4"/>
        </w:numPr>
        <w:spacing w:line="600" w:lineRule="exact"/>
        <w:ind w:firstLine="640"/>
        <w:outlineLvl w:val="1"/>
        <w:rPr>
          <w:rStyle w:val="29"/>
          <w:rFonts w:ascii="黑体" w:hAnsi="黑体" w:eastAsia="黑体"/>
          <w:b w:val="0"/>
        </w:rPr>
      </w:pPr>
      <w:bookmarkStart w:id="109" w:name="_Toc15377221"/>
      <w:bookmarkStart w:id="110" w:name="_Toc15396612"/>
      <w:bookmarkStart w:id="111" w:name="_Toc11998_WPSOffice_Level2"/>
      <w:r>
        <w:rPr>
          <w:rStyle w:val="29"/>
          <w:rFonts w:hint="eastAsia" w:ascii="黑体" w:hAnsi="黑体" w:eastAsia="黑体"/>
          <w:b w:val="0"/>
        </w:rPr>
        <w:t>其他重要事项的情况说明</w:t>
      </w:r>
      <w:bookmarkEnd w:id="109"/>
      <w:bookmarkEnd w:id="110"/>
      <w:bookmarkEnd w:id="111"/>
    </w:p>
    <w:p>
      <w:pPr>
        <w:spacing w:line="600" w:lineRule="exact"/>
        <w:ind w:firstLine="643" w:firstLineChars="200"/>
        <w:outlineLvl w:val="2"/>
        <w:rPr>
          <w:rFonts w:ascii="仿宋" w:hAnsi="仿宋" w:eastAsia="仿宋"/>
          <w:sz w:val="32"/>
          <w:szCs w:val="32"/>
        </w:rPr>
      </w:pPr>
      <w:bookmarkStart w:id="112" w:name="_Toc15377222"/>
      <w:r>
        <w:rPr>
          <w:rFonts w:hint="eastAsia" w:ascii="仿宋" w:hAnsi="仿宋" w:eastAsia="仿宋"/>
          <w:b/>
          <w:sz w:val="32"/>
          <w:szCs w:val="32"/>
        </w:rPr>
        <w:t>（一）机关运行经费支出情况</w:t>
      </w:r>
      <w:bookmarkEnd w:id="112"/>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红原县财政局</w:t>
      </w:r>
      <w:r>
        <w:rPr>
          <w:rFonts w:hint="eastAsia" w:ascii="仿宋_GB2312" w:eastAsia="仿宋_GB2312"/>
          <w:sz w:val="32"/>
          <w:szCs w:val="32"/>
        </w:rPr>
        <w:t>机关运行经费支出</w:t>
      </w:r>
      <w:r>
        <w:rPr>
          <w:sz w:val="32"/>
          <w:szCs w:val="32"/>
        </w:rPr>
        <w:t>40.48</w:t>
      </w:r>
      <w:r>
        <w:rPr>
          <w:rFonts w:hint="eastAsia" w:ascii="仿宋_GB2312" w:eastAsia="仿宋_GB2312"/>
          <w:sz w:val="32"/>
          <w:szCs w:val="32"/>
        </w:rPr>
        <w:t>万元，比2022年度减少</w:t>
      </w:r>
      <w:r>
        <w:rPr>
          <w:rFonts w:hint="eastAsia" w:ascii="仿宋_GB2312" w:eastAsia="仿宋_GB2312"/>
          <w:sz w:val="32"/>
          <w:szCs w:val="32"/>
          <w:lang w:val="en-US" w:eastAsia="zh-CN"/>
        </w:rPr>
        <w:t>1.93</w:t>
      </w:r>
      <w:r>
        <w:rPr>
          <w:rFonts w:hint="eastAsia" w:ascii="仿宋_GB2312" w:eastAsia="仿宋_GB2312"/>
          <w:sz w:val="32"/>
          <w:szCs w:val="32"/>
        </w:rPr>
        <w:t>万元，下降</w:t>
      </w:r>
      <w:r>
        <w:rPr>
          <w:rFonts w:hint="eastAsia" w:ascii="仿宋_GB2312" w:eastAsia="仿宋_GB2312"/>
          <w:sz w:val="32"/>
          <w:szCs w:val="32"/>
          <w:lang w:val="en-US" w:eastAsia="zh-CN"/>
        </w:rPr>
        <w:t>4.55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有人员减少</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3" w:name="_Toc15377223"/>
      <w:r>
        <w:rPr>
          <w:rFonts w:hint="eastAsia" w:ascii="仿宋" w:hAnsi="仿宋" w:eastAsia="仿宋"/>
          <w:b/>
          <w:sz w:val="32"/>
          <w:szCs w:val="32"/>
        </w:rPr>
        <w:t>（二）政府采购支出情况</w:t>
      </w:r>
      <w:bookmarkEnd w:id="113"/>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红原县财政局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4" w:name="_Toc15377224"/>
      <w:r>
        <w:rPr>
          <w:rFonts w:hint="eastAsia" w:ascii="仿宋" w:hAnsi="仿宋" w:eastAsia="仿宋"/>
          <w:b/>
          <w:sz w:val="32"/>
          <w:szCs w:val="32"/>
        </w:rPr>
        <w:t>（三）国有资产占有使用情况</w:t>
      </w:r>
      <w:bookmarkEnd w:id="114"/>
    </w:p>
    <w:p>
      <w:pPr>
        <w:spacing w:line="600" w:lineRule="exact"/>
        <w:ind w:firstLine="640"/>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红原县财政局</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w:t>
      </w:r>
      <w:r>
        <w:rPr>
          <w:rFonts w:hint="eastAsia" w:ascii="仿宋_GB2312" w:eastAsia="仿宋_GB2312"/>
          <w:sz w:val="32"/>
          <w:szCs w:val="32"/>
          <w:lang w:eastAsia="zh-CN"/>
        </w:rPr>
        <w:t>用于下乡开展两联一进，出差参会、检查工作</w:t>
      </w:r>
      <w:r>
        <w:rPr>
          <w:rFonts w:hint="eastAsia" w:ascii="仿宋_GB2312" w:eastAsia="仿宋_GB2312"/>
          <w:sz w:val="32"/>
          <w:szCs w:val="32"/>
        </w:rPr>
        <w:t>等所需的公务用车燃料费、维修费、过路过桥费、保险费等支出。单价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eastAsia="zh-CN"/>
        </w:rPr>
        <w:t>财政评审及竣工结算审核</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部门整体绩效自评报告，其中，部门整体绩效自评得分为</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分，绩效自评报告详见附件。</w:t>
      </w:r>
    </w:p>
    <w:p>
      <w:pPr>
        <w:pStyle w:val="3"/>
        <w:jc w:val="center"/>
      </w:pPr>
      <w:bookmarkStart w:id="115" w:name="_Toc24957_WPSOffice_Level1"/>
      <w:r>
        <w:rPr>
          <w:rFonts w:hint="eastAsia"/>
        </w:rPr>
        <w:t>第三部分 名词解释</w:t>
      </w:r>
      <w:bookmarkEnd w:id="115"/>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keepNext w:val="0"/>
        <w:keepLines w:val="0"/>
        <w:widowControl w:val="0"/>
        <w:suppressLineNumbers w:val="0"/>
        <w:autoSpaceDE w:val="0"/>
        <w:autoSpaceDN/>
        <w:spacing w:line="550" w:lineRule="atLeas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9.一般公共服务：201类20106款财政事务，2010601项指行政运行、</w:t>
      </w:r>
      <w:r>
        <w:rPr>
          <w:rStyle w:val="35"/>
          <w:rFonts w:hint="default" w:ascii="仿宋_GB2312" w:hAnsi="Times New Roman" w:eastAsia="仿宋_GB2312" w:cs="仿宋_GB2312"/>
          <w:b w:val="0"/>
          <w:color w:val="000000"/>
          <w:sz w:val="32"/>
          <w:szCs w:val="32"/>
        </w:rPr>
        <w:t>2010602一般行政管理事物</w:t>
      </w:r>
      <w:r>
        <w:rPr>
          <w:rFonts w:hint="default" w:ascii="仿宋_GB2312" w:hAnsi="宋体" w:eastAsia="仿宋_GB2312" w:cs="仿宋_GB2312"/>
          <w:kern w:val="2"/>
          <w:sz w:val="32"/>
          <w:szCs w:val="32"/>
        </w:rPr>
        <w:t>、2010607项指信息化建设、2010608项指财政委托业务支出、2010650项指事业运行、2010699项指其他财政事务支出、2150799其他国有资产监管。</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10.社会保障和就业：208类20802款2080505指机关事业单位基本养老保险缴费支出，2080506指机关事业单位职业年金缴费支出。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11.医疗卫生与计划生育：210类21011款2101101项指行政单位医疗、2101102项指事业单位医疗、2101103项指公务员医疗补助、2101199项指其他行政事业单位医疗补助。</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12.住房保障：221类22102款2210201项指住房公积金。</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13.其他支出：201类99款2019999项其他一般公共服务支出。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14.基本支出：指为保障机构正常运转、完成日常工作任务而发生的人员支出和公用支出。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15.项目支出：指在基本支出之外为完成特定行政任务和事业发展目标所发生的支出。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16.经营支出：指事业单位在专业业务活动及其辅助活动之外开展非独立核算经营活动发生的支出。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17.</w:t>
      </w:r>
      <w:r>
        <w:rPr>
          <w:rFonts w:hint="eastAsia" w:ascii="宋体" w:hAnsi="宋体" w:eastAsia="宋体" w:cs="宋体"/>
          <w:kern w:val="2"/>
          <w:sz w:val="32"/>
          <w:szCs w:val="32"/>
        </w:rPr>
        <w:t>“</w:t>
      </w:r>
      <w:r>
        <w:rPr>
          <w:rFonts w:hint="default" w:ascii="仿宋_GB2312" w:hAnsi="宋体" w:eastAsia="仿宋_GB2312" w:cs="仿宋_GB2312"/>
          <w:kern w:val="2"/>
          <w:sz w:val="32"/>
          <w:szCs w:val="32"/>
        </w:rPr>
        <w:t>三公</w:t>
      </w:r>
      <w:r>
        <w:rPr>
          <w:rFonts w:hint="eastAsia" w:ascii="宋体" w:hAnsi="宋体" w:eastAsia="宋体" w:cs="宋体"/>
          <w:kern w:val="2"/>
          <w:sz w:val="32"/>
          <w:szCs w:val="32"/>
        </w:rPr>
        <w:t>”</w:t>
      </w:r>
      <w:r>
        <w:rPr>
          <w:rFonts w:hint="default" w:ascii="仿宋_GB2312" w:hAnsi="宋体" w:eastAsia="仿宋_GB2312" w:cs="仿宋_GB2312"/>
          <w:kern w:val="2"/>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bookmarkStart w:id="116" w:name="_Toc29709_WPSOffice_Level1"/>
      <w:r>
        <w:rPr>
          <w:rFonts w:hint="eastAsia" w:ascii="黑体" w:hAnsi="黑体" w:eastAsia="黑体"/>
          <w:b w:val="0"/>
        </w:rPr>
        <w:t>第四部分 附件</w:t>
      </w:r>
      <w:bookmarkEnd w:id="116"/>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bookmarkStart w:id="117" w:name="_Toc14644_WPSOffice_Level2"/>
      <w:r>
        <w:rPr>
          <w:rFonts w:hint="eastAsia" w:ascii="方正小标宋简体" w:hAnsi="方正小标宋简体" w:eastAsia="方正小标宋简体"/>
          <w:sz w:val="44"/>
          <w:szCs w:val="44"/>
        </w:rPr>
        <w:t>部门预算绩效评价报告范本</w:t>
      </w:r>
      <w:bookmarkEnd w:id="117"/>
    </w:p>
    <w:p/>
    <w:p>
      <w:pPr>
        <w:ind w:firstLine="640" w:firstLineChars="200"/>
        <w:rPr>
          <w:rFonts w:ascii="黑体" w:hAnsi="黑体" w:eastAsia="黑体"/>
          <w:sz w:val="32"/>
          <w:szCs w:val="32"/>
        </w:rPr>
      </w:pPr>
      <w:bookmarkStart w:id="118" w:name="_Toc5541_WPSOffice_Level2"/>
      <w:r>
        <w:rPr>
          <w:rFonts w:hint="eastAsia" w:ascii="黑体" w:hAnsi="黑体" w:eastAsia="黑体"/>
          <w:sz w:val="32"/>
          <w:szCs w:val="32"/>
        </w:rPr>
        <w:t>一、部门（单位）基本情况</w:t>
      </w:r>
      <w:bookmarkEnd w:id="118"/>
    </w:p>
    <w:p>
      <w:pPr>
        <w:keepNext w:val="0"/>
        <w:keepLines w:val="0"/>
        <w:widowControl w:val="0"/>
        <w:suppressLineNumbers w:val="0"/>
        <w:spacing w:line="570" w:lineRule="exact"/>
        <w:ind w:left="0" w:firstLine="643" w:firstLineChars="200"/>
        <w:jc w:val="both"/>
        <w:rPr>
          <w:rFonts w:hint="default" w:ascii="仿宋_GB2312" w:hAnsi="Times New Roman" w:eastAsia="仿宋_GB2312" w:cs="Times New Roman"/>
          <w:b/>
          <w:spacing w:val="0"/>
          <w:kern w:val="2"/>
          <w:sz w:val="32"/>
          <w:szCs w:val="32"/>
        </w:rPr>
      </w:pPr>
      <w:r>
        <w:rPr>
          <w:rFonts w:hint="eastAsia" w:ascii="楷体_GB2312" w:eastAsia="楷体_GB2312"/>
          <w:b/>
          <w:sz w:val="32"/>
          <w:szCs w:val="32"/>
        </w:rPr>
        <w:t>（一）机构组成。</w:t>
      </w:r>
      <w:r>
        <w:rPr>
          <w:rFonts w:hint="default" w:ascii="仿宋_GB2312" w:hAnsi="宋体" w:eastAsia="仿宋_GB2312" w:cs="仿宋_GB2312"/>
          <w:kern w:val="2"/>
          <w:sz w:val="32"/>
          <w:szCs w:val="32"/>
        </w:rPr>
        <w:t>红原县财政局下设单位（股室）10个，其中行政单位股室6个，参照公务员法管理的事业单位股室1个：国库集中支付中心，其他事业单位股室3个分别是：网管中心、财政评审中心、国有资产管理中心。</w:t>
      </w:r>
    </w:p>
    <w:p>
      <w:pPr>
        <w:keepNext w:val="0"/>
        <w:keepLines w:val="0"/>
        <w:widowControl w:val="0"/>
        <w:suppressLineNumbers w:val="0"/>
        <w:spacing w:line="570" w:lineRule="exact"/>
        <w:ind w:left="0" w:firstLine="643" w:firstLineChars="200"/>
        <w:jc w:val="both"/>
        <w:rPr>
          <w:rFonts w:hint="default" w:ascii="仿宋_GB2312" w:hAnsi="宋体" w:eastAsia="仿宋_GB2312" w:cs="Times New Roman"/>
          <w:kern w:val="2"/>
          <w:sz w:val="32"/>
          <w:szCs w:val="32"/>
        </w:rPr>
      </w:pPr>
      <w:r>
        <w:rPr>
          <w:rFonts w:hint="eastAsia" w:ascii="楷体_GB2312" w:eastAsia="楷体_GB2312"/>
          <w:b/>
          <w:sz w:val="32"/>
          <w:szCs w:val="32"/>
        </w:rPr>
        <w:t>（二）机构职能。</w:t>
      </w:r>
      <w:r>
        <w:rPr>
          <w:rFonts w:hint="default" w:ascii="仿宋_GB2312" w:hAnsi="宋体" w:eastAsia="仿宋_GB2312" w:cs="仿宋_GB2312"/>
          <w:kern w:val="2"/>
          <w:sz w:val="32"/>
          <w:szCs w:val="32"/>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（2）贯彻执行国家财税方面的法律、法规和方针、政策，负责组织起草地方性财税法规草案、实施办法和规章制度并组织实施。管理中央转贷的特种国债。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（4）负责政府非税收入管理。负责政府性基金管理，按规定管理行政事业性收费。管理财政票据。按规定管理彩票基金。</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（5）组织制定全县国库管理制度、国库集中收付制度，指导和监督国库业务，按规定开展国库现金管理工作。负责制定政府采购制度，监督管理全县政府采购工作。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（6）会同有关部门管理全县社会保障和就业及医疗卫生支出，会同有关部门拟定社会保障资金（基金）的财务管理制度，编制县级社会保障预决算草案。</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（7）负责组织执行政府债务管理制度和政策，制定具体管理办法，负责管理政府债务，防范财政风险。</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（11）负责管理全县会计工作，监督和规范会计行为，组织实施国家统一会计制度和补充规定；会同有关部门管理会计专业技术职称工作。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（12）负责财政资金绩效评价。监督检查财税政策、法律法规的执行情况，反映财政收支中的重大问题。依法查处重点违反财经纪律的行为。</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（13）制定财政科研计划和教育培训规划；组织财政业务培训；负责财政信息和财政宣传工作；指导全县财政系统抓好精神文明建设和廉政建设，做好财政系统干部职工的思想政治工作。</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（14）承担县政府公布的有关行政审批事项。</w:t>
      </w:r>
    </w:p>
    <w:p>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default" w:ascii="仿宋_GB2312" w:hAnsi="宋体" w:eastAsia="仿宋_GB2312" w:cs="仿宋_GB2312"/>
          <w:kern w:val="2"/>
          <w:sz w:val="32"/>
          <w:szCs w:val="32"/>
        </w:rPr>
        <w:t>（15）承办县政府交办的其他事项。</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line="570" w:lineRule="exact"/>
        <w:ind w:left="0" w:firstLine="643" w:firstLineChars="200"/>
        <w:jc w:val="both"/>
        <w:rPr>
          <w:rFonts w:hint="default" w:ascii="仿宋_GB2312" w:hAnsi="Times New Roman" w:eastAsia="仿宋_GB2312" w:cs="仿宋_GB2312"/>
          <w:spacing w:val="0"/>
          <w:kern w:val="2"/>
          <w:sz w:val="32"/>
          <w:szCs w:val="32"/>
        </w:rPr>
      </w:pPr>
      <w:r>
        <w:rPr>
          <w:rFonts w:hint="eastAsia" w:ascii="楷体_GB2312" w:eastAsia="楷体_GB2312"/>
          <w:b/>
          <w:sz w:val="32"/>
          <w:szCs w:val="32"/>
        </w:rPr>
        <w:t>（三）人员概况。</w:t>
      </w:r>
      <w:r>
        <w:rPr>
          <w:rFonts w:hint="eastAsia" w:ascii="仿宋_GB2312" w:eastAsia="仿宋_GB2312"/>
          <w:sz w:val="32"/>
          <w:szCs w:val="32"/>
        </w:rPr>
        <w:t>截至2023年末，</w:t>
      </w:r>
      <w:r>
        <w:rPr>
          <w:rFonts w:hint="default" w:ascii="仿宋_GB2312" w:hAnsi="Times New Roman" w:eastAsia="仿宋_GB2312" w:cs="仿宋_GB2312"/>
          <w:spacing w:val="0"/>
          <w:kern w:val="2"/>
          <w:sz w:val="32"/>
          <w:szCs w:val="32"/>
        </w:rPr>
        <w:t>我单位为独立核算全额拨款行政单位，截止2022年底我单位共有编</w:t>
      </w:r>
      <w:r>
        <w:rPr>
          <w:rFonts w:hint="default" w:ascii="仿宋_GB2312" w:hAnsi="Times New Roman" w:eastAsia="仿宋_GB2312" w:cs="仿宋_GB2312"/>
          <w:spacing w:val="0"/>
          <w:kern w:val="2"/>
          <w:sz w:val="32"/>
          <w:szCs w:val="32"/>
        </w:rPr>
        <w:t>制42个，在职</w:t>
      </w:r>
      <w:r>
        <w:rPr>
          <w:rFonts w:hint="eastAsia" w:ascii="仿宋_GB2312" w:hAnsi="Times New Roman" w:eastAsia="仿宋_GB2312" w:cs="仿宋_GB2312"/>
          <w:spacing w:val="0"/>
          <w:kern w:val="2"/>
          <w:sz w:val="32"/>
          <w:szCs w:val="32"/>
          <w:lang w:val="en-US" w:eastAsia="zh-CN"/>
        </w:rPr>
        <w:t>38</w:t>
      </w:r>
      <w:r>
        <w:rPr>
          <w:rFonts w:hint="default" w:ascii="仿宋_GB2312" w:hAnsi="Times New Roman" w:eastAsia="仿宋_GB2312" w:cs="仿宋_GB2312"/>
          <w:spacing w:val="0"/>
          <w:kern w:val="2"/>
          <w:sz w:val="32"/>
          <w:szCs w:val="32"/>
        </w:rPr>
        <w:t>人。</w:t>
      </w:r>
    </w:p>
    <w:p>
      <w:pPr>
        <w:ind w:firstLine="640" w:firstLineChars="200"/>
      </w:pPr>
      <w:bookmarkStart w:id="119" w:name="_Toc10664_WPSOffice_Level2"/>
      <w:r>
        <w:rPr>
          <w:rFonts w:hint="eastAsia" w:ascii="黑体" w:hAnsi="黑体" w:eastAsia="黑体"/>
          <w:sz w:val="32"/>
          <w:szCs w:val="32"/>
        </w:rPr>
        <w:t>二、部门资金收支情况</w:t>
      </w:r>
      <w:bookmarkEnd w:id="119"/>
    </w:p>
    <w:p>
      <w:pPr>
        <w:spacing w:line="600" w:lineRule="exact"/>
        <w:ind w:firstLine="643" w:firstLineChars="200"/>
        <w:jc w:val="left"/>
        <w:outlineLvl w:val="1"/>
        <w:rPr>
          <w:rFonts w:ascii="仿宋" w:hAnsi="仿宋" w:eastAsia="仿宋"/>
          <w:sz w:val="32"/>
          <w:szCs w:val="32"/>
        </w:rPr>
      </w:pPr>
      <w:r>
        <w:rPr>
          <w:rFonts w:hint="eastAsia" w:ascii="楷体_GB2312" w:eastAsia="楷体_GB2312"/>
          <w:b/>
          <w:sz w:val="32"/>
          <w:szCs w:val="32"/>
        </w:rPr>
        <w:t>（一）收入情况。</w:t>
      </w:r>
      <w:r>
        <w:rPr>
          <w:rFonts w:hint="eastAsia" w:ascii="仿宋" w:hAnsi="仿宋" w:eastAsia="仿宋"/>
          <w:sz w:val="32"/>
          <w:szCs w:val="32"/>
        </w:rPr>
        <w:t>2023年度本年收入合计</w:t>
      </w:r>
      <w:r>
        <w:rPr>
          <w:sz w:val="32"/>
          <w:szCs w:val="32"/>
        </w:rPr>
        <w:t>1445.34</w:t>
      </w:r>
      <w:r>
        <w:rPr>
          <w:rFonts w:hint="eastAsia" w:ascii="仿宋" w:hAnsi="仿宋" w:eastAsia="仿宋"/>
          <w:sz w:val="32"/>
          <w:szCs w:val="32"/>
        </w:rPr>
        <w:t>万元，其中：一般公共预算财政拨款收入</w:t>
      </w:r>
      <w:r>
        <w:rPr>
          <w:sz w:val="32"/>
          <w:szCs w:val="32"/>
        </w:rPr>
        <w:t>1445.34</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1"/>
        <w:rPr>
          <w:rFonts w:hint="eastAsia" w:ascii="楷体_GB2312" w:eastAsia="楷体_GB2312"/>
          <w:b/>
          <w:sz w:val="32"/>
          <w:szCs w:val="32"/>
        </w:rPr>
      </w:pPr>
      <w:r>
        <w:rPr>
          <w:rFonts w:hint="eastAsia" w:ascii="楷体_GB2312" w:eastAsia="楷体_GB2312"/>
          <w:b/>
          <w:sz w:val="32"/>
          <w:szCs w:val="32"/>
        </w:rPr>
        <w:t>（二）支出情况。</w:t>
      </w:r>
      <w:r>
        <w:rPr>
          <w:rFonts w:hint="eastAsia" w:ascii="仿宋" w:hAnsi="仿宋" w:eastAsia="仿宋"/>
          <w:sz w:val="32"/>
          <w:szCs w:val="32"/>
        </w:rPr>
        <w:t>2023年度本年支出合计</w:t>
      </w:r>
      <w:r>
        <w:rPr>
          <w:sz w:val="32"/>
          <w:szCs w:val="32"/>
        </w:rPr>
        <w:t>1445.34</w:t>
      </w:r>
      <w:r>
        <w:rPr>
          <w:rFonts w:hint="eastAsia" w:ascii="仿宋" w:hAnsi="仿宋" w:eastAsia="仿宋"/>
          <w:sz w:val="32"/>
          <w:szCs w:val="32"/>
        </w:rPr>
        <w:t>万元，其中：基本支出</w:t>
      </w:r>
      <w:r>
        <w:rPr>
          <w:sz w:val="32"/>
          <w:szCs w:val="32"/>
        </w:rPr>
        <w:t>938.66</w:t>
      </w:r>
      <w:r>
        <w:rPr>
          <w:rFonts w:hint="eastAsia" w:ascii="仿宋" w:hAnsi="仿宋" w:eastAsia="仿宋"/>
          <w:sz w:val="32"/>
          <w:szCs w:val="32"/>
        </w:rPr>
        <w:t>万元，占</w:t>
      </w:r>
      <w:r>
        <w:rPr>
          <w:sz w:val="32"/>
          <w:szCs w:val="32"/>
        </w:rPr>
        <w:t>64.94</w:t>
      </w:r>
      <w:r>
        <w:rPr>
          <w:rFonts w:ascii="仿宋" w:hAnsi="仿宋" w:eastAsia="仿宋"/>
          <w:sz w:val="32"/>
          <w:szCs w:val="32"/>
        </w:rPr>
        <w:t>%</w:t>
      </w:r>
      <w:r>
        <w:rPr>
          <w:rFonts w:hint="eastAsia" w:ascii="仿宋" w:hAnsi="仿宋" w:eastAsia="仿宋"/>
          <w:sz w:val="32"/>
          <w:szCs w:val="32"/>
        </w:rPr>
        <w:t>；项目支出</w:t>
      </w:r>
      <w:r>
        <w:rPr>
          <w:sz w:val="32"/>
          <w:szCs w:val="32"/>
        </w:rPr>
        <w:t>506.69</w:t>
      </w:r>
      <w:r>
        <w:rPr>
          <w:rFonts w:hint="eastAsia" w:ascii="仿宋" w:hAnsi="仿宋" w:eastAsia="仿宋"/>
          <w:sz w:val="32"/>
          <w:szCs w:val="32"/>
        </w:rPr>
        <w:t>万元，占</w:t>
      </w:r>
      <w:r>
        <w:rPr>
          <w:sz w:val="32"/>
          <w:szCs w:val="32"/>
        </w:rPr>
        <w:t>35.05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ind w:firstLine="643" w:firstLineChars="200"/>
        <w:rPr>
          <w:rFonts w:ascii="仿宋_GB2312" w:eastAsia="仿宋_GB2312"/>
          <w:sz w:val="32"/>
          <w:szCs w:val="32"/>
        </w:rPr>
      </w:pPr>
      <w:r>
        <w:rPr>
          <w:rFonts w:hint="eastAsia" w:ascii="楷体_GB2312" w:eastAsia="楷体_GB2312"/>
          <w:b/>
          <w:sz w:val="32"/>
          <w:szCs w:val="32"/>
        </w:rPr>
        <w:t>（三）结余分配和结转结余情况。</w:t>
      </w:r>
      <w:r>
        <w:rPr>
          <w:rFonts w:hint="eastAsia" w:ascii="仿宋_GB2312" w:eastAsia="仿宋_GB2312"/>
          <w:sz w:val="32"/>
          <w:szCs w:val="32"/>
        </w:rPr>
        <w:t>2023年决算报表结转结余情况</w:t>
      </w:r>
      <w:r>
        <w:rPr>
          <w:rFonts w:hint="eastAsia" w:ascii="仿宋_GB2312" w:eastAsia="仿宋_GB2312"/>
          <w:sz w:val="32"/>
          <w:szCs w:val="32"/>
          <w:lang w:val="en-US" w:eastAsia="zh-CN"/>
        </w:rPr>
        <w:t>0万元</w:t>
      </w:r>
      <w:r>
        <w:rPr>
          <w:rFonts w:hint="eastAsia" w:ascii="仿宋_GB2312" w:eastAsia="仿宋_GB2312"/>
          <w:sz w:val="32"/>
          <w:szCs w:val="32"/>
        </w:rPr>
        <w:t>。</w:t>
      </w:r>
    </w:p>
    <w:p>
      <w:pPr>
        <w:ind w:firstLine="640" w:firstLineChars="200"/>
        <w:rPr>
          <w:rFonts w:ascii="黑体" w:hAnsi="黑体" w:eastAsia="黑体"/>
          <w:sz w:val="32"/>
          <w:szCs w:val="32"/>
        </w:rPr>
      </w:pPr>
      <w:bookmarkStart w:id="120" w:name="_Toc24203_WPSOffice_Level2"/>
      <w:r>
        <w:rPr>
          <w:rFonts w:hint="eastAsia" w:ascii="黑体" w:hAnsi="黑体" w:eastAsia="黑体"/>
          <w:sz w:val="32"/>
          <w:szCs w:val="32"/>
        </w:rPr>
        <w:t>三、部门预算绩效分析</w:t>
      </w:r>
      <w:bookmarkEnd w:id="120"/>
    </w:p>
    <w:p>
      <w:pPr>
        <w:ind w:firstLine="643" w:firstLineChars="200"/>
      </w:pPr>
      <w:r>
        <w:rPr>
          <w:rFonts w:hint="eastAsia" w:ascii="楷体_GB2312" w:eastAsia="楷体_GB2312"/>
          <w:b/>
          <w:sz w:val="32"/>
          <w:szCs w:val="32"/>
        </w:rPr>
        <w:t>（一）部门预算总体绩效分析。</w:t>
      </w:r>
    </w:p>
    <w:p>
      <w:pPr>
        <w:adjustRightInd w:val="0"/>
        <w:snapToGrid w:val="0"/>
        <w:spacing w:line="578" w:lineRule="exact"/>
        <w:ind w:firstLine="640" w:firstLineChars="200"/>
        <w:jc w:val="left"/>
        <w:rPr>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hint="eastAsia" w:eastAsia="仿宋_GB2312"/>
          <w:sz w:val="32"/>
          <w:szCs w:val="32"/>
          <w:lang w:val="zh-CN"/>
        </w:rPr>
        <w:t>部门整体绩效目标中选定</w:t>
      </w:r>
      <w:r>
        <w:rPr>
          <w:rFonts w:eastAsia="仿宋_GB2312"/>
          <w:sz w:val="32"/>
          <w:szCs w:val="32"/>
          <w:lang w:val="zh-CN"/>
        </w:rPr>
        <w:t>3-5</w:t>
      </w:r>
      <w:r>
        <w:rPr>
          <w:rFonts w:hint="eastAsia" w:eastAsia="仿宋_GB2312"/>
          <w:sz w:val="32"/>
          <w:szCs w:val="32"/>
          <w:lang w:val="zh-CN"/>
        </w:rPr>
        <w:t>个核心职能目标，职能目标完成效果情况为优。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r>
        <w:rPr>
          <w:rFonts w:hint="eastAsia" w:eastAsia="仿宋_GB2312"/>
          <w:sz w:val="32"/>
          <w:szCs w:val="32"/>
          <w:lang w:val="zh-CN"/>
        </w:rPr>
        <w:t>预算编制质量、单位收入统筹、支出执行进度、预算年终结余、严控一般性支出等方面情况为优。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财务管理制度、财务岗位设置、资金使用规范等情况为优。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r>
        <w:rPr>
          <w:rFonts w:hint="eastAsia" w:eastAsia="仿宋_GB2312"/>
          <w:sz w:val="32"/>
          <w:szCs w:val="32"/>
          <w:lang w:val="zh-CN"/>
        </w:rPr>
        <w:t>资产利用率、资产盘活率等情况为优。</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p>
    <w:p>
      <w:pPr>
        <w:ind w:firstLine="640" w:firstLineChars="200"/>
        <w:rPr>
          <w:rFonts w:eastAsia="仿宋_GB2312"/>
          <w:sz w:val="32"/>
          <w:szCs w:val="32"/>
          <w:lang w:val="zh-CN"/>
        </w:rPr>
      </w:pPr>
      <w:r>
        <w:rPr>
          <w:rFonts w:hint="eastAsia" w:eastAsia="仿宋_GB2312"/>
          <w:sz w:val="32"/>
          <w:szCs w:val="32"/>
          <w:lang w:val="zh-CN"/>
        </w:rPr>
        <w:t>常年项目绩效分析。该类项目总数</w:t>
      </w:r>
      <w:r>
        <w:rPr>
          <w:rFonts w:hint="eastAsia" w:eastAsia="仿宋_GB2312"/>
          <w:sz w:val="32"/>
          <w:szCs w:val="32"/>
          <w:lang w:val="en-US" w:eastAsia="zh-CN"/>
        </w:rPr>
        <w:t>4</w:t>
      </w:r>
      <w:r>
        <w:rPr>
          <w:rFonts w:hint="eastAsia" w:eastAsia="仿宋_GB2312"/>
          <w:sz w:val="32"/>
          <w:szCs w:val="32"/>
          <w:lang w:val="zh-CN"/>
        </w:rPr>
        <w:t>个，涉及预算总金额</w:t>
      </w:r>
      <w:r>
        <w:rPr>
          <w:rFonts w:hint="eastAsia" w:eastAsia="仿宋_GB2312"/>
          <w:sz w:val="32"/>
          <w:szCs w:val="32"/>
          <w:lang w:val="en-US" w:eastAsia="zh-CN"/>
        </w:rPr>
        <w:t>569.4</w:t>
      </w:r>
      <w:r>
        <w:rPr>
          <w:rFonts w:hint="eastAsia" w:eastAsia="仿宋_GB2312"/>
          <w:sz w:val="32"/>
          <w:szCs w:val="32"/>
          <w:lang w:val="zh-CN"/>
        </w:rPr>
        <w:t>万元，1—12月预算执行总体进度为</w:t>
      </w:r>
      <w:r>
        <w:rPr>
          <w:rFonts w:hint="eastAsia" w:eastAsia="仿宋_GB2312"/>
          <w:sz w:val="32"/>
          <w:szCs w:val="32"/>
          <w:lang w:val="en-US" w:eastAsia="zh-CN"/>
        </w:rPr>
        <w:t>88.98</w:t>
      </w:r>
      <w:r>
        <w:rPr>
          <w:rFonts w:hint="eastAsia" w:eastAsia="仿宋_GB2312"/>
          <w:sz w:val="32"/>
          <w:szCs w:val="32"/>
          <w:lang w:val="zh-CN"/>
        </w:rPr>
        <w:t>%，其中：预算结余率大于10%的项目共计</w:t>
      </w:r>
      <w:r>
        <w:rPr>
          <w:rFonts w:hint="eastAsia" w:eastAsia="仿宋_GB2312"/>
          <w:sz w:val="32"/>
          <w:szCs w:val="32"/>
          <w:lang w:val="en-US" w:eastAsia="zh-CN"/>
        </w:rPr>
        <w:t>0</w:t>
      </w:r>
      <w:r>
        <w:rPr>
          <w:rFonts w:hint="eastAsia" w:eastAsia="仿宋_GB2312"/>
          <w:sz w:val="32"/>
          <w:szCs w:val="32"/>
          <w:lang w:val="zh-CN"/>
        </w:rPr>
        <w:t>个。</w:t>
      </w:r>
    </w:p>
    <w:p>
      <w:pPr>
        <w:numPr>
          <w:numId w:val="0"/>
        </w:numPr>
        <w:ind w:firstLine="640" w:firstLineChars="200"/>
        <w:rPr>
          <w:rFonts w:hint="eastAsia"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en-US" w:eastAsia="zh-CN"/>
        </w:rPr>
        <w:t>1.</w:t>
      </w:r>
      <w:r>
        <w:rPr>
          <w:rFonts w:hint="eastAsia" w:ascii="楷体_GB2312" w:hAnsi="楷体_GB2312" w:eastAsia="楷体_GB2312" w:cs="楷体_GB2312"/>
          <w:color w:val="000000"/>
          <w:kern w:val="0"/>
          <w:sz w:val="32"/>
          <w:szCs w:val="32"/>
          <w:shd w:val="clear" w:color="auto" w:fill="FFFFFF"/>
        </w:rPr>
        <w:t>项目决策。</w:t>
      </w:r>
      <w:r>
        <w:rPr>
          <w:rFonts w:hint="eastAsia" w:eastAsia="仿宋_GB2312"/>
          <w:sz w:val="32"/>
          <w:szCs w:val="32"/>
          <w:lang w:val="zh-CN"/>
        </w:rPr>
        <w:t>决策程序、目标设置、项目入库等方面为优。</w:t>
      </w:r>
    </w:p>
    <w:p>
      <w:pPr>
        <w:numPr>
          <w:numId w:val="0"/>
        </w:num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2.项目执行。</w:t>
      </w:r>
      <w:r>
        <w:rPr>
          <w:rFonts w:hint="eastAsia" w:eastAsia="仿宋_GB2312"/>
          <w:sz w:val="32"/>
          <w:szCs w:val="32"/>
          <w:lang w:val="zh-CN"/>
        </w:rPr>
        <w:t>资金执行同向、项目调整、执行结果等情况为良好。</w:t>
      </w:r>
    </w:p>
    <w:p>
      <w:pPr>
        <w:ind w:firstLine="640" w:firstLineChars="200"/>
        <w:rPr>
          <w:rFonts w:ascii="黑体" w:hAnsi="黑体" w:eastAsia="黑体"/>
          <w:sz w:val="32"/>
          <w:szCs w:val="32"/>
        </w:rPr>
      </w:pPr>
      <w:bookmarkStart w:id="121" w:name="_Toc26190_WPSOffice_Level2"/>
      <w:r>
        <w:rPr>
          <w:rFonts w:hint="eastAsia" w:ascii="黑体" w:hAnsi="黑体" w:eastAsia="黑体"/>
          <w:sz w:val="32"/>
          <w:szCs w:val="32"/>
        </w:rPr>
        <w:t>四、评价结论及建议</w:t>
      </w:r>
      <w:bookmarkEnd w:id="121"/>
    </w:p>
    <w:p>
      <w:pPr>
        <w:ind w:firstLine="643" w:firstLineChars="200"/>
        <w:rPr>
          <w:rFonts w:hint="eastAsia" w:eastAsia="仿宋_GB2312"/>
          <w:sz w:val="32"/>
          <w:szCs w:val="32"/>
          <w:lang w:val="en-US" w:eastAsia="zh-CN"/>
        </w:rPr>
      </w:pPr>
      <w:r>
        <w:rPr>
          <w:rFonts w:hint="eastAsia" w:ascii="楷体_GB2312" w:eastAsia="楷体_GB2312"/>
          <w:b/>
          <w:sz w:val="32"/>
          <w:szCs w:val="32"/>
        </w:rPr>
        <w:t>（一）评价结论。</w:t>
      </w:r>
      <w:r>
        <w:rPr>
          <w:rFonts w:hint="eastAsia" w:eastAsia="仿宋_GB2312"/>
          <w:sz w:val="32"/>
          <w:szCs w:val="32"/>
          <w:lang w:val="zh-CN" w:eastAsia="zh-CN"/>
        </w:rPr>
        <w:t>根据《</w:t>
      </w:r>
      <w:r>
        <w:rPr>
          <w:rFonts w:hint="eastAsia" w:eastAsia="仿宋_GB2312"/>
          <w:sz w:val="32"/>
          <w:szCs w:val="32"/>
          <w:lang w:val="en-US" w:eastAsia="zh-CN"/>
        </w:rPr>
        <w:t>2023年红原县部门指出绩效评价指标体系》评价得分96分，部门整体支出绩效为“优”。</w:t>
      </w:r>
    </w:p>
    <w:p>
      <w:pPr>
        <w:ind w:firstLine="643" w:firstLineChars="200"/>
        <w:rPr>
          <w:rFonts w:eastAsia="仿宋_GB2312"/>
          <w:sz w:val="32"/>
          <w:szCs w:val="32"/>
          <w:lang w:val="zh-CN"/>
        </w:rPr>
      </w:pPr>
      <w:r>
        <w:rPr>
          <w:rFonts w:hint="eastAsia" w:ascii="楷体_GB2312" w:eastAsia="楷体_GB2312"/>
          <w:b/>
          <w:sz w:val="32"/>
          <w:szCs w:val="32"/>
        </w:rPr>
        <w:t>（二）存在问题。</w:t>
      </w:r>
      <w:r>
        <w:rPr>
          <w:rFonts w:hint="eastAsia" w:eastAsia="仿宋_GB2312"/>
          <w:sz w:val="32"/>
          <w:szCs w:val="32"/>
          <w:lang w:val="en-US" w:eastAsia="zh-CN"/>
        </w:rPr>
        <w:t>1.加强绩效管理学习，科学合理编制预算，严格执行预算。2.规范账务处理，提高财务信息质量。</w:t>
      </w:r>
    </w:p>
    <w:p>
      <w:pPr>
        <w:pStyle w:val="36"/>
        <w:keepNext w:val="0"/>
        <w:keepLines w:val="0"/>
        <w:widowControl/>
        <w:suppressLineNumbers w:val="0"/>
        <w:shd w:val="clear" w:fill="FFFFFF"/>
        <w:ind w:left="420" w:firstLine="161" w:firstLineChars="50"/>
        <w:rPr>
          <w:rFonts w:hint="default" w:ascii="仿宋_GB2312" w:hAnsi="宋体" w:eastAsia="仿宋_GB2312" w:cs="仿宋_GB2312"/>
          <w:b/>
          <w:kern w:val="2"/>
          <w:sz w:val="32"/>
          <w:szCs w:val="32"/>
          <w:shd w:val="clear" w:fill="FFFFFF"/>
        </w:rPr>
      </w:pPr>
      <w:r>
        <w:rPr>
          <w:rFonts w:hint="default" w:ascii="仿宋_GB2312" w:hAnsi="宋体" w:eastAsia="仿宋_GB2312" w:cs="仿宋_GB2312"/>
          <w:b/>
          <w:kern w:val="2"/>
          <w:sz w:val="32"/>
          <w:szCs w:val="32"/>
          <w:shd w:val="clear" w:fill="FFFFFF"/>
        </w:rPr>
        <w:t>（三）改进建议。</w:t>
      </w:r>
    </w:p>
    <w:p>
      <w:pPr>
        <w:ind w:firstLine="640" w:firstLineChars="200"/>
        <w:rPr>
          <w:rFonts w:hint="default" w:eastAsia="仿宋_GB2312"/>
          <w:sz w:val="32"/>
          <w:szCs w:val="32"/>
          <w:lang w:val="zh-CN"/>
        </w:rPr>
      </w:pPr>
      <w:r>
        <w:rPr>
          <w:rFonts w:hint="default" w:eastAsia="仿宋_GB2312"/>
          <w:sz w:val="32"/>
          <w:szCs w:val="32"/>
          <w:lang w:val="zh-CN"/>
        </w:rPr>
        <w:t>1.加强组织领导，增强预算编制的准确性，提高对预算编制与执行的认识，为绩效评价工作开展创造更好的条件。</w:t>
      </w:r>
    </w:p>
    <w:p>
      <w:pPr>
        <w:ind w:firstLine="640" w:firstLineChars="200"/>
        <w:rPr>
          <w:rFonts w:hint="eastAsia" w:ascii="黑体" w:hAnsi="黑体" w:eastAsia="黑体"/>
          <w:sz w:val="32"/>
          <w:szCs w:val="32"/>
        </w:rPr>
      </w:pPr>
      <w:r>
        <w:rPr>
          <w:rFonts w:hint="default" w:eastAsia="仿宋_GB2312"/>
          <w:sz w:val="32"/>
          <w:szCs w:val="32"/>
          <w:lang w:val="zh-CN"/>
        </w:rPr>
        <w:t>2.建立长效机制，加强管理提高部门支出的绩效成果，为更好的服务工作发挥最大效益。</w:t>
      </w:r>
    </w:p>
    <w:p>
      <w:pPr>
        <w:rPr>
          <w:rFonts w:ascii="黑体" w:hAnsi="黑体" w:eastAsia="黑体"/>
          <w:sz w:val="32"/>
          <w:szCs w:val="32"/>
        </w:rPr>
      </w:pPr>
      <w:r>
        <w:rPr>
          <w:rFonts w:hint="eastAsia" w:ascii="黑体" w:hAnsi="黑体" w:eastAsia="黑体"/>
          <w:sz w:val="32"/>
          <w:szCs w:val="32"/>
        </w:rPr>
        <w:t>附件2</w:t>
      </w:r>
    </w:p>
    <w:p>
      <w:pPr>
        <w:keepNext w:val="0"/>
        <w:keepLines w:val="0"/>
        <w:widowControl w:val="0"/>
        <w:suppressLineNumbers w:val="0"/>
        <w:autoSpaceDE w:val="0"/>
        <w:autoSpaceDN/>
        <w:spacing w:line="550" w:lineRule="atLeast"/>
        <w:jc w:val="center"/>
        <w:outlineLvl w:val="0"/>
        <w:rPr>
          <w:rFonts w:hint="default" w:ascii="方正小标宋简体" w:hAnsi="宋体" w:eastAsia="方正小标宋简体" w:cs="黑体"/>
          <w:kern w:val="0"/>
          <w:sz w:val="44"/>
          <w:szCs w:val="44"/>
        </w:rPr>
      </w:pPr>
      <w:bookmarkStart w:id="122" w:name="_Toc8604_WPSOffice_Level2"/>
      <w:bookmarkStart w:id="123" w:name="_Toc12342_WPSOffice_Level2"/>
      <w:r>
        <w:rPr>
          <w:rFonts w:hint="default" w:ascii="方正小标宋简体" w:hAnsi="方正小标宋简体" w:eastAsia="方正小标宋简体" w:cs="方正小标宋简体"/>
          <w:kern w:val="0"/>
          <w:sz w:val="44"/>
          <w:szCs w:val="44"/>
        </w:rPr>
        <w:t>红原县财政局</w:t>
      </w:r>
      <w:bookmarkEnd w:id="122"/>
      <w:bookmarkEnd w:id="123"/>
    </w:p>
    <w:p>
      <w:pPr>
        <w:keepNext w:val="0"/>
        <w:keepLines w:val="0"/>
        <w:widowControl w:val="0"/>
        <w:suppressLineNumbers w:val="0"/>
        <w:autoSpaceDE w:val="0"/>
        <w:autoSpaceDN/>
        <w:spacing w:line="550" w:lineRule="atLeast"/>
        <w:jc w:val="center"/>
        <w:outlineLvl w:val="0"/>
        <w:rPr>
          <w:rFonts w:hint="default" w:ascii="方正小标宋简体" w:hAnsi="宋体" w:eastAsia="方正小标宋简体" w:cs="黑体"/>
          <w:kern w:val="0"/>
          <w:sz w:val="44"/>
          <w:szCs w:val="44"/>
        </w:rPr>
      </w:pPr>
      <w:bookmarkStart w:id="124" w:name="_Toc18977_WPSOffice_Level2"/>
      <w:bookmarkEnd w:id="124"/>
      <w:bookmarkStart w:id="125" w:name="_Toc6212_WPSOffice_Level2"/>
      <w:bookmarkEnd w:id="125"/>
      <w:bookmarkStart w:id="126" w:name="_Toc8629"/>
      <w:bookmarkEnd w:id="126"/>
      <w:bookmarkStart w:id="127" w:name="_Toc15375_WPSOffice_Level2"/>
      <w:bookmarkStart w:id="128" w:name="_Toc29082_WPSOffice_Level2"/>
      <w:r>
        <w:rPr>
          <w:rFonts w:hint="default" w:ascii="方正小标宋简体" w:hAnsi="方正小标宋简体" w:eastAsia="方正小标宋简体" w:cs="方正小标宋简体"/>
          <w:kern w:val="0"/>
          <w:sz w:val="44"/>
          <w:szCs w:val="44"/>
        </w:rPr>
        <w:t>财政评审及竣工结算审核项目202</w:t>
      </w:r>
      <w:r>
        <w:rPr>
          <w:rFonts w:hint="eastAsia" w:ascii="方正小标宋简体" w:hAnsi="方正小标宋简体" w:eastAsia="方正小标宋简体" w:cs="方正小标宋简体"/>
          <w:kern w:val="0"/>
          <w:sz w:val="44"/>
          <w:szCs w:val="44"/>
          <w:lang w:val="en-US" w:eastAsia="zh-CN"/>
        </w:rPr>
        <w:t>3</w:t>
      </w:r>
      <w:r>
        <w:rPr>
          <w:rFonts w:hint="default" w:ascii="方正小标宋简体" w:hAnsi="方正小标宋简体" w:eastAsia="方正小标宋简体" w:cs="方正小标宋简体"/>
          <w:kern w:val="0"/>
          <w:sz w:val="44"/>
          <w:szCs w:val="44"/>
        </w:rPr>
        <w:t>年绩效评价报告</w:t>
      </w:r>
      <w:bookmarkEnd w:id="127"/>
      <w:bookmarkEnd w:id="128"/>
    </w:p>
    <w:p>
      <w:pPr>
        <w:rPr>
          <w:rFonts w:eastAsia="仿宋_GB2312"/>
          <w:sz w:val="32"/>
          <w:szCs w:val="32"/>
          <w:lang w:val="zh-CN"/>
        </w:rPr>
      </w:pPr>
    </w:p>
    <w:p>
      <w:pPr>
        <w:ind w:firstLine="640" w:firstLineChars="200"/>
        <w:rPr>
          <w:rFonts w:ascii="黑体" w:hAnsi="黑体" w:eastAsia="黑体"/>
          <w:sz w:val="32"/>
          <w:szCs w:val="32"/>
          <w:lang w:val="zh-CN"/>
        </w:rPr>
      </w:pPr>
      <w:bookmarkStart w:id="129" w:name="_Toc18438_WPSOffice_Level2"/>
      <w:r>
        <w:rPr>
          <w:rFonts w:hint="eastAsia" w:ascii="黑体" w:hAnsi="黑体" w:eastAsia="黑体"/>
          <w:sz w:val="32"/>
          <w:szCs w:val="32"/>
          <w:lang w:val="zh-CN"/>
        </w:rPr>
        <w:t>一、项目概况</w:t>
      </w:r>
      <w:bookmarkEnd w:id="129"/>
    </w:p>
    <w:p>
      <w:pPr>
        <w:keepNext w:val="0"/>
        <w:keepLines w:val="0"/>
        <w:widowControl w:val="0"/>
        <w:suppressLineNumbers w:val="0"/>
        <w:autoSpaceDE w:val="0"/>
        <w:autoSpaceDN/>
        <w:adjustRightInd w:val="0"/>
        <w:snapToGrid w:val="0"/>
        <w:spacing w:line="550" w:lineRule="atLeast"/>
        <w:ind w:left="0"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1．红原县财政局主要负责开展全县政府投资项目的招标控制价及竣工结算项目的审核工作，根据与中介服务机构签订的服务合同，给中介服务机构分配项目。</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2．根据与中介机构签订的服务合同支付相应服务费用。</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3．资金管理办法制定情况，根据各公司竣工结算及招标控制价审核项目完成情况支付相应服务费。</w:t>
      </w:r>
    </w:p>
    <w:p>
      <w:pPr>
        <w:keepNext w:val="0"/>
        <w:keepLines w:val="0"/>
        <w:widowControl w:val="0"/>
        <w:suppressLineNumbers w:val="0"/>
        <w:autoSpaceDE w:val="0"/>
        <w:autoSpaceDN/>
        <w:adjustRightInd w:val="0"/>
        <w:snapToGrid w:val="0"/>
        <w:spacing w:line="550" w:lineRule="atLeast"/>
        <w:ind w:left="0" w:firstLine="720"/>
        <w:rPr>
          <w:rFonts w:eastAsia="仿宋_GB2312"/>
          <w:sz w:val="32"/>
          <w:szCs w:val="32"/>
          <w:lang w:val="zh-CN"/>
        </w:rPr>
      </w:pPr>
      <w:r>
        <w:rPr>
          <w:rFonts w:hint="default" w:ascii="仿宋_GB2312" w:hAnsi="宋体" w:eastAsia="仿宋_GB2312" w:cs="仿宋_GB2312"/>
          <w:kern w:val="0"/>
          <w:sz w:val="32"/>
          <w:szCs w:val="32"/>
        </w:rPr>
        <w:t>4．本着大体平均的原则，根据每家中介机构完成项目的时效性、质量高低来分配项目。</w:t>
      </w:r>
    </w:p>
    <w:p>
      <w:pPr>
        <w:keepNext w:val="0"/>
        <w:keepLines w:val="0"/>
        <w:widowControl w:val="0"/>
        <w:suppressLineNumbers w:val="0"/>
        <w:autoSpaceDE w:val="0"/>
        <w:autoSpaceDN/>
        <w:adjustRightInd w:val="0"/>
        <w:snapToGrid w:val="0"/>
        <w:spacing w:line="550" w:lineRule="atLeast"/>
        <w:ind w:left="0" w:firstLine="720"/>
        <w:rPr>
          <w:rFonts w:hint="eastAsia" w:ascii="楷体_GB2312" w:eastAsia="楷体_GB2312"/>
          <w:b/>
          <w:sz w:val="32"/>
          <w:szCs w:val="32"/>
          <w:lang w:val="zh-CN"/>
        </w:rPr>
      </w:pPr>
      <w:r>
        <w:rPr>
          <w:rFonts w:hint="eastAsia" w:ascii="楷体_GB2312" w:eastAsia="楷体_GB2312"/>
          <w:b/>
          <w:sz w:val="32"/>
          <w:szCs w:val="32"/>
          <w:lang w:val="zh-CN"/>
        </w:rPr>
        <w:t>（二）实施目的及支持方向。</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1．政府投资项目招标控制价及竣工结算项目审核。</w:t>
      </w:r>
    </w:p>
    <w:p>
      <w:pPr>
        <w:pStyle w:val="36"/>
        <w:keepNext w:val="0"/>
        <w:keepLines w:val="0"/>
        <w:widowControl/>
        <w:suppressLineNumbers w:val="0"/>
        <w:shd w:val="clear" w:fill="FFFFFF"/>
        <w:ind w:firstLine="643" w:firstLineChars="200"/>
        <w:rPr>
          <w:rFonts w:hint="eastAsia" w:eastAsia="仿宋_GB2312"/>
          <w:sz w:val="32"/>
          <w:szCs w:val="32"/>
          <w:lang w:val="zh-CN" w:eastAsia="zh-CN"/>
        </w:rPr>
      </w:pPr>
      <w:r>
        <w:rPr>
          <w:rFonts w:hint="eastAsia" w:ascii="楷体_GB2312" w:eastAsia="楷体_GB2312"/>
          <w:b/>
          <w:sz w:val="32"/>
          <w:szCs w:val="32"/>
          <w:lang w:val="zh-CN"/>
        </w:rPr>
        <w:t>（三）预算安排及分配管理。</w:t>
      </w:r>
      <w:r>
        <w:rPr>
          <w:rFonts w:hint="default" w:ascii="仿宋_GB2312" w:hAnsi="宋体" w:eastAsia="仿宋_GB2312" w:cs="仿宋_GB2312"/>
          <w:kern w:val="0"/>
          <w:sz w:val="32"/>
          <w:szCs w:val="32"/>
          <w:shd w:val="clear" w:fill="FFFFFF"/>
        </w:rPr>
        <w:t>财政评审及竣工结算审核项目资金申报300万元、财政批复300万元</w:t>
      </w:r>
      <w:r>
        <w:rPr>
          <w:rFonts w:hint="eastAsia" w:ascii="仿宋_GB2312" w:eastAsia="仿宋_GB2312" w:cs="仿宋_GB2312"/>
          <w:kern w:val="0"/>
          <w:sz w:val="32"/>
          <w:szCs w:val="32"/>
          <w:shd w:val="clear" w:fill="FFFFFF"/>
          <w:lang w:eastAsia="zh-CN"/>
        </w:rPr>
        <w:t>。</w:t>
      </w:r>
    </w:p>
    <w:p>
      <w:pPr>
        <w:ind w:firstLine="643" w:firstLineChars="200"/>
        <w:rPr>
          <w:rFonts w:eastAsia="仿宋_GB2312"/>
          <w:sz w:val="32"/>
          <w:szCs w:val="32"/>
          <w:lang w:val="zh-CN"/>
        </w:rPr>
      </w:pPr>
      <w:r>
        <w:rPr>
          <w:rFonts w:hint="eastAsia" w:ascii="楷体_GB2312" w:eastAsia="楷体_GB2312"/>
          <w:b/>
          <w:sz w:val="32"/>
          <w:szCs w:val="32"/>
          <w:lang w:val="zh-CN"/>
        </w:rPr>
        <w:t>（四）项目绩效目标设置。</w:t>
      </w:r>
      <w:r>
        <w:rPr>
          <w:rFonts w:hint="eastAsia" w:eastAsia="仿宋_GB2312"/>
          <w:sz w:val="32"/>
          <w:szCs w:val="32"/>
          <w:lang w:val="zh-CN"/>
        </w:rPr>
        <w:t>项目整体、区域和具体绩效目标设置情况，项目自评工作开展情况。</w:t>
      </w:r>
    </w:p>
    <w:p>
      <w:pPr>
        <w:ind w:firstLine="640" w:firstLineChars="200"/>
        <w:rPr>
          <w:rFonts w:ascii="黑体" w:hAnsi="黑体" w:eastAsia="黑体"/>
          <w:sz w:val="32"/>
          <w:szCs w:val="32"/>
          <w:lang w:val="zh-CN"/>
        </w:rPr>
      </w:pPr>
      <w:bookmarkStart w:id="130" w:name="_Toc19755_WPSOffice_Level2"/>
      <w:r>
        <w:rPr>
          <w:rFonts w:hint="eastAsia" w:ascii="黑体" w:hAnsi="黑体" w:eastAsia="黑体"/>
          <w:sz w:val="32"/>
          <w:szCs w:val="32"/>
          <w:lang w:val="zh-CN"/>
        </w:rPr>
        <w:t>二、评价实施</w:t>
      </w:r>
      <w:bookmarkEnd w:id="130"/>
    </w:p>
    <w:p>
      <w:pPr>
        <w:keepNext w:val="0"/>
        <w:keepLines w:val="0"/>
        <w:widowControl w:val="0"/>
        <w:suppressLineNumbers w:val="0"/>
        <w:autoSpaceDE w:val="0"/>
        <w:autoSpaceDN/>
        <w:adjustRightInd w:val="0"/>
        <w:snapToGrid w:val="0"/>
        <w:spacing w:line="550" w:lineRule="atLeast"/>
        <w:ind w:left="0" w:firstLine="720"/>
        <w:rPr>
          <w:rFonts w:hint="eastAsia" w:ascii="楷体_GB2312" w:eastAsia="楷体_GB2312"/>
          <w:b/>
          <w:sz w:val="32"/>
          <w:szCs w:val="32"/>
          <w:lang w:val="zh-CN"/>
        </w:rPr>
      </w:pPr>
      <w:r>
        <w:rPr>
          <w:rFonts w:hint="eastAsia" w:ascii="楷体_GB2312" w:eastAsia="楷体_GB2312"/>
          <w:b/>
          <w:sz w:val="32"/>
          <w:szCs w:val="32"/>
          <w:lang w:val="zh-CN"/>
        </w:rPr>
        <w:t>（一）评价目的。</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1．政府投资项目招标控制价及竣工结算项目审核。</w:t>
      </w:r>
    </w:p>
    <w:p>
      <w:pPr>
        <w:keepNext w:val="0"/>
        <w:keepLines w:val="0"/>
        <w:widowControl w:val="0"/>
        <w:suppressLineNumbers w:val="0"/>
        <w:autoSpaceDE w:val="0"/>
        <w:autoSpaceDN/>
        <w:adjustRightInd w:val="0"/>
        <w:snapToGrid w:val="0"/>
        <w:spacing w:line="550" w:lineRule="atLeast"/>
        <w:ind w:left="0" w:firstLine="72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2．完成我县政府投资项目的招标控制价及竣工结算项目审核工作，完成我县202</w:t>
      </w:r>
      <w:r>
        <w:rPr>
          <w:rFonts w:hint="eastAsia" w:ascii="仿宋_GB2312" w:hAnsi="宋体" w:eastAsia="仿宋_GB2312" w:cs="仿宋_GB2312"/>
          <w:kern w:val="0"/>
          <w:sz w:val="32"/>
          <w:szCs w:val="32"/>
          <w:lang w:val="en-US" w:eastAsia="zh-CN"/>
        </w:rPr>
        <w:t>3</w:t>
      </w:r>
      <w:r>
        <w:rPr>
          <w:rFonts w:hint="default" w:ascii="仿宋_GB2312" w:hAnsi="宋体" w:eastAsia="仿宋_GB2312" w:cs="仿宋_GB2312"/>
          <w:kern w:val="0"/>
          <w:sz w:val="32"/>
          <w:szCs w:val="32"/>
        </w:rPr>
        <w:t>年度项目业主单位报送的招标控制价及竣工结算审核工作，并在202</w:t>
      </w:r>
      <w:r>
        <w:rPr>
          <w:rFonts w:hint="eastAsia" w:ascii="仿宋_GB2312" w:hAnsi="宋体" w:eastAsia="仿宋_GB2312" w:cs="仿宋_GB2312"/>
          <w:kern w:val="0"/>
          <w:sz w:val="32"/>
          <w:szCs w:val="32"/>
          <w:lang w:val="en-US" w:eastAsia="zh-CN"/>
        </w:rPr>
        <w:t>3</w:t>
      </w:r>
      <w:r>
        <w:rPr>
          <w:rFonts w:hint="default" w:ascii="仿宋_GB2312" w:hAnsi="宋体" w:eastAsia="仿宋_GB2312" w:cs="仿宋_GB2312"/>
          <w:kern w:val="0"/>
          <w:sz w:val="32"/>
          <w:szCs w:val="32"/>
        </w:rPr>
        <w:t>年12月20日之前完成所有项目并支付服务费。</w:t>
      </w:r>
    </w:p>
    <w:p>
      <w:pPr>
        <w:keepNext w:val="0"/>
        <w:keepLines w:val="0"/>
        <w:widowControl w:val="0"/>
        <w:suppressLineNumbers w:val="0"/>
        <w:autoSpaceDE w:val="0"/>
        <w:autoSpaceDN/>
        <w:adjustRightInd w:val="0"/>
        <w:snapToGrid w:val="0"/>
        <w:spacing w:line="550" w:lineRule="atLeast"/>
        <w:ind w:left="0" w:firstLine="720"/>
        <w:rPr>
          <w:rFonts w:eastAsia="仿宋_GB2312"/>
          <w:sz w:val="32"/>
          <w:szCs w:val="32"/>
          <w:lang w:val="zh-CN"/>
        </w:rPr>
      </w:pPr>
      <w:r>
        <w:rPr>
          <w:rFonts w:hint="default" w:ascii="仿宋_GB2312" w:hAnsi="宋体" w:eastAsia="仿宋_GB2312" w:cs="仿宋_GB2312"/>
          <w:kern w:val="0"/>
          <w:sz w:val="32"/>
          <w:szCs w:val="32"/>
        </w:rPr>
        <w:t>3．分析评价申报内容是否与实际相符，申报目标是否合理可行。</w:t>
      </w:r>
    </w:p>
    <w:p>
      <w:pPr>
        <w:ind w:firstLine="643" w:firstLineChars="200"/>
        <w:rPr>
          <w:rFonts w:hint="eastAsia" w:ascii="仿宋_GB2312" w:hAnsi="宋体" w:eastAsia="仿宋_GB2312" w:cs="仿宋_GB2312"/>
          <w:kern w:val="0"/>
          <w:sz w:val="32"/>
          <w:szCs w:val="32"/>
          <w:lang w:eastAsia="zh-CN"/>
        </w:rPr>
      </w:pPr>
      <w:r>
        <w:rPr>
          <w:rFonts w:hint="eastAsia" w:ascii="楷体_GB2312" w:eastAsia="楷体_GB2312"/>
          <w:b/>
          <w:sz w:val="32"/>
          <w:szCs w:val="32"/>
          <w:lang w:val="zh-CN"/>
        </w:rPr>
        <w:t>（二）评价方法。</w:t>
      </w:r>
      <w:r>
        <w:rPr>
          <w:rFonts w:hint="default" w:ascii="仿宋_GB2312" w:hAnsi="宋体" w:eastAsia="仿宋_GB2312" w:cs="仿宋_GB2312"/>
          <w:kern w:val="0"/>
          <w:sz w:val="32"/>
          <w:szCs w:val="32"/>
        </w:rPr>
        <w:t>我单位成立了项目绩效考评小组，并制定了考评方案，把招标控制价及竣工结算审核项目的审减金额及审减率作为考评重要依据进行绩效考评</w:t>
      </w:r>
      <w:r>
        <w:rPr>
          <w:rFonts w:hint="eastAsia" w:ascii="仿宋_GB2312" w:hAnsi="宋体" w:eastAsia="仿宋_GB2312" w:cs="仿宋_GB2312"/>
          <w:kern w:val="0"/>
          <w:sz w:val="32"/>
          <w:szCs w:val="32"/>
          <w:lang w:eastAsia="zh-CN"/>
        </w:rPr>
        <w:t>。</w:t>
      </w:r>
    </w:p>
    <w:p>
      <w:pPr>
        <w:ind w:firstLine="643" w:firstLineChars="200"/>
        <w:rPr>
          <w:rFonts w:hint="default" w:ascii="仿宋_GB2312" w:hAnsi="宋体" w:eastAsia="仿宋_GB2312" w:cs="仿宋_GB2312"/>
          <w:color w:val="000000"/>
          <w:kern w:val="0"/>
          <w:sz w:val="32"/>
          <w:szCs w:val="32"/>
        </w:rPr>
      </w:pPr>
      <w:r>
        <w:rPr>
          <w:rFonts w:hint="eastAsia" w:ascii="楷体_GB2312" w:eastAsia="楷体_GB2312"/>
          <w:b/>
          <w:sz w:val="32"/>
          <w:szCs w:val="32"/>
          <w:lang w:val="zh-CN"/>
        </w:rPr>
        <w:t>（五）评价组织。</w:t>
      </w:r>
      <w:r>
        <w:rPr>
          <w:rFonts w:hint="default" w:ascii="仿宋_GB2312" w:hAnsi="宋体" w:eastAsia="仿宋_GB2312" w:cs="仿宋_GB2312"/>
          <w:color w:val="000000"/>
          <w:kern w:val="0"/>
          <w:sz w:val="32"/>
          <w:szCs w:val="32"/>
        </w:rPr>
        <w:t>政府投资项目业主单位，准备招标控制价及竣工结算审核所需资料，报我单位评审中心审核，确定资料无误后，根据中介服务合同及中介服务机构服务质量，将项目分配给各中介机构，由中介机构完成审核工作，项目完成后根据合同支付相应服务费。</w:t>
      </w:r>
    </w:p>
    <w:p>
      <w:pPr>
        <w:ind w:firstLine="640" w:firstLineChars="200"/>
        <w:rPr>
          <w:rFonts w:ascii="黑体" w:hAnsi="黑体" w:eastAsia="黑体"/>
          <w:sz w:val="32"/>
          <w:szCs w:val="32"/>
          <w:lang w:val="zh-CN"/>
        </w:rPr>
      </w:pPr>
      <w:bookmarkStart w:id="131" w:name="_Toc23542_WPSOffice_Level2"/>
      <w:r>
        <w:rPr>
          <w:rFonts w:hint="eastAsia" w:ascii="黑体" w:hAnsi="黑体" w:eastAsia="黑体"/>
          <w:sz w:val="32"/>
          <w:szCs w:val="32"/>
          <w:lang w:val="zh-CN"/>
        </w:rPr>
        <w:t>三、绩效分析</w:t>
      </w:r>
      <w:bookmarkEnd w:id="131"/>
    </w:p>
    <w:p>
      <w:pPr>
        <w:keepNext w:val="0"/>
        <w:keepLines w:val="0"/>
        <w:widowControl w:val="0"/>
        <w:suppressLineNumbers w:val="0"/>
        <w:spacing w:line="570" w:lineRule="exact"/>
        <w:ind w:left="13" w:leftChars="6" w:firstLine="482" w:firstLineChars="150"/>
        <w:rPr>
          <w:rFonts w:hint="eastAsia" w:ascii="仿宋" w:hAnsi="宋体" w:eastAsia="仿宋" w:cs="仿宋"/>
          <w:b/>
          <w:kern w:val="2"/>
          <w:sz w:val="32"/>
          <w:szCs w:val="32"/>
        </w:rPr>
      </w:pPr>
      <w:r>
        <w:rPr>
          <w:rFonts w:hint="eastAsia" w:ascii="仿宋" w:hAnsi="仿宋" w:eastAsia="仿宋" w:cs="仿宋"/>
          <w:b/>
          <w:kern w:val="2"/>
          <w:sz w:val="32"/>
          <w:szCs w:val="32"/>
        </w:rPr>
        <w:t>（一）项目完成情况。</w:t>
      </w:r>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共计完成招标控制价审核</w:t>
      </w:r>
      <w:r>
        <w:rPr>
          <w:rFonts w:hint="eastAsia" w:ascii="仿宋_GB2312" w:hAnsi="宋体" w:eastAsia="仿宋_GB2312" w:cs="仿宋_GB2312"/>
          <w:color w:val="000000"/>
          <w:kern w:val="0"/>
          <w:sz w:val="32"/>
          <w:szCs w:val="32"/>
          <w:lang w:val="en-US" w:eastAsia="zh-CN" w:bidi="ar-SA"/>
        </w:rPr>
        <w:t>142</w:t>
      </w:r>
      <w:r>
        <w:rPr>
          <w:rFonts w:hint="default" w:ascii="仿宋_GB2312" w:hAnsi="宋体" w:eastAsia="仿宋_GB2312" w:cs="仿宋_GB2312"/>
          <w:color w:val="000000"/>
          <w:kern w:val="0"/>
          <w:sz w:val="32"/>
          <w:szCs w:val="32"/>
          <w:lang w:val="en-US" w:eastAsia="zh-CN" w:bidi="ar-SA"/>
        </w:rPr>
        <w:t>个，送审金额</w:t>
      </w:r>
      <w:r>
        <w:rPr>
          <w:rFonts w:hint="eastAsia" w:ascii="仿宋_GB2312" w:hAnsi="宋体" w:eastAsia="仿宋_GB2312" w:cs="仿宋_GB2312"/>
          <w:color w:val="000000"/>
          <w:kern w:val="0"/>
          <w:sz w:val="32"/>
          <w:szCs w:val="32"/>
          <w:lang w:val="en-US" w:eastAsia="zh-CN" w:bidi="ar-SA"/>
        </w:rPr>
        <w:t>70318.34</w:t>
      </w:r>
      <w:r>
        <w:rPr>
          <w:rFonts w:hint="default" w:ascii="仿宋_GB2312" w:hAnsi="宋体" w:eastAsia="仿宋_GB2312" w:cs="仿宋_GB2312"/>
          <w:color w:val="000000"/>
          <w:kern w:val="0"/>
          <w:sz w:val="32"/>
          <w:szCs w:val="32"/>
          <w:lang w:val="en-US" w:eastAsia="zh-CN" w:bidi="ar-SA"/>
        </w:rPr>
        <w:t>万元，评审金额</w:t>
      </w:r>
      <w:r>
        <w:rPr>
          <w:rFonts w:hint="eastAsia" w:ascii="仿宋_GB2312" w:hAnsi="宋体" w:eastAsia="仿宋_GB2312" w:cs="仿宋_GB2312"/>
          <w:color w:val="000000"/>
          <w:kern w:val="0"/>
          <w:sz w:val="32"/>
          <w:szCs w:val="32"/>
          <w:lang w:val="en-US" w:eastAsia="zh-CN" w:bidi="ar-SA"/>
        </w:rPr>
        <w:t>68190.47</w:t>
      </w:r>
      <w:r>
        <w:rPr>
          <w:rFonts w:hint="default" w:ascii="仿宋_GB2312" w:hAnsi="宋体" w:eastAsia="仿宋_GB2312" w:cs="仿宋_GB2312"/>
          <w:color w:val="000000"/>
          <w:kern w:val="0"/>
          <w:sz w:val="32"/>
          <w:szCs w:val="32"/>
          <w:lang w:val="en-US" w:eastAsia="zh-CN" w:bidi="ar-SA"/>
        </w:rPr>
        <w:t>万元，审减金额</w:t>
      </w:r>
      <w:r>
        <w:rPr>
          <w:rFonts w:hint="eastAsia" w:ascii="仿宋_GB2312" w:hAnsi="宋体" w:eastAsia="仿宋_GB2312" w:cs="仿宋_GB2312"/>
          <w:color w:val="000000"/>
          <w:kern w:val="0"/>
          <w:sz w:val="32"/>
          <w:szCs w:val="32"/>
          <w:lang w:val="en-US" w:eastAsia="zh-CN" w:bidi="ar-SA"/>
        </w:rPr>
        <w:t>2127.87</w:t>
      </w:r>
      <w:r>
        <w:rPr>
          <w:rFonts w:hint="default" w:ascii="仿宋_GB2312" w:hAnsi="宋体" w:eastAsia="仿宋_GB2312" w:cs="仿宋_GB2312"/>
          <w:color w:val="000000"/>
          <w:kern w:val="0"/>
          <w:sz w:val="32"/>
          <w:szCs w:val="32"/>
          <w:lang w:val="en-US" w:eastAsia="zh-CN" w:bidi="ar-SA"/>
        </w:rPr>
        <w:t>万元，核减率</w:t>
      </w:r>
      <w:r>
        <w:rPr>
          <w:rFonts w:hint="eastAsia" w:ascii="仿宋_GB2312" w:hAnsi="宋体" w:eastAsia="仿宋_GB2312" w:cs="仿宋_GB2312"/>
          <w:color w:val="000000"/>
          <w:kern w:val="0"/>
          <w:sz w:val="32"/>
          <w:szCs w:val="32"/>
          <w:lang w:val="en-US" w:eastAsia="zh-CN" w:bidi="ar-SA"/>
        </w:rPr>
        <w:t>3.03</w:t>
      </w:r>
      <w:r>
        <w:rPr>
          <w:rFonts w:hint="default" w:ascii="仿宋_GB2312" w:hAnsi="宋体" w:eastAsia="仿宋_GB2312" w:cs="仿宋_GB2312"/>
          <w:color w:val="000000"/>
          <w:kern w:val="0"/>
          <w:sz w:val="32"/>
          <w:szCs w:val="32"/>
          <w:lang w:val="en-US" w:eastAsia="zh-CN" w:bidi="ar-SA"/>
        </w:rPr>
        <w:t>%，；完成竣工结算审核</w:t>
      </w:r>
      <w:r>
        <w:rPr>
          <w:rFonts w:hint="eastAsia" w:ascii="仿宋_GB2312" w:hAnsi="宋体" w:eastAsia="仿宋_GB2312" w:cs="仿宋_GB2312"/>
          <w:color w:val="000000"/>
          <w:kern w:val="0"/>
          <w:sz w:val="32"/>
          <w:szCs w:val="32"/>
          <w:lang w:val="en-US" w:eastAsia="zh-CN" w:bidi="ar-SA"/>
        </w:rPr>
        <w:t>27</w:t>
      </w:r>
      <w:r>
        <w:rPr>
          <w:rFonts w:hint="default" w:ascii="仿宋_GB2312" w:hAnsi="宋体" w:eastAsia="仿宋_GB2312" w:cs="仿宋_GB2312"/>
          <w:color w:val="000000"/>
          <w:kern w:val="0"/>
          <w:sz w:val="32"/>
          <w:szCs w:val="32"/>
          <w:lang w:val="en-US" w:eastAsia="zh-CN" w:bidi="ar-SA"/>
        </w:rPr>
        <w:t>个，送审金额</w:t>
      </w:r>
      <w:r>
        <w:rPr>
          <w:rFonts w:hint="eastAsia" w:ascii="仿宋_GB2312" w:hAnsi="宋体" w:eastAsia="仿宋_GB2312" w:cs="仿宋_GB2312"/>
          <w:color w:val="000000"/>
          <w:kern w:val="0"/>
          <w:sz w:val="32"/>
          <w:szCs w:val="32"/>
          <w:lang w:val="en-US" w:eastAsia="zh-CN" w:bidi="ar-SA"/>
        </w:rPr>
        <w:t>30693.31</w:t>
      </w:r>
      <w:r>
        <w:rPr>
          <w:rFonts w:hint="default" w:ascii="仿宋_GB2312" w:hAnsi="宋体" w:eastAsia="仿宋_GB2312" w:cs="仿宋_GB2312"/>
          <w:color w:val="000000"/>
          <w:kern w:val="0"/>
          <w:sz w:val="32"/>
          <w:szCs w:val="32"/>
          <w:lang w:val="en-US" w:eastAsia="zh-CN" w:bidi="ar-SA"/>
        </w:rPr>
        <w:t>万元，审定金额</w:t>
      </w:r>
      <w:r>
        <w:rPr>
          <w:rFonts w:hint="eastAsia" w:ascii="仿宋_GB2312" w:hAnsi="宋体" w:eastAsia="仿宋_GB2312" w:cs="仿宋_GB2312"/>
          <w:color w:val="000000"/>
          <w:kern w:val="0"/>
          <w:sz w:val="32"/>
          <w:szCs w:val="32"/>
          <w:lang w:val="en-US" w:eastAsia="zh-CN" w:bidi="ar-SA"/>
        </w:rPr>
        <w:t>29093.79</w:t>
      </w:r>
      <w:r>
        <w:rPr>
          <w:rFonts w:hint="default" w:ascii="仿宋_GB2312" w:hAnsi="宋体" w:eastAsia="仿宋_GB2312" w:cs="仿宋_GB2312"/>
          <w:color w:val="000000"/>
          <w:kern w:val="0"/>
          <w:sz w:val="32"/>
          <w:szCs w:val="32"/>
          <w:lang w:val="en-US" w:eastAsia="zh-CN" w:bidi="ar-SA"/>
        </w:rPr>
        <w:t>万元，审减金额</w:t>
      </w:r>
      <w:r>
        <w:rPr>
          <w:rFonts w:hint="eastAsia" w:ascii="仿宋_GB2312" w:hAnsi="宋体" w:eastAsia="仿宋_GB2312" w:cs="仿宋_GB2312"/>
          <w:color w:val="000000"/>
          <w:kern w:val="0"/>
          <w:sz w:val="32"/>
          <w:szCs w:val="32"/>
          <w:lang w:val="en-US" w:eastAsia="zh-CN" w:bidi="ar-SA"/>
        </w:rPr>
        <w:t>1599.52</w:t>
      </w:r>
      <w:r>
        <w:rPr>
          <w:rFonts w:hint="default" w:ascii="仿宋_GB2312" w:hAnsi="宋体" w:eastAsia="仿宋_GB2312" w:cs="仿宋_GB2312"/>
          <w:color w:val="000000"/>
          <w:kern w:val="0"/>
          <w:sz w:val="32"/>
          <w:szCs w:val="32"/>
          <w:lang w:val="en-US" w:eastAsia="zh-CN" w:bidi="ar-SA"/>
        </w:rPr>
        <w:t>万元，审减率</w:t>
      </w:r>
      <w:r>
        <w:rPr>
          <w:rFonts w:hint="eastAsia" w:ascii="仿宋_GB2312" w:hAnsi="宋体" w:eastAsia="仿宋_GB2312" w:cs="仿宋_GB2312"/>
          <w:color w:val="000000"/>
          <w:kern w:val="0"/>
          <w:sz w:val="32"/>
          <w:szCs w:val="32"/>
          <w:lang w:val="en-US" w:eastAsia="zh-CN" w:bidi="ar-SA"/>
        </w:rPr>
        <w:t>5.21</w:t>
      </w:r>
      <w:r>
        <w:rPr>
          <w:rFonts w:hint="default" w:ascii="仿宋_GB2312" w:hAnsi="宋体" w:eastAsia="仿宋_GB2312" w:cs="仿宋_GB2312"/>
          <w:color w:val="000000"/>
          <w:kern w:val="0"/>
          <w:sz w:val="32"/>
          <w:szCs w:val="32"/>
          <w:lang w:val="en-US" w:eastAsia="zh-CN" w:bidi="ar-SA"/>
        </w:rPr>
        <w:t>%</w:t>
      </w:r>
      <w:r>
        <w:rPr>
          <w:rFonts w:hint="eastAsia" w:ascii="仿宋_GB2312" w:hAnsi="宋体" w:eastAsia="仿宋_GB2312" w:cs="仿宋_GB2312"/>
          <w:color w:val="000000"/>
          <w:kern w:val="0"/>
          <w:sz w:val="32"/>
          <w:szCs w:val="32"/>
          <w:lang w:val="en-US" w:eastAsia="zh-CN" w:bidi="ar-SA"/>
        </w:rPr>
        <w:t>，</w:t>
      </w:r>
      <w:r>
        <w:rPr>
          <w:rFonts w:hint="default" w:ascii="仿宋_GB2312" w:hAnsi="宋体" w:eastAsia="仿宋_GB2312" w:cs="仿宋_GB2312"/>
          <w:color w:val="000000"/>
          <w:kern w:val="0"/>
          <w:sz w:val="32"/>
          <w:szCs w:val="32"/>
          <w:lang w:val="en-US" w:eastAsia="zh-CN" w:bidi="ar-SA"/>
        </w:rPr>
        <w:t>支出评审咨询费用金额</w:t>
      </w:r>
      <w:r>
        <w:rPr>
          <w:rFonts w:hint="eastAsia" w:ascii="仿宋_GB2312" w:hAnsi="宋体" w:eastAsia="仿宋_GB2312" w:cs="仿宋_GB2312"/>
          <w:color w:val="000000"/>
          <w:kern w:val="0"/>
          <w:sz w:val="32"/>
          <w:szCs w:val="32"/>
          <w:lang w:val="en-US" w:eastAsia="zh-CN" w:bidi="ar-SA"/>
        </w:rPr>
        <w:t>297.87</w:t>
      </w:r>
      <w:r>
        <w:rPr>
          <w:rFonts w:hint="default" w:ascii="仿宋_GB2312" w:hAnsi="宋体" w:eastAsia="仿宋_GB2312" w:cs="仿宋_GB2312"/>
          <w:color w:val="000000"/>
          <w:kern w:val="0"/>
          <w:sz w:val="32"/>
          <w:szCs w:val="32"/>
          <w:lang w:val="en-US" w:eastAsia="zh-CN" w:bidi="ar-SA"/>
        </w:rPr>
        <w:t>万元。</w:t>
      </w:r>
    </w:p>
    <w:p>
      <w:pPr>
        <w:keepNext w:val="0"/>
        <w:keepLines w:val="0"/>
        <w:widowControl w:val="0"/>
        <w:suppressLineNumbers w:val="0"/>
        <w:spacing w:line="570" w:lineRule="exact"/>
        <w:ind w:left="13" w:leftChars="6" w:firstLine="482" w:firstLineChars="150"/>
        <w:rPr>
          <w:rFonts w:hint="eastAsia" w:ascii="仿宋" w:hAnsi="宋体" w:eastAsia="仿宋" w:cs="仿宋"/>
          <w:b/>
          <w:kern w:val="2"/>
          <w:sz w:val="32"/>
          <w:szCs w:val="32"/>
        </w:rPr>
      </w:pPr>
      <w:bookmarkStart w:id="132" w:name="_Toc10787_WPSOffice_Level3"/>
      <w:bookmarkEnd w:id="132"/>
      <w:r>
        <w:rPr>
          <w:rFonts w:hint="eastAsia" w:ascii="仿宋" w:hAnsi="仿宋" w:eastAsia="仿宋" w:cs="仿宋"/>
          <w:b/>
          <w:kern w:val="2"/>
          <w:sz w:val="32"/>
          <w:szCs w:val="32"/>
        </w:rPr>
        <w:t>（二）项目效益情况。</w:t>
      </w:r>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1</w:t>
      </w:r>
      <w:r>
        <w:rPr>
          <w:rFonts w:hint="eastAsia" w:ascii="仿宋_GB2312" w:eastAsia="仿宋_GB2312" w:cs="仿宋_GB2312"/>
          <w:color w:val="000000"/>
          <w:kern w:val="0"/>
          <w:sz w:val="32"/>
          <w:szCs w:val="32"/>
          <w:lang w:val="en-US" w:eastAsia="zh-CN" w:bidi="ar-SA"/>
        </w:rPr>
        <w:t>.</w:t>
      </w:r>
      <w:r>
        <w:rPr>
          <w:rFonts w:hint="default" w:ascii="仿宋_GB2312" w:hAnsi="宋体" w:eastAsia="仿宋_GB2312" w:cs="仿宋_GB2312"/>
          <w:color w:val="000000"/>
          <w:kern w:val="0"/>
          <w:sz w:val="32"/>
          <w:szCs w:val="32"/>
          <w:lang w:val="en-US" w:eastAsia="zh-CN" w:bidi="ar-SA"/>
        </w:rPr>
        <w:t>项目实现的经济效益分析</w:t>
      </w:r>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招标控制价评审和竣工结算审核项目共审减</w:t>
      </w:r>
      <w:r>
        <w:rPr>
          <w:rFonts w:hint="eastAsia" w:ascii="仿宋_GB2312" w:hAnsi="宋体" w:eastAsia="仿宋_GB2312" w:cs="仿宋_GB2312"/>
          <w:color w:val="000000"/>
          <w:kern w:val="0"/>
          <w:sz w:val="32"/>
          <w:szCs w:val="32"/>
          <w:lang w:val="en-US" w:eastAsia="zh-CN" w:bidi="ar-SA"/>
        </w:rPr>
        <w:t>3727.39</w:t>
      </w:r>
      <w:r>
        <w:rPr>
          <w:rFonts w:hint="default" w:ascii="仿宋_GB2312" w:hAnsi="宋体" w:eastAsia="仿宋_GB2312" w:cs="仿宋_GB2312"/>
          <w:color w:val="000000"/>
          <w:kern w:val="0"/>
          <w:sz w:val="32"/>
          <w:szCs w:val="32"/>
          <w:lang w:val="en-US" w:eastAsia="zh-CN" w:bidi="ar-SA"/>
        </w:rPr>
        <w:t>万元，通过评审核减不合理的项目支出，提高了财政资金使用效率。</w:t>
      </w:r>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2</w:t>
      </w:r>
      <w:r>
        <w:rPr>
          <w:rFonts w:hint="eastAsia" w:ascii="仿宋_GB2312" w:eastAsia="仿宋_GB2312" w:cs="仿宋_GB2312"/>
          <w:color w:val="000000"/>
          <w:kern w:val="0"/>
          <w:sz w:val="32"/>
          <w:szCs w:val="32"/>
          <w:lang w:val="en-US" w:eastAsia="zh-CN" w:bidi="ar-SA"/>
        </w:rPr>
        <w:t>.</w:t>
      </w:r>
      <w:r>
        <w:rPr>
          <w:rFonts w:hint="default" w:ascii="仿宋_GB2312" w:hAnsi="宋体" w:eastAsia="仿宋_GB2312" w:cs="仿宋_GB2312"/>
          <w:color w:val="000000"/>
          <w:kern w:val="0"/>
          <w:sz w:val="32"/>
          <w:szCs w:val="32"/>
          <w:lang w:val="en-US" w:eastAsia="zh-CN" w:bidi="ar-SA"/>
        </w:rPr>
        <w:t>项目实现的社会效益分析</w:t>
      </w:r>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根据县委、县政安排，财政投资评审是为县直部门项目建设资金提供评审服务。202</w:t>
      </w:r>
      <w:r>
        <w:rPr>
          <w:rFonts w:hint="eastAsia" w:ascii="仿宋_GB2312" w:hAnsi="宋体" w:eastAsia="仿宋_GB2312" w:cs="仿宋_GB2312"/>
          <w:color w:val="000000"/>
          <w:kern w:val="0"/>
          <w:sz w:val="32"/>
          <w:szCs w:val="32"/>
          <w:lang w:val="en-US" w:eastAsia="zh-CN" w:bidi="ar-SA"/>
        </w:rPr>
        <w:t>3</w:t>
      </w:r>
      <w:r>
        <w:rPr>
          <w:rFonts w:hint="default" w:ascii="仿宋_GB2312" w:hAnsi="宋体" w:eastAsia="仿宋_GB2312" w:cs="仿宋_GB2312"/>
          <w:color w:val="000000"/>
          <w:kern w:val="0"/>
          <w:sz w:val="32"/>
          <w:szCs w:val="32"/>
          <w:lang w:val="en-US" w:eastAsia="zh-CN" w:bidi="ar-SA"/>
        </w:rPr>
        <w:t>年度评审中心按照县政府规定的时间节点，完成了项目评审工作，促进政府投资项目顺利实施，完善基础设施，加大民生投入，提高了人们生活水平。</w:t>
      </w:r>
    </w:p>
    <w:p>
      <w:pPr>
        <w:ind w:firstLine="640" w:firstLineChars="200"/>
        <w:rPr>
          <w:rFonts w:ascii="黑体" w:hAnsi="黑体" w:eastAsia="黑体"/>
          <w:sz w:val="32"/>
          <w:szCs w:val="32"/>
          <w:lang w:val="zh-CN"/>
        </w:rPr>
      </w:pPr>
      <w:bookmarkStart w:id="133" w:name="_Toc28308_WPSOffice_Level2"/>
      <w:r>
        <w:rPr>
          <w:rFonts w:hint="eastAsia" w:ascii="黑体" w:hAnsi="黑体" w:eastAsia="黑体"/>
          <w:sz w:val="32"/>
          <w:szCs w:val="32"/>
          <w:lang w:val="zh-CN"/>
        </w:rPr>
        <w:t>四、评价结论</w:t>
      </w:r>
      <w:bookmarkEnd w:id="133"/>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红原县财政局财政评审及竣工结算审核项目，对政府性投资项目进行招标控制价审核和竣工结算价审核是财政监督管理职能的重要组成部分，为合理控制政府投资项目成本费用、节约建设资金和提高财政投资效益起到了很大的作用。</w:t>
      </w:r>
    </w:p>
    <w:p>
      <w:pPr>
        <w:ind w:firstLine="640" w:firstLineChars="200"/>
        <w:rPr>
          <w:rFonts w:ascii="黑体" w:hAnsi="黑体" w:eastAsia="黑体"/>
          <w:sz w:val="32"/>
          <w:szCs w:val="32"/>
          <w:lang w:val="zh-CN"/>
        </w:rPr>
      </w:pPr>
      <w:bookmarkStart w:id="134" w:name="_Toc27819_WPSOffice_Level2"/>
      <w:r>
        <w:rPr>
          <w:rFonts w:hint="eastAsia" w:ascii="黑体" w:hAnsi="黑体" w:eastAsia="黑体"/>
          <w:sz w:val="32"/>
          <w:szCs w:val="32"/>
          <w:lang w:val="zh-CN"/>
        </w:rPr>
        <w:t>五、存在主要问题</w:t>
      </w:r>
      <w:bookmarkEnd w:id="134"/>
    </w:p>
    <w:p>
      <w:pPr>
        <w:pStyle w:val="36"/>
        <w:keepNext w:val="0"/>
        <w:keepLines w:val="0"/>
        <w:widowControl w:val="0"/>
        <w:suppressLineNumbers w:val="0"/>
        <w:spacing w:after="0" w:afterAutospacing="0" w:line="540"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部分项目在实施过程中可能会出现超出规定时效的情况，主要是因为部分项目业主不了解工程项目的基本情况，在报送审核资料时，出现漏报、误报的情况，其次是因为部分中介机构服务水平有限，且我单位工作人员与服务机构沟通也存在一定问题。</w:t>
      </w:r>
      <w:r>
        <w:rPr>
          <w:rFonts w:hint="default" w:ascii="仿宋_GB2312" w:hAnsi="宋体" w:eastAsia="仿宋_GB2312" w:cs="仿宋_GB2312"/>
          <w:color w:val="000000"/>
          <w:kern w:val="0"/>
          <w:sz w:val="32"/>
          <w:szCs w:val="32"/>
        </w:rPr>
        <w:tab/>
      </w:r>
    </w:p>
    <w:p>
      <w:pPr>
        <w:ind w:firstLine="640" w:firstLineChars="200"/>
        <w:rPr>
          <w:rFonts w:ascii="黑体" w:hAnsi="黑体" w:eastAsia="黑体"/>
          <w:sz w:val="32"/>
          <w:szCs w:val="32"/>
          <w:lang w:val="zh-CN"/>
        </w:rPr>
      </w:pPr>
      <w:bookmarkStart w:id="135" w:name="_Toc14278_WPSOffice_Level2"/>
      <w:r>
        <w:rPr>
          <w:rFonts w:hint="eastAsia" w:ascii="黑体" w:hAnsi="黑体" w:eastAsia="黑体"/>
          <w:sz w:val="32"/>
          <w:szCs w:val="32"/>
          <w:lang w:val="zh-CN"/>
        </w:rPr>
        <w:t>六、改进建议</w:t>
      </w:r>
      <w:bookmarkEnd w:id="135"/>
    </w:p>
    <w:p>
      <w:pPr>
        <w:ind w:firstLine="640" w:firstLineChars="200"/>
        <w:rPr>
          <w:rFonts w:eastAsia="仿宋_GB2312"/>
          <w:sz w:val="32"/>
          <w:szCs w:val="32"/>
          <w:lang w:val="zh-CN"/>
        </w:rPr>
      </w:pPr>
      <w:r>
        <w:rPr>
          <w:rFonts w:hint="eastAsia" w:eastAsia="仿宋_GB2312"/>
          <w:sz w:val="32"/>
          <w:szCs w:val="32"/>
          <w:lang w:val="zh-CN"/>
        </w:rPr>
        <w:t xml:space="preserve">   </w:t>
      </w:r>
      <w:r>
        <w:rPr>
          <w:rFonts w:hint="default" w:ascii="仿宋_GB2312" w:hAnsi="宋体" w:eastAsia="仿宋_GB2312" w:cs="仿宋_GB2312"/>
          <w:color w:val="000000"/>
          <w:kern w:val="0"/>
          <w:sz w:val="32"/>
          <w:szCs w:val="32"/>
        </w:rPr>
        <w:t xml:space="preserve">为更好的开展红原县招标控制价及竣工结算审核工作，以后的工作中，首先应进一步加强我单位工作人员业务培训，加强业务能力，并完善相应的中介服务机构管理办法，加强对中介服务机构的管理，提高中介服务机构的服务水平。 </w:t>
      </w:r>
    </w:p>
    <w:p>
      <w:pPr>
        <w:pStyle w:val="3"/>
        <w:jc w:val="center"/>
        <w:rPr>
          <w:rFonts w:ascii="黑体" w:hAnsi="黑体" w:eastAsia="黑体"/>
        </w:rPr>
      </w:pPr>
      <w:bookmarkStart w:id="136" w:name="_Toc21711_WPSOffice_Level1"/>
      <w:r>
        <w:rPr>
          <w:rFonts w:hint="eastAsia" w:ascii="黑体" w:hAnsi="黑体" w:eastAsia="黑体"/>
        </w:rPr>
        <w:t>第五部分 附表</w:t>
      </w:r>
      <w:bookmarkEnd w:id="136"/>
    </w:p>
    <w:p>
      <w:pPr>
        <w:rPr>
          <w:rFonts w:ascii="仿宋" w:hAnsi="仿宋" w:eastAsia="仿宋"/>
          <w:sz w:val="32"/>
          <w:szCs w:val="32"/>
        </w:rPr>
      </w:pPr>
      <w:bookmarkStart w:id="137" w:name="_Toc4292_WPSOffice_Level2"/>
      <w:r>
        <w:rPr>
          <w:rFonts w:hint="eastAsia" w:ascii="仿宋" w:hAnsi="仿宋" w:eastAsia="仿宋"/>
          <w:sz w:val="32"/>
          <w:szCs w:val="32"/>
        </w:rPr>
        <w:t>一、收入支出决算总表</w:t>
      </w:r>
      <w:bookmarkEnd w:id="137"/>
    </w:p>
    <w:p>
      <w:pPr>
        <w:rPr>
          <w:rFonts w:ascii="仿宋" w:hAnsi="仿宋" w:eastAsia="仿宋"/>
          <w:sz w:val="32"/>
          <w:szCs w:val="32"/>
        </w:rPr>
      </w:pPr>
      <w:bookmarkStart w:id="138" w:name="_Toc30602_WPSOffice_Level2"/>
      <w:r>
        <w:rPr>
          <w:rFonts w:hint="eastAsia" w:ascii="仿宋" w:hAnsi="仿宋" w:eastAsia="仿宋"/>
          <w:sz w:val="32"/>
          <w:szCs w:val="32"/>
        </w:rPr>
        <w:t>二、收入决算表</w:t>
      </w:r>
      <w:bookmarkEnd w:id="138"/>
    </w:p>
    <w:p>
      <w:pPr>
        <w:rPr>
          <w:rFonts w:ascii="仿宋" w:hAnsi="仿宋" w:eastAsia="仿宋"/>
          <w:sz w:val="32"/>
          <w:szCs w:val="32"/>
        </w:rPr>
      </w:pPr>
      <w:bookmarkStart w:id="139" w:name="_Toc19435_WPSOffice_Level2"/>
      <w:r>
        <w:rPr>
          <w:rFonts w:hint="eastAsia" w:ascii="仿宋" w:hAnsi="仿宋" w:eastAsia="仿宋"/>
          <w:sz w:val="32"/>
          <w:szCs w:val="32"/>
        </w:rPr>
        <w:t>三、支出决算表</w:t>
      </w:r>
      <w:bookmarkEnd w:id="139"/>
    </w:p>
    <w:p>
      <w:pPr>
        <w:rPr>
          <w:rFonts w:ascii="仿宋" w:hAnsi="仿宋" w:eastAsia="仿宋"/>
          <w:sz w:val="32"/>
          <w:szCs w:val="32"/>
        </w:rPr>
      </w:pPr>
      <w:bookmarkStart w:id="140" w:name="_Toc23260_WPSOffice_Level2"/>
      <w:r>
        <w:rPr>
          <w:rFonts w:hint="eastAsia" w:ascii="仿宋" w:hAnsi="仿宋" w:eastAsia="仿宋"/>
          <w:sz w:val="32"/>
          <w:szCs w:val="32"/>
        </w:rPr>
        <w:t>四、财政拨款收入支出决算总表</w:t>
      </w:r>
      <w:bookmarkEnd w:id="140"/>
    </w:p>
    <w:p>
      <w:pPr>
        <w:rPr>
          <w:rFonts w:ascii="仿宋" w:hAnsi="仿宋" w:eastAsia="仿宋"/>
          <w:sz w:val="32"/>
          <w:szCs w:val="32"/>
        </w:rPr>
      </w:pPr>
      <w:bookmarkStart w:id="141" w:name="_Toc22333_WPSOffice_Level2"/>
      <w:r>
        <w:rPr>
          <w:rFonts w:hint="eastAsia" w:ascii="仿宋" w:hAnsi="仿宋" w:eastAsia="仿宋"/>
          <w:sz w:val="32"/>
          <w:szCs w:val="32"/>
        </w:rPr>
        <w:t>五、财政拨款支出决算明细表</w:t>
      </w:r>
      <w:bookmarkEnd w:id="141"/>
    </w:p>
    <w:p>
      <w:pPr>
        <w:rPr>
          <w:rFonts w:ascii="仿宋" w:hAnsi="仿宋" w:eastAsia="仿宋"/>
          <w:sz w:val="32"/>
          <w:szCs w:val="32"/>
        </w:rPr>
      </w:pPr>
      <w:bookmarkStart w:id="142" w:name="_Toc15923_WPSOffice_Level2"/>
      <w:r>
        <w:rPr>
          <w:rFonts w:hint="eastAsia" w:ascii="仿宋" w:hAnsi="仿宋" w:eastAsia="仿宋"/>
          <w:sz w:val="32"/>
          <w:szCs w:val="32"/>
        </w:rPr>
        <w:t>六、一般公共预算财政拨款支出决算表</w:t>
      </w:r>
      <w:bookmarkEnd w:id="142"/>
    </w:p>
    <w:p>
      <w:pPr>
        <w:rPr>
          <w:rFonts w:ascii="仿宋" w:hAnsi="仿宋" w:eastAsia="仿宋"/>
          <w:sz w:val="32"/>
          <w:szCs w:val="32"/>
        </w:rPr>
      </w:pPr>
      <w:bookmarkStart w:id="143" w:name="_Toc11762_WPSOffice_Level2"/>
      <w:r>
        <w:rPr>
          <w:rFonts w:hint="eastAsia" w:ascii="仿宋" w:hAnsi="仿宋" w:eastAsia="仿宋"/>
          <w:sz w:val="32"/>
          <w:szCs w:val="32"/>
        </w:rPr>
        <w:t>七、一般公共预算财政拨款支出决算明细表</w:t>
      </w:r>
      <w:bookmarkEnd w:id="143"/>
    </w:p>
    <w:p>
      <w:pPr>
        <w:rPr>
          <w:rFonts w:ascii="仿宋" w:hAnsi="仿宋" w:eastAsia="仿宋"/>
          <w:sz w:val="32"/>
          <w:szCs w:val="32"/>
        </w:rPr>
      </w:pPr>
      <w:bookmarkStart w:id="144" w:name="_Toc1531_WPSOffice_Level2"/>
      <w:r>
        <w:rPr>
          <w:rFonts w:hint="eastAsia" w:ascii="仿宋" w:hAnsi="仿宋" w:eastAsia="仿宋"/>
          <w:sz w:val="32"/>
          <w:szCs w:val="32"/>
        </w:rPr>
        <w:t>八、一般公共预算财政拨款基本支出决算表</w:t>
      </w:r>
      <w:bookmarkEnd w:id="144"/>
    </w:p>
    <w:p>
      <w:pPr>
        <w:rPr>
          <w:rFonts w:ascii="仿宋" w:hAnsi="仿宋" w:eastAsia="仿宋"/>
          <w:sz w:val="32"/>
          <w:szCs w:val="32"/>
        </w:rPr>
      </w:pPr>
      <w:bookmarkStart w:id="145" w:name="_Toc2177_WPSOffice_Level2"/>
      <w:r>
        <w:rPr>
          <w:rFonts w:hint="eastAsia" w:ascii="仿宋" w:hAnsi="仿宋" w:eastAsia="仿宋"/>
          <w:sz w:val="32"/>
          <w:szCs w:val="32"/>
        </w:rPr>
        <w:t>九、一般公共预算财政拨款项目支出决算表</w:t>
      </w:r>
      <w:bookmarkEnd w:id="145"/>
    </w:p>
    <w:p>
      <w:pPr>
        <w:rPr>
          <w:rFonts w:ascii="仿宋" w:hAnsi="仿宋" w:eastAsia="仿宋"/>
          <w:sz w:val="32"/>
          <w:szCs w:val="32"/>
        </w:rPr>
      </w:pPr>
      <w:bookmarkStart w:id="146" w:name="_Toc8126_WPSOffice_Level2"/>
      <w:r>
        <w:rPr>
          <w:rFonts w:hint="eastAsia" w:ascii="仿宋" w:hAnsi="仿宋" w:eastAsia="仿宋"/>
          <w:sz w:val="32"/>
          <w:szCs w:val="32"/>
        </w:rPr>
        <w:t>十、政府性基金预算财政拨款收入支出决算表</w:t>
      </w:r>
      <w:bookmarkEnd w:id="146"/>
    </w:p>
    <w:p>
      <w:pPr>
        <w:rPr>
          <w:rFonts w:ascii="仿宋" w:hAnsi="仿宋" w:eastAsia="仿宋"/>
          <w:sz w:val="32"/>
          <w:szCs w:val="32"/>
        </w:rPr>
      </w:pPr>
      <w:bookmarkStart w:id="147" w:name="_Toc392_WPSOffice_Level2"/>
      <w:r>
        <w:rPr>
          <w:rFonts w:hint="eastAsia" w:ascii="仿宋" w:hAnsi="仿宋" w:eastAsia="仿宋"/>
          <w:sz w:val="32"/>
          <w:szCs w:val="32"/>
        </w:rPr>
        <w:t>十一、国有资本经营预算财政拨款收入支出决算表</w:t>
      </w:r>
      <w:bookmarkEnd w:id="147"/>
    </w:p>
    <w:p>
      <w:pPr>
        <w:rPr>
          <w:rFonts w:ascii="仿宋" w:hAnsi="仿宋" w:eastAsia="仿宋"/>
          <w:sz w:val="32"/>
          <w:szCs w:val="32"/>
        </w:rPr>
      </w:pPr>
      <w:bookmarkStart w:id="148" w:name="_Toc6620_WPSOffice_Level2"/>
      <w:r>
        <w:rPr>
          <w:rFonts w:hint="eastAsia" w:ascii="仿宋" w:hAnsi="仿宋" w:eastAsia="仿宋"/>
          <w:sz w:val="32"/>
          <w:szCs w:val="32"/>
        </w:rPr>
        <w:t>十二、国有资本经营预算财政拨款支出决算表</w:t>
      </w:r>
      <w:bookmarkEnd w:id="148"/>
    </w:p>
    <w:p>
      <w:pPr>
        <w:rPr>
          <w:rFonts w:ascii="仿宋" w:hAnsi="仿宋" w:eastAsia="仿宋"/>
          <w:sz w:val="32"/>
          <w:szCs w:val="32"/>
        </w:rPr>
      </w:pPr>
      <w:bookmarkStart w:id="149" w:name="_Toc15162_WPSOffice_Level2"/>
      <w:r>
        <w:rPr>
          <w:rFonts w:hint="eastAsia" w:ascii="仿宋" w:hAnsi="仿宋" w:eastAsia="仿宋"/>
          <w:sz w:val="32"/>
          <w:szCs w:val="32"/>
        </w:rPr>
        <w:t>十三、财政拨款“三公”经费支出决算表</w:t>
      </w:r>
      <w:bookmarkEnd w:id="149"/>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2"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8ODrDAgAA2A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MR8ODrDAgAA2AUAAA4AAAAA&#10;AAAAAQAgAAAAHwEAAGRycy9lMm9Eb2MueG1sUEsFBgAAAAAGAAYAWQEAAFQGAAAAAA==&#10;">
              <v:fill on="f" focussize="0,0"/>
              <v:stroke on="f" weight="0.5pt"/>
              <v:imagedata o:title=""/>
              <o:lock v:ext="edit" aspectratio="f"/>
              <v:textbox inset="0mm,0mm,0mm,0mm" style="mso-fit-shape-to-text:t;">
                <w:txbxContent>
                  <w:sdt>
                    <w:sdtPr>
                      <w:id w:val="-1994781956"/>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U//DAgAA2A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F+LU//DAgAA2AUAAA4AAAAA&#10;AAAAAQAgAAAAHwEAAGRycy9lMm9Eb2MueG1sUEsFBgAAAAAGAAYAWQEAAFQG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B53CC21"/>
    <w:multiLevelType w:val="singleLevel"/>
    <w:tmpl w:val="3B53CC21"/>
    <w:lvl w:ilvl="0" w:tentative="0">
      <w:start w:val="1"/>
      <w:numFmt w:val="chineseCounting"/>
      <w:suff w:val="nothing"/>
      <w:lvlText w:val="%1、"/>
      <w:lvlJc w:val="left"/>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07FC9"/>
    <w:rsid w:val="006101B1"/>
    <w:rsid w:val="00614E44"/>
    <w:rsid w:val="00620030"/>
    <w:rsid w:val="0062270A"/>
    <w:rsid w:val="00622830"/>
    <w:rsid w:val="00623DA0"/>
    <w:rsid w:val="00630AEF"/>
    <w:rsid w:val="00631933"/>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17A7A80"/>
    <w:rsid w:val="01B14616"/>
    <w:rsid w:val="01E3237F"/>
    <w:rsid w:val="024E0781"/>
    <w:rsid w:val="02816617"/>
    <w:rsid w:val="02C3553F"/>
    <w:rsid w:val="02C71D59"/>
    <w:rsid w:val="02D63A59"/>
    <w:rsid w:val="02E57C45"/>
    <w:rsid w:val="02FE02CA"/>
    <w:rsid w:val="02FEBE30"/>
    <w:rsid w:val="03186F90"/>
    <w:rsid w:val="03326D3B"/>
    <w:rsid w:val="036F8141"/>
    <w:rsid w:val="0370388B"/>
    <w:rsid w:val="0376280E"/>
    <w:rsid w:val="03CB1750"/>
    <w:rsid w:val="044B2AF9"/>
    <w:rsid w:val="04665B2E"/>
    <w:rsid w:val="04FA664C"/>
    <w:rsid w:val="051868F6"/>
    <w:rsid w:val="052140B7"/>
    <w:rsid w:val="05677AF7"/>
    <w:rsid w:val="0586083B"/>
    <w:rsid w:val="066E0107"/>
    <w:rsid w:val="06D53A4F"/>
    <w:rsid w:val="071F0E37"/>
    <w:rsid w:val="07996F6E"/>
    <w:rsid w:val="07CC0F97"/>
    <w:rsid w:val="07DF69CD"/>
    <w:rsid w:val="07DFD8BA"/>
    <w:rsid w:val="08107FC4"/>
    <w:rsid w:val="08A76447"/>
    <w:rsid w:val="08D20542"/>
    <w:rsid w:val="09174E12"/>
    <w:rsid w:val="093111A2"/>
    <w:rsid w:val="09B04673"/>
    <w:rsid w:val="09BF1DC7"/>
    <w:rsid w:val="09C54C2A"/>
    <w:rsid w:val="09D03DF8"/>
    <w:rsid w:val="09EA4C51"/>
    <w:rsid w:val="0A2032A3"/>
    <w:rsid w:val="0A342A01"/>
    <w:rsid w:val="0A7912A6"/>
    <w:rsid w:val="0A8C053E"/>
    <w:rsid w:val="0A9004E0"/>
    <w:rsid w:val="0ABC2B18"/>
    <w:rsid w:val="0ADD2BFC"/>
    <w:rsid w:val="0AE031B8"/>
    <w:rsid w:val="0BF03EFA"/>
    <w:rsid w:val="0C1D4D4B"/>
    <w:rsid w:val="0C6D4300"/>
    <w:rsid w:val="0C7015A9"/>
    <w:rsid w:val="0C826FCA"/>
    <w:rsid w:val="0D35B1ED"/>
    <w:rsid w:val="0DD245BE"/>
    <w:rsid w:val="0DD31EFD"/>
    <w:rsid w:val="0E3F3C01"/>
    <w:rsid w:val="0E610637"/>
    <w:rsid w:val="0E7ED1F5"/>
    <w:rsid w:val="0E9854D8"/>
    <w:rsid w:val="0EC40164"/>
    <w:rsid w:val="0F215B2E"/>
    <w:rsid w:val="0F6B22B5"/>
    <w:rsid w:val="0F7D4D9E"/>
    <w:rsid w:val="0F974445"/>
    <w:rsid w:val="0F98263C"/>
    <w:rsid w:val="0FCE2CF5"/>
    <w:rsid w:val="1007225D"/>
    <w:rsid w:val="101860EC"/>
    <w:rsid w:val="10C055FF"/>
    <w:rsid w:val="118107EC"/>
    <w:rsid w:val="11A93D02"/>
    <w:rsid w:val="12096933"/>
    <w:rsid w:val="12D0598B"/>
    <w:rsid w:val="130C0B1E"/>
    <w:rsid w:val="131C7FD3"/>
    <w:rsid w:val="13515537"/>
    <w:rsid w:val="135F0BD2"/>
    <w:rsid w:val="1366533D"/>
    <w:rsid w:val="136A6468"/>
    <w:rsid w:val="13D50BC4"/>
    <w:rsid w:val="13EC0D39"/>
    <w:rsid w:val="13EE7EF2"/>
    <w:rsid w:val="13F5616D"/>
    <w:rsid w:val="142414B8"/>
    <w:rsid w:val="14374142"/>
    <w:rsid w:val="14BE2864"/>
    <w:rsid w:val="15337AAD"/>
    <w:rsid w:val="15A53934"/>
    <w:rsid w:val="15A839C9"/>
    <w:rsid w:val="16BB723D"/>
    <w:rsid w:val="16E46325"/>
    <w:rsid w:val="17F64F94"/>
    <w:rsid w:val="17F9714D"/>
    <w:rsid w:val="180F35C8"/>
    <w:rsid w:val="181A3850"/>
    <w:rsid w:val="184850E4"/>
    <w:rsid w:val="18BA53FF"/>
    <w:rsid w:val="1918F934"/>
    <w:rsid w:val="197369DE"/>
    <w:rsid w:val="198D20F4"/>
    <w:rsid w:val="19ED0B2B"/>
    <w:rsid w:val="19F67F39"/>
    <w:rsid w:val="19FE12BE"/>
    <w:rsid w:val="1AB1007C"/>
    <w:rsid w:val="1AB7256E"/>
    <w:rsid w:val="1AF553F6"/>
    <w:rsid w:val="1BC60728"/>
    <w:rsid w:val="1BE8440E"/>
    <w:rsid w:val="1C975AEF"/>
    <w:rsid w:val="1CAA1D54"/>
    <w:rsid w:val="1D155CEE"/>
    <w:rsid w:val="1D1E69F7"/>
    <w:rsid w:val="1DC90269"/>
    <w:rsid w:val="1DE52172"/>
    <w:rsid w:val="1DF00134"/>
    <w:rsid w:val="1DFBC4B3"/>
    <w:rsid w:val="1E144B3E"/>
    <w:rsid w:val="1E740ACF"/>
    <w:rsid w:val="1E7C6ED8"/>
    <w:rsid w:val="1EAA4111"/>
    <w:rsid w:val="1EAE2EF8"/>
    <w:rsid w:val="1EB8028E"/>
    <w:rsid w:val="1EBD48DF"/>
    <w:rsid w:val="1F19C781"/>
    <w:rsid w:val="1F33FCE5"/>
    <w:rsid w:val="1F3B6A53"/>
    <w:rsid w:val="1F6F36E4"/>
    <w:rsid w:val="1F732460"/>
    <w:rsid w:val="1F7A4A87"/>
    <w:rsid w:val="1F7F7398"/>
    <w:rsid w:val="1FD2DB6F"/>
    <w:rsid w:val="1FD363C0"/>
    <w:rsid w:val="1FDC2B6B"/>
    <w:rsid w:val="1FF35744"/>
    <w:rsid w:val="1FF6BC77"/>
    <w:rsid w:val="1FF9236D"/>
    <w:rsid w:val="20D25D52"/>
    <w:rsid w:val="211C00A4"/>
    <w:rsid w:val="21B414D5"/>
    <w:rsid w:val="21C8338B"/>
    <w:rsid w:val="22741F70"/>
    <w:rsid w:val="22F63720"/>
    <w:rsid w:val="22F852EB"/>
    <w:rsid w:val="2333840E"/>
    <w:rsid w:val="23860B96"/>
    <w:rsid w:val="23B8020B"/>
    <w:rsid w:val="240371BF"/>
    <w:rsid w:val="244476F6"/>
    <w:rsid w:val="2486201C"/>
    <w:rsid w:val="249801F3"/>
    <w:rsid w:val="25466FA9"/>
    <w:rsid w:val="257C638F"/>
    <w:rsid w:val="26381D86"/>
    <w:rsid w:val="266A1D8B"/>
    <w:rsid w:val="26DF423B"/>
    <w:rsid w:val="26E074FE"/>
    <w:rsid w:val="26F00F83"/>
    <w:rsid w:val="274D00C0"/>
    <w:rsid w:val="277F1DB7"/>
    <w:rsid w:val="2885050F"/>
    <w:rsid w:val="29CD0083"/>
    <w:rsid w:val="29FD04D3"/>
    <w:rsid w:val="2A017A4A"/>
    <w:rsid w:val="2A354DF1"/>
    <w:rsid w:val="2A477BA6"/>
    <w:rsid w:val="2A942680"/>
    <w:rsid w:val="2AE540AA"/>
    <w:rsid w:val="2AFA5D3D"/>
    <w:rsid w:val="2B225C3A"/>
    <w:rsid w:val="2B63691D"/>
    <w:rsid w:val="2B69639B"/>
    <w:rsid w:val="2BFF7BC6"/>
    <w:rsid w:val="2C3E2127"/>
    <w:rsid w:val="2C8A61B5"/>
    <w:rsid w:val="2CA005FA"/>
    <w:rsid w:val="2CD59C95"/>
    <w:rsid w:val="2CE43AD8"/>
    <w:rsid w:val="2CF74829"/>
    <w:rsid w:val="2CF95099"/>
    <w:rsid w:val="2D487C6D"/>
    <w:rsid w:val="2DB57E7C"/>
    <w:rsid w:val="2DF04E50"/>
    <w:rsid w:val="2E777267"/>
    <w:rsid w:val="2EA048CE"/>
    <w:rsid w:val="2EBF3D6C"/>
    <w:rsid w:val="2EC338EA"/>
    <w:rsid w:val="2EDE6E17"/>
    <w:rsid w:val="2EF55952"/>
    <w:rsid w:val="2EFD05E5"/>
    <w:rsid w:val="2F040D46"/>
    <w:rsid w:val="2F4F95CE"/>
    <w:rsid w:val="2FACAFDD"/>
    <w:rsid w:val="2FAE5751"/>
    <w:rsid w:val="2FB1A395"/>
    <w:rsid w:val="2FCF0B76"/>
    <w:rsid w:val="2FD47FF3"/>
    <w:rsid w:val="2FD9A7D8"/>
    <w:rsid w:val="302B392C"/>
    <w:rsid w:val="305834A5"/>
    <w:rsid w:val="30C635D7"/>
    <w:rsid w:val="31092BC2"/>
    <w:rsid w:val="31630D3A"/>
    <w:rsid w:val="319F7F4E"/>
    <w:rsid w:val="31EC05D1"/>
    <w:rsid w:val="3304709D"/>
    <w:rsid w:val="33712043"/>
    <w:rsid w:val="33766736"/>
    <w:rsid w:val="339650C3"/>
    <w:rsid w:val="34351B0F"/>
    <w:rsid w:val="34C00BE4"/>
    <w:rsid w:val="351D351B"/>
    <w:rsid w:val="35412F26"/>
    <w:rsid w:val="35C416DE"/>
    <w:rsid w:val="35CC2CD9"/>
    <w:rsid w:val="35E67F04"/>
    <w:rsid w:val="35FA6D35"/>
    <w:rsid w:val="36351548"/>
    <w:rsid w:val="36AA5135"/>
    <w:rsid w:val="36BE0DA7"/>
    <w:rsid w:val="376B6AA6"/>
    <w:rsid w:val="376D39B2"/>
    <w:rsid w:val="3773112A"/>
    <w:rsid w:val="37E16F03"/>
    <w:rsid w:val="37F32735"/>
    <w:rsid w:val="37F53A3B"/>
    <w:rsid w:val="38D10644"/>
    <w:rsid w:val="38D469F0"/>
    <w:rsid w:val="38D919B3"/>
    <w:rsid w:val="38F78389"/>
    <w:rsid w:val="397BAF1F"/>
    <w:rsid w:val="398235F4"/>
    <w:rsid w:val="39E7B272"/>
    <w:rsid w:val="39F7642F"/>
    <w:rsid w:val="39FF7B37"/>
    <w:rsid w:val="3A003F48"/>
    <w:rsid w:val="3A0F39DD"/>
    <w:rsid w:val="3A925A0E"/>
    <w:rsid w:val="3AB79AF3"/>
    <w:rsid w:val="3AFDCB77"/>
    <w:rsid w:val="3B210803"/>
    <w:rsid w:val="3B7EF35A"/>
    <w:rsid w:val="3B9FDB6C"/>
    <w:rsid w:val="3BB92C19"/>
    <w:rsid w:val="3BF5BC2F"/>
    <w:rsid w:val="3BF7C23A"/>
    <w:rsid w:val="3BFC04E2"/>
    <w:rsid w:val="3BFF223E"/>
    <w:rsid w:val="3C4C4EBE"/>
    <w:rsid w:val="3C4D5A11"/>
    <w:rsid w:val="3C5F1CDA"/>
    <w:rsid w:val="3C6EC0A1"/>
    <w:rsid w:val="3C7514FE"/>
    <w:rsid w:val="3CDB0824"/>
    <w:rsid w:val="3CEBA265"/>
    <w:rsid w:val="3D5D02CA"/>
    <w:rsid w:val="3D6A7F9F"/>
    <w:rsid w:val="3D7E7F4D"/>
    <w:rsid w:val="3D98207C"/>
    <w:rsid w:val="3D9CF30A"/>
    <w:rsid w:val="3DFF5A3E"/>
    <w:rsid w:val="3E78745D"/>
    <w:rsid w:val="3EEE77E9"/>
    <w:rsid w:val="3F394AF5"/>
    <w:rsid w:val="3F497E8F"/>
    <w:rsid w:val="3F4D12A0"/>
    <w:rsid w:val="3FBE5714"/>
    <w:rsid w:val="3FDA54B9"/>
    <w:rsid w:val="3FDD8615"/>
    <w:rsid w:val="3FDFB2FF"/>
    <w:rsid w:val="3FF4CAE0"/>
    <w:rsid w:val="3FF75FAF"/>
    <w:rsid w:val="3FF7B227"/>
    <w:rsid w:val="401D3274"/>
    <w:rsid w:val="404D3DAD"/>
    <w:rsid w:val="404D51B3"/>
    <w:rsid w:val="411F7E0F"/>
    <w:rsid w:val="416E4CA2"/>
    <w:rsid w:val="4221469D"/>
    <w:rsid w:val="42A315C0"/>
    <w:rsid w:val="441A7C96"/>
    <w:rsid w:val="444D0727"/>
    <w:rsid w:val="44E268DA"/>
    <w:rsid w:val="44F91AF2"/>
    <w:rsid w:val="45096A0B"/>
    <w:rsid w:val="45710D4F"/>
    <w:rsid w:val="457F4F6B"/>
    <w:rsid w:val="461D6CD5"/>
    <w:rsid w:val="470139A1"/>
    <w:rsid w:val="47335DDE"/>
    <w:rsid w:val="4737FB58"/>
    <w:rsid w:val="47E15F0A"/>
    <w:rsid w:val="47ECCB02"/>
    <w:rsid w:val="47ED3D9F"/>
    <w:rsid w:val="47FA6A3F"/>
    <w:rsid w:val="4806719A"/>
    <w:rsid w:val="481A0800"/>
    <w:rsid w:val="48952E57"/>
    <w:rsid w:val="48B05702"/>
    <w:rsid w:val="48BC6BE8"/>
    <w:rsid w:val="496739E1"/>
    <w:rsid w:val="497F54D4"/>
    <w:rsid w:val="498A3265"/>
    <w:rsid w:val="49B1178E"/>
    <w:rsid w:val="49D7AE48"/>
    <w:rsid w:val="4A080208"/>
    <w:rsid w:val="4A3F6C7E"/>
    <w:rsid w:val="4A591407"/>
    <w:rsid w:val="4A627F82"/>
    <w:rsid w:val="4B0E749A"/>
    <w:rsid w:val="4B4F25DA"/>
    <w:rsid w:val="4BB2552B"/>
    <w:rsid w:val="4BBB4781"/>
    <w:rsid w:val="4BD709A5"/>
    <w:rsid w:val="4BDD9BFF"/>
    <w:rsid w:val="4BE068DB"/>
    <w:rsid w:val="4BFC035E"/>
    <w:rsid w:val="4C1F27A9"/>
    <w:rsid w:val="4C2C0993"/>
    <w:rsid w:val="4D577224"/>
    <w:rsid w:val="4D8A4B72"/>
    <w:rsid w:val="4DBF1CEB"/>
    <w:rsid w:val="4DBF6A6B"/>
    <w:rsid w:val="4DD6766B"/>
    <w:rsid w:val="4DF6A672"/>
    <w:rsid w:val="4E361F89"/>
    <w:rsid w:val="4E4B2871"/>
    <w:rsid w:val="4E5849FE"/>
    <w:rsid w:val="4EAB630A"/>
    <w:rsid w:val="4ECE2238"/>
    <w:rsid w:val="4F046D7E"/>
    <w:rsid w:val="4F7EA413"/>
    <w:rsid w:val="4FAB812F"/>
    <w:rsid w:val="4FB6604A"/>
    <w:rsid w:val="4FE230FA"/>
    <w:rsid w:val="4FE57B46"/>
    <w:rsid w:val="4FE9BD67"/>
    <w:rsid w:val="4FEE4C07"/>
    <w:rsid w:val="4FFB052F"/>
    <w:rsid w:val="500003D4"/>
    <w:rsid w:val="5033756A"/>
    <w:rsid w:val="504E5018"/>
    <w:rsid w:val="50B743A7"/>
    <w:rsid w:val="50E976C6"/>
    <w:rsid w:val="51035B19"/>
    <w:rsid w:val="512834A7"/>
    <w:rsid w:val="51637C48"/>
    <w:rsid w:val="51937678"/>
    <w:rsid w:val="51D959EE"/>
    <w:rsid w:val="51F356C1"/>
    <w:rsid w:val="52134DDE"/>
    <w:rsid w:val="52175E81"/>
    <w:rsid w:val="52466EF1"/>
    <w:rsid w:val="530F2B97"/>
    <w:rsid w:val="531112FA"/>
    <w:rsid w:val="531D0701"/>
    <w:rsid w:val="534666F8"/>
    <w:rsid w:val="536C32A0"/>
    <w:rsid w:val="537E6D0A"/>
    <w:rsid w:val="53AB6B88"/>
    <w:rsid w:val="53F74C96"/>
    <w:rsid w:val="547D156B"/>
    <w:rsid w:val="548262E3"/>
    <w:rsid w:val="549D1DF3"/>
    <w:rsid w:val="54E520BA"/>
    <w:rsid w:val="5583522D"/>
    <w:rsid w:val="55946DB8"/>
    <w:rsid w:val="562A3855"/>
    <w:rsid w:val="566070A4"/>
    <w:rsid w:val="569331DA"/>
    <w:rsid w:val="56AC319A"/>
    <w:rsid w:val="57390068"/>
    <w:rsid w:val="57417171"/>
    <w:rsid w:val="5757014A"/>
    <w:rsid w:val="57706D8B"/>
    <w:rsid w:val="57A94520"/>
    <w:rsid w:val="57BD3DD4"/>
    <w:rsid w:val="57F9CD1E"/>
    <w:rsid w:val="581227C6"/>
    <w:rsid w:val="582766DE"/>
    <w:rsid w:val="58EC6270"/>
    <w:rsid w:val="59171A1B"/>
    <w:rsid w:val="591813B4"/>
    <w:rsid w:val="59B26B4A"/>
    <w:rsid w:val="59D113CB"/>
    <w:rsid w:val="59DC7648"/>
    <w:rsid w:val="59E96A42"/>
    <w:rsid w:val="5A3A11EF"/>
    <w:rsid w:val="5A581BC4"/>
    <w:rsid w:val="5A6B7BC8"/>
    <w:rsid w:val="5A8C0FA2"/>
    <w:rsid w:val="5AF04BE6"/>
    <w:rsid w:val="5AF92295"/>
    <w:rsid w:val="5AF9D8E9"/>
    <w:rsid w:val="5B067B88"/>
    <w:rsid w:val="5B5B461C"/>
    <w:rsid w:val="5B7A4D23"/>
    <w:rsid w:val="5BC4373B"/>
    <w:rsid w:val="5BDD38BD"/>
    <w:rsid w:val="5BDD79E6"/>
    <w:rsid w:val="5BEFC772"/>
    <w:rsid w:val="5BFF5DFC"/>
    <w:rsid w:val="5CD43472"/>
    <w:rsid w:val="5CD71FC4"/>
    <w:rsid w:val="5D1F11B5"/>
    <w:rsid w:val="5D3647F9"/>
    <w:rsid w:val="5D7B79AB"/>
    <w:rsid w:val="5DA644D4"/>
    <w:rsid w:val="5DAE1B18"/>
    <w:rsid w:val="5DDB5D8D"/>
    <w:rsid w:val="5DE7D9E5"/>
    <w:rsid w:val="5E6D19F0"/>
    <w:rsid w:val="5E750E18"/>
    <w:rsid w:val="5EAD5B25"/>
    <w:rsid w:val="5ECEC941"/>
    <w:rsid w:val="5EF9033D"/>
    <w:rsid w:val="5EFF8FC6"/>
    <w:rsid w:val="5F4463A0"/>
    <w:rsid w:val="5F5BA39A"/>
    <w:rsid w:val="5F7D3B79"/>
    <w:rsid w:val="5F7F4610"/>
    <w:rsid w:val="5FBF9FF3"/>
    <w:rsid w:val="5FC33114"/>
    <w:rsid w:val="5FCD4E2C"/>
    <w:rsid w:val="5FD05C49"/>
    <w:rsid w:val="5FEF394A"/>
    <w:rsid w:val="5FF536F7"/>
    <w:rsid w:val="5FF67715"/>
    <w:rsid w:val="60B60191"/>
    <w:rsid w:val="61172EB3"/>
    <w:rsid w:val="614B7A21"/>
    <w:rsid w:val="61771AAF"/>
    <w:rsid w:val="61CA71D5"/>
    <w:rsid w:val="61CC2084"/>
    <w:rsid w:val="61E44A5D"/>
    <w:rsid w:val="62203CDD"/>
    <w:rsid w:val="624B6652"/>
    <w:rsid w:val="625C5100"/>
    <w:rsid w:val="62714D31"/>
    <w:rsid w:val="627EE9EA"/>
    <w:rsid w:val="62BF327C"/>
    <w:rsid w:val="633C3052"/>
    <w:rsid w:val="635E1757"/>
    <w:rsid w:val="63B23AA5"/>
    <w:rsid w:val="63B23ACB"/>
    <w:rsid w:val="63CD6CE0"/>
    <w:rsid w:val="64002775"/>
    <w:rsid w:val="6424662D"/>
    <w:rsid w:val="6441776C"/>
    <w:rsid w:val="647F5392"/>
    <w:rsid w:val="64C85B17"/>
    <w:rsid w:val="64DD4A8C"/>
    <w:rsid w:val="64E322C4"/>
    <w:rsid w:val="651304E1"/>
    <w:rsid w:val="65141242"/>
    <w:rsid w:val="651F3750"/>
    <w:rsid w:val="65485346"/>
    <w:rsid w:val="656754CF"/>
    <w:rsid w:val="65FB93B9"/>
    <w:rsid w:val="6633C463"/>
    <w:rsid w:val="663A6BE7"/>
    <w:rsid w:val="6645013C"/>
    <w:rsid w:val="664E5E8B"/>
    <w:rsid w:val="6673581A"/>
    <w:rsid w:val="667D6784"/>
    <w:rsid w:val="66BA1DEC"/>
    <w:rsid w:val="66C06D04"/>
    <w:rsid w:val="67692A97"/>
    <w:rsid w:val="677A1653"/>
    <w:rsid w:val="677C726F"/>
    <w:rsid w:val="67AB5CE8"/>
    <w:rsid w:val="67CA4CFB"/>
    <w:rsid w:val="67D55B77"/>
    <w:rsid w:val="67EE7F84"/>
    <w:rsid w:val="6800394D"/>
    <w:rsid w:val="684821EF"/>
    <w:rsid w:val="686F5F53"/>
    <w:rsid w:val="693B4EAC"/>
    <w:rsid w:val="697C130C"/>
    <w:rsid w:val="69A30C06"/>
    <w:rsid w:val="69D730A7"/>
    <w:rsid w:val="6A221C19"/>
    <w:rsid w:val="6A414D2E"/>
    <w:rsid w:val="6AAA2D85"/>
    <w:rsid w:val="6AB3528A"/>
    <w:rsid w:val="6AFFCEAF"/>
    <w:rsid w:val="6B4F1BDC"/>
    <w:rsid w:val="6B96E9E6"/>
    <w:rsid w:val="6BA30B14"/>
    <w:rsid w:val="6BCE57B5"/>
    <w:rsid w:val="6BFEA4DB"/>
    <w:rsid w:val="6BFFB662"/>
    <w:rsid w:val="6C4A05C8"/>
    <w:rsid w:val="6CDD3B97"/>
    <w:rsid w:val="6CFF4FB8"/>
    <w:rsid w:val="6D3F2823"/>
    <w:rsid w:val="6D6BD6E0"/>
    <w:rsid w:val="6D77E73C"/>
    <w:rsid w:val="6DB051BC"/>
    <w:rsid w:val="6DBF5E93"/>
    <w:rsid w:val="6DFF077E"/>
    <w:rsid w:val="6E3C096F"/>
    <w:rsid w:val="6E567AC5"/>
    <w:rsid w:val="6E7E3605"/>
    <w:rsid w:val="6E7FDCC7"/>
    <w:rsid w:val="6E9417EB"/>
    <w:rsid w:val="6E945BF6"/>
    <w:rsid w:val="6EA614BA"/>
    <w:rsid w:val="6EC55F6B"/>
    <w:rsid w:val="6ED6A62E"/>
    <w:rsid w:val="6EE00B15"/>
    <w:rsid w:val="6EE737B2"/>
    <w:rsid w:val="6EEB2329"/>
    <w:rsid w:val="6EECE67A"/>
    <w:rsid w:val="6F3A08C5"/>
    <w:rsid w:val="6F3F45AD"/>
    <w:rsid w:val="6F4C1B71"/>
    <w:rsid w:val="6F5C1AF8"/>
    <w:rsid w:val="6F6663E3"/>
    <w:rsid w:val="6F691417"/>
    <w:rsid w:val="6F6F90A8"/>
    <w:rsid w:val="6F6FB3EB"/>
    <w:rsid w:val="6F872249"/>
    <w:rsid w:val="6F8731EA"/>
    <w:rsid w:val="6F8C7C81"/>
    <w:rsid w:val="6FA122FA"/>
    <w:rsid w:val="6FBC2ADD"/>
    <w:rsid w:val="6FD57C00"/>
    <w:rsid w:val="6FEFFFD8"/>
    <w:rsid w:val="6FF5CC65"/>
    <w:rsid w:val="6FFB47EC"/>
    <w:rsid w:val="6FFF034A"/>
    <w:rsid w:val="70704862"/>
    <w:rsid w:val="70AD136F"/>
    <w:rsid w:val="70AE7E55"/>
    <w:rsid w:val="70D773BA"/>
    <w:rsid w:val="70EE31B5"/>
    <w:rsid w:val="712A28F1"/>
    <w:rsid w:val="712E749C"/>
    <w:rsid w:val="715C0E4B"/>
    <w:rsid w:val="71BE718E"/>
    <w:rsid w:val="71FFD401"/>
    <w:rsid w:val="72233669"/>
    <w:rsid w:val="726A5C90"/>
    <w:rsid w:val="72734D90"/>
    <w:rsid w:val="72B94D9E"/>
    <w:rsid w:val="7332FE48"/>
    <w:rsid w:val="73AD73D5"/>
    <w:rsid w:val="73B6EB34"/>
    <w:rsid w:val="73BC2168"/>
    <w:rsid w:val="73FA497D"/>
    <w:rsid w:val="743B1FA8"/>
    <w:rsid w:val="744731E5"/>
    <w:rsid w:val="745D3C7F"/>
    <w:rsid w:val="74A474B4"/>
    <w:rsid w:val="74BBD01D"/>
    <w:rsid w:val="74ED5379"/>
    <w:rsid w:val="755B711D"/>
    <w:rsid w:val="757F414A"/>
    <w:rsid w:val="75B620E5"/>
    <w:rsid w:val="75C0350A"/>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8394928"/>
    <w:rsid w:val="789B56D9"/>
    <w:rsid w:val="78BA2BBD"/>
    <w:rsid w:val="795B5E90"/>
    <w:rsid w:val="797A1E01"/>
    <w:rsid w:val="797E3A6C"/>
    <w:rsid w:val="79CF70E2"/>
    <w:rsid w:val="79D7FD79"/>
    <w:rsid w:val="79E75806"/>
    <w:rsid w:val="79EE5BA4"/>
    <w:rsid w:val="7A394E11"/>
    <w:rsid w:val="7A4A624E"/>
    <w:rsid w:val="7A641148"/>
    <w:rsid w:val="7A6F0A60"/>
    <w:rsid w:val="7A6F8BF5"/>
    <w:rsid w:val="7A894339"/>
    <w:rsid w:val="7AB53B0F"/>
    <w:rsid w:val="7ACF82B5"/>
    <w:rsid w:val="7AFF28C9"/>
    <w:rsid w:val="7AFF72A0"/>
    <w:rsid w:val="7AFF7572"/>
    <w:rsid w:val="7B6867A9"/>
    <w:rsid w:val="7B6C7DFB"/>
    <w:rsid w:val="7B7D76A7"/>
    <w:rsid w:val="7BAB5615"/>
    <w:rsid w:val="7BAE2FE2"/>
    <w:rsid w:val="7BAF6951"/>
    <w:rsid w:val="7BBE74EF"/>
    <w:rsid w:val="7BBFBED0"/>
    <w:rsid w:val="7BC3E394"/>
    <w:rsid w:val="7BF3FE4C"/>
    <w:rsid w:val="7BF56F0F"/>
    <w:rsid w:val="7BF91670"/>
    <w:rsid w:val="7BFB5035"/>
    <w:rsid w:val="7BFDE17E"/>
    <w:rsid w:val="7C0B5818"/>
    <w:rsid w:val="7C3E2E5B"/>
    <w:rsid w:val="7C564D16"/>
    <w:rsid w:val="7C7E7903"/>
    <w:rsid w:val="7CBB51AC"/>
    <w:rsid w:val="7CBFC87B"/>
    <w:rsid w:val="7CD13346"/>
    <w:rsid w:val="7CFE0F48"/>
    <w:rsid w:val="7D16152A"/>
    <w:rsid w:val="7D3DE31C"/>
    <w:rsid w:val="7D755309"/>
    <w:rsid w:val="7D7EC23E"/>
    <w:rsid w:val="7D7F8A13"/>
    <w:rsid w:val="7DBBCB01"/>
    <w:rsid w:val="7DC765D0"/>
    <w:rsid w:val="7DDB0EE0"/>
    <w:rsid w:val="7DFF51D8"/>
    <w:rsid w:val="7E0D7C40"/>
    <w:rsid w:val="7E316A03"/>
    <w:rsid w:val="7E4F2F52"/>
    <w:rsid w:val="7E5622D6"/>
    <w:rsid w:val="7E634199"/>
    <w:rsid w:val="7E8ADEBF"/>
    <w:rsid w:val="7EA85A5B"/>
    <w:rsid w:val="7EEF11D3"/>
    <w:rsid w:val="7EF78C20"/>
    <w:rsid w:val="7EFA200F"/>
    <w:rsid w:val="7F3F679B"/>
    <w:rsid w:val="7F4FC4EF"/>
    <w:rsid w:val="7F5A1E3C"/>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Body Text First Indent 2"/>
    <w:basedOn w:val="6"/>
    <w:unhideWhenUsed/>
    <w:qFormat/>
    <w:uiPriority w:val="99"/>
    <w:pPr>
      <w:ind w:firstLine="420" w:firstLineChars="200"/>
    </w:p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5"/>
    <w:link w:val="3"/>
    <w:qFormat/>
    <w:uiPriority w:val="9"/>
    <w:rPr>
      <w:rFonts w:ascii="Times New Roman" w:hAnsi="Times New Roman"/>
      <w:b/>
      <w:bCs/>
      <w:kern w:val="44"/>
      <w:sz w:val="44"/>
      <w:szCs w:val="44"/>
    </w:rPr>
  </w:style>
  <w:style w:type="character" w:customStyle="1" w:styleId="29">
    <w:name w:val="标题 2 字符"/>
    <w:basedOn w:val="15"/>
    <w:link w:val="2"/>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5"/>
    <w:link w:val="8"/>
    <w:semiHidden/>
    <w:qFormat/>
    <w:uiPriority w:val="99"/>
    <w:rPr>
      <w:rFonts w:ascii="Times New Roman" w:hAnsi="Times New Roman"/>
      <w:kern w:val="2"/>
      <w:sz w:val="18"/>
      <w:szCs w:val="18"/>
    </w:rPr>
  </w:style>
  <w:style w:type="character" w:customStyle="1" w:styleId="32">
    <w:name w:val="标题 3 字符"/>
    <w:basedOn w:val="15"/>
    <w:link w:val="4"/>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18"/>
    <w:basedOn w:val="15"/>
    <w:qFormat/>
    <w:uiPriority w:val="0"/>
    <w:rPr>
      <w:rFonts w:hint="default" w:ascii="Times New Roman" w:hAnsi="Times New Roman" w:cs="Times New Roman"/>
      <w:b/>
    </w:rPr>
  </w:style>
  <w:style w:type="paragraph" w:customStyle="1" w:styleId="3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37">
    <w:name w:val="WPSOffice手动目录 1"/>
    <w:basedOn w:val="1"/>
    <w:uiPriority w:val="0"/>
    <w:pPr>
      <w:spacing w:before="0" w:beforeAutospacing="0" w:after="0" w:afterAutospacing="0"/>
      <w:ind w:left="0" w:leftChars="0" w:right="0"/>
      <w:jc w:val="left"/>
    </w:pPr>
    <w:rPr>
      <w:rFonts w:hint="default" w:ascii="Times New Roman" w:hAnsi="Times New Roman" w:eastAsia="宋体" w:cs="Times New Roman"/>
      <w:kern w:val="0"/>
      <w:sz w:val="20"/>
      <w:szCs w:val="20"/>
      <w:lang w:val="en-US" w:eastAsia="zh-CN" w:bidi="ar"/>
    </w:rPr>
  </w:style>
  <w:style w:type="paragraph" w:customStyle="1" w:styleId="38">
    <w:name w:val="WPSOffice手动目录 2"/>
    <w:basedOn w:val="1"/>
    <w:uiPriority w:val="0"/>
    <w:pPr>
      <w:spacing w:before="0" w:beforeAutospacing="0" w:after="0" w:afterAutospacing="0"/>
      <w:ind w:left="0" w:leftChars="200" w:right="0"/>
      <w:jc w:val="left"/>
    </w:pPr>
    <w:rPr>
      <w:rFonts w:hint="default" w:ascii="Times New Roman" w:hAnsi="Times New Roman" w:eastAsia="宋体" w:cs="Times New Roman"/>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19987;&#39033;&#36164;&#37329;&#25320;&#27454;&#30003;&#35831;&#2007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19987;&#39033;&#36164;&#37329;&#25320;&#27454;&#30003;&#35831;&#200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19987;&#39033;&#36164;&#37329;&#25320;&#27454;&#30003;&#35831;&#200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19987;&#39033;&#36164;&#37329;&#25320;&#27454;&#30003;&#35831;&#2007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19987;&#39033;&#36164;&#37329;&#25320;&#27454;&#30003;&#35831;&#2007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19987;&#39033;&#36164;&#37329;&#25320;&#27454;&#30003;&#35831;&#2007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19987;&#39033;&#36164;&#37329;&#25320;&#27454;&#30003;&#35831;&#200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[专项资金拨款申请书.xls]Sheet1!$C$2</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[专项资金拨款申请书.xls]Sheet1!$A$3:$B$7</c:f>
              <c:multiLvlStrCache>
                <c:ptCount val="5"/>
                <c:lvl>
                  <c:pt idx="0">
                    <c:v>2022年</c:v>
                  </c:pt>
                  <c:pt idx="1">
                    <c:v>2023年</c:v>
                  </c:pt>
                  <c:pt idx="3">
                    <c:v>2022年</c:v>
                  </c:pt>
                  <c:pt idx="4">
                    <c:v>2023年</c:v>
                  </c:pt>
                </c:lvl>
                <c:lvl>
                  <c:pt idx="0">
                    <c:v>收入（万元）</c:v>
                  </c:pt>
                  <c:pt idx="3">
                    <c:v>支出（万元）</c:v>
                  </c:pt>
                </c:lvl>
              </c:multiLvlStrCache>
            </c:multiLvlStrRef>
          </c:cat>
          <c:val>
            <c:numRef>
              <c:f>[专项资金拨款申请书.xls]Sheet1!$C$3:$C$7</c:f>
              <c:numCache>
                <c:formatCode>General</c:formatCode>
                <c:ptCount val="5"/>
                <c:pt idx="0">
                  <c:v>1354.47</c:v>
                </c:pt>
                <c:pt idx="1">
                  <c:v>1445.34</c:v>
                </c:pt>
                <c:pt idx="3">
                  <c:v>1354.47</c:v>
                </c:pt>
                <c:pt idx="4">
                  <c:v>1445.34</c:v>
                </c:pt>
              </c:numCache>
            </c:numRef>
          </c:val>
        </c:ser>
        <c:dLbls>
          <c:showLegendKey val="0"/>
          <c:showVal val="1"/>
          <c:showCatName val="0"/>
          <c:showSerName val="0"/>
          <c:showPercent val="0"/>
          <c:showBubbleSize val="0"/>
        </c:dLbls>
        <c:gapWidth val="75"/>
        <c:overlap val="40"/>
        <c:axId val="783502741"/>
        <c:axId val="655033881"/>
      </c:barChart>
      <c:catAx>
        <c:axId val="7835027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5033881"/>
        <c:crosses val="autoZero"/>
        <c:auto val="1"/>
        <c:lblAlgn val="ctr"/>
        <c:lblOffset val="100"/>
        <c:noMultiLvlLbl val="0"/>
      </c:catAx>
      <c:valAx>
        <c:axId val="6550338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0274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[专项资金拨款申请书.xls]Sheet1!$A$15:$A$21</c:f>
              <c:strCache>
                <c:ptCount val="7"/>
                <c:pt idx="0">
                  <c:v>一般公共预算财政拨款收入</c:v>
                </c:pt>
                <c:pt idx="1">
                  <c:v>政府性基金预算财政拨款收入</c:v>
                </c:pt>
                <c:pt idx="2">
                  <c:v>国有资本经营预算财政拨款收入</c:v>
                </c:pt>
                <c:pt idx="3">
                  <c:v>事业收入</c:v>
                </c:pt>
                <c:pt idx="4">
                  <c:v>附属单位上缴收入</c:v>
                </c:pt>
                <c:pt idx="5">
                  <c:v>经营收入</c:v>
                </c:pt>
                <c:pt idx="6">
                  <c:v>其他收入</c:v>
                </c:pt>
              </c:strCache>
            </c:strRef>
          </c:cat>
          <c:val>
            <c:numRef>
              <c:f>[专项资金拨款申请书.xls]Sheet1!$B$15:$B$21</c:f>
              <c:numCache>
                <c:formatCode>General</c:formatCode>
                <c:ptCount val="7"/>
                <c:pt idx="0">
                  <c:v>1445.34</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[专项资金拨款申请书.xls]Sheet1!$H$15:$H$19</c:f>
              <c:strCache>
                <c:ptCount val="5"/>
                <c:pt idx="0">
                  <c:v>基本支出</c:v>
                </c:pt>
                <c:pt idx="1">
                  <c:v>项目支出</c:v>
                </c:pt>
                <c:pt idx="2">
                  <c:v>上缴上级支出</c:v>
                </c:pt>
                <c:pt idx="3">
                  <c:v>经营支出</c:v>
                </c:pt>
                <c:pt idx="4">
                  <c:v>对附属单位补助支出</c:v>
                </c:pt>
              </c:strCache>
            </c:strRef>
          </c:cat>
          <c:val>
            <c:numRef>
              <c:f>[专项资金拨款申请书.xls]Sheet1!$I$15:$I$19</c:f>
              <c:numCache>
                <c:formatCode>General</c:formatCode>
                <c:ptCount val="5"/>
                <c:pt idx="0">
                  <c:v>938.66</c:v>
                </c:pt>
                <c:pt idx="1">
                  <c:v>506.69</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barChart>
        <c:barDir val="col"/>
        <c:grouping val="clustered"/>
        <c:varyColors val="0"/>
        <c:ser>
          <c:idx val="0"/>
          <c:order val="0"/>
          <c:tx>
            <c:strRef>
              <c:f>[专项资金拨款申请书.xls]Sheet1!$C$2</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[专项资金拨款申请书.xls]Sheet1!$A$3:$B$7</c:f>
              <c:multiLvlStrCache>
                <c:ptCount val="5"/>
                <c:lvl>
                  <c:pt idx="0">
                    <c:v>2022年</c:v>
                  </c:pt>
                  <c:pt idx="1">
                    <c:v>2023年</c:v>
                  </c:pt>
                  <c:pt idx="3">
                    <c:v>2022年</c:v>
                  </c:pt>
                  <c:pt idx="4">
                    <c:v>2023年</c:v>
                  </c:pt>
                </c:lvl>
                <c:lvl>
                  <c:pt idx="0">
                    <c:v>收入（万元）</c:v>
                  </c:pt>
                  <c:pt idx="3">
                    <c:v>支出（万元）</c:v>
                  </c:pt>
                </c:lvl>
              </c:multiLvlStrCache>
            </c:multiLvlStrRef>
          </c:cat>
          <c:val>
            <c:numRef>
              <c:f>[专项资金拨款申请书.xls]Sheet1!$C$3:$C$7</c:f>
              <c:numCache>
                <c:formatCode>General</c:formatCode>
                <c:ptCount val="5"/>
                <c:pt idx="0">
                  <c:v>1354.47</c:v>
                </c:pt>
                <c:pt idx="1">
                  <c:v>1445.34</c:v>
                </c:pt>
                <c:pt idx="3">
                  <c:v>1354.47</c:v>
                </c:pt>
                <c:pt idx="4">
                  <c:v>1445.34</c:v>
                </c:pt>
              </c:numCache>
            </c:numRef>
          </c:val>
        </c:ser>
        <c:dLbls>
          <c:showLegendKey val="0"/>
          <c:showVal val="1"/>
          <c:showCatName val="0"/>
          <c:showSerName val="0"/>
          <c:showPercent val="0"/>
          <c:showBubbleSize val="0"/>
        </c:dLbls>
        <c:gapWidth val="75"/>
        <c:overlap val="40"/>
        <c:axId val="783502741"/>
        <c:axId val="655033881"/>
      </c:barChart>
      <c:catAx>
        <c:axId val="7835027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5033881"/>
        <c:crosses val="autoZero"/>
        <c:auto val="1"/>
        <c:lblAlgn val="ctr"/>
        <c:lblOffset val="100"/>
        <c:noMultiLvlLbl val="0"/>
      </c:catAx>
      <c:valAx>
        <c:axId val="6550338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0274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一般公共预算财政拨款支出决算变动情况（万元）</a:t>
            </a:r>
          </a:p>
        </c:rich>
      </c:tx>
      <c:layout>
        <c:manualLayout>
          <c:xMode val="edge"/>
          <c:yMode val="edge"/>
          <c:x val="0.11408353469106"/>
          <c:y val="0.0094667087409277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[专项资金拨款申请书.xls]Sheet1!$B$3:$B$4</c:f>
              <c:strCache>
                <c:ptCount val="2"/>
                <c:pt idx="0">
                  <c:v>2022年</c:v>
                </c:pt>
                <c:pt idx="1">
                  <c:v>2023年</c:v>
                </c:pt>
              </c:strCache>
            </c:strRef>
          </c:cat>
          <c:val>
            <c:numRef>
              <c:f>[专项资金拨款申请书.xls]Sheet1!$C$3:$C$4</c:f>
              <c:numCache>
                <c:formatCode>General</c:formatCode>
                <c:ptCount val="2"/>
                <c:pt idx="0">
                  <c:v>1354.47</c:v>
                </c:pt>
                <c:pt idx="1">
                  <c:v>1445.34</c:v>
                </c:pt>
              </c:numCache>
            </c:numRef>
          </c:val>
        </c:ser>
        <c:dLbls>
          <c:showLegendKey val="0"/>
          <c:showVal val="1"/>
          <c:showCatName val="0"/>
          <c:showSerName val="0"/>
          <c:showPercent val="0"/>
          <c:showBubbleSize val="0"/>
        </c:dLbls>
        <c:gapWidth val="150"/>
        <c:overlap val="-25"/>
        <c:axId val="144872345"/>
        <c:axId val="403192999"/>
      </c:barChart>
      <c:catAx>
        <c:axId val="1448723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3192999"/>
        <c:crosses val="autoZero"/>
        <c:auto val="1"/>
        <c:lblAlgn val="ctr"/>
        <c:lblOffset val="100"/>
        <c:noMultiLvlLbl val="0"/>
      </c:catAx>
      <c:valAx>
        <c:axId val="40319299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87234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[专项资金拨款申请书.xls]Sheet1!$A$30:$A$36</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[专项资金拨款申请书.xls]Sheet1!$B$30:$B$36</c:f>
              <c:numCache>
                <c:formatCode>General</c:formatCode>
                <c:ptCount val="7"/>
                <c:pt idx="0">
                  <c:v>1213.34</c:v>
                </c:pt>
                <c:pt idx="1">
                  <c:v>0</c:v>
                </c:pt>
                <c:pt idx="2">
                  <c:v>0</c:v>
                </c:pt>
                <c:pt idx="3">
                  <c:v>0</c:v>
                </c:pt>
                <c:pt idx="4">
                  <c:v>121.12</c:v>
                </c:pt>
                <c:pt idx="5">
                  <c:v>50.46</c:v>
                </c:pt>
                <c:pt idx="6">
                  <c:v>60.42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[专项资金拨款申请书.xls]Sheet1!$A$38:$A$40</c:f>
              <c:strCache>
                <c:ptCount val="3"/>
                <c:pt idx="0">
                  <c:v>因公出国（境）费支出</c:v>
                </c:pt>
                <c:pt idx="1">
                  <c:v>公务用车购置及运行维护费支出</c:v>
                </c:pt>
                <c:pt idx="2">
                  <c:v>公务接待费支出</c:v>
                </c:pt>
              </c:strCache>
            </c:strRef>
          </c:cat>
          <c:val>
            <c:numRef>
              <c:f>[专项资金拨款申请书.xls]Sheet1!$B$38:$B$40</c:f>
              <c:numCache>
                <c:formatCode>General</c:formatCode>
                <c:ptCount val="3"/>
                <c:pt idx="0">
                  <c:v>0</c:v>
                </c:pt>
                <c:pt idx="1">
                  <c:v>12.2</c:v>
                </c:pt>
                <c:pt idx="2">
                  <c:v>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ab9d1b1-189f-4b48-8987-b206a97a0189}"/>
        <w:style w:val=""/>
        <w:category>
          <w:name w:val="常规"/>
          <w:gallery w:val="placeholder"/>
        </w:category>
        <w:types>
          <w:type w:val="bbPlcHdr"/>
        </w:types>
        <w:behaviors>
          <w:behavior w:val="content"/>
        </w:behaviors>
        <w:description w:val=""/>
        <w:guid w:val="{2ab9d1b1-189f-4b48-8987-b206a97a0189}"/>
      </w:docPartPr>
      <w:docPartBody>
        <w:p>
          <w:r>
            <w:rPr>
              <w:color w:val="808080"/>
            </w:rPr>
            <w:t>单击此处输入文字。</w:t>
          </w:r>
        </w:p>
      </w:docPartBody>
    </w:docPart>
    <w:docPart>
      <w:docPartPr>
        <w:name w:val="{f1cd2791-3ac6-49e6-ac52-efb5177de2dd}"/>
        <w:style w:val=""/>
        <w:category>
          <w:name w:val="常规"/>
          <w:gallery w:val="placeholder"/>
        </w:category>
        <w:types>
          <w:type w:val="bbPlcHdr"/>
        </w:types>
        <w:behaviors>
          <w:behavior w:val="content"/>
        </w:behaviors>
        <w:description w:val=""/>
        <w:guid w:val="{f1cd2791-3ac6-49e6-ac52-efb5177de2dd}"/>
      </w:docPartPr>
      <w:docPartBody>
        <w:p>
          <w:r>
            <w:rPr>
              <w:color w:val="808080"/>
            </w:rPr>
            <w:t>单击此处输入文字。</w:t>
          </w:r>
        </w:p>
      </w:docPartBody>
    </w:docPart>
    <w:docPart>
      <w:docPartPr>
        <w:name w:val="{0fa75220-6f05-4667-8f2d-d719d1532b77}"/>
        <w:style w:val=""/>
        <w:category>
          <w:name w:val="常规"/>
          <w:gallery w:val="placeholder"/>
        </w:category>
        <w:types>
          <w:type w:val="bbPlcHdr"/>
        </w:types>
        <w:behaviors>
          <w:behavior w:val="content"/>
        </w:behaviors>
        <w:description w:val=""/>
        <w:guid w:val="{0fa75220-6f05-4667-8f2d-d719d1532b77}"/>
      </w:docPartPr>
      <w:docPartBody>
        <w:p>
          <w:r>
            <w:rPr>
              <w:color w:val="808080"/>
            </w:rPr>
            <w:t>单击此处输入文字。</w:t>
          </w:r>
        </w:p>
      </w:docPartBody>
    </w:docPart>
    <w:docPart>
      <w:docPartPr>
        <w:name w:val="{577a4505-62bc-429f-aa28-87751a5cf09c}"/>
        <w:style w:val=""/>
        <w:category>
          <w:name w:val="常规"/>
          <w:gallery w:val="placeholder"/>
        </w:category>
        <w:types>
          <w:type w:val="bbPlcHdr"/>
        </w:types>
        <w:behaviors>
          <w:behavior w:val="content"/>
        </w:behaviors>
        <w:description w:val=""/>
        <w:guid w:val="{577a4505-62bc-429f-aa28-87751a5cf09c}"/>
      </w:docPartPr>
      <w:docPartBody>
        <w:p>
          <w:r>
            <w:rPr>
              <w:color w:val="808080"/>
            </w:rPr>
            <w:t>单击此处输入文字。</w:t>
          </w:r>
        </w:p>
      </w:docPartBody>
    </w:docPart>
    <w:docPart>
      <w:docPartPr>
        <w:name w:val="{ac9563b0-3065-4889-b019-e85e792b65de}"/>
        <w:style w:val=""/>
        <w:category>
          <w:name w:val="常规"/>
          <w:gallery w:val="placeholder"/>
        </w:category>
        <w:types>
          <w:type w:val="bbPlcHdr"/>
        </w:types>
        <w:behaviors>
          <w:behavior w:val="content"/>
        </w:behaviors>
        <w:description w:val=""/>
        <w:guid w:val="{ac9563b0-3065-4889-b019-e85e792b65de}"/>
      </w:docPartPr>
      <w:docPartBody>
        <w:p>
          <w:r>
            <w:rPr>
              <w:color w:val="808080"/>
            </w:rPr>
            <w:t>单击此处输入文字。</w:t>
          </w:r>
        </w:p>
      </w:docPartBody>
    </w:docPart>
    <w:docPart>
      <w:docPartPr>
        <w:name w:val="{20db0686-20ae-485a-9e5a-051b5d0e9892}"/>
        <w:style w:val=""/>
        <w:category>
          <w:name w:val="常规"/>
          <w:gallery w:val="placeholder"/>
        </w:category>
        <w:types>
          <w:type w:val="bbPlcHdr"/>
        </w:types>
        <w:behaviors>
          <w:behavior w:val="content"/>
        </w:behaviors>
        <w:description w:val=""/>
        <w:guid w:val="{20db0686-20ae-485a-9e5a-051b5d0e9892}"/>
      </w:docPartPr>
      <w:docPartBody>
        <w:p>
          <w:r>
            <w:rPr>
              <w:color w:val="808080"/>
            </w:rPr>
            <w:t>单击此处输入文字。</w:t>
          </w:r>
        </w:p>
      </w:docPartBody>
    </w:docPart>
    <w:docPart>
      <w:docPartPr>
        <w:name w:val="{98da4a21-fedf-4a93-94b1-61df8db179de}"/>
        <w:style w:val=""/>
        <w:category>
          <w:name w:val="常规"/>
          <w:gallery w:val="placeholder"/>
        </w:category>
        <w:types>
          <w:type w:val="bbPlcHdr"/>
        </w:types>
        <w:behaviors>
          <w:behavior w:val="content"/>
        </w:behaviors>
        <w:description w:val=""/>
        <w:guid w:val="{98da4a21-fedf-4a93-94b1-61df8db179de}"/>
      </w:docPartPr>
      <w:docPartBody>
        <w:p>
          <w:r>
            <w:rPr>
              <w:color w:val="808080"/>
            </w:rPr>
            <w:t>单击此处输入文字。</w:t>
          </w:r>
        </w:p>
      </w:docPartBody>
    </w:docPart>
    <w:docPart>
      <w:docPartPr>
        <w:name w:val="{07821133-45a6-444c-a424-1a374616ee5d}"/>
        <w:style w:val=""/>
        <w:category>
          <w:name w:val="常规"/>
          <w:gallery w:val="placeholder"/>
        </w:category>
        <w:types>
          <w:type w:val="bbPlcHdr"/>
        </w:types>
        <w:behaviors>
          <w:behavior w:val="content"/>
        </w:behaviors>
        <w:description w:val=""/>
        <w:guid w:val="{07821133-45a6-444c-a424-1a374616ee5d}"/>
      </w:docPartPr>
      <w:docPartBody>
        <w:p>
          <w:r>
            <w:rPr>
              <w:color w:val="808080"/>
            </w:rPr>
            <w:t>单击此处输入文字。</w:t>
          </w:r>
        </w:p>
      </w:docPartBody>
    </w:docPart>
    <w:docPart>
      <w:docPartPr>
        <w:name w:val="{ab3773df-dd56-4ff6-825a-d9af32119f99}"/>
        <w:style w:val=""/>
        <w:category>
          <w:name w:val="常规"/>
          <w:gallery w:val="placeholder"/>
        </w:category>
        <w:types>
          <w:type w:val="bbPlcHdr"/>
        </w:types>
        <w:behaviors>
          <w:behavior w:val="content"/>
        </w:behaviors>
        <w:description w:val=""/>
        <w:guid w:val="{ab3773df-dd56-4ff6-825a-d9af32119f99}"/>
      </w:docPartPr>
      <w:docPartBody>
        <w:p>
          <w:r>
            <w:rPr>
              <w:color w:val="808080"/>
            </w:rPr>
            <w:t>单击此处输入文字。</w:t>
          </w:r>
        </w:p>
      </w:docPartBody>
    </w:docPart>
    <w:docPart>
      <w:docPartPr>
        <w:name w:val="{7267efb1-3abd-4d4f-ba4d-7c7e127e1a59}"/>
        <w:style w:val=""/>
        <w:category>
          <w:name w:val="常规"/>
          <w:gallery w:val="placeholder"/>
        </w:category>
        <w:types>
          <w:type w:val="bbPlcHdr"/>
        </w:types>
        <w:behaviors>
          <w:behavior w:val="content"/>
        </w:behaviors>
        <w:description w:val=""/>
        <w:guid w:val="{7267efb1-3abd-4d4f-ba4d-7c7e127e1a59}"/>
      </w:docPartPr>
      <w:docPartBody>
        <w:p>
          <w:r>
            <w:rPr>
              <w:color w:val="808080"/>
            </w:rPr>
            <w:t>单击此处输入文字。</w:t>
          </w:r>
        </w:p>
      </w:docPartBody>
    </w:docPart>
    <w:docPart>
      <w:docPartPr>
        <w:name w:val="{e9cca559-85cf-442f-bbc3-87e0ee823316}"/>
        <w:style w:val=""/>
        <w:category>
          <w:name w:val="常规"/>
          <w:gallery w:val="placeholder"/>
        </w:category>
        <w:types>
          <w:type w:val="bbPlcHdr"/>
        </w:types>
        <w:behaviors>
          <w:behavior w:val="content"/>
        </w:behaviors>
        <w:description w:val=""/>
        <w:guid w:val="{e9cca559-85cf-442f-bbc3-87e0ee823316}"/>
      </w:docPartPr>
      <w:docPartBody>
        <w:p>
          <w:r>
            <w:rPr>
              <w:color w:val="808080"/>
            </w:rPr>
            <w:t>单击此处输入文字。</w:t>
          </w:r>
        </w:p>
      </w:docPartBody>
    </w:docPart>
    <w:docPart>
      <w:docPartPr>
        <w:name w:val="{004482c8-6cd7-45bb-89e5-d5432a7f7b83}"/>
        <w:style w:val=""/>
        <w:category>
          <w:name w:val="常规"/>
          <w:gallery w:val="placeholder"/>
        </w:category>
        <w:types>
          <w:type w:val="bbPlcHdr"/>
        </w:types>
        <w:behaviors>
          <w:behavior w:val="content"/>
        </w:behaviors>
        <w:description w:val=""/>
        <w:guid w:val="{004482c8-6cd7-45bb-89e5-d5432a7f7b83}"/>
      </w:docPartPr>
      <w:docPartBody>
        <w:p>
          <w:r>
            <w:rPr>
              <w:color w:val="808080"/>
            </w:rPr>
            <w:t>单击此处输入文字。</w:t>
          </w:r>
        </w:p>
      </w:docPartBody>
    </w:docPart>
    <w:docPart>
      <w:docPartPr>
        <w:name w:val="{f2a6ec60-844f-4f8b-a058-1d62f96cc364}"/>
        <w:style w:val=""/>
        <w:category>
          <w:name w:val="常规"/>
          <w:gallery w:val="placeholder"/>
        </w:category>
        <w:types>
          <w:type w:val="bbPlcHdr"/>
        </w:types>
        <w:behaviors>
          <w:behavior w:val="content"/>
        </w:behaviors>
        <w:description w:val=""/>
        <w:guid w:val="{f2a6ec60-844f-4f8b-a058-1d62f96cc364}"/>
      </w:docPartPr>
      <w:docPartBody>
        <w:p>
          <w:r>
            <w:rPr>
              <w:color w:val="808080"/>
            </w:rPr>
            <w:t>单击此处输入文字。</w:t>
          </w:r>
        </w:p>
      </w:docPartBody>
    </w:docPart>
    <w:docPart>
      <w:docPartPr>
        <w:name w:val="{474ea4c2-3e74-4a7a-961c-d9f8a624e6d4}"/>
        <w:style w:val=""/>
        <w:category>
          <w:name w:val="常规"/>
          <w:gallery w:val="placeholder"/>
        </w:category>
        <w:types>
          <w:type w:val="bbPlcHdr"/>
        </w:types>
        <w:behaviors>
          <w:behavior w:val="content"/>
        </w:behaviors>
        <w:description w:val=""/>
        <w:guid w:val="{474ea4c2-3e74-4a7a-961c-d9f8a624e6d4}"/>
      </w:docPartPr>
      <w:docPartBody>
        <w:p>
          <w:r>
            <w:rPr>
              <w:color w:val="808080"/>
            </w:rPr>
            <w:t>单击此处输入文字。</w:t>
          </w:r>
        </w:p>
      </w:docPartBody>
    </w:docPart>
    <w:docPart>
      <w:docPartPr>
        <w:name w:val="{332b45e8-5260-4fd0-a3a3-e478716d169d}"/>
        <w:style w:val=""/>
        <w:category>
          <w:name w:val="常规"/>
          <w:gallery w:val="placeholder"/>
        </w:category>
        <w:types>
          <w:type w:val="bbPlcHdr"/>
        </w:types>
        <w:behaviors>
          <w:behavior w:val="content"/>
        </w:behaviors>
        <w:description w:val=""/>
        <w:guid w:val="{332b45e8-5260-4fd0-a3a3-e478716d169d}"/>
      </w:docPartPr>
      <w:docPartBody>
        <w:p>
          <w:r>
            <w:rPr>
              <w:color w:val="808080"/>
            </w:rPr>
            <w:t>单击此处输入文字。</w:t>
          </w:r>
        </w:p>
      </w:docPartBody>
    </w:docPart>
    <w:docPart>
      <w:docPartPr>
        <w:name w:val="{15e69e76-01d6-421e-a82d-933a9fe5c2fc}"/>
        <w:style w:val=""/>
        <w:category>
          <w:name w:val="常规"/>
          <w:gallery w:val="placeholder"/>
        </w:category>
        <w:types>
          <w:type w:val="bbPlcHdr"/>
        </w:types>
        <w:behaviors>
          <w:behavior w:val="content"/>
        </w:behaviors>
        <w:description w:val=""/>
        <w:guid w:val="{15e69e76-01d6-421e-a82d-933a9fe5c2fc}"/>
      </w:docPartPr>
      <w:docPartBody>
        <w:p>
          <w:r>
            <w:rPr>
              <w:color w:val="808080"/>
            </w:rPr>
            <w:t>单击此处输入文字。</w:t>
          </w:r>
        </w:p>
      </w:docPartBody>
    </w:docPart>
    <w:docPart>
      <w:docPartPr>
        <w:name w:val="{eace3927-9f3c-40eb-8827-7e97c399e88b}"/>
        <w:style w:val=""/>
        <w:category>
          <w:name w:val="常规"/>
          <w:gallery w:val="placeholder"/>
        </w:category>
        <w:types>
          <w:type w:val="bbPlcHdr"/>
        </w:types>
        <w:behaviors>
          <w:behavior w:val="content"/>
        </w:behaviors>
        <w:description w:val=""/>
        <w:guid w:val="{eace3927-9f3c-40eb-8827-7e97c399e88b}"/>
      </w:docPartPr>
      <w:docPartBody>
        <w:p>
          <w:r>
            <w:rPr>
              <w:color w:val="808080"/>
            </w:rPr>
            <w:t>单击此处输入文字。</w:t>
          </w:r>
        </w:p>
      </w:docPartBody>
    </w:docPart>
    <w:docPart>
      <w:docPartPr>
        <w:name w:val="{b75f6939-bb3e-499e-837f-0c013e99d457}"/>
        <w:style w:val=""/>
        <w:category>
          <w:name w:val="常规"/>
          <w:gallery w:val="placeholder"/>
        </w:category>
        <w:types>
          <w:type w:val="bbPlcHdr"/>
        </w:types>
        <w:behaviors>
          <w:behavior w:val="content"/>
        </w:behaviors>
        <w:description w:val=""/>
        <w:guid w:val="{b75f6939-bb3e-499e-837f-0c013e99d457}"/>
      </w:docPartPr>
      <w:docPartBody>
        <w:p>
          <w:r>
            <w:rPr>
              <w:color w:val="808080"/>
            </w:rPr>
            <w:t>单击此处输入文字。</w:t>
          </w:r>
        </w:p>
      </w:docPartBody>
    </w:docPart>
    <w:docPart>
      <w:docPartPr>
        <w:name w:val="{e7330e43-a971-4491-ac1c-8387398edaa8}"/>
        <w:style w:val=""/>
        <w:category>
          <w:name w:val="常规"/>
          <w:gallery w:val="placeholder"/>
        </w:category>
        <w:types>
          <w:type w:val="bbPlcHdr"/>
        </w:types>
        <w:behaviors>
          <w:behavior w:val="content"/>
        </w:behaviors>
        <w:description w:val=""/>
        <w:guid w:val="{e7330e43-a971-4491-ac1c-8387398edaa8}"/>
      </w:docPartPr>
      <w:docPartBody>
        <w:p>
          <w:r>
            <w:rPr>
              <w:color w:val="808080"/>
            </w:rPr>
            <w:t>单击此处输入文字。</w:t>
          </w:r>
        </w:p>
      </w:docPartBody>
    </w:docPart>
    <w:docPart>
      <w:docPartPr>
        <w:name w:val="{76abf21e-4c0b-4209-bd72-8604acf7b657}"/>
        <w:style w:val=""/>
        <w:category>
          <w:name w:val="常规"/>
          <w:gallery w:val="placeholder"/>
        </w:category>
        <w:types>
          <w:type w:val="bbPlcHdr"/>
        </w:types>
        <w:behaviors>
          <w:behavior w:val="content"/>
        </w:behaviors>
        <w:description w:val=""/>
        <w:guid w:val="{76abf21e-4c0b-4209-bd72-8604acf7b657}"/>
      </w:docPartPr>
      <w:docPartBody>
        <w:p>
          <w:r>
            <w:rPr>
              <w:color w:val="808080"/>
            </w:rPr>
            <w:t>单击此处输入文字。</w:t>
          </w:r>
        </w:p>
      </w:docPartBody>
    </w:docPart>
    <w:docPart>
      <w:docPartPr>
        <w:name w:val="{0ca6158b-f0e8-4aff-8685-a3d76f0c17c4}"/>
        <w:style w:val=""/>
        <w:category>
          <w:name w:val="常规"/>
          <w:gallery w:val="placeholder"/>
        </w:category>
        <w:types>
          <w:type w:val="bbPlcHdr"/>
        </w:types>
        <w:behaviors>
          <w:behavior w:val="content"/>
        </w:behaviors>
        <w:description w:val=""/>
        <w:guid w:val="{0ca6158b-f0e8-4aff-8685-a3d76f0c17c4}"/>
      </w:docPartPr>
      <w:docPartBody>
        <w:p>
          <w:r>
            <w:rPr>
              <w:color w:val="808080"/>
            </w:rPr>
            <w:t>单击此处输入文字。</w:t>
          </w:r>
        </w:p>
      </w:docPartBody>
    </w:docPart>
    <w:docPart>
      <w:docPartPr>
        <w:name w:val="{9996afc1-30a2-4167-ab04-4863a3b3c739}"/>
        <w:style w:val=""/>
        <w:category>
          <w:name w:val="常规"/>
          <w:gallery w:val="placeholder"/>
        </w:category>
        <w:types>
          <w:type w:val="bbPlcHdr"/>
        </w:types>
        <w:behaviors>
          <w:behavior w:val="content"/>
        </w:behaviors>
        <w:description w:val=""/>
        <w:guid w:val="{9996afc1-30a2-4167-ab04-4863a3b3c739}"/>
      </w:docPartPr>
      <w:docPartBody>
        <w:p>
          <w:r>
            <w:rPr>
              <w:color w:val="808080"/>
            </w:rPr>
            <w:t>单击此处输入文字。</w:t>
          </w:r>
        </w:p>
      </w:docPartBody>
    </w:docPart>
    <w:docPart>
      <w:docPartPr>
        <w:name w:val="{42623b01-7f53-419e-a75e-e50d37133a1d}"/>
        <w:style w:val=""/>
        <w:category>
          <w:name w:val="常规"/>
          <w:gallery w:val="placeholder"/>
        </w:category>
        <w:types>
          <w:type w:val="bbPlcHdr"/>
        </w:types>
        <w:behaviors>
          <w:behavior w:val="content"/>
        </w:behaviors>
        <w:description w:val=""/>
        <w:guid w:val="{42623b01-7f53-419e-a75e-e50d37133a1d}"/>
      </w:docPartPr>
      <w:docPartBody>
        <w:p>
          <w:r>
            <w:rPr>
              <w:color w:val="808080"/>
            </w:rPr>
            <w:t>单击此处输入文字。</w:t>
          </w:r>
        </w:p>
      </w:docPartBody>
    </w:docPart>
    <w:docPart>
      <w:docPartPr>
        <w:name w:val="{feb2c01b-119d-4cf9-b1bf-d6dc00e79c3a}"/>
        <w:style w:val=""/>
        <w:category>
          <w:name w:val="常规"/>
          <w:gallery w:val="placeholder"/>
        </w:category>
        <w:types>
          <w:type w:val="bbPlcHdr"/>
        </w:types>
        <w:behaviors>
          <w:behavior w:val="content"/>
        </w:behaviors>
        <w:description w:val=""/>
        <w:guid w:val="{feb2c01b-119d-4cf9-b1bf-d6dc00e79c3a}"/>
      </w:docPartPr>
      <w:docPartBody>
        <w:p>
          <w:r>
            <w:rPr>
              <w:color w:val="808080"/>
            </w:rPr>
            <w:t>单击此处输入文字。</w:t>
          </w:r>
        </w:p>
      </w:docPartBody>
    </w:docPart>
    <w:docPart>
      <w:docPartPr>
        <w:name w:val="{6c781d9d-d8eb-4994-a511-3528062681df}"/>
        <w:style w:val=""/>
        <w:category>
          <w:name w:val="常规"/>
          <w:gallery w:val="placeholder"/>
        </w:category>
        <w:types>
          <w:type w:val="bbPlcHdr"/>
        </w:types>
        <w:behaviors>
          <w:behavior w:val="content"/>
        </w:behaviors>
        <w:description w:val=""/>
        <w:guid w:val="{6c781d9d-d8eb-4994-a511-3528062681df}"/>
      </w:docPartPr>
      <w:docPartBody>
        <w:p>
          <w:r>
            <w:rPr>
              <w:color w:val="808080"/>
            </w:rPr>
            <w:t>单击此处输入文字。</w:t>
          </w:r>
        </w:p>
      </w:docPartBody>
    </w:docPart>
    <w:docPart>
      <w:docPartPr>
        <w:name w:val="{bf35f458-5ee0-41d6-9519-a781be368783}"/>
        <w:style w:val=""/>
        <w:category>
          <w:name w:val="常规"/>
          <w:gallery w:val="placeholder"/>
        </w:category>
        <w:types>
          <w:type w:val="bbPlcHdr"/>
        </w:types>
        <w:behaviors>
          <w:behavior w:val="content"/>
        </w:behaviors>
        <w:description w:val=""/>
        <w:guid w:val="{bf35f458-5ee0-41d6-9519-a781be368783}"/>
      </w:docPartPr>
      <w:docPartBody>
        <w:p>
          <w:r>
            <w:rPr>
              <w:color w:val="808080"/>
            </w:rPr>
            <w:t>单击此处输入文字。</w:t>
          </w:r>
        </w:p>
      </w:docPartBody>
    </w:docPart>
    <w:docPart>
      <w:docPartPr>
        <w:name w:val="{3589a1b0-f3d3-4ead-a14e-adb965d3f090}"/>
        <w:style w:val=""/>
        <w:category>
          <w:name w:val="常规"/>
          <w:gallery w:val="placeholder"/>
        </w:category>
        <w:types>
          <w:type w:val="bbPlcHdr"/>
        </w:types>
        <w:behaviors>
          <w:behavior w:val="content"/>
        </w:behaviors>
        <w:description w:val=""/>
        <w:guid w:val="{3589a1b0-f3d3-4ead-a14e-adb965d3f090}"/>
      </w:docPartPr>
      <w:docPartBody>
        <w:p>
          <w:r>
            <w:rPr>
              <w:color w:val="808080"/>
            </w:rPr>
            <w:t>单击此处输入文字。</w:t>
          </w:r>
        </w:p>
      </w:docPartBody>
    </w:docPart>
    <w:docPart>
      <w:docPartPr>
        <w:name w:val="{1af43730-67bb-4ec3-bb96-c96d268dc0e5}"/>
        <w:style w:val=""/>
        <w:category>
          <w:name w:val="常规"/>
          <w:gallery w:val="placeholder"/>
        </w:category>
        <w:types>
          <w:type w:val="bbPlcHdr"/>
        </w:types>
        <w:behaviors>
          <w:behavior w:val="content"/>
        </w:behaviors>
        <w:description w:val=""/>
        <w:guid w:val="{1af43730-67bb-4ec3-bb96-c96d268dc0e5}"/>
      </w:docPartPr>
      <w:docPartBody>
        <w:p>
          <w:r>
            <w:rPr>
              <w:color w:val="808080"/>
            </w:rPr>
            <w:t>单击此处输入文字。</w:t>
          </w:r>
        </w:p>
      </w:docPartBody>
    </w:docPart>
    <w:docPart>
      <w:docPartPr>
        <w:name w:val="{29b7d617-84fa-4a99-9785-483f48dad4d9}"/>
        <w:style w:val=""/>
        <w:category>
          <w:name w:val="常规"/>
          <w:gallery w:val="placeholder"/>
        </w:category>
        <w:types>
          <w:type w:val="bbPlcHdr"/>
        </w:types>
        <w:behaviors>
          <w:behavior w:val="content"/>
        </w:behaviors>
        <w:description w:val=""/>
        <w:guid w:val="{29b7d617-84fa-4a99-9785-483f48dad4d9}"/>
      </w:docPartPr>
      <w:docPartBody>
        <w:p>
          <w:r>
            <w:rPr>
              <w:color w:val="808080"/>
            </w:rPr>
            <w:t>单击此处输入文字。</w:t>
          </w:r>
        </w:p>
      </w:docPartBody>
    </w:docPart>
    <w:docPart>
      <w:docPartPr>
        <w:name w:val="{0d37d432-9a12-4f3d-a3e2-98cf0e983293}"/>
        <w:style w:val=""/>
        <w:category>
          <w:name w:val="常规"/>
          <w:gallery w:val="placeholder"/>
        </w:category>
        <w:types>
          <w:type w:val="bbPlcHdr"/>
        </w:types>
        <w:behaviors>
          <w:behavior w:val="content"/>
        </w:behaviors>
        <w:description w:val=""/>
        <w:guid w:val="{0d37d432-9a12-4f3d-a3e2-98cf0e983293}"/>
      </w:docPartPr>
      <w:docPartBody>
        <w:p>
          <w:r>
            <w:rPr>
              <w:color w:val="808080"/>
            </w:rPr>
            <w:t>单击此处输入文字。</w:t>
          </w:r>
        </w:p>
      </w:docPartBody>
    </w:docPart>
    <w:docPart>
      <w:docPartPr>
        <w:name w:val="{354b0d0d-7b8c-4eae-8916-dd14ab549445}"/>
        <w:style w:val=""/>
        <w:category>
          <w:name w:val="常规"/>
          <w:gallery w:val="placeholder"/>
        </w:category>
        <w:types>
          <w:type w:val="bbPlcHdr"/>
        </w:types>
        <w:behaviors>
          <w:behavior w:val="content"/>
        </w:behaviors>
        <w:description w:val=""/>
        <w:guid w:val="{354b0d0d-7b8c-4eae-8916-dd14ab549445}"/>
      </w:docPartPr>
      <w:docPartBody>
        <w:p>
          <w:r>
            <w:rPr>
              <w:color w:val="808080"/>
            </w:rPr>
            <w:t>单击此处输入文字。</w:t>
          </w:r>
        </w:p>
      </w:docPartBody>
    </w:docPart>
    <w:docPart>
      <w:docPartPr>
        <w:name w:val="{74627df1-03b0-4b4d-9965-177409b9902f}"/>
        <w:style w:val=""/>
        <w:category>
          <w:name w:val="常规"/>
          <w:gallery w:val="placeholder"/>
        </w:category>
        <w:types>
          <w:type w:val="bbPlcHdr"/>
        </w:types>
        <w:behaviors>
          <w:behavior w:val="content"/>
        </w:behaviors>
        <w:description w:val=""/>
        <w:guid w:val="{74627df1-03b0-4b4d-9965-177409b9902f}"/>
      </w:docPartPr>
      <w:docPartBody>
        <w:p>
          <w:r>
            <w:rPr>
              <w:color w:val="808080"/>
            </w:rPr>
            <w:t>单击此处输入文字。</w:t>
          </w:r>
        </w:p>
      </w:docPartBody>
    </w:docPart>
    <w:docPart>
      <w:docPartPr>
        <w:name w:val="{d40136ef-f3d2-497b-9561-4e4f9b576264}"/>
        <w:style w:val=""/>
        <w:category>
          <w:name w:val="常规"/>
          <w:gallery w:val="placeholder"/>
        </w:category>
        <w:types>
          <w:type w:val="bbPlcHdr"/>
        </w:types>
        <w:behaviors>
          <w:behavior w:val="content"/>
        </w:behaviors>
        <w:description w:val=""/>
        <w:guid w:val="{d40136ef-f3d2-497b-9561-4e4f9b576264}"/>
      </w:docPartPr>
      <w:docPartBody>
        <w:p>
          <w:r>
            <w:rPr>
              <w:color w:val="808080"/>
            </w:rPr>
            <w:t>单击此处输入文字。</w:t>
          </w:r>
        </w:p>
      </w:docPartBody>
    </w:docPart>
    <w:docPart>
      <w:docPartPr>
        <w:name w:val="{bdcecc33-d0ef-4de9-9bc1-b25673aaa94a}"/>
        <w:style w:val=""/>
        <w:category>
          <w:name w:val="常规"/>
          <w:gallery w:val="placeholder"/>
        </w:category>
        <w:types>
          <w:type w:val="bbPlcHdr"/>
        </w:types>
        <w:behaviors>
          <w:behavior w:val="content"/>
        </w:behaviors>
        <w:description w:val=""/>
        <w:guid w:val="{bdcecc33-d0ef-4de9-9bc1-b25673aaa94a}"/>
      </w:docPartPr>
      <w:docPartBody>
        <w:p>
          <w:r>
            <w:rPr>
              <w:color w:val="808080"/>
            </w:rPr>
            <w:t>单击此处输入文字。</w:t>
          </w:r>
        </w:p>
      </w:docPartBody>
    </w:docPart>
    <w:docPart>
      <w:docPartPr>
        <w:name w:val="{c35eb6f1-b1a7-4f5b-8407-219768abc579}"/>
        <w:style w:val=""/>
        <w:category>
          <w:name w:val="常规"/>
          <w:gallery w:val="placeholder"/>
        </w:category>
        <w:types>
          <w:type w:val="bbPlcHdr"/>
        </w:types>
        <w:behaviors>
          <w:behavior w:val="content"/>
        </w:behaviors>
        <w:description w:val=""/>
        <w:guid w:val="{c35eb6f1-b1a7-4f5b-8407-219768abc579}"/>
      </w:docPartPr>
      <w:docPartBody>
        <w:p>
          <w:r>
            <w:rPr>
              <w:color w:val="808080"/>
            </w:rPr>
            <w:t>单击此处输入文字。</w:t>
          </w:r>
        </w:p>
      </w:docPartBody>
    </w:docPart>
    <w:docPart>
      <w:docPartPr>
        <w:name w:val="{ec39a9ed-0207-4943-bad8-68f6454f9f80}"/>
        <w:style w:val=""/>
        <w:category>
          <w:name w:val="常规"/>
          <w:gallery w:val="placeholder"/>
        </w:category>
        <w:types>
          <w:type w:val="bbPlcHdr"/>
        </w:types>
        <w:behaviors>
          <w:behavior w:val="content"/>
        </w:behaviors>
        <w:description w:val=""/>
        <w:guid w:val="{ec39a9ed-0207-4943-bad8-68f6454f9f80}"/>
      </w:docPartPr>
      <w:docPartBody>
        <w:p>
          <w:r>
            <w:rPr>
              <w:color w:val="808080"/>
            </w:rPr>
            <w:t>单击此处输入文字。</w:t>
          </w:r>
        </w:p>
      </w:docPartBody>
    </w:docPart>
    <w:docPart>
      <w:docPartPr>
        <w:name w:val="{e334567f-123c-48dc-8c37-8859d3734aee}"/>
        <w:style w:val=""/>
        <w:category>
          <w:name w:val="常规"/>
          <w:gallery w:val="placeholder"/>
        </w:category>
        <w:types>
          <w:type w:val="bbPlcHdr"/>
        </w:types>
        <w:behaviors>
          <w:behavior w:val="content"/>
        </w:behaviors>
        <w:description w:val=""/>
        <w:guid w:val="{e334567f-123c-48dc-8c37-8859d3734aee}"/>
      </w:docPartPr>
      <w:docPartBody>
        <w:p>
          <w:r>
            <w:rPr>
              <w:color w:val="808080"/>
            </w:rPr>
            <w:t>单击此处输入文字。</w:t>
          </w:r>
        </w:p>
      </w:docPartBody>
    </w:docPart>
    <w:docPart>
      <w:docPartPr>
        <w:name w:val="{104b4261-6eda-43ea-90a9-effb8d646e49}"/>
        <w:style w:val=""/>
        <w:category>
          <w:name w:val="常规"/>
          <w:gallery w:val="placeholder"/>
        </w:category>
        <w:types>
          <w:type w:val="bbPlcHdr"/>
        </w:types>
        <w:behaviors>
          <w:behavior w:val="content"/>
        </w:behaviors>
        <w:description w:val=""/>
        <w:guid w:val="{104b4261-6eda-43ea-90a9-effb8d646e49}"/>
      </w:docPartPr>
      <w:docPartBody>
        <w:p>
          <w:r>
            <w:rPr>
              <w:color w:val="808080"/>
            </w:rPr>
            <w:t>单击此处输入文字。</w:t>
          </w:r>
        </w:p>
      </w:docPartBody>
    </w:docPart>
    <w:docPart>
      <w:docPartPr>
        <w:name w:val="{c6ec430e-a3ec-43eb-89a2-450716508da9}"/>
        <w:style w:val=""/>
        <w:category>
          <w:name w:val="常规"/>
          <w:gallery w:val="placeholder"/>
        </w:category>
        <w:types>
          <w:type w:val="bbPlcHdr"/>
        </w:types>
        <w:behaviors>
          <w:behavior w:val="content"/>
        </w:behaviors>
        <w:description w:val=""/>
        <w:guid w:val="{c6ec430e-a3ec-43eb-89a2-450716508da9}"/>
      </w:docPartPr>
      <w:docPartBody>
        <w:p>
          <w:r>
            <w:rPr>
              <w:color w:val="808080"/>
            </w:rPr>
            <w:t>单击此处输入文字。</w:t>
          </w:r>
        </w:p>
      </w:docPartBody>
    </w:docPart>
    <w:docPart>
      <w:docPartPr>
        <w:name w:val="{04b43c73-bd62-411d-98b6-84b95f525815}"/>
        <w:style w:val=""/>
        <w:category>
          <w:name w:val="常规"/>
          <w:gallery w:val="placeholder"/>
        </w:category>
        <w:types>
          <w:type w:val="bbPlcHdr"/>
        </w:types>
        <w:behaviors>
          <w:behavior w:val="content"/>
        </w:behaviors>
        <w:description w:val=""/>
        <w:guid w:val="{04b43c73-bd62-411d-98b6-84b95f525815}"/>
      </w:docPartPr>
      <w:docPartBody>
        <w:p>
          <w:r>
            <w:rPr>
              <w:color w:val="808080"/>
            </w:rPr>
            <w:t>单击此处输入文字。</w:t>
          </w:r>
        </w:p>
      </w:docPartBody>
    </w:docPart>
    <w:docPart>
      <w:docPartPr>
        <w:name w:val="{3fc6ab24-668a-47f1-b325-f22fbf9bf29a}"/>
        <w:style w:val=""/>
        <w:category>
          <w:name w:val="常规"/>
          <w:gallery w:val="placeholder"/>
        </w:category>
        <w:types>
          <w:type w:val="bbPlcHdr"/>
        </w:types>
        <w:behaviors>
          <w:behavior w:val="content"/>
        </w:behaviors>
        <w:description w:val=""/>
        <w:guid w:val="{3fc6ab24-668a-47f1-b325-f22fbf9bf29a}"/>
      </w:docPartPr>
      <w:docPartBody>
        <w:p>
          <w:r>
            <w:rPr>
              <w:color w:val="808080"/>
            </w:rPr>
            <w:t>单击此处输入文字。</w:t>
          </w:r>
        </w:p>
      </w:docPartBody>
    </w:docPart>
    <w:docPart>
      <w:docPartPr>
        <w:name w:val="{202838c8-37a2-4297-a740-4a0cfe88942c}"/>
        <w:style w:val=""/>
        <w:category>
          <w:name w:val="常规"/>
          <w:gallery w:val="placeholder"/>
        </w:category>
        <w:types>
          <w:type w:val="bbPlcHdr"/>
        </w:types>
        <w:behaviors>
          <w:behavior w:val="content"/>
        </w:behaviors>
        <w:description w:val=""/>
        <w:guid w:val="{202838c8-37a2-4297-a740-4a0cfe88942c}"/>
      </w:docPartPr>
      <w:docPartBody>
        <w:p>
          <w:r>
            <w:rPr>
              <w:color w:val="808080"/>
            </w:rPr>
            <w:t>单击此处输入文字。</w:t>
          </w:r>
        </w:p>
      </w:docPartBody>
    </w:docPart>
    <w:docPart>
      <w:docPartPr>
        <w:name w:val="{e4b31eae-e233-4db5-8681-a630ed61052e}"/>
        <w:style w:val=""/>
        <w:category>
          <w:name w:val="常规"/>
          <w:gallery w:val="placeholder"/>
        </w:category>
        <w:types>
          <w:type w:val="bbPlcHdr"/>
        </w:types>
        <w:behaviors>
          <w:behavior w:val="content"/>
        </w:behaviors>
        <w:description w:val=""/>
        <w:guid w:val="{e4b31eae-e233-4db5-8681-a630ed61052e}"/>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85</TotalTime>
  <ScaleCrop>false</ScaleCrop>
  <LinksUpToDate>false</LinksUpToDate>
  <CharactersWithSpaces>10266</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2024-11-18T10:38:27Z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