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3F4D4">
      <w:pPr>
        <w:pStyle w:val="5"/>
        <w:bidi w:val="0"/>
        <w:rPr>
          <w:rFonts w:hint="eastAsia" w:ascii="仿宋_GB2312" w:hAnsi="仿宋_GB2312" w:eastAsia="仿宋_GB2312" w:cs="仿宋_GB2312"/>
          <w:color w:val="auto"/>
          <w:sz w:val="32"/>
          <w:szCs w:val="32"/>
          <w:lang w:eastAsia="zh-CN"/>
        </w:rPr>
      </w:pPr>
      <w:bookmarkStart w:id="0" w:name="_Toc28040"/>
      <w:bookmarkStart w:id="1" w:name="_Toc17153"/>
      <w:bookmarkStart w:id="2" w:name="_Toc29917"/>
      <w:bookmarkStart w:id="3" w:name="_Toc15306267"/>
      <w:r>
        <w:rPr>
          <w:rFonts w:hint="eastAsia" w:ascii="仿宋_GB2312" w:hAnsi="仿宋_GB2312" w:eastAsia="仿宋_GB2312" w:cs="仿宋_GB2312"/>
          <w:color w:val="auto"/>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6">
            <o:LockedField>false</o:LockedField>
          </o:OLEObject>
        </w:object>
      </w:r>
      <w:bookmarkEnd w:id="0"/>
      <w:bookmarkEnd w:id="1"/>
      <w:bookmarkEnd w:id="2"/>
    </w:p>
    <w:p w14:paraId="429F967C">
      <w:pPr>
        <w:pageBreakBefore w:val="0"/>
        <w:kinsoku/>
        <w:wordWrap/>
        <w:overflowPunct/>
        <w:topLinePunct w:val="0"/>
        <w:bidi w:val="0"/>
        <w:spacing w:line="576" w:lineRule="exact"/>
        <w:ind w:firstLine="640" w:firstLineChars="200"/>
        <w:jc w:val="center"/>
        <w:outlineLvl w:val="0"/>
        <w:rPr>
          <w:rFonts w:hint="eastAsia" w:ascii="仿宋_GB2312" w:hAnsi="仿宋_GB2312" w:eastAsia="仿宋_GB2312" w:cs="仿宋_GB2312"/>
          <w:color w:val="auto"/>
          <w:sz w:val="32"/>
          <w:szCs w:val="32"/>
        </w:rPr>
      </w:pPr>
    </w:p>
    <w:p w14:paraId="492873A7">
      <w:pPr>
        <w:pageBreakBefore w:val="0"/>
        <w:kinsoku/>
        <w:wordWrap/>
        <w:overflowPunct/>
        <w:topLinePunct w:val="0"/>
        <w:bidi w:val="0"/>
        <w:spacing w:line="576" w:lineRule="exact"/>
        <w:ind w:firstLine="640" w:firstLineChars="200"/>
        <w:jc w:val="center"/>
        <w:outlineLvl w:val="0"/>
        <w:rPr>
          <w:rFonts w:hint="eastAsia" w:ascii="仿宋_GB2312" w:hAnsi="仿宋_GB2312" w:eastAsia="仿宋_GB2312" w:cs="仿宋_GB2312"/>
          <w:color w:val="auto"/>
          <w:sz w:val="32"/>
          <w:szCs w:val="32"/>
        </w:rPr>
      </w:pPr>
    </w:p>
    <w:p w14:paraId="6A468988">
      <w:pPr>
        <w:keepNext w:val="0"/>
        <w:keepLines w:val="0"/>
        <w:pageBreakBefore w:val="0"/>
        <w:kinsoku/>
        <w:wordWrap/>
        <w:overflowPunct/>
        <w:topLinePunct w:val="0"/>
        <w:autoSpaceDE/>
        <w:autoSpaceDN/>
        <w:bidi w:val="0"/>
        <w:spacing w:line="576" w:lineRule="exact"/>
        <w:ind w:firstLine="0" w:firstLineChars="0"/>
        <w:jc w:val="center"/>
        <w:textAlignment w:val="auto"/>
        <w:outlineLvl w:val="0"/>
        <w:rPr>
          <w:rFonts w:hint="eastAsia" w:ascii="方正小标宋_GBK" w:hAnsi="方正小标宋_GBK" w:eastAsia="方正小标宋_GBK" w:cs="方正小标宋_GBK"/>
          <w:color w:val="auto"/>
          <w:sz w:val="52"/>
          <w:szCs w:val="52"/>
        </w:rPr>
      </w:pPr>
    </w:p>
    <w:p w14:paraId="58A3CAEF">
      <w:pPr>
        <w:keepNext w:val="0"/>
        <w:keepLines w:val="0"/>
        <w:pageBreakBefore w:val="0"/>
        <w:kinsoku/>
        <w:wordWrap/>
        <w:overflowPunct/>
        <w:topLinePunct w:val="0"/>
        <w:autoSpaceDE/>
        <w:autoSpaceDN/>
        <w:bidi w:val="0"/>
        <w:adjustRightInd w:val="0"/>
        <w:snapToGrid w:val="0"/>
        <w:spacing w:line="576" w:lineRule="exact"/>
        <w:ind w:firstLine="0" w:firstLineChars="0"/>
        <w:jc w:val="center"/>
        <w:textAlignment w:val="auto"/>
        <w:outlineLvl w:val="0"/>
        <w:rPr>
          <w:rFonts w:hint="eastAsia" w:ascii="方正小标宋_GBK" w:hAnsi="方正小标宋_GBK" w:eastAsia="方正小标宋_GBK" w:cs="方正小标宋_GBK"/>
          <w:b/>
          <w:bCs/>
          <w:color w:val="auto"/>
          <w:sz w:val="52"/>
          <w:szCs w:val="52"/>
        </w:rPr>
      </w:pPr>
      <w:bookmarkStart w:id="4" w:name="_Toc15396597"/>
      <w:bookmarkStart w:id="5" w:name="_Toc15378441"/>
      <w:bookmarkStart w:id="6" w:name="_Toc15377425"/>
      <w:bookmarkStart w:id="7" w:name="_Toc15377193"/>
      <w:bookmarkStart w:id="8" w:name="_Toc15396475"/>
      <w:bookmarkStart w:id="9" w:name="_Toc29988"/>
      <w:bookmarkStart w:id="10" w:name="_Toc27890"/>
      <w:bookmarkStart w:id="11" w:name="_Toc29760"/>
      <w:r>
        <w:rPr>
          <w:rFonts w:hint="eastAsia" w:ascii="方正小标宋_GBK" w:hAnsi="方正小标宋_GBK" w:eastAsia="方正小标宋_GBK" w:cs="方正小标宋_GBK"/>
          <w:b/>
          <w:bCs/>
          <w:color w:val="auto"/>
          <w:sz w:val="52"/>
          <w:szCs w:val="52"/>
        </w:rPr>
        <w:t>20</w:t>
      </w:r>
      <w:r>
        <w:rPr>
          <w:rFonts w:hint="eastAsia" w:ascii="方正小标宋_GBK" w:hAnsi="方正小标宋_GBK" w:eastAsia="方正小标宋_GBK" w:cs="方正小标宋_GBK"/>
          <w:b/>
          <w:bCs/>
          <w:color w:val="auto"/>
          <w:sz w:val="52"/>
          <w:szCs w:val="52"/>
          <w:lang w:val="en-US" w:eastAsia="zh-CN"/>
        </w:rPr>
        <w:t>23</w:t>
      </w:r>
      <w:r>
        <w:rPr>
          <w:rFonts w:hint="eastAsia" w:ascii="方正小标宋_GBK" w:hAnsi="方正小标宋_GBK" w:eastAsia="方正小标宋_GBK" w:cs="方正小标宋_GBK"/>
          <w:b/>
          <w:bCs/>
          <w:color w:val="auto"/>
          <w:sz w:val="52"/>
          <w:szCs w:val="52"/>
        </w:rPr>
        <w:t>年度</w:t>
      </w:r>
      <w:bookmarkEnd w:id="4"/>
      <w:bookmarkEnd w:id="5"/>
      <w:bookmarkEnd w:id="6"/>
      <w:bookmarkEnd w:id="7"/>
      <w:bookmarkEnd w:id="8"/>
      <w:bookmarkStart w:id="12" w:name="_Toc15377426"/>
      <w:bookmarkStart w:id="13" w:name="_Toc15396598"/>
      <w:bookmarkStart w:id="14" w:name="_Toc15378442"/>
      <w:bookmarkStart w:id="15" w:name="_Toc15396476"/>
      <w:bookmarkStart w:id="16" w:name="_Toc15377194"/>
      <w:r>
        <w:rPr>
          <w:rFonts w:hint="eastAsia" w:ascii="方正小标宋_GBK" w:hAnsi="方正小标宋_GBK" w:eastAsia="方正小标宋_GBK" w:cs="方正小标宋_GBK"/>
          <w:b/>
          <w:bCs/>
          <w:color w:val="auto"/>
          <w:sz w:val="52"/>
          <w:szCs w:val="52"/>
        </w:rPr>
        <w:t>四川省</w:t>
      </w:r>
      <w:bookmarkEnd w:id="3"/>
      <w:bookmarkStart w:id="17" w:name="_Toc15306268"/>
      <w:r>
        <w:rPr>
          <w:rFonts w:hint="eastAsia" w:ascii="方正小标宋_GBK" w:hAnsi="方正小标宋_GBK" w:eastAsia="方正小标宋_GBK" w:cs="方正小标宋_GBK"/>
          <w:b/>
          <w:bCs/>
          <w:color w:val="auto"/>
          <w:sz w:val="52"/>
          <w:szCs w:val="52"/>
        </w:rPr>
        <w:t>红原县</w:t>
      </w:r>
      <w:bookmarkEnd w:id="9"/>
      <w:bookmarkEnd w:id="10"/>
      <w:bookmarkEnd w:id="11"/>
    </w:p>
    <w:p w14:paraId="529B7BB0">
      <w:pPr>
        <w:keepNext w:val="0"/>
        <w:keepLines w:val="0"/>
        <w:pageBreakBefore w:val="0"/>
        <w:kinsoku/>
        <w:wordWrap/>
        <w:overflowPunct/>
        <w:topLinePunct w:val="0"/>
        <w:autoSpaceDE/>
        <w:autoSpaceDN/>
        <w:bidi w:val="0"/>
        <w:adjustRightInd w:val="0"/>
        <w:snapToGrid w:val="0"/>
        <w:spacing w:line="576" w:lineRule="exact"/>
        <w:ind w:firstLine="0" w:firstLineChars="0"/>
        <w:jc w:val="center"/>
        <w:textAlignment w:val="auto"/>
        <w:outlineLvl w:val="0"/>
        <w:rPr>
          <w:rFonts w:hint="eastAsia" w:ascii="方正小标宋_GBK" w:hAnsi="方正小标宋_GBK" w:eastAsia="方正小标宋_GBK" w:cs="方正小标宋_GBK"/>
          <w:b/>
          <w:bCs/>
          <w:color w:val="auto"/>
          <w:sz w:val="52"/>
          <w:szCs w:val="52"/>
          <w:lang w:eastAsia="zh-CN"/>
        </w:rPr>
      </w:pPr>
      <w:bookmarkStart w:id="18" w:name="_Toc23297"/>
      <w:bookmarkStart w:id="19" w:name="_Toc27447"/>
      <w:bookmarkStart w:id="20" w:name="_Toc16997"/>
      <w:r>
        <w:rPr>
          <w:rFonts w:hint="eastAsia" w:ascii="方正小标宋_GBK" w:hAnsi="方正小标宋_GBK" w:eastAsia="方正小标宋_GBK" w:cs="方正小标宋_GBK"/>
          <w:b/>
          <w:bCs/>
          <w:color w:val="auto"/>
          <w:sz w:val="52"/>
          <w:szCs w:val="52"/>
          <w:lang w:eastAsia="zh-CN"/>
        </w:rPr>
        <w:t>行政审批</w:t>
      </w:r>
      <w:r>
        <w:rPr>
          <w:rFonts w:hint="eastAsia" w:ascii="方正小标宋_GBK" w:hAnsi="方正小标宋_GBK" w:eastAsia="方正小标宋_GBK" w:cs="方正小标宋_GBK"/>
          <w:b/>
          <w:bCs/>
          <w:color w:val="auto"/>
          <w:sz w:val="52"/>
          <w:szCs w:val="52"/>
          <w:lang w:val="en-US" w:eastAsia="zh-CN"/>
        </w:rPr>
        <w:t>和政务服务管理</w:t>
      </w:r>
      <w:r>
        <w:rPr>
          <w:rFonts w:hint="eastAsia" w:ascii="方正小标宋_GBK" w:hAnsi="方正小标宋_GBK" w:eastAsia="方正小标宋_GBK" w:cs="方正小标宋_GBK"/>
          <w:b/>
          <w:bCs/>
          <w:color w:val="auto"/>
          <w:sz w:val="52"/>
          <w:szCs w:val="52"/>
          <w:lang w:eastAsia="zh-CN"/>
        </w:rPr>
        <w:t>局</w:t>
      </w:r>
    </w:p>
    <w:p w14:paraId="476B37F9">
      <w:pPr>
        <w:keepNext w:val="0"/>
        <w:keepLines w:val="0"/>
        <w:pageBreakBefore w:val="0"/>
        <w:kinsoku/>
        <w:wordWrap/>
        <w:overflowPunct/>
        <w:topLinePunct w:val="0"/>
        <w:autoSpaceDE/>
        <w:autoSpaceDN/>
        <w:bidi w:val="0"/>
        <w:adjustRightInd w:val="0"/>
        <w:snapToGrid w:val="0"/>
        <w:spacing w:line="576" w:lineRule="exact"/>
        <w:ind w:firstLine="0" w:firstLineChars="0"/>
        <w:jc w:val="center"/>
        <w:textAlignment w:val="auto"/>
        <w:outlineLvl w:val="0"/>
        <w:rPr>
          <w:rFonts w:hint="eastAsia" w:ascii="方正小标宋_GBK" w:hAnsi="方正小标宋_GBK" w:eastAsia="方正小标宋_GBK" w:cs="方正小标宋_GBK"/>
          <w:b/>
          <w:bCs/>
          <w:color w:val="auto"/>
          <w:sz w:val="52"/>
          <w:szCs w:val="52"/>
          <w:lang w:eastAsia="zh-CN"/>
        </w:rPr>
      </w:pPr>
      <w:r>
        <w:rPr>
          <w:rFonts w:hint="eastAsia" w:ascii="方正小标宋_GBK" w:hAnsi="方正小标宋_GBK" w:eastAsia="方正小标宋_GBK" w:cs="方正小标宋_GBK"/>
          <w:b/>
          <w:bCs/>
          <w:color w:val="auto"/>
          <w:sz w:val="52"/>
          <w:szCs w:val="52"/>
        </w:rPr>
        <w:t>部门决算</w:t>
      </w:r>
      <w:bookmarkEnd w:id="12"/>
      <w:bookmarkEnd w:id="13"/>
      <w:bookmarkEnd w:id="14"/>
      <w:bookmarkEnd w:id="15"/>
      <w:bookmarkEnd w:id="16"/>
      <w:bookmarkEnd w:id="17"/>
      <w:r>
        <w:rPr>
          <w:rFonts w:hint="eastAsia" w:ascii="方正小标宋_GBK" w:hAnsi="方正小标宋_GBK" w:eastAsia="方正小标宋_GBK" w:cs="方正小标宋_GBK"/>
          <w:b/>
          <w:bCs/>
          <w:color w:val="auto"/>
          <w:sz w:val="52"/>
          <w:szCs w:val="52"/>
          <w:lang w:eastAsia="zh-CN"/>
        </w:rPr>
        <w:t>公开</w:t>
      </w:r>
      <w:bookmarkEnd w:id="18"/>
      <w:bookmarkEnd w:id="19"/>
      <w:bookmarkEnd w:id="20"/>
    </w:p>
    <w:p w14:paraId="6603AD05">
      <w:pPr>
        <w:keepNext w:val="0"/>
        <w:keepLines w:val="0"/>
        <w:pageBreakBefore w:val="0"/>
        <w:kinsoku/>
        <w:wordWrap/>
        <w:overflowPunct/>
        <w:topLinePunct w:val="0"/>
        <w:autoSpaceDE/>
        <w:autoSpaceDN/>
        <w:bidi w:val="0"/>
        <w:adjustRightInd w:val="0"/>
        <w:snapToGrid w:val="0"/>
        <w:spacing w:line="576" w:lineRule="exact"/>
        <w:ind w:firstLine="0" w:firstLineChars="0"/>
        <w:jc w:val="center"/>
        <w:textAlignment w:val="auto"/>
        <w:outlineLvl w:val="0"/>
        <w:rPr>
          <w:rFonts w:hint="eastAsia" w:ascii="方正小标宋_GBK" w:hAnsi="方正小标宋_GBK" w:eastAsia="方正小标宋_GBK" w:cs="方正小标宋_GBK"/>
          <w:b/>
          <w:bCs/>
          <w:color w:val="auto"/>
          <w:sz w:val="52"/>
          <w:szCs w:val="52"/>
          <w:lang w:eastAsia="zh-CN"/>
        </w:rPr>
      </w:pPr>
      <w:bookmarkStart w:id="21" w:name="_Toc17893"/>
      <w:bookmarkStart w:id="22" w:name="_Toc7478"/>
      <w:bookmarkStart w:id="23" w:name="_Toc30076"/>
      <w:r>
        <w:rPr>
          <w:rFonts w:hint="eastAsia" w:ascii="方正小标宋_GBK" w:hAnsi="方正小标宋_GBK" w:eastAsia="方正小标宋_GBK" w:cs="方正小标宋_GBK"/>
          <w:b/>
          <w:bCs/>
          <w:color w:val="auto"/>
          <w:sz w:val="52"/>
          <w:szCs w:val="52"/>
          <w:lang w:eastAsia="zh-CN"/>
        </w:rPr>
        <w:t>编制</w:t>
      </w:r>
      <w:r>
        <w:rPr>
          <w:rFonts w:hint="eastAsia" w:ascii="方正小标宋_GBK" w:hAnsi="方正小标宋_GBK" w:eastAsia="方正小标宋_GBK" w:cs="方正小标宋_GBK"/>
          <w:b/>
          <w:bCs/>
          <w:color w:val="auto"/>
          <w:sz w:val="52"/>
          <w:szCs w:val="5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7">
            <o:LockedField>false</o:LockedField>
          </o:OLEObject>
        </w:object>
      </w:r>
      <w:r>
        <w:rPr>
          <w:rFonts w:hint="eastAsia" w:ascii="方正小标宋_GBK" w:hAnsi="方正小标宋_GBK" w:eastAsia="方正小标宋_GBK" w:cs="方正小标宋_GBK"/>
          <w:b/>
          <w:bCs/>
          <w:color w:val="auto"/>
          <w:sz w:val="52"/>
          <w:szCs w:val="52"/>
          <w:lang w:eastAsia="zh-CN"/>
        </w:rPr>
        <w:object>
          <v:shape id="_x0000_i1027" o:spt="75" type="#_x0000_t75" style="height:0.05pt;width:0.05pt;" o:ole="t" filled="f" stroked="f" coordsize="21600,21600">
            <v:path/>
            <v:fill on="f" focussize="0,0"/>
            <v:stroke on="f"/>
            <v:imagedata o:title=""/>
            <o:lock v:ext="edit" aspectratio="t"/>
            <w10:wrap type="none"/>
            <w10:anchorlock/>
          </v:shape>
          <o:OLEObject Type="Embed" ProgID="Excel.Chart.8" ShapeID="_x0000_i1027" DrawAspect="Content" ObjectID="_1468075727" r:id="rId8">
            <o:LockedField>false</o:LockedField>
          </o:OLEObject>
        </w:object>
      </w:r>
      <w:r>
        <w:rPr>
          <w:rFonts w:hint="eastAsia" w:ascii="方正小标宋_GBK" w:hAnsi="方正小标宋_GBK" w:eastAsia="方正小标宋_GBK" w:cs="方正小标宋_GBK"/>
          <w:b/>
          <w:bCs/>
          <w:color w:val="auto"/>
          <w:sz w:val="52"/>
          <w:szCs w:val="52"/>
          <w:lang w:eastAsia="zh-CN"/>
        </w:rPr>
        <w:t>说明</w:t>
      </w:r>
      <w:bookmarkEnd w:id="21"/>
      <w:bookmarkEnd w:id="22"/>
      <w:bookmarkEnd w:id="23"/>
    </w:p>
    <w:p w14:paraId="49661C43">
      <w:pPr>
        <w:keepNext w:val="0"/>
        <w:keepLines w:val="0"/>
        <w:pageBreakBefore w:val="0"/>
        <w:widowControl/>
        <w:kinsoku/>
        <w:wordWrap/>
        <w:overflowPunct/>
        <w:topLinePunct w:val="0"/>
        <w:autoSpaceDE/>
        <w:autoSpaceDN/>
        <w:bidi w:val="0"/>
        <w:spacing w:line="576" w:lineRule="exact"/>
        <w:ind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object>
          <v:shape id="_x0000_i1028" o:spt="75" type="#_x0000_t75" style="height:0.05pt;width:0.05pt;" o:ole="t" filled="f" stroked="f" coordsize="21600,21600">
            <v:path/>
            <v:fill on="f" focussize="0,0"/>
            <v:stroke on="f"/>
            <v:imagedata o:title=""/>
            <o:lock v:ext="edit" aspectratio="t"/>
            <w10:wrap type="none"/>
            <w10:anchorlock/>
          </v:shape>
          <o:OLEObject Type="Embed" ProgID="Excel.Chart.8" ShapeID="_x0000_i1028" DrawAspect="Content" ObjectID="_1468075728" r:id="rId9">
            <o:LockedField>false</o:LockedField>
          </o:OLEObject>
        </w:object>
      </w:r>
      <w:r>
        <w:rPr>
          <w:rFonts w:hint="eastAsia" w:ascii="仿宋_GB2312" w:hAnsi="仿宋_GB2312" w:eastAsia="仿宋_GB2312" w:cs="仿宋_GB2312"/>
          <w:b/>
          <w:bCs/>
          <w:color w:val="auto"/>
          <w:sz w:val="32"/>
          <w:szCs w:val="32"/>
        </w:rPr>
        <w:object>
          <v:shape id="_x0000_i1029" o:spt="75" type="#_x0000_t75" style="height:0.05pt;width:0.05pt;" o:ole="t" filled="f" stroked="f" coordsize="21600,21600">
            <v:path/>
            <v:fill on="f" focussize="0,0"/>
            <v:stroke on="f"/>
            <v:imagedata o:title=""/>
            <o:lock v:ext="edit" aspectratio="t"/>
            <w10:wrap type="none"/>
            <w10:anchorlock/>
          </v:shape>
          <o:OLEObject Type="Embed" ProgID="Excel.Chart.8" ShapeID="_x0000_i1029" DrawAspect="Content" ObjectID="_1468075729" r:id="rId10">
            <o:LockedField>false</o:LockedField>
          </o:OLEObject>
        </w:object>
      </w:r>
    </w:p>
    <w:p w14:paraId="40DD59E3">
      <w:pPr>
        <w:keepNext w:val="0"/>
        <w:keepLines w:val="0"/>
        <w:pageBreakBefore w:val="0"/>
        <w:widowControl/>
        <w:kinsoku/>
        <w:wordWrap/>
        <w:overflowPunct/>
        <w:topLinePunct w:val="0"/>
        <w:autoSpaceDE/>
        <w:autoSpaceDN/>
        <w:bidi w:val="0"/>
        <w:spacing w:line="576" w:lineRule="exact"/>
        <w:ind w:firstLine="0" w:firstLineChars="0"/>
        <w:jc w:val="center"/>
        <w:textAlignment w:val="auto"/>
        <w:rPr>
          <w:rFonts w:hint="eastAsia" w:ascii="仿宋_GB2312" w:hAnsi="仿宋_GB2312" w:eastAsia="仿宋_GB2312" w:cs="仿宋_GB2312"/>
          <w:b/>
          <w:bCs/>
          <w:color w:val="auto"/>
          <w:sz w:val="32"/>
          <w:szCs w:val="32"/>
        </w:rPr>
      </w:pPr>
    </w:p>
    <w:p w14:paraId="752669FA">
      <w:pPr>
        <w:pageBreakBefore w:val="0"/>
        <w:widowControl/>
        <w:kinsoku/>
        <w:wordWrap/>
        <w:overflowPunct/>
        <w:topLinePunct w:val="0"/>
        <w:bidi w:val="0"/>
        <w:spacing w:line="576" w:lineRule="exact"/>
        <w:ind w:firstLine="643" w:firstLineChars="200"/>
        <w:jc w:val="center"/>
        <w:rPr>
          <w:rFonts w:hint="eastAsia" w:ascii="仿宋_GB2312" w:hAnsi="仿宋_GB2312" w:eastAsia="仿宋_GB2312" w:cs="仿宋_GB2312"/>
          <w:b/>
          <w:bCs/>
          <w:color w:val="auto"/>
          <w:sz w:val="32"/>
          <w:szCs w:val="32"/>
        </w:rPr>
      </w:pPr>
    </w:p>
    <w:p w14:paraId="5402DBAF">
      <w:pPr>
        <w:pageBreakBefore w:val="0"/>
        <w:widowControl/>
        <w:kinsoku/>
        <w:wordWrap/>
        <w:overflowPunct/>
        <w:topLinePunct w:val="0"/>
        <w:bidi w:val="0"/>
        <w:spacing w:line="576" w:lineRule="exact"/>
        <w:ind w:firstLine="643" w:firstLineChars="200"/>
        <w:jc w:val="center"/>
        <w:rPr>
          <w:rFonts w:hint="eastAsia" w:ascii="仿宋_GB2312" w:hAnsi="仿宋_GB2312" w:eastAsia="仿宋_GB2312" w:cs="仿宋_GB2312"/>
          <w:b/>
          <w:bCs/>
          <w:color w:val="auto"/>
          <w:sz w:val="32"/>
          <w:szCs w:val="32"/>
        </w:rPr>
      </w:pPr>
    </w:p>
    <w:p w14:paraId="68A8609D">
      <w:pPr>
        <w:pageBreakBefore w:val="0"/>
        <w:widowControl/>
        <w:kinsoku/>
        <w:wordWrap/>
        <w:overflowPunct/>
        <w:topLinePunct w:val="0"/>
        <w:bidi w:val="0"/>
        <w:spacing w:line="576" w:lineRule="exact"/>
        <w:ind w:firstLine="643" w:firstLineChars="200"/>
        <w:jc w:val="center"/>
        <w:rPr>
          <w:rFonts w:hint="eastAsia" w:ascii="仿宋_GB2312" w:hAnsi="仿宋_GB2312" w:eastAsia="仿宋_GB2312" w:cs="仿宋_GB2312"/>
          <w:b/>
          <w:bCs/>
          <w:color w:val="auto"/>
          <w:sz w:val="32"/>
          <w:szCs w:val="32"/>
        </w:rPr>
      </w:pPr>
    </w:p>
    <w:p w14:paraId="77C8179B">
      <w:pPr>
        <w:pStyle w:val="9"/>
        <w:pageBreakBefore w:val="0"/>
        <w:kinsoku/>
        <w:wordWrap/>
        <w:overflowPunct/>
        <w:topLinePunct w:val="0"/>
        <w:bidi w:val="0"/>
        <w:spacing w:line="576" w:lineRule="exact"/>
        <w:rPr>
          <w:rFonts w:hint="eastAsia" w:ascii="仿宋_GB2312" w:hAnsi="仿宋_GB2312" w:eastAsia="仿宋_GB2312" w:cs="仿宋_GB2312"/>
          <w:b/>
          <w:bCs/>
          <w:color w:val="auto"/>
          <w:sz w:val="32"/>
          <w:szCs w:val="32"/>
        </w:rPr>
      </w:pPr>
    </w:p>
    <w:p w14:paraId="00711DA4">
      <w:pPr>
        <w:pageBreakBefore w:val="0"/>
        <w:kinsoku/>
        <w:wordWrap/>
        <w:overflowPunct/>
        <w:topLinePunct w:val="0"/>
        <w:bidi w:val="0"/>
        <w:spacing w:line="576" w:lineRule="exact"/>
        <w:rPr>
          <w:rFonts w:hint="eastAsia" w:ascii="仿宋_GB2312" w:hAnsi="仿宋_GB2312" w:eastAsia="仿宋_GB2312" w:cs="仿宋_GB2312"/>
          <w:b/>
          <w:bCs/>
          <w:color w:val="auto"/>
          <w:sz w:val="32"/>
          <w:szCs w:val="32"/>
        </w:rPr>
      </w:pPr>
    </w:p>
    <w:p w14:paraId="7F8D3560">
      <w:pPr>
        <w:pStyle w:val="9"/>
        <w:pageBreakBefore w:val="0"/>
        <w:kinsoku/>
        <w:wordWrap/>
        <w:overflowPunct/>
        <w:topLinePunct w:val="0"/>
        <w:bidi w:val="0"/>
        <w:spacing w:line="576" w:lineRule="exact"/>
        <w:rPr>
          <w:rFonts w:hint="eastAsia" w:ascii="仿宋_GB2312" w:hAnsi="仿宋_GB2312" w:eastAsia="仿宋_GB2312" w:cs="仿宋_GB2312"/>
          <w:b/>
          <w:bCs/>
          <w:color w:val="auto"/>
          <w:sz w:val="32"/>
          <w:szCs w:val="32"/>
        </w:rPr>
      </w:pPr>
    </w:p>
    <w:p w14:paraId="467C6AD1">
      <w:pPr>
        <w:pageBreakBefore w:val="0"/>
        <w:kinsoku/>
        <w:wordWrap/>
        <w:overflowPunct/>
        <w:topLinePunct w:val="0"/>
        <w:bidi w:val="0"/>
        <w:spacing w:line="576" w:lineRule="exact"/>
        <w:rPr>
          <w:rFonts w:hint="eastAsia" w:ascii="仿宋_GB2312" w:hAnsi="仿宋_GB2312" w:eastAsia="仿宋_GB2312" w:cs="仿宋_GB2312"/>
          <w:b/>
          <w:bCs/>
          <w:color w:val="auto"/>
          <w:sz w:val="32"/>
          <w:szCs w:val="32"/>
        </w:rPr>
      </w:pPr>
    </w:p>
    <w:p w14:paraId="4E14BB5A">
      <w:pPr>
        <w:pStyle w:val="9"/>
        <w:pageBreakBefore w:val="0"/>
        <w:kinsoku/>
        <w:wordWrap/>
        <w:overflowPunct/>
        <w:topLinePunct w:val="0"/>
        <w:bidi w:val="0"/>
        <w:spacing w:line="576" w:lineRule="exact"/>
        <w:rPr>
          <w:rFonts w:hint="eastAsia" w:ascii="仿宋_GB2312" w:hAnsi="仿宋_GB2312" w:eastAsia="仿宋_GB2312" w:cs="仿宋_GB2312"/>
          <w:sz w:val="32"/>
          <w:szCs w:val="32"/>
        </w:rPr>
      </w:pPr>
    </w:p>
    <w:p w14:paraId="7E40CF4A">
      <w:pPr>
        <w:pageBreakBefore w:val="0"/>
        <w:widowControl/>
        <w:kinsoku/>
        <w:wordWrap/>
        <w:overflowPunct/>
        <w:topLinePunct w:val="0"/>
        <w:bidi w:val="0"/>
        <w:spacing w:line="576" w:lineRule="exact"/>
        <w:ind w:firstLine="643" w:firstLineChars="200"/>
        <w:jc w:val="center"/>
        <w:rPr>
          <w:rFonts w:hint="eastAsia" w:ascii="仿宋_GB2312" w:hAnsi="仿宋_GB2312" w:eastAsia="仿宋_GB2312" w:cs="仿宋_GB2312"/>
          <w:b/>
          <w:bCs/>
          <w:color w:val="auto"/>
          <w:sz w:val="32"/>
          <w:szCs w:val="32"/>
        </w:rPr>
      </w:pPr>
    </w:p>
    <w:p w14:paraId="03DEAA93">
      <w:pPr>
        <w:pStyle w:val="15"/>
        <w:keepNext w:val="0"/>
        <w:keepLines w:val="0"/>
        <w:pageBreakBefore w:val="0"/>
        <w:widowControl/>
        <w:suppressLineNumbers w:val="0"/>
        <w:kinsoku/>
        <w:wordWrap/>
        <w:overflowPunct/>
        <w:topLinePunct w:val="0"/>
        <w:bidi w:val="0"/>
        <w:spacing w:line="576" w:lineRule="exact"/>
        <w:ind w:left="0" w:right="75"/>
        <w:jc w:val="left"/>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rPr>
        <w:t>保密审查情况：</w:t>
      </w:r>
      <w:r>
        <w:rPr>
          <w:rFonts w:hint="eastAsia" w:ascii="仿宋_GB2312" w:hAnsi="仿宋_GB2312" w:eastAsia="仿宋_GB2312" w:cs="仿宋_GB2312"/>
          <w:sz w:val="32"/>
          <w:szCs w:val="32"/>
          <w:shd w:val="clear" w:color="auto" w:fill="FFFFFF"/>
          <w:lang w:val="en-US" w:eastAsia="zh-CN"/>
        </w:rPr>
        <w:t>已审查，内容核定</w:t>
      </w:r>
      <w:bookmarkStart w:id="133" w:name="_GoBack"/>
      <w:bookmarkEnd w:id="133"/>
    </w:p>
    <w:p w14:paraId="13A2CF16">
      <w:pPr>
        <w:pStyle w:val="15"/>
        <w:keepNext w:val="0"/>
        <w:keepLines w:val="0"/>
        <w:pageBreakBefore w:val="0"/>
        <w:widowControl/>
        <w:suppressLineNumbers w:val="0"/>
        <w:kinsoku/>
        <w:wordWrap/>
        <w:overflowPunct/>
        <w:topLinePunct w:val="0"/>
        <w:bidi w:val="0"/>
        <w:spacing w:line="576" w:lineRule="exact"/>
        <w:ind w:left="0" w:right="75"/>
        <w:jc w:val="left"/>
        <w:rPr>
          <w:rStyle w:val="18"/>
          <w:rFonts w:hint="default" w:ascii="仿宋_GB2312" w:hAnsi="仿宋_GB2312" w:eastAsia="仿宋_GB2312" w:cs="仿宋_GB2312"/>
          <w:sz w:val="32"/>
          <w:szCs w:val="32"/>
          <w:shd w:val="clear" w:color="auto" w:fill="FFFFFF"/>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32"/>
          <w:szCs w:val="32"/>
          <w:shd w:val="clear" w:color="auto" w:fill="FFFFFF"/>
        </w:rPr>
        <w:t>部门主要负责人审签情况：</w:t>
      </w:r>
      <w:r>
        <w:rPr>
          <w:rFonts w:hint="eastAsia" w:ascii="仿宋_GB2312" w:hAnsi="仿宋_GB2312" w:eastAsia="仿宋_GB2312" w:cs="仿宋_GB2312"/>
          <w:sz w:val="32"/>
          <w:szCs w:val="32"/>
          <w:shd w:val="clear" w:color="auto" w:fill="FFFFFF"/>
          <w:lang w:val="en-US" w:eastAsia="zh-CN"/>
        </w:rPr>
        <w:t>已审签，同意对外公开</w:t>
      </w:r>
    </w:p>
    <w:p w14:paraId="001728A6">
      <w:pPr>
        <w:pageBreakBefore w:val="0"/>
        <w:widowControl/>
        <w:kinsoku/>
        <w:wordWrap/>
        <w:overflowPunct/>
        <w:topLinePunct w:val="0"/>
        <w:bidi w:val="0"/>
        <w:spacing w:line="576" w:lineRule="exact"/>
        <w:ind w:firstLine="643" w:firstLineChars="200"/>
        <w:jc w:val="center"/>
        <w:rPr>
          <w:rFonts w:hint="eastAsia" w:ascii="仿宋_GB2312" w:hAnsi="仿宋_GB2312" w:eastAsia="仿宋_GB2312" w:cs="仿宋_GB2312"/>
          <w:b/>
          <w:bCs/>
          <w:color w:val="auto"/>
          <w:sz w:val="32"/>
          <w:szCs w:val="32"/>
        </w:rPr>
      </w:pPr>
    </w:p>
    <w:p w14:paraId="0C42E6C3">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32"/>
          <w:szCs w:val="32"/>
        </w:rPr>
      </w:pPr>
      <w:bookmarkStart w:id="24" w:name="_Toc15377196"/>
      <w:r>
        <w:rPr>
          <w:rFonts w:hint="eastAsia" w:ascii="仿宋_GB2312" w:hAnsi="仿宋_GB2312" w:eastAsia="仿宋_GB2312" w:cs="仿宋_GB2312"/>
          <w:color w:val="000000"/>
          <w:sz w:val="32"/>
          <w:szCs w:val="32"/>
        </w:rPr>
        <w:t>目录</w:t>
      </w:r>
    </w:p>
    <w:p w14:paraId="39B4B6DB">
      <w:pPr>
        <w:pStyle w:val="13"/>
        <w:pageBreakBefore w:val="0"/>
        <w:kinsoku/>
        <w:wordWrap/>
        <w:overflowPunct/>
        <w:topLinePunct w:val="0"/>
        <w:bidi w:val="0"/>
        <w:spacing w:line="576"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公开时间：202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w:t>
      </w:r>
    </w:p>
    <w:p w14:paraId="038FCFB3">
      <w:pPr>
        <w:pStyle w:val="2"/>
        <w:pageBreakBefore w:val="0"/>
        <w:kinsoku/>
        <w:wordWrap/>
        <w:overflowPunct/>
        <w:topLinePunct w:val="0"/>
        <w:bidi w:val="0"/>
        <w:spacing w:line="576" w:lineRule="exact"/>
        <w:rPr>
          <w:rFonts w:hint="eastAsia" w:ascii="仿宋_GB2312" w:hAnsi="仿宋_GB2312" w:eastAsia="仿宋_GB2312" w:cs="仿宋_GB2312"/>
          <w:sz w:val="32"/>
          <w:szCs w:val="32"/>
        </w:rPr>
      </w:pPr>
    </w:p>
    <w:p w14:paraId="1C67D4FE">
      <w:pPr>
        <w:pStyle w:val="14"/>
        <w:pageBreakBefore w:val="0"/>
        <w:tabs>
          <w:tab w:val="right" w:leader="dot" w:pos="8844"/>
          <w:tab w:val="clear" w:pos="8296"/>
        </w:tabs>
        <w:kinsoku/>
        <w:wordWrap/>
        <w:overflowPunct/>
        <w:topLinePunct w:val="0"/>
        <w:bidi w:val="0"/>
        <w:spacing w:line="576" w:lineRule="exact"/>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Style w:val="20"/>
          <w:rFonts w:hint="eastAsia" w:ascii="仿宋_GB2312" w:hAnsi="仿宋_GB2312" w:eastAsia="仿宋_GB2312" w:cs="仿宋_GB2312"/>
          <w:kern w:val="2"/>
          <w:sz w:val="32"/>
          <w:szCs w:val="32"/>
          <w:lang w:val="en-US" w:eastAsia="zh-CN" w:bidi="ar-SA"/>
        </w:rPr>
        <w:instrText xml:space="preserve"> HYPERLINK \l "_Toc15396599"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fldChar w:fldCharType="begin"/>
      </w:r>
      <w:r>
        <w:rPr>
          <w:rStyle w:val="20"/>
          <w:rFonts w:hint="eastAsia" w:ascii="仿宋_GB2312" w:hAnsi="仿宋_GB2312" w:eastAsia="仿宋_GB2312" w:cs="仿宋_GB2312"/>
          <w:kern w:val="2"/>
          <w:sz w:val="32"/>
          <w:szCs w:val="32"/>
          <w:lang w:val="en-US" w:eastAsia="zh-CN" w:bidi="ar-SA"/>
        </w:rPr>
        <w:instrText xml:space="preserve">TOC \o "1-2" \h \u </w:instrText>
      </w:r>
      <w:r>
        <w:rPr>
          <w:rFonts w:hint="eastAsia" w:ascii="仿宋_GB2312" w:hAnsi="仿宋_GB2312" w:eastAsia="仿宋_GB2312" w:cs="仿宋_GB2312"/>
          <w:kern w:val="2"/>
          <w:sz w:val="32"/>
          <w:szCs w:val="32"/>
          <w:lang w:val="en-US" w:eastAsia="zh-CN" w:bidi="ar-SA"/>
        </w:rPr>
        <w:fldChar w:fldCharType="separate"/>
      </w:r>
    </w:p>
    <w:p w14:paraId="519B011F">
      <w:pPr>
        <w:pStyle w:val="13"/>
        <w:pageBreakBefore w:val="0"/>
        <w:tabs>
          <w:tab w:val="right" w:leader="dot" w:pos="8844"/>
          <w:tab w:val="clear" w:pos="8296"/>
        </w:tabs>
        <w:kinsoku/>
        <w:wordWrap/>
        <w:overflowPunct/>
        <w:topLinePunct w:val="0"/>
        <w:bidi w:val="0"/>
        <w:spacing w:line="576"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_Toc7014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_Toc7014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76E1B1DE">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_Toc31980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571998E2">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_Toc14912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二、机</w:t>
      </w:r>
      <w:r>
        <w:rPr>
          <w:rFonts w:hint="eastAsia" w:ascii="仿宋_GB2312" w:hAnsi="仿宋_GB2312" w:eastAsia="仿宋_GB2312" w:cs="仿宋_GB2312"/>
          <w:bCs w:val="0"/>
          <w:sz w:val="32"/>
          <w:szCs w:val="32"/>
        </w:rPr>
        <w:t>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2F91267C">
      <w:pPr>
        <w:pStyle w:val="13"/>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_Toc16190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 xml:space="preserve">第二部分 </w:t>
      </w:r>
      <w:r>
        <w:rPr>
          <w:rFonts w:hint="eastAsia" w:ascii="仿宋_GB2312" w:hAnsi="仿宋_GB2312" w:eastAsia="仿宋_GB2312" w:cs="仿宋_GB2312"/>
          <w:bCs w:val="0"/>
          <w:sz w:val="32"/>
          <w:szCs w:val="32"/>
        </w:rPr>
        <w:t>2</w:t>
      </w:r>
      <w:r>
        <w:rPr>
          <w:rFonts w:hint="eastAsia" w:ascii="仿宋_GB2312" w:hAnsi="仿宋_GB2312" w:eastAsia="仿宋_GB2312" w:cs="仿宋_GB2312"/>
          <w:bCs w:val="0"/>
          <w:sz w:val="32"/>
          <w:szCs w:val="32"/>
          <w:lang w:val="en-US" w:eastAsia="zh-CN"/>
        </w:rPr>
        <w:t>023</w:t>
      </w:r>
      <w:r>
        <w:rPr>
          <w:rFonts w:hint="eastAsia" w:ascii="仿宋_GB2312" w:hAnsi="仿宋_GB2312" w:eastAsia="仿宋_GB2312" w:cs="仿宋_GB2312"/>
          <w:bCs w:val="0"/>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23353CC0">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_Toc18434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一、 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50FE1784">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_Toc12898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二、 收入决算情况说明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08E389F5">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_Toc30536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三、 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7ADE0555">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_Toc4347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四、财政拨款收入支出决算总体情况说明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458B181B">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_Toc9586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五、一般公共预算财政拨款支出决算情况说明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7F731598">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_Toc30283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六、一般公共预算财政拨款基本支出决算情况说明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67D2B238">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七、“三公”经费财政拨款支出决算情况说明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60EE5F0C">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_Toc14244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八、政府性基金预算支出决算情况说明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09A88667">
      <w:pPr>
        <w:pStyle w:val="14"/>
        <w:pageBreakBefore w:val="0"/>
        <w:tabs>
          <w:tab w:val="right" w:leader="dot" w:pos="8844"/>
          <w:tab w:val="clear" w:pos="8296"/>
        </w:tabs>
        <w:kinsoku/>
        <w:wordWrap/>
        <w:overflowPunct/>
        <w:topLinePunct w:val="0"/>
        <w:bidi w:val="0"/>
        <w:spacing w:line="576"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_Toc29334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九、 国有资本经营预算支出决算情况说明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0618A6FD">
      <w:pPr>
        <w:pStyle w:val="14"/>
        <w:keepNext w:val="0"/>
        <w:keepLines w:val="0"/>
        <w:pageBreakBefore w:val="0"/>
        <w:widowControl w:val="0"/>
        <w:tabs>
          <w:tab w:val="right" w:leader="dot" w:pos="8844"/>
          <w:tab w:val="clear" w:pos="8296"/>
        </w:tabs>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_Toc15299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十、 其他重要事项的情况说明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05840BE3">
      <w:pPr>
        <w:pStyle w:val="13"/>
        <w:keepNext w:val="0"/>
        <w:keepLines w:val="0"/>
        <w:pageBreakBefore w:val="0"/>
        <w:widowControl w:val="0"/>
        <w:tabs>
          <w:tab w:val="right" w:leader="dot" w:pos="8844"/>
          <w:tab w:val="clear" w:pos="8296"/>
        </w:tabs>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_Toc10123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32BFDC4A">
      <w:pPr>
        <w:pStyle w:val="14"/>
        <w:keepNext w:val="0"/>
        <w:keepLines w:val="0"/>
        <w:pageBreakBefore w:val="0"/>
        <w:widowControl w:val="0"/>
        <w:tabs>
          <w:tab w:val="right" w:leader="dot" w:pos="8844"/>
          <w:tab w:val="clear" w:pos="8296"/>
        </w:tabs>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部分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_Toc25268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附件：</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4F2D9349">
      <w:pPr>
        <w:pStyle w:val="13"/>
        <w:keepNext w:val="0"/>
        <w:keepLines w:val="0"/>
        <w:pageBreakBefore w:val="0"/>
        <w:widowControl w:val="0"/>
        <w:tabs>
          <w:tab w:val="right" w:leader="dot" w:pos="8844"/>
          <w:tab w:val="clear" w:pos="8296"/>
        </w:tabs>
        <w:kinsoku/>
        <w:wordWrap/>
        <w:overflowPunct/>
        <w:topLinePunct w:val="0"/>
        <w:autoSpaceDE/>
        <w:autoSpaceDN/>
        <w:bidi w:val="0"/>
        <w:adjustRightInd/>
        <w:snapToGrid/>
        <w:spacing w:before="0" w:line="576"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_Toc12332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 xml:space="preserve">第五部分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14:paraId="29DDFA86">
      <w:pPr>
        <w:pStyle w:val="14"/>
        <w:pageBreakBefore w:val="0"/>
        <w:kinsoku/>
        <w:wordWrap/>
        <w:overflowPunct/>
        <w:topLinePunct w:val="0"/>
        <w:bidi w:val="0"/>
        <w:spacing w:line="576"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14:paraId="0AE7A0A8">
      <w:pPr>
        <w:pStyle w:val="3"/>
        <w:pageBreakBefore w:val="0"/>
        <w:kinsoku/>
        <w:wordWrap/>
        <w:overflowPunct/>
        <w:topLinePunct w:val="0"/>
        <w:bidi w:val="0"/>
        <w:spacing w:before="0" w:after="0" w:line="576" w:lineRule="exact"/>
        <w:ind w:firstLine="883" w:firstLineChars="200"/>
        <w:jc w:val="center"/>
        <w:rPr>
          <w:rStyle w:val="21"/>
          <w:rFonts w:hint="eastAsia" w:ascii="方正小标宋_GBK" w:hAnsi="方正小标宋_GBK" w:eastAsia="方正小标宋_GBK" w:cs="方正小标宋_GBK"/>
          <w:b/>
          <w:bCs w:val="0"/>
          <w:color w:val="auto"/>
          <w:sz w:val="44"/>
          <w:szCs w:val="44"/>
        </w:rPr>
      </w:pPr>
      <w:bookmarkStart w:id="25" w:name="_Toc7014"/>
      <w:r>
        <w:rPr>
          <w:rFonts w:hint="eastAsia" w:ascii="方正小标宋_GBK" w:hAnsi="方正小标宋_GBK" w:eastAsia="方正小标宋_GBK" w:cs="方正小标宋_GBK"/>
          <w:b/>
          <w:bCs w:val="0"/>
          <w:color w:val="auto"/>
          <w:sz w:val="44"/>
          <w:szCs w:val="44"/>
        </w:rPr>
        <w:t xml:space="preserve">第一部分 </w:t>
      </w:r>
      <w:r>
        <w:rPr>
          <w:rStyle w:val="21"/>
          <w:rFonts w:hint="eastAsia" w:ascii="方正小标宋_GBK" w:hAnsi="方正小标宋_GBK" w:eastAsia="方正小标宋_GBK" w:cs="方正小标宋_GBK"/>
          <w:b/>
          <w:bCs w:val="0"/>
          <w:color w:val="auto"/>
          <w:sz w:val="44"/>
          <w:szCs w:val="44"/>
        </w:rPr>
        <w:t>部门概况</w:t>
      </w:r>
      <w:bookmarkEnd w:id="24"/>
      <w:bookmarkEnd w:id="25"/>
    </w:p>
    <w:p w14:paraId="4BA7A5F8">
      <w:pPr>
        <w:pageBreakBefore w:val="0"/>
        <w:widowControl/>
        <w:kinsoku/>
        <w:wordWrap/>
        <w:overflowPunct/>
        <w:topLinePunct w:val="0"/>
        <w:bidi w:val="0"/>
        <w:spacing w:line="576" w:lineRule="exact"/>
        <w:ind w:firstLine="640" w:firstLineChars="200"/>
        <w:jc w:val="left"/>
        <w:rPr>
          <w:rFonts w:hint="eastAsia" w:ascii="仿宋_GB2312" w:hAnsi="仿宋_GB2312" w:eastAsia="仿宋_GB2312" w:cs="仿宋_GB2312"/>
          <w:color w:val="auto"/>
          <w:sz w:val="32"/>
          <w:szCs w:val="32"/>
        </w:rPr>
      </w:pPr>
    </w:p>
    <w:p w14:paraId="6DC1DF78">
      <w:pPr>
        <w:pStyle w:val="4"/>
        <w:pageBreakBefore w:val="0"/>
        <w:kinsoku/>
        <w:wordWrap/>
        <w:overflowPunct/>
        <w:topLinePunct w:val="0"/>
        <w:bidi w:val="0"/>
        <w:spacing w:before="0" w:after="0" w:line="576" w:lineRule="exact"/>
        <w:ind w:firstLine="640" w:firstLineChars="200"/>
        <w:rPr>
          <w:rStyle w:val="22"/>
          <w:rFonts w:hint="eastAsia" w:ascii="黑体" w:hAnsi="黑体" w:eastAsia="黑体" w:cs="黑体"/>
          <w:b w:val="0"/>
          <w:bCs w:val="0"/>
          <w:color w:val="auto"/>
          <w:sz w:val="32"/>
          <w:szCs w:val="32"/>
        </w:rPr>
      </w:pPr>
      <w:bookmarkStart w:id="26" w:name="_Toc15396600"/>
      <w:bookmarkStart w:id="27" w:name="_Toc15377197"/>
      <w:bookmarkStart w:id="28" w:name="_Toc31980"/>
      <w:r>
        <w:rPr>
          <w:rFonts w:hint="eastAsia" w:ascii="黑体" w:hAnsi="黑体" w:eastAsia="黑体" w:cs="黑体"/>
          <w:b w:val="0"/>
          <w:color w:val="auto"/>
          <w:sz w:val="32"/>
          <w:szCs w:val="32"/>
        </w:rPr>
        <w:t>一、基</w:t>
      </w:r>
      <w:r>
        <w:rPr>
          <w:rStyle w:val="22"/>
          <w:rFonts w:hint="eastAsia" w:ascii="黑体" w:hAnsi="黑体" w:eastAsia="黑体" w:cs="黑体"/>
          <w:b w:val="0"/>
          <w:bCs w:val="0"/>
          <w:color w:val="auto"/>
          <w:sz w:val="32"/>
          <w:szCs w:val="32"/>
        </w:rPr>
        <w:t>本职能及主要工作</w:t>
      </w:r>
      <w:bookmarkEnd w:id="26"/>
      <w:bookmarkEnd w:id="27"/>
      <w:bookmarkEnd w:id="28"/>
    </w:p>
    <w:p w14:paraId="078A4214">
      <w:pPr>
        <w:pageBreakBefore w:val="0"/>
        <w:kinsoku/>
        <w:wordWrap/>
        <w:overflowPunct/>
        <w:topLinePunct w:val="0"/>
        <w:bidi w:val="0"/>
        <w:spacing w:line="576" w:lineRule="exact"/>
        <w:ind w:firstLine="643" w:firstLineChars="200"/>
        <w:rPr>
          <w:rFonts w:hint="eastAsia" w:ascii="楷体" w:hAnsi="楷体" w:eastAsia="楷体" w:cs="楷体"/>
          <w:b/>
          <w:bCs w:val="0"/>
          <w:color w:val="auto"/>
          <w:sz w:val="32"/>
          <w:szCs w:val="32"/>
        </w:rPr>
      </w:pPr>
      <w:bookmarkStart w:id="29" w:name="_Toc15378445"/>
      <w:bookmarkStart w:id="30" w:name="_Toc15377198"/>
      <w:r>
        <w:rPr>
          <w:rFonts w:hint="eastAsia" w:ascii="楷体" w:hAnsi="楷体" w:eastAsia="楷体" w:cs="楷体"/>
          <w:b/>
          <w:bCs w:val="0"/>
          <w:color w:val="auto"/>
          <w:sz w:val="32"/>
          <w:szCs w:val="32"/>
        </w:rPr>
        <w:t>（一）主要职能</w:t>
      </w:r>
      <w:bookmarkEnd w:id="29"/>
      <w:bookmarkEnd w:id="30"/>
      <w:bookmarkStart w:id="31" w:name="_Toc15377199"/>
      <w:bookmarkStart w:id="32" w:name="_Toc15378446"/>
    </w:p>
    <w:p w14:paraId="0A1A63A2">
      <w:pPr>
        <w:pageBreakBefore w:val="0"/>
        <w:kinsoku/>
        <w:wordWrap/>
        <w:overflowPunct/>
        <w:topLinePunct w:val="0"/>
        <w:bidi w:val="0"/>
        <w:spacing w:line="576" w:lineRule="exact"/>
        <w:ind w:firstLine="643" w:firstLineChars="200"/>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rPr>
        <w:t>主要职责（</w:t>
      </w:r>
      <w:r>
        <w:rPr>
          <w:rFonts w:hint="eastAsia" w:ascii="仿宋_GB2312" w:hAnsi="仿宋_GB2312" w:eastAsia="仿宋_GB2312" w:cs="仿宋_GB2312"/>
          <w:b/>
          <w:bCs w:val="0"/>
          <w:color w:val="auto"/>
          <w:sz w:val="32"/>
          <w:szCs w:val="32"/>
          <w:lang w:eastAsia="zh-CN"/>
        </w:rPr>
        <w:t>行政审批</w:t>
      </w:r>
      <w:r>
        <w:rPr>
          <w:rFonts w:hint="eastAsia" w:ascii="仿宋_GB2312" w:hAnsi="仿宋_GB2312" w:eastAsia="仿宋_GB2312" w:cs="仿宋_GB2312"/>
          <w:b/>
          <w:bCs w:val="0"/>
          <w:color w:val="auto"/>
          <w:sz w:val="32"/>
          <w:szCs w:val="32"/>
          <w:lang w:val="en-US" w:eastAsia="zh-CN"/>
        </w:rPr>
        <w:t>和政务服务管理</w:t>
      </w:r>
      <w:r>
        <w:rPr>
          <w:rFonts w:hint="eastAsia" w:ascii="仿宋_GB2312" w:hAnsi="仿宋_GB2312" w:eastAsia="仿宋_GB2312" w:cs="仿宋_GB2312"/>
          <w:b/>
          <w:bCs w:val="0"/>
          <w:color w:val="auto"/>
          <w:sz w:val="32"/>
          <w:szCs w:val="32"/>
          <w:lang w:eastAsia="zh-CN"/>
        </w:rPr>
        <w:t>局</w:t>
      </w:r>
      <w:r>
        <w:rPr>
          <w:rFonts w:hint="eastAsia" w:ascii="仿宋_GB2312" w:hAnsi="仿宋_GB2312" w:eastAsia="仿宋_GB2312" w:cs="仿宋_GB2312"/>
          <w:b/>
          <w:bCs w:val="0"/>
          <w:color w:val="auto"/>
          <w:sz w:val="32"/>
          <w:szCs w:val="32"/>
        </w:rPr>
        <w:t>）</w:t>
      </w:r>
    </w:p>
    <w:p w14:paraId="0B1803DA">
      <w:pPr>
        <w:pStyle w:val="1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1.负责全县行政审批制度改革和“放管服”改革工作，拟订全县行政审批制度和“放管服”改革相关政策和规范性文件。构建高效、便民的审批服务工作机制，推进审批服务标准化，提高审批效能。</w:t>
      </w:r>
    </w:p>
    <w:p w14:paraId="6AF5BA74">
      <w:pPr>
        <w:pStyle w:val="1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2.负责指导县本级行政审批工作，承办县直部门划入的涉及投资项目、市场准入、建设工程、交通水利、文教卫生、社会事务、涉农事务等方面的行政审批事项，及时通报行政审批事项的实施情况。</w:t>
      </w:r>
    </w:p>
    <w:p w14:paraId="18756BAB">
      <w:pPr>
        <w:pStyle w:val="1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3.负责统筹协调全县政府职能转变、优化政府服务提升行政效能、行政审批制度改革等工作，组织拟订重大政策措施并组织实施，监督管理全县政务服务工作。</w:t>
      </w:r>
    </w:p>
    <w:p w14:paraId="673458CE">
      <w:pPr>
        <w:pStyle w:val="1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4.负责全县政务服务体系建设，组织拟订政务服务监督管理规章制度并组织实施，开展全县政务服务质量评估工作，推进政务服务标准化、信息化、便民化、规范化建设。负责指导乡镇便民服务中心工作。</w:t>
      </w:r>
    </w:p>
    <w:p w14:paraId="2D5D0FBA">
      <w:pPr>
        <w:pStyle w:val="1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5.负责全县公共资源交易管理和监督工作，组织拟订全县公共资源交易规则，负责全县公共资源交易一体化服务平台体系标准化建设工作。</w:t>
      </w:r>
    </w:p>
    <w:p w14:paraId="59FC8C7B">
      <w:pPr>
        <w:pStyle w:val="1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6.承担政务服务行政效能建设工作，负责建设服务型政府、政务服务、公共资源交易等工作，配合行政监督部门查处违法、违规问题。</w:t>
      </w:r>
    </w:p>
    <w:p w14:paraId="054EFFDC">
      <w:pPr>
        <w:pStyle w:val="1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7.组织县级部门（单位）受理、办理行政许可事项及其它政务服务事项，并进行监督考核。指导畅通企业群众诉求渠道，协调县级各部门解决企业在开办注销、投资建设、生产经营过程中的问题和困难。</w:t>
      </w:r>
    </w:p>
    <w:p w14:paraId="244578B1">
      <w:pPr>
        <w:pStyle w:val="1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8.负责对全县部门政务服务事项进入或退出县政务服务大厅进行初审并报县人民政府批准。负责对涉及县政务服务大厅、县公共资源交易中心、县行政审批服务机构的投诉举报的承办、转办和督办工作。</w:t>
      </w:r>
    </w:p>
    <w:p w14:paraId="33498D6C">
      <w:pPr>
        <w:pStyle w:val="7"/>
        <w:pageBreakBefore w:val="0"/>
        <w:kinsoku/>
        <w:wordWrap/>
        <w:overflowPunct/>
        <w:topLinePunct w:val="0"/>
        <w:bidi w:val="0"/>
        <w:adjustRightInd w:val="0"/>
        <w:snapToGrid w:val="0"/>
        <w:spacing w:beforeLines="0" w:line="576" w:lineRule="exact"/>
        <w:ind w:firstLine="640" w:firstLineChars="200"/>
        <w:outlineLvl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9.完成县委、县政府交办的其他任务。</w:t>
      </w:r>
    </w:p>
    <w:p w14:paraId="513B8CB4">
      <w:pPr>
        <w:pStyle w:val="7"/>
        <w:pageBreakBefore w:val="0"/>
        <w:kinsoku/>
        <w:wordWrap/>
        <w:overflowPunct/>
        <w:topLinePunct w:val="0"/>
        <w:bidi w:val="0"/>
        <w:adjustRightInd w:val="0"/>
        <w:snapToGrid w:val="0"/>
        <w:spacing w:beforeLines="0" w:line="576" w:lineRule="exact"/>
        <w:ind w:firstLine="643" w:firstLineChars="200"/>
        <w:outlineLvl w:val="2"/>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lang w:eastAsia="zh-CN"/>
        </w:rPr>
        <w:t>（</w:t>
      </w:r>
      <w:r>
        <w:rPr>
          <w:rFonts w:hint="eastAsia" w:ascii="楷体" w:hAnsi="楷体" w:eastAsia="楷体" w:cs="楷体"/>
          <w:b/>
          <w:bCs w:val="0"/>
          <w:color w:val="auto"/>
          <w:sz w:val="32"/>
          <w:szCs w:val="32"/>
          <w:lang w:val="en-US" w:eastAsia="zh-CN"/>
        </w:rPr>
        <w:t>二</w:t>
      </w:r>
      <w:r>
        <w:rPr>
          <w:rFonts w:hint="eastAsia" w:ascii="楷体" w:hAnsi="楷体" w:eastAsia="楷体" w:cs="楷体"/>
          <w:b/>
          <w:bCs w:val="0"/>
          <w:color w:val="auto"/>
          <w:sz w:val="32"/>
          <w:szCs w:val="32"/>
          <w:lang w:eastAsia="zh-CN"/>
        </w:rPr>
        <w:t>）</w:t>
      </w:r>
      <w:r>
        <w:rPr>
          <w:rFonts w:hint="eastAsia" w:ascii="楷体" w:hAnsi="楷体" w:eastAsia="楷体" w:cs="楷体"/>
          <w:b/>
          <w:bCs w:val="0"/>
          <w:color w:val="auto"/>
          <w:sz w:val="32"/>
          <w:szCs w:val="32"/>
        </w:rPr>
        <w:t>主要职责（交易中心）</w:t>
      </w:r>
    </w:p>
    <w:p w14:paraId="36DB0493">
      <w:pPr>
        <w:pStyle w:val="7"/>
        <w:pageBreakBefore w:val="0"/>
        <w:kinsoku/>
        <w:wordWrap/>
        <w:overflowPunct/>
        <w:topLinePunct w:val="0"/>
        <w:bidi w:val="0"/>
        <w:adjustRightInd w:val="0"/>
        <w:snapToGrid w:val="0"/>
        <w:spacing w:beforeLines="0" w:line="576"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工程建设项目200万元以下（含未达到招标规模标准但达到了必须比选规模标准的政府投资工程建设项目勘察设计、施工、监理和货物）、政府采购50万元以下、国有产权50万元以下交易项目全部进入县级交易中心，即：除纳入州公共资源交易中心交易其他依法应当纳入县级公共资源交易中心交易的所有项目。</w:t>
      </w:r>
    </w:p>
    <w:p w14:paraId="41DAE10A">
      <w:pPr>
        <w:pStyle w:val="7"/>
        <w:pageBreakBefore w:val="0"/>
        <w:kinsoku/>
        <w:wordWrap/>
        <w:overflowPunct/>
        <w:topLinePunct w:val="0"/>
        <w:bidi w:val="0"/>
        <w:adjustRightInd w:val="0"/>
        <w:snapToGrid w:val="0"/>
        <w:spacing w:beforeLines="0" w:line="576"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1.</w:t>
      </w:r>
      <w:r>
        <w:rPr>
          <w:rFonts w:hint="eastAsia" w:ascii="仿宋_GB2312" w:hAnsi="仿宋_GB2312" w:eastAsia="仿宋_GB2312" w:cs="仿宋_GB2312"/>
          <w:bCs/>
          <w:color w:val="auto"/>
          <w:sz w:val="32"/>
          <w:szCs w:val="32"/>
        </w:rPr>
        <w:t>负责为各类交易活动办理交易登记和招标申请，统一发布交易信息，受理投标报名，为开标、评标和定标等交易活动提供优质服务。</w:t>
      </w:r>
    </w:p>
    <w:p w14:paraId="27389DF9">
      <w:pPr>
        <w:pStyle w:val="7"/>
        <w:pageBreakBefore w:val="0"/>
        <w:kinsoku/>
        <w:wordWrap/>
        <w:overflowPunct/>
        <w:topLinePunct w:val="0"/>
        <w:bidi w:val="0"/>
        <w:adjustRightInd w:val="0"/>
        <w:snapToGrid w:val="0"/>
        <w:spacing w:beforeLines="0" w:line="576"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2.</w:t>
      </w:r>
      <w:r>
        <w:rPr>
          <w:rFonts w:hint="eastAsia" w:ascii="仿宋_GB2312" w:hAnsi="仿宋_GB2312" w:eastAsia="仿宋_GB2312" w:cs="仿宋_GB2312"/>
          <w:bCs/>
          <w:color w:val="auto"/>
          <w:sz w:val="32"/>
          <w:szCs w:val="32"/>
        </w:rPr>
        <w:t>收集、存储和发布招投标政策法规以及相关价格、科技和人才等信息，并为招投标交易提供信息、咨询服务；为有关监督部门参与监督和为各类交易提供服务。</w:t>
      </w:r>
    </w:p>
    <w:p w14:paraId="3E7D929A">
      <w:pPr>
        <w:pStyle w:val="7"/>
        <w:pageBreakBefore w:val="0"/>
        <w:kinsoku/>
        <w:wordWrap/>
        <w:overflowPunct/>
        <w:topLinePunct w:val="0"/>
        <w:bidi w:val="0"/>
        <w:adjustRightInd w:val="0"/>
        <w:snapToGrid w:val="0"/>
        <w:spacing w:beforeLines="0" w:line="576"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负责制定进入中心项目的有关交易规则，维护交易场所内活动秩序。</w:t>
      </w:r>
    </w:p>
    <w:p w14:paraId="5A0A5442">
      <w:pPr>
        <w:pStyle w:val="7"/>
        <w:pageBreakBefore w:val="0"/>
        <w:kinsoku/>
        <w:wordWrap/>
        <w:overflowPunct/>
        <w:topLinePunct w:val="0"/>
        <w:bidi w:val="0"/>
        <w:adjustRightInd w:val="0"/>
        <w:snapToGrid w:val="0"/>
        <w:spacing w:beforeLines="0" w:line="576"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4.</w:t>
      </w:r>
      <w:r>
        <w:rPr>
          <w:rFonts w:hint="eastAsia" w:ascii="仿宋_GB2312" w:hAnsi="仿宋_GB2312" w:eastAsia="仿宋_GB2312" w:cs="仿宋_GB2312"/>
          <w:bCs/>
          <w:color w:val="auto"/>
          <w:sz w:val="32"/>
          <w:szCs w:val="32"/>
        </w:rPr>
        <w:t>负责建立招投标集中统一平台，建立各方主体信用和市场不良行为记录体系，并做好交易档案的收集、整理、归档、立卷和管理。</w:t>
      </w:r>
    </w:p>
    <w:p w14:paraId="351ABD01">
      <w:pPr>
        <w:pStyle w:val="7"/>
        <w:pageBreakBefore w:val="0"/>
        <w:kinsoku/>
        <w:wordWrap/>
        <w:overflowPunct/>
        <w:topLinePunct w:val="0"/>
        <w:bidi w:val="0"/>
        <w:adjustRightInd w:val="0"/>
        <w:snapToGrid w:val="0"/>
        <w:spacing w:beforeLines="0" w:line="576"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承担政府集中采购机构职责，负责财政下达计划的政府采购工作和县级国家机关、事业单位和团体组织委托的政府采购工作。</w:t>
      </w:r>
    </w:p>
    <w:p w14:paraId="7C90773C">
      <w:pPr>
        <w:pStyle w:val="7"/>
        <w:keepNext w:val="0"/>
        <w:keepLines w:val="0"/>
        <w:pageBreakBefore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承担国有产权交易职责，接受委托，组织开展土地使用权和矿业权招拍挂交易活动，承办土地使用权和矿业权招拍挂进场交易事务。</w:t>
      </w:r>
    </w:p>
    <w:p w14:paraId="2324C03A">
      <w:pPr>
        <w:pStyle w:val="7"/>
        <w:keepNext w:val="0"/>
        <w:keepLines w:val="0"/>
        <w:pageBreakBefore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eastAsia="宋体"/>
          <w:lang w:val="en-US" w:eastAsia="zh-CN"/>
        </w:rPr>
      </w:pPr>
      <w:r>
        <w:rPr>
          <w:rFonts w:hint="eastAsia" w:ascii="仿宋_GB2312" w:hAnsi="仿宋_GB2312" w:eastAsia="仿宋_GB2312" w:cs="仿宋_GB2312"/>
          <w:bCs/>
          <w:color w:val="auto"/>
          <w:sz w:val="32"/>
          <w:szCs w:val="32"/>
          <w:lang w:val="en-US" w:eastAsia="zh-CN"/>
        </w:rPr>
        <w:t>7.</w:t>
      </w:r>
      <w:r>
        <w:rPr>
          <w:rFonts w:hint="eastAsia" w:ascii="仿宋_GB2312" w:hAnsi="仿宋_GB2312" w:eastAsia="仿宋_GB2312" w:cs="仿宋_GB2312"/>
          <w:bCs/>
          <w:color w:val="auto"/>
          <w:sz w:val="32"/>
          <w:szCs w:val="32"/>
        </w:rPr>
        <w:t>承办县人民政府、县公共资源交易监督管理委员会安排的其他工作。</w:t>
      </w:r>
    </w:p>
    <w:p w14:paraId="37ED2E21">
      <w:pPr>
        <w:pStyle w:val="7"/>
        <w:keepNext w:val="0"/>
        <w:keepLines w:val="0"/>
        <w:pageBreakBefore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二、</w:t>
      </w:r>
      <w:r>
        <w:rPr>
          <w:rFonts w:hint="eastAsia" w:ascii="黑体" w:hAnsi="黑体" w:eastAsia="黑体" w:cs="黑体"/>
          <w:b w:val="0"/>
          <w:bCs/>
          <w:color w:val="auto"/>
          <w:sz w:val="32"/>
          <w:szCs w:val="32"/>
          <w:lang w:eastAsia="zh-CN"/>
        </w:rPr>
        <w:t>2023</w:t>
      </w:r>
      <w:r>
        <w:rPr>
          <w:rFonts w:hint="eastAsia" w:ascii="黑体" w:hAnsi="黑体" w:eastAsia="黑体" w:cs="黑体"/>
          <w:b w:val="0"/>
          <w:bCs/>
          <w:color w:val="auto"/>
          <w:sz w:val="32"/>
          <w:szCs w:val="32"/>
        </w:rPr>
        <w:t>年重点工作完成情况</w:t>
      </w:r>
      <w:bookmarkEnd w:id="31"/>
      <w:bookmarkEnd w:id="32"/>
    </w:p>
    <w:p w14:paraId="67EDB468">
      <w:pPr>
        <w:pStyle w:val="19"/>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3" w:firstLineChars="200"/>
        <w:jc w:val="both"/>
        <w:textAlignment w:val="baseline"/>
        <w:rPr>
          <w:rFonts w:hint="eastAsia" w:ascii="楷体_GB2312" w:hAnsi="楷体_GB2312" w:eastAsia="楷体_GB2312" w:cs="楷体_GB2312"/>
          <w:b/>
          <w:bCs/>
          <w:color w:val="auto"/>
          <w:spacing w:val="0"/>
          <w:sz w:val="32"/>
          <w:szCs w:val="32"/>
          <w:lang w:val="en-US" w:eastAsia="zh-CN"/>
        </w:rPr>
      </w:pPr>
      <w:bookmarkStart w:id="33" w:name="_Toc15396601"/>
      <w:bookmarkStart w:id="34" w:name="_Toc14912"/>
      <w:bookmarkStart w:id="35" w:name="_Toc15377200"/>
      <w:r>
        <w:rPr>
          <w:rFonts w:hint="eastAsia" w:ascii="楷体_GB2312" w:hAnsi="楷体_GB2312" w:eastAsia="楷体_GB2312" w:cs="楷体_GB2312"/>
          <w:b/>
          <w:bCs/>
          <w:color w:val="auto"/>
          <w:spacing w:val="0"/>
          <w:sz w:val="32"/>
          <w:szCs w:val="32"/>
          <w:lang w:val="en-US" w:eastAsia="zh-CN"/>
        </w:rPr>
        <w:t>（一）流动审批</w:t>
      </w:r>
      <w:r>
        <w:rPr>
          <w:rFonts w:hint="eastAsia" w:ascii="楷体_GB2312" w:hAnsi="楷体_GB2312" w:eastAsia="楷体_GB2312" w:cs="楷体_GB2312"/>
          <w:b/>
          <w:bCs/>
          <w:color w:val="auto"/>
          <w:spacing w:val="0"/>
          <w:sz w:val="32"/>
          <w:szCs w:val="32"/>
          <w:highlight w:val="none"/>
          <w:lang w:val="en-US" w:eastAsia="zh-CN"/>
        </w:rPr>
        <w:t>创新</w:t>
      </w:r>
      <w:r>
        <w:rPr>
          <w:rFonts w:hint="eastAsia" w:ascii="楷体_GB2312" w:hAnsi="楷体_GB2312" w:eastAsia="楷体_GB2312" w:cs="楷体_GB2312"/>
          <w:b/>
          <w:bCs/>
          <w:color w:val="auto"/>
          <w:spacing w:val="0"/>
          <w:sz w:val="32"/>
          <w:szCs w:val="32"/>
          <w:highlight w:val="none"/>
          <w:lang w:eastAsia="zh-CN"/>
        </w:rPr>
        <w:t>“</w:t>
      </w:r>
      <w:r>
        <w:rPr>
          <w:rFonts w:hint="eastAsia" w:ascii="楷体_GB2312" w:hAnsi="楷体_GB2312" w:eastAsia="楷体_GB2312" w:cs="楷体_GB2312"/>
          <w:b/>
          <w:bCs/>
          <w:color w:val="auto"/>
          <w:spacing w:val="0"/>
          <w:sz w:val="32"/>
          <w:szCs w:val="32"/>
          <w:highlight w:val="none"/>
          <w:lang w:val="en-US" w:eastAsia="zh-CN"/>
        </w:rPr>
        <w:t>5个1</w:t>
      </w:r>
      <w:r>
        <w:rPr>
          <w:rFonts w:hint="eastAsia" w:ascii="楷体_GB2312" w:hAnsi="楷体_GB2312" w:eastAsia="楷体_GB2312" w:cs="楷体_GB2312"/>
          <w:b/>
          <w:bCs/>
          <w:color w:val="auto"/>
          <w:spacing w:val="0"/>
          <w:sz w:val="32"/>
          <w:szCs w:val="32"/>
          <w:highlight w:val="none"/>
          <w:lang w:eastAsia="zh-CN"/>
        </w:rPr>
        <w:t>”机制，提升</w:t>
      </w:r>
      <w:r>
        <w:rPr>
          <w:rFonts w:hint="eastAsia" w:ascii="楷体_GB2312" w:hAnsi="楷体_GB2312" w:eastAsia="楷体_GB2312" w:cs="楷体_GB2312"/>
          <w:b/>
          <w:bCs/>
          <w:color w:val="auto"/>
          <w:spacing w:val="0"/>
          <w:sz w:val="32"/>
          <w:szCs w:val="32"/>
          <w:highlight w:val="none"/>
          <w:lang w:val="en-US" w:eastAsia="zh-CN"/>
        </w:rPr>
        <w:t>便民服务水平</w:t>
      </w:r>
      <w:r>
        <w:rPr>
          <w:rFonts w:hint="eastAsia" w:ascii="楷体_GB2312" w:hAnsi="楷体_GB2312" w:eastAsia="楷体_GB2312" w:cs="楷体_GB2312"/>
          <w:b/>
          <w:bCs/>
          <w:color w:val="auto"/>
          <w:spacing w:val="0"/>
          <w:sz w:val="32"/>
          <w:szCs w:val="32"/>
          <w:highlight w:val="none"/>
          <w:lang w:eastAsia="zh-CN"/>
        </w:rPr>
        <w:t>。</w:t>
      </w:r>
      <w:r>
        <w:rPr>
          <w:rFonts w:hint="eastAsia" w:ascii="仿宋_GB2312" w:hAnsi="仿宋_GB2312" w:eastAsia="仿宋_GB2312" w:cs="仿宋_GB2312"/>
          <w:b w:val="0"/>
          <w:bCs w:val="0"/>
          <w:color w:val="auto"/>
          <w:spacing w:val="0"/>
          <w:sz w:val="32"/>
          <w:szCs w:val="32"/>
          <w:lang w:val="en-US" w:eastAsia="zh-CN"/>
        </w:rPr>
        <w:t>聚焦牧区群众多，居住分散的实际情况，打造“流动大厅”，打通为民服务“最后一公里”。</w:t>
      </w:r>
      <w:r>
        <w:rPr>
          <w:rFonts w:hint="eastAsia" w:ascii="仿宋_GB2312" w:hAnsi="仿宋_GB2312" w:eastAsia="仿宋_GB2312" w:cs="仿宋_GB2312"/>
          <w:b/>
          <w:bCs/>
          <w:color w:val="auto"/>
          <w:spacing w:val="0"/>
          <w:sz w:val="32"/>
          <w:szCs w:val="32"/>
          <w:lang w:val="en-US" w:eastAsia="zh-CN"/>
        </w:rPr>
        <w:t>一是党建引领强基础，筑牢干群“连心桥”。</w:t>
      </w:r>
      <w:r>
        <w:rPr>
          <w:rFonts w:hint="eastAsia" w:ascii="仿宋_GB2312" w:hAnsi="仿宋_GB2312" w:eastAsia="仿宋_GB2312" w:cs="仿宋_GB2312"/>
          <w:b w:val="0"/>
          <w:bCs w:val="0"/>
          <w:color w:val="auto"/>
          <w:spacing w:val="0"/>
          <w:sz w:val="32"/>
          <w:szCs w:val="32"/>
          <w:lang w:val="en-US" w:eastAsia="zh-CN"/>
        </w:rPr>
        <w:t>整合人力资源，打造以党员先锋组建的“雅克”流动便民服务队，将“便民服务大厅”变为“流动服务大厅”深入远牧点，从“坐等群众上门”变为“上门服务群众”。</w:t>
      </w:r>
      <w:r>
        <w:rPr>
          <w:rFonts w:hint="eastAsia" w:ascii="仿宋_GB2312" w:hAnsi="仿宋_GB2312" w:eastAsia="仿宋_GB2312" w:cs="仿宋_GB2312"/>
          <w:b/>
          <w:bCs/>
          <w:color w:val="auto"/>
          <w:spacing w:val="0"/>
          <w:sz w:val="32"/>
          <w:szCs w:val="32"/>
          <w:lang w:val="en-US" w:eastAsia="zh-CN"/>
        </w:rPr>
        <w:t>二是流动服务常态化，助民解忧“零距离”。</w:t>
      </w:r>
      <w:r>
        <w:rPr>
          <w:rFonts w:hint="eastAsia" w:ascii="仿宋_GB2312" w:hAnsi="仿宋_GB2312" w:eastAsia="仿宋_GB2312" w:cs="仿宋_GB2312"/>
          <w:b w:val="0"/>
          <w:bCs w:val="0"/>
          <w:color w:val="auto"/>
          <w:spacing w:val="0"/>
          <w:sz w:val="32"/>
          <w:szCs w:val="32"/>
          <w:lang w:val="en-US" w:eastAsia="zh-CN"/>
        </w:rPr>
        <w:t>制定一张便民卡、一个公开栏等“五个一”工作方式，以每年牧民夏季牧场搬回冬季草场为主要时间段，为群众提供代办各类证明、社会保障、政策讲解、业务咨询与办理等服务，针对残疾、孤儿等特殊群体，安排专人“一对一”提供便民服务。截至目前，共办理各民生事项4500余件次。</w:t>
      </w:r>
      <w:r>
        <w:rPr>
          <w:rFonts w:hint="eastAsia" w:ascii="仿宋_GB2312" w:hAnsi="仿宋_GB2312" w:eastAsia="仿宋_GB2312" w:cs="仿宋_GB2312"/>
          <w:b/>
          <w:bCs/>
          <w:color w:val="auto"/>
          <w:spacing w:val="0"/>
          <w:sz w:val="32"/>
          <w:szCs w:val="32"/>
          <w:lang w:val="en-US" w:eastAsia="zh-CN"/>
        </w:rPr>
        <w:t>三是持续深化办实事，为民服务“不停歇”。</w:t>
      </w:r>
      <w:r>
        <w:rPr>
          <w:rFonts w:hint="eastAsia" w:ascii="仿宋_GB2312" w:hAnsi="仿宋_GB2312" w:eastAsia="仿宋_GB2312" w:cs="仿宋_GB2312"/>
          <w:b w:val="0"/>
          <w:bCs w:val="0"/>
          <w:color w:val="auto"/>
          <w:spacing w:val="0"/>
          <w:sz w:val="32"/>
          <w:szCs w:val="32"/>
          <w:lang w:val="en-US" w:eastAsia="zh-CN"/>
        </w:rPr>
        <w:t>扎实开展“我为群众办实事”实践活动，持续深化各项便民服务，“雅克”流动便民服务队通过整合各项资源，定期到偏远牧点上门摆摊办公，群众在哪里，便民服务延伸在哪里，让群众切实感受党委政府的关怀。</w:t>
      </w:r>
    </w:p>
    <w:p w14:paraId="3EC78690">
      <w:pPr>
        <w:pStyle w:val="19"/>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3" w:firstLineChars="200"/>
        <w:jc w:val="both"/>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楷体_GB2312" w:hAnsi="楷体_GB2312" w:eastAsia="楷体_GB2312" w:cs="楷体_GB2312"/>
          <w:b/>
          <w:bCs/>
          <w:color w:val="auto"/>
          <w:spacing w:val="0"/>
          <w:sz w:val="32"/>
          <w:szCs w:val="32"/>
          <w:lang w:val="en-US" w:eastAsia="zh-CN"/>
        </w:rPr>
        <w:t>（二）构建全覆盖政务服务体系。</w:t>
      </w:r>
      <w:r>
        <w:rPr>
          <w:rFonts w:hint="eastAsia" w:ascii="仿宋_GB2312" w:hAnsi="仿宋_GB2312" w:eastAsia="仿宋_GB2312" w:cs="仿宋_GB2312"/>
          <w:color w:val="000000"/>
          <w:spacing w:val="0"/>
          <w:kern w:val="2"/>
          <w:sz w:val="32"/>
          <w:szCs w:val="32"/>
          <w:highlight w:val="none"/>
          <w:lang w:val="en-US" w:eastAsia="zh-CN" w:bidi="ar-SA"/>
        </w:rPr>
        <w:t>不断改进作风、优化服务、主动担当作为，</w:t>
      </w:r>
      <w:r>
        <w:rPr>
          <w:rFonts w:hint="eastAsia" w:ascii="仿宋_GB2312" w:hAnsi="仿宋_GB2312" w:eastAsia="仿宋_GB2312" w:cs="仿宋_GB2312"/>
          <w:color w:val="auto"/>
          <w:spacing w:val="0"/>
          <w:kern w:val="2"/>
          <w:sz w:val="32"/>
          <w:szCs w:val="32"/>
          <w:highlight w:val="none"/>
          <w:lang w:val="en-US" w:eastAsia="zh-CN" w:bidi="ar-SA"/>
        </w:rPr>
        <w:t>统筹推进《红原县乡镇级片区便民服务设施专项规划（2021-2035年）》工作，持续提升便民服务设施设备，并充分发挥前两批省级“示范便民服务中心”领跑作用，实现了州级试点创建全覆盖。目前已确定我县为省级试点县，其中麦洼乡、刷经寺镇已申报了省级试点乡镇便民服务中心。</w:t>
      </w:r>
    </w:p>
    <w:p w14:paraId="6FC5B3EF">
      <w:pPr>
        <w:pStyle w:val="19"/>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rPr>
          <w:rFonts w:hint="eastAsia" w:ascii="仿宋_GB2312" w:hAnsi="仿宋_GB2312" w:eastAsia="仿宋_GB2312" w:cs="仿宋_GB2312"/>
          <w:bCs/>
          <w:color w:val="auto"/>
          <w:spacing w:val="0"/>
          <w:sz w:val="32"/>
          <w:szCs w:val="32"/>
        </w:rPr>
      </w:pPr>
      <w:r>
        <w:rPr>
          <w:rFonts w:hint="eastAsia" w:ascii="楷体_GB2312" w:hAnsi="楷体_GB2312" w:eastAsia="楷体_GB2312" w:cs="楷体_GB2312"/>
          <w:b/>
          <w:bCs/>
          <w:color w:val="auto"/>
          <w:spacing w:val="0"/>
          <w:sz w:val="32"/>
          <w:szCs w:val="32"/>
          <w:lang w:val="en-US" w:eastAsia="zh-CN"/>
        </w:rPr>
        <w:t>（三）</w:t>
      </w:r>
      <w:r>
        <w:rPr>
          <w:rFonts w:hint="eastAsia" w:ascii="楷体_GB2312" w:hAnsi="楷体_GB2312" w:eastAsia="楷体_GB2312" w:cs="楷体_GB2312"/>
          <w:b/>
          <w:bCs/>
          <w:color w:val="auto"/>
          <w:spacing w:val="0"/>
          <w:sz w:val="32"/>
          <w:szCs w:val="32"/>
          <w:lang w:val="zh-CN" w:eastAsia="zh-CN"/>
        </w:rPr>
        <w:t>持续深化“放管服”改革。</w:t>
      </w:r>
      <w:r>
        <w:rPr>
          <w:rFonts w:hint="eastAsia" w:ascii="仿宋_GB2312" w:eastAsia="仿宋_GB2312"/>
          <w:color w:val="auto"/>
          <w:spacing w:val="0"/>
          <w:sz w:val="32"/>
          <w:szCs w:val="32"/>
          <w:shd w:val="clear" w:color="auto" w:fill="FFFFFF"/>
        </w:rPr>
        <w:t>窗口单位</w:t>
      </w:r>
      <w:r>
        <w:rPr>
          <w:rFonts w:hint="eastAsia" w:ascii="仿宋_GB2312" w:hAnsi="仿宋_GB2312" w:eastAsia="仿宋_GB2312" w:cs="仿宋_GB2312"/>
          <w:bCs/>
          <w:color w:val="auto"/>
          <w:spacing w:val="0"/>
          <w:sz w:val="32"/>
          <w:szCs w:val="32"/>
        </w:rPr>
        <w:t>全力落地落实“放管服”“优化营商环境”“最多跑一次”等各项改革举措，动态调整四川省“一体化”政务服务事项目录清单，开展减证便民事项清理。截止目前，线上办件数22491件，线下办件数12551件，办件覆盖率96.06%。按时办结率100%，平均办结时间1天。</w:t>
      </w:r>
      <w:r>
        <w:rPr>
          <w:rFonts w:hint="eastAsia" w:ascii="仿宋_GB2312" w:hAnsi="仿宋_GB2312" w:eastAsia="仿宋_GB2312" w:cs="仿宋_GB2312"/>
          <w:color w:val="000000"/>
          <w:spacing w:val="0"/>
          <w:sz w:val="32"/>
          <w:szCs w:val="32"/>
          <w:highlight w:val="none"/>
          <w:lang w:val="en-US" w:eastAsia="zh-CN"/>
        </w:rPr>
        <w:t>8月份，荣获四川省政务服务“一网通办”工作先进集体。</w:t>
      </w:r>
    </w:p>
    <w:p w14:paraId="6D21540C">
      <w:pPr>
        <w:pStyle w:val="7"/>
        <w:keepNext w:val="0"/>
        <w:keepLines w:val="0"/>
        <w:pageBreakBefore w:val="0"/>
        <w:widowControl w:val="0"/>
        <w:kinsoku/>
        <w:wordWrap/>
        <w:overflowPunct/>
        <w:topLinePunct w:val="0"/>
        <w:autoSpaceDE/>
        <w:autoSpaceDN/>
        <w:bidi w:val="0"/>
        <w:adjustRightInd/>
        <w:snapToGrid/>
        <w:spacing w:after="0" w:line="576" w:lineRule="exact"/>
        <w:ind w:firstLine="643" w:firstLineChars="200"/>
        <w:textAlignment w:val="auto"/>
        <w:rPr>
          <w:rFonts w:hint="eastAsia" w:ascii="仿宋_GB2312" w:hAnsi="仿宋_GB2312" w:eastAsia="仿宋_GB2312" w:cs="仿宋_GB2312"/>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val="en-US" w:eastAsia="zh-CN"/>
        </w:rPr>
        <w:t>（四）</w:t>
      </w:r>
      <w:r>
        <w:rPr>
          <w:rStyle w:val="28"/>
          <w:rFonts w:hint="eastAsia" w:ascii="楷体_GB2312" w:hAnsi="楷体_GB2312" w:eastAsia="楷体_GB2312" w:cs="楷体_GB2312"/>
          <w:b/>
          <w:bCs/>
          <w:i w:val="0"/>
          <w:caps w:val="0"/>
          <w:color w:val="auto"/>
          <w:spacing w:val="0"/>
          <w:w w:val="100"/>
          <w:kern w:val="2"/>
          <w:sz w:val="32"/>
          <w:szCs w:val="32"/>
          <w:highlight w:val="none"/>
          <w:lang w:val="en-US" w:eastAsia="zh-CN" w:bidi="ar-SA"/>
        </w:rPr>
        <w:t>以“天府通办”分站点为突破，持续拓展线上功能。</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今年</w:t>
      </w:r>
      <w:r>
        <w:rPr>
          <w:rFonts w:hint="eastAsia" w:ascii="仿宋_GB2312" w:hAnsi="仿宋_GB2312" w:eastAsia="仿宋_GB2312" w:cs="仿宋_GB2312"/>
          <w:b w:val="0"/>
          <w:bCs w:val="0"/>
          <w:color w:val="auto"/>
          <w:spacing w:val="0"/>
          <w:sz w:val="32"/>
          <w:szCs w:val="32"/>
          <w:lang w:val="en-US" w:eastAsia="zh-CN"/>
        </w:rPr>
        <w:t>7</w:t>
      </w:r>
      <w:r>
        <w:rPr>
          <w:rFonts w:hint="eastAsia" w:ascii="仿宋_GB2312" w:hAnsi="仿宋_GB2312" w:eastAsia="仿宋_GB2312" w:cs="仿宋_GB2312"/>
          <w:color w:val="auto"/>
          <w:spacing w:val="0"/>
          <w:sz w:val="32"/>
          <w:szCs w:val="32"/>
          <w:lang w:val="en-US" w:eastAsia="zh-CN"/>
        </w:rPr>
        <w:t>月已建设完成分站点移动端、PC端。</w:t>
      </w:r>
      <w:r>
        <w:rPr>
          <w:rFonts w:hint="eastAsia" w:ascii="仿宋_GB2312" w:hAnsi="仿宋_GB2312" w:eastAsia="仿宋_GB2312" w:cs="仿宋_GB2312"/>
          <w:b/>
          <w:bCs/>
          <w:color w:val="auto"/>
          <w:spacing w:val="0"/>
          <w:sz w:val="32"/>
          <w:szCs w:val="32"/>
          <w:lang w:val="en-US" w:eastAsia="zh-CN"/>
        </w:rPr>
        <w:t>一是</w:t>
      </w:r>
      <w:r>
        <w:rPr>
          <w:rFonts w:hint="eastAsia" w:ascii="仿宋_GB2312" w:hAnsi="仿宋_GB2312" w:eastAsia="仿宋_GB2312" w:cs="仿宋_GB2312"/>
          <w:i w:val="0"/>
          <w:iCs w:val="0"/>
          <w:caps w:val="0"/>
          <w:color w:val="auto"/>
          <w:spacing w:val="0"/>
          <w:sz w:val="32"/>
          <w:szCs w:val="32"/>
          <w:shd w:val="clear" w:color="auto" w:fill="FFFFFF"/>
          <w:lang w:val="en-US" w:eastAsia="zh-CN"/>
        </w:rPr>
        <w:t>分站点</w:t>
      </w:r>
      <w:r>
        <w:rPr>
          <w:rFonts w:hint="eastAsia" w:ascii="仿宋_GB2312" w:hAnsi="仿宋_GB2312" w:eastAsia="仿宋_GB2312" w:cs="仿宋_GB2312"/>
          <w:i w:val="0"/>
          <w:iCs w:val="0"/>
          <w:caps w:val="0"/>
          <w:color w:val="auto"/>
          <w:spacing w:val="0"/>
          <w:sz w:val="32"/>
          <w:szCs w:val="32"/>
          <w:shd w:val="clear" w:color="auto" w:fill="FFFFFF"/>
          <w:lang w:val="en-US" w:eastAsia="zh-Hans"/>
        </w:rPr>
        <w:t>自行</w:t>
      </w:r>
      <w:r>
        <w:rPr>
          <w:rFonts w:hint="eastAsia" w:ascii="仿宋_GB2312" w:hAnsi="仿宋_GB2312" w:eastAsia="仿宋_GB2312" w:cs="仿宋_GB2312"/>
          <w:i w:val="0"/>
          <w:iCs w:val="0"/>
          <w:caps w:val="0"/>
          <w:color w:val="auto"/>
          <w:spacing w:val="0"/>
          <w:sz w:val="32"/>
          <w:szCs w:val="32"/>
          <w:shd w:val="clear" w:color="auto" w:fill="FFFFFF"/>
          <w:lang w:val="en-US" w:eastAsia="zh-CN"/>
        </w:rPr>
        <w:t>建立11个便民</w:t>
      </w:r>
      <w:r>
        <w:rPr>
          <w:rFonts w:hint="eastAsia" w:ascii="仿宋_GB2312" w:hAnsi="仿宋_GB2312" w:eastAsia="仿宋_GB2312" w:cs="仿宋_GB2312"/>
          <w:i w:val="0"/>
          <w:iCs w:val="0"/>
          <w:caps w:val="0"/>
          <w:color w:val="auto"/>
          <w:spacing w:val="0"/>
          <w:sz w:val="32"/>
          <w:szCs w:val="32"/>
          <w:shd w:val="clear" w:color="auto" w:fill="FFFFFF"/>
          <w:lang w:val="en-US" w:eastAsia="zh-Hans"/>
        </w:rPr>
        <w:t>服务</w:t>
      </w:r>
      <w:r>
        <w:rPr>
          <w:rFonts w:hint="eastAsia" w:ascii="仿宋_GB2312" w:hAnsi="仿宋_GB2312" w:eastAsia="仿宋_GB2312" w:cs="仿宋_GB2312"/>
          <w:i w:val="0"/>
          <w:iCs w:val="0"/>
          <w:caps w:val="0"/>
          <w:color w:val="auto"/>
          <w:spacing w:val="0"/>
          <w:sz w:val="32"/>
          <w:szCs w:val="32"/>
          <w:shd w:val="clear" w:color="auto" w:fill="FFFFFF"/>
          <w:lang w:val="en-US" w:eastAsia="zh-CN"/>
        </w:rPr>
        <w:t>应用，涉及医疗健康、人社服务、交通出行、户政治安、教育考试、生活缴费</w:t>
      </w:r>
      <w:r>
        <w:rPr>
          <w:rFonts w:hint="eastAsia" w:ascii="仿宋_GB2312" w:hAnsi="仿宋_GB2312" w:eastAsia="仿宋_GB2312" w:cs="仿宋_GB2312"/>
          <w:i w:val="0"/>
          <w:iCs w:val="0"/>
          <w:caps w:val="0"/>
          <w:color w:val="auto"/>
          <w:spacing w:val="0"/>
          <w:sz w:val="32"/>
          <w:szCs w:val="32"/>
          <w:shd w:val="clear" w:color="auto" w:fill="FFFFFF"/>
          <w:lang w:val="en-US" w:eastAsia="zh-Hans"/>
        </w:rPr>
        <w:t>等主题服务</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仿宋_GB2312" w:hAnsi="仿宋_GB2312" w:eastAsia="仿宋_GB2312" w:cs="仿宋_GB2312"/>
          <w:i w:val="0"/>
          <w:iCs w:val="0"/>
          <w:caps w:val="0"/>
          <w:color w:val="auto"/>
          <w:spacing w:val="0"/>
          <w:sz w:val="32"/>
          <w:szCs w:val="32"/>
          <w:shd w:val="clear" w:color="auto" w:fill="FFFFFF"/>
          <w:lang w:val="en-US" w:eastAsia="zh-Hans"/>
        </w:rPr>
        <w:t>数据归集整合量</w:t>
      </w:r>
      <w:r>
        <w:rPr>
          <w:rFonts w:hint="eastAsia" w:ascii="仿宋_GB2312" w:hAnsi="仿宋_GB2312" w:eastAsia="仿宋_GB2312" w:cs="仿宋_GB2312"/>
          <w:i w:val="0"/>
          <w:iCs w:val="0"/>
          <w:caps w:val="0"/>
          <w:color w:val="auto"/>
          <w:spacing w:val="0"/>
          <w:sz w:val="32"/>
          <w:szCs w:val="32"/>
          <w:shd w:val="clear" w:color="auto" w:fill="FFFFFF"/>
          <w:lang w:val="en-US" w:eastAsia="zh-CN"/>
        </w:rPr>
        <w:t>300余条。</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二是</w:t>
      </w:r>
      <w:r>
        <w:rPr>
          <w:rFonts w:hint="eastAsia" w:ascii="仿宋_GB2312" w:hAnsi="仿宋_GB2312" w:eastAsia="仿宋_GB2312" w:cs="仿宋_GB2312"/>
          <w:i w:val="0"/>
          <w:iCs w:val="0"/>
          <w:caps w:val="0"/>
          <w:color w:val="auto"/>
          <w:spacing w:val="0"/>
          <w:sz w:val="32"/>
          <w:szCs w:val="32"/>
          <w:shd w:val="clear" w:color="auto" w:fill="FFFFFF"/>
          <w:lang w:val="en-US" w:eastAsia="zh-Hans"/>
        </w:rPr>
        <w:t>同步开展</w:t>
      </w:r>
      <w:r>
        <w:rPr>
          <w:rFonts w:hint="eastAsia" w:ascii="仿宋_GB2312" w:hAnsi="仿宋_GB2312" w:eastAsia="仿宋_GB2312" w:cs="仿宋_GB2312"/>
          <w:i w:val="0"/>
          <w:iCs w:val="0"/>
          <w:caps w:val="0"/>
          <w:color w:val="auto"/>
          <w:spacing w:val="0"/>
          <w:sz w:val="32"/>
          <w:szCs w:val="32"/>
          <w:shd w:val="clear" w:color="auto" w:fill="FFFFFF"/>
          <w:lang w:val="en-US" w:eastAsia="zh-CN"/>
        </w:rPr>
        <w:t>“美丽红原”特色专区</w:t>
      </w:r>
      <w:r>
        <w:rPr>
          <w:rFonts w:hint="eastAsia" w:ascii="仿宋_GB2312" w:hAnsi="仿宋_GB2312" w:eastAsia="仿宋_GB2312" w:cs="仿宋_GB2312"/>
          <w:i w:val="0"/>
          <w:iCs w:val="0"/>
          <w:caps w:val="0"/>
          <w:color w:val="auto"/>
          <w:spacing w:val="0"/>
          <w:sz w:val="32"/>
          <w:szCs w:val="32"/>
          <w:shd w:val="clear" w:color="auto" w:fill="FFFFFF"/>
          <w:lang w:val="en-US" w:eastAsia="zh-Hans"/>
        </w:rPr>
        <w:t>建设工作，囊括</w:t>
      </w:r>
      <w:r>
        <w:rPr>
          <w:rFonts w:hint="eastAsia" w:ascii="仿宋_GB2312" w:hAnsi="仿宋_GB2312" w:eastAsia="仿宋_GB2312" w:cs="仿宋_GB2312"/>
          <w:i w:val="0"/>
          <w:iCs w:val="0"/>
          <w:caps w:val="0"/>
          <w:color w:val="auto"/>
          <w:spacing w:val="0"/>
          <w:sz w:val="32"/>
          <w:szCs w:val="32"/>
          <w:shd w:val="clear" w:color="auto" w:fill="FFFFFF"/>
          <w:lang w:val="en-US" w:eastAsia="zh-CN"/>
        </w:rPr>
        <w:t>红原</w:t>
      </w:r>
      <w:r>
        <w:rPr>
          <w:rFonts w:hint="eastAsia" w:ascii="仿宋_GB2312" w:hAnsi="仿宋_GB2312" w:eastAsia="仿宋_GB2312" w:cs="仿宋_GB2312"/>
          <w:i w:val="0"/>
          <w:iCs w:val="0"/>
          <w:caps w:val="0"/>
          <w:color w:val="auto"/>
          <w:spacing w:val="0"/>
          <w:sz w:val="32"/>
          <w:szCs w:val="32"/>
          <w:shd w:val="clear" w:color="auto" w:fill="FFFFFF"/>
          <w:lang w:val="en-US" w:eastAsia="zh-Hans"/>
        </w:rPr>
        <w:t>全域风景名胜景区信息</w:t>
      </w:r>
      <w:r>
        <w:rPr>
          <w:rFonts w:hint="eastAsia" w:ascii="仿宋_GB2312" w:hAnsi="仿宋_GB2312" w:eastAsia="仿宋_GB2312" w:cs="仿宋_GB2312"/>
          <w:i w:val="0"/>
          <w:iCs w:val="0"/>
          <w:caps w:val="0"/>
          <w:color w:val="auto"/>
          <w:spacing w:val="0"/>
          <w:sz w:val="32"/>
          <w:szCs w:val="32"/>
          <w:shd w:val="clear" w:color="auto" w:fill="FFFFFF"/>
          <w:lang w:val="en-US" w:eastAsia="zh-CN"/>
        </w:rPr>
        <w:t>、红原微博、红原官网</w:t>
      </w:r>
      <w:r>
        <w:rPr>
          <w:rFonts w:hint="eastAsia" w:ascii="仿宋_GB2312" w:hAnsi="仿宋_GB2312" w:eastAsia="仿宋_GB2312" w:cs="仿宋_GB2312"/>
          <w:i w:val="0"/>
          <w:iCs w:val="0"/>
          <w:caps w:val="0"/>
          <w:color w:val="auto"/>
          <w:spacing w:val="0"/>
          <w:sz w:val="32"/>
          <w:szCs w:val="32"/>
          <w:shd w:val="clear" w:color="auto" w:fill="FFFFFF"/>
          <w:lang w:val="en-US" w:eastAsia="zh-Hans"/>
        </w:rPr>
        <w:t>。</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三是</w:t>
      </w:r>
      <w:r>
        <w:rPr>
          <w:rFonts w:hint="eastAsia" w:ascii="仿宋_GB2312" w:hAnsi="仿宋_GB2312" w:eastAsia="仿宋_GB2312" w:cs="仿宋_GB2312"/>
          <w:i w:val="0"/>
          <w:iCs w:val="0"/>
          <w:caps w:val="0"/>
          <w:color w:val="auto"/>
          <w:spacing w:val="0"/>
          <w:sz w:val="32"/>
          <w:szCs w:val="32"/>
          <w:shd w:val="clear" w:color="auto" w:fill="FFFFFF"/>
          <w:lang w:val="en-US" w:eastAsia="zh-CN"/>
        </w:rPr>
        <w:t>完成“新生儿出生一件事”“企业开办一件事”“灵活就业一件事”等国家重点13项一件事及四川省自行扩展的47项（包含13项）一件事服务指南</w:t>
      </w:r>
      <w:r>
        <w:rPr>
          <w:rFonts w:hint="eastAsia" w:ascii="仿宋_GB2312" w:hAnsi="仿宋_GB2312" w:eastAsia="仿宋_GB2312" w:cs="仿宋_GB2312"/>
          <w:i w:val="0"/>
          <w:iCs w:val="0"/>
          <w:caps w:val="0"/>
          <w:color w:val="auto"/>
          <w:spacing w:val="0"/>
          <w:sz w:val="32"/>
          <w:szCs w:val="32"/>
          <w:shd w:val="clear" w:color="auto" w:fill="FFFFFF"/>
          <w:lang w:val="en-US" w:eastAsia="zh-Hans"/>
        </w:rPr>
        <w:t>详情梳理及发布工作</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Hans"/>
          <w14:textFill>
            <w14:solidFill>
              <w14:schemeClr w14:val="tx1"/>
            </w14:solidFill>
          </w14:textFill>
        </w:rPr>
        <w:t>同时，充分结合</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我县</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Hans"/>
          <w14:textFill>
            <w14:solidFill>
              <w14:schemeClr w14:val="tx1"/>
            </w14:solidFill>
          </w14:textFill>
        </w:rPr>
        <w:t>实际，将</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牦牛保险相关特色专区</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Hans"/>
          <w14:textFill>
            <w14:solidFill>
              <w14:schemeClr w14:val="tx1"/>
            </w14:solidFill>
          </w14:textFill>
        </w:rPr>
        <w:t>纳入下一步重点工作计划</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w:t>
      </w:r>
    </w:p>
    <w:p w14:paraId="125C139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tabs>
          <w:tab w:val="left" w:pos="1440"/>
        </w:tabs>
        <w:kinsoku/>
        <w:wordWrap/>
        <w:overflowPunct/>
        <w:topLinePunct w:val="0"/>
        <w:autoSpaceDE/>
        <w:autoSpaceDN/>
        <w:bidi w:val="0"/>
        <w:adjustRightInd/>
        <w:snapToGrid/>
        <w:spacing w:before="0" w:line="576" w:lineRule="exact"/>
        <w:ind w:right="0" w:rightChars="0" w:firstLine="643"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rPr>
      </w:pPr>
      <w:r>
        <w:rPr>
          <w:rStyle w:val="28"/>
          <w:rFonts w:hint="eastAsia" w:ascii="楷体_GB2312" w:hAnsi="楷体_GB2312" w:eastAsia="楷体_GB2312" w:cs="楷体_GB2312"/>
          <w:b/>
          <w:bCs/>
          <w:i w:val="0"/>
          <w:caps w:val="0"/>
          <w:color w:val="auto"/>
          <w:spacing w:val="0"/>
          <w:w w:val="100"/>
          <w:sz w:val="32"/>
          <w:szCs w:val="32"/>
          <w:highlight w:val="none"/>
          <w:lang w:val="en-US" w:eastAsia="zh-CN"/>
        </w:rPr>
        <w:t>（五）</w:t>
      </w:r>
      <w:r>
        <w:rPr>
          <w:rFonts w:hint="eastAsia" w:ascii="楷体_GB2312" w:hAnsi="楷体_GB2312" w:eastAsia="楷体_GB2312" w:cs="楷体_GB2312"/>
          <w:b/>
          <w:bCs/>
          <w:color w:val="auto"/>
          <w:spacing w:val="0"/>
          <w:sz w:val="32"/>
          <w:szCs w:val="32"/>
          <w:lang w:val="en-US" w:eastAsia="zh-CN"/>
        </w:rPr>
        <w:t>持续优化公共资源交易体制机制。</w:t>
      </w:r>
      <w:r>
        <w:rPr>
          <w:rFonts w:hint="eastAsia" w:ascii="仿宋_GB2312" w:hAnsi="仿宋_GB2312" w:eastAsia="仿宋_GB2312" w:cs="仿宋_GB2312"/>
          <w:color w:val="auto"/>
          <w:spacing w:val="0"/>
          <w:sz w:val="32"/>
          <w:szCs w:val="32"/>
        </w:rPr>
        <w:t>积极推进政府采购云平台与公共资源交易平台系统对接，建立规则统一、公开透明、服务高效、监督规范的平台体系。免收“</w:t>
      </w:r>
      <w:r>
        <w:rPr>
          <w:rFonts w:hint="eastAsia" w:ascii="仿宋_GB2312" w:hAnsi="仿宋_GB2312" w:eastAsia="仿宋_GB2312" w:cs="仿宋_GB2312"/>
          <w:color w:val="auto"/>
          <w:spacing w:val="0"/>
          <w:sz w:val="32"/>
          <w:szCs w:val="32"/>
          <w:lang w:eastAsia="zh-CN"/>
        </w:rPr>
        <w:t>政府采购</w:t>
      </w:r>
      <w:r>
        <w:rPr>
          <w:rFonts w:hint="eastAsia" w:ascii="仿宋_GB2312" w:hAnsi="仿宋_GB2312" w:eastAsia="仿宋_GB2312" w:cs="仿宋_GB2312"/>
          <w:color w:val="auto"/>
          <w:spacing w:val="0"/>
          <w:sz w:val="32"/>
          <w:szCs w:val="32"/>
        </w:rPr>
        <w:t>项目投标保证金”，减轻企业资金压力，优化交易服务流程，实行清单式、标准化服务，提高公共资源交易便利度，持续优化</w:t>
      </w:r>
      <w:r>
        <w:rPr>
          <w:rFonts w:hint="eastAsia" w:ascii="仿宋_GB2312" w:hAnsi="仿宋_GB2312" w:eastAsia="仿宋_GB2312" w:cs="仿宋_GB2312"/>
          <w:color w:val="auto"/>
          <w:spacing w:val="0"/>
          <w:sz w:val="32"/>
          <w:szCs w:val="32"/>
          <w:lang w:val="en-US" w:eastAsia="zh-CN"/>
        </w:rPr>
        <w:t>政府采购</w:t>
      </w:r>
      <w:r>
        <w:rPr>
          <w:rFonts w:hint="eastAsia" w:ascii="仿宋_GB2312" w:hAnsi="仿宋_GB2312" w:eastAsia="仿宋_GB2312" w:cs="仿宋_GB2312"/>
          <w:color w:val="auto"/>
          <w:spacing w:val="0"/>
          <w:sz w:val="32"/>
          <w:szCs w:val="32"/>
        </w:rPr>
        <w:t>领域营商环境。</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1-10月，</w:t>
      </w:r>
      <w:r>
        <w:rPr>
          <w:rFonts w:hint="eastAsia" w:ascii="仿宋_GB2312" w:hAnsi="仿宋_GB2312" w:eastAsia="仿宋_GB2312" w:cs="仿宋_GB2312"/>
          <w:color w:val="auto"/>
          <w:spacing w:val="0"/>
          <w:sz w:val="32"/>
          <w:szCs w:val="32"/>
          <w:highlight w:val="none"/>
          <w:lang w:val="en-US" w:eastAsia="zh-CN"/>
        </w:rPr>
        <w:t xml:space="preserve">共开标 </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33</w:t>
      </w:r>
      <w:r>
        <w:rPr>
          <w:rFonts w:hint="eastAsia" w:ascii="仿宋_GB2312" w:hAnsi="仿宋_GB2312" w:eastAsia="仿宋_GB2312" w:cs="仿宋_GB2312"/>
          <w:color w:val="auto"/>
          <w:spacing w:val="0"/>
          <w:sz w:val="32"/>
          <w:szCs w:val="32"/>
          <w:highlight w:val="none"/>
          <w:lang w:val="en-US" w:eastAsia="zh-CN"/>
        </w:rPr>
        <w:t xml:space="preserve">个线上项目,其中工程项目 </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22</w:t>
      </w:r>
      <w:r>
        <w:rPr>
          <w:rFonts w:hint="eastAsia" w:ascii="仿宋_GB2312" w:hAnsi="仿宋_GB2312" w:eastAsia="仿宋_GB2312" w:cs="仿宋_GB2312"/>
          <w:color w:val="auto"/>
          <w:spacing w:val="0"/>
          <w:sz w:val="32"/>
          <w:szCs w:val="32"/>
          <w:highlight w:val="none"/>
          <w:lang w:val="en-US" w:eastAsia="zh-CN"/>
        </w:rPr>
        <w:t>个，货物（或服务）</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11</w:t>
      </w:r>
      <w:r>
        <w:rPr>
          <w:rFonts w:hint="eastAsia" w:ascii="仿宋_GB2312" w:hAnsi="仿宋_GB2312" w:eastAsia="仿宋_GB2312" w:cs="仿宋_GB2312"/>
          <w:color w:val="auto"/>
          <w:spacing w:val="0"/>
          <w:sz w:val="32"/>
          <w:szCs w:val="32"/>
          <w:highlight w:val="none"/>
          <w:lang w:val="en-US" w:eastAsia="zh-CN"/>
        </w:rPr>
        <w:t>个。项目预算价</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7247.86</w:t>
      </w:r>
      <w:r>
        <w:rPr>
          <w:rFonts w:hint="eastAsia" w:ascii="仿宋_GB2312" w:hAnsi="仿宋_GB2312" w:eastAsia="仿宋_GB2312" w:cs="仿宋_GB2312"/>
          <w:color w:val="auto"/>
          <w:spacing w:val="0"/>
          <w:sz w:val="32"/>
          <w:szCs w:val="32"/>
          <w:highlight w:val="none"/>
          <w:lang w:val="en-US" w:eastAsia="zh-CN"/>
        </w:rPr>
        <w:t>万元，中标价</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6573.17</w:t>
      </w:r>
      <w:r>
        <w:rPr>
          <w:rFonts w:hint="eastAsia" w:ascii="仿宋_GB2312" w:hAnsi="仿宋_GB2312" w:eastAsia="仿宋_GB2312" w:cs="仿宋_GB2312"/>
          <w:color w:val="auto"/>
          <w:spacing w:val="0"/>
          <w:sz w:val="32"/>
          <w:szCs w:val="32"/>
          <w:highlight w:val="none"/>
          <w:lang w:val="en-US" w:eastAsia="zh-CN"/>
        </w:rPr>
        <w:t>万元，实现</w:t>
      </w:r>
      <w:r>
        <w:rPr>
          <w:rFonts w:hint="eastAsia" w:ascii="仿宋_GB2312" w:hAnsi="仿宋_GB2312" w:eastAsia="仿宋_GB2312" w:cs="仿宋_GB2312"/>
          <w:snapToGrid w:val="0"/>
          <w:color w:val="auto"/>
          <w:spacing w:val="0"/>
          <w:kern w:val="0"/>
          <w:sz w:val="32"/>
          <w:szCs w:val="32"/>
          <w:highlight w:val="none"/>
          <w:lang w:val="en-US" w:eastAsia="zh-CN"/>
        </w:rPr>
        <w:t>财政资金使用率最大化。</w:t>
      </w:r>
    </w:p>
    <w:p w14:paraId="2AD8B7F9">
      <w:pPr>
        <w:pStyle w:val="9"/>
        <w:keepNext w:val="0"/>
        <w:keepLines w:val="0"/>
        <w:pageBreakBefore w:val="0"/>
        <w:widowControl w:val="0"/>
        <w:kinsoku/>
        <w:wordWrap/>
        <w:overflowPunct/>
        <w:topLinePunct w:val="0"/>
        <w:autoSpaceDE/>
        <w:autoSpaceDN/>
        <w:bidi w:val="0"/>
        <w:adjustRightInd/>
        <w:snapToGrid/>
        <w:spacing w:after="0" w:line="576" w:lineRule="exact"/>
        <w:ind w:left="0" w:leftChars="0" w:firstLine="643" w:firstLineChars="200"/>
        <w:textAlignment w:val="auto"/>
        <w:rPr>
          <w:rFonts w:hint="eastAsia"/>
          <w:lang w:val="en-US" w:eastAsia="zh-CN"/>
        </w:rPr>
      </w:pPr>
      <w:r>
        <w:rPr>
          <w:rFonts w:hint="eastAsia" w:ascii="楷体_GB2312" w:hAnsi="楷体_GB2312" w:eastAsia="楷体_GB2312" w:cs="楷体_GB2312"/>
          <w:b/>
          <w:bCs/>
          <w:spacing w:val="0"/>
          <w:w w:val="100"/>
          <w:kern w:val="2"/>
          <w:sz w:val="32"/>
          <w:szCs w:val="32"/>
          <w:lang w:val="en-US" w:eastAsia="zh-CN" w:bidi="ar-SA"/>
        </w:rPr>
        <w:t>（六）</w:t>
      </w:r>
      <w:r>
        <w:rPr>
          <w:rStyle w:val="28"/>
          <w:rFonts w:hint="eastAsia" w:ascii="楷体_GB2312" w:hAnsi="楷体_GB2312" w:eastAsia="楷体_GB2312" w:cs="楷体_GB2312"/>
          <w:b/>
          <w:bCs/>
          <w:i w:val="0"/>
          <w:caps w:val="0"/>
          <w:color w:val="000000" w:themeColor="text1"/>
          <w:spacing w:val="0"/>
          <w:w w:val="100"/>
          <w:kern w:val="2"/>
          <w:sz w:val="32"/>
          <w:szCs w:val="32"/>
          <w:highlight w:val="none"/>
          <w:lang w:val="en-US" w:eastAsia="zh-CN" w:bidi="ar-SA"/>
          <w14:textFill>
            <w14:solidFill>
              <w14:schemeClr w14:val="tx1"/>
            </w14:solidFill>
          </w14:textFill>
        </w:rPr>
        <w:t>以“12345”热线为依托，走好网上群众路线。</w:t>
      </w:r>
      <w:r>
        <w:rPr>
          <w:rFonts w:hint="eastAsia" w:ascii="仿宋_GB2312" w:hAnsi="仿宋_GB2312" w:eastAsia="仿宋_GB2312" w:cs="仿宋_GB2312"/>
          <w:b/>
          <w:bCs/>
          <w:color w:val="000000" w:themeColor="text1"/>
          <w:spacing w:val="0"/>
          <w:sz w:val="32"/>
          <w:szCs w:val="32"/>
          <w:highlight w:val="none"/>
          <w:lang w:val="en-US" w:eastAsia="zh-CN"/>
          <w14:textFill>
            <w14:solidFill>
              <w14:schemeClr w14:val="tx1"/>
            </w14:solidFill>
          </w14:textFill>
        </w:rPr>
        <w:t>一是健全热线工作管理体系。</w:t>
      </w:r>
      <w:r>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t>建成受理、派单、办理、答复、督办、办结、回访、评价等环节为一体的闭环运行链。</w:t>
      </w:r>
      <w:r>
        <w:rPr>
          <w:rFonts w:hint="eastAsia" w:ascii="仿宋_GB2312" w:hAnsi="仿宋_GB2312" w:eastAsia="仿宋_GB2312" w:cs="仿宋_GB2312"/>
          <w:b/>
          <w:bCs/>
          <w:color w:val="000000" w:themeColor="text1"/>
          <w:spacing w:val="0"/>
          <w:sz w:val="32"/>
          <w:szCs w:val="32"/>
          <w:highlight w:val="none"/>
          <w:lang w:val="en-US" w:eastAsia="zh-CN"/>
          <w14:textFill>
            <w14:solidFill>
              <w14:schemeClr w14:val="tx1"/>
            </w14:solidFill>
          </w14:textFill>
        </w:rPr>
        <w:t>二是健全热线信息共享机制。</w:t>
      </w:r>
      <w:r>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t>促进热线管理体系与承办部门信息共享互通，强化信息共用全过程管理。</w:t>
      </w:r>
      <w:r>
        <w:rPr>
          <w:rFonts w:hint="eastAsia" w:ascii="仿宋_GB2312" w:hAnsi="仿宋_GB2312" w:eastAsia="仿宋_GB2312" w:cs="仿宋_GB2312"/>
          <w:b/>
          <w:bCs/>
          <w:color w:val="000000" w:themeColor="text1"/>
          <w:spacing w:val="0"/>
          <w:sz w:val="32"/>
          <w:szCs w:val="32"/>
          <w:highlight w:val="none"/>
          <w:lang w:val="en-US" w:eastAsia="zh-CN"/>
          <w14:textFill>
            <w14:solidFill>
              <w14:schemeClr w14:val="tx1"/>
            </w14:solidFill>
          </w14:textFill>
        </w:rPr>
        <w:t>三是健全热线督办机制。</w:t>
      </w:r>
      <w:r>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t>实行部门主要领导为第一责任人，加强对问题诉求的实时研判，坚决遏制逾期接转，逾期办理等现象发生。</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1-10月，</w:t>
      </w:r>
      <w:r>
        <w:rPr>
          <w:rFonts w:hint="eastAsia" w:ascii="仿宋_GB2312" w:hAnsi="仿宋_GB2312" w:eastAsia="仿宋_GB2312" w:cs="仿宋_GB2312"/>
          <w:color w:val="auto"/>
          <w:spacing w:val="0"/>
          <w:sz w:val="32"/>
          <w:szCs w:val="32"/>
          <w:highlight w:val="none"/>
          <w:lang w:val="en-US" w:eastAsia="zh-CN"/>
        </w:rPr>
        <w:t>我县共接工单</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573</w:t>
      </w:r>
      <w:r>
        <w:rPr>
          <w:rFonts w:hint="eastAsia" w:ascii="仿宋_GB2312" w:hAnsi="仿宋_GB2312" w:eastAsia="仿宋_GB2312" w:cs="仿宋_GB2312"/>
          <w:color w:val="auto"/>
          <w:spacing w:val="0"/>
          <w:sz w:val="32"/>
          <w:szCs w:val="32"/>
          <w:highlight w:val="none"/>
          <w:lang w:val="en-US" w:eastAsia="zh-CN"/>
        </w:rPr>
        <w:t>件，工单接通应答率100%、满意度达99.7%，力争</w:t>
      </w:r>
      <w:r>
        <w:rPr>
          <w:rStyle w:val="28"/>
          <w:rFonts w:hint="eastAsia" w:ascii="仿宋_GB2312" w:hAnsi="仿宋_GB2312" w:eastAsia="仿宋_GB2312" w:cs="仿宋_GB2312"/>
          <w:b w:val="0"/>
          <w:bCs w:val="0"/>
          <w:i w:val="0"/>
          <w:caps w:val="0"/>
          <w:color w:val="auto"/>
          <w:spacing w:val="0"/>
          <w:w w:val="100"/>
          <w:kern w:val="2"/>
          <w:sz w:val="32"/>
          <w:szCs w:val="32"/>
          <w:highlight w:val="none"/>
          <w:lang w:val="en-US" w:eastAsia="zh-CN" w:bidi="ar-SA"/>
        </w:rPr>
        <w:t>最大限度发挥12345“指挥棒”“绣花针”“连心桥”作用。</w:t>
      </w:r>
    </w:p>
    <w:p w14:paraId="133B2166">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left"/>
        <w:textAlignment w:val="auto"/>
        <w:rPr>
          <w:rFonts w:hint="eastAsia" w:ascii="黑体" w:hAnsi="黑体" w:eastAsia="黑体" w:cs="黑体"/>
          <w:b w:val="0"/>
          <w:bCs w:val="0"/>
          <w:color w:val="auto"/>
          <w:spacing w:val="0"/>
          <w:kern w:val="2"/>
          <w:sz w:val="32"/>
          <w:szCs w:val="32"/>
          <w:lang w:val="en-US" w:eastAsia="zh-CN" w:bidi="ar-SA"/>
        </w:rPr>
      </w:pPr>
      <w:r>
        <w:rPr>
          <w:rFonts w:hint="eastAsia" w:ascii="楷体_GB2312" w:hAnsi="楷体_GB2312" w:eastAsia="楷体_GB2312" w:cs="楷体_GB2312"/>
          <w:b/>
          <w:bCs/>
          <w:spacing w:val="0"/>
          <w:w w:val="100"/>
          <w:kern w:val="2"/>
          <w:sz w:val="32"/>
          <w:szCs w:val="32"/>
          <w:lang w:val="en-US" w:eastAsia="zh-CN" w:bidi="ar-SA"/>
        </w:rPr>
        <w:t>（七）</w:t>
      </w:r>
      <w:r>
        <w:rPr>
          <w:rFonts w:hint="eastAsia" w:ascii="楷体_GB2312" w:hAnsi="楷体_GB2312" w:eastAsia="楷体_GB2312" w:cs="楷体_GB2312"/>
          <w:b/>
          <w:bCs/>
          <w:color w:val="000000"/>
          <w:spacing w:val="0"/>
          <w:sz w:val="32"/>
          <w:szCs w:val="32"/>
          <w:highlight w:val="none"/>
          <w:lang w:val="en-US" w:eastAsia="zh-CN"/>
        </w:rPr>
        <w:t>坚持既定目标，实现项目落地见效。</w:t>
      </w:r>
      <w:r>
        <w:rPr>
          <w:rFonts w:hint="eastAsia" w:ascii="仿宋_GB2312" w:hAnsi="仿宋_GB2312" w:eastAsia="仿宋_GB2312" w:cs="仿宋_GB2312"/>
          <w:b w:val="0"/>
          <w:bCs w:val="0"/>
          <w:color w:val="000000"/>
          <w:spacing w:val="0"/>
          <w:sz w:val="32"/>
          <w:szCs w:val="32"/>
          <w:highlight w:val="none"/>
          <w:lang w:val="en-US" w:eastAsia="zh-CN"/>
        </w:rPr>
        <w:t>红原县政务服务中心建设项目</w:t>
      </w:r>
      <w:r>
        <w:rPr>
          <w:rFonts w:hint="eastAsia" w:ascii="仿宋_GB2312" w:eastAsia="仿宋_GB2312" w:cs="仿宋_GB2312"/>
          <w:b w:val="0"/>
          <w:bCs w:val="0"/>
          <w:color w:val="000000"/>
          <w:sz w:val="32"/>
          <w:szCs w:val="32"/>
          <w:highlight w:val="none"/>
          <w:lang w:val="en-US" w:eastAsia="zh-CN"/>
        </w:rPr>
        <w:t>总投资3154万元，面积6000余平方米，于2022年5月开工建设，经过艰苦奋战，项目已完工，目前正在抓紧信息化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设备安装及调试工作。</w:t>
      </w:r>
      <w:r>
        <w:rPr>
          <w:rFonts w:hint="eastAsia" w:ascii="仿宋_GB2312" w:hAnsi="仿宋_GB2312" w:eastAsia="仿宋_GB2312" w:cs="仿宋_GB2312"/>
          <w:b w:val="0"/>
          <w:bCs w:val="0"/>
          <w:color w:val="000000"/>
          <w:spacing w:val="0"/>
          <w:sz w:val="32"/>
          <w:szCs w:val="32"/>
          <w:highlight w:val="none"/>
          <w:lang w:val="en-US" w:eastAsia="zh-CN"/>
        </w:rPr>
        <w:t>项目建成后，将彻底</w:t>
      </w:r>
      <w:r>
        <w:rPr>
          <w:rFonts w:hint="eastAsia" w:ascii="仿宋_GB2312" w:hAnsi="仿宋_GB2312" w:eastAsia="仿宋_GB2312" w:cs="仿宋_GB2312"/>
          <w:b w:val="0"/>
          <w:bCs w:val="0"/>
          <w:sz w:val="32"/>
          <w:szCs w:val="32"/>
          <w:lang w:val="en-US" w:eastAsia="zh-CN"/>
        </w:rPr>
        <w:t>改善我县政务服务大厅场地</w:t>
      </w:r>
      <w:r>
        <w:rPr>
          <w:rFonts w:hint="eastAsia" w:ascii="仿宋_GB2312" w:hAnsi="仿宋_GB2312" w:eastAsia="仿宋_GB2312" w:cs="仿宋_GB2312"/>
          <w:sz w:val="32"/>
          <w:szCs w:val="32"/>
          <w:lang w:val="en-US" w:eastAsia="zh-CN"/>
        </w:rPr>
        <w:t>受限</w:t>
      </w:r>
      <w:r>
        <w:rPr>
          <w:rFonts w:hint="eastAsia" w:ascii="仿宋_GB2312" w:hAnsi="仿宋_GB2312" w:eastAsia="仿宋_GB2312" w:cs="仿宋_GB2312"/>
          <w:b w:val="0"/>
          <w:bCs w:val="0"/>
          <w:sz w:val="32"/>
          <w:szCs w:val="32"/>
          <w:lang w:val="en-US" w:eastAsia="zh-CN"/>
        </w:rPr>
        <w:t>局面，可实现</w:t>
      </w:r>
      <w:r>
        <w:rPr>
          <w:rFonts w:hint="eastAsia" w:ascii="仿宋_GB2312" w:hAnsi="仿宋_GB2312" w:eastAsia="仿宋_GB2312" w:cs="仿宋_GB2312"/>
          <w:b w:val="0"/>
          <w:bCs w:val="0"/>
          <w:color w:val="000000"/>
          <w:spacing w:val="0"/>
          <w:sz w:val="32"/>
          <w:szCs w:val="32"/>
          <w:highlight w:val="none"/>
          <w:lang w:val="en-US" w:eastAsia="zh-CN"/>
        </w:rPr>
        <w:t>“一窗式”“一站式”“一网通办”服务模式，有效解决群众“办事难”的问题，从而优化营商环境，提高行政效能，提升政务服务水平，为推进“红原服务”的政务品牌建设打下坚实基础。</w:t>
      </w:r>
    </w:p>
    <w:p w14:paraId="684AD1C9">
      <w:pPr>
        <w:pStyle w:val="4"/>
        <w:pageBreakBefore w:val="0"/>
        <w:kinsoku/>
        <w:wordWrap/>
        <w:overflowPunct/>
        <w:topLinePunct w:val="0"/>
        <w:bidi w:val="0"/>
        <w:spacing w:before="0" w:after="0" w:line="576" w:lineRule="exact"/>
        <w:ind w:firstLine="640" w:firstLineChars="200"/>
        <w:rPr>
          <w:rStyle w:val="22"/>
          <w:rFonts w:hint="eastAsia" w:ascii="黑体" w:hAnsi="黑体" w:eastAsia="黑体" w:cs="黑体"/>
          <w:b w:val="0"/>
          <w:bCs w:val="0"/>
          <w:color w:val="auto"/>
          <w:sz w:val="32"/>
          <w:szCs w:val="32"/>
        </w:rPr>
      </w:pPr>
      <w:r>
        <w:rPr>
          <w:rFonts w:hint="eastAsia" w:ascii="黑体" w:hAnsi="黑体" w:eastAsia="黑体" w:cs="黑体"/>
          <w:b w:val="0"/>
          <w:color w:val="auto"/>
          <w:sz w:val="32"/>
          <w:szCs w:val="32"/>
          <w:lang w:val="en-US" w:eastAsia="zh-CN"/>
        </w:rPr>
        <w:t>三</w:t>
      </w:r>
      <w:r>
        <w:rPr>
          <w:rFonts w:hint="eastAsia" w:ascii="黑体" w:hAnsi="黑体" w:eastAsia="黑体" w:cs="黑体"/>
          <w:b w:val="0"/>
          <w:color w:val="auto"/>
          <w:sz w:val="32"/>
          <w:szCs w:val="32"/>
        </w:rPr>
        <w:t>、机</w:t>
      </w:r>
      <w:r>
        <w:rPr>
          <w:rStyle w:val="22"/>
          <w:rFonts w:hint="eastAsia" w:ascii="黑体" w:hAnsi="黑体" w:eastAsia="黑体" w:cs="黑体"/>
          <w:b w:val="0"/>
          <w:bCs w:val="0"/>
          <w:color w:val="auto"/>
          <w:sz w:val="32"/>
          <w:szCs w:val="32"/>
        </w:rPr>
        <w:t>构设置</w:t>
      </w:r>
      <w:bookmarkEnd w:id="33"/>
      <w:bookmarkEnd w:id="34"/>
      <w:bookmarkEnd w:id="35"/>
    </w:p>
    <w:p w14:paraId="0A881493">
      <w:pPr>
        <w:pStyle w:val="3"/>
        <w:pageBreakBefore w:val="0"/>
        <w:kinsoku/>
        <w:wordWrap/>
        <w:overflowPunct/>
        <w:topLinePunct w:val="0"/>
        <w:bidi w:val="0"/>
        <w:spacing w:before="0" w:after="0" w:line="576" w:lineRule="exact"/>
        <w:ind w:firstLine="640" w:firstLineChars="200"/>
        <w:rPr>
          <w:rFonts w:hint="eastAsia" w:ascii="仿宋_GB2312" w:hAnsi="仿宋_GB2312" w:eastAsia="仿宋_GB2312" w:cs="仿宋_GB2312"/>
          <w:b w:val="0"/>
          <w:bCs w:val="0"/>
          <w:color w:val="auto"/>
          <w:sz w:val="32"/>
          <w:szCs w:val="32"/>
          <w:lang w:val="en-US" w:eastAsia="zh-CN"/>
        </w:rPr>
      </w:pPr>
      <w:bookmarkStart w:id="36" w:name="_Toc27857"/>
      <w:bookmarkStart w:id="37" w:name="_Toc26140"/>
      <w:bookmarkStart w:id="38" w:name="_Toc2431"/>
      <w:r>
        <w:rPr>
          <w:rFonts w:hint="eastAsia" w:ascii="仿宋_GB2312" w:hAnsi="仿宋_GB2312" w:eastAsia="仿宋_GB2312" w:cs="仿宋_GB2312"/>
          <w:b w:val="0"/>
          <w:bCs w:val="0"/>
          <w:color w:val="auto"/>
          <w:sz w:val="32"/>
          <w:szCs w:val="32"/>
          <w:lang w:eastAsia="zh-CN"/>
        </w:rPr>
        <w:t>县行政审批和政务服务管理局</w:t>
      </w:r>
      <w:r>
        <w:rPr>
          <w:rFonts w:hint="eastAsia" w:ascii="仿宋_GB2312" w:hAnsi="仿宋_GB2312" w:eastAsia="仿宋_GB2312" w:cs="仿宋_GB2312"/>
          <w:b w:val="0"/>
          <w:bCs w:val="0"/>
          <w:color w:val="auto"/>
          <w:sz w:val="32"/>
          <w:szCs w:val="32"/>
        </w:rPr>
        <w:t>设</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个内设机构；</w:t>
      </w:r>
      <w:r>
        <w:rPr>
          <w:rFonts w:hint="eastAsia" w:ascii="仿宋_GB2312" w:hAnsi="仿宋_GB2312" w:eastAsia="仿宋_GB2312" w:cs="仿宋_GB2312"/>
          <w:b w:val="0"/>
          <w:bCs w:val="0"/>
          <w:color w:val="auto"/>
          <w:sz w:val="32"/>
          <w:szCs w:val="32"/>
          <w:lang w:eastAsia="zh-CN"/>
        </w:rPr>
        <w:t>政务服务和</w:t>
      </w:r>
      <w:r>
        <w:rPr>
          <w:rFonts w:hint="eastAsia" w:ascii="仿宋_GB2312" w:hAnsi="仿宋_GB2312" w:eastAsia="仿宋_GB2312" w:cs="仿宋_GB2312"/>
          <w:b w:val="0"/>
          <w:bCs w:val="0"/>
          <w:color w:val="auto"/>
          <w:sz w:val="32"/>
          <w:szCs w:val="32"/>
        </w:rPr>
        <w:t>公共资源交易中心</w:t>
      </w:r>
      <w:r>
        <w:rPr>
          <w:rFonts w:hint="eastAsia" w:ascii="仿宋_GB2312" w:hAnsi="仿宋_GB2312" w:eastAsia="仿宋_GB2312" w:cs="仿宋_GB2312"/>
          <w:b w:val="0"/>
          <w:bCs w:val="0"/>
          <w:color w:val="auto"/>
          <w:sz w:val="32"/>
          <w:szCs w:val="32"/>
          <w:lang w:eastAsia="zh-CN"/>
        </w:rPr>
        <w:t>、行政审批局本级，政务服务和公共资源交易中心下设招投标和采购股、招拍挂股、政务服务股、网络管理股</w:t>
      </w:r>
      <w:r>
        <w:rPr>
          <w:rFonts w:hint="eastAsia" w:ascii="仿宋_GB2312" w:hAnsi="仿宋_GB2312" w:eastAsia="仿宋_GB2312" w:cs="仿宋_GB2312"/>
          <w:b w:val="0"/>
          <w:bCs w:val="0"/>
          <w:color w:val="auto"/>
          <w:sz w:val="32"/>
          <w:szCs w:val="32"/>
          <w:lang w:val="en-US" w:eastAsia="zh-CN"/>
        </w:rPr>
        <w:t>4个内设机构</w:t>
      </w:r>
      <w:r>
        <w:rPr>
          <w:rFonts w:hint="eastAsia" w:ascii="仿宋_GB2312" w:hAnsi="仿宋_GB2312" w:eastAsia="仿宋_GB2312" w:cs="仿宋_GB2312"/>
          <w:b w:val="0"/>
          <w:bCs w:val="0"/>
          <w:color w:val="auto"/>
          <w:sz w:val="32"/>
          <w:szCs w:val="32"/>
        </w:rPr>
        <w:t>。</w:t>
      </w:r>
      <w:bookmarkStart w:id="39" w:name="_Toc15396602"/>
      <w:bookmarkStart w:id="40" w:name="_Toc15377204"/>
      <w:r>
        <w:rPr>
          <w:rFonts w:hint="eastAsia" w:ascii="仿宋_GB2312" w:hAnsi="仿宋_GB2312" w:eastAsia="仿宋_GB2312" w:cs="仿宋_GB2312"/>
          <w:b w:val="0"/>
          <w:bCs w:val="0"/>
          <w:color w:val="auto"/>
          <w:sz w:val="32"/>
          <w:szCs w:val="32"/>
          <w:lang w:eastAsia="zh-CN"/>
        </w:rPr>
        <w:t>行政审批局</w:t>
      </w:r>
      <w:r>
        <w:rPr>
          <w:rFonts w:hint="eastAsia" w:ascii="仿宋_GB2312" w:hAnsi="仿宋_GB2312" w:eastAsia="仿宋_GB2312" w:cs="仿宋_GB2312"/>
          <w:b w:val="0"/>
          <w:bCs w:val="0"/>
          <w:color w:val="auto"/>
          <w:sz w:val="32"/>
          <w:szCs w:val="32"/>
        </w:rPr>
        <w:t>核定行政编制4名</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行政工勤编制1人</w:t>
      </w:r>
      <w:r>
        <w:rPr>
          <w:rFonts w:hint="eastAsia" w:ascii="仿宋_GB2312" w:hAnsi="仿宋_GB2312" w:eastAsia="仿宋_GB2312" w:cs="仿宋_GB2312"/>
          <w:b w:val="0"/>
          <w:bCs w:val="0"/>
          <w:color w:val="auto"/>
          <w:sz w:val="32"/>
          <w:szCs w:val="32"/>
        </w:rPr>
        <w:t>。其中：设</w:t>
      </w:r>
      <w:r>
        <w:rPr>
          <w:rFonts w:hint="eastAsia" w:ascii="仿宋_GB2312" w:hAnsi="仿宋_GB2312" w:eastAsia="仿宋_GB2312" w:cs="仿宋_GB2312"/>
          <w:b w:val="0"/>
          <w:bCs w:val="0"/>
          <w:color w:val="auto"/>
          <w:sz w:val="32"/>
          <w:szCs w:val="32"/>
          <w:lang w:eastAsia="zh-CN"/>
        </w:rPr>
        <w:t>局长</w:t>
      </w:r>
      <w:r>
        <w:rPr>
          <w:rFonts w:hint="eastAsia" w:ascii="仿宋_GB2312" w:hAnsi="仿宋_GB2312" w:eastAsia="仿宋_GB2312" w:cs="仿宋_GB2312"/>
          <w:b w:val="0"/>
          <w:bCs w:val="0"/>
          <w:color w:val="auto"/>
          <w:sz w:val="32"/>
          <w:szCs w:val="32"/>
        </w:rPr>
        <w:t>1名、副</w:t>
      </w:r>
      <w:r>
        <w:rPr>
          <w:rFonts w:hint="eastAsia" w:ascii="仿宋_GB2312" w:hAnsi="仿宋_GB2312" w:eastAsia="仿宋_GB2312" w:cs="仿宋_GB2312"/>
          <w:b w:val="0"/>
          <w:bCs w:val="0"/>
          <w:color w:val="auto"/>
          <w:sz w:val="32"/>
          <w:szCs w:val="32"/>
          <w:lang w:eastAsia="zh-CN"/>
        </w:rPr>
        <w:t>局长</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名;股级领导职数</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名。机关工勤人员编制1名。红原县公共资源交易中心核定事业编制</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名，其中：主任1名（副科级），股级领导数</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名。</w:t>
      </w:r>
      <w:bookmarkEnd w:id="36"/>
      <w:r>
        <w:rPr>
          <w:rFonts w:hint="eastAsia" w:ascii="仿宋_GB2312" w:hAnsi="仿宋_GB2312" w:eastAsia="仿宋_GB2312" w:cs="仿宋_GB2312"/>
          <w:b w:val="0"/>
          <w:bCs w:val="0"/>
          <w:color w:val="auto"/>
          <w:sz w:val="32"/>
          <w:szCs w:val="32"/>
          <w:lang w:eastAsia="zh-CN"/>
        </w:rPr>
        <w:t>截止</w:t>
      </w:r>
      <w:r>
        <w:rPr>
          <w:rFonts w:hint="eastAsia" w:ascii="仿宋_GB2312" w:hAnsi="仿宋_GB2312" w:eastAsia="仿宋_GB2312" w:cs="仿宋_GB2312"/>
          <w:b w:val="0"/>
          <w:bCs w:val="0"/>
          <w:color w:val="auto"/>
          <w:sz w:val="32"/>
          <w:szCs w:val="32"/>
          <w:lang w:val="en-US" w:eastAsia="zh-CN"/>
        </w:rPr>
        <w:t>2023年底我局在职15人，其中行政4人，行政工勤1人，事业10人</w:t>
      </w:r>
      <w:bookmarkEnd w:id="37"/>
      <w:bookmarkEnd w:id="38"/>
      <w:r>
        <w:rPr>
          <w:rFonts w:hint="eastAsia" w:ascii="仿宋_GB2312" w:hAnsi="仿宋_GB2312" w:eastAsia="仿宋_GB2312" w:cs="仿宋_GB2312"/>
          <w:b w:val="0"/>
          <w:bCs w:val="0"/>
          <w:color w:val="auto"/>
          <w:sz w:val="32"/>
          <w:szCs w:val="32"/>
          <w:lang w:val="en-US" w:eastAsia="zh-CN"/>
        </w:rPr>
        <w:t>。</w:t>
      </w:r>
    </w:p>
    <w:p w14:paraId="235BC86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纳入红原</w:t>
      </w:r>
      <w:r>
        <w:rPr>
          <w:rFonts w:hint="eastAsia" w:ascii="仿宋_GB2312" w:hAnsi="仿宋_GB2312" w:eastAsia="仿宋_GB2312" w:cs="仿宋_GB2312"/>
          <w:sz w:val="32"/>
          <w:szCs w:val="32"/>
          <w:lang w:eastAsia="zh-CN"/>
        </w:rPr>
        <w:t>县行政审批和政务服务管理局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年度部门决算编制范围的</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预算单位包括：</w:t>
      </w:r>
    </w:p>
    <w:p w14:paraId="6B6A4DC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红原</w:t>
      </w:r>
      <w:r>
        <w:rPr>
          <w:rFonts w:hint="eastAsia" w:ascii="仿宋_GB2312" w:hAnsi="仿宋_GB2312" w:eastAsia="仿宋_GB2312" w:cs="仿宋_GB2312"/>
          <w:sz w:val="32"/>
          <w:szCs w:val="32"/>
          <w:lang w:eastAsia="zh-CN"/>
        </w:rPr>
        <w:t>县行政审批和政务服务管理局</w:t>
      </w:r>
      <w:r>
        <w:rPr>
          <w:rFonts w:hint="eastAsia" w:ascii="仿宋_GB2312" w:hAnsi="仿宋_GB2312" w:eastAsia="仿宋_GB2312" w:cs="仿宋_GB2312"/>
          <w:sz w:val="32"/>
          <w:szCs w:val="32"/>
        </w:rPr>
        <w:t>本级</w:t>
      </w:r>
    </w:p>
    <w:p w14:paraId="0728708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红原县政务服务和公共资源交易服务中心</w:t>
      </w:r>
    </w:p>
    <w:p w14:paraId="60C34D3B">
      <w:pPr>
        <w:pageBreakBefore w:val="0"/>
        <w:kinsoku/>
        <w:wordWrap/>
        <w:overflowPunct/>
        <w:topLinePunct w:val="0"/>
        <w:bidi w:val="0"/>
        <w:spacing w:line="576" w:lineRule="exact"/>
        <w:rPr>
          <w:rFonts w:hint="eastAsia" w:ascii="仿宋_GB2312" w:hAnsi="仿宋_GB2312" w:eastAsia="仿宋_GB2312" w:cs="仿宋_GB2312"/>
          <w:sz w:val="32"/>
          <w:szCs w:val="32"/>
          <w:lang w:val="en-US" w:eastAsia="zh-CN"/>
        </w:rPr>
      </w:pPr>
    </w:p>
    <w:p w14:paraId="5B8CA4AD">
      <w:pPr>
        <w:pageBreakBefore w:val="0"/>
        <w:kinsoku/>
        <w:wordWrap/>
        <w:overflowPunct/>
        <w:topLinePunct w:val="0"/>
        <w:bidi w:val="0"/>
        <w:spacing w:line="576" w:lineRule="exact"/>
        <w:rPr>
          <w:rFonts w:hint="eastAsia" w:ascii="仿宋_GB2312" w:hAnsi="仿宋_GB2312" w:eastAsia="仿宋_GB2312" w:cs="仿宋_GB2312"/>
          <w:sz w:val="32"/>
          <w:szCs w:val="32"/>
        </w:rPr>
      </w:pPr>
    </w:p>
    <w:p w14:paraId="7B744B5D">
      <w:pPr>
        <w:pStyle w:val="3"/>
        <w:pageBreakBefore w:val="0"/>
        <w:numPr>
          <w:ilvl w:val="0"/>
          <w:numId w:val="0"/>
        </w:numPr>
        <w:kinsoku/>
        <w:wordWrap/>
        <w:overflowPunct/>
        <w:topLinePunct w:val="0"/>
        <w:bidi w:val="0"/>
        <w:spacing w:before="0" w:after="0" w:line="576" w:lineRule="exact"/>
        <w:ind w:firstLine="880" w:firstLineChars="200"/>
        <w:jc w:val="center"/>
        <w:rPr>
          <w:rStyle w:val="21"/>
          <w:rFonts w:hint="eastAsia" w:ascii="方正小标宋_GBK" w:hAnsi="方正小标宋_GBK" w:eastAsia="方正小标宋_GBK" w:cs="方正小标宋_GBK"/>
          <w:b w:val="0"/>
          <w:bCs w:val="0"/>
          <w:color w:val="auto"/>
          <w:sz w:val="44"/>
          <w:szCs w:val="44"/>
        </w:rPr>
      </w:pPr>
      <w:bookmarkStart w:id="41" w:name="_Toc16190"/>
      <w:r>
        <w:rPr>
          <w:rFonts w:hint="eastAsia" w:ascii="方正小标宋_GBK" w:hAnsi="方正小标宋_GBK" w:eastAsia="方正小标宋_GBK" w:cs="方正小标宋_GBK"/>
          <w:b w:val="0"/>
          <w:bCs w:val="0"/>
          <w:color w:val="auto"/>
          <w:kern w:val="44"/>
          <w:sz w:val="44"/>
          <w:szCs w:val="44"/>
          <w:lang w:val="en-US" w:eastAsia="zh-CN" w:bidi="ar-SA"/>
        </w:rPr>
        <w:t>第二部分</w:t>
      </w:r>
      <w:r>
        <w:rPr>
          <w:rStyle w:val="21"/>
          <w:rFonts w:hint="eastAsia" w:ascii="方正小标宋_GBK" w:hAnsi="方正小标宋_GBK" w:eastAsia="方正小标宋_GBK" w:cs="方正小标宋_GBK"/>
          <w:b w:val="0"/>
          <w:bCs w:val="0"/>
          <w:color w:val="auto"/>
          <w:sz w:val="44"/>
          <w:szCs w:val="44"/>
          <w:lang w:eastAsia="zh-CN"/>
        </w:rPr>
        <w:t>2023</w:t>
      </w:r>
      <w:r>
        <w:rPr>
          <w:rStyle w:val="21"/>
          <w:rFonts w:hint="eastAsia" w:ascii="方正小标宋_GBK" w:hAnsi="方正小标宋_GBK" w:eastAsia="方正小标宋_GBK" w:cs="方正小标宋_GBK"/>
          <w:b w:val="0"/>
          <w:bCs w:val="0"/>
          <w:color w:val="auto"/>
          <w:sz w:val="44"/>
          <w:szCs w:val="44"/>
        </w:rPr>
        <w:t>年度部门决算情况说明</w:t>
      </w:r>
      <w:bookmarkEnd w:id="39"/>
      <w:bookmarkEnd w:id="40"/>
      <w:bookmarkEnd w:id="41"/>
    </w:p>
    <w:p w14:paraId="59DEDE60">
      <w:pPr>
        <w:pageBreakBefore w:val="0"/>
        <w:numPr>
          <w:ilvl w:val="0"/>
          <w:numId w:val="0"/>
        </w:numPr>
        <w:kinsoku/>
        <w:wordWrap/>
        <w:overflowPunct/>
        <w:topLinePunct w:val="0"/>
        <w:bidi w:val="0"/>
        <w:spacing w:line="576" w:lineRule="exact"/>
        <w:rPr>
          <w:rFonts w:hint="eastAsia" w:ascii="仿宋_GB2312" w:hAnsi="仿宋_GB2312" w:eastAsia="仿宋_GB2312" w:cs="仿宋_GB2312"/>
          <w:sz w:val="32"/>
          <w:szCs w:val="32"/>
        </w:rPr>
      </w:pPr>
    </w:p>
    <w:p w14:paraId="6B42C586">
      <w:pPr>
        <w:pStyle w:val="23"/>
        <w:pageBreakBefore w:val="0"/>
        <w:numPr>
          <w:ilvl w:val="0"/>
          <w:numId w:val="0"/>
        </w:numPr>
        <w:kinsoku/>
        <w:wordWrap/>
        <w:overflowPunct/>
        <w:topLinePunct w:val="0"/>
        <w:bidi w:val="0"/>
        <w:spacing w:line="576" w:lineRule="exact"/>
        <w:ind w:firstLine="640" w:firstLineChars="200"/>
        <w:outlineLvl w:val="1"/>
        <w:rPr>
          <w:rStyle w:val="22"/>
          <w:rFonts w:hint="eastAsia" w:ascii="黑体" w:hAnsi="黑体" w:eastAsia="黑体" w:cs="黑体"/>
          <w:b w:val="0"/>
          <w:color w:val="auto"/>
          <w:sz w:val="32"/>
          <w:szCs w:val="32"/>
        </w:rPr>
      </w:pPr>
      <w:bookmarkStart w:id="42" w:name="_Toc15396603"/>
      <w:bookmarkStart w:id="43" w:name="_Toc15377205"/>
      <w:bookmarkStart w:id="44" w:name="_Toc18434"/>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收</w:t>
      </w:r>
      <w:r>
        <w:rPr>
          <w:rStyle w:val="22"/>
          <w:rFonts w:hint="eastAsia" w:ascii="黑体" w:hAnsi="黑体" w:eastAsia="黑体" w:cs="黑体"/>
          <w:b w:val="0"/>
          <w:color w:val="auto"/>
          <w:sz w:val="32"/>
          <w:szCs w:val="32"/>
        </w:rPr>
        <w:t>入支出决算总体情况说明</w:t>
      </w:r>
      <w:bookmarkEnd w:id="42"/>
      <w:bookmarkEnd w:id="43"/>
      <w:bookmarkEnd w:id="44"/>
    </w:p>
    <w:p w14:paraId="0F86DB66">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年度收入</w:t>
      </w:r>
      <w:r>
        <w:rPr>
          <w:rFonts w:hint="eastAsia" w:ascii="仿宋_GB2312" w:hAnsi="仿宋_GB2312" w:eastAsia="仿宋_GB2312" w:cs="仿宋_GB2312"/>
          <w:color w:val="auto"/>
          <w:sz w:val="32"/>
          <w:szCs w:val="32"/>
          <w:lang w:val="en-US" w:eastAsia="zh-CN"/>
        </w:rPr>
        <w:t xml:space="preserve">1106.28 </w:t>
      </w:r>
      <w:r>
        <w:rPr>
          <w:rFonts w:hint="eastAsia" w:ascii="仿宋_GB2312" w:hAnsi="仿宋_GB2312" w:eastAsia="仿宋_GB2312" w:cs="仿宋_GB2312"/>
          <w:color w:val="auto"/>
          <w:sz w:val="32"/>
          <w:szCs w:val="32"/>
        </w:rPr>
        <w:t>万元、支出</w:t>
      </w:r>
      <w:r>
        <w:rPr>
          <w:rFonts w:hint="eastAsia" w:ascii="仿宋_GB2312" w:hAnsi="仿宋_GB2312" w:eastAsia="仿宋_GB2312" w:cs="仿宋_GB2312"/>
          <w:color w:val="auto"/>
          <w:sz w:val="32"/>
          <w:szCs w:val="32"/>
          <w:lang w:val="en-US" w:eastAsia="zh-CN"/>
        </w:rPr>
        <w:t>1106.28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rPr>
        <w:t>收入总计2217.21万元，支出2217.21万元</w:t>
      </w:r>
      <w:r>
        <w:rPr>
          <w:rFonts w:hint="eastAsia" w:ascii="仿宋_GB2312" w:hAnsi="仿宋_GB2312" w:eastAsia="仿宋_GB2312" w:cs="仿宋_GB2312"/>
          <w:color w:val="auto"/>
          <w:sz w:val="32"/>
          <w:szCs w:val="32"/>
        </w:rPr>
        <w:t>。与20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年相比，收入</w:t>
      </w:r>
      <w:r>
        <w:rPr>
          <w:rFonts w:hint="eastAsia" w:ascii="仿宋_GB2312" w:hAnsi="仿宋_GB2312" w:eastAsia="仿宋_GB2312" w:cs="仿宋_GB2312"/>
          <w:color w:val="auto"/>
          <w:sz w:val="32"/>
          <w:szCs w:val="32"/>
          <w:lang w:val="en-US" w:eastAsia="zh-CN"/>
        </w:rPr>
        <w:t>减少1110.93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减少50.1</w:t>
      </w:r>
      <w:r>
        <w:rPr>
          <w:rFonts w:hint="eastAsia" w:ascii="仿宋_GB2312" w:hAnsi="仿宋_GB2312" w:eastAsia="仿宋_GB2312" w:cs="仿宋_GB2312"/>
          <w:color w:val="auto"/>
          <w:sz w:val="32"/>
          <w:szCs w:val="32"/>
        </w:rPr>
        <w:t>%。与20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年相比，</w:t>
      </w:r>
      <w:r>
        <w:rPr>
          <w:rFonts w:hint="eastAsia" w:ascii="仿宋_GB2312" w:hAnsi="仿宋_GB2312" w:eastAsia="仿宋_GB2312" w:cs="仿宋_GB2312"/>
          <w:color w:val="auto"/>
          <w:sz w:val="32"/>
          <w:szCs w:val="32"/>
          <w:lang w:val="en-US" w:eastAsia="zh-CN"/>
        </w:rPr>
        <w:t>支出减少</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1110.93</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减少</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50.1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w:t>
      </w:r>
      <w:r>
        <w:rPr>
          <w:rFonts w:hint="eastAsia" w:ascii="仿宋_GB2312" w:hAnsi="仿宋_GB2312" w:eastAsia="仿宋_GB2312" w:cs="仿宋_GB2312"/>
          <w:color w:val="auto"/>
          <w:sz w:val="32"/>
          <w:szCs w:val="32"/>
          <w:lang w:val="en-US" w:eastAsia="zh-CN"/>
        </w:rPr>
        <w:t>减少</w:t>
      </w:r>
      <w:r>
        <w:rPr>
          <w:rFonts w:hint="eastAsia" w:ascii="仿宋_GB2312" w:hAnsi="仿宋_GB2312" w:eastAsia="仿宋_GB2312" w:cs="仿宋_GB2312"/>
          <w:color w:val="auto"/>
          <w:sz w:val="32"/>
          <w:szCs w:val="32"/>
        </w:rPr>
        <w:t>原因</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2023年政务服务中心建设项目资金收入和支出较2022年减少1201.94万元。</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天府通办APP红原分站点“红e办”项目资金”较2022年减少65.28万元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sz w:val="32"/>
          <w:szCs w:val="32"/>
          <w:lang w:val="en-US" w:eastAsia="zh-CN"/>
        </w:rPr>
        <w:t>每年的工资、保险、公积金的变动。</w:t>
      </w:r>
    </w:p>
    <w:p w14:paraId="772A7F6B">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pict>
          <v:shape id="Object 1" o:spid="_x0000_s1026" o:spt="75" type="#_x0000_t75" style="position:absolute;left:0pt;margin-left:4.25pt;margin-top:42.4pt;height:191.25pt;width:421.5pt;mso-wrap-distance-bottom:0pt;mso-wrap-distance-top:0pt;z-index:251665408;mso-width-relative:page;mso-height-relative:page;" o:ole="t" filled="f" o:preferrelative="t" stroked="f" coordsize="21600,21600" o:gfxdata="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">
            <v:path/>
            <v:fill on="f" focussize="0,0"/>
            <v:stroke on="f"/>
            <v:imagedata r:id="rId12" o:title=""/>
            <o:lock v:ext="edit" aspectratio="f"/>
            <w10:wrap type="topAndBottom"/>
          </v:shape>
          <o:OLEObject Type="Embed" ProgID="Excel.Sheet.8" ShapeID="Object 1" DrawAspect="Content" ObjectID="_1468075730" r:id="rId11">
            <o:LockedField>false</o:LockedField>
          </o:OLEObject>
        </w:pict>
      </w:r>
      <w:r>
        <w:rPr>
          <w:rFonts w:hint="eastAsia" w:ascii="仿宋_GB2312" w:hAnsi="仿宋_GB2312" w:eastAsia="仿宋_GB2312" w:cs="仿宋_GB2312"/>
          <w:color w:val="auto"/>
          <w:sz w:val="32"/>
          <w:szCs w:val="32"/>
        </w:rPr>
        <w:t>（图1：收、支决算总计变动情况图）（柱状图）</w:t>
      </w:r>
    </w:p>
    <w:p w14:paraId="338E8F7E">
      <w:pPr>
        <w:pStyle w:val="9"/>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object>
          <v:shape id="_x0000_i1030" o:spt="75" type="#_x0000_t75" style="height:0.05pt;width:0.05pt;" o:ole="t" filled="f" stroked="f" coordsize="21600,21600">
            <v:path/>
            <v:fill on="f" focussize="0,0"/>
            <v:stroke on="f"/>
            <v:imagedata o:title=""/>
            <o:lock v:ext="edit" aspectratio="t"/>
            <w10:wrap type="none"/>
            <w10:anchorlock/>
          </v:shape>
          <o:OLEObject Type="Embed" ProgID="Excel.Chart.8" ShapeID="_x0000_i1030" DrawAspect="Content" ObjectID="_1468075731" r:id="rId13">
            <o:LockedField>false</o:LockedField>
          </o:OLEObject>
        </w:object>
      </w:r>
      <w:r>
        <w:rPr>
          <w:rFonts w:hint="eastAsia" w:ascii="仿宋_GB2312" w:hAnsi="仿宋_GB2312" w:eastAsia="仿宋_GB2312" w:cs="仿宋_GB2312"/>
          <w:color w:val="auto"/>
          <w:sz w:val="32"/>
          <w:szCs w:val="32"/>
          <w:lang w:eastAsia="zh-CN"/>
        </w:rPr>
        <w:object>
          <v:shape id="_x0000_i1031" o:spt="75" type="#_x0000_t75" style="height:0.05pt;width:0.05pt;" o:ole="t" filled="f" stroked="f" coordsize="21600,21600">
            <v:path/>
            <v:fill on="f" focussize="0,0"/>
            <v:stroke on="f"/>
            <v:imagedata o:title=""/>
            <o:lock v:ext="edit" aspectratio="t"/>
            <w10:wrap type="none"/>
            <w10:anchorlock/>
          </v:shape>
          <o:OLEObject Type="Embed" ProgID="Excel.Chart.8" ShapeID="_x0000_i1031" DrawAspect="Content" ObjectID="_1468075732" r:id="rId14">
            <o:LockedField>false</o:LockedField>
          </o:OLEObject>
        </w:object>
      </w:r>
    </w:p>
    <w:p w14:paraId="6C190012">
      <w:pPr>
        <w:pStyle w:val="9"/>
        <w:pageBreakBefore w:val="0"/>
        <w:kinsoku/>
        <w:wordWrap/>
        <w:overflowPunct/>
        <w:topLinePunct w:val="0"/>
        <w:bidi w:val="0"/>
        <w:spacing w:after="0" w:line="576" w:lineRule="exact"/>
        <w:ind w:left="0" w:leftChars="0" w:firstLine="0" w:firstLineChars="0"/>
        <w:rPr>
          <w:rFonts w:hint="eastAsia" w:ascii="仿宋_GB2312" w:hAnsi="仿宋_GB2312" w:eastAsia="仿宋_GB2312" w:cs="仿宋_GB2312"/>
          <w:color w:val="auto"/>
          <w:sz w:val="32"/>
          <w:szCs w:val="32"/>
        </w:rPr>
      </w:pPr>
      <w:bookmarkStart w:id="45" w:name="_Toc15377206"/>
      <w:bookmarkStart w:id="46" w:name="_Toc15396604"/>
      <w:bookmarkStart w:id="47" w:name="_Toc12898"/>
    </w:p>
    <w:p w14:paraId="528E4A59">
      <w:pPr>
        <w:pStyle w:val="9"/>
        <w:pageBreakBefore w:val="0"/>
        <w:kinsoku/>
        <w:wordWrap/>
        <w:overflowPunct/>
        <w:topLinePunct w:val="0"/>
        <w:bidi w:val="0"/>
        <w:spacing w:after="0" w:line="576" w:lineRule="exact"/>
        <w:ind w:left="0" w:leftChars="0" w:firstLine="640" w:firstLineChars="200"/>
        <w:rPr>
          <w:rStyle w:val="22"/>
          <w:rFonts w:hint="eastAsia" w:ascii="黑体" w:hAnsi="黑体" w:eastAsia="黑体" w:cs="黑体"/>
          <w:b w:val="0"/>
          <w:color w:val="auto"/>
          <w:sz w:val="32"/>
          <w:szCs w:val="32"/>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收</w:t>
      </w:r>
      <w:r>
        <w:rPr>
          <w:rStyle w:val="22"/>
          <w:rFonts w:hint="eastAsia" w:ascii="黑体" w:hAnsi="黑体" w:eastAsia="黑体" w:cs="黑体"/>
          <w:b w:val="0"/>
          <w:color w:val="auto"/>
          <w:sz w:val="32"/>
          <w:szCs w:val="32"/>
        </w:rPr>
        <w:t>入决算情况说明</w:t>
      </w:r>
      <w:bookmarkEnd w:id="45"/>
      <w:bookmarkEnd w:id="46"/>
      <w:bookmarkEnd w:id="47"/>
    </w:p>
    <w:p w14:paraId="46059C4E">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bookmarkStart w:id="48" w:name="_Toc12702"/>
      <w:bookmarkStart w:id="49" w:name="_Toc18577"/>
      <w:bookmarkStart w:id="50" w:name="_Toc7466"/>
      <w:r>
        <w:rPr>
          <w:rFonts w:hint="eastAsia" w:ascii="仿宋_GB2312" w:hAnsi="仿宋_GB2312" w:eastAsia="仿宋_GB2312" w:cs="仿宋_GB2312"/>
          <w:color w:val="auto"/>
          <w:sz w:val="32"/>
          <w:szCs w:val="32"/>
          <w:lang w:val="en-US" w:eastAsia="zh-CN"/>
        </w:rPr>
        <w:t>2023年本年收入合计1106.28万元，</w:t>
      </w: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sz w:val="32"/>
          <w:szCs w:val="32"/>
        </w:rPr>
        <w:t>一般公共预算财政拨款收入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1106.28</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bookmarkEnd w:id="48"/>
      <w:bookmarkEnd w:id="49"/>
      <w:bookmarkEnd w:id="50"/>
      <w:r>
        <w:rPr>
          <w:rFonts w:hint="eastAsia" w:ascii="仿宋_GB2312" w:hAnsi="仿宋_GB2312" w:eastAsia="仿宋_GB2312" w:cs="仿宋_GB2312"/>
          <w:sz w:val="32"/>
          <w:szCs w:val="32"/>
        </w:rPr>
        <w:t>政府性基金预算财政拨款收入0万元，占0%；国有资本经营预算财政拨款收入0万元，占0%；上级补助收入0万元，占0%；事业收入0万元，占0%；经营收入0万元，占0%；附属单位上缴收入0万元，占0%；其他收入0万元，占0%。</w:t>
      </w:r>
    </w:p>
    <w:p w14:paraId="1C63C181">
      <w:pPr>
        <w:pageBreakBefore w:val="0"/>
        <w:kinsoku/>
        <w:wordWrap/>
        <w:overflowPunct/>
        <w:topLinePunct w:val="0"/>
        <w:bidi w:val="0"/>
        <w:spacing w:line="576" w:lineRule="exact"/>
        <w:ind w:firstLine="640" w:firstLineChars="200"/>
        <w:outlineLvl w:val="1"/>
        <w:rPr>
          <w:rFonts w:hint="eastAsia" w:ascii="仿宋_GB2312" w:hAnsi="仿宋_GB2312" w:eastAsia="仿宋_GB2312" w:cs="仿宋_GB2312"/>
          <w:color w:val="auto"/>
          <w:sz w:val="32"/>
          <w:szCs w:val="32"/>
          <w:lang w:val="en-US" w:eastAsia="zh-CN"/>
        </w:rPr>
      </w:pPr>
    </w:p>
    <w:p w14:paraId="6D7A2C01">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（图2：收入决算结构图）（饼状图）</w:t>
      </w:r>
    </w:p>
    <w:p w14:paraId="6592D1A8">
      <w:pPr>
        <w:pStyle w:val="9"/>
        <w:pageBreakBefore w:val="0"/>
        <w:kinsoku/>
        <w:wordWrap/>
        <w:overflowPunct/>
        <w:topLinePunct w:val="0"/>
        <w:bidi w:val="0"/>
        <w:spacing w:line="576" w:lineRule="exact"/>
        <w:ind w:left="31680" w:firstLine="640" w:firstLineChars="20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eastAsia="zh-CN"/>
        </w:rPr>
        <w:drawing>
          <wp:anchor distT="0" distB="0" distL="114300" distR="114300" simplePos="0" relativeHeight="251666432" behindDoc="0" locked="0" layoutInCell="1" allowOverlap="1">
            <wp:simplePos x="0" y="0"/>
            <wp:positionH relativeFrom="column">
              <wp:posOffset>213995</wp:posOffset>
            </wp:positionH>
            <wp:positionV relativeFrom="paragraph">
              <wp:posOffset>286385</wp:posOffset>
            </wp:positionV>
            <wp:extent cx="5172075" cy="3006090"/>
            <wp:effectExtent l="4445" t="4445" r="5080" b="1841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_GB2312" w:hAnsi="仿宋_GB2312" w:eastAsia="仿宋_GB2312" w:cs="仿宋_GB2312"/>
          <w:color w:val="auto"/>
          <w:sz w:val="32"/>
          <w:szCs w:val="32"/>
          <w:lang w:eastAsia="zh-CN"/>
        </w:rPr>
        <w:object>
          <v:shape id="_x0000_i1032" o:spt="75" type="#_x0000_t75" style="height:0.05pt;width:0.05pt;" o:ole="t" filled="f" stroked="f" coordsize="21600,21600">
            <v:path/>
            <v:fill on="f" focussize="0,0"/>
            <v:stroke on="f"/>
            <v:imagedata o:title=""/>
            <o:lock v:ext="edit" aspectratio="t"/>
            <w10:wrap type="none"/>
            <w10:anchorlock/>
          </v:shape>
          <o:OLEObject Type="Embed" ProgID="Excel.Chart.8" ShapeID="_x0000_i1032" DrawAspect="Content" ObjectID="_1468075733" r:id="rId16">
            <o:LockedField>false</o:LockedField>
          </o:OLEObject>
        </w:object>
      </w:r>
      <w:bookmarkStart w:id="51" w:name="_Toc15396605"/>
      <w:bookmarkStart w:id="52" w:name="_Toc15377207"/>
      <w:bookmarkStart w:id="53" w:name="_Toc30536"/>
    </w:p>
    <w:p w14:paraId="0ACF580A">
      <w:pPr>
        <w:pStyle w:val="23"/>
        <w:pageBreakBefore w:val="0"/>
        <w:numPr>
          <w:ilvl w:val="0"/>
          <w:numId w:val="0"/>
        </w:numPr>
        <w:kinsoku/>
        <w:wordWrap/>
        <w:overflowPunct/>
        <w:topLinePunct w:val="0"/>
        <w:bidi w:val="0"/>
        <w:spacing w:line="576" w:lineRule="exact"/>
        <w:ind w:firstLine="640" w:firstLineChars="200"/>
        <w:outlineLvl w:val="1"/>
        <w:rPr>
          <w:rStyle w:val="22"/>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三、</w:t>
      </w:r>
      <w:r>
        <w:rPr>
          <w:rFonts w:hint="eastAsia" w:ascii="黑体" w:hAnsi="黑体" w:eastAsia="黑体" w:cs="黑体"/>
          <w:b w:val="0"/>
          <w:bCs w:val="0"/>
          <w:color w:val="000000" w:themeColor="text1"/>
          <w:sz w:val="32"/>
          <w:szCs w:val="32"/>
          <w14:textFill>
            <w14:solidFill>
              <w14:schemeClr w14:val="tx1"/>
            </w14:solidFill>
          </w14:textFill>
        </w:rPr>
        <w:t>支</w:t>
      </w:r>
      <w:r>
        <w:rPr>
          <w:rStyle w:val="22"/>
          <w:rFonts w:hint="eastAsia" w:ascii="黑体" w:hAnsi="黑体" w:eastAsia="黑体" w:cs="黑体"/>
          <w:b w:val="0"/>
          <w:bCs w:val="0"/>
          <w:color w:val="000000" w:themeColor="text1"/>
          <w:sz w:val="32"/>
          <w:szCs w:val="32"/>
          <w14:textFill>
            <w14:solidFill>
              <w14:schemeClr w14:val="tx1"/>
            </w14:solidFill>
          </w14:textFill>
        </w:rPr>
        <w:t>出决算情况说明</w:t>
      </w:r>
      <w:bookmarkEnd w:id="51"/>
      <w:bookmarkEnd w:id="52"/>
      <w:bookmarkEnd w:id="53"/>
    </w:p>
    <w:p w14:paraId="6CC7216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drawing>
          <wp:anchor distT="0" distB="0" distL="114300" distR="114300" simplePos="0" relativeHeight="251667456" behindDoc="1" locked="0" layoutInCell="1" allowOverlap="1">
            <wp:simplePos x="0" y="0"/>
            <wp:positionH relativeFrom="column">
              <wp:posOffset>337820</wp:posOffset>
            </wp:positionH>
            <wp:positionV relativeFrom="paragraph">
              <wp:posOffset>1900555</wp:posOffset>
            </wp:positionV>
            <wp:extent cx="4813300" cy="2473325"/>
            <wp:effectExtent l="4445" t="5080" r="20955" b="17145"/>
            <wp:wrapTight wrapText="bothSides">
              <wp:wrapPolygon>
                <wp:start x="-20" y="-44"/>
                <wp:lineTo x="-20" y="21417"/>
                <wp:lineTo x="21523" y="21417"/>
                <wp:lineTo x="21523" y="-44"/>
                <wp:lineTo x="-20" y="-44"/>
              </wp:wrapPolygon>
            </wp:wrapTight>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2023年本年支出合计1106.28万元，其中：基本支出344.33万元，占31.12%；</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761.95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68.88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eastAsia="zh-CN"/>
        </w:rPr>
        <w:t>等支出。</w:t>
      </w:r>
      <w:r>
        <w:rPr>
          <w:rFonts w:hint="eastAsia" w:ascii="仿宋_GB2312" w:hAnsi="仿宋_GB2312" w:eastAsia="仿宋_GB2312" w:cs="仿宋_GB2312"/>
          <w:sz w:val="32"/>
          <w:szCs w:val="32"/>
          <w:lang w:val="en-US" w:eastAsia="zh-CN"/>
        </w:rPr>
        <w:t xml:space="preserve">    </w:t>
      </w:r>
    </w:p>
    <w:p w14:paraId="6FFFE2F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0B100753">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（图3：支出决算结构图）（饼状图）</w:t>
      </w:r>
    </w:p>
    <w:p w14:paraId="20BEBA7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14:paraId="5D3CCBC7">
      <w:pPr>
        <w:pStyle w:val="9"/>
        <w:keepNext w:val="0"/>
        <w:keepLines w:val="0"/>
        <w:pageBreakBefore w:val="0"/>
        <w:widowControl w:val="0"/>
        <w:tabs>
          <w:tab w:val="left" w:pos="576"/>
        </w:tabs>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ab/>
      </w:r>
    </w:p>
    <w:p w14:paraId="616D660D">
      <w:pPr>
        <w:pStyle w:val="9"/>
        <w:keepNext w:val="0"/>
        <w:keepLines w:val="0"/>
        <w:pageBreakBefore w:val="0"/>
        <w:widowControl w:val="0"/>
        <w:tabs>
          <w:tab w:val="left" w:pos="576"/>
        </w:tabs>
        <w:kinsoku/>
        <w:wordWrap/>
        <w:overflowPunct/>
        <w:topLinePunct w:val="0"/>
        <w:autoSpaceDE/>
        <w:autoSpaceDN/>
        <w:bidi w:val="0"/>
        <w:adjustRightInd/>
        <w:snapToGrid/>
        <w:spacing w:line="576" w:lineRule="exact"/>
        <w:ind w:left="0" w:leftChars="0" w:firstLine="640" w:firstLineChars="200"/>
        <w:textAlignment w:val="auto"/>
        <w:rPr>
          <w:rStyle w:val="22"/>
          <w:rFonts w:hint="eastAsia" w:ascii="黑体" w:hAnsi="黑体" w:eastAsia="黑体" w:cs="黑体"/>
          <w:b w:val="0"/>
          <w:color w:val="auto"/>
          <w:sz w:val="32"/>
          <w:szCs w:val="32"/>
        </w:rPr>
      </w:pPr>
      <w:r>
        <w:rPr>
          <w:rFonts w:hint="eastAsia" w:ascii="黑体" w:hAnsi="黑体" w:eastAsia="黑体" w:cs="黑体"/>
          <w:color w:val="auto"/>
          <w:sz w:val="32"/>
          <w:szCs w:val="32"/>
          <w:lang w:eastAsia="zh-CN"/>
        </w:rPr>
        <w:object>
          <v:shape id="_x0000_i1033" o:spt="75" type="#_x0000_t75" style="height:0.05pt;width:0.05pt;" o:ole="t" filled="f" stroked="f" coordsize="21600,21600">
            <v:path/>
            <v:fill on="f" focussize="0,0"/>
            <v:stroke on="f"/>
            <v:imagedata o:title=""/>
            <o:lock v:ext="edit" aspectratio="t"/>
            <w10:wrap type="none"/>
            <w10:anchorlock/>
          </v:shape>
          <o:OLEObject Type="Embed" ProgID="Excel.Chart.8" ShapeID="_x0000_i1033" DrawAspect="Content" ObjectID="_1468075734" r:id="rId18">
            <o:LockedField>false</o:LockedField>
          </o:OLEObject>
        </w:object>
      </w:r>
      <w:bookmarkStart w:id="54" w:name="_Toc4347"/>
      <w:bookmarkStart w:id="55" w:name="_Toc15396606"/>
      <w:bookmarkStart w:id="56" w:name="_Toc15377208"/>
      <w:r>
        <w:rPr>
          <w:rFonts w:hint="eastAsia" w:ascii="黑体" w:hAnsi="黑体" w:eastAsia="黑体" w:cs="黑体"/>
          <w:color w:val="auto"/>
          <w:sz w:val="32"/>
          <w:szCs w:val="32"/>
        </w:rPr>
        <w:t>四、财</w:t>
      </w:r>
      <w:r>
        <w:rPr>
          <w:rStyle w:val="22"/>
          <w:rFonts w:hint="eastAsia" w:ascii="黑体" w:hAnsi="黑体" w:eastAsia="黑体" w:cs="黑体"/>
          <w:b w:val="0"/>
          <w:color w:val="auto"/>
          <w:sz w:val="32"/>
          <w:szCs w:val="32"/>
        </w:rPr>
        <w:t>政拨款收入支出决算总体情况说明</w:t>
      </w:r>
      <w:bookmarkEnd w:id="54"/>
      <w:bookmarkEnd w:id="55"/>
      <w:bookmarkEnd w:id="56"/>
    </w:p>
    <w:p w14:paraId="5F793CD8">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年度收入</w:t>
      </w:r>
      <w:r>
        <w:rPr>
          <w:rFonts w:hint="eastAsia" w:ascii="仿宋_GB2312" w:hAnsi="仿宋_GB2312" w:eastAsia="仿宋_GB2312" w:cs="仿宋_GB2312"/>
          <w:color w:val="auto"/>
          <w:sz w:val="32"/>
          <w:szCs w:val="32"/>
          <w:lang w:val="en-US" w:eastAsia="zh-CN"/>
        </w:rPr>
        <w:t xml:space="preserve">1106.28 </w:t>
      </w:r>
      <w:r>
        <w:rPr>
          <w:rFonts w:hint="eastAsia" w:ascii="仿宋_GB2312" w:hAnsi="仿宋_GB2312" w:eastAsia="仿宋_GB2312" w:cs="仿宋_GB2312"/>
          <w:color w:val="auto"/>
          <w:sz w:val="32"/>
          <w:szCs w:val="32"/>
        </w:rPr>
        <w:t>万元、支出</w:t>
      </w:r>
      <w:r>
        <w:rPr>
          <w:rFonts w:hint="eastAsia" w:ascii="仿宋_GB2312" w:hAnsi="仿宋_GB2312" w:eastAsia="仿宋_GB2312" w:cs="仿宋_GB2312"/>
          <w:color w:val="auto"/>
          <w:sz w:val="32"/>
          <w:szCs w:val="32"/>
          <w:lang w:val="en-US" w:eastAsia="zh-CN"/>
        </w:rPr>
        <w:t>1106.28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rPr>
        <w:t>收入总计2217.21万元，支出2217.21万元</w:t>
      </w:r>
      <w:r>
        <w:rPr>
          <w:rFonts w:hint="eastAsia" w:ascii="仿宋_GB2312" w:hAnsi="仿宋_GB2312" w:eastAsia="仿宋_GB2312" w:cs="仿宋_GB2312"/>
          <w:color w:val="auto"/>
          <w:sz w:val="32"/>
          <w:szCs w:val="32"/>
        </w:rPr>
        <w:t>。与20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年相比，收入</w:t>
      </w:r>
      <w:r>
        <w:rPr>
          <w:rFonts w:hint="eastAsia" w:ascii="仿宋_GB2312" w:hAnsi="仿宋_GB2312" w:eastAsia="仿宋_GB2312" w:cs="仿宋_GB2312"/>
          <w:color w:val="auto"/>
          <w:sz w:val="32"/>
          <w:szCs w:val="32"/>
          <w:lang w:val="en-US" w:eastAsia="zh-CN"/>
        </w:rPr>
        <w:t>减少1110.93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减少50.1</w:t>
      </w:r>
      <w:r>
        <w:rPr>
          <w:rFonts w:hint="eastAsia" w:ascii="仿宋_GB2312" w:hAnsi="仿宋_GB2312" w:eastAsia="仿宋_GB2312" w:cs="仿宋_GB2312"/>
          <w:color w:val="auto"/>
          <w:sz w:val="32"/>
          <w:szCs w:val="32"/>
        </w:rPr>
        <w:t>%。与20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年相比，</w:t>
      </w:r>
      <w:r>
        <w:rPr>
          <w:rFonts w:hint="eastAsia" w:ascii="仿宋_GB2312" w:hAnsi="仿宋_GB2312" w:eastAsia="仿宋_GB2312" w:cs="仿宋_GB2312"/>
          <w:color w:val="auto"/>
          <w:sz w:val="32"/>
          <w:szCs w:val="32"/>
          <w:lang w:val="en-US" w:eastAsia="zh-CN"/>
        </w:rPr>
        <w:t>支出减少</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1110.93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减少</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50.1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w:t>
      </w:r>
      <w:r>
        <w:rPr>
          <w:rFonts w:hint="eastAsia" w:ascii="仿宋_GB2312" w:hAnsi="仿宋_GB2312" w:eastAsia="仿宋_GB2312" w:cs="仿宋_GB2312"/>
          <w:color w:val="auto"/>
          <w:sz w:val="32"/>
          <w:szCs w:val="32"/>
          <w:lang w:val="en-US" w:eastAsia="zh-CN"/>
        </w:rPr>
        <w:t>减少</w:t>
      </w:r>
      <w:r>
        <w:rPr>
          <w:rFonts w:hint="eastAsia" w:ascii="仿宋_GB2312" w:hAnsi="仿宋_GB2312" w:eastAsia="仿宋_GB2312" w:cs="仿宋_GB2312"/>
          <w:color w:val="auto"/>
          <w:sz w:val="32"/>
          <w:szCs w:val="32"/>
        </w:rPr>
        <w:t>原因</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2023年政务服务中心建设项目资金收入和支出较2022年减少1201.94万元。</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天府通办APP红原分站点“红e办”项目资金”较2022年减少65.28万元</w:t>
      </w:r>
      <w:r>
        <w:rPr>
          <w:rFonts w:hint="eastAsia" w:ascii="仿宋_GB2312" w:hAnsi="仿宋_GB2312" w:eastAsia="仿宋_GB2312" w:cs="仿宋_GB2312"/>
          <w:color w:val="auto"/>
          <w:sz w:val="32"/>
          <w:szCs w:val="32"/>
          <w:lang w:eastAsia="zh-CN"/>
        </w:rPr>
        <w:t>。</w:t>
      </w:r>
    </w:p>
    <w:p w14:paraId="3B298D8C">
      <w:pPr>
        <w:pStyle w:val="19"/>
        <w:pageBreakBefore w:val="0"/>
        <w:kinsoku/>
        <w:wordWrap/>
        <w:overflowPunct/>
        <w:topLinePunct w:val="0"/>
        <w:bidi w:val="0"/>
        <w:spacing w:line="576"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（图4：财政拨款收、支决算总计变动情况）（柱状图）</w:t>
      </w:r>
    </w:p>
    <w:p w14:paraId="0B2C7BEC">
      <w:pPr>
        <w:pStyle w:val="19"/>
        <w:pageBreakBefore w:val="0"/>
        <w:kinsoku/>
        <w:wordWrap/>
        <w:overflowPunct/>
        <w:topLinePunct w:val="0"/>
        <w:bidi w:val="0"/>
        <w:spacing w:line="576"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pict>
          <v:shape id="_x0000_s1028" o:spid="_x0000_s1028" o:spt="75" type="#_x0000_t75" style="position:absolute;left:0pt;margin-left:17pt;margin-top:29.1pt;height:223.5pt;width:441.7pt;mso-wrap-distance-bottom:0pt;mso-wrap-distance-left:9pt;mso-wrap-distance-right:9pt;mso-wrap-distance-top:0pt;z-index:251668480;mso-width-relative:page;mso-height-relative:page;" o:ole="t" filled="f" o:preferrelative="t" stroked="f" coordsize="21600,21600" o:gfxdata="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">
            <v:path/>
            <v:fill on="f" focussize="0,0"/>
            <v:stroke on="f"/>
            <v:imagedata r:id="rId12" o:title=""/>
            <o:lock v:ext="edit" aspectratio="f"/>
            <w10:wrap type="square"/>
          </v:shape>
          <o:OLEObject Type="Embed" ProgID="Excel.Sheet.8" ShapeID="_x0000_s1028" DrawAspect="Content" ObjectID="_1468075735" r:id="rId19">
            <o:LockedField>false</o:LockedField>
          </o:OLEObject>
        </w:pict>
      </w:r>
    </w:p>
    <w:p w14:paraId="35444D59">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auto"/>
          <w:sz w:val="32"/>
          <w:szCs w:val="32"/>
          <w:lang w:val="en-US" w:eastAsia="zh-CN"/>
        </w:rPr>
      </w:pPr>
      <w:bookmarkStart w:id="57" w:name="_Toc9586"/>
      <w:bookmarkStart w:id="58" w:name="_Toc15377209"/>
      <w:bookmarkStart w:id="59" w:name="_Toc15396607"/>
      <w:r>
        <w:rPr>
          <w:rFonts w:hint="eastAsia" w:ascii="仿宋_GB2312" w:hAnsi="仿宋_GB2312" w:eastAsia="仿宋_GB2312" w:cs="仿宋_GB2312"/>
          <w:color w:val="auto"/>
          <w:sz w:val="32"/>
          <w:szCs w:val="32"/>
          <w:lang w:val="en-US" w:eastAsia="zh-CN"/>
        </w:rPr>
        <w:t xml:space="preserve">    </w:t>
      </w:r>
    </w:p>
    <w:p w14:paraId="73825EF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Style w:val="22"/>
          <w:rFonts w:hint="eastAsia" w:ascii="黑体" w:hAnsi="黑体" w:eastAsia="黑体" w:cs="黑体"/>
          <w:b w:val="0"/>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五、</w:t>
      </w:r>
      <w:r>
        <w:rPr>
          <w:rFonts w:hint="eastAsia" w:ascii="黑体" w:hAnsi="黑体" w:eastAsia="黑体" w:cs="黑体"/>
          <w:b/>
          <w:color w:val="auto"/>
          <w:sz w:val="32"/>
          <w:szCs w:val="32"/>
        </w:rPr>
        <w:t>一</w:t>
      </w:r>
      <w:r>
        <w:rPr>
          <w:rStyle w:val="22"/>
          <w:rFonts w:hint="eastAsia" w:ascii="黑体" w:hAnsi="黑体" w:eastAsia="黑体" w:cs="黑体"/>
          <w:b w:val="0"/>
          <w:color w:val="auto"/>
          <w:sz w:val="32"/>
          <w:szCs w:val="32"/>
        </w:rPr>
        <w:t>般公共预算财政拨款支出决算情况说明</w:t>
      </w:r>
      <w:bookmarkEnd w:id="57"/>
      <w:bookmarkEnd w:id="58"/>
      <w:bookmarkEnd w:id="59"/>
    </w:p>
    <w:p w14:paraId="72BB3CA6">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outlineLvl w:val="2"/>
        <w:rPr>
          <w:rFonts w:hint="eastAsia" w:ascii="楷体" w:hAnsi="楷体" w:eastAsia="楷体" w:cs="楷体"/>
          <w:b/>
          <w:bCs w:val="0"/>
          <w:color w:val="auto"/>
          <w:sz w:val="32"/>
          <w:szCs w:val="32"/>
        </w:rPr>
      </w:pPr>
      <w:bookmarkStart w:id="60" w:name="_Toc15377210"/>
      <w:r>
        <w:rPr>
          <w:rFonts w:hint="eastAsia" w:ascii="楷体" w:hAnsi="楷体" w:eastAsia="楷体" w:cs="楷体"/>
          <w:b/>
          <w:bCs w:val="0"/>
          <w:color w:val="auto"/>
          <w:sz w:val="32"/>
          <w:szCs w:val="32"/>
        </w:rPr>
        <w:t>（一）一般公共预算财政拨款支出决算总体情况</w:t>
      </w:r>
      <w:bookmarkEnd w:id="60"/>
    </w:p>
    <w:p w14:paraId="042895CC">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val="en-US" w:eastAsia="zh-CN"/>
        </w:rPr>
        <w:t>一般公共预算财政拨款</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val="en-US" w:eastAsia="zh-CN"/>
        </w:rPr>
        <w:t>1106.28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rPr>
        <w:t>支出2217.21万元</w:t>
      </w:r>
      <w:r>
        <w:rPr>
          <w:rFonts w:hint="eastAsia" w:ascii="仿宋_GB2312" w:hAnsi="仿宋_GB2312" w:eastAsia="仿宋_GB2312" w:cs="仿宋_GB2312"/>
          <w:color w:val="auto"/>
          <w:sz w:val="32"/>
          <w:szCs w:val="32"/>
        </w:rPr>
        <w:t>。与20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年相比，与20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年相比，</w:t>
      </w:r>
      <w:r>
        <w:rPr>
          <w:rFonts w:hint="eastAsia" w:ascii="仿宋_GB2312" w:hAnsi="仿宋_GB2312" w:eastAsia="仿宋_GB2312" w:cs="仿宋_GB2312"/>
          <w:color w:val="auto"/>
          <w:sz w:val="32"/>
          <w:szCs w:val="32"/>
          <w:lang w:val="en-US" w:eastAsia="zh-CN"/>
        </w:rPr>
        <w:t>支出减少</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1110.93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减少</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50.1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w:t>
      </w:r>
      <w:r>
        <w:rPr>
          <w:rFonts w:hint="eastAsia" w:ascii="仿宋_GB2312" w:hAnsi="仿宋_GB2312" w:eastAsia="仿宋_GB2312" w:cs="仿宋_GB2312"/>
          <w:color w:val="auto"/>
          <w:sz w:val="32"/>
          <w:szCs w:val="32"/>
          <w:lang w:val="en-US" w:eastAsia="zh-CN"/>
        </w:rPr>
        <w:t>减少</w:t>
      </w:r>
      <w:r>
        <w:rPr>
          <w:rFonts w:hint="eastAsia" w:ascii="仿宋_GB2312" w:hAnsi="仿宋_GB2312" w:eastAsia="仿宋_GB2312" w:cs="仿宋_GB2312"/>
          <w:color w:val="auto"/>
          <w:sz w:val="32"/>
          <w:szCs w:val="32"/>
        </w:rPr>
        <w:t>原因</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2023年政务服务中心建设项目资金支出较2022年减少1201.94万元。</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天府通办APP红原分站点“红e办”项目资金”较2022年减少65.28万元</w:t>
      </w:r>
      <w:r>
        <w:rPr>
          <w:rFonts w:hint="eastAsia" w:ascii="仿宋_GB2312" w:hAnsi="仿宋_GB2312" w:eastAsia="仿宋_GB2312" w:cs="仿宋_GB2312"/>
          <w:color w:val="auto"/>
          <w:sz w:val="32"/>
          <w:szCs w:val="32"/>
          <w:lang w:eastAsia="zh-CN"/>
        </w:rPr>
        <w:t>。</w:t>
      </w:r>
    </w:p>
    <w:p w14:paraId="31FFD0E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（图5：一般公共预算财政拨款支出决算变动情况）（柱状图）</w:t>
      </w:r>
      <w:r>
        <w:rPr>
          <w:rFonts w:hint="eastAsia" w:ascii="仿宋_GB2312" w:hAnsi="仿宋_GB2312" w:eastAsia="仿宋_GB2312" w:cs="仿宋_GB2312"/>
          <w:color w:val="auto"/>
          <w:sz w:val="32"/>
          <w:szCs w:val="32"/>
        </w:rPr>
        <w:object>
          <v:shape id="_x0000_i1034" o:spt="75" type="#_x0000_t75" style="height:0.05pt;width:0.05pt;" o:ole="t" filled="f" stroked="f" coordsize="21600,21600">
            <v:path/>
            <v:fill on="f" focussize="0,0"/>
            <v:stroke on="f"/>
            <v:imagedata o:title=""/>
            <o:lock v:ext="edit" aspectratio="t"/>
            <w10:wrap type="none"/>
            <w10:anchorlock/>
          </v:shape>
          <o:OLEObject Type="Embed" ProgID="Excel.Chart.8" ShapeID="_x0000_i1034" DrawAspect="Content" ObjectID="_1468075736" r:id="rId20">
            <o:LockedField>false</o:LockedField>
          </o:OLEObject>
        </w:object>
      </w:r>
    </w:p>
    <w:p w14:paraId="60ACFBD7">
      <w:pPr>
        <w:pStyle w:val="9"/>
        <w:pageBreakBefore w:val="0"/>
        <w:kinsoku/>
        <w:wordWrap/>
        <w:overflowPunct/>
        <w:topLinePunct w:val="0"/>
        <w:bidi w:val="0"/>
        <w:spacing w:after="0" w:line="576" w:lineRule="exact"/>
        <w:ind w:left="0" w:leftChars="0" w:firstLine="0" w:firstLineChars="0"/>
        <w:rPr>
          <w:rFonts w:hint="eastAsia" w:ascii="仿宋_GB2312" w:hAnsi="仿宋_GB2312" w:eastAsia="仿宋_GB2312" w:cs="仿宋_GB2312"/>
          <w:b/>
          <w:color w:val="auto"/>
          <w:sz w:val="32"/>
          <w:szCs w:val="32"/>
        </w:rPr>
      </w:pPr>
      <w:bookmarkStart w:id="61" w:name="_Toc15377211"/>
      <w:r>
        <w:rPr>
          <w:rFonts w:hint="eastAsia" w:ascii="仿宋_GB2312" w:hAnsi="仿宋_GB2312" w:eastAsia="仿宋_GB2312" w:cs="仿宋_GB2312"/>
          <w:sz w:val="32"/>
          <w:szCs w:val="32"/>
          <w:lang w:eastAsia="zh-CN"/>
        </w:rPr>
        <w:pict>
          <v:shape id="_x0000_s1029" o:spid="_x0000_s1029" o:spt="75" type="#_x0000_t75" style="position:absolute;left:0pt;margin-left:17pt;margin-top:21.1pt;height:251.25pt;width:441.7pt;mso-wrap-distance-bottom:0pt;mso-wrap-distance-left:9pt;mso-wrap-distance-right:9pt;mso-wrap-distance-top:0pt;z-index:251669504;mso-width-relative:page;mso-height-relative:page;" o:ole="t" filled="f" o:preferrelative="t" stroked="f" coordsize="21600,21600" o:gfxdata="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">
            <v:path/>
            <v:fill on="f" focussize="0,0"/>
            <v:stroke on="f"/>
            <v:imagedata r:id="rId12" o:title=""/>
            <o:lock v:ext="edit" aspectratio="f"/>
            <w10:wrap type="square"/>
          </v:shape>
          <o:OLEObject Type="Embed" ProgID="Excel.Sheet.8" ShapeID="_x0000_s1029" DrawAspect="Content" ObjectID="_1468075737" r:id="rId21">
            <o:LockedField>false</o:LockedField>
          </o:OLEObject>
        </w:pict>
      </w:r>
    </w:p>
    <w:p w14:paraId="1358F8B1">
      <w:pPr>
        <w:pageBreakBefore w:val="0"/>
        <w:kinsoku/>
        <w:wordWrap/>
        <w:overflowPunct/>
        <w:topLinePunct w:val="0"/>
        <w:bidi w:val="0"/>
        <w:spacing w:line="576" w:lineRule="exact"/>
        <w:ind w:firstLine="643" w:firstLineChars="200"/>
        <w:outlineLvl w:val="2"/>
        <w:rPr>
          <w:rFonts w:hint="eastAsia" w:ascii="楷体" w:hAnsi="楷体" w:eastAsia="楷体" w:cs="楷体"/>
          <w:b/>
          <w:bCs w:val="0"/>
          <w:color w:val="000000" w:themeColor="text1"/>
          <w:sz w:val="32"/>
          <w:szCs w:val="32"/>
          <w14:textFill>
            <w14:solidFill>
              <w14:schemeClr w14:val="tx1"/>
            </w14:solidFill>
          </w14:textFill>
        </w:rPr>
      </w:pPr>
      <w:r>
        <w:rPr>
          <w:rFonts w:hint="eastAsia" w:ascii="楷体" w:hAnsi="楷体" w:eastAsia="楷体" w:cs="楷体"/>
          <w:b/>
          <w:bCs w:val="0"/>
          <w:color w:val="000000" w:themeColor="text1"/>
          <w:sz w:val="32"/>
          <w:szCs w:val="32"/>
          <w14:textFill>
            <w14:solidFill>
              <w14:schemeClr w14:val="tx1"/>
            </w14:solidFill>
          </w14:textFill>
        </w:rPr>
        <w:t>（二）一般公共预算财政拨款支出决算结构情况</w:t>
      </w:r>
      <w:bookmarkEnd w:id="61"/>
    </w:p>
    <w:p w14:paraId="5097F31B">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eastAsia="zh-CN"/>
        </w:rPr>
        <w:drawing>
          <wp:anchor distT="0" distB="0" distL="114300" distR="114300" simplePos="0" relativeHeight="251670528" behindDoc="1" locked="0" layoutInCell="1" allowOverlap="1">
            <wp:simplePos x="0" y="0"/>
            <wp:positionH relativeFrom="column">
              <wp:posOffset>300355</wp:posOffset>
            </wp:positionH>
            <wp:positionV relativeFrom="paragraph">
              <wp:posOffset>3519170</wp:posOffset>
            </wp:positionV>
            <wp:extent cx="5361940" cy="3267710"/>
            <wp:effectExtent l="4445" t="4445" r="5715" b="23495"/>
            <wp:wrapTight wrapText="bothSides">
              <wp:wrapPolygon>
                <wp:start x="-18" y="-29"/>
                <wp:lineTo x="-18" y="21503"/>
                <wp:lineTo x="21546" y="21503"/>
                <wp:lineTo x="21546" y="-29"/>
                <wp:lineTo x="-18" y="-29"/>
              </wp:wrapPolygon>
            </wp:wrapTight>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年一般公共预算财政拨款支出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1106.28</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b/>
          <w:bCs/>
          <w:color w:val="000000" w:themeColor="text1"/>
          <w:sz w:val="32"/>
          <w:szCs w:val="32"/>
          <w14:textFill>
            <w14:solidFill>
              <w14:schemeClr w14:val="tx1"/>
            </w14:solidFill>
          </w14:textFill>
        </w:rPr>
        <w:t>201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一一般公共服务支出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1018.51万元，占92.06%；208-社会保障和就业支出45.51万元，占4.12%；210-卫生健康支出19.30万元，占1.75%；221-住房保障支出22.95万元，占2.07%。</w:t>
      </w:r>
    </w:p>
    <w:p w14:paraId="224CC06D">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：一般公共预算财政拨款支出</w:t>
      </w:r>
      <w:r>
        <w:rPr>
          <w:rFonts w:hint="eastAsia" w:ascii="仿宋_GB2312" w:hAnsi="仿宋_GB2312" w:eastAsia="仿宋_GB2312" w:cs="仿宋_GB2312"/>
          <w:color w:val="auto"/>
          <w:sz w:val="32"/>
          <w:szCs w:val="32"/>
          <w:lang w:eastAsia="zh-CN"/>
        </w:rPr>
        <w:t>结构图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饼状</w:t>
      </w:r>
      <w:r>
        <w:rPr>
          <w:rFonts w:hint="eastAsia" w:ascii="仿宋_GB2312" w:hAnsi="仿宋_GB2312" w:eastAsia="仿宋_GB2312" w:cs="仿宋_GB2312"/>
          <w:color w:val="auto"/>
          <w:sz w:val="32"/>
          <w:szCs w:val="32"/>
        </w:rPr>
        <w:t>图）</w:t>
      </w:r>
      <w:r>
        <w:rPr>
          <w:rFonts w:hint="eastAsia" w:ascii="仿宋_GB2312" w:hAnsi="仿宋_GB2312" w:eastAsia="仿宋_GB2312" w:cs="仿宋_GB2312"/>
          <w:color w:val="auto"/>
          <w:sz w:val="32"/>
          <w:szCs w:val="32"/>
        </w:rPr>
        <w:object>
          <v:shape id="_x0000_i1035" o:spt="75" type="#_x0000_t75" style="height:0.05pt;width:0.05pt;" o:ole="t" filled="f" stroked="f" coordsize="21600,21600">
            <v:path/>
            <v:fill on="f" focussize="0,0"/>
            <v:stroke on="f"/>
            <v:imagedata o:title=""/>
            <o:lock v:ext="edit" aspectratio="t"/>
            <w10:wrap type="none"/>
            <w10:anchorlock/>
          </v:shape>
          <o:OLEObject Type="Embed" ProgID="Excel.Chart.8" ShapeID="_x0000_i1035" DrawAspect="Content" ObjectID="_1468075738" r:id="rId23">
            <o:LockedField>false</o:LockedField>
          </o:OLEObject>
        </w:object>
      </w:r>
    </w:p>
    <w:p w14:paraId="76FC5A6E">
      <w:pPr>
        <w:pageBreakBefore w:val="0"/>
        <w:kinsoku/>
        <w:wordWrap/>
        <w:overflowPunct/>
        <w:topLinePunct w:val="0"/>
        <w:bidi w:val="0"/>
        <w:spacing w:line="576" w:lineRule="exact"/>
        <w:ind w:firstLine="643" w:firstLineChars="200"/>
        <w:rPr>
          <w:rFonts w:hint="eastAsia" w:ascii="仿宋_GB2312" w:hAnsi="仿宋_GB2312" w:eastAsia="仿宋_GB2312" w:cs="仿宋_GB2312"/>
          <w:b/>
          <w:color w:val="FFC000"/>
          <w:sz w:val="32"/>
          <w:szCs w:val="32"/>
        </w:rPr>
      </w:pPr>
      <w:bookmarkStart w:id="62" w:name="_Toc15377212"/>
    </w:p>
    <w:p w14:paraId="739D6EF0">
      <w:pPr>
        <w:pageBreakBefore w:val="0"/>
        <w:kinsoku/>
        <w:wordWrap/>
        <w:overflowPunct/>
        <w:topLinePunct w:val="0"/>
        <w:bidi w:val="0"/>
        <w:spacing w:line="576" w:lineRule="exact"/>
        <w:ind w:firstLine="643" w:firstLineChars="200"/>
        <w:outlineLvl w:val="2"/>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（三）一般公共预算财政拨款支出决算具体情况</w:t>
      </w:r>
      <w:bookmarkEnd w:id="62"/>
    </w:p>
    <w:p w14:paraId="05B475E0">
      <w:pPr>
        <w:pageBreakBefore w:val="0"/>
        <w:kinsoku/>
        <w:wordWrap/>
        <w:overflowPunct/>
        <w:topLinePunct w:val="0"/>
        <w:bidi w:val="0"/>
        <w:spacing w:line="576" w:lineRule="exact"/>
        <w:ind w:firstLine="640" w:firstLineChars="200"/>
        <w:outlineLvl w:val="2"/>
        <w:rPr>
          <w:rFonts w:hint="eastAsia" w:ascii="仿宋_GB2312" w:hAnsi="仿宋_GB2312" w:eastAsia="仿宋_GB2312" w:cs="仿宋_GB2312"/>
          <w:color w:val="auto"/>
          <w:sz w:val="32"/>
          <w:szCs w:val="32"/>
        </w:rPr>
      </w:pPr>
      <w:bookmarkStart w:id="63" w:name="_Toc15377213"/>
      <w:bookmarkStart w:id="64" w:name="_Toc15377444"/>
      <w:bookmarkStart w:id="65" w:name="_Toc15378460"/>
      <w:r>
        <w:rPr>
          <w:rFonts w:hint="eastAsia" w:ascii="仿宋_GB2312" w:hAnsi="仿宋_GB2312" w:eastAsia="仿宋_GB2312" w:cs="仿宋_GB2312"/>
          <w:b w:val="0"/>
          <w:bCs/>
          <w:color w:val="auto"/>
          <w:sz w:val="32"/>
          <w:szCs w:val="32"/>
          <w:lang w:eastAsia="zh-CN"/>
        </w:rPr>
        <w:t>2023</w:t>
      </w:r>
      <w:r>
        <w:rPr>
          <w:rFonts w:hint="eastAsia" w:ascii="仿宋_GB2312" w:hAnsi="仿宋_GB2312" w:eastAsia="仿宋_GB2312" w:cs="仿宋_GB2312"/>
          <w:b w:val="0"/>
          <w:bCs/>
          <w:color w:val="auto"/>
          <w:sz w:val="32"/>
          <w:szCs w:val="32"/>
        </w:rPr>
        <w:t>年一般公共预算支出决算数为</w:t>
      </w:r>
      <w:r>
        <w:rPr>
          <w:rFonts w:hint="eastAsia" w:ascii="仿宋_GB2312" w:hAnsi="仿宋_GB2312" w:eastAsia="仿宋_GB2312" w:cs="仿宋_GB2312"/>
          <w:b w:val="0"/>
          <w:bCs/>
          <w:color w:val="auto"/>
          <w:sz w:val="32"/>
          <w:szCs w:val="32"/>
          <w:lang w:val="en-US" w:eastAsia="zh-CN"/>
        </w:rPr>
        <w:t>1106.28</w:t>
      </w:r>
      <w:r>
        <w:rPr>
          <w:rFonts w:hint="eastAsia" w:ascii="仿宋_GB2312" w:hAnsi="仿宋_GB2312" w:eastAsia="仿宋_GB2312" w:cs="仿宋_GB2312"/>
          <w:b w:val="0"/>
          <w:bCs/>
          <w:color w:val="auto"/>
          <w:sz w:val="32"/>
          <w:szCs w:val="32"/>
        </w:rPr>
        <w:t>万元，</w:t>
      </w:r>
      <w:r>
        <w:rPr>
          <w:rStyle w:val="18"/>
          <w:rFonts w:hint="eastAsia" w:ascii="仿宋_GB2312" w:hAnsi="仿宋_GB2312" w:eastAsia="仿宋_GB2312" w:cs="仿宋_GB2312"/>
          <w:b w:val="0"/>
          <w:bCs/>
          <w:color w:val="auto"/>
          <w:sz w:val="32"/>
          <w:szCs w:val="32"/>
        </w:rPr>
        <w:t>完成预算</w:t>
      </w:r>
      <w:r>
        <w:rPr>
          <w:rStyle w:val="18"/>
          <w:rFonts w:hint="eastAsia" w:ascii="仿宋_GB2312" w:hAnsi="仿宋_GB2312" w:eastAsia="仿宋_GB2312" w:cs="仿宋_GB2312"/>
          <w:b w:val="0"/>
          <w:bCs/>
          <w:color w:val="auto"/>
          <w:sz w:val="32"/>
          <w:szCs w:val="32"/>
          <w:lang w:val="en-US" w:eastAsia="zh-CN"/>
        </w:rPr>
        <w:t>100</w:t>
      </w:r>
      <w:r>
        <w:rPr>
          <w:rStyle w:val="18"/>
          <w:rFonts w:hint="eastAsia" w:ascii="仿宋_GB2312" w:hAnsi="仿宋_GB2312" w:eastAsia="仿宋_GB2312" w:cs="仿宋_GB2312"/>
          <w:b w:val="0"/>
          <w:bCs/>
          <w:color w:val="auto"/>
          <w:sz w:val="32"/>
          <w:szCs w:val="32"/>
        </w:rPr>
        <w:t>%。其中：</w:t>
      </w:r>
      <w:bookmarkEnd w:id="63"/>
      <w:bookmarkEnd w:id="64"/>
      <w:bookmarkEnd w:id="65"/>
    </w:p>
    <w:p w14:paraId="424B9153">
      <w:pPr>
        <w:pageBreakBefore w:val="0"/>
        <w:kinsoku/>
        <w:wordWrap/>
        <w:overflowPunct/>
        <w:topLinePunct w:val="0"/>
        <w:bidi w:val="0"/>
        <w:spacing w:line="576" w:lineRule="exact"/>
        <w:ind w:firstLine="643" w:firstLineChars="200"/>
        <w:rPr>
          <w:rFonts w:hint="eastAsia" w:ascii="仿宋_GB2312" w:hAnsi="仿宋_GB2312" w:eastAsia="仿宋_GB2312" w:cs="仿宋_GB2312"/>
          <w:sz w:val="32"/>
          <w:szCs w:val="32"/>
          <w:lang w:val="en-US"/>
        </w:rPr>
      </w:pPr>
      <w:bookmarkStart w:id="66" w:name="_Toc15396608"/>
      <w:bookmarkStart w:id="67" w:name="_Toc15377214"/>
      <w:r>
        <w:rPr>
          <w:rStyle w:val="18"/>
          <w:rFonts w:hint="eastAsia" w:ascii="仿宋_GB2312" w:hAnsi="仿宋_GB2312" w:eastAsia="仿宋_GB2312" w:cs="仿宋_GB2312"/>
          <w:bCs/>
          <w:sz w:val="32"/>
          <w:szCs w:val="32"/>
        </w:rPr>
        <w:t>201</w:t>
      </w:r>
      <w:r>
        <w:rPr>
          <w:rStyle w:val="18"/>
          <w:rFonts w:hint="eastAsia" w:ascii="仿宋_GB2312" w:hAnsi="仿宋_GB2312" w:eastAsia="仿宋_GB2312" w:cs="仿宋_GB2312"/>
          <w:bCs/>
          <w:sz w:val="32"/>
          <w:szCs w:val="32"/>
          <w:lang w:val="en-US" w:eastAsia="zh-CN"/>
        </w:rPr>
        <w:t>-</w:t>
      </w:r>
      <w:r>
        <w:rPr>
          <w:rStyle w:val="18"/>
          <w:rFonts w:hint="eastAsia" w:ascii="仿宋_GB2312" w:hAnsi="仿宋_GB2312" w:eastAsia="仿宋_GB2312" w:cs="仿宋_GB2312"/>
          <w:bCs/>
          <w:sz w:val="32"/>
          <w:szCs w:val="32"/>
        </w:rPr>
        <w:t>一般公共服务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支出决算数为1018.51万元，</w:t>
      </w:r>
      <w:r>
        <w:rPr>
          <w:rFonts w:hint="eastAsia" w:ascii="仿宋_GB2312" w:hAnsi="仿宋_GB2312" w:eastAsia="仿宋_GB2312" w:cs="仿宋_GB2312"/>
          <w:color w:val="auto"/>
          <w:sz w:val="32"/>
          <w:szCs w:val="32"/>
        </w:rPr>
        <w:t>完成预算数的</w:t>
      </w:r>
      <w:r>
        <w:rPr>
          <w:rFonts w:hint="eastAsia" w:ascii="仿宋_GB2312" w:hAnsi="仿宋_GB2312" w:eastAsia="仿宋_GB2312" w:cs="仿宋_GB2312"/>
          <w:color w:val="auto"/>
          <w:sz w:val="32"/>
          <w:szCs w:val="32"/>
          <w:lang w:val="en-US" w:eastAsia="zh-CN"/>
        </w:rPr>
        <w:t>35.83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未完成预算数的原因为：一是红原县政务服务中心建设项目未竣工验收按程序资金未拨付1800.31万元，二是天府通办APP红原分站点“红e办”项目资金”未拨付资金14.72万元，按照合同要求运维分别满一年后拨付合同金额的10%；运维满2年后拨付合同金额的5%。</w:t>
      </w:r>
    </w:p>
    <w:p w14:paraId="58E33492">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208</w:t>
      </w:r>
      <w:r>
        <w:rPr>
          <w:rFonts w:hint="eastAsia" w:ascii="仿宋_GB2312" w:hAnsi="仿宋_GB2312" w:eastAsia="仿宋_GB2312" w:cs="仿宋_GB2312"/>
          <w:b/>
          <w:bCs/>
          <w:color w:val="auto"/>
          <w:sz w:val="32"/>
          <w:szCs w:val="32"/>
          <w:lang w:val="en-US" w:eastAsia="zh-CN"/>
        </w:rPr>
        <w:t>-</w:t>
      </w:r>
      <w:r>
        <w:rPr>
          <w:rStyle w:val="18"/>
          <w:rFonts w:hint="eastAsia" w:ascii="仿宋_GB2312" w:hAnsi="仿宋_GB2312" w:eastAsia="仿宋_GB2312" w:cs="仿宋_GB2312"/>
          <w:bCs/>
          <w:sz w:val="32"/>
          <w:szCs w:val="32"/>
        </w:rPr>
        <w:t>社会保障和就业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val="en-US" w:eastAsia="zh-CN"/>
        </w:rPr>
        <w:t>决算数为45.51</w:t>
      </w:r>
      <w:r>
        <w:rPr>
          <w:rFonts w:hint="eastAsia" w:ascii="仿宋_GB2312" w:hAnsi="仿宋_GB2312" w:eastAsia="仿宋_GB2312" w:cs="仿宋_GB2312"/>
          <w:color w:val="auto"/>
          <w:sz w:val="32"/>
          <w:szCs w:val="32"/>
        </w:rPr>
        <w:t>万元，完成预算数的</w:t>
      </w:r>
      <w:r>
        <w:rPr>
          <w:rFonts w:hint="eastAsia" w:ascii="仿宋_GB2312" w:hAnsi="仿宋_GB2312" w:eastAsia="仿宋_GB2312" w:cs="仿宋_GB2312"/>
          <w:color w:val="auto"/>
          <w:sz w:val="32"/>
          <w:szCs w:val="32"/>
          <w:lang w:val="en-US" w:eastAsia="zh-CN"/>
        </w:rPr>
        <w:t>98.82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，全部用于缴纳在职职工养老保险单位部分，</w:t>
      </w:r>
      <w:r>
        <w:rPr>
          <w:rStyle w:val="18"/>
          <w:rFonts w:hint="eastAsia" w:ascii="仿宋_GB2312" w:hAnsi="仿宋_GB2312" w:eastAsia="仿宋_GB2312" w:cs="仿宋_GB2312"/>
          <w:b w:val="0"/>
          <w:bCs/>
          <w:sz w:val="32"/>
          <w:szCs w:val="32"/>
        </w:rPr>
        <w:t>决算数小于预算数的主要原因是人员变动</w:t>
      </w:r>
      <w:r>
        <w:rPr>
          <w:rStyle w:val="18"/>
          <w:rFonts w:hint="eastAsia" w:ascii="仿宋_GB2312" w:hAnsi="仿宋_GB2312" w:eastAsia="仿宋_GB2312" w:cs="仿宋_GB2312"/>
          <w:b w:val="0"/>
          <w:bCs/>
          <w:sz w:val="32"/>
          <w:szCs w:val="32"/>
          <w:lang w:eastAsia="zh-CN"/>
        </w:rPr>
        <w:t>。</w:t>
      </w:r>
    </w:p>
    <w:p w14:paraId="3C83688F">
      <w:pPr>
        <w:pageBreakBefore w:val="0"/>
        <w:kinsoku/>
        <w:wordWrap/>
        <w:overflowPunct/>
        <w:topLinePunct w:val="0"/>
        <w:bidi w:val="0"/>
        <w:spacing w:line="576" w:lineRule="exact"/>
        <w:ind w:firstLine="640"/>
        <w:rPr>
          <w:rStyle w:val="18"/>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bCs/>
          <w:color w:val="auto"/>
          <w:sz w:val="32"/>
          <w:szCs w:val="32"/>
          <w:lang w:val="en-US" w:eastAsia="zh-CN"/>
        </w:rPr>
        <w:t>210-卫生健康支出：</w:t>
      </w:r>
      <w:r>
        <w:rPr>
          <w:rFonts w:hint="eastAsia" w:ascii="仿宋_GB2312" w:hAnsi="仿宋_GB2312" w:eastAsia="仿宋_GB2312" w:cs="仿宋_GB2312"/>
          <w:color w:val="auto"/>
          <w:sz w:val="32"/>
          <w:szCs w:val="32"/>
          <w:lang w:val="en-US" w:eastAsia="zh-CN"/>
        </w:rPr>
        <w:t>支出决算数为19.30万元，完成预算数的98.98%，</w:t>
      </w:r>
      <w:r>
        <w:rPr>
          <w:rFonts w:hint="eastAsia" w:ascii="仿宋_GB2312" w:hAnsi="仿宋_GB2312" w:eastAsia="仿宋_GB2312" w:cs="仿宋_GB2312"/>
          <w:color w:val="auto"/>
          <w:sz w:val="32"/>
          <w:szCs w:val="32"/>
          <w:lang w:eastAsia="zh-CN"/>
        </w:rPr>
        <w:t>全部用于缴纳在职职工</w:t>
      </w:r>
      <w:r>
        <w:rPr>
          <w:rFonts w:hint="eastAsia" w:ascii="仿宋_GB2312" w:hAnsi="仿宋_GB2312" w:eastAsia="仿宋_GB2312" w:cs="仿宋_GB2312"/>
          <w:color w:val="auto"/>
          <w:sz w:val="32"/>
          <w:szCs w:val="32"/>
          <w:lang w:val="en-US" w:eastAsia="zh-CN"/>
        </w:rPr>
        <w:t>的医疗保险单位部分，</w:t>
      </w:r>
      <w:r>
        <w:rPr>
          <w:rStyle w:val="18"/>
          <w:rFonts w:hint="eastAsia" w:ascii="仿宋_GB2312" w:hAnsi="仿宋_GB2312" w:eastAsia="仿宋_GB2312" w:cs="仿宋_GB2312"/>
          <w:b w:val="0"/>
          <w:bCs/>
          <w:sz w:val="32"/>
          <w:szCs w:val="32"/>
        </w:rPr>
        <w:t>决算数小于预算数的主要原因是人员变动</w:t>
      </w:r>
      <w:r>
        <w:rPr>
          <w:rStyle w:val="18"/>
          <w:rFonts w:hint="eastAsia" w:ascii="仿宋_GB2312" w:hAnsi="仿宋_GB2312" w:eastAsia="仿宋_GB2312" w:cs="仿宋_GB2312"/>
          <w:b w:val="0"/>
          <w:bCs/>
          <w:sz w:val="32"/>
          <w:szCs w:val="32"/>
          <w:lang w:eastAsia="zh-CN"/>
        </w:rPr>
        <w:t>。</w:t>
      </w:r>
    </w:p>
    <w:p w14:paraId="6A4D1A50">
      <w:pPr>
        <w:pStyle w:val="2"/>
        <w:keepNext w:val="0"/>
        <w:keepLines w:val="0"/>
        <w:pageBreakBefore w:val="0"/>
        <w:widowControl w:val="0"/>
        <w:kinsoku/>
        <w:wordWrap/>
        <w:overflowPunct/>
        <w:topLinePunct w:val="0"/>
        <w:autoSpaceDE/>
        <w:autoSpaceDN/>
        <w:bidi w:val="0"/>
        <w:adjustRightInd/>
        <w:snapToGrid w:val="0"/>
        <w:spacing w:line="576" w:lineRule="exact"/>
        <w:ind w:firstLine="64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221-住房保障支出：</w:t>
      </w:r>
      <w:r>
        <w:rPr>
          <w:rFonts w:hint="eastAsia" w:ascii="仿宋_GB2312" w:hAnsi="仿宋_GB2312" w:eastAsia="仿宋_GB2312" w:cs="仿宋_GB2312"/>
          <w:sz w:val="32"/>
          <w:szCs w:val="32"/>
          <w:lang w:val="en-US" w:eastAsia="zh-CN"/>
        </w:rPr>
        <w:t>支出决算数为22.95万元，完成预算数的90.24%，</w:t>
      </w:r>
      <w:r>
        <w:rPr>
          <w:rFonts w:hint="eastAsia" w:ascii="仿宋_GB2312" w:hAnsi="仿宋_GB2312" w:eastAsia="仿宋_GB2312" w:cs="仿宋_GB2312"/>
          <w:color w:val="auto"/>
          <w:sz w:val="32"/>
          <w:szCs w:val="32"/>
          <w:lang w:eastAsia="zh-CN"/>
        </w:rPr>
        <w:t>全部用于缴纳在职职工</w:t>
      </w:r>
      <w:r>
        <w:rPr>
          <w:rFonts w:hint="eastAsia" w:ascii="仿宋_GB2312" w:hAnsi="仿宋_GB2312" w:eastAsia="仿宋_GB2312" w:cs="仿宋_GB2312"/>
          <w:color w:val="auto"/>
          <w:sz w:val="32"/>
          <w:szCs w:val="32"/>
          <w:lang w:val="en-US" w:eastAsia="zh-CN"/>
        </w:rPr>
        <w:t>的住房公积金单位部分，</w:t>
      </w:r>
      <w:r>
        <w:rPr>
          <w:rStyle w:val="18"/>
          <w:rFonts w:hint="eastAsia" w:ascii="仿宋_GB2312" w:hAnsi="仿宋_GB2312" w:eastAsia="仿宋_GB2312" w:cs="仿宋_GB2312"/>
          <w:b w:val="0"/>
          <w:bCs/>
          <w:sz w:val="32"/>
          <w:szCs w:val="32"/>
        </w:rPr>
        <w:t>决算数小于预算数的主要原因是人员变动</w:t>
      </w:r>
      <w:r>
        <w:rPr>
          <w:rStyle w:val="18"/>
          <w:rFonts w:hint="eastAsia" w:ascii="仿宋_GB2312" w:hAnsi="仿宋_GB2312" w:eastAsia="仿宋_GB2312" w:cs="仿宋_GB2312"/>
          <w:b w:val="0"/>
          <w:bCs/>
          <w:sz w:val="32"/>
          <w:szCs w:val="32"/>
          <w:lang w:eastAsia="zh-CN"/>
        </w:rPr>
        <w:t>。</w:t>
      </w:r>
    </w:p>
    <w:p w14:paraId="706A1F9B">
      <w:pPr>
        <w:pageBreakBefore w:val="0"/>
        <w:tabs>
          <w:tab w:val="right" w:pos="8306"/>
        </w:tabs>
        <w:kinsoku/>
        <w:wordWrap/>
        <w:overflowPunct/>
        <w:topLinePunct w:val="0"/>
        <w:bidi w:val="0"/>
        <w:spacing w:line="576" w:lineRule="exact"/>
        <w:ind w:firstLine="640" w:firstLineChars="200"/>
        <w:outlineLvl w:val="1"/>
        <w:rPr>
          <w:rStyle w:val="22"/>
          <w:rFonts w:hint="eastAsia" w:ascii="仿宋_GB2312" w:hAnsi="仿宋_GB2312" w:eastAsia="仿宋_GB2312" w:cs="仿宋_GB2312"/>
          <w:color w:val="auto"/>
          <w:sz w:val="32"/>
          <w:szCs w:val="32"/>
        </w:rPr>
      </w:pPr>
      <w:bookmarkStart w:id="68" w:name="_Toc30283"/>
      <w:r>
        <w:rPr>
          <w:rFonts w:hint="eastAsia" w:ascii="黑体" w:hAnsi="黑体" w:eastAsia="黑体" w:cs="黑体"/>
          <w:color w:val="auto"/>
          <w:sz w:val="32"/>
          <w:szCs w:val="32"/>
        </w:rPr>
        <w:t>六</w:t>
      </w:r>
      <w:r>
        <w:rPr>
          <w:rFonts w:hint="eastAsia" w:ascii="黑体" w:hAnsi="黑体" w:eastAsia="黑体" w:cs="黑体"/>
          <w:b/>
          <w:color w:val="auto"/>
          <w:sz w:val="32"/>
          <w:szCs w:val="32"/>
        </w:rPr>
        <w:t>、一</w:t>
      </w:r>
      <w:r>
        <w:rPr>
          <w:rStyle w:val="22"/>
          <w:rFonts w:hint="eastAsia" w:ascii="黑体" w:hAnsi="黑体" w:eastAsia="黑体" w:cs="黑体"/>
          <w:b w:val="0"/>
          <w:color w:val="auto"/>
          <w:sz w:val="32"/>
          <w:szCs w:val="32"/>
        </w:rPr>
        <w:t>般公共预算财政拨款基本支出决算情况说明</w:t>
      </w:r>
      <w:bookmarkEnd w:id="66"/>
      <w:bookmarkEnd w:id="67"/>
      <w:bookmarkEnd w:id="68"/>
      <w:r>
        <w:rPr>
          <w:rStyle w:val="22"/>
          <w:rFonts w:hint="eastAsia" w:ascii="仿宋_GB2312" w:hAnsi="仿宋_GB2312" w:eastAsia="仿宋_GB2312" w:cs="仿宋_GB2312"/>
          <w:b w:val="0"/>
          <w:color w:val="auto"/>
          <w:sz w:val="32"/>
          <w:szCs w:val="32"/>
        </w:rPr>
        <w:tab/>
      </w:r>
    </w:p>
    <w:p w14:paraId="39C4539A">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年一般公共预算财政拨款基本支出</w:t>
      </w:r>
      <w:r>
        <w:rPr>
          <w:rFonts w:hint="eastAsia" w:ascii="仿宋_GB2312" w:hAnsi="仿宋_GB2312" w:eastAsia="仿宋_GB2312" w:cs="仿宋_GB2312"/>
          <w:color w:val="auto"/>
          <w:sz w:val="32"/>
          <w:szCs w:val="32"/>
          <w:lang w:val="en-US" w:eastAsia="zh-CN"/>
        </w:rPr>
        <w:t>344.33</w:t>
      </w:r>
      <w:r>
        <w:rPr>
          <w:rFonts w:hint="eastAsia" w:ascii="仿宋_GB2312" w:hAnsi="仿宋_GB2312" w:eastAsia="仿宋_GB2312" w:cs="仿宋_GB2312"/>
          <w:color w:val="auto"/>
          <w:sz w:val="32"/>
          <w:szCs w:val="32"/>
        </w:rPr>
        <w:t>万元，其中：</w:t>
      </w:r>
    </w:p>
    <w:p w14:paraId="117C55E8">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人员经费</w:t>
      </w:r>
      <w:r>
        <w:rPr>
          <w:rFonts w:hint="eastAsia" w:ascii="仿宋_GB2312" w:hAnsi="仿宋_GB2312" w:eastAsia="仿宋_GB2312" w:cs="仿宋_GB2312"/>
          <w:color w:val="auto"/>
          <w:sz w:val="32"/>
          <w:szCs w:val="32"/>
          <w:lang w:val="en-US" w:eastAsia="zh-CN"/>
        </w:rPr>
        <w:t>321.66</w:t>
      </w:r>
      <w:r>
        <w:rPr>
          <w:rFonts w:hint="eastAsia" w:ascii="仿宋_GB2312" w:hAnsi="仿宋_GB2312" w:eastAsia="仿宋_GB2312" w:cs="仿宋_GB2312"/>
          <w:color w:val="auto"/>
          <w:sz w:val="32"/>
          <w:szCs w:val="32"/>
        </w:rPr>
        <w:t>万元，包括：基本工资</w:t>
      </w:r>
      <w:r>
        <w:rPr>
          <w:rFonts w:hint="eastAsia" w:ascii="仿宋_GB2312" w:hAnsi="仿宋_GB2312" w:eastAsia="仿宋_GB2312" w:cs="仿宋_GB2312"/>
          <w:color w:val="auto"/>
          <w:sz w:val="32"/>
          <w:szCs w:val="32"/>
          <w:lang w:val="en-US" w:eastAsia="zh-CN"/>
        </w:rPr>
        <w:t>57.11</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88.78</w:t>
      </w:r>
      <w:r>
        <w:rPr>
          <w:rFonts w:hint="eastAsia" w:ascii="仿宋_GB2312" w:hAnsi="仿宋_GB2312" w:eastAsia="仿宋_GB2312" w:cs="仿宋_GB2312"/>
          <w:color w:val="auto"/>
          <w:sz w:val="32"/>
          <w:szCs w:val="32"/>
        </w:rPr>
        <w:t>元、奖金</w:t>
      </w:r>
      <w:r>
        <w:rPr>
          <w:rFonts w:hint="eastAsia" w:ascii="仿宋_GB2312" w:hAnsi="仿宋_GB2312" w:eastAsia="仿宋_GB2312" w:cs="仿宋_GB2312"/>
          <w:color w:val="auto"/>
          <w:sz w:val="32"/>
          <w:szCs w:val="32"/>
          <w:lang w:val="en-US" w:eastAsia="zh-CN"/>
        </w:rPr>
        <w:t>62.76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绩效工资</w:t>
      </w:r>
      <w:r>
        <w:rPr>
          <w:rFonts w:hint="eastAsia" w:ascii="仿宋_GB2312" w:hAnsi="仿宋_GB2312" w:eastAsia="仿宋_GB2312" w:cs="仿宋_GB2312"/>
          <w:color w:val="auto"/>
          <w:sz w:val="32"/>
          <w:szCs w:val="32"/>
          <w:lang w:val="en-US" w:eastAsia="zh-CN"/>
        </w:rPr>
        <w:t>20.46万元，</w:t>
      </w:r>
      <w:r>
        <w:rPr>
          <w:rFonts w:hint="eastAsia" w:ascii="仿宋_GB2312" w:hAnsi="仿宋_GB2312" w:eastAsia="仿宋_GB2312" w:cs="仿宋_GB2312"/>
          <w:color w:val="auto"/>
          <w:sz w:val="32"/>
          <w:szCs w:val="32"/>
        </w:rPr>
        <w:t>机关事业单位基本养老保险缴费</w:t>
      </w:r>
      <w:r>
        <w:rPr>
          <w:rFonts w:hint="eastAsia" w:ascii="仿宋_GB2312" w:hAnsi="仿宋_GB2312" w:eastAsia="仿宋_GB2312" w:cs="仿宋_GB2312"/>
          <w:color w:val="auto"/>
          <w:sz w:val="32"/>
          <w:szCs w:val="32"/>
          <w:lang w:val="en-US" w:eastAsia="zh-CN"/>
        </w:rPr>
        <w:t>30.34</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15.17</w:t>
      </w:r>
      <w:r>
        <w:rPr>
          <w:rFonts w:hint="eastAsia" w:ascii="仿宋_GB2312" w:hAnsi="仿宋_GB2312" w:eastAsia="仿宋_GB2312" w:cs="仿宋_GB2312"/>
          <w:color w:val="auto"/>
          <w:sz w:val="32"/>
          <w:szCs w:val="32"/>
        </w:rPr>
        <w:t>万元、其他社会保障缴费</w:t>
      </w:r>
      <w:r>
        <w:rPr>
          <w:rFonts w:hint="eastAsia" w:ascii="仿宋_GB2312" w:hAnsi="仿宋_GB2312" w:eastAsia="仿宋_GB2312" w:cs="仿宋_GB2312"/>
          <w:color w:val="auto"/>
          <w:sz w:val="32"/>
          <w:szCs w:val="32"/>
          <w:lang w:val="en-US" w:eastAsia="zh-CN"/>
        </w:rPr>
        <w:t>3.50</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16.21</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3.08</w:t>
      </w:r>
      <w:r>
        <w:rPr>
          <w:rFonts w:hint="eastAsia" w:ascii="仿宋_GB2312" w:hAnsi="仿宋_GB2312" w:eastAsia="仿宋_GB2312" w:cs="仿宋_GB2312"/>
          <w:color w:val="auto"/>
          <w:sz w:val="32"/>
          <w:szCs w:val="32"/>
        </w:rPr>
        <w:t>万元、医疗费</w:t>
      </w:r>
      <w:r>
        <w:rPr>
          <w:rFonts w:hint="eastAsia" w:ascii="仿宋_GB2312" w:hAnsi="仿宋_GB2312" w:eastAsia="仿宋_GB2312" w:cs="仿宋_GB2312"/>
          <w:color w:val="auto"/>
          <w:sz w:val="32"/>
          <w:szCs w:val="32"/>
          <w:lang w:val="en-US" w:eastAsia="zh-CN"/>
        </w:rPr>
        <w:t>1.28</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22.95</w:t>
      </w:r>
      <w:r>
        <w:rPr>
          <w:rFonts w:hint="eastAsia" w:ascii="仿宋_GB2312" w:hAnsi="仿宋_GB2312" w:eastAsia="仿宋_GB2312" w:cs="仿宋_GB2312"/>
          <w:color w:val="auto"/>
          <w:sz w:val="32"/>
          <w:szCs w:val="32"/>
        </w:rPr>
        <w:t>万元。</w:t>
      </w:r>
    </w:p>
    <w:p w14:paraId="4B5B2F85">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公用经费</w:t>
      </w:r>
      <w:r>
        <w:rPr>
          <w:rFonts w:hint="eastAsia" w:ascii="仿宋_GB2312" w:hAnsi="仿宋_GB2312" w:eastAsia="仿宋_GB2312" w:cs="仿宋_GB2312"/>
          <w:color w:val="auto"/>
          <w:sz w:val="32"/>
          <w:szCs w:val="32"/>
          <w:lang w:val="en-US" w:eastAsia="zh-CN"/>
        </w:rPr>
        <w:t>支出22.65</w:t>
      </w:r>
      <w:r>
        <w:rPr>
          <w:rFonts w:hint="eastAsia" w:ascii="仿宋_GB2312" w:hAnsi="仿宋_GB2312" w:eastAsia="仿宋_GB2312" w:cs="仿宋_GB2312"/>
          <w:color w:val="auto"/>
          <w:sz w:val="32"/>
          <w:szCs w:val="32"/>
        </w:rPr>
        <w:t>万元，包括：办公费</w:t>
      </w:r>
      <w:r>
        <w:rPr>
          <w:rFonts w:hint="eastAsia" w:ascii="仿宋_GB2312" w:hAnsi="仿宋_GB2312" w:eastAsia="仿宋_GB2312" w:cs="仿宋_GB2312"/>
          <w:color w:val="auto"/>
          <w:sz w:val="32"/>
          <w:szCs w:val="32"/>
          <w:lang w:val="en-US" w:eastAsia="zh-CN"/>
        </w:rPr>
        <w:t>5.81</w:t>
      </w:r>
      <w:r>
        <w:rPr>
          <w:rFonts w:hint="eastAsia" w:ascii="仿宋_GB2312" w:hAnsi="仿宋_GB2312" w:eastAsia="仿宋_GB2312" w:cs="仿宋_GB2312"/>
          <w:color w:val="auto"/>
          <w:sz w:val="32"/>
          <w:szCs w:val="32"/>
        </w:rPr>
        <w:t>万元、印刷费</w:t>
      </w:r>
      <w:r>
        <w:rPr>
          <w:rFonts w:hint="eastAsia" w:ascii="仿宋_GB2312" w:hAnsi="仿宋_GB2312" w:eastAsia="仿宋_GB2312" w:cs="仿宋_GB2312"/>
          <w:color w:val="auto"/>
          <w:sz w:val="32"/>
          <w:szCs w:val="32"/>
          <w:lang w:val="en-US" w:eastAsia="zh-CN"/>
        </w:rPr>
        <w:t>1.16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手续费0.61万元</w:t>
      </w:r>
      <w:r>
        <w:rPr>
          <w:rFonts w:hint="eastAsia" w:ascii="仿宋_GB2312" w:hAnsi="仿宋_GB2312" w:eastAsia="仿宋_GB2312" w:cs="仿宋_GB2312"/>
          <w:color w:val="auto"/>
          <w:sz w:val="32"/>
          <w:szCs w:val="32"/>
        </w:rPr>
        <w:t>、水费</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rPr>
        <w:t>万元、邮电费</w:t>
      </w:r>
      <w:r>
        <w:rPr>
          <w:rFonts w:hint="eastAsia" w:ascii="仿宋_GB2312" w:hAnsi="仿宋_GB2312" w:eastAsia="仿宋_GB2312" w:cs="仿宋_GB2312"/>
          <w:color w:val="auto"/>
          <w:sz w:val="32"/>
          <w:szCs w:val="32"/>
          <w:lang w:val="en-US" w:eastAsia="zh-CN"/>
        </w:rPr>
        <w:t>0.77</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4.84</w:t>
      </w:r>
      <w:r>
        <w:rPr>
          <w:rFonts w:hint="eastAsia" w:ascii="仿宋_GB2312" w:hAnsi="仿宋_GB2312" w:eastAsia="仿宋_GB2312" w:cs="仿宋_GB2312"/>
          <w:color w:val="auto"/>
          <w:sz w:val="32"/>
          <w:szCs w:val="32"/>
        </w:rPr>
        <w:t>万元、维修（护）费</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万元、培训费</w:t>
      </w:r>
      <w:r>
        <w:rPr>
          <w:rFonts w:hint="eastAsia" w:ascii="仿宋_GB2312" w:hAnsi="仿宋_GB2312" w:eastAsia="仿宋_GB2312" w:cs="仿宋_GB2312"/>
          <w:color w:val="auto"/>
          <w:sz w:val="32"/>
          <w:szCs w:val="32"/>
          <w:lang w:val="en-US" w:eastAsia="zh-CN"/>
        </w:rPr>
        <w:t>0.69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接待费</w:t>
      </w:r>
      <w:r>
        <w:rPr>
          <w:rFonts w:hint="eastAsia" w:ascii="仿宋_GB2312" w:hAnsi="仿宋_GB2312" w:eastAsia="仿宋_GB2312" w:cs="仿宋_GB2312"/>
          <w:b w:val="0"/>
          <w:bCs w:val="0"/>
          <w:color w:val="auto"/>
          <w:sz w:val="32"/>
          <w:szCs w:val="32"/>
          <w:lang w:val="en-US" w:eastAsia="zh-CN"/>
        </w:rPr>
        <w:t>0.16万元、劳务费0.32万元、工会经费2.28万元、公务用车运行维护费4.6万元</w:t>
      </w:r>
      <w:r>
        <w:rPr>
          <w:rFonts w:hint="eastAsia" w:ascii="仿宋_GB2312" w:hAnsi="仿宋_GB2312" w:eastAsia="仿宋_GB2312" w:cs="仿宋_GB2312"/>
          <w:color w:val="auto"/>
          <w:sz w:val="32"/>
          <w:szCs w:val="32"/>
        </w:rPr>
        <w:t>。</w:t>
      </w:r>
    </w:p>
    <w:p w14:paraId="6A903137">
      <w:pPr>
        <w:pStyle w:val="2"/>
        <w:pageBreakBefore w:val="0"/>
        <w:kinsoku/>
        <w:wordWrap/>
        <w:overflowPunct/>
        <w:topLinePunct w:val="0"/>
        <w:bidi w:val="0"/>
        <w:spacing w:line="576"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项目经费</w:t>
      </w:r>
      <w:r>
        <w:rPr>
          <w:rFonts w:hint="eastAsia" w:ascii="仿宋_GB2312" w:hAnsi="仿宋_GB2312" w:eastAsia="仿宋_GB2312" w:cs="仿宋_GB2312"/>
          <w:color w:val="auto"/>
          <w:sz w:val="32"/>
          <w:szCs w:val="32"/>
          <w:lang w:val="en-US" w:eastAsia="zh-CN"/>
        </w:rPr>
        <w:t>支出761.95万元，包括：</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专项经费47.01万元，其中：办公费13.71万元、印刷费6.60万元、水费1.65万元、电费1.36万元、邮电费6.59万元、取暖费4.44万元、差旅费6.68万元、维修（护）费0.06万元、培训费0.55万元、劳务费6.23万元、公务车运行维护费7.47万元；</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红原县乡镇便民服务专项规划编制项目咨询费5万元；</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天府通办APP红原分站点“红e”办建设项目65.28万元，</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红原县政务服务中心建设项目工程636.32万元。</w:t>
      </w:r>
    </w:p>
    <w:p w14:paraId="601922B5">
      <w:pPr>
        <w:pageBreakBefore w:val="0"/>
        <w:kinsoku/>
        <w:wordWrap/>
        <w:overflowPunct/>
        <w:topLinePunct w:val="0"/>
        <w:bidi w:val="0"/>
        <w:spacing w:line="576" w:lineRule="exact"/>
        <w:ind w:firstLine="640" w:firstLineChars="200"/>
        <w:outlineLvl w:val="1"/>
        <w:rPr>
          <w:rStyle w:val="22"/>
          <w:rFonts w:hint="eastAsia" w:ascii="黑体" w:hAnsi="黑体" w:eastAsia="黑体" w:cs="黑体"/>
          <w:b w:val="0"/>
          <w:bCs w:val="0"/>
          <w:color w:val="auto"/>
          <w:sz w:val="32"/>
          <w:szCs w:val="32"/>
        </w:rPr>
      </w:pPr>
      <w:bookmarkStart w:id="69" w:name="_Toc47"/>
      <w:bookmarkStart w:id="70" w:name="_Toc15396609"/>
      <w:bookmarkStart w:id="71" w:name="_Toc15377215"/>
      <w:r>
        <w:rPr>
          <w:rStyle w:val="22"/>
          <w:rFonts w:hint="eastAsia" w:ascii="黑体" w:hAnsi="黑体" w:eastAsia="黑体" w:cs="黑体"/>
          <w:b w:val="0"/>
          <w:bCs w:val="0"/>
          <w:color w:val="auto"/>
          <w:sz w:val="32"/>
          <w:szCs w:val="32"/>
          <w:lang w:val="en-US" w:eastAsia="zh-CN"/>
        </w:rPr>
        <w:t>七、</w:t>
      </w:r>
      <w:r>
        <w:rPr>
          <w:rStyle w:val="22"/>
          <w:rFonts w:hint="eastAsia" w:ascii="黑体" w:hAnsi="黑体" w:eastAsia="黑体" w:cs="黑体"/>
          <w:b w:val="0"/>
          <w:bCs w:val="0"/>
          <w:color w:val="auto"/>
          <w:sz w:val="32"/>
          <w:szCs w:val="32"/>
        </w:rPr>
        <w:t>“三公”经费财政拨款支出决算情况说明</w:t>
      </w:r>
      <w:bookmarkEnd w:id="69"/>
      <w:bookmarkEnd w:id="70"/>
      <w:bookmarkEnd w:id="71"/>
    </w:p>
    <w:p w14:paraId="775DDE33">
      <w:pPr>
        <w:pageBreakBefore w:val="0"/>
        <w:kinsoku/>
        <w:wordWrap/>
        <w:overflowPunct/>
        <w:topLinePunct w:val="0"/>
        <w:bidi w:val="0"/>
        <w:spacing w:line="576" w:lineRule="exact"/>
        <w:ind w:firstLine="643" w:firstLineChars="200"/>
        <w:outlineLvl w:val="2"/>
        <w:rPr>
          <w:rFonts w:hint="eastAsia" w:ascii="楷体" w:hAnsi="楷体" w:eastAsia="楷体" w:cs="楷体"/>
          <w:b/>
          <w:color w:val="auto"/>
          <w:sz w:val="32"/>
          <w:szCs w:val="32"/>
        </w:rPr>
      </w:pPr>
      <w:bookmarkStart w:id="72" w:name="_Toc15377216"/>
      <w:r>
        <w:rPr>
          <w:rFonts w:hint="eastAsia" w:ascii="楷体" w:hAnsi="楷体" w:eastAsia="楷体" w:cs="楷体"/>
          <w:b/>
          <w:color w:val="auto"/>
          <w:sz w:val="32"/>
          <w:szCs w:val="32"/>
        </w:rPr>
        <w:t>（一）“三公”经费财政拨款支出决算总体情况说明</w:t>
      </w:r>
      <w:bookmarkEnd w:id="72"/>
    </w:p>
    <w:p w14:paraId="205AD4DA">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年“三公”经费财政拨款支出决算为</w:t>
      </w:r>
      <w:r>
        <w:rPr>
          <w:rFonts w:hint="eastAsia" w:ascii="仿宋_GB2312" w:hAnsi="仿宋_GB2312" w:eastAsia="仿宋_GB2312" w:cs="仿宋_GB2312"/>
          <w:color w:val="auto"/>
          <w:sz w:val="32"/>
          <w:szCs w:val="32"/>
          <w:lang w:val="en-US" w:eastAsia="zh-CN"/>
        </w:rPr>
        <w:t>12.23</w:t>
      </w:r>
      <w:r>
        <w:rPr>
          <w:rFonts w:hint="eastAsia" w:ascii="仿宋_GB2312" w:hAnsi="仿宋_GB2312" w:eastAsia="仿宋_GB2312" w:cs="仿宋_GB2312"/>
          <w:color w:val="auto"/>
          <w:sz w:val="32"/>
          <w:szCs w:val="32"/>
        </w:rPr>
        <w:t>万元，完成预算</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较上年增加6.06万元，增加原因为单位车辆年限长，故障频发，仅维修费用高达6.25万元，支付2023年、2024年保险费用1.61万元，支付公务车运维费用0.33万元，支付换轮胎费用0.73万元，支付公务车日常出差油费、过路费3.15万元</w:t>
      </w:r>
      <w:r>
        <w:rPr>
          <w:rFonts w:hint="eastAsia" w:ascii="仿宋_GB2312" w:hAnsi="仿宋_GB2312" w:eastAsia="仿宋_GB2312" w:cs="仿宋_GB2312"/>
          <w:color w:val="auto"/>
          <w:sz w:val="32"/>
          <w:szCs w:val="32"/>
        </w:rPr>
        <w:t>。</w:t>
      </w:r>
    </w:p>
    <w:p w14:paraId="305C1432">
      <w:pPr>
        <w:pageBreakBefore w:val="0"/>
        <w:kinsoku/>
        <w:wordWrap/>
        <w:overflowPunct/>
        <w:topLinePunct w:val="0"/>
        <w:bidi w:val="0"/>
        <w:spacing w:line="576" w:lineRule="exact"/>
        <w:ind w:firstLine="643" w:firstLineChars="200"/>
        <w:outlineLvl w:val="2"/>
        <w:rPr>
          <w:rFonts w:hint="eastAsia" w:ascii="楷体" w:hAnsi="楷体" w:eastAsia="楷体" w:cs="楷体"/>
          <w:b/>
          <w:color w:val="auto"/>
          <w:sz w:val="32"/>
          <w:szCs w:val="32"/>
        </w:rPr>
      </w:pPr>
      <w:bookmarkStart w:id="73" w:name="_Toc15377217"/>
      <w:r>
        <w:rPr>
          <w:rFonts w:hint="eastAsia" w:ascii="楷体" w:hAnsi="楷体" w:eastAsia="楷体" w:cs="楷体"/>
          <w:b/>
          <w:color w:val="auto"/>
          <w:sz w:val="32"/>
          <w:szCs w:val="32"/>
        </w:rPr>
        <w:t>（二）“三公”经费财政拨款支出决算具体情况说明</w:t>
      </w:r>
      <w:bookmarkEnd w:id="73"/>
    </w:p>
    <w:p w14:paraId="03E2D853">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年“三公”经费财政拨款支出决算中，因公出国（境）费支出决算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万元；公务用车购置及运行维护费支出决算</w:t>
      </w:r>
      <w:r>
        <w:rPr>
          <w:rFonts w:hint="eastAsia" w:ascii="仿宋_GB2312" w:hAnsi="仿宋_GB2312" w:eastAsia="仿宋_GB2312" w:cs="仿宋_GB2312"/>
          <w:color w:val="auto"/>
          <w:sz w:val="32"/>
          <w:szCs w:val="32"/>
          <w:lang w:val="en-US" w:eastAsia="zh-CN"/>
        </w:rPr>
        <w:t>12.07</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98.77</w:t>
      </w:r>
      <w:r>
        <w:rPr>
          <w:rFonts w:hint="eastAsia" w:ascii="仿宋_GB2312" w:hAnsi="仿宋_GB2312" w:eastAsia="仿宋_GB2312" w:cs="仿宋_GB2312"/>
          <w:color w:val="auto"/>
          <w:sz w:val="32"/>
          <w:szCs w:val="32"/>
        </w:rPr>
        <w:t>%；公务接待费支出决算</w:t>
      </w:r>
      <w:r>
        <w:rPr>
          <w:rFonts w:hint="eastAsia" w:ascii="仿宋_GB2312" w:hAnsi="仿宋_GB2312" w:eastAsia="仿宋_GB2312" w:cs="仿宋_GB2312"/>
          <w:color w:val="auto"/>
          <w:sz w:val="32"/>
          <w:szCs w:val="32"/>
          <w:lang w:val="en-US" w:eastAsia="zh-CN"/>
        </w:rPr>
        <w:t>0.16</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1.23</w:t>
      </w:r>
      <w:r>
        <w:rPr>
          <w:rFonts w:hint="eastAsia" w:ascii="仿宋_GB2312" w:hAnsi="仿宋_GB2312" w:eastAsia="仿宋_GB2312" w:cs="仿宋_GB2312"/>
          <w:color w:val="auto"/>
          <w:sz w:val="32"/>
          <w:szCs w:val="32"/>
        </w:rPr>
        <w:t>%。具体情况如下：</w:t>
      </w:r>
    </w:p>
    <w:p w14:paraId="5AE65827">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：“三公”经费财政拨款支出结构）（饼状图）</w:t>
      </w:r>
    </w:p>
    <w:p w14:paraId="1452F68A">
      <w:pPr>
        <w:pStyle w:val="19"/>
        <w:pageBreakBefore w:val="0"/>
        <w:kinsoku/>
        <w:wordWrap/>
        <w:overflowPunct/>
        <w:topLinePunct w:val="0"/>
        <w:bidi w:val="0"/>
        <w:spacing w:line="576" w:lineRule="exact"/>
        <w:rPr>
          <w:rFonts w:hint="eastAsia" w:ascii="仿宋_GB2312" w:hAnsi="仿宋_GB2312" w:eastAsia="仿宋_GB2312" w:cs="仿宋_GB2312"/>
          <w:color w:val="auto"/>
          <w:sz w:val="32"/>
          <w:szCs w:val="32"/>
          <w:lang w:eastAsia="zh-CN"/>
        </w:rPr>
      </w:pPr>
    </w:p>
    <w:p w14:paraId="0F0EF0A4">
      <w:pPr>
        <w:pStyle w:val="19"/>
        <w:pageBreakBefore w:val="0"/>
        <w:kinsoku/>
        <w:wordWrap/>
        <w:overflowPunct/>
        <w:topLinePunct w:val="0"/>
        <w:bidi w:val="0"/>
        <w:spacing w:line="576" w:lineRule="exact"/>
        <w:ind w:left="0" w:leftChars="0" w:firstLine="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eastAsia="zh-CN"/>
        </w:rPr>
        <w:drawing>
          <wp:anchor distT="0" distB="0" distL="114300" distR="114300" simplePos="0" relativeHeight="251671552" behindDoc="0" locked="0" layoutInCell="1" allowOverlap="1">
            <wp:simplePos x="0" y="0"/>
            <wp:positionH relativeFrom="column">
              <wp:posOffset>137795</wp:posOffset>
            </wp:positionH>
            <wp:positionV relativeFrom="paragraph">
              <wp:posOffset>259080</wp:posOffset>
            </wp:positionV>
            <wp:extent cx="4817110" cy="2473325"/>
            <wp:effectExtent l="4445" t="4445" r="17145" b="17780"/>
            <wp:wrapTopAndBottom/>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74C369B9">
      <w:pPr>
        <w:pStyle w:val="19"/>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color w:val="auto"/>
          <w:sz w:val="32"/>
          <w:szCs w:val="32"/>
          <w:lang w:eastAsia="zh-CN"/>
        </w:rPr>
      </w:pPr>
    </w:p>
    <w:p w14:paraId="657563FD">
      <w:pPr>
        <w:pageBreakBefore w:val="0"/>
        <w:numPr>
          <w:ilvl w:val="0"/>
          <w:numId w:val="0"/>
        </w:numPr>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lang w:val="en-US" w:eastAsia="zh-CN"/>
        </w:rPr>
        <w:t>1.</w:t>
      </w:r>
      <w:r>
        <w:rPr>
          <w:rFonts w:hint="eastAsia" w:ascii="仿宋_GB2312" w:hAnsi="仿宋_GB2312" w:eastAsia="仿宋_GB2312" w:cs="仿宋_GB2312"/>
          <w:b/>
          <w:color w:val="auto"/>
          <w:sz w:val="32"/>
          <w:szCs w:val="32"/>
        </w:rPr>
        <w:t>因公出国（境）经费支出</w:t>
      </w:r>
      <w:r>
        <w:rPr>
          <w:rFonts w:hint="eastAsia" w:ascii="仿宋_GB2312" w:hAnsi="仿宋_GB2312" w:eastAsia="仿宋_GB2312" w:cs="仿宋_GB2312"/>
          <w:color w:val="auto"/>
          <w:sz w:val="32"/>
          <w:szCs w:val="32"/>
        </w:rPr>
        <w:t>0万元，</w:t>
      </w:r>
      <w:r>
        <w:rPr>
          <w:rStyle w:val="18"/>
          <w:rFonts w:hint="eastAsia" w:ascii="仿宋_GB2312" w:hAnsi="仿宋_GB2312" w:eastAsia="仿宋_GB2312" w:cs="仿宋_GB2312"/>
          <w:b w:val="0"/>
          <w:bCs/>
          <w:color w:val="auto"/>
          <w:sz w:val="32"/>
          <w:szCs w:val="32"/>
        </w:rPr>
        <w:t>完成预算</w:t>
      </w:r>
      <w:r>
        <w:rPr>
          <w:rStyle w:val="18"/>
          <w:rFonts w:hint="eastAsia" w:ascii="仿宋_GB2312" w:hAnsi="仿宋_GB2312" w:eastAsia="仿宋_GB2312" w:cs="仿宋_GB2312"/>
          <w:b w:val="0"/>
          <w:bCs/>
          <w:color w:val="auto"/>
          <w:sz w:val="32"/>
          <w:szCs w:val="32"/>
          <w:lang w:val="en-US" w:eastAsia="zh-CN"/>
        </w:rPr>
        <w:t>0</w:t>
      </w:r>
      <w:r>
        <w:rPr>
          <w:rStyle w:val="18"/>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color w:val="auto"/>
          <w:sz w:val="32"/>
          <w:szCs w:val="32"/>
        </w:rPr>
        <w:t>全年安排因公出国（境）团组0次，出国（境）0人。因公出国（境）支出决算与上年持平。</w:t>
      </w:r>
    </w:p>
    <w:p w14:paraId="250D5B2F">
      <w:pPr>
        <w:pageBreakBefore w:val="0"/>
        <w:kinsoku/>
        <w:wordWrap/>
        <w:overflowPunct/>
        <w:topLinePunct w:val="0"/>
        <w:bidi w:val="0"/>
        <w:spacing w:line="576" w:lineRule="exact"/>
        <w:ind w:firstLine="643" w:firstLineChars="20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2.公务用车购置及运行维护费支出</w:t>
      </w:r>
      <w:r>
        <w:rPr>
          <w:rFonts w:hint="eastAsia" w:ascii="仿宋_GB2312" w:hAnsi="仿宋_GB2312" w:eastAsia="仿宋_GB2312" w:cs="仿宋_GB2312"/>
          <w:color w:val="auto"/>
          <w:sz w:val="32"/>
          <w:szCs w:val="32"/>
          <w:lang w:val="en-US" w:eastAsia="zh-CN"/>
        </w:rPr>
        <w:t>12.07</w:t>
      </w:r>
      <w:r>
        <w:rPr>
          <w:rFonts w:hint="eastAsia" w:ascii="仿宋_GB2312" w:hAnsi="仿宋_GB2312" w:eastAsia="仿宋_GB2312" w:cs="仿宋_GB2312"/>
          <w:color w:val="auto"/>
          <w:sz w:val="32"/>
          <w:szCs w:val="32"/>
        </w:rPr>
        <w:t>万元,</w:t>
      </w:r>
      <w:r>
        <w:rPr>
          <w:rStyle w:val="18"/>
          <w:rFonts w:hint="eastAsia" w:ascii="仿宋_GB2312" w:hAnsi="仿宋_GB2312" w:eastAsia="仿宋_GB2312" w:cs="仿宋_GB2312"/>
          <w:b w:val="0"/>
          <w:bCs/>
          <w:color w:val="auto"/>
          <w:sz w:val="32"/>
          <w:szCs w:val="32"/>
        </w:rPr>
        <w:t>完成预算100%。</w:t>
      </w:r>
      <w:r>
        <w:rPr>
          <w:rFonts w:hint="eastAsia" w:ascii="仿宋_GB2312" w:hAnsi="仿宋_GB2312" w:eastAsia="仿宋_GB2312" w:cs="仿宋_GB2312"/>
          <w:color w:val="auto"/>
          <w:sz w:val="32"/>
          <w:szCs w:val="32"/>
          <w:lang w:val="en-US" w:eastAsia="zh-CN"/>
        </w:rPr>
        <w:t>较2022年增加5.97万元，增长97.7%，增加原因为单位车辆年限长，故障频发，仅维修费用高达6.25万元，支付2023年、2024年保险费用1.61万元，支付公务车运维费用0.33万元，支付换轮胎费用0.73万元，支付公务车日常出差油费、过路费3.15万元</w:t>
      </w:r>
      <w:r>
        <w:rPr>
          <w:rFonts w:hint="eastAsia" w:ascii="仿宋_GB2312" w:hAnsi="仿宋_GB2312" w:eastAsia="仿宋_GB2312" w:cs="仿宋_GB2312"/>
          <w:color w:val="auto"/>
          <w:sz w:val="32"/>
          <w:szCs w:val="32"/>
        </w:rPr>
        <w:t>。</w:t>
      </w:r>
    </w:p>
    <w:p w14:paraId="0D06CF03">
      <w:pPr>
        <w:pageBreakBefore w:val="0"/>
        <w:kinsoku/>
        <w:wordWrap/>
        <w:overflowPunct/>
        <w:topLinePunct w:val="0"/>
        <w:bidi w:val="0"/>
        <w:spacing w:line="576" w:lineRule="exact"/>
        <w:ind w:firstLine="640" w:firstLineChars="200"/>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b/>
          <w:color w:val="auto"/>
          <w:sz w:val="32"/>
          <w:szCs w:val="32"/>
        </w:rPr>
        <w:t>公务用车购置支出</w:t>
      </w:r>
      <w:r>
        <w:rPr>
          <w:rFonts w:hint="eastAsia" w:ascii="仿宋_GB2312" w:hAnsi="仿宋_GB2312" w:eastAsia="仿宋_GB2312" w:cs="仿宋_GB2312"/>
          <w:color w:val="auto"/>
          <w:sz w:val="32"/>
          <w:szCs w:val="32"/>
        </w:rPr>
        <w:t>0万元。全年按规定更新购置公务用车0辆，其中：轿车0辆、金额0万元，越野车0辆、金额0万元，载客汽车0辆、金额0万元。</w:t>
      </w:r>
    </w:p>
    <w:p w14:paraId="33811FD6">
      <w:pPr>
        <w:pageBreakBefore w:val="0"/>
        <w:kinsoku/>
        <w:wordWrap/>
        <w:overflowPunct/>
        <w:topLinePunct w:val="0"/>
        <w:bidi w:val="0"/>
        <w:spacing w:line="576"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公务用车运行维护费支出</w:t>
      </w:r>
      <w:r>
        <w:rPr>
          <w:rFonts w:hint="eastAsia" w:ascii="仿宋_GB2312" w:hAnsi="仿宋_GB2312" w:eastAsia="仿宋_GB2312" w:cs="仿宋_GB2312"/>
          <w:color w:val="auto"/>
          <w:sz w:val="32"/>
          <w:szCs w:val="32"/>
          <w:lang w:val="en-US" w:eastAsia="zh-CN"/>
        </w:rPr>
        <w:t>12.07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eastAsia="zh-CN"/>
        </w:rPr>
        <w:t>主要用于</w:t>
      </w:r>
      <w:r>
        <w:rPr>
          <w:rFonts w:hint="eastAsia" w:ascii="仿宋_GB2312" w:hAnsi="仿宋_GB2312" w:eastAsia="仿宋_GB2312" w:cs="仿宋_GB2312"/>
          <w:color w:val="000000"/>
          <w:sz w:val="32"/>
          <w:szCs w:val="32"/>
          <w:lang w:val="en-US" w:eastAsia="zh-CN"/>
        </w:rPr>
        <w:t>我局</w:t>
      </w:r>
      <w:r>
        <w:rPr>
          <w:rFonts w:hint="eastAsia" w:ascii="仿宋_GB2312" w:hAnsi="仿宋_GB2312" w:eastAsia="仿宋_GB2312" w:cs="仿宋_GB2312"/>
          <w:color w:val="000000"/>
          <w:sz w:val="32"/>
          <w:szCs w:val="32"/>
          <w:lang w:eastAsia="zh-CN"/>
        </w:rPr>
        <w:t>工作出差、开展脱贫攻坚工作下乡等所需的公务用车燃料费、维修费、过路过桥费、保险费等支出。</w:t>
      </w:r>
    </w:p>
    <w:p w14:paraId="42A814A2">
      <w:pPr>
        <w:pageBreakBefore w:val="0"/>
        <w:numPr>
          <w:ilvl w:val="0"/>
          <w:numId w:val="0"/>
        </w:numPr>
        <w:kinsoku/>
        <w:wordWrap/>
        <w:overflowPunct/>
        <w:topLinePunct w:val="0"/>
        <w:bidi w:val="0"/>
        <w:spacing w:line="576" w:lineRule="exact"/>
        <w:ind w:left="0" w:leftChars="0" w:firstLine="643" w:firstLineChars="200"/>
        <w:rPr>
          <w:rStyle w:val="18"/>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kern w:val="2"/>
          <w:sz w:val="32"/>
          <w:szCs w:val="32"/>
          <w:lang w:val="en-US" w:eastAsia="zh-CN" w:bidi="ar-SA"/>
        </w:rPr>
        <w:t>3.</w:t>
      </w:r>
      <w:r>
        <w:rPr>
          <w:rFonts w:hint="eastAsia" w:ascii="仿宋_GB2312" w:hAnsi="仿宋_GB2312" w:eastAsia="仿宋_GB2312" w:cs="仿宋_GB2312"/>
          <w:b/>
          <w:bCs w:val="0"/>
          <w:color w:val="auto"/>
          <w:sz w:val="32"/>
          <w:szCs w:val="32"/>
        </w:rPr>
        <w:t>公务接待费支出</w:t>
      </w:r>
      <w:r>
        <w:rPr>
          <w:rFonts w:hint="eastAsia" w:ascii="仿宋_GB2312" w:hAnsi="仿宋_GB2312" w:eastAsia="仿宋_GB2312" w:cs="仿宋_GB2312"/>
          <w:color w:val="auto"/>
          <w:sz w:val="32"/>
          <w:szCs w:val="32"/>
          <w:lang w:eastAsia="zh-CN"/>
        </w:rPr>
        <w:t>0.16</w:t>
      </w:r>
      <w:r>
        <w:rPr>
          <w:rFonts w:hint="eastAsia" w:ascii="仿宋_GB2312" w:hAnsi="仿宋_GB2312" w:eastAsia="仿宋_GB2312" w:cs="仿宋_GB2312"/>
          <w:color w:val="auto"/>
          <w:sz w:val="32"/>
          <w:szCs w:val="32"/>
        </w:rPr>
        <w:t>万元，</w:t>
      </w:r>
      <w:r>
        <w:rPr>
          <w:rStyle w:val="18"/>
          <w:rFonts w:hint="eastAsia" w:ascii="仿宋_GB2312" w:hAnsi="仿宋_GB2312" w:eastAsia="仿宋_GB2312" w:cs="仿宋_GB2312"/>
          <w:b w:val="0"/>
          <w:bCs/>
          <w:color w:val="auto"/>
          <w:sz w:val="32"/>
          <w:szCs w:val="32"/>
        </w:rPr>
        <w:t>完成预算100%</w:t>
      </w:r>
      <w:r>
        <w:rPr>
          <w:rStyle w:val="18"/>
          <w:rFonts w:hint="eastAsia" w:ascii="仿宋_GB2312" w:hAnsi="仿宋_GB2312" w:eastAsia="仿宋_GB2312" w:cs="仿宋_GB2312"/>
          <w:b w:val="0"/>
          <w:bCs/>
          <w:color w:val="auto"/>
          <w:sz w:val="32"/>
          <w:szCs w:val="32"/>
          <w:lang w:eastAsia="zh-CN"/>
        </w:rPr>
        <w:t>，</w:t>
      </w:r>
      <w:r>
        <w:rPr>
          <w:rStyle w:val="18"/>
          <w:rFonts w:hint="eastAsia" w:ascii="仿宋_GB2312" w:hAnsi="仿宋_GB2312" w:eastAsia="仿宋_GB2312" w:cs="仿宋_GB2312"/>
          <w:b w:val="0"/>
          <w:bCs/>
          <w:color w:val="auto"/>
          <w:sz w:val="32"/>
          <w:szCs w:val="32"/>
          <w:lang w:val="en-US" w:eastAsia="zh-CN"/>
        </w:rPr>
        <w:t>较2022年增加0.09万元，增加原因为接待2023年度对标创建专项工作联合验收检查组接待费</w:t>
      </w:r>
      <w:r>
        <w:rPr>
          <w:rStyle w:val="18"/>
          <w:rFonts w:hint="eastAsia" w:ascii="仿宋_GB2312" w:hAnsi="仿宋_GB2312" w:eastAsia="仿宋_GB2312" w:cs="仿宋_GB2312"/>
          <w:b w:val="0"/>
          <w:bCs/>
          <w:color w:val="auto"/>
          <w:sz w:val="32"/>
          <w:szCs w:val="32"/>
        </w:rPr>
        <w:t>。</w:t>
      </w:r>
    </w:p>
    <w:p w14:paraId="7FA03A2B">
      <w:pPr>
        <w:pStyle w:val="2"/>
        <w:keepNext w:val="0"/>
        <w:keepLines w:val="0"/>
        <w:pageBreakBefore w:val="0"/>
        <w:widowControl w:val="0"/>
        <w:kinsoku/>
        <w:wordWrap/>
        <w:overflowPunct/>
        <w:topLinePunct w:val="0"/>
        <w:autoSpaceDE/>
        <w:autoSpaceDN/>
        <w:bidi w:val="0"/>
        <w:adjustRightInd/>
        <w:snapToGrid w:val="0"/>
        <w:spacing w:line="576" w:lineRule="exact"/>
        <w:jc w:val="both"/>
        <w:textAlignment w:val="auto"/>
        <w:rPr>
          <w:rFonts w:hint="eastAsia" w:ascii="仿宋_GB2312" w:hAnsi="仿宋_GB2312" w:eastAsia="仿宋_GB2312" w:cs="仿宋_GB2312"/>
          <w:sz w:val="32"/>
          <w:szCs w:val="32"/>
          <w:lang w:val="en-US" w:eastAsia="zh-CN"/>
        </w:rPr>
      </w:pPr>
      <w:r>
        <w:rPr>
          <w:rStyle w:val="18"/>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b/>
          <w:sz w:val="32"/>
          <w:szCs w:val="32"/>
        </w:rPr>
        <w:t>国内公务接待支出</w:t>
      </w:r>
      <w:r>
        <w:rPr>
          <w:rFonts w:hint="eastAsia" w:ascii="仿宋_GB2312" w:hAnsi="仿宋_GB2312" w:eastAsia="仿宋_GB2312" w:cs="仿宋_GB2312"/>
          <w:b/>
          <w:sz w:val="32"/>
          <w:szCs w:val="32"/>
          <w:lang w:val="en-US" w:eastAsia="zh-CN"/>
        </w:rPr>
        <w:t>0.16万元，</w:t>
      </w:r>
      <w:r>
        <w:rPr>
          <w:rFonts w:hint="eastAsia" w:ascii="仿宋_GB2312" w:hAnsi="仿宋_GB2312" w:eastAsia="仿宋_GB2312" w:cs="仿宋_GB2312"/>
          <w:sz w:val="32"/>
          <w:szCs w:val="32"/>
          <w:lang w:val="en-US" w:eastAsia="zh-CN"/>
        </w:rPr>
        <w:t>主要用于接待上级部门及各县执行公务、开展业务活动、调研等开支的餐费</w:t>
      </w:r>
      <w:r>
        <w:rPr>
          <w:rFonts w:hint="eastAsia" w:ascii="仿宋_GB2312" w:hAnsi="仿宋_GB2312" w:eastAsia="仿宋_GB2312" w:cs="仿宋_GB2312"/>
          <w:sz w:val="32"/>
          <w:szCs w:val="32"/>
        </w:rPr>
        <w:t>。国内公务接待</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具体内容为：</w:t>
      </w:r>
      <w:r>
        <w:rPr>
          <w:rStyle w:val="18"/>
          <w:rFonts w:hint="eastAsia" w:ascii="仿宋_GB2312" w:hAnsi="仿宋_GB2312" w:eastAsia="仿宋_GB2312" w:cs="仿宋_GB2312"/>
          <w:b w:val="0"/>
          <w:bCs/>
          <w:color w:val="auto"/>
          <w:sz w:val="32"/>
          <w:szCs w:val="32"/>
          <w:lang w:val="en-US" w:eastAsia="zh-CN"/>
        </w:rPr>
        <w:t>2023年度对标创建专项工作联合验收检查，通过在检查</w:t>
      </w:r>
      <w:r>
        <w:rPr>
          <w:rFonts w:hint="eastAsia" w:ascii="仿宋_GB2312" w:hAnsi="仿宋_GB2312" w:eastAsia="仿宋_GB2312" w:cs="仿宋_GB2312"/>
          <w:sz w:val="32"/>
          <w:szCs w:val="32"/>
        </w:rPr>
        <w:t>过程中</w:t>
      </w:r>
      <w:r>
        <w:rPr>
          <w:rFonts w:hint="eastAsia" w:ascii="仿宋_GB2312" w:hAnsi="仿宋_GB2312" w:eastAsia="仿宋_GB2312" w:cs="仿宋_GB2312"/>
          <w:sz w:val="32"/>
          <w:szCs w:val="32"/>
          <w:lang w:val="en-US" w:eastAsia="zh-CN"/>
        </w:rPr>
        <w:t>的指导、并</w:t>
      </w:r>
      <w:r>
        <w:rPr>
          <w:rFonts w:hint="eastAsia" w:ascii="仿宋_GB2312" w:hAnsi="仿宋_GB2312" w:eastAsia="仿宋_GB2312" w:cs="仿宋_GB2312"/>
          <w:sz w:val="32"/>
          <w:szCs w:val="32"/>
        </w:rPr>
        <w:t>相互交流相关工作经验取长补短，学习了其他县先进工作</w:t>
      </w:r>
      <w:r>
        <w:rPr>
          <w:rFonts w:hint="eastAsia" w:ascii="仿宋_GB2312" w:hAnsi="仿宋_GB2312" w:eastAsia="仿宋_GB2312" w:cs="仿宋_GB2312"/>
          <w:sz w:val="32"/>
          <w:szCs w:val="32"/>
          <w:lang w:val="en-US" w:eastAsia="zh-CN"/>
        </w:rPr>
        <w:t>经验</w:t>
      </w:r>
      <w:r>
        <w:rPr>
          <w:rFonts w:hint="eastAsia" w:ascii="仿宋_GB2312" w:hAnsi="仿宋_GB2312" w:eastAsia="仿宋_GB2312" w:cs="仿宋_GB2312"/>
          <w:sz w:val="32"/>
          <w:szCs w:val="32"/>
        </w:rPr>
        <w:t>，为我县进一步做好</w:t>
      </w:r>
      <w:r>
        <w:rPr>
          <w:rFonts w:hint="eastAsia" w:ascii="仿宋_GB2312" w:hAnsi="仿宋_GB2312" w:eastAsia="仿宋_GB2312" w:cs="仿宋_GB2312"/>
          <w:sz w:val="32"/>
          <w:szCs w:val="32"/>
          <w:lang w:val="en-US" w:eastAsia="zh-CN"/>
        </w:rPr>
        <w:t>政务服务</w:t>
      </w:r>
      <w:r>
        <w:rPr>
          <w:rFonts w:hint="eastAsia" w:ascii="仿宋_GB2312" w:hAnsi="仿宋_GB2312" w:eastAsia="仿宋_GB2312" w:cs="仿宋_GB2312"/>
          <w:sz w:val="32"/>
          <w:szCs w:val="32"/>
        </w:rPr>
        <w:t>相关工作奠定了坚实的基础。</w:t>
      </w:r>
    </w:p>
    <w:p w14:paraId="6038FF1F">
      <w:pPr>
        <w:pageBreakBefore w:val="0"/>
        <w:numPr>
          <w:ilvl w:val="0"/>
          <w:numId w:val="0"/>
        </w:numPr>
        <w:kinsoku/>
        <w:wordWrap/>
        <w:overflowPunct/>
        <w:topLinePunct w:val="0"/>
        <w:bidi w:val="0"/>
        <w:spacing w:line="576" w:lineRule="exact"/>
        <w:ind w:leftChars="200" w:firstLine="321"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外事接待支出</w:t>
      </w:r>
      <w:r>
        <w:rPr>
          <w:rFonts w:hint="eastAsia" w:ascii="仿宋_GB2312" w:hAnsi="仿宋_GB2312" w:eastAsia="仿宋_GB2312" w:cs="仿宋_GB2312"/>
          <w:color w:val="auto"/>
          <w:sz w:val="32"/>
          <w:szCs w:val="32"/>
        </w:rPr>
        <w:t>0万元，外事接待0批次，0人，共计支出0万元。</w:t>
      </w:r>
      <w:bookmarkStart w:id="74" w:name="_Toc15396610"/>
      <w:bookmarkStart w:id="75" w:name="_Toc15377218"/>
    </w:p>
    <w:p w14:paraId="068A3A24">
      <w:pPr>
        <w:pageBreakBefore w:val="0"/>
        <w:kinsoku/>
        <w:wordWrap/>
        <w:overflowPunct/>
        <w:topLinePunct w:val="0"/>
        <w:bidi w:val="0"/>
        <w:spacing w:line="576" w:lineRule="exact"/>
        <w:ind w:firstLine="640" w:firstLineChars="200"/>
        <w:outlineLvl w:val="1"/>
        <w:rPr>
          <w:rStyle w:val="22"/>
          <w:rFonts w:hint="eastAsia" w:ascii="黑体" w:hAnsi="黑体" w:eastAsia="黑体" w:cs="黑体"/>
          <w:color w:val="auto"/>
          <w:sz w:val="32"/>
          <w:szCs w:val="32"/>
        </w:rPr>
      </w:pPr>
      <w:bookmarkStart w:id="76" w:name="_Toc14244"/>
      <w:r>
        <w:rPr>
          <w:rFonts w:hint="eastAsia" w:ascii="黑体" w:hAnsi="黑体" w:eastAsia="黑体" w:cs="黑体"/>
          <w:color w:val="auto"/>
          <w:sz w:val="32"/>
          <w:szCs w:val="32"/>
        </w:rPr>
        <w:t>八、</w:t>
      </w:r>
      <w:r>
        <w:rPr>
          <w:rStyle w:val="22"/>
          <w:rFonts w:hint="eastAsia" w:ascii="黑体" w:hAnsi="黑体" w:eastAsia="黑体" w:cs="黑体"/>
          <w:b w:val="0"/>
          <w:color w:val="auto"/>
          <w:sz w:val="32"/>
          <w:szCs w:val="32"/>
        </w:rPr>
        <w:t>政府性基金预算支出决算情况说明</w:t>
      </w:r>
      <w:bookmarkEnd w:id="74"/>
      <w:bookmarkEnd w:id="75"/>
      <w:bookmarkEnd w:id="76"/>
    </w:p>
    <w:p w14:paraId="4BC35E80">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年政府性基金预算拨款支出</w:t>
      </w:r>
      <w:r>
        <w:rPr>
          <w:rFonts w:hint="eastAsia" w:ascii="仿宋_GB2312" w:hAnsi="仿宋_GB2312" w:eastAsia="仿宋_GB2312" w:cs="仿宋_GB2312"/>
          <w:color w:val="auto"/>
          <w:sz w:val="32"/>
          <w:szCs w:val="32"/>
          <w:lang w:val="en-US" w:eastAsia="zh-CN"/>
        </w:rPr>
        <w:t>0.00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14:paraId="0567E434">
      <w:pPr>
        <w:pageBreakBefore w:val="0"/>
        <w:numPr>
          <w:ilvl w:val="0"/>
          <w:numId w:val="0"/>
        </w:numPr>
        <w:kinsoku/>
        <w:wordWrap/>
        <w:overflowPunct/>
        <w:topLinePunct w:val="0"/>
        <w:bidi w:val="0"/>
        <w:spacing w:line="576" w:lineRule="exact"/>
        <w:ind w:firstLine="640" w:firstLineChars="200"/>
        <w:outlineLvl w:val="1"/>
        <w:rPr>
          <w:rStyle w:val="22"/>
          <w:rFonts w:hint="eastAsia" w:ascii="黑体" w:hAnsi="黑体" w:eastAsia="黑体" w:cs="黑体"/>
          <w:b w:val="0"/>
          <w:color w:val="auto"/>
          <w:sz w:val="32"/>
          <w:szCs w:val="32"/>
        </w:rPr>
      </w:pPr>
      <w:bookmarkStart w:id="77" w:name="_Toc15396611"/>
      <w:bookmarkStart w:id="78" w:name="_Toc29334"/>
      <w:bookmarkStart w:id="79" w:name="_Toc15377219"/>
      <w:r>
        <w:rPr>
          <w:rStyle w:val="22"/>
          <w:rFonts w:hint="eastAsia" w:ascii="黑体" w:hAnsi="黑体" w:eastAsia="黑体" w:cs="黑体"/>
          <w:b w:val="0"/>
          <w:color w:val="auto"/>
          <w:sz w:val="32"/>
          <w:szCs w:val="32"/>
          <w:lang w:val="en-US" w:eastAsia="zh-CN"/>
        </w:rPr>
        <w:t>九、</w:t>
      </w:r>
      <w:r>
        <w:rPr>
          <w:rStyle w:val="22"/>
          <w:rFonts w:hint="eastAsia" w:ascii="黑体" w:hAnsi="黑体" w:eastAsia="黑体" w:cs="黑体"/>
          <w:b w:val="0"/>
          <w:color w:val="auto"/>
          <w:sz w:val="32"/>
          <w:szCs w:val="32"/>
        </w:rPr>
        <w:t>国有资本经营预算支出决算情况说明</w:t>
      </w:r>
      <w:bookmarkEnd w:id="77"/>
      <w:bookmarkEnd w:id="78"/>
      <w:bookmarkEnd w:id="79"/>
    </w:p>
    <w:p w14:paraId="3E12EDD1">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年国有资本经营预算拨款支出0万元。</w:t>
      </w:r>
    </w:p>
    <w:p w14:paraId="6AA27118">
      <w:pPr>
        <w:pageBreakBefore w:val="0"/>
        <w:numPr>
          <w:ilvl w:val="0"/>
          <w:numId w:val="0"/>
        </w:numPr>
        <w:kinsoku/>
        <w:wordWrap/>
        <w:overflowPunct/>
        <w:topLinePunct w:val="0"/>
        <w:bidi w:val="0"/>
        <w:spacing w:line="576" w:lineRule="exact"/>
        <w:ind w:leftChars="0" w:firstLine="640" w:firstLineChars="200"/>
        <w:outlineLvl w:val="1"/>
        <w:rPr>
          <w:rStyle w:val="29"/>
          <w:rFonts w:hint="eastAsia" w:ascii="仿宋_GB2312" w:hAnsi="仿宋_GB2312" w:eastAsia="仿宋_GB2312" w:cs="仿宋_GB2312"/>
          <w:b w:val="0"/>
          <w:sz w:val="32"/>
          <w:szCs w:val="32"/>
        </w:rPr>
      </w:pPr>
      <w:r>
        <w:rPr>
          <w:rStyle w:val="29"/>
          <w:rFonts w:hint="eastAsia" w:ascii="黑体" w:hAnsi="黑体" w:eastAsia="黑体" w:cs="黑体"/>
          <w:b w:val="0"/>
          <w:sz w:val="32"/>
          <w:szCs w:val="32"/>
          <w:lang w:val="en-US"/>
        </w:rPr>
        <w:t>十、</w:t>
      </w:r>
      <w:r>
        <w:rPr>
          <w:rStyle w:val="29"/>
          <w:rFonts w:hint="eastAsia" w:ascii="黑体" w:hAnsi="黑体" w:eastAsia="黑体" w:cs="黑体"/>
          <w:b w:val="0"/>
          <w:sz w:val="32"/>
          <w:szCs w:val="32"/>
        </w:rPr>
        <w:t>其他重要事项的情况说明</w:t>
      </w:r>
    </w:p>
    <w:p w14:paraId="301D4132">
      <w:pPr>
        <w:pageBreakBefore w:val="0"/>
        <w:kinsoku/>
        <w:wordWrap/>
        <w:overflowPunct/>
        <w:topLinePunct w:val="0"/>
        <w:bidi w:val="0"/>
        <w:spacing w:line="576" w:lineRule="exact"/>
        <w:ind w:firstLine="643" w:firstLineChars="200"/>
        <w:outlineLvl w:val="2"/>
        <w:rPr>
          <w:rFonts w:hint="eastAsia" w:ascii="仿宋_GB2312" w:hAnsi="仿宋_GB2312" w:eastAsia="仿宋_GB2312" w:cs="仿宋_GB2312"/>
          <w:sz w:val="32"/>
          <w:szCs w:val="32"/>
        </w:rPr>
      </w:pPr>
      <w:r>
        <w:rPr>
          <w:rFonts w:hint="eastAsia" w:ascii="楷体" w:hAnsi="楷体" w:eastAsia="楷体" w:cs="楷体"/>
          <w:b/>
          <w:sz w:val="32"/>
          <w:szCs w:val="32"/>
        </w:rPr>
        <w:t>（一）机关运行经费支出情况</w:t>
      </w:r>
    </w:p>
    <w:p w14:paraId="5DA41CB7">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红原县行政审批和政务服务管理局</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sz w:val="32"/>
          <w:szCs w:val="32"/>
          <w:lang w:val="en-US" w:eastAsia="zh-CN"/>
        </w:rPr>
        <w:t>11.15</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年增加</w:t>
      </w:r>
      <w:r>
        <w:rPr>
          <w:rFonts w:hint="eastAsia" w:ascii="仿宋_GB2312" w:hAnsi="仿宋_GB2312" w:eastAsia="仿宋_GB2312" w:cs="仿宋_GB2312"/>
          <w:sz w:val="32"/>
          <w:szCs w:val="32"/>
          <w:lang w:val="en-US" w:eastAsia="zh-CN"/>
        </w:rPr>
        <w:t>0.87</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8.51</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工会经费纳入决算编报</w:t>
      </w:r>
      <w:r>
        <w:rPr>
          <w:rFonts w:hint="eastAsia" w:ascii="仿宋_GB2312" w:hAnsi="仿宋_GB2312" w:eastAsia="仿宋_GB2312" w:cs="仿宋_GB2312"/>
          <w:sz w:val="32"/>
          <w:szCs w:val="32"/>
        </w:rPr>
        <w:t>。</w:t>
      </w:r>
    </w:p>
    <w:p w14:paraId="435C1E1B">
      <w:pPr>
        <w:pageBreakBefore w:val="0"/>
        <w:kinsoku/>
        <w:wordWrap/>
        <w:overflowPunct/>
        <w:topLinePunct w:val="0"/>
        <w:bidi w:val="0"/>
        <w:spacing w:line="576" w:lineRule="exact"/>
        <w:ind w:firstLine="643" w:firstLineChars="200"/>
        <w:outlineLvl w:val="2"/>
        <w:rPr>
          <w:rFonts w:hint="eastAsia" w:ascii="楷体" w:hAnsi="楷体" w:eastAsia="楷体" w:cs="楷体"/>
          <w:b/>
          <w:sz w:val="32"/>
          <w:szCs w:val="32"/>
        </w:rPr>
      </w:pPr>
      <w:r>
        <w:rPr>
          <w:rFonts w:hint="eastAsia" w:ascii="楷体" w:hAnsi="楷体" w:eastAsia="楷体" w:cs="楷体"/>
          <w:b/>
          <w:sz w:val="32"/>
          <w:szCs w:val="32"/>
        </w:rPr>
        <w:t>（二）政府采购支出情况</w:t>
      </w:r>
    </w:p>
    <w:p w14:paraId="7222DF5E">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红原县行政审批和政务服务管理局</w:t>
      </w:r>
      <w:r>
        <w:rPr>
          <w:rFonts w:hint="eastAsia" w:ascii="仿宋_GB2312" w:hAnsi="仿宋_GB2312" w:eastAsia="仿宋_GB2312" w:cs="仿宋_GB2312"/>
          <w:sz w:val="32"/>
          <w:szCs w:val="32"/>
        </w:rPr>
        <w:t>政府采购支出总额</w:t>
      </w:r>
      <w:r>
        <w:rPr>
          <w:rFonts w:hint="eastAsia" w:ascii="仿宋_GB2312" w:hAnsi="仿宋_GB2312" w:eastAsia="仿宋_GB2312" w:cs="仿宋_GB2312"/>
          <w:sz w:val="32"/>
          <w:szCs w:val="32"/>
          <w:lang w:val="en-US" w:eastAsia="zh-CN"/>
        </w:rPr>
        <w:t>275.53</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255.85</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27.55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全部</w:t>
      </w:r>
      <w:r>
        <w:rPr>
          <w:rFonts w:hint="eastAsia" w:ascii="仿宋_GB2312" w:hAnsi="仿宋_GB2312" w:eastAsia="仿宋_GB2312" w:cs="仿宋_GB2312"/>
          <w:sz w:val="32"/>
          <w:szCs w:val="32"/>
          <w:lang w:val="en-US" w:eastAsia="zh-CN"/>
        </w:rPr>
        <w:t>红原县政务服务中心建设项目的监理、图审、装饰装修设计采购、信息化建设及设备采购等及</w:t>
      </w:r>
      <w:r>
        <w:rPr>
          <w:rFonts w:hint="eastAsia" w:ascii="仿宋_GB2312" w:hAnsi="仿宋_GB2312" w:eastAsia="仿宋_GB2312" w:cs="仿宋_GB2312"/>
          <w:color w:val="auto"/>
          <w:sz w:val="32"/>
          <w:szCs w:val="32"/>
          <w:highlight w:val="none"/>
          <w:lang w:val="en-US" w:eastAsia="zh-CN"/>
        </w:rPr>
        <w:t>天府通办APP红原分站点“红e办”建设项目</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。授予中小企业合同金额</w:t>
      </w:r>
      <w:r>
        <w:rPr>
          <w:rFonts w:hint="eastAsia" w:ascii="仿宋_GB2312" w:hAnsi="仿宋_GB2312" w:eastAsia="仿宋_GB2312" w:cs="仿宋_GB2312"/>
          <w:sz w:val="32"/>
          <w:szCs w:val="32"/>
          <w:lang w:val="en-US" w:eastAsia="zh-CN"/>
        </w:rPr>
        <w:t>275.53</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275.33</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158591D5">
      <w:pPr>
        <w:pageBreakBefore w:val="0"/>
        <w:kinsoku/>
        <w:wordWrap/>
        <w:overflowPunct/>
        <w:topLinePunct w:val="0"/>
        <w:bidi w:val="0"/>
        <w:spacing w:line="576" w:lineRule="exact"/>
        <w:ind w:firstLine="643" w:firstLineChars="200"/>
        <w:outlineLvl w:val="2"/>
        <w:rPr>
          <w:rFonts w:hint="eastAsia" w:ascii="楷体" w:hAnsi="楷体" w:eastAsia="楷体" w:cs="楷体"/>
          <w:b/>
          <w:sz w:val="32"/>
          <w:szCs w:val="32"/>
        </w:rPr>
      </w:pPr>
      <w:r>
        <w:rPr>
          <w:rFonts w:hint="eastAsia" w:ascii="楷体" w:hAnsi="楷体" w:eastAsia="楷体" w:cs="楷体"/>
          <w:b/>
          <w:sz w:val="32"/>
          <w:szCs w:val="32"/>
          <w:lang w:eastAsia="zh-CN"/>
        </w:rPr>
        <w:t>（</w:t>
      </w:r>
      <w:r>
        <w:rPr>
          <w:rFonts w:hint="eastAsia" w:ascii="楷体" w:hAnsi="楷体" w:eastAsia="楷体" w:cs="楷体"/>
          <w:b/>
          <w:sz w:val="32"/>
          <w:szCs w:val="32"/>
          <w:lang w:val="en-US" w:eastAsia="zh-CN"/>
        </w:rPr>
        <w:t>三</w:t>
      </w:r>
      <w:r>
        <w:rPr>
          <w:rFonts w:hint="eastAsia" w:ascii="楷体" w:hAnsi="楷体" w:eastAsia="楷体" w:cs="楷体"/>
          <w:b/>
          <w:sz w:val="32"/>
          <w:szCs w:val="32"/>
          <w:lang w:eastAsia="zh-CN"/>
        </w:rPr>
        <w:t>）</w:t>
      </w:r>
      <w:r>
        <w:rPr>
          <w:rFonts w:hint="eastAsia" w:ascii="楷体" w:hAnsi="楷体" w:eastAsia="楷体" w:cs="楷体"/>
          <w:b/>
          <w:sz w:val="32"/>
          <w:szCs w:val="32"/>
        </w:rPr>
        <w:t>国有资产占有使用情况</w:t>
      </w:r>
    </w:p>
    <w:p w14:paraId="3327EE26">
      <w:pPr>
        <w:pageBreakBefore w:val="0"/>
        <w:numPr>
          <w:ilvl w:val="0"/>
          <w:numId w:val="0"/>
        </w:numPr>
        <w:kinsoku/>
        <w:wordWrap/>
        <w:overflowPunct/>
        <w:topLinePunct w:val="0"/>
        <w:autoSpaceDE w:val="0"/>
        <w:autoSpaceDN w:val="0"/>
        <w:bidi w:val="0"/>
        <w:adjustRightInd w:val="0"/>
        <w:spacing w:line="576" w:lineRule="exact"/>
        <w:ind w:firstLine="640" w:firstLineChars="200"/>
        <w:jc w:val="left"/>
        <w:outlineLvl w:val="2"/>
        <w:rPr>
          <w:rStyle w:val="18"/>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我单位</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，全部为应急保障用车</w:t>
      </w:r>
      <w:r>
        <w:rPr>
          <w:rFonts w:hint="eastAsia" w:ascii="仿宋_GB2312" w:hAnsi="仿宋_GB2312" w:eastAsia="仿宋_GB2312" w:cs="仿宋_GB2312"/>
          <w:sz w:val="32"/>
          <w:szCs w:val="32"/>
        </w:rPr>
        <w:t>。单价100万元以上专用设备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14:paraId="0521782D">
      <w:pPr>
        <w:pageBreakBefore w:val="0"/>
        <w:kinsoku/>
        <w:wordWrap/>
        <w:overflowPunct/>
        <w:topLinePunct w:val="0"/>
        <w:bidi w:val="0"/>
        <w:spacing w:line="576" w:lineRule="exact"/>
        <w:ind w:firstLine="643" w:firstLineChars="200"/>
        <w:outlineLvl w:val="2"/>
        <w:rPr>
          <w:rFonts w:hint="eastAsia" w:ascii="楷体" w:hAnsi="楷体" w:eastAsia="楷体" w:cs="楷体"/>
          <w:b/>
          <w:sz w:val="32"/>
          <w:szCs w:val="32"/>
          <w:lang w:val="en-US" w:eastAsia="zh-CN"/>
        </w:rPr>
      </w:pPr>
      <w:bookmarkStart w:id="80" w:name="_Toc15299"/>
      <w:r>
        <w:rPr>
          <w:rFonts w:hint="eastAsia" w:ascii="楷体" w:hAnsi="楷体" w:eastAsia="楷体" w:cs="楷体"/>
          <w:b/>
          <w:sz w:val="32"/>
          <w:szCs w:val="32"/>
          <w:lang w:val="en-US" w:eastAsia="zh-CN"/>
        </w:rPr>
        <w:t>（四）预算绩效管理情况说明</w:t>
      </w:r>
    </w:p>
    <w:bookmarkEnd w:id="80"/>
    <w:p w14:paraId="17B4BD3E">
      <w:pPr>
        <w:pageBreakBefore w:val="0"/>
        <w:numPr>
          <w:ilvl w:val="0"/>
          <w:numId w:val="0"/>
        </w:numPr>
        <w:kinsoku/>
        <w:wordWrap/>
        <w:overflowPunct/>
        <w:topLinePunct w:val="0"/>
        <w:bidi w:val="0"/>
        <w:spacing w:line="576"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rPr>
        <w:t>预算绩效管理工作开展情况</w:t>
      </w:r>
    </w:p>
    <w:p w14:paraId="38CB09D9">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根据预算绩效管理要求，本部门（单位）在年初预算编制阶段，组织对</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个项目开展了绩效目标完成情况梳理填报。</w:t>
      </w:r>
    </w:p>
    <w:p w14:paraId="384F46EC">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color w:val="auto"/>
          <w:sz w:val="32"/>
          <w:szCs w:val="32"/>
        </w:rPr>
        <w:t>本部门按要求对</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年部门整体支出开展绩效自评，从评价情况来看：</w:t>
      </w:r>
      <w:r>
        <w:rPr>
          <w:rFonts w:hint="eastAsia" w:ascii="仿宋_GB2312" w:hAnsi="仿宋_GB2312" w:eastAsia="仿宋_GB2312" w:cs="仿宋_GB2312"/>
          <w:color w:val="auto"/>
          <w:kern w:val="0"/>
          <w:sz w:val="32"/>
          <w:szCs w:val="32"/>
        </w:rPr>
        <w:t>我局整体支出绩效目标良好，较好完成今年预定工作目标，</w:t>
      </w:r>
      <w:r>
        <w:rPr>
          <w:rFonts w:hint="eastAsia" w:ascii="仿宋_GB2312" w:hAnsi="仿宋_GB2312" w:eastAsia="仿宋_GB2312" w:cs="仿宋_GB2312"/>
          <w:sz w:val="32"/>
          <w:szCs w:val="32"/>
          <w:lang w:val="en-US" w:eastAsia="zh-CN"/>
        </w:rPr>
        <w:t>严格按照本单位制定的目标绩效管理制度来开展绩效管理工作，项目资金为专项经费的，全部用于专项工作</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14:paraId="7BDB2011">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项目绩效目标完成情况</w:t>
      </w:r>
    </w:p>
    <w:p w14:paraId="333540FE">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本部门在20</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年度部门决算中反映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红原到乡镇便民服务专项规划编制项目及天府通办APP红原分站“红e办”建设项目及专项办公费3</w:t>
      </w:r>
      <w:r>
        <w:rPr>
          <w:rFonts w:hint="eastAsia" w:ascii="仿宋_GB2312" w:hAnsi="仿宋_GB2312" w:eastAsia="仿宋_GB2312" w:cs="仿宋_GB2312"/>
          <w:color w:val="auto"/>
          <w:sz w:val="32"/>
          <w:szCs w:val="32"/>
          <w:highlight w:val="none"/>
        </w:rPr>
        <w:t>个项目绩效目标实际完成情况。</w:t>
      </w:r>
    </w:p>
    <w:p w14:paraId="6ADF6C70">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highlight w:val="none"/>
        </w:rPr>
        <w:t>（1）</w:t>
      </w:r>
      <w:r>
        <w:rPr>
          <w:rFonts w:hint="eastAsia" w:ascii="仿宋_GB2312" w:hAnsi="仿宋_GB2312" w:eastAsia="仿宋_GB2312" w:cs="仿宋_GB2312"/>
          <w:b/>
          <w:bCs/>
          <w:color w:val="auto"/>
          <w:sz w:val="32"/>
          <w:szCs w:val="32"/>
          <w:highlight w:val="none"/>
          <w:lang w:val="en-US" w:eastAsia="zh-CN"/>
        </w:rPr>
        <w:t>红原县乡镇便民服务专项规划编制项目</w:t>
      </w:r>
      <w:r>
        <w:rPr>
          <w:rFonts w:hint="eastAsia" w:ascii="仿宋_GB2312" w:hAnsi="仿宋_GB2312" w:eastAsia="仿宋_GB2312" w:cs="仿宋_GB2312"/>
          <w:b/>
          <w:bCs/>
          <w:color w:val="auto"/>
          <w:sz w:val="32"/>
          <w:szCs w:val="32"/>
          <w:highlight w:val="none"/>
        </w:rPr>
        <w:t>绩效目</w:t>
      </w:r>
      <w:r>
        <w:rPr>
          <w:rFonts w:hint="eastAsia" w:ascii="仿宋_GB2312" w:hAnsi="仿宋_GB2312" w:eastAsia="仿宋_GB2312" w:cs="仿宋_GB2312"/>
          <w:b/>
          <w:bCs/>
          <w:color w:val="auto"/>
          <w:sz w:val="32"/>
          <w:szCs w:val="32"/>
        </w:rPr>
        <w:t>标完成情况</w:t>
      </w:r>
      <w:r>
        <w:rPr>
          <w:rFonts w:hint="eastAsia" w:ascii="仿宋_GB2312" w:hAnsi="仿宋_GB2312" w:eastAsia="仿宋_GB2312" w:cs="仿宋_GB2312"/>
          <w:b/>
          <w:bCs/>
          <w:sz w:val="32"/>
          <w:szCs w:val="32"/>
        </w:rPr>
        <w:t>综述。</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方便群众 办事、工作人员办公设置便服务大厅功能分区。各便民服务中心结合场地实际，规划设置日常办公区、综合服务区、办事办候区、自助服务区、自助服务区、咨询导引区、信息公开区、特色展示区等功能区域。加快“放管服”向基延伸，推动政务服务事项跨区通办。</w:t>
      </w:r>
    </w:p>
    <w:p w14:paraId="26CC0428">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color w:val="auto"/>
          <w:sz w:val="32"/>
          <w:szCs w:val="32"/>
          <w:highlight w:val="none"/>
          <w:lang w:val="en-US" w:eastAsia="zh-CN"/>
        </w:rPr>
        <w:t>天府通办APP红原分站点“红e办”建设项目</w:t>
      </w:r>
      <w:r>
        <w:rPr>
          <w:rFonts w:hint="eastAsia" w:ascii="仿宋_GB2312" w:hAnsi="仿宋_GB2312" w:eastAsia="仿宋_GB2312" w:cs="仿宋_GB2312"/>
          <w:b/>
          <w:bCs/>
          <w:sz w:val="32"/>
          <w:szCs w:val="32"/>
        </w:rPr>
        <w:t>绩效目标完成情况综述。</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采购合同价76.8万元，</w:t>
      </w:r>
      <w:r>
        <w:rPr>
          <w:rFonts w:hint="eastAsia" w:ascii="仿宋_GB2312" w:hAnsi="仿宋_GB2312" w:eastAsia="仿宋_GB2312" w:cs="仿宋_GB2312"/>
          <w:sz w:val="32"/>
          <w:szCs w:val="32"/>
        </w:rPr>
        <w:t>执行数为</w:t>
      </w:r>
      <w:r>
        <w:rPr>
          <w:rFonts w:hint="eastAsia" w:ascii="仿宋_GB2312" w:hAnsi="仿宋_GB2312" w:eastAsia="仿宋_GB2312" w:cs="仿宋_GB2312"/>
          <w:sz w:val="32"/>
          <w:szCs w:val="32"/>
          <w:lang w:val="en-US" w:eastAsia="zh-CN"/>
        </w:rPr>
        <w:t>65.28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81.6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的实施以创优营商环境为目标，着力为全县百姓提供更为优质的政务服务，为全县乡村振兴夯实基础并提供重要保障。主要提供总渠道和总入口，充分依托省、州分站点支撑能力，全面整合全县各自政务服务资源，提供统一线上咨询、预约、预审及评价服务。</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预算编制还不够精准，下一步将根据上一年支出执行情况结合实际细化预算编制，提高预算编制的精准性。</w:t>
      </w:r>
    </w:p>
    <w:p w14:paraId="223CC754">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专项办公费</w:t>
      </w:r>
      <w:r>
        <w:rPr>
          <w:rFonts w:hint="eastAsia" w:ascii="仿宋_GB2312" w:hAnsi="仿宋_GB2312" w:eastAsia="仿宋_GB2312" w:cs="仿宋_GB2312"/>
          <w:b/>
          <w:bCs/>
          <w:sz w:val="32"/>
          <w:szCs w:val="32"/>
        </w:rPr>
        <w:t>项目绩效目标完成情况综述。</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47.0125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47.012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为政务大厅正常运转人员及专项办公费。</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预算编制经济科目不够精准，后续将提高相关业务人员业务素养，加强学习，争取预算根据精准细化。</w:t>
      </w:r>
    </w:p>
    <w:p w14:paraId="43BD00A5">
      <w:pPr>
        <w:pageBreakBefore w:val="0"/>
        <w:numPr>
          <w:ilvl w:val="0"/>
          <w:numId w:val="0"/>
        </w:numPr>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rPr>
      </w:pPr>
    </w:p>
    <w:tbl>
      <w:tblPr>
        <w:tblStyle w:val="16"/>
        <w:tblW w:w="9525" w:type="dxa"/>
        <w:tblInd w:w="0" w:type="dxa"/>
        <w:tblLayout w:type="fixed"/>
        <w:tblCellMar>
          <w:top w:w="0" w:type="dxa"/>
          <w:left w:w="0" w:type="dxa"/>
          <w:bottom w:w="0" w:type="dxa"/>
          <w:right w:w="0" w:type="dxa"/>
        </w:tblCellMar>
      </w:tblPr>
      <w:tblGrid>
        <w:gridCol w:w="531"/>
        <w:gridCol w:w="751"/>
        <w:gridCol w:w="554"/>
        <w:gridCol w:w="690"/>
        <w:gridCol w:w="1720"/>
        <w:gridCol w:w="1741"/>
        <w:gridCol w:w="1804"/>
        <w:gridCol w:w="1734"/>
      </w:tblGrid>
      <w:tr w14:paraId="205EA60B">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noWrap w:val="0"/>
            <w:tcMar>
              <w:top w:w="15" w:type="dxa"/>
              <w:left w:w="15" w:type="dxa"/>
              <w:right w:w="15" w:type="dxa"/>
            </w:tcMar>
            <w:vAlign w:val="center"/>
          </w:tcPr>
          <w:p w14:paraId="59EB7E95">
            <w:pPr>
              <w:pageBreakBefore w:val="0"/>
              <w:widowControl/>
              <w:kinsoku/>
              <w:wordWrap/>
              <w:overflowPunct/>
              <w:topLinePunct w:val="0"/>
              <w:bidi w:val="0"/>
              <w:spacing w:line="576" w:lineRule="exact"/>
              <w:ind w:firstLine="640" w:firstLineChars="200"/>
              <w:jc w:val="center"/>
              <w:textAlignment w:val="center"/>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项目支出绩效目标完成情况表</w:t>
            </w:r>
          </w:p>
          <w:p w14:paraId="0A384835">
            <w:pPr>
              <w:pStyle w:val="2"/>
              <w:pageBreakBefore w:val="0"/>
              <w:kinsoku/>
              <w:wordWrap/>
              <w:overflowPunct/>
              <w:topLinePunct w:val="0"/>
              <w:bidi w:val="0"/>
              <w:spacing w:line="576"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color w:val="000000"/>
                <w:kern w:val="0"/>
                <w:sz w:val="32"/>
                <w:szCs w:val="32"/>
                <w:lang w:bidi="ar"/>
              </w:rPr>
              <w:t>(20</w:t>
            </w:r>
            <w:r>
              <w:rPr>
                <w:rFonts w:hint="eastAsia" w:ascii="仿宋_GB2312" w:hAnsi="仿宋_GB2312" w:eastAsia="仿宋_GB2312" w:cs="仿宋_GB2312"/>
                <w:b w:val="0"/>
                <w:bCs/>
                <w:color w:val="000000"/>
                <w:kern w:val="0"/>
                <w:sz w:val="32"/>
                <w:szCs w:val="32"/>
                <w:lang w:val="en-US" w:eastAsia="zh-CN" w:bidi="ar"/>
              </w:rPr>
              <w:t>23</w:t>
            </w:r>
            <w:r>
              <w:rPr>
                <w:rFonts w:hint="eastAsia" w:ascii="仿宋_GB2312" w:hAnsi="仿宋_GB2312" w:eastAsia="仿宋_GB2312" w:cs="仿宋_GB2312"/>
                <w:b w:val="0"/>
                <w:bCs/>
                <w:color w:val="000000"/>
                <w:kern w:val="0"/>
                <w:sz w:val="32"/>
                <w:szCs w:val="32"/>
                <w:lang w:bidi="ar"/>
              </w:rPr>
              <w:t>年度)</w:t>
            </w:r>
          </w:p>
        </w:tc>
      </w:tr>
      <w:tr w14:paraId="548827AD">
        <w:tblPrEx>
          <w:tblCellMar>
            <w:top w:w="0" w:type="dxa"/>
            <w:left w:w="0" w:type="dxa"/>
            <w:bottom w:w="0" w:type="dxa"/>
            <w:right w:w="0" w:type="dxa"/>
          </w:tblCellMar>
        </w:tblPrEx>
        <w:trPr>
          <w:trHeight w:val="555" w:hRule="atLeast"/>
        </w:trPr>
        <w:tc>
          <w:tcPr>
            <w:tcW w:w="183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211433">
            <w:pPr>
              <w:pageBreakBefore w:val="0"/>
              <w:widowControl/>
              <w:kinsoku/>
              <w:wordWrap/>
              <w:overflowPunct/>
              <w:topLinePunct w:val="0"/>
              <w:bidi w:val="0"/>
              <w:spacing w:line="576" w:lineRule="exact"/>
              <w:ind w:firstLine="480" w:firstLineChars="20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项目名称</w:t>
            </w:r>
          </w:p>
        </w:tc>
        <w:tc>
          <w:tcPr>
            <w:tcW w:w="768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71347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红原县乡镇便民服务专项规划编制项目</w:t>
            </w:r>
          </w:p>
        </w:tc>
      </w:tr>
      <w:tr w14:paraId="506EE75A">
        <w:tblPrEx>
          <w:tblCellMar>
            <w:top w:w="0" w:type="dxa"/>
            <w:left w:w="0" w:type="dxa"/>
            <w:bottom w:w="0" w:type="dxa"/>
            <w:right w:w="0" w:type="dxa"/>
          </w:tblCellMar>
        </w:tblPrEx>
        <w:trPr>
          <w:trHeight w:val="555" w:hRule="atLeast"/>
        </w:trPr>
        <w:tc>
          <w:tcPr>
            <w:tcW w:w="183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66E399">
            <w:pPr>
              <w:pageBreakBefore w:val="0"/>
              <w:widowControl/>
              <w:kinsoku/>
              <w:wordWrap/>
              <w:overflowPunct/>
              <w:topLinePunct w:val="0"/>
              <w:bidi w:val="0"/>
              <w:spacing w:line="576" w:lineRule="exact"/>
              <w:ind w:firstLine="480" w:firstLineChars="20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预算单位</w:t>
            </w:r>
          </w:p>
        </w:tc>
        <w:tc>
          <w:tcPr>
            <w:tcW w:w="768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B4AA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红原</w:t>
            </w:r>
            <w:r>
              <w:rPr>
                <w:rFonts w:hint="eastAsia" w:ascii="仿宋_GB2312" w:hAnsi="仿宋_GB2312" w:eastAsia="仿宋_GB2312" w:cs="仿宋_GB2312"/>
                <w:color w:val="auto"/>
                <w:sz w:val="24"/>
                <w:szCs w:val="24"/>
                <w:lang w:eastAsia="zh-CN"/>
              </w:rPr>
              <w:t>县行政审批和政务服务管理局</w:t>
            </w:r>
          </w:p>
        </w:tc>
      </w:tr>
      <w:tr w14:paraId="3C9A4935">
        <w:tblPrEx>
          <w:tblCellMar>
            <w:top w:w="0" w:type="dxa"/>
            <w:left w:w="0" w:type="dxa"/>
            <w:bottom w:w="0" w:type="dxa"/>
            <w:right w:w="0" w:type="dxa"/>
          </w:tblCellMar>
        </w:tblPrEx>
        <w:trPr>
          <w:trHeight w:val="555" w:hRule="atLeast"/>
        </w:trPr>
        <w:tc>
          <w:tcPr>
            <w:tcW w:w="53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1146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rPr>
              <w:t>预</w:t>
            </w:r>
            <w:r>
              <w:rPr>
                <w:rFonts w:hint="eastAsia" w:ascii="仿宋_GB2312" w:hAnsi="仿宋_GB2312" w:eastAsia="仿宋_GB2312" w:cs="仿宋_GB2312"/>
                <w:color w:val="auto"/>
                <w:kern w:val="0"/>
                <w:sz w:val="24"/>
                <w:szCs w:val="24"/>
              </w:rPr>
              <w:t>算执行情况(万元</w:t>
            </w: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46B5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预算数:</w:t>
            </w:r>
          </w:p>
        </w:tc>
        <w:tc>
          <w:tcPr>
            <w:tcW w:w="24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B727C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万元</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B8D60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EC32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万元</w:t>
            </w:r>
          </w:p>
        </w:tc>
      </w:tr>
      <w:tr w14:paraId="6B3FA9A0">
        <w:tblPrEx>
          <w:tblCellMar>
            <w:top w:w="0" w:type="dxa"/>
            <w:left w:w="0" w:type="dxa"/>
            <w:bottom w:w="0" w:type="dxa"/>
            <w:right w:w="0" w:type="dxa"/>
          </w:tblCellMar>
        </w:tblPrEx>
        <w:trPr>
          <w:trHeight w:val="98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66E3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1EB2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其中-财政拨款:</w:t>
            </w:r>
          </w:p>
        </w:tc>
        <w:tc>
          <w:tcPr>
            <w:tcW w:w="24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6AAD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万元</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054F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AC6D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万元</w:t>
            </w:r>
          </w:p>
        </w:tc>
      </w:tr>
      <w:tr w14:paraId="4193CB7C">
        <w:tblPrEx>
          <w:tblCellMar>
            <w:top w:w="0" w:type="dxa"/>
            <w:left w:w="0" w:type="dxa"/>
            <w:bottom w:w="0" w:type="dxa"/>
            <w:right w:w="0" w:type="dxa"/>
          </w:tblCellMar>
        </w:tblPrEx>
        <w:trPr>
          <w:trHeight w:val="1252"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E95F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1BF6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其它资金:</w:t>
            </w:r>
          </w:p>
        </w:tc>
        <w:tc>
          <w:tcPr>
            <w:tcW w:w="24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68DCD">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50AFB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其它资金:</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AC7FD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0</w:t>
            </w:r>
          </w:p>
        </w:tc>
      </w:tr>
      <w:tr w14:paraId="3877E746">
        <w:tblPrEx>
          <w:tblCellMar>
            <w:top w:w="0" w:type="dxa"/>
            <w:left w:w="0" w:type="dxa"/>
            <w:bottom w:w="0" w:type="dxa"/>
            <w:right w:w="0" w:type="dxa"/>
          </w:tblCellMar>
        </w:tblPrEx>
        <w:trPr>
          <w:trHeight w:val="90" w:hRule="atLeast"/>
        </w:trPr>
        <w:tc>
          <w:tcPr>
            <w:tcW w:w="53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DE67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rPr>
              <w:t>年</w:t>
            </w:r>
            <w:r>
              <w:rPr>
                <w:rFonts w:hint="eastAsia" w:ascii="仿宋_GB2312" w:hAnsi="仿宋_GB2312" w:eastAsia="仿宋_GB2312" w:cs="仿宋_GB2312"/>
                <w:color w:val="auto"/>
                <w:kern w:val="0"/>
                <w:sz w:val="24"/>
                <w:szCs w:val="24"/>
              </w:rPr>
              <w:t>度目标完成情况</w:t>
            </w:r>
          </w:p>
        </w:tc>
        <w:tc>
          <w:tcPr>
            <w:tcW w:w="19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9606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预期目标</w:t>
            </w:r>
          </w:p>
        </w:tc>
        <w:tc>
          <w:tcPr>
            <w:tcW w:w="699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52AE5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实际完成目标</w:t>
            </w:r>
          </w:p>
        </w:tc>
      </w:tr>
      <w:tr w14:paraId="6CC0F2C3">
        <w:tblPrEx>
          <w:tblCellMar>
            <w:top w:w="0" w:type="dxa"/>
            <w:left w:w="0" w:type="dxa"/>
            <w:bottom w:w="0" w:type="dxa"/>
            <w:right w:w="0" w:type="dxa"/>
          </w:tblCellMar>
        </w:tblPrEx>
        <w:trPr>
          <w:trHeight w:val="9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09977">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19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F23C0">
            <w:pPr>
              <w:pageBreakBefore w:val="0"/>
              <w:numPr>
                <w:ilvl w:val="0"/>
                <w:numId w:val="0"/>
              </w:numPr>
              <w:kinsoku/>
              <w:wordWrap/>
              <w:overflowPunct/>
              <w:topLinePunct w:val="0"/>
              <w:bidi w:val="0"/>
              <w:spacing w:line="576" w:lineRule="exact"/>
              <w:ind w:leftChars="0" w:firstLine="360" w:firstLineChars="200"/>
              <w:jc w:val="center"/>
              <w:rPr>
                <w:rFonts w:hint="eastAsia" w:ascii="仿宋_GB2312" w:hAnsi="仿宋_GB2312" w:eastAsia="仿宋_GB2312" w:cs="仿宋_GB2312"/>
                <w:b/>
                <w:color w:val="auto"/>
                <w:sz w:val="24"/>
                <w:szCs w:val="24"/>
                <w:lang w:val="en-US" w:eastAsia="zh-CN"/>
              </w:rPr>
            </w:pPr>
            <w:r>
              <w:rPr>
                <w:rFonts w:hint="eastAsia" w:ascii="仿宋_GB2312" w:hAnsi="仿宋_GB2312" w:eastAsia="仿宋_GB2312" w:cs="仿宋_GB2312"/>
                <w:b w:val="0"/>
                <w:bCs/>
                <w:color w:val="auto"/>
                <w:sz w:val="18"/>
                <w:szCs w:val="18"/>
                <w:lang w:val="en-US" w:eastAsia="zh-CN"/>
              </w:rPr>
              <w:t>《乡镇级片区便民服务设施专项规划》的编制是全面贯彻落实全省统筹推进乡村国土空间规划编制和两项改革“后半篇”文章工作的需要；是推进乡镇治理体系和治理能力现代化建设需要；是增进民生福祉，不断实现人民对美好生活向往的需要；是深化“放管服”改革优化营商环境的需要。</w:t>
            </w:r>
          </w:p>
        </w:tc>
        <w:tc>
          <w:tcPr>
            <w:tcW w:w="699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AB9F4">
            <w:pPr>
              <w:pageBreakBefore w:val="0"/>
              <w:numPr>
                <w:ilvl w:val="0"/>
                <w:numId w:val="0"/>
              </w:numPr>
              <w:kinsoku/>
              <w:wordWrap/>
              <w:overflowPunct/>
              <w:topLinePunct w:val="0"/>
              <w:bidi w:val="0"/>
              <w:spacing w:line="576" w:lineRule="exact"/>
              <w:ind w:firstLine="480" w:firstLineChars="200"/>
              <w:jc w:val="center"/>
              <w:rPr>
                <w:rFonts w:hint="eastAsia" w:ascii="仿宋_GB2312" w:hAnsi="仿宋_GB2312" w:eastAsia="仿宋_GB2312" w:cs="仿宋_GB2312"/>
                <w:b/>
                <w:color w:val="auto"/>
                <w:sz w:val="24"/>
                <w:szCs w:val="24"/>
                <w:lang w:val="en-US" w:eastAsia="zh-CN"/>
              </w:rPr>
            </w:pPr>
            <w:r>
              <w:rPr>
                <w:rFonts w:hint="eastAsia" w:ascii="仿宋_GB2312" w:hAnsi="仿宋_GB2312" w:eastAsia="仿宋_GB2312" w:cs="仿宋_GB2312"/>
                <w:sz w:val="24"/>
                <w:szCs w:val="24"/>
                <w:lang w:val="en-US" w:eastAsia="zh-CN"/>
              </w:rPr>
              <w:t>在“一网通办”前提下逐步实现“受理下沉、全域通办”，为基层群众提供“一站式”高效政务服务，让群众办事更加方便、更加快捷、更加舒心、更加放心，切实提升群众幸福感、安全感、归属感。</w:t>
            </w:r>
          </w:p>
        </w:tc>
      </w:tr>
      <w:tr w14:paraId="1EEA7FCC">
        <w:tblPrEx>
          <w:tblCellMar>
            <w:top w:w="0" w:type="dxa"/>
            <w:left w:w="0" w:type="dxa"/>
            <w:bottom w:w="0" w:type="dxa"/>
            <w:right w:w="0" w:type="dxa"/>
          </w:tblCellMar>
        </w:tblPrEx>
        <w:trPr>
          <w:trHeight w:val="560" w:hRule="atLeast"/>
        </w:trPr>
        <w:tc>
          <w:tcPr>
            <w:tcW w:w="53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CDD08A">
            <w:pPr>
              <w:pageBreakBefore w:val="0"/>
              <w:widowControl/>
              <w:kinsoku/>
              <w:wordWrap/>
              <w:overflowPunct/>
              <w:topLinePunct w:val="0"/>
              <w:bidi w:val="0"/>
              <w:spacing w:line="576" w:lineRule="exact"/>
              <w:ind w:firstLine="480" w:firstLineChars="20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绩效指标完成情况</w:t>
            </w:r>
          </w:p>
        </w:tc>
        <w:tc>
          <w:tcPr>
            <w:tcW w:w="7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4713C">
            <w:pPr>
              <w:pageBreakBefore w:val="0"/>
              <w:widowControl/>
              <w:numPr>
                <w:ilvl w:val="0"/>
                <w:numId w:val="0"/>
              </w:numPr>
              <w:kinsoku/>
              <w:wordWrap/>
              <w:overflowPunct/>
              <w:topLinePunct w:val="0"/>
              <w:bidi w:val="0"/>
              <w:spacing w:line="576" w:lineRule="exact"/>
              <w:ind w:left="0" w:leftChars="0"/>
              <w:jc w:val="center"/>
              <w:textAlignment w:val="bottom"/>
              <w:rPr>
                <w:rFonts w:hint="default" w:ascii="Times New Roman" w:hAnsi="Times New Roman" w:eastAsia="宋?" w:cs="Times New Roman"/>
                <w:kern w:val="2"/>
                <w:sz w:val="21"/>
                <w:szCs w:val="24"/>
                <w:lang w:val="en-US" w:eastAsia="zh-CN" w:bidi="ar-SA"/>
              </w:rPr>
            </w:pPr>
            <w:r>
              <w:rPr>
                <w:rFonts w:hint="eastAsia" w:ascii="仿宋_GB2312" w:hAnsi="仿宋_GB2312" w:eastAsia="仿宋_GB2312" w:cs="仿宋_GB2312"/>
                <w:b/>
                <w:color w:val="auto"/>
                <w:kern w:val="0"/>
                <w:sz w:val="24"/>
                <w:szCs w:val="24"/>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直接连接符_10" descr="/"/>
                          <pic:cNvPicPr>
                            <a:picLocks noChangeAspect="1"/>
                          </pic:cNvPicPr>
                        </pic:nvPicPr>
                        <pic:blipFill>
                          <a:blip r:embed="rId25"/>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b/>
                <w:color w:val="auto"/>
                <w:kern w:val="0"/>
                <w:sz w:val="24"/>
                <w:szCs w:val="24"/>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直接连接符_8" descr="/"/>
                          <pic:cNvPicPr>
                            <a:picLocks noChangeAspect="1"/>
                          </pic:cNvPicPr>
                        </pic:nvPicPr>
                        <pic:blipFill>
                          <a:blip r:embed="rId25"/>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b/>
                <w:color w:val="auto"/>
                <w:kern w:val="0"/>
                <w:sz w:val="24"/>
                <w:szCs w:val="24"/>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直接连接符_9" descr="/"/>
                          <pic:cNvPicPr>
                            <a:picLocks noChangeAspect="1"/>
                          </pic:cNvPicPr>
                        </pic:nvPicPr>
                        <pic:blipFill>
                          <a:blip r:embed="rId25"/>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b/>
                <w:color w:val="auto"/>
                <w:kern w:val="0"/>
                <w:sz w:val="24"/>
                <w:szCs w:val="24"/>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 name="直接连接符_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直接连接符_7" descr="/"/>
                          <pic:cNvPicPr>
                            <a:picLocks noChangeAspect="1"/>
                          </pic:cNvPicPr>
                        </pic:nvPicPr>
                        <pic:blipFill>
                          <a:blip r:embed="rId25"/>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b/>
                <w:color w:val="auto"/>
                <w:kern w:val="0"/>
                <w:sz w:val="24"/>
                <w:szCs w:val="24"/>
                <w:lang w:val="en-US" w:eastAsia="zh-CN"/>
              </w:rPr>
              <w:t>一级指标</w:t>
            </w: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FF51B">
            <w:pPr>
              <w:pageBreakBefore w:val="0"/>
              <w:widowControl/>
              <w:numPr>
                <w:ilvl w:val="0"/>
                <w:numId w:val="0"/>
              </w:numPr>
              <w:kinsoku/>
              <w:wordWrap/>
              <w:overflowPunct/>
              <w:topLinePunct w:val="0"/>
              <w:bidi w:val="0"/>
              <w:spacing w:line="576" w:lineRule="exact"/>
              <w:ind w:left="0" w:leftChars="0"/>
              <w:jc w:val="center"/>
              <w:textAlignment w:val="bottom"/>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二级指标</w:t>
            </w:r>
          </w:p>
        </w:tc>
        <w:tc>
          <w:tcPr>
            <w:tcW w:w="6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21B630">
            <w:pPr>
              <w:pageBreakBefore w:val="0"/>
              <w:widowControl/>
              <w:numPr>
                <w:ilvl w:val="0"/>
                <w:numId w:val="0"/>
              </w:numPr>
              <w:kinsoku/>
              <w:wordWrap/>
              <w:overflowPunct/>
              <w:topLinePunct w:val="0"/>
              <w:bidi w:val="0"/>
              <w:spacing w:line="576" w:lineRule="exact"/>
              <w:ind w:left="0" w:leftChars="0"/>
              <w:jc w:val="center"/>
              <w:textAlignment w:val="bottom"/>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三级指标</w:t>
            </w:r>
          </w:p>
        </w:tc>
        <w:tc>
          <w:tcPr>
            <w:tcW w:w="346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80C3EE">
            <w:pPr>
              <w:pageBreakBefore w:val="0"/>
              <w:widowControl/>
              <w:numPr>
                <w:ilvl w:val="0"/>
                <w:numId w:val="0"/>
              </w:numPr>
              <w:kinsoku/>
              <w:wordWrap/>
              <w:overflowPunct/>
              <w:topLinePunct w:val="0"/>
              <w:bidi w:val="0"/>
              <w:spacing w:line="576" w:lineRule="exact"/>
              <w:ind w:left="0" w:leftChars="0"/>
              <w:jc w:val="center"/>
              <w:textAlignment w:val="bottom"/>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指标评价内容</w:t>
            </w:r>
          </w:p>
        </w:tc>
        <w:tc>
          <w:tcPr>
            <w:tcW w:w="18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7D6ADF">
            <w:pPr>
              <w:pageBreakBefore w:val="0"/>
              <w:widowControl/>
              <w:numPr>
                <w:ilvl w:val="0"/>
                <w:numId w:val="0"/>
              </w:numPr>
              <w:kinsoku/>
              <w:wordWrap/>
              <w:overflowPunct/>
              <w:topLinePunct w:val="0"/>
              <w:bidi w:val="0"/>
              <w:spacing w:line="576" w:lineRule="exact"/>
              <w:ind w:left="0" w:leftChars="0"/>
              <w:jc w:val="center"/>
              <w:textAlignment w:val="bottom"/>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预期指标值(包含数字及文字描述)</w:t>
            </w:r>
          </w:p>
        </w:tc>
        <w:tc>
          <w:tcPr>
            <w:tcW w:w="1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551CCA">
            <w:pPr>
              <w:pageBreakBefore w:val="0"/>
              <w:widowControl/>
              <w:numPr>
                <w:ilvl w:val="0"/>
                <w:numId w:val="0"/>
              </w:numPr>
              <w:kinsoku/>
              <w:wordWrap/>
              <w:overflowPunct/>
              <w:topLinePunct w:val="0"/>
              <w:bidi w:val="0"/>
              <w:spacing w:line="576" w:lineRule="exact"/>
              <w:ind w:left="0" w:leftChars="0"/>
              <w:jc w:val="center"/>
              <w:textAlignment w:val="bottom"/>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kern w:val="0"/>
                <w:sz w:val="24"/>
                <w:szCs w:val="24"/>
              </w:rPr>
              <w:t>实际完成指标值(包含数字及文字描述)</w:t>
            </w:r>
          </w:p>
        </w:tc>
      </w:tr>
      <w:tr w14:paraId="744C52CF">
        <w:tblPrEx>
          <w:tblCellMar>
            <w:top w:w="0" w:type="dxa"/>
            <w:left w:w="0" w:type="dxa"/>
            <w:bottom w:w="0" w:type="dxa"/>
            <w:right w:w="0" w:type="dxa"/>
          </w:tblCellMar>
        </w:tblPrEx>
        <w:trPr>
          <w:trHeight w:val="56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80658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3BD8A3">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8D45D">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6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FF3D9">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346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5B6600">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492DB">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1130BB">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r>
      <w:tr w14:paraId="0ED89D7D">
        <w:tblPrEx>
          <w:tblCellMar>
            <w:top w:w="0" w:type="dxa"/>
            <w:left w:w="0" w:type="dxa"/>
            <w:bottom w:w="0" w:type="dxa"/>
            <w:right w:w="0" w:type="dxa"/>
          </w:tblCellMar>
        </w:tblPrEx>
        <w:trPr>
          <w:trHeight w:val="312"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707A4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5E590">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CB6F2">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6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0A125">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346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18323">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58654">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0F7AA">
            <w:pPr>
              <w:pageBreakBefore w:val="0"/>
              <w:kinsoku/>
              <w:wordWrap/>
              <w:overflowPunct/>
              <w:topLinePunct w:val="0"/>
              <w:bidi w:val="0"/>
              <w:spacing w:line="576" w:lineRule="exact"/>
              <w:ind w:firstLine="482" w:firstLineChars="200"/>
              <w:jc w:val="center"/>
              <w:rPr>
                <w:rFonts w:hint="eastAsia" w:ascii="仿宋_GB2312" w:hAnsi="仿宋_GB2312" w:eastAsia="仿宋_GB2312" w:cs="仿宋_GB2312"/>
                <w:b/>
                <w:color w:val="auto"/>
                <w:sz w:val="24"/>
                <w:szCs w:val="24"/>
              </w:rPr>
            </w:pPr>
          </w:p>
        </w:tc>
      </w:tr>
      <w:tr w14:paraId="3F4DFE3F">
        <w:tblPrEx>
          <w:tblCellMar>
            <w:top w:w="0" w:type="dxa"/>
            <w:left w:w="0" w:type="dxa"/>
            <w:bottom w:w="0" w:type="dxa"/>
            <w:right w:w="0" w:type="dxa"/>
          </w:tblCellMar>
        </w:tblPrEx>
        <w:trPr>
          <w:trHeight w:val="76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F325D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B782A20">
            <w:pPr>
              <w:pageBreakBefore w:val="0"/>
              <w:widowControl/>
              <w:kinsoku/>
              <w:wordWrap/>
              <w:overflowPunct/>
              <w:topLinePunct w:val="0"/>
              <w:bidi w:val="0"/>
              <w:spacing w:line="576" w:lineRule="exact"/>
              <w:ind w:firstLine="480" w:firstLineChars="20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项目决策</w:t>
            </w: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B7EA6AD">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绩效目标</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F1954">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目标内容</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B79369">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项目预期提供的产品、服务、效益或其他目标明确,即绩效目标实际明确个数/应当明确个数×100%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234DEA">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b w:val="0"/>
                <w:bCs/>
                <w:color w:val="auto"/>
                <w:sz w:val="18"/>
                <w:szCs w:val="18"/>
                <w:lang w:val="en-US" w:eastAsia="zh-CN"/>
              </w:rPr>
              <w:t>《乡镇级片区便民服务设施专项规划》的编制是全面贯彻落实全省统筹推进乡村国土空间规划编制和两项改革“后半篇”文章工作的需要；是推进乡镇治理体系和治理能力现代化建设需要；是增进民生福祉，不断实现人民对美好生活向往的需要；是深化“放管服”改革优化营商环境的需要。</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17DB4">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sz w:val="24"/>
                <w:szCs w:val="24"/>
                <w:lang w:val="en-US" w:eastAsia="zh-CN"/>
              </w:rPr>
              <w:t>在“一网通办”前提下逐步实现“受理下沉、全域通办”，为基层群众提供“一站式”高效政务服务，让群众办事更加方便、更加快捷、更加舒心、更加放心，切实提升群众幸福感、安全感、归属感。</w:t>
            </w:r>
          </w:p>
        </w:tc>
      </w:tr>
      <w:tr w14:paraId="63A235CF">
        <w:tblPrEx>
          <w:tblCellMar>
            <w:top w:w="0" w:type="dxa"/>
            <w:left w:w="0" w:type="dxa"/>
            <w:bottom w:w="0" w:type="dxa"/>
            <w:right w:w="0" w:type="dxa"/>
          </w:tblCellMar>
        </w:tblPrEx>
        <w:trPr>
          <w:trHeight w:val="64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5175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4ABCB8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A7263CB">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2503C">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进度计划</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50A182">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项目计划实施进度明确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8D80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6ACE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明确</w:t>
            </w:r>
          </w:p>
        </w:tc>
      </w:tr>
      <w:tr w14:paraId="6BAED0F8">
        <w:tblPrEx>
          <w:tblCellMar>
            <w:top w:w="0" w:type="dxa"/>
            <w:left w:w="0" w:type="dxa"/>
            <w:bottom w:w="0" w:type="dxa"/>
            <w:right w:w="0" w:type="dxa"/>
          </w:tblCellMar>
        </w:tblPrEx>
        <w:trPr>
          <w:trHeight w:val="89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47C4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197292D">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D3BFCE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ECA8CD">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目标匹配</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A3E0D">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绩效目标设定符合实际需求的抽样项目点个数/抽样项目点总数×100%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9120F">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kern w:val="0"/>
                <w:sz w:val="24"/>
                <w:szCs w:val="24"/>
                <w:lang w:val="en-US" w:eastAsia="zh-CN"/>
              </w:rPr>
              <w:t>1</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956A5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kern w:val="0"/>
                <w:sz w:val="24"/>
                <w:szCs w:val="24"/>
                <w:lang w:val="en-US" w:eastAsia="zh-CN"/>
              </w:rPr>
              <w:t>1</w:t>
            </w:r>
          </w:p>
        </w:tc>
      </w:tr>
      <w:tr w14:paraId="63DE3852">
        <w:tblPrEx>
          <w:tblCellMar>
            <w:top w:w="0" w:type="dxa"/>
            <w:left w:w="0" w:type="dxa"/>
            <w:bottom w:w="0" w:type="dxa"/>
            <w:right w:w="0" w:type="dxa"/>
          </w:tblCellMar>
        </w:tblPrEx>
        <w:trPr>
          <w:trHeight w:val="76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82CDF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881556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199B1AB">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决策依据</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E39E9">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政策依据</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C4435">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项目符合党中央、国务院和省委、省政府决策部署；符合当前经济社会发展需要</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5800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44D62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r>
      <w:tr w14:paraId="031B4154">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E191A">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1DE4F6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A3163A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E397F">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实施规划</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12184">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连续性项目根据需要制定中长期实施规划</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2D535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5468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r>
      <w:tr w14:paraId="7175C48B">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D20E67">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97C5A1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38E699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E632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A3B60">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实施规划符合实际，并根据情况变化适时调整</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55C6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B9626A">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r>
      <w:tr w14:paraId="2B387F6A">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3578CF">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989D45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EE7C8F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EBFFF">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管理制度</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9E62B">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制定项目资金管理办法</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523062">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347A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r>
      <w:tr w14:paraId="5AAD1D26">
        <w:tblPrEx>
          <w:tblCellMar>
            <w:top w:w="0" w:type="dxa"/>
            <w:left w:w="0" w:type="dxa"/>
            <w:bottom w:w="0" w:type="dxa"/>
            <w:right w:w="0" w:type="dxa"/>
          </w:tblCellMar>
        </w:tblPrEx>
        <w:trPr>
          <w:trHeight w:val="71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156F2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D18301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125830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B8DF7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EAEE8F">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项目资金分配决策程序明确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F7B767">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BB85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明确</w:t>
            </w:r>
          </w:p>
        </w:tc>
      </w:tr>
      <w:tr w14:paraId="67A86759">
        <w:tblPrEx>
          <w:tblCellMar>
            <w:top w:w="0" w:type="dxa"/>
            <w:left w:w="0" w:type="dxa"/>
            <w:bottom w:w="0" w:type="dxa"/>
            <w:right w:w="0" w:type="dxa"/>
          </w:tblCellMar>
        </w:tblPrEx>
        <w:trPr>
          <w:trHeight w:val="83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F0E7A">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066361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AD75283">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资金分配</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FF235">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分配方法</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F514E">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资金分配方法是否科学合理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4C4B3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DADE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合理</w:t>
            </w:r>
          </w:p>
        </w:tc>
      </w:tr>
      <w:tr w14:paraId="1F983A2D">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6905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9DF783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590A6F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DECC9F">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分配过程</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DB54A">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分配过程符合相关规定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5E12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EC5D6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r>
      <w:tr w14:paraId="1314BD02">
        <w:tblPrEx>
          <w:tblCellMar>
            <w:top w:w="0" w:type="dxa"/>
            <w:left w:w="0" w:type="dxa"/>
            <w:bottom w:w="0" w:type="dxa"/>
            <w:right w:w="0" w:type="dxa"/>
          </w:tblCellMar>
        </w:tblPrEx>
        <w:trPr>
          <w:trHeight w:val="76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EB9DB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58B731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6126F25">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分配结果</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B28A8">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审核把关</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986EE3">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符合申报条件的抽样项目点个数/抽样项目点总数×100%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A4A27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kern w:val="0"/>
                <w:sz w:val="24"/>
                <w:szCs w:val="24"/>
                <w:lang w:val="en-US" w:eastAsia="zh-CN"/>
              </w:rPr>
              <w:t>1</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58D6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kern w:val="0"/>
                <w:sz w:val="24"/>
                <w:szCs w:val="24"/>
                <w:lang w:val="en-US" w:eastAsia="zh-CN"/>
              </w:rPr>
              <w:t>1</w:t>
            </w:r>
          </w:p>
        </w:tc>
      </w:tr>
      <w:tr w14:paraId="502D0E44">
        <w:tblPrEx>
          <w:tblCellMar>
            <w:top w:w="0" w:type="dxa"/>
            <w:left w:w="0" w:type="dxa"/>
            <w:bottom w:w="0" w:type="dxa"/>
            <w:right w:w="0" w:type="dxa"/>
          </w:tblCellMar>
        </w:tblPrEx>
        <w:trPr>
          <w:trHeight w:val="196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FD00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8192A1F">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2C697F6">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FCD2BF">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资金集中</w:t>
            </w:r>
          </w:p>
        </w:tc>
        <w:tc>
          <w:tcPr>
            <w:tcW w:w="1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9C47E0">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集中</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E5CD1">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财政资金占项目资金总额比重较小项目个数/项目总数×100%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9E224">
            <w:pPr>
              <w:pageBreakBefore w:val="0"/>
              <w:kinsoku/>
              <w:wordWrap/>
              <w:overflowPunct/>
              <w:topLinePunct w:val="0"/>
              <w:bidi w:val="0"/>
              <w:spacing w:line="576"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lang w:val="en-US" w:eastAsia="zh-CN"/>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AB962">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kern w:val="0"/>
                <w:sz w:val="24"/>
                <w:szCs w:val="24"/>
                <w:lang w:val="en-US" w:eastAsia="zh-CN"/>
              </w:rPr>
              <w:t>100%</w:t>
            </w:r>
          </w:p>
        </w:tc>
      </w:tr>
      <w:tr w14:paraId="30FC6984">
        <w:tblPrEx>
          <w:tblCellMar>
            <w:top w:w="0" w:type="dxa"/>
            <w:left w:w="0" w:type="dxa"/>
            <w:bottom w:w="0" w:type="dxa"/>
            <w:right w:w="0" w:type="dxa"/>
          </w:tblCellMar>
        </w:tblPrEx>
        <w:trPr>
          <w:trHeight w:val="9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C7ECA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2F4975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4FE9676">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7041A3">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均衡）</w:t>
            </w:r>
          </w:p>
        </w:tc>
        <w:tc>
          <w:tcPr>
            <w:tcW w:w="1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59F559">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均衡</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BAC87">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按实际分配结果选择客观因素测算验证资金分配方法制定、分配要素设定、基础数据应用、测算依据选取等是否科学合理（2分）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7A662">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10671D">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是</w:t>
            </w:r>
          </w:p>
        </w:tc>
      </w:tr>
      <w:tr w14:paraId="42642BC9">
        <w:tblPrEx>
          <w:tblCellMar>
            <w:top w:w="0" w:type="dxa"/>
            <w:left w:w="0" w:type="dxa"/>
            <w:bottom w:w="0" w:type="dxa"/>
            <w:right w:w="0" w:type="dxa"/>
          </w:tblCellMar>
        </w:tblPrEx>
        <w:trPr>
          <w:trHeight w:val="54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CF32D">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C9367DB">
            <w:pPr>
              <w:pageBreakBefore w:val="0"/>
              <w:widowControl/>
              <w:kinsoku/>
              <w:wordWrap/>
              <w:overflowPunct/>
              <w:topLinePunct w:val="0"/>
              <w:bidi w:val="0"/>
              <w:spacing w:line="576" w:lineRule="exact"/>
              <w:ind w:firstLine="480" w:firstLineChars="20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项目管理</w:t>
            </w: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0F48AAA">
            <w:pPr>
              <w:pageBreakBefore w:val="0"/>
              <w:widowControl/>
              <w:kinsoku/>
              <w:wordWrap/>
              <w:overflowPunct/>
              <w:topLinePunct w:val="0"/>
              <w:bidi w:val="0"/>
              <w:spacing w:line="576" w:lineRule="exact"/>
              <w:ind w:firstLine="480" w:firstLineChars="20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资金到位</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3EF9E">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分配时效</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E79AD">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县级主管部门按规定及时分配资金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C35FF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892C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是</w:t>
            </w:r>
          </w:p>
        </w:tc>
      </w:tr>
      <w:tr w14:paraId="1EDFE3F4">
        <w:tblPrEx>
          <w:tblCellMar>
            <w:top w:w="0" w:type="dxa"/>
            <w:left w:w="0" w:type="dxa"/>
            <w:bottom w:w="0" w:type="dxa"/>
            <w:right w:w="0" w:type="dxa"/>
          </w:tblCellMar>
        </w:tblPrEx>
        <w:trPr>
          <w:trHeight w:val="219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77257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617B0B6">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68A89E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587DCA">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资金拨付</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8A42C">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按规定及时拨付资金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E00B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0CC7B">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r>
      <w:tr w14:paraId="59D1C1C4">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0965A">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71C0A2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2764BD1">
            <w:pPr>
              <w:pageBreakBefore w:val="0"/>
              <w:widowControl/>
              <w:kinsoku/>
              <w:wordWrap/>
              <w:overflowPunct/>
              <w:topLinePunct w:val="0"/>
              <w:bidi w:val="0"/>
              <w:spacing w:line="576" w:lineRule="exact"/>
              <w:ind w:left="0" w:leftChars="0" w:firstLine="0" w:firstLineChars="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资金管理</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62AE8">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使用范围</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2EED6">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资金使用是否合规</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51C9B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DF8C6">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r>
      <w:tr w14:paraId="1ED867E3">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AFDA2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DDADF1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966666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F3E4F5">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支付依据</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718D3">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资金支付依据符合规定，即支付依旧合规资金量/资金总量×100%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19A02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0195EF">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r>
      <w:tr w14:paraId="2085055B">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3071F6">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885FD8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C1BD19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B2448D">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开支标准</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DF4BC">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资金开支标准符合规定，即开支标准合规资金量/资金总量×100%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2CBD7">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BF37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r>
      <w:tr w14:paraId="5505143C">
        <w:tblPrEx>
          <w:tblCellMar>
            <w:top w:w="0" w:type="dxa"/>
            <w:left w:w="0" w:type="dxa"/>
            <w:bottom w:w="0" w:type="dxa"/>
            <w:right w:w="0" w:type="dxa"/>
          </w:tblCellMar>
        </w:tblPrEx>
        <w:trPr>
          <w:trHeight w:val="73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C3F5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85A932B">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1DFFE50">
            <w:pPr>
              <w:pageBreakBefore w:val="0"/>
              <w:widowControl/>
              <w:kinsoku/>
              <w:wordWrap/>
              <w:overflowPunct/>
              <w:topLinePunct w:val="0"/>
              <w:bidi w:val="0"/>
              <w:spacing w:line="576" w:lineRule="exact"/>
              <w:ind w:firstLine="480" w:firstLineChars="20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财务管理</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35CBD">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财务制度</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8C00FF">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财务制度健全，管理规范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EC9A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881E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r>
      <w:tr w14:paraId="4BD39DA0">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78A3A">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AC05CA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9DB358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98CD2">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会计核算</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528F0">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会计核算规范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6440AF">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0B3AB">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r>
      <w:tr w14:paraId="33287F18">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CFCB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579DD96">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2B95D09">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组织实施（4分）</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6B58DA">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项目调整</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BFA19">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项目调整严格履行相关手续</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578B1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01305A">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该项目未存在调整</w:t>
            </w:r>
          </w:p>
        </w:tc>
      </w:tr>
      <w:tr w14:paraId="67A0E8F1">
        <w:tblPrEx>
          <w:tblCellMar>
            <w:top w:w="0" w:type="dxa"/>
            <w:left w:w="0" w:type="dxa"/>
            <w:bottom w:w="0" w:type="dxa"/>
            <w:right w:w="0" w:type="dxa"/>
          </w:tblCellMar>
        </w:tblPrEx>
        <w:trPr>
          <w:trHeight w:val="8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2CCD6">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DA1C82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B7D6E5A">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3424C5">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投资变更</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23D5B">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项目投资变更额/项目总投入×100%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59C5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D42D8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该项目未存在调整</w:t>
            </w:r>
          </w:p>
        </w:tc>
      </w:tr>
      <w:tr w14:paraId="6245F0B8">
        <w:tblPrEx>
          <w:tblCellMar>
            <w:top w:w="0" w:type="dxa"/>
            <w:left w:w="0" w:type="dxa"/>
            <w:bottom w:w="0" w:type="dxa"/>
            <w:right w:w="0" w:type="dxa"/>
          </w:tblCellMar>
        </w:tblPrEx>
        <w:trPr>
          <w:trHeight w:val="76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6179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545FB4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CAED979">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2D972">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制度执行</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8B0FB9">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严格执行项目有关制度规定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B75CE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EB3C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是</w:t>
            </w:r>
          </w:p>
        </w:tc>
      </w:tr>
      <w:tr w14:paraId="1562B19C">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FB38B">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1583DBE">
            <w:pPr>
              <w:pageBreakBefore w:val="0"/>
              <w:widowControl/>
              <w:kinsoku/>
              <w:wordWrap/>
              <w:overflowPunct/>
              <w:topLinePunct w:val="0"/>
              <w:bidi w:val="0"/>
              <w:spacing w:line="576" w:lineRule="exact"/>
              <w:ind w:firstLine="480" w:firstLineChars="20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6" name="直接连接符_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直接连接符_6" descr="/"/>
                          <pic:cNvPicPr>
                            <a:picLocks noChangeAspect="1"/>
                          </pic:cNvPicPr>
                        </pic:nvPicPr>
                        <pic:blipFill>
                          <a:blip r:embed="rId26"/>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color w:val="auto"/>
                <w:sz w:val="24"/>
                <w:szCs w:val="24"/>
              </w:rPr>
              <w:drawing>
                <wp:anchor distT="0" distB="0" distL="114300" distR="114300" simplePos="0" relativeHeight="25166438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7" name="直接连接符_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直接连接符_5" descr="/"/>
                          <pic:cNvPicPr>
                            <a:picLocks noChangeAspect="1"/>
                          </pic:cNvPicPr>
                        </pic:nvPicPr>
                        <pic:blipFill>
                          <a:blip r:embed="rId27"/>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auto"/>
                <w:kern w:val="0"/>
                <w:sz w:val="24"/>
                <w:szCs w:val="24"/>
              </w:rPr>
              <w:t>项目绩效</w:t>
            </w: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AB315EE">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项目完成</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E4B81">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完成数量</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EB728">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实际完成任务量/绩效目标设定任务量×100%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8552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AC3D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100%</w:t>
            </w:r>
          </w:p>
        </w:tc>
      </w:tr>
      <w:tr w14:paraId="055A37EC">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9FE81">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4DC9AF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5D89B9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AD09F">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完成质量</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A1A87">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符合绩效目标设定的验收标准，达到行业基准水平</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C0B7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EC01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w:t>
            </w:r>
          </w:p>
        </w:tc>
      </w:tr>
      <w:tr w14:paraId="38BCE6A1">
        <w:tblPrEx>
          <w:tblCellMar>
            <w:top w:w="0" w:type="dxa"/>
            <w:left w:w="0" w:type="dxa"/>
            <w:bottom w:w="0" w:type="dxa"/>
            <w:right w:w="0" w:type="dxa"/>
          </w:tblCellMar>
        </w:tblPrEx>
        <w:trPr>
          <w:trHeight w:val="80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CD1D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E38E19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2F7982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7C9A4">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完成时效</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12384D">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（实际完成时间-绩效目标设定完成时间）/绩效目标设定完成时间×100%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6AD4F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445D0">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14:paraId="3A2CEE49">
        <w:tblPrEx>
          <w:tblCellMar>
            <w:top w:w="0" w:type="dxa"/>
            <w:left w:w="0" w:type="dxa"/>
            <w:bottom w:w="0" w:type="dxa"/>
            <w:right w:w="0" w:type="dxa"/>
          </w:tblCellMar>
        </w:tblPrEx>
        <w:trPr>
          <w:trHeight w:val="55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B7EBFB">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9E692D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467DD26">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8B32B">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完成成本</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D454FA">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（实际完成成本-预计完成成本）/预计完成成本×100%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9D8272">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CC05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14:paraId="2B83BE07">
        <w:tblPrEx>
          <w:tblCellMar>
            <w:top w:w="0" w:type="dxa"/>
            <w:left w:w="0" w:type="dxa"/>
            <w:bottom w:w="0" w:type="dxa"/>
            <w:right w:w="0" w:type="dxa"/>
          </w:tblCellMar>
        </w:tblPrEx>
        <w:trPr>
          <w:trHeight w:val="151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3CA4C">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A61A6EA">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6FF4F95">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项目效益</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8D60F0">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经济效益</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8749E">
            <w:pPr>
              <w:pageBreakBefore w:val="0"/>
              <w:widowControl/>
              <w:kinsoku/>
              <w:wordWrap/>
              <w:overflowPunct/>
              <w:topLinePunct w:val="0"/>
              <w:bidi w:val="0"/>
              <w:spacing w:line="576" w:lineRule="exact"/>
              <w:ind w:firstLine="480" w:firstLineChars="200"/>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反映相关产出对经济社会发展带来的影响和效果，根据项目实际细化具体指标。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4D867">
            <w:pPr>
              <w:pageBreakBefore w:val="0"/>
              <w:kinsoku/>
              <w:wordWrap/>
              <w:overflowPunct/>
              <w:topLinePunct w:val="0"/>
              <w:bidi w:val="0"/>
              <w:spacing w:line="576" w:lineRule="exact"/>
              <w:ind w:firstLine="300" w:firstLineChars="20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b w:val="0"/>
                <w:bCs/>
                <w:color w:val="auto"/>
                <w:sz w:val="15"/>
                <w:szCs w:val="15"/>
                <w:lang w:val="en-US" w:eastAsia="zh-CN"/>
              </w:rPr>
              <w:t>《乡镇级片区便民服务设施专项规划》的编制是全面贯彻落实全省统筹推进乡村国土空间规划编制和两项改革“后半篇”文章工作的需要；是推进乡镇治理体系和治理能力现代化建设需要；是增进民生福祉，不断实现人民对美好生活向往的需要；是深化“放管服”改革优化营商环境的需要</w:t>
            </w:r>
            <w:r>
              <w:rPr>
                <w:rFonts w:hint="eastAsia" w:ascii="仿宋_GB2312" w:hAnsi="仿宋_GB2312" w:eastAsia="仿宋_GB2312" w:cs="仿宋_GB2312"/>
                <w:b w:val="0"/>
                <w:bCs/>
                <w:color w:val="auto"/>
                <w:sz w:val="18"/>
                <w:szCs w:val="18"/>
                <w:lang w:val="en-US" w:eastAsia="zh-CN"/>
              </w:rPr>
              <w:t>。</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5B778">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在“一网通办”前提下逐步实现“受理下沉、全域通办”，为基层群众提供“一站式”高效政务服务，让群众办事更加方便、更加快捷、更加舒心、更加放心，切实提升群众幸福感、安全感、归属感。</w:t>
            </w:r>
          </w:p>
        </w:tc>
      </w:tr>
      <w:tr w14:paraId="199DAEC5">
        <w:tblPrEx>
          <w:tblCellMar>
            <w:top w:w="0" w:type="dxa"/>
            <w:left w:w="0" w:type="dxa"/>
            <w:bottom w:w="0" w:type="dxa"/>
            <w:right w:w="0" w:type="dxa"/>
          </w:tblCellMar>
        </w:tblPrEx>
        <w:trPr>
          <w:trHeight w:val="9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000CF">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C7CD187">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F0B8E06">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B44EC5">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社会效益</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1ADAAB">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反映相关产出对社会发展带来的影响和效果，根据项目实际细化具体指标。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DD71A5">
            <w:pPr>
              <w:pageBreakBefore w:val="0"/>
              <w:numPr>
                <w:ilvl w:val="0"/>
                <w:numId w:val="0"/>
              </w:numPr>
              <w:kinsoku/>
              <w:wordWrap/>
              <w:overflowPunct/>
              <w:topLinePunct w:val="0"/>
              <w:bidi w:val="0"/>
              <w:spacing w:line="576"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color w:val="auto"/>
                <w:sz w:val="15"/>
                <w:szCs w:val="15"/>
                <w:lang w:val="en-US" w:eastAsia="zh-CN"/>
              </w:rPr>
              <w:t>《乡镇级片区便民服务设施专项规划》的编制是全面贯彻落实全省统筹推进乡村国土空间规划编制和两项改革“后半篇”文章工作的需要；是推进乡镇治理体系和治理能力现代化建设需要；是增进民生福祉，不断实现人民对美好生活向往的需要；是深化“放管服”改革优化营商环境的需要</w:t>
            </w:r>
            <w:r>
              <w:rPr>
                <w:rFonts w:hint="eastAsia" w:ascii="仿宋_GB2312" w:hAnsi="仿宋_GB2312" w:eastAsia="仿宋_GB2312" w:cs="仿宋_GB2312"/>
                <w:b w:val="0"/>
                <w:bCs/>
                <w:color w:val="auto"/>
                <w:sz w:val="18"/>
                <w:szCs w:val="18"/>
                <w:lang w:val="en-US" w:eastAsia="zh-CN"/>
              </w:rPr>
              <w:t>。</w:t>
            </w:r>
          </w:p>
          <w:p w14:paraId="402C56D7">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C8570">
            <w:pPr>
              <w:pageBreakBefore w:val="0"/>
              <w:numPr>
                <w:ilvl w:val="0"/>
                <w:numId w:val="0"/>
              </w:numPr>
              <w:kinsoku/>
              <w:wordWrap/>
              <w:overflowPunct/>
              <w:topLinePunct w:val="0"/>
              <w:bidi w:val="0"/>
              <w:spacing w:line="576"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在“一网通办”前提下逐步实现“受理下沉、全域通办”，为基层群众提供“一站式”高效政务服务，让群众办事更加方便、更加快捷、更加舒心、更加放心，切实提升群众幸福感、安全感、归属感。。</w:t>
            </w:r>
          </w:p>
          <w:p w14:paraId="595BF38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r>
      <w:tr w14:paraId="5D6FAF64">
        <w:tblPrEx>
          <w:tblCellMar>
            <w:top w:w="0" w:type="dxa"/>
            <w:left w:w="0" w:type="dxa"/>
            <w:bottom w:w="0" w:type="dxa"/>
            <w:right w:w="0" w:type="dxa"/>
          </w:tblCellMar>
        </w:tblPrEx>
        <w:trPr>
          <w:trHeight w:val="1475"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895A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98E933A">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654F784">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A2FB02">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生态效益</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58EA2">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反映相关产出对自然环境带来的影响和效果，根据项目实际细化具体指标。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D731E">
            <w:pPr>
              <w:pageBreakBefore w:val="0"/>
              <w:kinsoku/>
              <w:wordWrap/>
              <w:overflowPunct/>
              <w:topLinePunct w:val="0"/>
              <w:bidi w:val="0"/>
              <w:spacing w:line="576" w:lineRule="exact"/>
              <w:ind w:firstLine="300" w:firstLineChars="2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color w:val="auto"/>
                <w:sz w:val="15"/>
                <w:szCs w:val="15"/>
                <w:lang w:val="en-US" w:eastAsia="zh-CN"/>
              </w:rPr>
              <w:t>《乡镇级片区便民服务设施专项规划》的编制是全面贯彻落实全省统筹推进乡村国土空间规划编制和两项改革“后半篇”文章工作的需要；是推进乡镇治理体系和治理能力现代化建设需要；是增进民生福祉，不断实现人民对美好生活向往的需要；是深化“放管服”改革优化营商环境的需要</w:t>
            </w:r>
            <w:r>
              <w:rPr>
                <w:rFonts w:hint="eastAsia" w:ascii="仿宋_GB2312" w:hAnsi="仿宋_GB2312" w:eastAsia="仿宋_GB2312" w:cs="仿宋_GB2312"/>
                <w:b w:val="0"/>
                <w:bCs/>
                <w:color w:val="auto"/>
                <w:sz w:val="18"/>
                <w:szCs w:val="18"/>
                <w:lang w:val="en-US" w:eastAsia="zh-CN"/>
              </w:rPr>
              <w:t>。</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083D6">
            <w:pPr>
              <w:pageBreakBefore w:val="0"/>
              <w:kinsoku/>
              <w:wordWrap/>
              <w:overflowPunct/>
              <w:topLinePunct w:val="0"/>
              <w:bidi w:val="0"/>
              <w:spacing w:line="576" w:lineRule="exact"/>
              <w:ind w:firstLine="360" w:firstLineChars="200"/>
              <w:jc w:val="center"/>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在“一网通办”前提下逐步实现“受理下沉、全域通办”，为基层群众提供“一站式”高效政务服务，让群众办事更加方便、更加快捷、更加舒心、更加放心，切实提升群众幸福感、安全感、归属感。</w:t>
            </w:r>
          </w:p>
        </w:tc>
      </w:tr>
      <w:tr w14:paraId="76F57265">
        <w:tblPrEx>
          <w:tblCellMar>
            <w:top w:w="0" w:type="dxa"/>
            <w:left w:w="0" w:type="dxa"/>
            <w:bottom w:w="0" w:type="dxa"/>
            <w:right w:w="0" w:type="dxa"/>
          </w:tblCellMar>
        </w:tblPrEx>
        <w:trPr>
          <w:trHeight w:val="76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37DFF">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4BB7E57">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F61693E">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0F8CA">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可持续效益</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7ECA54">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反映相关产出带来影响的可持续期限，根据项目实际细化具体指标。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E3A9A">
            <w:pPr>
              <w:pageBreakBefore w:val="0"/>
              <w:widowControl/>
              <w:kinsoku/>
              <w:wordWrap/>
              <w:overflowPunct/>
              <w:topLinePunct w:val="0"/>
              <w:bidi w:val="0"/>
              <w:spacing w:line="576" w:lineRule="exact"/>
              <w:jc w:val="center"/>
              <w:textAlignment w:val="bottom"/>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color w:val="auto"/>
                <w:sz w:val="15"/>
                <w:szCs w:val="15"/>
                <w:lang w:val="en-US" w:eastAsia="zh-CN"/>
              </w:rPr>
              <w:t>《乡镇级片区便民服务设施专项规划》的编制是全面贯彻落实全省统筹推进乡村国土空间规划编制和两项改革“后半篇”文章工作的需要；是推进乡镇治理体系和治理能力现代化建设需要；是增进民生福祉，不断实现人民对美好生活向往的需要；是深化“放管服”改革优化营商环境的需要</w:t>
            </w:r>
            <w:r>
              <w:rPr>
                <w:rFonts w:hint="eastAsia" w:ascii="仿宋_GB2312" w:hAnsi="仿宋_GB2312" w:eastAsia="仿宋_GB2312" w:cs="仿宋_GB2312"/>
                <w:b w:val="0"/>
                <w:bCs/>
                <w:color w:val="auto"/>
                <w:sz w:val="18"/>
                <w:szCs w:val="18"/>
                <w:lang w:val="en-US" w:eastAsia="zh-CN"/>
              </w:rPr>
              <w:t>。</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A6A9D">
            <w:pPr>
              <w:pageBreakBefore w:val="0"/>
              <w:widowControl/>
              <w:kinsoku/>
              <w:wordWrap/>
              <w:overflowPunct/>
              <w:topLinePunct w:val="0"/>
              <w:bidi w:val="0"/>
              <w:spacing w:line="576" w:lineRule="exact"/>
              <w:ind w:firstLine="360" w:firstLineChars="200"/>
              <w:jc w:val="center"/>
              <w:textAlignment w:val="bottom"/>
              <w:rPr>
                <w:rFonts w:hint="eastAsia" w:ascii="仿宋_GB2312" w:hAnsi="仿宋_GB2312" w:eastAsia="仿宋_GB2312" w:cs="仿宋_GB2312"/>
                <w:color w:val="auto"/>
                <w:sz w:val="18"/>
                <w:szCs w:val="18"/>
              </w:rPr>
            </w:pPr>
            <w:r>
              <w:rPr>
                <w:rFonts w:hint="eastAsia" w:ascii="仿宋_GB2312" w:hAnsi="仿宋_GB2312" w:eastAsia="仿宋_GB2312" w:cs="仿宋_GB2312"/>
                <w:sz w:val="18"/>
                <w:szCs w:val="18"/>
                <w:lang w:val="en-US" w:eastAsia="zh-CN"/>
              </w:rPr>
              <w:t>在“一网通办”前提下逐步实现“受理下沉、全域通办”，为基层群众提供“一站式”高效政务服务，让群众办事更加方便、更加快捷、更加舒心、更加放心，切实提升群众幸福感、安全感、归属感。</w:t>
            </w:r>
          </w:p>
        </w:tc>
      </w:tr>
      <w:tr w14:paraId="47F838B7">
        <w:tblPrEx>
          <w:tblCellMar>
            <w:top w:w="0" w:type="dxa"/>
            <w:left w:w="0" w:type="dxa"/>
            <w:bottom w:w="0" w:type="dxa"/>
            <w:right w:w="0" w:type="dxa"/>
          </w:tblCellMar>
        </w:tblPrEx>
        <w:trPr>
          <w:trHeight w:val="1080" w:hRule="atLeast"/>
        </w:trPr>
        <w:tc>
          <w:tcPr>
            <w:tcW w:w="5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646C7">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7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0F8AF97">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rPr>
            </w:pPr>
          </w:p>
        </w:tc>
        <w:tc>
          <w:tcPr>
            <w:tcW w:w="5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B2DB56">
            <w:pPr>
              <w:pageBreakBefore w:val="0"/>
              <w:widowControl/>
              <w:kinsoku/>
              <w:wordWrap/>
              <w:overflowPunct/>
              <w:topLinePunct w:val="0"/>
              <w:bidi w:val="0"/>
              <w:spacing w:line="576" w:lineRule="exact"/>
              <w:ind w:firstLine="480" w:firstLineChars="200"/>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满意度</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F8AA9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服务对象满意度</w:t>
            </w:r>
          </w:p>
        </w:tc>
        <w:tc>
          <w:tcPr>
            <w:tcW w:w="34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624D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反映服务对象或项目受益人对相关产出及其影响的认可程度，根据项目实际细化具体指标。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EAE93">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95%</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F2AB25">
            <w:pPr>
              <w:pageBreakBefore w:val="0"/>
              <w:kinsoku/>
              <w:wordWrap/>
              <w:overflowPunct/>
              <w:topLinePunct w:val="0"/>
              <w:bidi w:val="0"/>
              <w:spacing w:line="576" w:lineRule="exact"/>
              <w:ind w:firstLine="480" w:firstLineChars="20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95%</w:t>
            </w:r>
          </w:p>
        </w:tc>
      </w:tr>
    </w:tbl>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14:paraId="295084FD">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14:paraId="4454D2D4">
            <w:pPr>
              <w:pStyle w:val="23"/>
              <w:pageBreakBefore w:val="0"/>
              <w:widowControl/>
              <w:kinsoku/>
              <w:wordWrap/>
              <w:overflowPunct/>
              <w:topLinePunct w:val="0"/>
              <w:bidi w:val="0"/>
              <w:spacing w:line="576" w:lineRule="exact"/>
              <w:ind w:left="0" w:leftChars="0" w:firstLine="0" w:firstLineChars="0"/>
              <w:jc w:val="both"/>
              <w:textAlignment w:val="center"/>
              <w:rPr>
                <w:rFonts w:hint="eastAsia" w:ascii="仿宋_GB2312" w:hAnsi="仿宋_GB2312" w:eastAsia="仿宋_GB2312" w:cs="仿宋_GB2312"/>
                <w:bCs/>
                <w:color w:val="000000"/>
                <w:kern w:val="0"/>
                <w:sz w:val="24"/>
                <w:szCs w:val="24"/>
                <w:lang w:bidi="ar"/>
              </w:rPr>
            </w:pPr>
          </w:p>
          <w:p w14:paraId="63A651E8">
            <w:pPr>
              <w:pStyle w:val="23"/>
              <w:pageBreakBefore w:val="0"/>
              <w:widowControl/>
              <w:kinsoku/>
              <w:wordWrap/>
              <w:overflowPunct/>
              <w:topLinePunct w:val="0"/>
              <w:bidi w:val="0"/>
              <w:spacing w:line="576" w:lineRule="exact"/>
              <w:ind w:left="0" w:leftChars="0"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Cs/>
                <w:color w:val="000000"/>
                <w:kern w:val="0"/>
                <w:sz w:val="32"/>
                <w:szCs w:val="32"/>
                <w:lang w:bidi="ar"/>
              </w:rPr>
              <w:t>项目支出绩效目标完成情况表</w:t>
            </w:r>
            <w:r>
              <w:rPr>
                <w:rFonts w:hint="eastAsia" w:ascii="仿宋_GB2312" w:hAnsi="仿宋_GB2312" w:eastAsia="仿宋_GB2312" w:cs="仿宋_GB2312"/>
                <w:b/>
                <w:bCs/>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(20</w:t>
            </w:r>
            <w:r>
              <w:rPr>
                <w:rFonts w:hint="eastAsia" w:ascii="仿宋_GB2312" w:hAnsi="仿宋_GB2312" w:eastAsia="仿宋_GB2312" w:cs="仿宋_GB2312"/>
                <w:color w:val="000000"/>
                <w:kern w:val="0"/>
                <w:sz w:val="32"/>
                <w:szCs w:val="32"/>
                <w:lang w:val="en-US" w:eastAsia="zh-CN" w:bidi="ar"/>
              </w:rPr>
              <w:t>23</w:t>
            </w:r>
            <w:r>
              <w:rPr>
                <w:rFonts w:hint="eastAsia" w:ascii="仿宋_GB2312" w:hAnsi="仿宋_GB2312" w:eastAsia="仿宋_GB2312" w:cs="仿宋_GB2312"/>
                <w:color w:val="000000"/>
                <w:kern w:val="0"/>
                <w:sz w:val="32"/>
                <w:szCs w:val="32"/>
                <w:lang w:bidi="ar"/>
              </w:rPr>
              <w:t>年度)</w:t>
            </w:r>
          </w:p>
        </w:tc>
      </w:tr>
      <w:tr w14:paraId="05A23204">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0AEB6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12823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auto"/>
                <w:sz w:val="24"/>
                <w:szCs w:val="24"/>
                <w:highlight w:val="none"/>
                <w:lang w:val="en-US" w:eastAsia="zh-CN"/>
              </w:rPr>
              <w:t>天府通办APP红原分站点“红e办”建设项目</w:t>
            </w:r>
          </w:p>
        </w:tc>
      </w:tr>
      <w:tr w14:paraId="23C0C983">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C7AB4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1AE2A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eastAsia="zh-CN"/>
              </w:rPr>
              <w:t>红原县行政审批和政务服务管理局</w:t>
            </w:r>
          </w:p>
        </w:tc>
      </w:tr>
      <w:tr w14:paraId="1D43798C">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A5ACF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5E764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2FDBD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80万元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C6B55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E1470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65.28万元</w:t>
            </w:r>
          </w:p>
        </w:tc>
      </w:tr>
      <w:tr w14:paraId="7BD79607">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1F57761">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E7DB2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C1AD2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80万元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01746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62F8E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80万元</w:t>
            </w:r>
          </w:p>
        </w:tc>
      </w:tr>
      <w:tr w14:paraId="2ADDB08E">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D92368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ACC38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05622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val="en-US" w:eastAsia="zh-CN"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48C66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A2B5E6">
            <w:pPr>
              <w:pageBreakBefore w:val="0"/>
              <w:kinsoku/>
              <w:wordWrap/>
              <w:overflowPunct/>
              <w:topLinePunct w:val="0"/>
              <w:bidi w:val="0"/>
              <w:spacing w:line="576"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w:t>
            </w:r>
          </w:p>
        </w:tc>
      </w:tr>
      <w:tr w14:paraId="695C426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4674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B484C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46663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实际完成目标</w:t>
            </w:r>
          </w:p>
        </w:tc>
      </w:tr>
      <w:tr w14:paraId="4F88FEB8">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C385DB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A950F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sz w:val="24"/>
                <w:szCs w:val="24"/>
                <w:lang w:val="en-US" w:eastAsia="zh-CN"/>
              </w:rPr>
              <w:t>以创优营商环境为目标，着力为全县百姓提供更为优质的政务服务，为全县乡村振兴夯实基础并提供重要保障。</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0608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主要提供总渠道和总入口，充分依托省、州分站点支撑能力，全面整合全县各自政务服务资源，提供统一线上咨询、预约、预审及评价服务。</w:t>
            </w:r>
          </w:p>
        </w:tc>
      </w:tr>
      <w:tr w14:paraId="5FC49B88">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15FF9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F7BD9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34F57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A150B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0A847F4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7279E9C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50EA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实际完成指标值(包含数字及文字描述)</w:t>
            </w:r>
          </w:p>
        </w:tc>
      </w:tr>
      <w:tr w14:paraId="2045B6C8">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7406ED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68EFE62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3E1A56C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8037C8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6D3BB47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F755D8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sz w:val="24"/>
                <w:szCs w:val="24"/>
                <w:lang w:val="en-US" w:eastAsia="zh-CN"/>
              </w:rPr>
              <w:t>以创优营商环境为目标，着力为全县百姓提供更为优质的政务服务，为全县乡村振兴夯实基础并提供重要保障。</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7E3734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sz w:val="24"/>
                <w:szCs w:val="24"/>
                <w:lang w:val="en-US" w:eastAsia="zh-CN"/>
              </w:rPr>
              <w:t>提供总渠道和总入口，充分依托省、州分站点支撑能力，全面整合全县各自政务服务资源，提供统一线上咨询、预约、预审及评价服务。</w:t>
            </w:r>
          </w:p>
        </w:tc>
      </w:tr>
      <w:tr w14:paraId="143DEA0F">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8EB8890">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318BDA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6BABCC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DD8871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80CA5E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75A5487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三</w:t>
            </w:r>
            <w:r>
              <w:rPr>
                <w:rFonts w:hint="eastAsia" w:ascii="仿宋_GB2312" w:hAnsi="仿宋_GB2312" w:eastAsia="仿宋_GB2312" w:cs="仿宋_GB2312"/>
                <w:color w:val="000000"/>
                <w:sz w:val="24"/>
                <w:szCs w:val="24"/>
                <w:lang w:eastAsia="zh-CN"/>
              </w:rPr>
              <w:t>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F723E4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按计划完成</w:t>
            </w:r>
          </w:p>
        </w:tc>
      </w:tr>
      <w:tr w14:paraId="4577E6EB">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EC88442">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A0A58B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7FCBB26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B89E83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603C898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673A521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4AB9D7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14:paraId="409769DA">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8B2492F">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2620DD3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3B88EE3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DC92E0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1BCD67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65A5056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DA90ED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符合</w:t>
            </w:r>
          </w:p>
        </w:tc>
      </w:tr>
      <w:tr w14:paraId="7257677D">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C782113">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1C0A9B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75F92AB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4D45744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40E4CE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0C9FCF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AC0E52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已制定</w:t>
            </w:r>
          </w:p>
        </w:tc>
      </w:tr>
      <w:tr w14:paraId="6FC95390">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92C85A0">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79A0A4C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D46432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4993D4F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649AA2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41701E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22064F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31623E66">
        <w:tblPrEx>
          <w:tblCellMar>
            <w:top w:w="0" w:type="dxa"/>
            <w:left w:w="0" w:type="dxa"/>
            <w:bottom w:w="0" w:type="dxa"/>
            <w:right w:w="0" w:type="dxa"/>
          </w:tblCellMar>
        </w:tblPrEx>
        <w:trPr>
          <w:trHeight w:val="91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38C7BFD">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2E31B5D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5AD6AD0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7A9C3F8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38995F1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F36512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310E49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已制定</w:t>
            </w:r>
          </w:p>
        </w:tc>
      </w:tr>
      <w:tr w14:paraId="29D21107">
        <w:tblPrEx>
          <w:tblCellMar>
            <w:top w:w="0" w:type="dxa"/>
            <w:left w:w="0" w:type="dxa"/>
            <w:bottom w:w="0" w:type="dxa"/>
            <w:right w:w="0" w:type="dxa"/>
          </w:tblCellMar>
        </w:tblPrEx>
        <w:trPr>
          <w:trHeight w:val="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CFAAFCB">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76CDB0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14C798E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54C3972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32E3DF3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1"/>
                <w:szCs w:val="21"/>
              </w:rPr>
              <w:t>项目资金分配决策程序明</w:t>
            </w:r>
            <w:r>
              <w:rPr>
                <w:rFonts w:hint="eastAsia" w:ascii="仿宋_GB2312" w:hAnsi="仿宋_GB2312" w:eastAsia="仿宋_GB2312" w:cs="仿宋_GB2312"/>
                <w:color w:val="000000"/>
                <w:kern w:val="0"/>
                <w:sz w:val="24"/>
                <w:szCs w:val="24"/>
              </w:rPr>
              <w:t>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2C3512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CD2C9E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0286AB1A">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6DB1C72">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7551C2C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14:paraId="41C3C55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32C656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0129B86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715E687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2EFD4D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47E5FDBE">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382FF66">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C90A4B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14:paraId="7854747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D9FD48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97D1A1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8F4462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D57FA7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1E51FC03">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9EF7C0C">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1320ED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40DD2B2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199950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C2D485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D6A9A2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A3FE8A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1个</w:t>
            </w:r>
          </w:p>
        </w:tc>
      </w:tr>
      <w:tr w14:paraId="08D5A71A">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6C915E3">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7FE180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CAA20C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F685F7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1AA65D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80D1DC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0096E7D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38E8D2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r>
      <w:tr w14:paraId="40430332">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1C8E411">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1C133D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29D5F9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50F5E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15754CB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14:paraId="4141FC1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6B0B1C4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B46BD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0FDC90C3">
        <w:tblPrEx>
          <w:tblCellMar>
            <w:top w:w="0" w:type="dxa"/>
            <w:left w:w="0" w:type="dxa"/>
            <w:bottom w:w="0" w:type="dxa"/>
            <w:right w:w="0" w:type="dxa"/>
          </w:tblCellMar>
        </w:tblPrEx>
        <w:trPr>
          <w:trHeight w:val="217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077A84C">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2F452C1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9B95CE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ADB765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58758EE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002684B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C5E46D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66B09C81">
        <w:tblPrEx>
          <w:tblCellMar>
            <w:top w:w="0" w:type="dxa"/>
            <w:left w:w="0" w:type="dxa"/>
            <w:bottom w:w="0" w:type="dxa"/>
            <w:right w:w="0" w:type="dxa"/>
          </w:tblCellMar>
        </w:tblPrEx>
        <w:trPr>
          <w:trHeight w:val="8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4503A1E">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3D9372E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47A70B6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564F78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3C9019D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FDDBDA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按合同规定运维到期验收后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4FE75C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按合同规定运维到期验收后</w:t>
            </w:r>
          </w:p>
        </w:tc>
      </w:tr>
      <w:tr w14:paraId="7985D697">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D2E1A03">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2993F1E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0626800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A92F96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57168D2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64A8271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FE9C79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52269EE6">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2D2932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7F4D18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E193ED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97BACB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593E260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0AA6D1B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6A62AE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r>
      <w:tr w14:paraId="27D12A10">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606C8E9">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D1F2C1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59FA07C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ACFB99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31A5FEA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940EFF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F014E2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r>
      <w:tr w14:paraId="5632D8D0">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C04990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0E2370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7B3E72A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752299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60F91E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982AB8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E37D20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7CC4F13E">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44E6ECB">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3607175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6AC672F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A1AA5C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75C991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25B706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44BFAC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640D5CBA">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704B708">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A9C4CF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250525C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530442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0340F5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1108BE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AD404E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未调整</w:t>
            </w:r>
          </w:p>
        </w:tc>
      </w:tr>
      <w:tr w14:paraId="034170A4">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4A5BDB7">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D4549F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0582EA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943B2E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BA99AE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7332D16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E7F487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未调整</w:t>
            </w:r>
          </w:p>
        </w:tc>
      </w:tr>
      <w:tr w14:paraId="135C795F">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B8DDDAF">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F7A187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8240D3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C2889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ED9597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105EAF9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82B84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144DDA39">
        <w:tblPrEx>
          <w:tblCellMar>
            <w:top w:w="0" w:type="dxa"/>
            <w:left w:w="0" w:type="dxa"/>
            <w:bottom w:w="0" w:type="dxa"/>
            <w:right w:w="0" w:type="dxa"/>
          </w:tblCellMar>
        </w:tblPrEx>
        <w:trPr>
          <w:trHeight w:val="207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77BBF62">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460C22E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5D72AF9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EA4E02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294B3C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64542EE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8B5997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r>
      <w:tr w14:paraId="74579F6F">
        <w:tblPrEx>
          <w:tblCellMar>
            <w:top w:w="0" w:type="dxa"/>
            <w:left w:w="0" w:type="dxa"/>
            <w:bottom w:w="0" w:type="dxa"/>
            <w:right w:w="0" w:type="dxa"/>
          </w:tblCellMar>
        </w:tblPrEx>
        <w:trPr>
          <w:trHeight w:val="89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6D3806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14:paraId="3E91DB1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67F351A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AFB33D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1AB9D6F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288769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DC27A9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r>
      <w:tr w14:paraId="48FF1619">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EFA9375">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14:paraId="5390DF5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30A8E66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D878ED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A95C13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7A8DDFD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89E8D8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r>
      <w:tr w14:paraId="5937B970">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F40308E">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14:paraId="20B6983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62FC783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CC218C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B256EF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DB6205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61B7C1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r>
      <w:tr w14:paraId="65FA168D">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14722D2">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E2E617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5011397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38D04C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55A158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6021E9C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为全县乡村振兴夯实基础并提供重要保障</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03EEC3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sz w:val="24"/>
                <w:szCs w:val="24"/>
                <w:lang w:val="en-US" w:eastAsia="zh-CN"/>
              </w:rPr>
              <w:t>提供总渠道和总入口，充分依托省、州分站点支撑能力，全面整合全县各自政务服务资源，提供统一线上咨询、预约、预审及评价服务。</w:t>
            </w:r>
          </w:p>
        </w:tc>
      </w:tr>
      <w:tr w14:paraId="7632887D">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5F4388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207F12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3287867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4A2D83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32EF455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F72F79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提高政务服务效率和便捷性</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2372B8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红e办”分站点由“我要知晓”、“我要学法”、“我要办事”、“我要你帮忙”向群众提供旅游、民生、服务、法律等信息和帮助。</w:t>
            </w:r>
          </w:p>
        </w:tc>
      </w:tr>
      <w:tr w14:paraId="5ABCA69B">
        <w:tblPrEx>
          <w:tblCellMar>
            <w:top w:w="0" w:type="dxa"/>
            <w:left w:w="0" w:type="dxa"/>
            <w:bottom w:w="0" w:type="dxa"/>
            <w:right w:w="0" w:type="dxa"/>
          </w:tblCellMar>
        </w:tblPrEx>
        <w:trPr>
          <w:trHeight w:val="48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AFBD5C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F4E614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3B590FB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9AECF2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F24CA9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4367DD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减少纸张的使用、减少交通出行。</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C45AD3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lang w:val="en-US" w:eastAsia="zh-CN"/>
              </w:rPr>
              <w:t>随着天府通办APP的推广和使用，越来越多的政务服务事项实现了线上办理，纸质材料的使用量明显减少</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群众和企业通过天府通办APP办理业务，减少了前往政务服务中心的次数，一定程度上减少了碳的排放。</w:t>
            </w:r>
          </w:p>
        </w:tc>
      </w:tr>
      <w:tr w14:paraId="71BD444F">
        <w:tblPrEx>
          <w:tblCellMar>
            <w:top w:w="0" w:type="dxa"/>
            <w:left w:w="0" w:type="dxa"/>
            <w:bottom w:w="0" w:type="dxa"/>
            <w:right w:w="0" w:type="dxa"/>
          </w:tblCellMar>
        </w:tblPrEx>
        <w:trPr>
          <w:trHeight w:val="212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D648605">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14D6DA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51BE58B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A10730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6069D1D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8A6EED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业务办理更快捷，随着技术不断升级和功能优化，预期未来用户在天府通办上办理业务的时间将进一步缩短。</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A3346C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审批流程优化，实现了部分业务的在线审批。</w:t>
            </w:r>
          </w:p>
        </w:tc>
      </w:tr>
      <w:tr w14:paraId="3E464344">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B01C1E6">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D4C686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446F7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43981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4106E71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581433F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95%</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FD36B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95%</w:t>
            </w:r>
          </w:p>
        </w:tc>
      </w:tr>
    </w:tbl>
    <w:p w14:paraId="3EABD3B2">
      <w:pPr>
        <w:pageBreakBefore w:val="0"/>
        <w:numPr>
          <w:ilvl w:val="0"/>
          <w:numId w:val="0"/>
        </w:numPr>
        <w:kinsoku/>
        <w:wordWrap/>
        <w:overflowPunct/>
        <w:topLinePunct w:val="0"/>
        <w:bidi w:val="0"/>
        <w:spacing w:line="576" w:lineRule="exact"/>
        <w:ind w:firstLine="482" w:firstLineChars="200"/>
        <w:rPr>
          <w:rFonts w:hint="eastAsia" w:ascii="仿宋_GB2312" w:hAnsi="仿宋_GB2312" w:eastAsia="仿宋_GB2312" w:cs="仿宋_GB2312"/>
          <w:b/>
          <w:bCs/>
          <w:color w:val="auto"/>
          <w:sz w:val="24"/>
          <w:szCs w:val="24"/>
          <w:lang w:eastAsia="zh-CN"/>
        </w:rPr>
      </w:pPr>
    </w:p>
    <w:p w14:paraId="77ECEC3A">
      <w:pPr>
        <w:pStyle w:val="2"/>
        <w:rPr>
          <w:rFonts w:hint="eastAsia" w:ascii="仿宋_GB2312" w:hAnsi="仿宋_GB2312" w:eastAsia="仿宋_GB2312" w:cs="仿宋_GB2312"/>
          <w:b/>
          <w:bCs/>
          <w:color w:val="auto"/>
          <w:sz w:val="24"/>
          <w:szCs w:val="24"/>
          <w:lang w:eastAsia="zh-CN"/>
        </w:rPr>
      </w:pPr>
    </w:p>
    <w:p w14:paraId="0E0E745E">
      <w:pPr>
        <w:rPr>
          <w:rFonts w:hint="eastAsia" w:ascii="仿宋_GB2312" w:hAnsi="仿宋_GB2312" w:eastAsia="仿宋_GB2312" w:cs="仿宋_GB2312"/>
          <w:b/>
          <w:bCs/>
          <w:color w:val="auto"/>
          <w:sz w:val="24"/>
          <w:szCs w:val="24"/>
          <w:lang w:eastAsia="zh-CN"/>
        </w:rPr>
      </w:pPr>
    </w:p>
    <w:p w14:paraId="37ED245A">
      <w:pPr>
        <w:pStyle w:val="2"/>
        <w:rPr>
          <w:rFonts w:hint="eastAsia"/>
          <w:lang w:eastAsia="zh-CN"/>
        </w:rPr>
      </w:pPr>
    </w:p>
    <w:p w14:paraId="2C83507D">
      <w:pPr>
        <w:jc w:val="center"/>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000000"/>
          <w:kern w:val="0"/>
          <w:sz w:val="32"/>
          <w:szCs w:val="32"/>
          <w:lang w:bidi="ar"/>
        </w:rPr>
        <w:t>项目支出绩效目标完成情况表</w:t>
      </w:r>
      <w:r>
        <w:rPr>
          <w:rFonts w:hint="eastAsia" w:ascii="仿宋_GB2312" w:hAnsi="仿宋_GB2312" w:eastAsia="仿宋_GB2312" w:cs="仿宋_GB2312"/>
          <w:b w:val="0"/>
          <w:bCs/>
          <w:color w:val="000000"/>
          <w:kern w:val="0"/>
          <w:sz w:val="32"/>
          <w:szCs w:val="32"/>
          <w:lang w:bidi="ar"/>
        </w:rPr>
        <w:br w:type="textWrapping"/>
      </w:r>
      <w:r>
        <w:rPr>
          <w:rFonts w:hint="eastAsia" w:ascii="仿宋_GB2312" w:hAnsi="仿宋_GB2312" w:eastAsia="仿宋_GB2312" w:cs="仿宋_GB2312"/>
          <w:b w:val="0"/>
          <w:bCs/>
          <w:color w:val="000000"/>
          <w:kern w:val="0"/>
          <w:sz w:val="32"/>
          <w:szCs w:val="32"/>
          <w:lang w:bidi="ar"/>
        </w:rPr>
        <w:t>(20</w:t>
      </w:r>
      <w:r>
        <w:rPr>
          <w:rFonts w:hint="eastAsia" w:ascii="仿宋_GB2312" w:hAnsi="仿宋_GB2312" w:eastAsia="仿宋_GB2312" w:cs="仿宋_GB2312"/>
          <w:b w:val="0"/>
          <w:bCs/>
          <w:color w:val="000000"/>
          <w:kern w:val="0"/>
          <w:sz w:val="32"/>
          <w:szCs w:val="32"/>
          <w:lang w:val="en-US" w:eastAsia="zh-CN" w:bidi="ar"/>
        </w:rPr>
        <w:t>23</w:t>
      </w:r>
      <w:r>
        <w:rPr>
          <w:rFonts w:hint="eastAsia" w:ascii="仿宋_GB2312" w:hAnsi="仿宋_GB2312" w:eastAsia="仿宋_GB2312" w:cs="仿宋_GB2312"/>
          <w:b w:val="0"/>
          <w:bCs/>
          <w:color w:val="000000"/>
          <w:kern w:val="0"/>
          <w:sz w:val="32"/>
          <w:szCs w:val="32"/>
          <w:lang w:bidi="ar"/>
        </w:rPr>
        <w:t>年度)</w:t>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14:paraId="25DEA802">
        <w:tblPrEx>
          <w:tblCellMar>
            <w:top w:w="0" w:type="dxa"/>
            <w:left w:w="0" w:type="dxa"/>
            <w:bottom w:w="0" w:type="dxa"/>
            <w:right w:w="0" w:type="dxa"/>
          </w:tblCellMar>
        </w:tblPrEx>
        <w:trPr>
          <w:trHeight w:val="261" w:hRule="atLeast"/>
        </w:trPr>
        <w:tc>
          <w:tcPr>
            <w:tcW w:w="9960" w:type="dxa"/>
            <w:gridSpan w:val="8"/>
            <w:tcMar>
              <w:top w:w="15" w:type="dxa"/>
              <w:left w:w="15" w:type="dxa"/>
              <w:bottom w:w="0" w:type="dxa"/>
              <w:right w:w="15" w:type="dxa"/>
            </w:tcMar>
            <w:vAlign w:val="top"/>
          </w:tcPr>
          <w:p w14:paraId="7352014B">
            <w:pPr>
              <w:pStyle w:val="23"/>
              <w:pageBreakBefore w:val="0"/>
              <w:widowControl/>
              <w:kinsoku/>
              <w:wordWrap/>
              <w:overflowPunct/>
              <w:topLinePunct w:val="0"/>
              <w:bidi w:val="0"/>
              <w:spacing w:line="576" w:lineRule="exact"/>
              <w:jc w:val="both"/>
              <w:textAlignment w:val="center"/>
              <w:rPr>
                <w:rFonts w:hint="eastAsia" w:ascii="仿宋_GB2312" w:hAnsi="仿宋_GB2312" w:eastAsia="仿宋_GB2312" w:cs="仿宋_GB2312"/>
                <w:color w:val="000000"/>
                <w:sz w:val="24"/>
                <w:szCs w:val="24"/>
              </w:rPr>
            </w:pPr>
          </w:p>
        </w:tc>
      </w:tr>
      <w:tr w14:paraId="21D0E7F6">
        <w:tblPrEx>
          <w:tblCellMar>
            <w:top w:w="0" w:type="dxa"/>
            <w:left w:w="0" w:type="dxa"/>
            <w:bottom w:w="0" w:type="dxa"/>
            <w:right w:w="0" w:type="dxa"/>
          </w:tblCellMar>
        </w:tblPrEx>
        <w:trPr>
          <w:trHeight w:val="601"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EE65C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5CA49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专项办公费</w:t>
            </w:r>
          </w:p>
        </w:tc>
      </w:tr>
      <w:tr w14:paraId="71F8D211">
        <w:tblPrEx>
          <w:tblCellMar>
            <w:top w:w="0" w:type="dxa"/>
            <w:left w:w="0" w:type="dxa"/>
            <w:bottom w:w="0" w:type="dxa"/>
            <w:right w:w="0" w:type="dxa"/>
          </w:tblCellMar>
        </w:tblPrEx>
        <w:trPr>
          <w:trHeight w:val="601"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3F715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96533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红原县行政审批和政务服务管理局</w:t>
            </w:r>
          </w:p>
        </w:tc>
      </w:tr>
      <w:tr w14:paraId="4FA35679">
        <w:tblPrEx>
          <w:tblCellMar>
            <w:top w:w="0" w:type="dxa"/>
            <w:left w:w="0" w:type="dxa"/>
            <w:bottom w:w="0" w:type="dxa"/>
            <w:right w:w="0" w:type="dxa"/>
          </w:tblCellMar>
        </w:tblPrEx>
        <w:trPr>
          <w:trHeight w:val="1751"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63ADE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2DC2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31E5B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47.0125万元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6D57C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62445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47.0125万元</w:t>
            </w:r>
          </w:p>
        </w:tc>
      </w:tr>
      <w:tr w14:paraId="6B7EF112">
        <w:tblPrEx>
          <w:tblCellMar>
            <w:top w:w="0" w:type="dxa"/>
            <w:left w:w="0" w:type="dxa"/>
            <w:bottom w:w="0" w:type="dxa"/>
            <w:right w:w="0" w:type="dxa"/>
          </w:tblCellMar>
        </w:tblPrEx>
        <w:trPr>
          <w:trHeight w:val="175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0E9ADA5">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F1536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32E9A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47.0125万元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9CDF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BD7EB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47.0125万元</w:t>
            </w:r>
          </w:p>
        </w:tc>
      </w:tr>
      <w:tr w14:paraId="1CDE96BA">
        <w:tblPrEx>
          <w:tblCellMar>
            <w:top w:w="0" w:type="dxa"/>
            <w:left w:w="0" w:type="dxa"/>
            <w:bottom w:w="0" w:type="dxa"/>
            <w:right w:w="0" w:type="dxa"/>
          </w:tblCellMar>
        </w:tblPrEx>
        <w:trPr>
          <w:trHeight w:val="153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F40DA2C">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4742E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A6FF7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val="en-US" w:eastAsia="zh-CN"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5E3D2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D4A986">
            <w:pPr>
              <w:pageBreakBefore w:val="0"/>
              <w:kinsoku/>
              <w:wordWrap/>
              <w:overflowPunct/>
              <w:topLinePunct w:val="0"/>
              <w:bidi w:val="0"/>
              <w:spacing w:line="576"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w:t>
            </w:r>
          </w:p>
        </w:tc>
      </w:tr>
      <w:tr w14:paraId="28258E18">
        <w:tblPrEx>
          <w:tblCellMar>
            <w:top w:w="0" w:type="dxa"/>
            <w:left w:w="0" w:type="dxa"/>
            <w:bottom w:w="0" w:type="dxa"/>
            <w:right w:w="0" w:type="dxa"/>
          </w:tblCellMar>
        </w:tblPrEx>
        <w:trPr>
          <w:trHeight w:val="601"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20C0B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3B00B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67885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实际完成目标</w:t>
            </w:r>
          </w:p>
        </w:tc>
      </w:tr>
      <w:tr w14:paraId="146FBB37">
        <w:tblPrEx>
          <w:tblCellMar>
            <w:top w:w="0" w:type="dxa"/>
            <w:left w:w="0" w:type="dxa"/>
            <w:bottom w:w="0" w:type="dxa"/>
            <w:right w:w="0" w:type="dxa"/>
          </w:tblCellMar>
        </w:tblPrEx>
        <w:trPr>
          <w:trHeight w:val="405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F73DB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A7A43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保障政务大厅及交易中心工作员日常工作开展</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53E44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保障了政务大厅工作人员饮水、用电、暖气、网络使用，制作了政务大厅政务服务公示栏等各类便于群众办事了解的各类指引牌。保障了交易中心工作人员的正常工作开展。</w:t>
            </w:r>
          </w:p>
        </w:tc>
      </w:tr>
      <w:tr w14:paraId="3DEC9C7A">
        <w:tblPrEx>
          <w:tblCellMar>
            <w:top w:w="0" w:type="dxa"/>
            <w:left w:w="0" w:type="dxa"/>
            <w:bottom w:w="0" w:type="dxa"/>
            <w:right w:w="0" w:type="dxa"/>
          </w:tblCellMar>
        </w:tblPrEx>
        <w:trPr>
          <w:trHeight w:val="1771"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80EBE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ED45A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C128D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47EF7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04A7EB7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3A13ED8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CBBE6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实际完成指标值(包含数字及文字描述)</w:t>
            </w:r>
          </w:p>
        </w:tc>
      </w:tr>
      <w:tr w14:paraId="3AE8E457">
        <w:tblPrEx>
          <w:tblCellMar>
            <w:top w:w="0" w:type="dxa"/>
            <w:left w:w="0" w:type="dxa"/>
            <w:bottom w:w="0" w:type="dxa"/>
            <w:right w:w="0" w:type="dxa"/>
          </w:tblCellMar>
        </w:tblPrEx>
        <w:trPr>
          <w:trHeight w:val="462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E672B3">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4D9A098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6ED4B1E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59CC49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A37B47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95C09D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保障政务大厅及交易中心工作员日常工作开展</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47C0DA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保障了政务大厅工作人员饮水、用电、暖气、网络使用，制作了政务大厅政务服务公示栏等各类便于群众办事了解的各类指引牌。保障了交易中心工作人员的正常工作开展。</w:t>
            </w:r>
          </w:p>
        </w:tc>
      </w:tr>
      <w:tr w14:paraId="07B566FF">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48906AC">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16F8B9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17E49E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10807D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5BC557C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95607E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F22622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按计划完成</w:t>
            </w:r>
          </w:p>
        </w:tc>
      </w:tr>
      <w:tr w14:paraId="59651549">
        <w:tblPrEx>
          <w:tblCellMar>
            <w:top w:w="0" w:type="dxa"/>
            <w:left w:w="0" w:type="dxa"/>
            <w:bottom w:w="0" w:type="dxa"/>
            <w:right w:w="0" w:type="dxa"/>
          </w:tblCellMar>
        </w:tblPrEx>
        <w:trPr>
          <w:trHeight w:val="175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5491DD6">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0A6399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6860709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1088FF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01A7718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D02C85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5F2C3D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14:paraId="4A65C17C">
        <w:tblPrEx>
          <w:tblCellMar>
            <w:top w:w="0" w:type="dxa"/>
            <w:left w:w="0" w:type="dxa"/>
            <w:bottom w:w="0" w:type="dxa"/>
            <w:right w:w="0" w:type="dxa"/>
          </w:tblCellMar>
        </w:tblPrEx>
        <w:trPr>
          <w:trHeight w:val="232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EA5A29A">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CD44A6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02A4224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F6293E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33E435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1FB373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1B0FF4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符合</w:t>
            </w:r>
          </w:p>
        </w:tc>
      </w:tr>
      <w:tr w14:paraId="5FABE5FA">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F37BBEE">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C8F97C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auto" w:sz="4" w:space="0"/>
            </w:tcBorders>
            <w:tcMar>
              <w:top w:w="15" w:type="dxa"/>
              <w:left w:w="15" w:type="dxa"/>
              <w:bottom w:w="0" w:type="dxa"/>
              <w:right w:w="15" w:type="dxa"/>
            </w:tcMar>
            <w:vAlign w:val="center"/>
          </w:tcPr>
          <w:p w14:paraId="3BA1BE4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vMerge w:val="restart"/>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467030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05B396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196A950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C55A64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已制定</w:t>
            </w:r>
          </w:p>
        </w:tc>
      </w:tr>
      <w:tr w14:paraId="0029CFE1">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B4EC73E">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30C106C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auto" w:sz="4" w:space="0"/>
            </w:tcBorders>
            <w:tcMar>
              <w:top w:w="15" w:type="dxa"/>
              <w:left w:w="15" w:type="dxa"/>
              <w:bottom w:w="0" w:type="dxa"/>
              <w:right w:w="15" w:type="dxa"/>
            </w:tcMar>
            <w:vAlign w:val="center"/>
          </w:tcPr>
          <w:p w14:paraId="41C54C8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8D65EE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2685"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FB272B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实施规划符合实际，并根据情况变化适时调整</w:t>
            </w:r>
          </w:p>
        </w:tc>
        <w:tc>
          <w:tcPr>
            <w:tcW w:w="19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E91FFB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7BDECA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512E3993">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2973A0B">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33632B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32FB4FA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2AAFE9A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D0077D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0C99AE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5719C6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已制定</w:t>
            </w:r>
          </w:p>
        </w:tc>
      </w:tr>
      <w:tr w14:paraId="18852A6D">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1AC0044">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AC8406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7A51683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44B2320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3578AB8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97DE03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F7DC01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2A83EE8E">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0B38D50">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8F84D5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14:paraId="6CFD760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6484A50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50BDCE1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E45FCE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38BE97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7DD627E9">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00D7C56">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696A80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14:paraId="2AA01C3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0601D56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38DA009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77C5F7A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B11EAE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7C2D63D6">
        <w:tblPrEx>
          <w:tblCellMar>
            <w:top w:w="0" w:type="dxa"/>
            <w:left w:w="0" w:type="dxa"/>
            <w:bottom w:w="0" w:type="dxa"/>
            <w:right w:w="0" w:type="dxa"/>
          </w:tblCellMar>
        </w:tblPrEx>
        <w:trPr>
          <w:trHeight w:val="208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2E1319B">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CF3C43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682B088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116525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288C7D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68710E1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BB8604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1个</w:t>
            </w:r>
          </w:p>
        </w:tc>
      </w:tr>
      <w:tr w14:paraId="144C479B">
        <w:tblPrEx>
          <w:tblCellMar>
            <w:top w:w="0" w:type="dxa"/>
            <w:left w:w="0" w:type="dxa"/>
            <w:bottom w:w="0" w:type="dxa"/>
            <w:right w:w="0" w:type="dxa"/>
          </w:tblCellMar>
        </w:tblPrEx>
        <w:trPr>
          <w:trHeight w:val="232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E3D3AF4">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54A29A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78552DB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CABC86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6090040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6BB9F0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A2F5A9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337B10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r>
      <w:tr w14:paraId="0BE87E5C">
        <w:tblPrEx>
          <w:tblCellMar>
            <w:top w:w="0" w:type="dxa"/>
            <w:left w:w="0" w:type="dxa"/>
            <w:bottom w:w="0" w:type="dxa"/>
            <w:right w:w="0" w:type="dxa"/>
          </w:tblCellMar>
        </w:tblPrEx>
        <w:trPr>
          <w:trHeight w:val="462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040538F">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7B4C23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2594D31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6BA1D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C1FCE5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14:paraId="2FED3F7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3BF9F86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5BA5A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是</w:t>
            </w:r>
          </w:p>
        </w:tc>
      </w:tr>
      <w:tr w14:paraId="0218AA74">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81AE323">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536517D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CFB55C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6D7455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D0C261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156334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3CFD4C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56A1407D">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7F7E248">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3BAAE92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2E04DC6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8A7211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1FA162E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718D3C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每次费用产生后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229CE0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eastAsia="zh-CN"/>
              </w:rPr>
              <w:t>每次</w:t>
            </w:r>
            <w:r>
              <w:rPr>
                <w:rFonts w:hint="eastAsia" w:ascii="仿宋_GB2312" w:hAnsi="仿宋_GB2312" w:eastAsia="仿宋_GB2312" w:cs="仿宋_GB2312"/>
                <w:color w:val="000000"/>
                <w:sz w:val="24"/>
                <w:szCs w:val="24"/>
                <w:lang w:val="en-US" w:eastAsia="zh-CN"/>
              </w:rPr>
              <w:t>费用产生后</w:t>
            </w:r>
          </w:p>
        </w:tc>
      </w:tr>
      <w:tr w14:paraId="46681AC9">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CC99C08">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7A0BBAF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51CAB6C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033045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1D99CB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07F128B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602714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4066CFE9">
        <w:tblPrEx>
          <w:tblCellMar>
            <w:top w:w="0" w:type="dxa"/>
            <w:left w:w="0" w:type="dxa"/>
            <w:bottom w:w="0" w:type="dxa"/>
            <w:right w:w="0" w:type="dxa"/>
          </w:tblCellMar>
        </w:tblPrEx>
        <w:trPr>
          <w:trHeight w:val="175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C219609">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C419C4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D0B360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76AB6C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6205EAD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1D5759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E69E23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r>
      <w:tr w14:paraId="67B80A1A">
        <w:tblPrEx>
          <w:tblCellMar>
            <w:top w:w="0" w:type="dxa"/>
            <w:left w:w="0" w:type="dxa"/>
            <w:bottom w:w="0" w:type="dxa"/>
            <w:right w:w="0" w:type="dxa"/>
          </w:tblCellMar>
        </w:tblPrEx>
        <w:trPr>
          <w:trHeight w:val="175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8870FC6">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4DB10A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7B38305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461DFA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772E13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5EA3FA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1F27BF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r>
      <w:tr w14:paraId="122D31B2">
        <w:tblPrEx>
          <w:tblCellMar>
            <w:top w:w="0" w:type="dxa"/>
            <w:left w:w="0" w:type="dxa"/>
            <w:bottom w:w="0" w:type="dxa"/>
            <w:right w:w="0" w:type="dxa"/>
          </w:tblCellMar>
        </w:tblPrEx>
        <w:trPr>
          <w:trHeight w:val="19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2BDBA05">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E68342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17DF8FD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917982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EB002B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35F15E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0DD487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56595745">
        <w:tblPrEx>
          <w:tblCellMar>
            <w:top w:w="0" w:type="dxa"/>
            <w:left w:w="0" w:type="dxa"/>
            <w:bottom w:w="0" w:type="dxa"/>
            <w:right w:w="0" w:type="dxa"/>
          </w:tblCellMar>
        </w:tblPrEx>
        <w:trPr>
          <w:trHeight w:val="97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A75A727">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E9F6C9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7079831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0C30F3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3872BF6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9575DA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C26BAA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11CD6479">
        <w:tblPrEx>
          <w:tblCellMar>
            <w:top w:w="0" w:type="dxa"/>
            <w:left w:w="0" w:type="dxa"/>
            <w:bottom w:w="0" w:type="dxa"/>
            <w:right w:w="0" w:type="dxa"/>
          </w:tblCellMar>
        </w:tblPrEx>
        <w:trPr>
          <w:trHeight w:val="101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F565EB1">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205275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32A0884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08B25F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89A7E5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0D9A024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3DE5B0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未调整</w:t>
            </w:r>
          </w:p>
        </w:tc>
      </w:tr>
      <w:tr w14:paraId="3AC1825D">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AB3C41">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0FFBFD1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1496D2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23BA3B3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889834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F1EC38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72826A3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未调整</w:t>
            </w:r>
          </w:p>
        </w:tc>
      </w:tr>
      <w:tr w14:paraId="43D7F17D">
        <w:tblPrEx>
          <w:tblCellMar>
            <w:top w:w="0" w:type="dxa"/>
            <w:left w:w="0" w:type="dxa"/>
            <w:bottom w:w="0" w:type="dxa"/>
            <w:right w:w="0" w:type="dxa"/>
          </w:tblCellMar>
        </w:tblPrEx>
        <w:trPr>
          <w:trHeight w:val="90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2A42D7E">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D3C90C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68091EE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9B4D8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1FE9FF7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62018F7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68D39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是</w:t>
            </w:r>
          </w:p>
        </w:tc>
      </w:tr>
      <w:tr w14:paraId="1EBA079D">
        <w:tblPrEx>
          <w:tblCellMar>
            <w:top w:w="0" w:type="dxa"/>
            <w:left w:w="0" w:type="dxa"/>
            <w:bottom w:w="0" w:type="dxa"/>
            <w:right w:w="0" w:type="dxa"/>
          </w:tblCellMar>
        </w:tblPrEx>
        <w:trPr>
          <w:trHeight w:val="109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DA86C19">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9649F6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1F4544C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5202499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EC3556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0DA4E18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81F1AC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r>
      <w:tr w14:paraId="0BDEB08F">
        <w:tblPrEx>
          <w:tblCellMar>
            <w:top w:w="0" w:type="dxa"/>
            <w:left w:w="0" w:type="dxa"/>
            <w:bottom w:w="0" w:type="dxa"/>
            <w:right w:w="0" w:type="dxa"/>
          </w:tblCellMar>
        </w:tblPrEx>
        <w:trPr>
          <w:trHeight w:val="11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543C14F">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14:paraId="2F9CEB3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5B7742F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7EE27E4">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40D5D77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FD7019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8AA5F5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符合</w:t>
            </w:r>
          </w:p>
        </w:tc>
      </w:tr>
      <w:tr w14:paraId="3E529E2F">
        <w:tblPrEx>
          <w:tblCellMar>
            <w:top w:w="0" w:type="dxa"/>
            <w:left w:w="0" w:type="dxa"/>
            <w:bottom w:w="0" w:type="dxa"/>
            <w:right w:w="0" w:type="dxa"/>
          </w:tblCellMar>
        </w:tblPrEx>
        <w:trPr>
          <w:trHeight w:val="163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8170FC6">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14:paraId="4DCAA6A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59DA2E6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050335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75D3E5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2A6B76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9E568E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r>
      <w:tr w14:paraId="21CDFEBB">
        <w:tblPrEx>
          <w:tblCellMar>
            <w:top w:w="0" w:type="dxa"/>
            <w:left w:w="0" w:type="dxa"/>
            <w:bottom w:w="0" w:type="dxa"/>
            <w:right w:w="0" w:type="dxa"/>
          </w:tblCellMar>
        </w:tblPrEx>
        <w:trPr>
          <w:trHeight w:val="139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1687CF3">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14:paraId="593A7C2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3A0AC45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1A8E831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123F80A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4F5F67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B59104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r>
      <w:tr w14:paraId="153E90A7">
        <w:tblPrEx>
          <w:tblCellMar>
            <w:top w:w="0" w:type="dxa"/>
            <w:left w:w="0" w:type="dxa"/>
            <w:bottom w:w="0" w:type="dxa"/>
            <w:right w:w="0" w:type="dxa"/>
          </w:tblCellMar>
        </w:tblPrEx>
        <w:trPr>
          <w:trHeight w:val="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CCBAC29">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D502D3B">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14:paraId="417CC32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51942E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0805D86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1C474FD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提升服务效率</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34BFB69">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1"/>
                <w:szCs w:val="21"/>
                <w:lang w:val="en-US" w:eastAsia="zh-CN"/>
              </w:rPr>
              <w:t>保障工作人员日常工作开展的水费、电费、暖气费、网费等。保障了交易中心工作人员到成都参加全县政府</w:t>
            </w:r>
            <w:r>
              <w:rPr>
                <w:rFonts w:hint="eastAsia" w:ascii="仿宋_GB2312" w:hAnsi="仿宋_GB2312" w:eastAsia="仿宋_GB2312" w:cs="仿宋_GB2312"/>
                <w:color w:val="000000"/>
                <w:sz w:val="24"/>
                <w:szCs w:val="24"/>
                <w:lang w:val="en-US" w:eastAsia="zh-CN"/>
              </w:rPr>
              <w:t>采购工作。</w:t>
            </w:r>
          </w:p>
        </w:tc>
      </w:tr>
      <w:tr w14:paraId="6256FDF1">
        <w:tblPrEx>
          <w:tblCellMar>
            <w:top w:w="0" w:type="dxa"/>
            <w:left w:w="0" w:type="dxa"/>
            <w:bottom w:w="0" w:type="dxa"/>
            <w:right w:w="0" w:type="dxa"/>
          </w:tblCellMar>
        </w:tblPrEx>
        <w:trPr>
          <w:trHeight w:val="366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B1681E8">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5340497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5F6D0CAF">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11C87C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2CDF640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6BF7809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提升服务质量</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3C129ED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lang w:val="en-US" w:eastAsia="zh-CN"/>
              </w:rPr>
              <w:t>提升了政务大厅的办公环境、群众排队等候现象减少。保障了交易中心工作人员到成都参加全县政府采购工作。</w:t>
            </w:r>
          </w:p>
        </w:tc>
      </w:tr>
      <w:tr w14:paraId="004EAAD7">
        <w:tblPrEx>
          <w:tblCellMar>
            <w:top w:w="0" w:type="dxa"/>
            <w:left w:w="0" w:type="dxa"/>
            <w:bottom w:w="0" w:type="dxa"/>
            <w:right w:w="0" w:type="dxa"/>
          </w:tblCellMar>
        </w:tblPrEx>
        <w:trPr>
          <w:trHeight w:val="232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DDC1C40">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4D7175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0ECE09E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0EECD9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7C02C6E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3325DC8">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让群众少跑路，“最多跑一次”</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C7CFDFA">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政务大厅整合了各单位分散的办事窗口，让群众无需在不同部门间来回奔波。</w:t>
            </w:r>
          </w:p>
        </w:tc>
      </w:tr>
      <w:tr w14:paraId="32D4F672">
        <w:tblPrEx>
          <w:tblCellMar>
            <w:top w:w="0" w:type="dxa"/>
            <w:left w:w="0" w:type="dxa"/>
            <w:bottom w:w="0" w:type="dxa"/>
            <w:right w:w="0" w:type="dxa"/>
          </w:tblCellMar>
        </w:tblPrEx>
        <w:trPr>
          <w:trHeight w:val="290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F2E41E9">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351B442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14:paraId="08E095D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428594B3">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14:paraId="3A389005">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0C16B0DE">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提升服务质量</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624E9457">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保障工作人员日常工作开展，避免因设备故障导致业务延误，让群众能够及时、顺利地办理事务。</w:t>
            </w:r>
          </w:p>
        </w:tc>
      </w:tr>
      <w:tr w14:paraId="593EE828">
        <w:tblPrEx>
          <w:tblCellMar>
            <w:top w:w="0" w:type="dxa"/>
            <w:left w:w="0" w:type="dxa"/>
            <w:bottom w:w="0" w:type="dxa"/>
            <w:right w:w="0" w:type="dxa"/>
          </w:tblCellMar>
        </w:tblPrEx>
        <w:trPr>
          <w:trHeight w:val="233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CA1D252">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szCs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0BE26AC">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szCs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1E86F2">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F66A2D">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2AFCDD10">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5B61F161">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95%</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8EDED6">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95%</w:t>
            </w:r>
          </w:p>
        </w:tc>
      </w:tr>
    </w:tbl>
    <w:p w14:paraId="6427E6CC">
      <w:pPr>
        <w:pageBreakBefore w:val="0"/>
        <w:numPr>
          <w:ilvl w:val="0"/>
          <w:numId w:val="0"/>
        </w:numPr>
        <w:kinsoku/>
        <w:wordWrap/>
        <w:overflowPunct/>
        <w:topLinePunct w:val="0"/>
        <w:bidi w:val="0"/>
        <w:spacing w:line="576" w:lineRule="exact"/>
        <w:ind w:firstLine="643" w:firstLineChars="200"/>
        <w:rPr>
          <w:rFonts w:hint="eastAsia" w:ascii="仿宋_GB2312" w:hAnsi="仿宋_GB2312" w:eastAsia="仿宋_GB2312" w:cs="仿宋_GB2312"/>
          <w:b/>
          <w:bCs/>
          <w:color w:val="auto"/>
          <w:sz w:val="32"/>
          <w:szCs w:val="32"/>
          <w:lang w:eastAsia="zh-CN"/>
        </w:rPr>
      </w:pPr>
    </w:p>
    <w:p w14:paraId="5E7CF062">
      <w:pPr>
        <w:pStyle w:val="2"/>
        <w:rPr>
          <w:rFonts w:hint="eastAsia" w:ascii="仿宋_GB2312" w:hAnsi="仿宋_GB2312" w:eastAsia="仿宋_GB2312" w:cs="仿宋_GB2312"/>
          <w:b/>
          <w:bCs/>
          <w:color w:val="auto"/>
          <w:sz w:val="32"/>
          <w:szCs w:val="32"/>
          <w:lang w:eastAsia="zh-CN"/>
        </w:rPr>
      </w:pPr>
    </w:p>
    <w:p w14:paraId="7D4543C6">
      <w:pPr>
        <w:rPr>
          <w:rFonts w:hint="eastAsia" w:ascii="仿宋_GB2312" w:hAnsi="仿宋_GB2312" w:eastAsia="仿宋_GB2312" w:cs="仿宋_GB2312"/>
          <w:b/>
          <w:bCs/>
          <w:color w:val="auto"/>
          <w:sz w:val="32"/>
          <w:szCs w:val="32"/>
          <w:lang w:eastAsia="zh-CN"/>
        </w:rPr>
      </w:pPr>
    </w:p>
    <w:p w14:paraId="772FE075">
      <w:pPr>
        <w:pStyle w:val="2"/>
        <w:rPr>
          <w:rFonts w:hint="eastAsia" w:ascii="仿宋_GB2312" w:hAnsi="仿宋_GB2312" w:eastAsia="仿宋_GB2312" w:cs="仿宋_GB2312"/>
          <w:b/>
          <w:bCs/>
          <w:color w:val="auto"/>
          <w:sz w:val="32"/>
          <w:szCs w:val="32"/>
          <w:lang w:eastAsia="zh-CN"/>
        </w:rPr>
      </w:pPr>
    </w:p>
    <w:p w14:paraId="0019DFA6">
      <w:pPr>
        <w:rPr>
          <w:rFonts w:hint="eastAsia"/>
          <w:lang w:eastAsia="zh-CN"/>
        </w:rPr>
      </w:pPr>
    </w:p>
    <w:p w14:paraId="0A20AE00">
      <w:pPr>
        <w:pageBreakBefore w:val="0"/>
        <w:numPr>
          <w:ilvl w:val="0"/>
          <w:numId w:val="0"/>
        </w:numPr>
        <w:kinsoku/>
        <w:wordWrap/>
        <w:overflowPunct/>
        <w:topLinePunct w:val="0"/>
        <w:bidi w:val="0"/>
        <w:spacing w:line="576" w:lineRule="exact"/>
        <w:ind w:firstLine="643" w:firstLineChars="200"/>
        <w:rPr>
          <w:rFonts w:hint="eastAsia" w:ascii="楷体" w:hAnsi="楷体" w:eastAsia="楷体" w:cs="楷体"/>
          <w:sz w:val="32"/>
          <w:szCs w:val="32"/>
        </w:rPr>
      </w:pPr>
      <w:r>
        <w:rPr>
          <w:rFonts w:hint="eastAsia" w:ascii="楷体" w:hAnsi="楷体" w:eastAsia="楷体" w:cs="楷体"/>
          <w:b/>
          <w:bCs/>
          <w:color w:val="auto"/>
          <w:sz w:val="32"/>
          <w:szCs w:val="32"/>
          <w:lang w:eastAsia="zh-CN"/>
        </w:rPr>
        <w:t>（</w:t>
      </w:r>
      <w:r>
        <w:rPr>
          <w:rFonts w:hint="eastAsia" w:ascii="楷体" w:hAnsi="楷体" w:eastAsia="楷体" w:cs="楷体"/>
          <w:b/>
          <w:bCs/>
          <w:color w:val="auto"/>
          <w:sz w:val="32"/>
          <w:szCs w:val="32"/>
          <w:lang w:val="en-US" w:eastAsia="zh-CN"/>
        </w:rPr>
        <w:t>五</w:t>
      </w:r>
      <w:r>
        <w:rPr>
          <w:rFonts w:hint="eastAsia" w:ascii="楷体" w:hAnsi="楷体" w:eastAsia="楷体" w:cs="楷体"/>
          <w:b/>
          <w:bCs/>
          <w:color w:val="auto"/>
          <w:sz w:val="32"/>
          <w:szCs w:val="32"/>
          <w:lang w:eastAsia="zh-CN"/>
        </w:rPr>
        <w:t>）</w:t>
      </w:r>
      <w:r>
        <w:rPr>
          <w:rFonts w:hint="eastAsia" w:ascii="楷体" w:hAnsi="楷体" w:eastAsia="楷体" w:cs="楷体"/>
          <w:b/>
          <w:bCs/>
          <w:color w:val="auto"/>
          <w:sz w:val="32"/>
          <w:szCs w:val="32"/>
        </w:rPr>
        <w:t>部门开展绩效评价结果</w:t>
      </w:r>
    </w:p>
    <w:p w14:paraId="5BD2FD6E">
      <w:pPr>
        <w:keepNext w:val="0"/>
        <w:keepLines w:val="0"/>
        <w:pageBreakBefore w:val="0"/>
        <w:widowControl/>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bookmarkStart w:id="81" w:name="_Toc15377221"/>
      <w:bookmarkStart w:id="82" w:name="_Toc15396612"/>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整体支出得分</w:t>
      </w:r>
      <w:r>
        <w:rPr>
          <w:rFonts w:hint="eastAsia" w:ascii="仿宋_GB2312" w:hAnsi="仿宋_GB2312" w:eastAsia="仿宋_GB2312" w:cs="仿宋_GB2312"/>
          <w:sz w:val="32"/>
          <w:szCs w:val="32"/>
          <w:lang w:val="en-US" w:eastAsia="zh-CN"/>
        </w:rPr>
        <w:t>95.9分，</w:t>
      </w:r>
      <w:r>
        <w:rPr>
          <w:rFonts w:hint="eastAsia" w:ascii="仿宋_GB2312" w:hAnsi="仿宋_GB2312" w:eastAsia="仿宋_GB2312" w:cs="仿宋_GB2312"/>
          <w:sz w:val="32"/>
          <w:szCs w:val="32"/>
          <w:lang w:eastAsia="zh-CN"/>
        </w:rPr>
        <w:t>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红原县行政审批和政务服务管理局关于</w:t>
      </w:r>
      <w:r>
        <w:rPr>
          <w:rFonts w:hint="eastAsia" w:ascii="仿宋_GB2312" w:hAnsi="仿宋_GB2312" w:eastAsia="仿宋_GB2312" w:cs="仿宋_GB2312"/>
          <w:sz w:val="32"/>
          <w:szCs w:val="32"/>
          <w:lang w:val="en-US" w:eastAsia="zh-CN"/>
        </w:rPr>
        <w:t>报送</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w:t>
      </w:r>
      <w:r>
        <w:rPr>
          <w:rFonts w:hint="eastAsia" w:ascii="仿宋_GB2312" w:hAnsi="仿宋_GB2312" w:eastAsia="仿宋_GB2312" w:cs="仿宋_GB2312"/>
          <w:sz w:val="32"/>
          <w:szCs w:val="32"/>
          <w:lang w:eastAsia="zh-CN"/>
        </w:rPr>
        <w:t>整体</w:t>
      </w:r>
      <w:r>
        <w:rPr>
          <w:rFonts w:hint="eastAsia" w:ascii="仿宋_GB2312" w:hAnsi="仿宋_GB2312" w:eastAsia="仿宋_GB2312" w:cs="仿宋_GB2312"/>
          <w:sz w:val="32"/>
          <w:szCs w:val="32"/>
        </w:rPr>
        <w:t>支出绩效</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报告》</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14:paraId="30A1B09C">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p>
    <w:p w14:paraId="7525CB9F">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lang w:eastAsia="zh-CN"/>
        </w:rPr>
      </w:pPr>
    </w:p>
    <w:bookmarkEnd w:id="81"/>
    <w:bookmarkEnd w:id="82"/>
    <w:p w14:paraId="4FE25EC5">
      <w:pPr>
        <w:pageBreakBefore w:val="0"/>
        <w:widowControl/>
        <w:kinsoku/>
        <w:wordWrap/>
        <w:overflowPunct/>
        <w:topLinePunct w:val="0"/>
        <w:bidi w:val="0"/>
        <w:spacing w:line="576"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14:paraId="590BD33D">
      <w:pPr>
        <w:pageBreakBefore w:val="0"/>
        <w:numPr>
          <w:ilvl w:val="0"/>
          <w:numId w:val="0"/>
        </w:numPr>
        <w:kinsoku/>
        <w:wordWrap/>
        <w:overflowPunct/>
        <w:topLinePunct w:val="0"/>
        <w:bidi w:val="0"/>
        <w:spacing w:line="576" w:lineRule="exact"/>
        <w:jc w:val="center"/>
        <w:outlineLvl w:val="0"/>
        <w:rPr>
          <w:rStyle w:val="21"/>
          <w:rFonts w:hint="eastAsia" w:ascii="仿宋_GB2312" w:hAnsi="仿宋_GB2312" w:eastAsia="仿宋_GB2312" w:cs="仿宋_GB2312"/>
          <w:b w:val="0"/>
          <w:color w:val="auto"/>
          <w:sz w:val="32"/>
          <w:szCs w:val="32"/>
        </w:rPr>
      </w:pPr>
      <w:bookmarkStart w:id="83" w:name="_Toc15396613"/>
      <w:bookmarkStart w:id="84" w:name="_Toc10123"/>
      <w:bookmarkStart w:id="85" w:name="_Toc15377225"/>
      <w:r>
        <w:rPr>
          <w:rFonts w:hint="eastAsia" w:ascii="方正小标宋_GBK" w:hAnsi="方正小标宋_GBK" w:eastAsia="方正小标宋_GBK" w:cs="方正小标宋_GBK"/>
          <w:b w:val="0"/>
          <w:bCs/>
          <w:color w:val="auto"/>
          <w:kern w:val="44"/>
          <w:sz w:val="44"/>
          <w:szCs w:val="44"/>
          <w:lang w:val="en-US" w:eastAsia="zh-CN" w:bidi="ar-SA"/>
        </w:rPr>
        <w:t>第三部分</w:t>
      </w:r>
      <w:r>
        <w:rPr>
          <w:rFonts w:hint="eastAsia" w:ascii="方正小标宋_GBK" w:hAnsi="方正小标宋_GBK" w:eastAsia="方正小标宋_GBK" w:cs="方正小标宋_GBK"/>
          <w:b w:val="0"/>
          <w:bCs/>
          <w:color w:val="auto"/>
          <w:sz w:val="44"/>
          <w:szCs w:val="44"/>
        </w:rPr>
        <w:t>名</w:t>
      </w:r>
      <w:r>
        <w:rPr>
          <w:rStyle w:val="21"/>
          <w:rFonts w:hint="eastAsia" w:ascii="方正小标宋_GBK" w:hAnsi="方正小标宋_GBK" w:eastAsia="方正小标宋_GBK" w:cs="方正小标宋_GBK"/>
          <w:b w:val="0"/>
          <w:color w:val="auto"/>
          <w:sz w:val="44"/>
          <w:szCs w:val="44"/>
        </w:rPr>
        <w:t>词解释</w:t>
      </w:r>
      <w:bookmarkEnd w:id="83"/>
      <w:bookmarkEnd w:id="84"/>
      <w:bookmarkEnd w:id="85"/>
    </w:p>
    <w:p w14:paraId="51425F2A">
      <w:pPr>
        <w:pageBreakBefore w:val="0"/>
        <w:kinsoku/>
        <w:wordWrap/>
        <w:overflowPunct/>
        <w:topLinePunct w:val="0"/>
        <w:bidi w:val="0"/>
        <w:spacing w:line="576" w:lineRule="exact"/>
        <w:ind w:firstLine="643" w:firstLineChars="200"/>
        <w:jc w:val="left"/>
        <w:rPr>
          <w:rFonts w:hint="eastAsia" w:ascii="仿宋_GB2312" w:hAnsi="仿宋_GB2312" w:eastAsia="仿宋_GB2312" w:cs="仿宋_GB2312"/>
          <w:b/>
          <w:color w:val="auto"/>
          <w:sz w:val="32"/>
          <w:szCs w:val="32"/>
        </w:rPr>
      </w:pPr>
    </w:p>
    <w:p w14:paraId="5C8140C1">
      <w:pPr>
        <w:pStyle w:val="25"/>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1.财政拨款收入：</w:t>
      </w:r>
      <w:r>
        <w:rPr>
          <w:rFonts w:hint="eastAsia" w:ascii="仿宋_GB2312" w:hAnsi="仿宋_GB2312" w:eastAsia="仿宋_GB2312" w:cs="仿宋_GB2312"/>
          <w:color w:val="auto"/>
          <w:sz w:val="32"/>
          <w:szCs w:val="32"/>
        </w:rPr>
        <w:t>指单位从同级财政部门取得的财政预算资金。</w:t>
      </w:r>
    </w:p>
    <w:p w14:paraId="11A37D4A">
      <w:pPr>
        <w:pStyle w:val="25"/>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2.事业收入：</w:t>
      </w:r>
      <w:r>
        <w:rPr>
          <w:rFonts w:hint="eastAsia" w:ascii="仿宋_GB2312" w:hAnsi="仿宋_GB2312" w:eastAsia="仿宋_GB2312" w:cs="仿宋_GB2312"/>
          <w:color w:val="auto"/>
          <w:sz w:val="32"/>
          <w:szCs w:val="32"/>
        </w:rPr>
        <w:t>指事业单位开展专业业务活动及辅助活动取得的收入。</w:t>
      </w:r>
    </w:p>
    <w:p w14:paraId="367BC698">
      <w:pPr>
        <w:pStyle w:val="25"/>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3.政府性基金收入：</w:t>
      </w:r>
      <w:r>
        <w:rPr>
          <w:rFonts w:hint="eastAsia" w:ascii="仿宋_GB2312" w:hAnsi="仿宋_GB2312" w:eastAsia="仿宋_GB2312" w:cs="仿宋_GB2312"/>
          <w:color w:val="auto"/>
          <w:sz w:val="32"/>
          <w:szCs w:val="32"/>
        </w:rPr>
        <w:t>指各级政府及其所属部门根据法律、行政法规规定并经国务院或财政部批准，向公民、法人和其他组织征收的政府性基金，以及参照政府性基金管理或纳入基金预算、具有特定用途的财政资金。</w:t>
      </w:r>
    </w:p>
    <w:p w14:paraId="49DABDC0">
      <w:pPr>
        <w:pStyle w:val="25"/>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4.经营收入：</w:t>
      </w:r>
      <w:r>
        <w:rPr>
          <w:rFonts w:hint="eastAsia" w:ascii="仿宋_GB2312" w:hAnsi="仿宋_GB2312" w:eastAsia="仿宋_GB2312" w:cs="仿宋_GB2312"/>
          <w:color w:val="auto"/>
          <w:sz w:val="32"/>
          <w:szCs w:val="32"/>
        </w:rPr>
        <w:t>指事业单位在专业业务活动及其辅助活动之外开展非独立核算经营活动取得的收入。</w:t>
      </w:r>
    </w:p>
    <w:p w14:paraId="40BBF605">
      <w:pPr>
        <w:pStyle w:val="25"/>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5.其他收入：</w:t>
      </w:r>
      <w:r>
        <w:rPr>
          <w:rFonts w:hint="eastAsia" w:ascii="仿宋_GB2312" w:hAnsi="仿宋_GB2312" w:eastAsia="仿宋_GB2312" w:cs="仿宋_GB2312"/>
          <w:color w:val="auto"/>
          <w:sz w:val="32"/>
          <w:szCs w:val="32"/>
        </w:rPr>
        <w:t xml:space="preserve">指单位取得的除上述收入以外的各项收入。主要是利息收入。 </w:t>
      </w:r>
    </w:p>
    <w:p w14:paraId="12905855">
      <w:pPr>
        <w:pStyle w:val="25"/>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6.用事业基金弥补收支差额：</w:t>
      </w:r>
      <w:r>
        <w:rPr>
          <w:rFonts w:hint="eastAsia" w:ascii="仿宋_GB2312" w:hAnsi="仿宋_GB2312" w:eastAsia="仿宋_GB2312" w:cs="仿宋_GB2312"/>
          <w:color w:val="auto"/>
          <w:sz w:val="32"/>
          <w:szCs w:val="32"/>
        </w:rPr>
        <w:t xml:space="preserve">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1066DEB1">
      <w:pPr>
        <w:pStyle w:val="25"/>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7.年初结转和结余：</w:t>
      </w:r>
      <w:r>
        <w:rPr>
          <w:rFonts w:hint="eastAsia" w:ascii="仿宋_GB2312" w:hAnsi="仿宋_GB2312" w:eastAsia="仿宋_GB2312" w:cs="仿宋_GB2312"/>
          <w:color w:val="auto"/>
          <w:sz w:val="32"/>
          <w:szCs w:val="32"/>
        </w:rPr>
        <w:t xml:space="preserve">指以前年度尚未完成、结转到本年按有关规定继续使用的资金。 </w:t>
      </w:r>
    </w:p>
    <w:p w14:paraId="6EBF9AA9">
      <w:pPr>
        <w:pStyle w:val="25"/>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8.结余分配：</w:t>
      </w:r>
      <w:r>
        <w:rPr>
          <w:rFonts w:hint="eastAsia" w:ascii="仿宋_GB2312" w:hAnsi="仿宋_GB2312" w:eastAsia="仿宋_GB2312" w:cs="仿宋_GB2312"/>
          <w:color w:val="auto"/>
          <w:sz w:val="32"/>
          <w:szCs w:val="32"/>
        </w:rPr>
        <w:t>指事业单位按照事业单位会计制度的规定从非财政补助结余中分配的事业基金和职工福利基金等。</w:t>
      </w:r>
    </w:p>
    <w:p w14:paraId="4B565911">
      <w:pPr>
        <w:pStyle w:val="25"/>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9、年末结转和结余：</w:t>
      </w:r>
      <w:r>
        <w:rPr>
          <w:rFonts w:hint="eastAsia" w:ascii="仿宋_GB2312" w:hAnsi="仿宋_GB2312" w:eastAsia="仿宋_GB2312" w:cs="仿宋_GB2312"/>
          <w:color w:val="auto"/>
          <w:sz w:val="32"/>
          <w:szCs w:val="32"/>
        </w:rPr>
        <w:t>指单位按有关规定结转到下年或以后年度继续使用的资金。</w:t>
      </w:r>
    </w:p>
    <w:p w14:paraId="74C0A91F">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10.社会保障和就业：</w:t>
      </w:r>
      <w:r>
        <w:rPr>
          <w:rFonts w:hint="eastAsia" w:ascii="仿宋_GB2312" w:hAnsi="仿宋_GB2312" w:eastAsia="仿宋_GB2312" w:cs="仿宋_GB2312"/>
          <w:color w:val="auto"/>
          <w:sz w:val="32"/>
          <w:szCs w:val="32"/>
        </w:rPr>
        <w:t>指政府在社会保障与就业方面的支出。</w:t>
      </w:r>
    </w:p>
    <w:p w14:paraId="7C569BAF">
      <w:pPr>
        <w:pStyle w:val="9"/>
        <w:pageBreakBefore w:val="0"/>
        <w:kinsoku/>
        <w:wordWrap/>
        <w:overflowPunct/>
        <w:topLinePunct w:val="0"/>
        <w:bidi w:val="0"/>
        <w:spacing w:after="0" w:line="576" w:lineRule="exact"/>
        <w:ind w:left="0" w:leftChars="0"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11.行政事业单位医疗：</w:t>
      </w:r>
      <w:r>
        <w:rPr>
          <w:rFonts w:hint="eastAsia" w:ascii="仿宋_GB2312" w:hAnsi="仿宋_GB2312" w:eastAsia="仿宋_GB2312" w:cs="仿宋_GB2312"/>
          <w:color w:val="auto"/>
          <w:sz w:val="32"/>
          <w:szCs w:val="32"/>
        </w:rPr>
        <w:t>指行政事业单位医疗方面的支出。</w:t>
      </w:r>
    </w:p>
    <w:p w14:paraId="0566307B">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12</w:t>
      </w:r>
      <w:r>
        <w:rPr>
          <w:rFonts w:hint="eastAsia" w:ascii="仿宋_GB2312" w:hAnsi="仿宋_GB2312" w:eastAsia="仿宋_GB2312" w:cs="仿宋_GB2312"/>
          <w:b/>
          <w:bCs/>
          <w:color w:val="auto"/>
          <w:sz w:val="32"/>
          <w:szCs w:val="32"/>
        </w:rPr>
        <w:t>.201一般公共服务支出：</w:t>
      </w:r>
      <w:r>
        <w:rPr>
          <w:rFonts w:hint="eastAsia" w:ascii="仿宋_GB2312" w:hAnsi="仿宋_GB2312" w:eastAsia="仿宋_GB2312" w:cs="仿宋_GB2312"/>
          <w:color w:val="auto"/>
          <w:sz w:val="32"/>
          <w:szCs w:val="32"/>
        </w:rPr>
        <w:t>指政府提供一般公共服务的支出。</w:t>
      </w:r>
    </w:p>
    <w:p w14:paraId="106BB1B5">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auto"/>
          <w:sz w:val="32"/>
          <w:szCs w:val="32"/>
          <w:lang w:val="en-US" w:eastAsia="zh-CN"/>
        </w:rPr>
      </w:pPr>
    </w:p>
    <w:p w14:paraId="1C2CCEF9">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13.</w:t>
      </w:r>
      <w:r>
        <w:rPr>
          <w:rFonts w:hint="eastAsia" w:ascii="仿宋_GB2312" w:hAnsi="仿宋_GB2312" w:eastAsia="仿宋_GB2312" w:cs="仿宋_GB2312"/>
          <w:b/>
          <w:bCs/>
          <w:color w:val="auto"/>
          <w:sz w:val="32"/>
          <w:szCs w:val="32"/>
        </w:rPr>
        <w:t>2010301行政运行：</w:t>
      </w:r>
      <w:r>
        <w:rPr>
          <w:rFonts w:hint="eastAsia" w:ascii="仿宋_GB2312" w:hAnsi="仿宋_GB2312" w:eastAsia="仿宋_GB2312" w:cs="仿宋_GB2312"/>
          <w:color w:val="auto"/>
          <w:sz w:val="32"/>
          <w:szCs w:val="32"/>
        </w:rPr>
        <w:t>指行政单位（包括实行公务员管理的事业单位）的基本支出。</w:t>
      </w:r>
    </w:p>
    <w:p w14:paraId="1A284337">
      <w:pPr>
        <w:pStyle w:val="9"/>
        <w:pageBreakBefore w:val="0"/>
        <w:kinsoku/>
        <w:wordWrap/>
        <w:overflowPunct/>
        <w:topLinePunct w:val="0"/>
        <w:bidi w:val="0"/>
        <w:spacing w:line="576" w:lineRule="exact"/>
        <w:ind w:left="0"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14.2010302一般行政管理实务：</w:t>
      </w:r>
      <w:r>
        <w:rPr>
          <w:rFonts w:hint="eastAsia" w:ascii="仿宋_GB2312" w:hAnsi="仿宋_GB2312" w:eastAsia="仿宋_GB2312" w:cs="仿宋_GB2312"/>
          <w:color w:val="auto"/>
          <w:sz w:val="32"/>
          <w:szCs w:val="32"/>
          <w:lang w:val="en-US" w:eastAsia="zh-CN"/>
        </w:rPr>
        <w:t>反映行政单位未单独设置项级科目的其他项目支出。</w:t>
      </w:r>
    </w:p>
    <w:p w14:paraId="671D1CC9">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15.2010350 事业运行：</w:t>
      </w:r>
      <w:r>
        <w:rPr>
          <w:rFonts w:hint="eastAsia" w:ascii="仿宋_GB2312" w:hAnsi="仿宋_GB2312" w:eastAsia="仿宋_GB2312" w:cs="仿宋_GB2312"/>
          <w:color w:val="auto"/>
          <w:sz w:val="32"/>
          <w:szCs w:val="32"/>
        </w:rPr>
        <w:t>指</w:t>
      </w:r>
      <w:r>
        <w:rPr>
          <w:rFonts w:hint="eastAsia" w:ascii="仿宋_GB2312" w:hAnsi="仿宋_GB2312" w:eastAsia="仿宋_GB2312" w:cs="仿宋_GB2312"/>
          <w:color w:val="auto"/>
          <w:sz w:val="32"/>
          <w:szCs w:val="32"/>
          <w:lang w:eastAsia="zh-CN"/>
        </w:rPr>
        <w:t>事业</w:t>
      </w:r>
      <w:r>
        <w:rPr>
          <w:rFonts w:hint="eastAsia" w:ascii="仿宋_GB2312" w:hAnsi="仿宋_GB2312" w:eastAsia="仿宋_GB2312" w:cs="仿宋_GB2312"/>
          <w:color w:val="auto"/>
          <w:sz w:val="32"/>
          <w:szCs w:val="32"/>
        </w:rPr>
        <w:t>单位的基本支出</w:t>
      </w:r>
      <w:r>
        <w:rPr>
          <w:rFonts w:hint="eastAsia" w:ascii="仿宋_GB2312" w:hAnsi="仿宋_GB2312" w:eastAsia="仿宋_GB2312" w:cs="仿宋_GB2312"/>
          <w:color w:val="auto"/>
          <w:sz w:val="32"/>
          <w:szCs w:val="32"/>
          <w:lang w:eastAsia="zh-CN"/>
        </w:rPr>
        <w:t>。</w:t>
      </w:r>
    </w:p>
    <w:p w14:paraId="66D8DB0B">
      <w:pPr>
        <w:pStyle w:val="9"/>
        <w:pageBreakBefore w:val="0"/>
        <w:kinsoku/>
        <w:wordWrap/>
        <w:overflowPunct/>
        <w:topLinePunct w:val="0"/>
        <w:bidi w:val="0"/>
        <w:spacing w:line="576" w:lineRule="exact"/>
        <w:ind w:left="0"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16.2010399 其他政府办公厅（室）及相关机构事务支出：</w:t>
      </w:r>
      <w:r>
        <w:rPr>
          <w:rFonts w:hint="eastAsia" w:ascii="仿宋_GB2312" w:hAnsi="仿宋_GB2312" w:eastAsia="仿宋_GB2312" w:cs="仿宋_GB2312"/>
          <w:color w:val="auto"/>
          <w:sz w:val="32"/>
          <w:szCs w:val="32"/>
          <w:lang w:val="en-US" w:eastAsia="zh-CN"/>
        </w:rPr>
        <w:t>反映除上述项目外的其他政府办公厅（室）及相关机构事务支出。</w:t>
      </w:r>
    </w:p>
    <w:p w14:paraId="1C0961BA">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17</w:t>
      </w:r>
      <w:r>
        <w:rPr>
          <w:rFonts w:hint="eastAsia" w:ascii="仿宋_GB2312" w:hAnsi="仿宋_GB2312" w:eastAsia="仿宋_GB2312" w:cs="仿宋_GB2312"/>
          <w:b/>
          <w:bCs/>
          <w:color w:val="auto"/>
          <w:sz w:val="32"/>
          <w:szCs w:val="32"/>
        </w:rPr>
        <w:t>.221住房保障支出：</w:t>
      </w:r>
      <w:r>
        <w:rPr>
          <w:rFonts w:hint="eastAsia" w:ascii="仿宋_GB2312" w:hAnsi="仿宋_GB2312" w:eastAsia="仿宋_GB2312" w:cs="仿宋_GB2312"/>
          <w:color w:val="auto"/>
          <w:sz w:val="32"/>
          <w:szCs w:val="32"/>
        </w:rPr>
        <w:t>指集中反映政府用于住房方面的支出。</w:t>
      </w:r>
    </w:p>
    <w:p w14:paraId="73EC065F">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18</w:t>
      </w:r>
      <w:r>
        <w:rPr>
          <w:rFonts w:hint="eastAsia" w:ascii="仿宋_GB2312" w:hAnsi="仿宋_GB2312" w:eastAsia="仿宋_GB2312" w:cs="仿宋_GB2312"/>
          <w:b/>
          <w:bCs/>
          <w:color w:val="auto"/>
          <w:sz w:val="32"/>
          <w:szCs w:val="32"/>
        </w:rPr>
        <w:t>.2210201住房公积金：</w:t>
      </w:r>
      <w:r>
        <w:rPr>
          <w:rFonts w:hint="eastAsia" w:ascii="仿宋_GB2312" w:hAnsi="仿宋_GB2312" w:eastAsia="仿宋_GB2312" w:cs="仿宋_GB2312"/>
          <w:color w:val="auto"/>
          <w:sz w:val="32"/>
          <w:szCs w:val="32"/>
        </w:rPr>
        <w:t>指反映行政事业单位按人力资源和社会保障部、财政部规定的基本工资和津贴补贴以及规定比例为职工缴纳的住房公积金。</w:t>
      </w:r>
    </w:p>
    <w:p w14:paraId="5BCCC46C">
      <w:pPr>
        <w:pageBreakBefore w:val="0"/>
        <w:kinsoku/>
        <w:wordWrap/>
        <w:overflowPunct/>
        <w:topLinePunct w:val="0"/>
        <w:bidi w:val="0"/>
        <w:spacing w:line="576"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19</w:t>
      </w:r>
      <w:r>
        <w:rPr>
          <w:rFonts w:hint="eastAsia" w:ascii="仿宋_GB2312" w:hAnsi="仿宋_GB2312" w:eastAsia="仿宋_GB2312" w:cs="仿宋_GB2312"/>
          <w:b/>
          <w:bCs/>
          <w:color w:val="auto"/>
          <w:sz w:val="32"/>
          <w:szCs w:val="32"/>
        </w:rPr>
        <w:t>.2101103公务员医疗补助支出：</w:t>
      </w:r>
      <w:r>
        <w:rPr>
          <w:rFonts w:hint="eastAsia" w:ascii="仿宋_GB2312" w:hAnsi="仿宋_GB2312" w:eastAsia="仿宋_GB2312" w:cs="仿宋_GB2312"/>
          <w:color w:val="auto"/>
          <w:sz w:val="32"/>
          <w:szCs w:val="32"/>
        </w:rPr>
        <w:t>指财政部门安排的公务员医疗补助经费。</w:t>
      </w:r>
    </w:p>
    <w:p w14:paraId="578994BA">
      <w:pPr>
        <w:pStyle w:val="9"/>
        <w:keepNext w:val="0"/>
        <w:keepLines w:val="0"/>
        <w:pageBreakBefore w:val="0"/>
        <w:widowControl w:val="0"/>
        <w:kinsoku/>
        <w:wordWrap/>
        <w:overflowPunct/>
        <w:topLinePunct w:val="0"/>
        <w:bidi w:val="0"/>
        <w:snapToGrid/>
        <w:spacing w:line="556" w:lineRule="exact"/>
        <w:ind w:left="0" w:leftChars="0"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20.2101102事业单位医疗：</w:t>
      </w:r>
      <w:r>
        <w:rPr>
          <w:rFonts w:hint="eastAsia" w:ascii="仿宋_GB2312" w:hAnsi="仿宋_GB2312" w:eastAsia="仿宋_GB2312" w:cs="仿宋_GB2312"/>
          <w:color w:val="auto"/>
          <w:sz w:val="32"/>
          <w:szCs w:val="32"/>
          <w:lang w:val="en-US" w:eastAsia="zh-CN"/>
        </w:rPr>
        <w:t>反映事业单位基本医疗保险经费。</w:t>
      </w:r>
    </w:p>
    <w:p w14:paraId="1458A12C">
      <w:pPr>
        <w:pStyle w:val="11"/>
        <w:keepNext w:val="0"/>
        <w:keepLines w:val="0"/>
        <w:pageBreakBefore w:val="0"/>
        <w:widowControl w:val="0"/>
        <w:kinsoku/>
        <w:wordWrap/>
        <w:overflowPunct/>
        <w:topLinePunct w:val="0"/>
        <w:bidi w:val="0"/>
        <w:snapToGrid/>
        <w:spacing w:line="556" w:lineRule="exact"/>
        <w:ind w:firstLine="320" w:firstLine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21.2101199其他行政事业单位医疗支出：</w:t>
      </w:r>
      <w:r>
        <w:rPr>
          <w:rFonts w:hint="eastAsia" w:ascii="仿宋_GB2312" w:hAnsi="仿宋_GB2312" w:eastAsia="仿宋_GB2312" w:cs="仿宋_GB2312"/>
          <w:color w:val="auto"/>
          <w:sz w:val="32"/>
          <w:szCs w:val="32"/>
          <w:lang w:val="en-US" w:eastAsia="zh-CN"/>
        </w:rPr>
        <w:t>反映其他用于行政事业单位医疗方面的支出。</w:t>
      </w:r>
    </w:p>
    <w:p w14:paraId="75F287B6">
      <w:pPr>
        <w:keepNext w:val="0"/>
        <w:keepLines w:val="0"/>
        <w:pageBreakBefore w:val="0"/>
        <w:widowControl w:val="0"/>
        <w:numPr>
          <w:ilvl w:val="0"/>
          <w:numId w:val="0"/>
        </w:numPr>
        <w:kinsoku/>
        <w:wordWrap/>
        <w:overflowPunct/>
        <w:topLinePunct w:val="0"/>
        <w:bidi w:val="0"/>
        <w:snapToGrid/>
        <w:spacing w:line="556"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lang w:val="en-US" w:eastAsia="zh-CN"/>
        </w:rPr>
        <w:t>22.</w:t>
      </w:r>
      <w:r>
        <w:rPr>
          <w:rFonts w:hint="eastAsia" w:ascii="仿宋_GB2312" w:hAnsi="仿宋_GB2312" w:eastAsia="仿宋_GB2312" w:cs="仿宋_GB2312"/>
          <w:b/>
          <w:bCs/>
          <w:color w:val="000000"/>
          <w:sz w:val="32"/>
          <w:szCs w:val="32"/>
        </w:rPr>
        <w:t>社会保障和就业</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color w:val="000000"/>
          <w:sz w:val="32"/>
          <w:szCs w:val="32"/>
          <w:lang w:val="en-US" w:eastAsia="zh-CN"/>
        </w:rPr>
        <w:t>2080505</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color w:val="000000"/>
          <w:sz w:val="32"/>
          <w:szCs w:val="32"/>
          <w:lang w:eastAsia="zh-CN"/>
        </w:rPr>
        <w:t>机关事业单位基本养老保险缴费支出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2080506指机关事业单位职业年金缴费支出。</w:t>
      </w:r>
    </w:p>
    <w:p w14:paraId="2D30FC5F">
      <w:pPr>
        <w:keepNext w:val="0"/>
        <w:keepLines w:val="0"/>
        <w:pageBreakBefore w:val="0"/>
        <w:widowControl w:val="0"/>
        <w:kinsoku/>
        <w:wordWrap/>
        <w:overflowPunct/>
        <w:topLinePunct w:val="0"/>
        <w:bidi w:val="0"/>
        <w:snapToGrid/>
        <w:spacing w:line="556"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23</w:t>
      </w:r>
      <w:r>
        <w:rPr>
          <w:rFonts w:hint="eastAsia" w:ascii="仿宋_GB2312" w:hAnsi="仿宋_GB2312" w:eastAsia="仿宋_GB2312" w:cs="仿宋_GB2312"/>
          <w:b/>
          <w:bCs/>
          <w:color w:val="auto"/>
          <w:sz w:val="32"/>
          <w:szCs w:val="32"/>
        </w:rPr>
        <w:t>.基本支出：</w:t>
      </w:r>
      <w:r>
        <w:rPr>
          <w:rFonts w:hint="eastAsia" w:ascii="仿宋_GB2312" w:hAnsi="仿宋_GB2312" w:eastAsia="仿宋_GB2312" w:cs="仿宋_GB2312"/>
          <w:color w:val="auto"/>
          <w:sz w:val="32"/>
          <w:szCs w:val="32"/>
        </w:rPr>
        <w:t>指为保障机构正常运转、完成日常工作任务而发生的人员支出和公用支出。</w:t>
      </w:r>
    </w:p>
    <w:p w14:paraId="52F0532D">
      <w:pPr>
        <w:keepNext w:val="0"/>
        <w:keepLines w:val="0"/>
        <w:pageBreakBefore w:val="0"/>
        <w:widowControl w:val="0"/>
        <w:kinsoku/>
        <w:wordWrap/>
        <w:overflowPunct/>
        <w:topLinePunct w:val="0"/>
        <w:bidi w:val="0"/>
        <w:snapToGrid/>
        <w:spacing w:line="556"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24</w:t>
      </w:r>
      <w:r>
        <w:rPr>
          <w:rFonts w:hint="eastAsia" w:ascii="仿宋_GB2312" w:hAnsi="仿宋_GB2312" w:eastAsia="仿宋_GB2312" w:cs="仿宋_GB2312"/>
          <w:b/>
          <w:bCs/>
          <w:color w:val="auto"/>
          <w:sz w:val="32"/>
          <w:szCs w:val="32"/>
        </w:rPr>
        <w:t>.项目支出：</w:t>
      </w:r>
      <w:r>
        <w:rPr>
          <w:rFonts w:hint="eastAsia" w:ascii="仿宋_GB2312" w:hAnsi="仿宋_GB2312" w:eastAsia="仿宋_GB2312" w:cs="仿宋_GB2312"/>
          <w:color w:val="auto"/>
          <w:sz w:val="32"/>
          <w:szCs w:val="32"/>
        </w:rPr>
        <w:t xml:space="preserve">指在基本支出之外为完成特定行政任务和事业发展目标所发生的支出。 </w:t>
      </w:r>
    </w:p>
    <w:p w14:paraId="5C2C651B">
      <w:pPr>
        <w:pStyle w:val="9"/>
        <w:keepNext w:val="0"/>
        <w:keepLines w:val="0"/>
        <w:pageBreakBefore w:val="0"/>
        <w:widowControl w:val="0"/>
        <w:kinsoku/>
        <w:wordWrap/>
        <w:overflowPunct/>
        <w:topLinePunct w:val="0"/>
        <w:bidi w:val="0"/>
        <w:snapToGrid/>
        <w:spacing w:after="0" w:line="556"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.对个人和家庭的补助：</w:t>
      </w:r>
      <w:r>
        <w:rPr>
          <w:rFonts w:hint="eastAsia" w:ascii="仿宋_GB2312" w:hAnsi="仿宋_GB2312" w:eastAsia="仿宋_GB2312" w:cs="仿宋_GB2312"/>
          <w:color w:val="auto"/>
          <w:sz w:val="32"/>
          <w:szCs w:val="32"/>
        </w:rPr>
        <w:t>指政府用于对个人和家庭的补助支出。</w:t>
      </w:r>
    </w:p>
    <w:p w14:paraId="5143A4D9">
      <w:pPr>
        <w:pStyle w:val="25"/>
        <w:keepNext w:val="0"/>
        <w:keepLines w:val="0"/>
        <w:pageBreakBefore w:val="0"/>
        <w:widowControl w:val="0"/>
        <w:kinsoku/>
        <w:wordWrap/>
        <w:overflowPunct/>
        <w:topLinePunct w:val="0"/>
        <w:bidi w:val="0"/>
        <w:snapToGrid/>
        <w:spacing w:line="556"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26</w:t>
      </w:r>
      <w:r>
        <w:rPr>
          <w:rFonts w:hint="eastAsia" w:ascii="仿宋_GB2312" w:hAnsi="仿宋_GB2312" w:eastAsia="仿宋_GB2312" w:cs="仿宋_GB2312"/>
          <w:b/>
          <w:bCs/>
          <w:color w:val="auto"/>
          <w:sz w:val="32"/>
          <w:szCs w:val="32"/>
        </w:rPr>
        <w:t>.“三公”经费：</w:t>
      </w:r>
      <w:r>
        <w:rPr>
          <w:rFonts w:hint="eastAsia" w:ascii="仿宋_GB2312" w:hAnsi="仿宋_GB2312" w:eastAsia="仿宋_GB2312" w:cs="仿宋_GB2312"/>
          <w:color w:val="auto"/>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2336D4A">
      <w:pPr>
        <w:pStyle w:val="25"/>
        <w:keepNext w:val="0"/>
        <w:keepLines w:val="0"/>
        <w:pageBreakBefore w:val="0"/>
        <w:widowControl w:val="0"/>
        <w:kinsoku/>
        <w:wordWrap/>
        <w:overflowPunct/>
        <w:topLinePunct w:val="0"/>
        <w:bidi w:val="0"/>
        <w:snapToGrid/>
        <w:spacing w:line="556"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7</w:t>
      </w:r>
      <w:r>
        <w:rPr>
          <w:rFonts w:hint="eastAsia" w:ascii="仿宋_GB2312" w:hAnsi="仿宋_GB2312" w:eastAsia="仿宋_GB2312" w:cs="仿宋_GB2312"/>
          <w:b/>
          <w:bCs/>
          <w:color w:val="auto"/>
          <w:sz w:val="32"/>
          <w:szCs w:val="32"/>
        </w:rPr>
        <w:t>.机关运行经费：</w:t>
      </w:r>
      <w:r>
        <w:rPr>
          <w:rFonts w:hint="eastAsia" w:ascii="仿宋_GB2312" w:hAnsi="仿宋_GB2312" w:eastAsia="仿宋_GB2312" w:cs="仿宋_GB2312"/>
          <w:color w:val="auto"/>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4A470E3">
      <w:pPr>
        <w:pStyle w:val="25"/>
        <w:pageBreakBefore w:val="0"/>
        <w:kinsoku/>
        <w:wordWrap/>
        <w:overflowPunct/>
        <w:topLinePunct w:val="0"/>
        <w:bidi w:val="0"/>
        <w:spacing w:line="576" w:lineRule="exact"/>
        <w:ind w:firstLine="643" w:firstLineChars="200"/>
        <w:jc w:val="center"/>
        <w:rPr>
          <w:rStyle w:val="21"/>
          <w:rFonts w:hint="eastAsia" w:ascii="方正小标宋_GBK" w:hAnsi="方正小标宋_GBK" w:eastAsia="方正小标宋_GBK" w:cs="方正小标宋_GBK"/>
          <w:color w:val="auto"/>
          <w:sz w:val="44"/>
          <w:szCs w:val="44"/>
        </w:rPr>
      </w:pPr>
      <w:bookmarkStart w:id="86" w:name="_Toc15377226"/>
      <w:r>
        <w:rPr>
          <w:rFonts w:hint="eastAsia" w:ascii="仿宋_GB2312" w:hAnsi="仿宋_GB2312" w:eastAsia="仿宋_GB2312" w:cs="仿宋_GB2312"/>
          <w:b/>
          <w:color w:val="auto"/>
          <w:sz w:val="32"/>
          <w:szCs w:val="32"/>
        </w:rPr>
        <w:br w:type="page"/>
      </w:r>
      <w:bookmarkStart w:id="87" w:name="_Toc15396614"/>
      <w:r>
        <w:rPr>
          <w:rFonts w:hint="eastAsia" w:ascii="方正小标宋_GBK" w:hAnsi="方正小标宋_GBK" w:eastAsia="方正小标宋_GBK" w:cs="方正小标宋_GBK"/>
          <w:b/>
          <w:bCs/>
          <w:color w:val="auto"/>
          <w:sz w:val="44"/>
          <w:szCs w:val="44"/>
        </w:rPr>
        <w:t>第</w:t>
      </w:r>
      <w:r>
        <w:rPr>
          <w:rStyle w:val="21"/>
          <w:rFonts w:hint="eastAsia" w:ascii="方正小标宋_GBK" w:hAnsi="方正小标宋_GBK" w:eastAsia="方正小标宋_GBK" w:cs="方正小标宋_GBK"/>
          <w:b/>
          <w:bCs/>
          <w:color w:val="auto"/>
          <w:sz w:val="44"/>
          <w:szCs w:val="44"/>
        </w:rPr>
        <w:t>四部分 附件</w:t>
      </w:r>
      <w:bookmarkEnd w:id="87"/>
    </w:p>
    <w:p w14:paraId="736D016B">
      <w:pPr>
        <w:keepNext w:val="0"/>
        <w:keepLines w:val="0"/>
        <w:pageBreakBefore w:val="0"/>
        <w:widowControl/>
        <w:kinsoku/>
        <w:wordWrap/>
        <w:overflowPunct/>
        <w:topLinePunct w:val="0"/>
        <w:autoSpaceDE/>
        <w:autoSpaceDN/>
        <w:bidi w:val="0"/>
        <w:spacing w:line="576" w:lineRule="exact"/>
        <w:jc w:val="both"/>
        <w:textAlignment w:val="auto"/>
        <w:rPr>
          <w:rStyle w:val="21"/>
          <w:rFonts w:hint="eastAsia" w:ascii="楷体" w:hAnsi="楷体" w:eastAsia="楷体" w:cs="楷体"/>
          <w:b/>
          <w:bCs/>
          <w:color w:val="auto"/>
          <w:sz w:val="32"/>
          <w:szCs w:val="32"/>
        </w:rPr>
      </w:pPr>
      <w:bookmarkStart w:id="88" w:name="_Toc15396615"/>
      <w:bookmarkStart w:id="89" w:name="_Toc25268"/>
      <w:bookmarkStart w:id="90" w:name="_Toc15396618"/>
      <w:r>
        <w:rPr>
          <w:rStyle w:val="21"/>
          <w:rFonts w:hint="eastAsia" w:ascii="楷体" w:hAnsi="楷体" w:eastAsia="楷体" w:cs="楷体"/>
          <w:b/>
          <w:bCs/>
          <w:color w:val="auto"/>
          <w:sz w:val="32"/>
          <w:szCs w:val="32"/>
        </w:rPr>
        <w:t>附件</w:t>
      </w:r>
      <w:bookmarkEnd w:id="88"/>
      <w:bookmarkStart w:id="91" w:name="_Toc15396617"/>
      <w:r>
        <w:rPr>
          <w:rStyle w:val="21"/>
          <w:rFonts w:hint="eastAsia" w:ascii="楷体" w:hAnsi="楷体" w:eastAsia="楷体" w:cs="楷体"/>
          <w:b/>
          <w:bCs/>
          <w:color w:val="auto"/>
          <w:sz w:val="32"/>
          <w:szCs w:val="32"/>
        </w:rPr>
        <w:t>：</w:t>
      </w:r>
      <w:bookmarkEnd w:id="89"/>
    </w:p>
    <w:p w14:paraId="30BE5582">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lang w:eastAsia="zh-CN"/>
        </w:rPr>
        <w:t>红原县行政审批和政务服务管理局</w:t>
      </w:r>
    </w:p>
    <w:p w14:paraId="3F7204F1">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方正小标宋_GBK" w:hAnsi="方正小标宋_GBK" w:eastAsia="方正小标宋_GBK" w:cs="方正小标宋_GBK"/>
          <w:b/>
          <w:bCs/>
          <w:sz w:val="44"/>
          <w:szCs w:val="44"/>
          <w:lang w:eastAsia="zh-CN"/>
        </w:rPr>
        <w:t>关于</w:t>
      </w:r>
      <w:r>
        <w:rPr>
          <w:rFonts w:hint="eastAsia" w:ascii="方正小标宋_GBK" w:hAnsi="方正小标宋_GBK" w:eastAsia="方正小标宋_GBK" w:cs="方正小标宋_GBK"/>
          <w:b/>
          <w:bCs/>
          <w:sz w:val="44"/>
          <w:szCs w:val="44"/>
          <w:lang w:val="en-US" w:eastAsia="zh-CN"/>
        </w:rPr>
        <w:t>报送</w:t>
      </w:r>
      <w:r>
        <w:rPr>
          <w:rFonts w:hint="eastAsia" w:ascii="方正小标宋_GBK" w:hAnsi="方正小标宋_GBK" w:eastAsia="方正小标宋_GBK" w:cs="方正小标宋_GBK"/>
          <w:b/>
          <w:bCs/>
          <w:sz w:val="44"/>
          <w:szCs w:val="44"/>
        </w:rPr>
        <w:t>202</w:t>
      </w:r>
      <w:r>
        <w:rPr>
          <w:rFonts w:hint="eastAsia" w:ascii="方正小标宋_GBK" w:hAnsi="方正小标宋_GBK" w:eastAsia="方正小标宋_GBK" w:cs="方正小标宋_GBK"/>
          <w:b/>
          <w:bCs/>
          <w:sz w:val="44"/>
          <w:szCs w:val="44"/>
          <w:lang w:val="en-US" w:eastAsia="zh-CN"/>
        </w:rPr>
        <w:t>3</w:t>
      </w:r>
      <w:r>
        <w:rPr>
          <w:rFonts w:hint="eastAsia" w:ascii="方正小标宋_GBK" w:hAnsi="方正小标宋_GBK" w:eastAsia="方正小标宋_GBK" w:cs="方正小标宋_GBK"/>
          <w:b/>
          <w:bCs/>
          <w:sz w:val="44"/>
          <w:szCs w:val="44"/>
        </w:rPr>
        <w:t>年部门</w:t>
      </w:r>
      <w:r>
        <w:rPr>
          <w:rFonts w:hint="eastAsia" w:ascii="方正小标宋_GBK" w:hAnsi="方正小标宋_GBK" w:eastAsia="方正小标宋_GBK" w:cs="方正小标宋_GBK"/>
          <w:b/>
          <w:bCs/>
          <w:sz w:val="44"/>
          <w:szCs w:val="44"/>
          <w:lang w:eastAsia="zh-CN"/>
        </w:rPr>
        <w:t>整体</w:t>
      </w:r>
      <w:r>
        <w:rPr>
          <w:rFonts w:hint="eastAsia" w:ascii="方正小标宋_GBK" w:hAnsi="方正小标宋_GBK" w:eastAsia="方正小标宋_GBK" w:cs="方正小标宋_GBK"/>
          <w:b/>
          <w:bCs/>
          <w:sz w:val="44"/>
          <w:szCs w:val="44"/>
        </w:rPr>
        <w:t>支出绩效</w:t>
      </w:r>
      <w:r>
        <w:rPr>
          <w:rFonts w:hint="eastAsia" w:ascii="方正小标宋_GBK" w:hAnsi="方正小标宋_GBK" w:eastAsia="方正小标宋_GBK" w:cs="方正小标宋_GBK"/>
          <w:b/>
          <w:bCs/>
          <w:sz w:val="44"/>
          <w:szCs w:val="44"/>
          <w:lang w:eastAsia="zh-CN"/>
        </w:rPr>
        <w:t>的</w:t>
      </w:r>
      <w:r>
        <w:rPr>
          <w:rFonts w:hint="eastAsia" w:ascii="方正小标宋_GBK" w:hAnsi="方正小标宋_GBK" w:eastAsia="方正小标宋_GBK" w:cs="方正小标宋_GBK"/>
          <w:b/>
          <w:bCs/>
          <w:sz w:val="44"/>
          <w:szCs w:val="44"/>
        </w:rPr>
        <w:t>报告</w:t>
      </w:r>
    </w:p>
    <w:p w14:paraId="02814F97">
      <w:pPr>
        <w:pStyle w:val="9"/>
        <w:keepNext w:val="0"/>
        <w:keepLines w:val="0"/>
        <w:pageBreakBefore w:val="0"/>
        <w:widowControl w:val="0"/>
        <w:kinsoku/>
        <w:wordWrap/>
        <w:overflowPunct/>
        <w:topLinePunct w:val="0"/>
        <w:autoSpaceDE/>
        <w:autoSpaceDN/>
        <w:bidi w:val="0"/>
        <w:adjustRightInd/>
        <w:snapToGrid/>
        <w:spacing w:line="576" w:lineRule="exact"/>
        <w:ind w:left="0" w:firstLine="0" w:firstLineChars="0"/>
        <w:jc w:val="both"/>
        <w:textAlignment w:val="auto"/>
        <w:rPr>
          <w:rFonts w:hint="eastAsia" w:ascii="仿宋_GB2312" w:hAnsi="仿宋_GB2312" w:eastAsia="仿宋_GB2312" w:cs="仿宋_GB2312"/>
          <w:sz w:val="32"/>
          <w:szCs w:val="32"/>
          <w:lang w:val="en-US" w:eastAsia="zh-CN"/>
        </w:rPr>
      </w:pPr>
    </w:p>
    <w:p w14:paraId="7208F532">
      <w:pPr>
        <w:pStyle w:val="9"/>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县财政局：</w:t>
      </w:r>
    </w:p>
    <w:p w14:paraId="789BA2E8">
      <w:pPr>
        <w:pStyle w:val="9"/>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根据《红原县财政局关于印发〈红原县2024年财政监督检查工作方案〉的通知》（红财监绩〔2024〕11号）要求，现将我局2023年部门整体支出绩效情况报告如下。</w:t>
      </w:r>
    </w:p>
    <w:p w14:paraId="21DA5EBC">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黑体" w:hAnsi="黑体" w:eastAsia="黑体" w:cs="黑体"/>
          <w:kern w:val="2"/>
          <w:sz w:val="32"/>
          <w:szCs w:val="32"/>
          <w:lang w:val="zh-CN" w:eastAsia="zh-CN" w:bidi="ar-SA"/>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部门（单位）概况</w:t>
      </w:r>
    </w:p>
    <w:p w14:paraId="2ED69BAC">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（一）机构组成</w:t>
      </w:r>
    </w:p>
    <w:p w14:paraId="35A39CEF">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bCs/>
          <w:sz w:val="32"/>
          <w:szCs w:val="32"/>
          <w:lang w:eastAsia="zh-CN"/>
        </w:rPr>
        <w:t>县行政审批和政务服务管理局为</w:t>
      </w:r>
      <w:r>
        <w:rPr>
          <w:rFonts w:hint="eastAsia" w:ascii="仿宋_GB2312" w:hAnsi="仿宋_GB2312" w:eastAsia="仿宋_GB2312" w:cs="仿宋_GB2312"/>
          <w:bCs/>
          <w:sz w:val="32"/>
          <w:szCs w:val="32"/>
        </w:rPr>
        <w:t>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，共设机构</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bCs/>
          <w:sz w:val="32"/>
          <w:szCs w:val="32"/>
          <w:lang w:eastAsia="zh-CN"/>
        </w:rPr>
        <w:t>个，即：红</w:t>
      </w:r>
      <w:r>
        <w:rPr>
          <w:rFonts w:hint="eastAsia" w:ascii="仿宋_GB2312" w:hAnsi="仿宋_GB2312" w:eastAsia="仿宋_GB2312" w:cs="仿宋_GB2312"/>
          <w:bCs/>
          <w:sz w:val="32"/>
          <w:szCs w:val="32"/>
          <w:lang w:val="en-US" w:eastAsia="zh-CN"/>
        </w:rPr>
        <w:t>原</w:t>
      </w:r>
      <w:r>
        <w:rPr>
          <w:rFonts w:hint="eastAsia" w:ascii="仿宋_GB2312" w:hAnsi="仿宋_GB2312" w:eastAsia="仿宋_GB2312" w:cs="仿宋_GB2312"/>
          <w:bCs/>
          <w:sz w:val="32"/>
          <w:szCs w:val="32"/>
          <w:lang w:eastAsia="zh-CN"/>
        </w:rPr>
        <w:t>县行政审批和政务服务管理局及</w:t>
      </w:r>
      <w:r>
        <w:rPr>
          <w:rFonts w:hint="eastAsia" w:ascii="仿宋_GB2312" w:hAnsi="仿宋_GB2312" w:eastAsia="仿宋_GB2312" w:cs="仿宋_GB2312"/>
          <w:bCs/>
          <w:sz w:val="32"/>
          <w:szCs w:val="32"/>
          <w:lang w:val="en-US" w:eastAsia="zh-CN"/>
        </w:rPr>
        <w:t>红原县政务服务和</w:t>
      </w:r>
      <w:r>
        <w:rPr>
          <w:rFonts w:hint="eastAsia" w:ascii="仿宋_GB2312" w:hAnsi="仿宋_GB2312" w:eastAsia="仿宋_GB2312" w:cs="仿宋_GB2312"/>
          <w:bCs/>
          <w:sz w:val="32"/>
          <w:szCs w:val="32"/>
          <w:lang w:eastAsia="zh-CN"/>
        </w:rPr>
        <w:t>公共资源交易</w:t>
      </w:r>
      <w:r>
        <w:rPr>
          <w:rFonts w:hint="eastAsia" w:ascii="仿宋_GB2312" w:hAnsi="仿宋_GB2312" w:eastAsia="仿宋_GB2312" w:cs="仿宋_GB2312"/>
          <w:bCs/>
          <w:sz w:val="32"/>
          <w:szCs w:val="32"/>
          <w:lang w:val="en-US" w:eastAsia="zh-CN"/>
        </w:rPr>
        <w:t>服务</w:t>
      </w:r>
      <w:r>
        <w:rPr>
          <w:rFonts w:hint="eastAsia" w:ascii="仿宋_GB2312" w:hAnsi="仿宋_GB2312" w:eastAsia="仿宋_GB2312" w:cs="仿宋_GB2312"/>
          <w:bCs/>
          <w:sz w:val="32"/>
          <w:szCs w:val="32"/>
          <w:lang w:eastAsia="zh-CN"/>
        </w:rPr>
        <w:t>中心（事业）。</w:t>
      </w:r>
    </w:p>
    <w:p w14:paraId="2046597A">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（二）机构职能</w:t>
      </w:r>
    </w:p>
    <w:p w14:paraId="21C0BD0B">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负责制定规范县政务服务</w:t>
      </w:r>
      <w:r>
        <w:rPr>
          <w:rFonts w:hint="eastAsia" w:ascii="仿宋_GB2312" w:hAnsi="仿宋_GB2312" w:eastAsia="仿宋_GB2312" w:cs="仿宋_GB2312"/>
          <w:bCs/>
          <w:sz w:val="32"/>
          <w:szCs w:val="32"/>
          <w:lang w:val="en-US" w:eastAsia="zh-CN"/>
        </w:rPr>
        <w:t>中心</w:t>
      </w:r>
      <w:r>
        <w:rPr>
          <w:rFonts w:hint="eastAsia" w:ascii="仿宋_GB2312" w:hAnsi="仿宋_GB2312" w:eastAsia="仿宋_GB2312" w:cs="仿宋_GB2312"/>
          <w:bCs/>
          <w:sz w:val="32"/>
          <w:szCs w:val="32"/>
          <w:lang w:eastAsia="zh-CN"/>
        </w:rPr>
        <w:t>的各项业务运行和人员管理的规章制度、管理办法，并组织实施；负责对涉及两个以上部门平行审批的事项进行组织协调；负责对审批项目的运转情况进行协调、督查。</w:t>
      </w:r>
    </w:p>
    <w:p w14:paraId="1DDAD9A4">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负责对进入县政务服务中心的“窗口”单位和工作人员进行管理；负责组织各“窗口”单位规范、高效、优质服务，并提供法律政策咨询；负责对“窗口”工作人员进行考核；受理当事人对“窗口”及工作人员服务质量、效率等方面的投诉。</w:t>
      </w:r>
    </w:p>
    <w:p w14:paraId="17A7E6F4">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对进入或者退出县政务服务中心集中受理、办理的要求进行初审并报县人民政府决定。</w:t>
      </w:r>
    </w:p>
    <w:p w14:paraId="2A7F3E8C">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负责政务服务中心电子政务建设、维护和管理。</w:t>
      </w:r>
    </w:p>
    <w:p w14:paraId="2629066F">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负责政务服务中心行政效能建设。</w:t>
      </w:r>
    </w:p>
    <w:p w14:paraId="05FA7401">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负责网格化服务管理系统监管，下级平台报送事件进行分流，监督检查。</w:t>
      </w:r>
    </w:p>
    <w:p w14:paraId="6BB97535">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lang w:eastAsia="zh-CN"/>
        </w:rPr>
        <w:t>负责完成县委、县政府交办的其他工作事项。</w:t>
      </w:r>
    </w:p>
    <w:p w14:paraId="40E239A8">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（三）人员概况</w:t>
      </w:r>
    </w:p>
    <w:p w14:paraId="087E0381">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本单位截止</w:t>
      </w:r>
      <w:r>
        <w:rPr>
          <w:rFonts w:hint="eastAsia" w:ascii="仿宋_GB2312" w:hAnsi="仿宋_GB2312" w:eastAsia="仿宋_GB2312" w:cs="仿宋_GB2312"/>
          <w:bCs/>
          <w:sz w:val="32"/>
          <w:szCs w:val="32"/>
          <w:lang w:val="en-US" w:eastAsia="zh-CN"/>
        </w:rPr>
        <w:t>2023年底共有</w:t>
      </w:r>
      <w:r>
        <w:rPr>
          <w:rFonts w:hint="eastAsia" w:ascii="仿宋_GB2312" w:hAnsi="仿宋_GB2312" w:eastAsia="仿宋_GB2312" w:cs="仿宋_GB2312"/>
          <w:bCs/>
          <w:sz w:val="32"/>
          <w:szCs w:val="32"/>
          <w:lang w:eastAsia="zh-CN"/>
        </w:rPr>
        <w:t>在职职工</w:t>
      </w:r>
      <w:r>
        <w:rPr>
          <w:rFonts w:hint="eastAsia" w:ascii="仿宋_GB2312" w:hAnsi="仿宋_GB2312" w:eastAsia="仿宋_GB2312" w:cs="仿宋_GB2312"/>
          <w:bCs/>
          <w:sz w:val="32"/>
          <w:szCs w:val="32"/>
          <w:lang w:val="en-US" w:eastAsia="zh-CN"/>
        </w:rPr>
        <w:t>15</w:t>
      </w:r>
      <w:r>
        <w:rPr>
          <w:rFonts w:hint="eastAsia" w:ascii="仿宋_GB2312" w:hAnsi="仿宋_GB2312" w:eastAsia="仿宋_GB2312" w:cs="仿宋_GB2312"/>
          <w:bCs/>
          <w:sz w:val="32"/>
          <w:szCs w:val="32"/>
          <w:lang w:eastAsia="zh-CN"/>
        </w:rPr>
        <w:t>人，其中公务员</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人，行政工勤</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人，事业人员</w:t>
      </w:r>
      <w:r>
        <w:rPr>
          <w:rFonts w:hint="eastAsia" w:ascii="仿宋_GB2312" w:hAnsi="仿宋_GB2312" w:eastAsia="仿宋_GB2312" w:cs="仿宋_GB2312"/>
          <w:bCs/>
          <w:sz w:val="32"/>
          <w:szCs w:val="32"/>
          <w:lang w:val="en-US" w:eastAsia="zh-CN"/>
        </w:rPr>
        <w:t>10人</w:t>
      </w:r>
      <w:r>
        <w:rPr>
          <w:rFonts w:hint="eastAsia" w:ascii="仿宋_GB2312" w:hAnsi="仿宋_GB2312" w:eastAsia="仿宋_GB2312" w:cs="仿宋_GB2312"/>
          <w:bCs/>
          <w:sz w:val="32"/>
          <w:szCs w:val="32"/>
          <w:lang w:eastAsia="zh-CN"/>
        </w:rPr>
        <w:t>。</w:t>
      </w:r>
    </w:p>
    <w:p w14:paraId="40C7247F">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二、部门财政资金收支情况</w:t>
      </w:r>
    </w:p>
    <w:p w14:paraId="025A8FCD">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（一）部门财政资金收入情况</w:t>
      </w:r>
    </w:p>
    <w:p w14:paraId="1AD0C1A4">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年度财政拨款收入总计</w:t>
      </w:r>
      <w:r>
        <w:rPr>
          <w:rFonts w:hint="eastAsia" w:ascii="仿宋_GB2312" w:hAnsi="仿宋_GB2312" w:eastAsia="仿宋_GB2312" w:cs="仿宋_GB2312"/>
          <w:bCs/>
          <w:sz w:val="32"/>
          <w:szCs w:val="32"/>
          <w:lang w:val="en-US" w:eastAsia="zh-CN"/>
        </w:rPr>
        <w:t>1106.28万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（其中：一般公共服务支出1018.51万元，主要为人员工资、体检费、工伤失业保险、办公费、邮电费、电费、差旅费、印刷费、劳务费、在建工程费</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社会保障和就业支出45.51万元，主要为各项保险；医疗健康支出19.30万元，全部为医疗保险、公务员医疗补助；住房保障支出22.95元，全部为住房公积金），在建工程为红原县政务中心建设项目，支出636.33万元。</w:t>
      </w:r>
      <w:r>
        <w:rPr>
          <w:rFonts w:hint="eastAsia" w:ascii="仿宋_GB2312" w:hAnsi="仿宋_GB2312" w:eastAsia="仿宋_GB2312" w:cs="仿宋_GB2312"/>
          <w:bCs/>
          <w:sz w:val="32"/>
          <w:szCs w:val="32"/>
          <w:lang w:eastAsia="zh-CN"/>
        </w:rPr>
        <w:t>与</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年相比，</w:t>
      </w:r>
      <w:r>
        <w:rPr>
          <w:rFonts w:hint="eastAsia" w:ascii="仿宋_GB2312" w:hAnsi="仿宋_GB2312" w:eastAsia="仿宋_GB2312" w:cs="仿宋_GB2312"/>
          <w:bCs/>
          <w:sz w:val="32"/>
          <w:szCs w:val="32"/>
          <w:lang w:val="en-US" w:eastAsia="zh-CN"/>
        </w:rPr>
        <w:t>减少了1110.93</w:t>
      </w:r>
      <w:r>
        <w:rPr>
          <w:rFonts w:hint="eastAsia" w:ascii="仿宋_GB2312" w:hAnsi="仿宋_GB2312" w:eastAsia="仿宋_GB2312" w:cs="仿宋_GB2312"/>
          <w:bCs/>
          <w:sz w:val="32"/>
          <w:szCs w:val="32"/>
          <w:lang w:eastAsia="zh-CN"/>
        </w:rPr>
        <w:t>万元，</w:t>
      </w:r>
      <w:r>
        <w:rPr>
          <w:rFonts w:hint="eastAsia" w:ascii="仿宋_GB2312" w:hAnsi="仿宋_GB2312" w:eastAsia="仿宋_GB2312" w:cs="仿宋_GB2312"/>
          <w:bCs/>
          <w:sz w:val="32"/>
          <w:szCs w:val="32"/>
          <w:lang w:val="en-US" w:eastAsia="zh-CN"/>
        </w:rPr>
        <w:t>下降</w:t>
      </w:r>
      <w:r>
        <w:rPr>
          <w:rFonts w:hint="eastAsia" w:ascii="仿宋_GB2312" w:hAnsi="仿宋_GB2312" w:eastAsia="仿宋_GB2312" w:cs="仿宋_GB2312"/>
          <w:bCs/>
          <w:sz w:val="32"/>
          <w:szCs w:val="32"/>
          <w:lang w:eastAsia="zh-CN"/>
        </w:rPr>
        <w:t>了</w:t>
      </w:r>
      <w:r>
        <w:rPr>
          <w:rFonts w:hint="eastAsia" w:ascii="仿宋_GB2312" w:hAnsi="仿宋_GB2312" w:eastAsia="仿宋_GB2312" w:cs="仿宋_GB2312"/>
          <w:bCs/>
          <w:sz w:val="32"/>
          <w:szCs w:val="32"/>
          <w:lang w:val="en-US" w:eastAsia="zh-CN"/>
        </w:rPr>
        <w:t>50%</w:t>
      </w:r>
      <w:r>
        <w:rPr>
          <w:rFonts w:hint="eastAsia" w:ascii="仿宋_GB2312" w:hAnsi="仿宋_GB2312" w:eastAsia="仿宋_GB2312" w:cs="仿宋_GB2312"/>
          <w:bCs/>
          <w:sz w:val="32"/>
          <w:szCs w:val="32"/>
          <w:lang w:eastAsia="zh-CN"/>
        </w:rPr>
        <w:t>，主要变动原因</w:t>
      </w:r>
      <w:r>
        <w:rPr>
          <w:rFonts w:hint="eastAsia" w:ascii="仿宋_GB2312" w:hAnsi="仿宋_GB2312" w:eastAsia="仿宋_GB2312" w:cs="仿宋_GB2312"/>
          <w:bCs/>
          <w:sz w:val="32"/>
          <w:szCs w:val="32"/>
          <w:lang w:val="en-US" w:eastAsia="zh-CN"/>
        </w:rPr>
        <w:t>为2023年人员调整变动，在建工程项目支付较上年减少。</w:t>
      </w:r>
    </w:p>
    <w:p w14:paraId="188AE192">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楷体" w:hAnsi="楷体" w:eastAsia="楷体" w:cs="楷体"/>
          <w:b/>
          <w:bCs/>
          <w:color w:val="000000"/>
          <w:kern w:val="0"/>
          <w:sz w:val="32"/>
          <w:szCs w:val="32"/>
          <w:lang w:val="en-US" w:eastAsia="zh-CN"/>
        </w:rPr>
      </w:pPr>
      <w:r>
        <w:rPr>
          <w:rFonts w:hint="eastAsia" w:ascii="楷体" w:hAnsi="楷体" w:eastAsia="楷体" w:cs="楷体"/>
          <w:b/>
          <w:bCs/>
          <w:color w:val="000000"/>
          <w:kern w:val="0"/>
          <w:sz w:val="32"/>
          <w:szCs w:val="32"/>
          <w:lang w:val="zh-CN"/>
        </w:rPr>
        <w:t>（</w:t>
      </w:r>
      <w:r>
        <w:rPr>
          <w:rFonts w:hint="eastAsia" w:ascii="楷体" w:hAnsi="楷体" w:eastAsia="楷体" w:cs="楷体"/>
          <w:b/>
          <w:bCs/>
          <w:color w:val="000000"/>
          <w:kern w:val="0"/>
          <w:sz w:val="32"/>
          <w:szCs w:val="32"/>
          <w:lang w:val="en-US" w:eastAsia="zh-CN"/>
        </w:rPr>
        <w:t>二</w:t>
      </w:r>
      <w:r>
        <w:rPr>
          <w:rFonts w:hint="eastAsia" w:ascii="楷体" w:hAnsi="楷体" w:eastAsia="楷体" w:cs="楷体"/>
          <w:b/>
          <w:bCs/>
          <w:color w:val="000000"/>
          <w:kern w:val="0"/>
          <w:sz w:val="32"/>
          <w:szCs w:val="32"/>
          <w:lang w:val="zh-CN"/>
        </w:rPr>
        <w:t>）部门财政资金支出情况</w:t>
      </w:r>
    </w:p>
    <w:p w14:paraId="6A9F5768">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年度财政拨款收入总计</w:t>
      </w:r>
      <w:r>
        <w:rPr>
          <w:rFonts w:hint="eastAsia" w:ascii="仿宋_GB2312" w:hAnsi="仿宋_GB2312" w:eastAsia="仿宋_GB2312" w:cs="仿宋_GB2312"/>
          <w:bCs/>
          <w:sz w:val="32"/>
          <w:szCs w:val="32"/>
          <w:lang w:val="en-US" w:eastAsia="zh-CN"/>
        </w:rPr>
        <w:t>1106.28万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（其中：一般公共服务支出1018.51万元，主要为人员工资、体检费、工伤失业保险、办公费、邮电费、电费、差旅费、印刷费、劳务费、在建工程费</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社会保障和就业支出45.51万元，主要为各项保险；医疗健康支出19.30万元，全部为医疗保险、公务员医疗补助；住房保障支出22.95元，全部为住房公积金），在建工程为红原县政务中心建设项目，支出636.33万元。</w:t>
      </w:r>
      <w:r>
        <w:rPr>
          <w:rFonts w:hint="eastAsia" w:ascii="仿宋_GB2312" w:hAnsi="仿宋_GB2312" w:eastAsia="仿宋_GB2312" w:cs="仿宋_GB2312"/>
          <w:bCs/>
          <w:sz w:val="32"/>
          <w:szCs w:val="32"/>
          <w:lang w:eastAsia="zh-CN"/>
        </w:rPr>
        <w:t>与</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年相比，收入</w:t>
      </w:r>
      <w:r>
        <w:rPr>
          <w:rFonts w:hint="eastAsia" w:ascii="仿宋_GB2312" w:hAnsi="仿宋_GB2312" w:eastAsia="仿宋_GB2312" w:cs="仿宋_GB2312"/>
          <w:bCs/>
          <w:sz w:val="32"/>
          <w:szCs w:val="32"/>
          <w:lang w:val="en-US" w:eastAsia="zh-CN"/>
        </w:rPr>
        <w:t>减少</w:t>
      </w:r>
      <w:r>
        <w:rPr>
          <w:rFonts w:hint="eastAsia" w:ascii="仿宋_GB2312" w:hAnsi="仿宋_GB2312" w:eastAsia="仿宋_GB2312" w:cs="仿宋_GB2312"/>
          <w:bCs/>
          <w:sz w:val="32"/>
          <w:szCs w:val="32"/>
          <w:lang w:eastAsia="zh-CN"/>
        </w:rPr>
        <w:t>了</w:t>
      </w:r>
      <w:r>
        <w:rPr>
          <w:rFonts w:hint="eastAsia" w:ascii="仿宋_GB2312" w:hAnsi="仿宋_GB2312" w:eastAsia="仿宋_GB2312" w:cs="仿宋_GB2312"/>
          <w:bCs/>
          <w:sz w:val="32"/>
          <w:szCs w:val="32"/>
          <w:lang w:val="en-US" w:eastAsia="zh-CN"/>
        </w:rPr>
        <w:t>1110.93</w:t>
      </w:r>
      <w:r>
        <w:rPr>
          <w:rFonts w:hint="eastAsia" w:ascii="仿宋_GB2312" w:hAnsi="仿宋_GB2312" w:eastAsia="仿宋_GB2312" w:cs="仿宋_GB2312"/>
          <w:bCs/>
          <w:sz w:val="32"/>
          <w:szCs w:val="32"/>
          <w:lang w:eastAsia="zh-CN"/>
        </w:rPr>
        <w:t>万元，</w:t>
      </w:r>
      <w:r>
        <w:rPr>
          <w:rFonts w:hint="eastAsia" w:ascii="仿宋_GB2312" w:hAnsi="仿宋_GB2312" w:eastAsia="仿宋_GB2312" w:cs="仿宋_GB2312"/>
          <w:bCs/>
          <w:sz w:val="32"/>
          <w:szCs w:val="32"/>
          <w:lang w:val="en-US" w:eastAsia="zh-CN"/>
        </w:rPr>
        <w:t>下降</w:t>
      </w:r>
      <w:r>
        <w:rPr>
          <w:rFonts w:hint="eastAsia" w:ascii="仿宋_GB2312" w:hAnsi="仿宋_GB2312" w:eastAsia="仿宋_GB2312" w:cs="仿宋_GB2312"/>
          <w:bCs/>
          <w:sz w:val="32"/>
          <w:szCs w:val="32"/>
          <w:lang w:eastAsia="zh-CN"/>
        </w:rPr>
        <w:t>了</w:t>
      </w:r>
      <w:r>
        <w:rPr>
          <w:rFonts w:hint="eastAsia" w:ascii="仿宋_GB2312" w:hAnsi="仿宋_GB2312" w:eastAsia="仿宋_GB2312" w:cs="仿宋_GB2312"/>
          <w:bCs/>
          <w:sz w:val="32"/>
          <w:szCs w:val="32"/>
          <w:lang w:val="en-US" w:eastAsia="zh-CN"/>
        </w:rPr>
        <w:t>50%</w:t>
      </w:r>
      <w:r>
        <w:rPr>
          <w:rFonts w:hint="eastAsia" w:ascii="仿宋_GB2312" w:hAnsi="仿宋_GB2312" w:eastAsia="仿宋_GB2312" w:cs="仿宋_GB2312"/>
          <w:bCs/>
          <w:sz w:val="32"/>
          <w:szCs w:val="32"/>
          <w:lang w:eastAsia="zh-CN"/>
        </w:rPr>
        <w:t>，主要变动原因</w:t>
      </w:r>
      <w:r>
        <w:rPr>
          <w:rFonts w:hint="eastAsia" w:ascii="仿宋_GB2312" w:hAnsi="仿宋_GB2312" w:eastAsia="仿宋_GB2312" w:cs="仿宋_GB2312"/>
          <w:bCs/>
          <w:sz w:val="32"/>
          <w:szCs w:val="32"/>
          <w:lang w:val="en-US" w:eastAsia="zh-CN"/>
        </w:rPr>
        <w:t>2023年人员调整变动，在建工程项目支出较上年减少。</w:t>
      </w:r>
    </w:p>
    <w:p w14:paraId="663AB9F5">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黑体" w:hAnsi="黑体" w:eastAsia="黑体" w:cs="黑体"/>
          <w:b w:val="0"/>
          <w:bCs w:val="0"/>
          <w:i w:val="0"/>
          <w:iCs w:val="0"/>
          <w:color w:val="000000"/>
          <w:kern w:val="0"/>
          <w:sz w:val="32"/>
          <w:szCs w:val="32"/>
          <w:lang w:val="zh-CN"/>
        </w:rPr>
      </w:pPr>
      <w:r>
        <w:rPr>
          <w:rFonts w:hint="eastAsia" w:ascii="黑体" w:hAnsi="黑体" w:eastAsia="黑体" w:cs="黑体"/>
          <w:b w:val="0"/>
          <w:bCs w:val="0"/>
          <w:color w:val="000000"/>
          <w:kern w:val="0"/>
          <w:sz w:val="32"/>
          <w:szCs w:val="32"/>
        </w:rPr>
        <w:t>三、</w:t>
      </w:r>
      <w:r>
        <w:rPr>
          <w:rFonts w:hint="eastAsia" w:ascii="黑体" w:hAnsi="黑体" w:eastAsia="黑体" w:cs="黑体"/>
          <w:b w:val="0"/>
          <w:bCs w:val="0"/>
          <w:i w:val="0"/>
          <w:iCs w:val="0"/>
          <w:color w:val="000000"/>
          <w:kern w:val="0"/>
          <w:sz w:val="32"/>
          <w:szCs w:val="32"/>
          <w:lang w:val="en-US" w:eastAsia="zh-CN"/>
        </w:rPr>
        <w:t>部门整体预算理</w:t>
      </w:r>
      <w:r>
        <w:rPr>
          <w:rFonts w:hint="eastAsia" w:ascii="黑体" w:hAnsi="黑体" w:eastAsia="黑体" w:cs="黑体"/>
          <w:b w:val="0"/>
          <w:bCs w:val="0"/>
          <w:i w:val="0"/>
          <w:iCs w:val="0"/>
          <w:color w:val="000000"/>
          <w:kern w:val="0"/>
          <w:sz w:val="32"/>
          <w:szCs w:val="32"/>
          <w:lang w:val="zh-CN"/>
        </w:rPr>
        <w:t>管理情况</w:t>
      </w:r>
    </w:p>
    <w:p w14:paraId="0652C5F6">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（一）预算编制情况</w:t>
      </w:r>
    </w:p>
    <w:p w14:paraId="24B4D612">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红原县行政审批和政务服务管理局预算编制严格按照《预算法》相关规定，结合全县预算编制口径，结合我单位实际情况，主要用于保障该机构正常运转、完成日常工作任务以及红原县行政审批和政务服务管理局相关工作而编制。</w:t>
      </w:r>
    </w:p>
    <w:p w14:paraId="50313A1C">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基本支出，是用于保障红原县行政审批和政务服务管理局正常运转的日常支出，包括基本工资、津贴补贴等人员经费以及办公费、印刷费、水电费、培训费、政务中心窗口补贴及专项办公费等日常公用经费。</w:t>
      </w:r>
    </w:p>
    <w:p w14:paraId="2F7EC971">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lang w:val="en-US" w:eastAsia="zh-CN"/>
        </w:rPr>
        <w:t xml:space="preserve">项目支出，是用于红原县政务中心建设项目，被装购置费，专项办公费。                                       </w:t>
      </w:r>
      <w:r>
        <w:rPr>
          <w:rFonts w:hint="eastAsia" w:ascii="仿宋_GB2312" w:hAnsi="仿宋_GB2312" w:eastAsia="仿宋_GB2312" w:cs="仿宋_GB2312"/>
          <w:b w:val="0"/>
          <w:bCs w:val="0"/>
          <w:color w:val="000000"/>
          <w:sz w:val="32"/>
          <w:szCs w:val="32"/>
          <w:lang w:val="en-US" w:eastAsia="zh-CN"/>
        </w:rPr>
        <w:t xml:space="preserve">   </w:t>
      </w:r>
    </w:p>
    <w:p w14:paraId="06FDB507">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both"/>
        <w:textAlignment w:val="auto"/>
        <w:rPr>
          <w:rFonts w:hint="eastAsia" w:ascii="仿宋_GB2312" w:hAnsi="仿宋_GB2312" w:eastAsia="仿宋_GB2312" w:cs="仿宋_GB2312"/>
          <w:b/>
          <w:bCs/>
          <w:i w:val="0"/>
          <w:iCs w:val="0"/>
          <w:color w:val="000000"/>
          <w:kern w:val="0"/>
          <w:sz w:val="32"/>
          <w:szCs w:val="32"/>
          <w:lang w:val="zh-CN"/>
        </w:rPr>
      </w:pPr>
      <w:r>
        <w:rPr>
          <w:rFonts w:hint="eastAsia" w:ascii="楷体" w:hAnsi="楷体" w:eastAsia="楷体" w:cs="楷体"/>
          <w:b/>
          <w:bCs/>
          <w:color w:val="000000"/>
          <w:kern w:val="0"/>
          <w:sz w:val="32"/>
          <w:szCs w:val="32"/>
          <w:lang w:val="zh-CN"/>
        </w:rPr>
        <w:t>（二）执行管理情况</w:t>
      </w:r>
      <w:r>
        <w:rPr>
          <w:rFonts w:hint="eastAsia" w:ascii="楷体" w:hAnsi="楷体" w:eastAsia="楷体" w:cs="楷体"/>
          <w:b/>
          <w:bCs/>
          <w:color w:val="000000"/>
          <w:kern w:val="0"/>
          <w:sz w:val="32"/>
          <w:szCs w:val="32"/>
          <w:lang w:val="zh-CN"/>
        </w:rPr>
        <w:tab/>
      </w:r>
    </w:p>
    <w:p w14:paraId="1449D0F5">
      <w:pPr>
        <w:keepNext w:val="0"/>
        <w:keepLines w:val="0"/>
        <w:pageBreakBefore w:val="0"/>
        <w:widowControl w:val="0"/>
        <w:kinsoku/>
        <w:wordWrap/>
        <w:overflowPunct/>
        <w:topLinePunct w:val="0"/>
        <w:autoSpaceDE/>
        <w:autoSpaceDN/>
        <w:bidi w:val="0"/>
        <w:spacing w:line="576" w:lineRule="exact"/>
        <w:ind w:left="0" w:right="0" w:firstLine="643" w:firstLineChars="200"/>
        <w:jc w:val="both"/>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1.因公出国(境)经费</w:t>
      </w:r>
    </w:p>
    <w:p w14:paraId="0DDF6A1A">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年因公出国(境)费</w:t>
      </w:r>
      <w:r>
        <w:rPr>
          <w:rFonts w:hint="eastAsia" w:ascii="仿宋_GB2312" w:hAnsi="仿宋_GB2312" w:eastAsia="仿宋_GB2312" w:cs="仿宋_GB2312"/>
          <w:bCs/>
          <w:sz w:val="32"/>
          <w:szCs w:val="32"/>
          <w:lang w:val="en-US" w:eastAsia="zh-CN"/>
        </w:rPr>
        <w:t>0.00</w:t>
      </w:r>
      <w:r>
        <w:rPr>
          <w:rFonts w:hint="eastAsia" w:ascii="仿宋_GB2312" w:hAnsi="仿宋_GB2312" w:eastAsia="仿宋_GB2312" w:cs="仿宋_GB2312"/>
          <w:bCs/>
          <w:sz w:val="32"/>
          <w:szCs w:val="32"/>
          <w:lang w:eastAsia="zh-CN"/>
        </w:rPr>
        <w:t xml:space="preserve">元，因公出国(境) </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人，与上年持平。</w:t>
      </w:r>
    </w:p>
    <w:p w14:paraId="4EF89C8A">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2.公务接待费</w:t>
      </w:r>
    </w:p>
    <w:p w14:paraId="04A7EB1F">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年公务接待费</w:t>
      </w:r>
      <w:r>
        <w:rPr>
          <w:rFonts w:hint="eastAsia" w:ascii="仿宋_GB2312" w:hAnsi="仿宋_GB2312" w:eastAsia="仿宋_GB2312" w:cs="仿宋_GB2312"/>
          <w:bCs/>
          <w:sz w:val="32"/>
          <w:szCs w:val="32"/>
          <w:lang w:val="en-US" w:eastAsia="zh-CN"/>
        </w:rPr>
        <w:t xml:space="preserve"> 0.16万</w:t>
      </w:r>
      <w:r>
        <w:rPr>
          <w:rFonts w:hint="eastAsia" w:ascii="仿宋_GB2312" w:hAnsi="仿宋_GB2312" w:eastAsia="仿宋_GB2312" w:cs="仿宋_GB2312"/>
          <w:bCs/>
          <w:sz w:val="32"/>
          <w:szCs w:val="32"/>
          <w:lang w:eastAsia="zh-CN"/>
        </w:rPr>
        <w:t>元。公务接待费支出决算比</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bCs/>
          <w:sz w:val="32"/>
          <w:szCs w:val="32"/>
          <w:lang w:val="en-US" w:eastAsia="zh-CN"/>
        </w:rPr>
        <w:t>增加了0.09</w:t>
      </w:r>
      <w:r>
        <w:rPr>
          <w:rFonts w:hint="eastAsia" w:ascii="仿宋_GB2312" w:hAnsi="仿宋_GB2312" w:eastAsia="仿宋_GB2312" w:cs="仿宋_GB2312"/>
          <w:bCs/>
          <w:sz w:val="32"/>
          <w:szCs w:val="32"/>
          <w:lang w:eastAsia="zh-CN"/>
        </w:rPr>
        <w:t>万元。</w:t>
      </w:r>
      <w:r>
        <w:rPr>
          <w:rFonts w:hint="eastAsia" w:ascii="仿宋_GB2312" w:hAnsi="仿宋_GB2312" w:eastAsia="仿宋_GB2312" w:cs="仿宋_GB2312"/>
          <w:bCs/>
          <w:sz w:val="32"/>
          <w:szCs w:val="32"/>
          <w:lang w:val="en-US" w:eastAsia="zh-CN"/>
        </w:rPr>
        <w:t>增加1.5%。主要原因为2023年上级单位调研、来访增加，本年度我们将严格执行“八项规定、六项禁令”，结合本年度工作需要，减少不必要的开支，严格审批管理接待费。</w:t>
      </w:r>
    </w:p>
    <w:p w14:paraId="7FE5422D">
      <w:pPr>
        <w:keepNext w:val="0"/>
        <w:keepLines w:val="0"/>
        <w:pageBreakBefore w:val="0"/>
        <w:widowControl w:val="0"/>
        <w:kinsoku/>
        <w:wordWrap/>
        <w:overflowPunct/>
        <w:topLinePunct w:val="0"/>
        <w:autoSpaceDE/>
        <w:autoSpaceDN/>
        <w:bidi w:val="0"/>
        <w:spacing w:line="576" w:lineRule="exact"/>
        <w:ind w:left="0" w:right="0" w:firstLine="643" w:firstLineChars="200"/>
        <w:jc w:val="both"/>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3.公务用车购置及运行维护费</w:t>
      </w:r>
    </w:p>
    <w:p w14:paraId="219794C6">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年公务用车运行维护费</w:t>
      </w:r>
      <w:r>
        <w:rPr>
          <w:rFonts w:hint="eastAsia" w:ascii="仿宋_GB2312" w:hAnsi="仿宋_GB2312" w:eastAsia="仿宋_GB2312" w:cs="仿宋_GB2312"/>
          <w:bCs/>
          <w:sz w:val="32"/>
          <w:szCs w:val="32"/>
          <w:lang w:val="en-US" w:eastAsia="zh-CN"/>
        </w:rPr>
        <w:t>0万</w:t>
      </w:r>
      <w:r>
        <w:rPr>
          <w:rFonts w:hint="eastAsia" w:ascii="仿宋_GB2312" w:hAnsi="仿宋_GB2312" w:eastAsia="仿宋_GB2312" w:cs="仿宋_GB2312"/>
          <w:bCs/>
          <w:sz w:val="32"/>
          <w:szCs w:val="32"/>
          <w:lang w:eastAsia="zh-CN"/>
        </w:rPr>
        <w:t>元。其中：</w:t>
      </w:r>
    </w:p>
    <w:p w14:paraId="782BDDBB">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公务用车购置支出</w:t>
      </w:r>
      <w:r>
        <w:rPr>
          <w:rFonts w:hint="eastAsia" w:ascii="仿宋_GB2312" w:hAnsi="仿宋_GB2312" w:eastAsia="仿宋_GB2312" w:cs="仿宋_GB2312"/>
          <w:bCs/>
          <w:sz w:val="32"/>
          <w:szCs w:val="32"/>
          <w:lang w:val="en-US" w:eastAsia="zh-CN"/>
        </w:rPr>
        <w:t>0万</w:t>
      </w:r>
      <w:r>
        <w:rPr>
          <w:rFonts w:hint="eastAsia" w:ascii="仿宋_GB2312" w:hAnsi="仿宋_GB2312" w:eastAsia="仿宋_GB2312" w:cs="仿宋_GB2312"/>
          <w:bCs/>
          <w:sz w:val="32"/>
          <w:szCs w:val="32"/>
          <w:lang w:eastAsia="zh-CN"/>
        </w:rPr>
        <w:t>元。</w:t>
      </w:r>
    </w:p>
    <w:p w14:paraId="21EA3EE9">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公务用车运行维护费支出</w:t>
      </w:r>
      <w:r>
        <w:rPr>
          <w:rFonts w:hint="eastAsia" w:ascii="仿宋_GB2312" w:hAnsi="仿宋_GB2312" w:eastAsia="仿宋_GB2312" w:cs="仿宋_GB2312"/>
          <w:bCs/>
          <w:sz w:val="32"/>
          <w:szCs w:val="32"/>
          <w:lang w:val="en-US" w:eastAsia="zh-CN"/>
        </w:rPr>
        <w:t>12.07万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主要用于单位公务车辆油费、过路费、维修维护费、年审保险等</w:t>
      </w:r>
      <w:r>
        <w:rPr>
          <w:rFonts w:hint="eastAsia" w:ascii="仿宋_GB2312" w:hAnsi="仿宋_GB2312" w:eastAsia="仿宋_GB2312" w:cs="仿宋_GB2312"/>
          <w:bCs/>
          <w:sz w:val="32"/>
          <w:szCs w:val="32"/>
          <w:lang w:eastAsia="zh-CN"/>
        </w:rPr>
        <w:t>。</w:t>
      </w:r>
    </w:p>
    <w:p w14:paraId="0D8231C3">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Cs/>
          <w:sz w:val="32"/>
          <w:szCs w:val="32"/>
          <w:lang w:eastAsia="zh-CN"/>
        </w:rPr>
        <w:t>公务用车购置及运行维护费支出</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万元,完成预算</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lang w:eastAsia="zh-CN"/>
        </w:rPr>
        <w:t>。</w:t>
      </w:r>
    </w:p>
    <w:p w14:paraId="22A19553">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（三）</w:t>
      </w:r>
      <w:r>
        <w:rPr>
          <w:rFonts w:hint="eastAsia" w:ascii="楷体" w:hAnsi="楷体" w:eastAsia="楷体" w:cs="楷体"/>
          <w:b/>
          <w:bCs/>
          <w:color w:val="000000"/>
          <w:kern w:val="0"/>
          <w:sz w:val="32"/>
          <w:szCs w:val="32"/>
          <w:lang w:val="en-US" w:eastAsia="zh-CN"/>
        </w:rPr>
        <w:t>整体情况</w:t>
      </w:r>
    </w:p>
    <w:p w14:paraId="51AE1E1A">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会计法》、《预算法》和《行政单位会计制》等法律和财政部及其省财政厅有关财务规章的规定，明确了单位经费审批权限及程序，经费预算、核算管理、资产购置与处置、财务监督等相关规定。按规定对本单位财务信息依法进行公开。</w:t>
      </w:r>
    </w:p>
    <w:p w14:paraId="6052557B">
      <w:pPr>
        <w:pStyle w:val="26"/>
        <w:keepNext w:val="0"/>
        <w:keepLines w:val="0"/>
        <w:pageBreakBefore w:val="0"/>
        <w:tabs>
          <w:tab w:val="left" w:pos="0"/>
        </w:tabs>
        <w:kinsoku/>
        <w:wordWrap/>
        <w:overflowPunct/>
        <w:topLinePunct w:val="0"/>
        <w:autoSpaceDE/>
        <w:autoSpaceDN/>
        <w:bidi w:val="0"/>
        <w:spacing w:line="576" w:lineRule="exact"/>
        <w:ind w:lef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资产管理</w:t>
      </w:r>
    </w:p>
    <w:p w14:paraId="3850C492">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14:paraId="2438FFCE">
      <w:pPr>
        <w:pStyle w:val="26"/>
        <w:keepNext w:val="0"/>
        <w:keepLines w:val="0"/>
        <w:pageBreakBefore w:val="0"/>
        <w:tabs>
          <w:tab w:val="left" w:pos="0"/>
        </w:tabs>
        <w:kinsoku/>
        <w:wordWrap/>
        <w:overflowPunct/>
        <w:topLinePunct w:val="0"/>
        <w:autoSpaceDE/>
        <w:autoSpaceDN/>
        <w:bidi w:val="0"/>
        <w:spacing w:line="576" w:lineRule="exact"/>
        <w:ind w:lef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单位内控管理</w:t>
      </w:r>
    </w:p>
    <w:p w14:paraId="35A64566">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14:paraId="16BACA57">
      <w:pPr>
        <w:pStyle w:val="15"/>
        <w:keepNext w:val="0"/>
        <w:keepLines w:val="0"/>
        <w:pageBreakBefore w:val="0"/>
        <w:widowControl w:val="0"/>
        <w:kinsoku/>
        <w:wordWrap/>
        <w:overflowPunct/>
        <w:topLinePunct w:val="0"/>
        <w:autoSpaceDE/>
        <w:autoSpaceDN/>
        <w:bidi w:val="0"/>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部门预算管理</w:t>
      </w:r>
    </w:p>
    <w:p w14:paraId="7C6D0A85">
      <w:pPr>
        <w:pStyle w:val="9"/>
        <w:keepNext w:val="0"/>
        <w:keepLines w:val="0"/>
        <w:pageBreakBefore w:val="0"/>
        <w:widowControl w:val="0"/>
        <w:kinsoku/>
        <w:wordWrap/>
        <w:overflowPunct/>
        <w:topLinePunct w:val="0"/>
        <w:autoSpaceDE/>
        <w:autoSpaceDN/>
        <w:bidi w:val="0"/>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kern w:val="2"/>
          <w:sz w:val="32"/>
          <w:szCs w:val="32"/>
          <w:lang w:val="en-US" w:eastAsia="zh-CN" w:bidi="ar-SA"/>
        </w:rPr>
        <w:t xml:space="preserve">严格按照综合预算原则。统一编制、统一管理、统筹安排资金，将单位所有安排的各项支出纳入综合预算，确保预算全面、真实反映单位实际的收支情况，使所有收支活动纳入预算管理与监督的范围。    </w:t>
      </w:r>
    </w:p>
    <w:p w14:paraId="24C9A906">
      <w:pPr>
        <w:keepNext w:val="0"/>
        <w:keepLines w:val="0"/>
        <w:pageBreakBefore w:val="0"/>
        <w:widowControl/>
        <w:suppressLineNumbers w:val="0"/>
        <w:kinsoku/>
        <w:wordWrap/>
        <w:overflowPunct/>
        <w:topLinePunct w:val="0"/>
        <w:autoSpaceDE/>
        <w:autoSpaceDN/>
        <w:bidi w:val="0"/>
        <w:adjustRightInd w:val="0"/>
        <w:snapToGrid w:val="0"/>
        <w:spacing w:after="0" w:line="576" w:lineRule="exact"/>
        <w:ind w:left="0" w:right="0" w:firstLine="643" w:firstLineChars="200"/>
        <w:jc w:val="both"/>
        <w:textAlignment w:val="auto"/>
        <w:rPr>
          <w:rFonts w:hint="eastAsia" w:ascii="仿宋_GB2312" w:hAnsi="仿宋_GB2312" w:eastAsia="仿宋_GB2312" w:cs="仿宋_GB2312"/>
          <w:b/>
          <w:bCs/>
          <w:color w:val="000000"/>
          <w:kern w:val="0"/>
          <w:sz w:val="32"/>
          <w:szCs w:val="32"/>
          <w:lang w:val="zh-CN" w:eastAsia="zh-CN"/>
        </w:rPr>
      </w:pPr>
      <w:r>
        <w:rPr>
          <w:rFonts w:hint="eastAsia" w:ascii="仿宋_GB2312" w:hAnsi="仿宋_GB2312" w:eastAsia="仿宋_GB2312" w:cs="仿宋_GB2312"/>
          <w:b/>
          <w:bCs/>
          <w:color w:val="000000"/>
          <w:kern w:val="0"/>
          <w:sz w:val="32"/>
          <w:szCs w:val="32"/>
          <w:lang w:val="en-US" w:eastAsia="zh-CN"/>
        </w:rPr>
        <w:t>4.</w:t>
      </w:r>
      <w:r>
        <w:rPr>
          <w:rFonts w:hint="eastAsia" w:ascii="仿宋_GB2312" w:hAnsi="仿宋_GB2312" w:eastAsia="仿宋_GB2312" w:cs="仿宋_GB2312"/>
          <w:b/>
          <w:bCs/>
          <w:color w:val="000000"/>
          <w:kern w:val="0"/>
          <w:sz w:val="32"/>
          <w:szCs w:val="32"/>
          <w:lang w:val="zh-CN" w:eastAsia="zh-CN"/>
        </w:rPr>
        <w:t>绩效管理</w:t>
      </w:r>
    </w:p>
    <w:p w14:paraId="358FCF66">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bCs/>
          <w:sz w:val="32"/>
          <w:szCs w:val="32"/>
          <w:lang w:val="en-US" w:eastAsia="zh-CN"/>
        </w:rPr>
        <w:t>我单位领导高度重视绩效评价工作，成立了绩效评价工作领导小组，采取座谈等方式听取相关情况，检查基本支出、项目支出有关账目，收集整理相关资料，并对资料进行分析，形成评价结论。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（1）部门预算严格按照上级部门预算编制通知和有关要求，结合单位具体工作及县级相关规定编制，按时完成基础、项目报送工作，单位预算按时在红原门户网站公开。</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（2）严格执行支出预算，“三公经费”本着节约、高效的原则严格控制支出。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整体绩效评价工作，绩效评价工作正逐步完善。 </w:t>
      </w:r>
      <w:r>
        <w:rPr>
          <w:rFonts w:hint="eastAsia" w:ascii="仿宋_GB2312" w:hAnsi="仿宋_GB2312" w:eastAsia="仿宋_GB2312" w:cs="仿宋_GB2312"/>
          <w:b w:val="0"/>
          <w:bCs w:val="0"/>
          <w:color w:val="000000"/>
          <w:sz w:val="32"/>
          <w:szCs w:val="32"/>
          <w:lang w:val="en-US" w:eastAsia="zh-CN"/>
        </w:rPr>
        <w:t xml:space="preserve">   </w:t>
      </w:r>
    </w:p>
    <w:p w14:paraId="4401FB76">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（四）整体绩效</w:t>
      </w:r>
    </w:p>
    <w:p w14:paraId="081D6582">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通过整体绩效自评，反映本部门能按照行政审批及公共资源交易管理相关职责要求有效履行职责，圆满完成了各项工作任务，绩效评价结果为优，群众及相关部门等对县行政审批和政务服务管理局的各项工作满意度较高。</w:t>
      </w:r>
    </w:p>
    <w:p w14:paraId="3C0F613C">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四、评价结论及建议</w:t>
      </w:r>
    </w:p>
    <w:p w14:paraId="75EBDECB">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both"/>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（一）评价结论</w:t>
      </w:r>
    </w:p>
    <w:p w14:paraId="7F7E953F">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根据《红原县部门整体支出绩效评价指标体系》自查的分95.9分，总体评价较好。</w:t>
      </w:r>
    </w:p>
    <w:p w14:paraId="562FA775">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both"/>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w:t>
      </w:r>
      <w:r>
        <w:rPr>
          <w:rFonts w:hint="eastAsia" w:ascii="楷体" w:hAnsi="楷体" w:eastAsia="楷体" w:cs="楷体"/>
          <w:b/>
          <w:bCs/>
          <w:color w:val="000000"/>
          <w:kern w:val="0"/>
          <w:sz w:val="32"/>
          <w:szCs w:val="32"/>
          <w:lang w:val="en-US" w:eastAsia="zh-CN"/>
        </w:rPr>
        <w:t>二</w:t>
      </w:r>
      <w:r>
        <w:rPr>
          <w:rFonts w:hint="eastAsia" w:ascii="楷体" w:hAnsi="楷体" w:eastAsia="楷体" w:cs="楷体"/>
          <w:b/>
          <w:bCs/>
          <w:color w:val="000000"/>
          <w:kern w:val="0"/>
          <w:sz w:val="32"/>
          <w:szCs w:val="32"/>
          <w:lang w:val="zh-CN"/>
        </w:rPr>
        <w:t>）存在问题</w:t>
      </w:r>
    </w:p>
    <w:p w14:paraId="2538A478">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存在的问题:在平时工作推进过程中，缺乏技术人员进行专业指导及培训，工作推进存在一定困难，预算编制还需更加精准。</w:t>
      </w:r>
    </w:p>
    <w:p w14:paraId="35244231">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hint="eastAsia" w:ascii="黑体" w:hAnsi="黑体" w:eastAsia="黑体" w:cs="黑体"/>
          <w:b w:val="0"/>
          <w:bCs w:val="0"/>
          <w:color w:val="000000"/>
          <w:kern w:val="0"/>
          <w:sz w:val="32"/>
          <w:szCs w:val="32"/>
          <w:lang w:val="zh-CN"/>
        </w:rPr>
      </w:pPr>
      <w:r>
        <w:rPr>
          <w:rFonts w:hint="eastAsia" w:ascii="黑体" w:hAnsi="黑体" w:eastAsia="黑体" w:cs="黑体"/>
          <w:b w:val="0"/>
          <w:bCs w:val="0"/>
          <w:color w:val="000000"/>
          <w:kern w:val="0"/>
          <w:sz w:val="32"/>
          <w:szCs w:val="32"/>
          <w:lang w:val="zh-CN"/>
        </w:rPr>
        <w:t>五、改进建议</w:t>
      </w:r>
    </w:p>
    <w:p w14:paraId="3BFE9E99">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val="0"/>
          <w:bCs w:val="0"/>
          <w:color w:val="000000"/>
          <w:kern w:val="0"/>
          <w:sz w:val="32"/>
          <w:szCs w:val="32"/>
          <w:lang w:val="zh-CN"/>
        </w:rPr>
        <w:t>（一）</w:t>
      </w:r>
      <w:r>
        <w:rPr>
          <w:rFonts w:hint="eastAsia" w:ascii="仿宋_GB2312" w:hAnsi="仿宋_GB2312" w:eastAsia="仿宋_GB2312" w:cs="仿宋_GB2312"/>
          <w:bCs/>
          <w:sz w:val="32"/>
          <w:szCs w:val="32"/>
          <w:lang w:val="en-US" w:eastAsia="zh-CN"/>
        </w:rPr>
        <w:t>通过各种途径加强绩效管理学习，科学合理编制预算，严格执行预算。</w:t>
      </w:r>
    </w:p>
    <w:p w14:paraId="4EE3DEA7">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val="0"/>
          <w:bCs w:val="0"/>
          <w:color w:val="000000"/>
          <w:kern w:val="0"/>
          <w:sz w:val="32"/>
          <w:szCs w:val="32"/>
          <w:lang w:val="zh-CN"/>
        </w:rPr>
        <w:t>（</w:t>
      </w:r>
      <w:r>
        <w:rPr>
          <w:rFonts w:hint="eastAsia" w:ascii="仿宋_GB2312" w:hAnsi="仿宋_GB2312" w:eastAsia="仿宋_GB2312" w:cs="仿宋_GB2312"/>
          <w:b w:val="0"/>
          <w:bCs w:val="0"/>
          <w:color w:val="000000"/>
          <w:kern w:val="0"/>
          <w:sz w:val="32"/>
          <w:szCs w:val="32"/>
          <w:lang w:val="en-US" w:eastAsia="zh-CN"/>
        </w:rPr>
        <w:t>二</w:t>
      </w:r>
      <w:r>
        <w:rPr>
          <w:rFonts w:hint="eastAsia" w:ascii="仿宋_GB2312" w:hAnsi="仿宋_GB2312" w:eastAsia="仿宋_GB2312" w:cs="仿宋_GB2312"/>
          <w:b w:val="0"/>
          <w:bCs w:val="0"/>
          <w:color w:val="000000"/>
          <w:kern w:val="0"/>
          <w:sz w:val="32"/>
          <w:szCs w:val="32"/>
          <w:lang w:val="zh-CN"/>
        </w:rPr>
        <w:t>）</w:t>
      </w:r>
      <w:r>
        <w:rPr>
          <w:rFonts w:hint="eastAsia" w:ascii="仿宋_GB2312" w:hAnsi="仿宋_GB2312" w:eastAsia="仿宋_GB2312" w:cs="仿宋_GB2312"/>
          <w:bCs/>
          <w:sz w:val="32"/>
          <w:szCs w:val="32"/>
          <w:lang w:val="en-US" w:eastAsia="zh-CN"/>
        </w:rPr>
        <w:t>规范账务处理，提高财务信息质量。</w:t>
      </w:r>
    </w:p>
    <w:bookmarkEnd w:id="91"/>
    <w:p w14:paraId="7F709AB6">
      <w:pPr>
        <w:pageBreakBefore w:val="0"/>
        <w:kinsoku/>
        <w:wordWrap/>
        <w:overflowPunct/>
        <w:topLinePunct w:val="0"/>
        <w:bidi w:val="0"/>
        <w:spacing w:line="576" w:lineRule="exact"/>
        <w:outlineLvl w:val="0"/>
        <w:rPr>
          <w:rStyle w:val="21"/>
          <w:rFonts w:hint="eastAsia" w:ascii="仿宋_GB2312" w:hAnsi="仿宋_GB2312" w:eastAsia="仿宋_GB2312" w:cs="仿宋_GB2312"/>
          <w:b w:val="0"/>
          <w:color w:val="auto"/>
          <w:sz w:val="32"/>
          <w:szCs w:val="32"/>
        </w:rPr>
      </w:pPr>
    </w:p>
    <w:p w14:paraId="2709E715">
      <w:pPr>
        <w:pageBreakBefore w:val="0"/>
        <w:kinsoku/>
        <w:wordWrap/>
        <w:overflowPunct/>
        <w:topLinePunct w:val="0"/>
        <w:bidi w:val="0"/>
        <w:spacing w:line="576" w:lineRule="exact"/>
        <w:ind w:firstLine="880" w:firstLineChars="200"/>
        <w:jc w:val="center"/>
        <w:outlineLvl w:val="0"/>
        <w:rPr>
          <w:rFonts w:hint="eastAsia" w:ascii="方正小标宋_GBK" w:hAnsi="方正小标宋_GBK" w:eastAsia="方正小标宋_GBK" w:cs="方正小标宋_GBK"/>
          <w:b w:val="0"/>
          <w:bCs/>
          <w:color w:val="auto"/>
          <w:sz w:val="44"/>
          <w:szCs w:val="44"/>
        </w:rPr>
      </w:pPr>
      <w:bookmarkStart w:id="92" w:name="_Toc12332"/>
      <w:r>
        <w:rPr>
          <w:rStyle w:val="21"/>
          <w:rFonts w:hint="eastAsia" w:ascii="方正小标宋_GBK" w:hAnsi="方正小标宋_GBK" w:eastAsia="方正小标宋_GBK" w:cs="方正小标宋_GBK"/>
          <w:b w:val="0"/>
          <w:bCs/>
          <w:color w:val="auto"/>
          <w:sz w:val="44"/>
          <w:szCs w:val="44"/>
        </w:rPr>
        <w:t>第五部分 附表</w:t>
      </w:r>
      <w:bookmarkEnd w:id="86"/>
      <w:bookmarkEnd w:id="90"/>
      <w:bookmarkEnd w:id="92"/>
    </w:p>
    <w:p w14:paraId="4AD08676">
      <w:pPr>
        <w:pStyle w:val="4"/>
        <w:rPr>
          <w:rFonts w:hint="eastAsia" w:ascii="仿宋_GB2312" w:hAnsi="仿宋_GB2312" w:eastAsia="仿宋_GB2312" w:cs="仿宋_GB2312"/>
        </w:rPr>
      </w:pPr>
      <w:bookmarkStart w:id="93" w:name="_Toc9836"/>
      <w:bookmarkStart w:id="94" w:name="_Toc7114"/>
      <w:bookmarkStart w:id="95" w:name="_Toc2988"/>
      <w:bookmarkStart w:id="96" w:name="_Toc9218"/>
      <w:r>
        <w:rPr>
          <w:rFonts w:hint="eastAsia" w:ascii="仿宋_GB2312" w:hAnsi="仿宋_GB2312" w:eastAsia="仿宋_GB2312" w:cs="仿宋_GB2312"/>
          <w:b w:val="0"/>
        </w:rPr>
        <w:t>一、收</w:t>
      </w:r>
      <w:r>
        <w:rPr>
          <w:rStyle w:val="29"/>
          <w:rFonts w:hint="eastAsia" w:ascii="仿宋_GB2312" w:hAnsi="仿宋_GB2312" w:eastAsia="仿宋_GB2312" w:cs="仿宋_GB2312"/>
          <w:b w:val="0"/>
          <w:bCs w:val="0"/>
        </w:rPr>
        <w:t>入支出决算总表</w:t>
      </w:r>
      <w:bookmarkEnd w:id="93"/>
      <w:bookmarkEnd w:id="94"/>
    </w:p>
    <w:p w14:paraId="66C17064">
      <w:pPr>
        <w:pStyle w:val="4"/>
        <w:rPr>
          <w:rFonts w:hint="eastAsia" w:ascii="仿宋_GB2312" w:hAnsi="仿宋_GB2312" w:eastAsia="仿宋_GB2312" w:cs="仿宋_GB2312"/>
        </w:rPr>
      </w:pPr>
      <w:bookmarkStart w:id="97" w:name="_Toc15396620"/>
      <w:bookmarkStart w:id="98" w:name="_Toc31850"/>
      <w:bookmarkStart w:id="99" w:name="_Toc5275"/>
      <w:r>
        <w:rPr>
          <w:rFonts w:hint="eastAsia" w:ascii="仿宋_GB2312" w:hAnsi="仿宋_GB2312" w:eastAsia="仿宋_GB2312" w:cs="仿宋_GB2312"/>
          <w:b w:val="0"/>
        </w:rPr>
        <w:t>二、收</w:t>
      </w:r>
      <w:r>
        <w:rPr>
          <w:rStyle w:val="29"/>
          <w:rFonts w:hint="eastAsia" w:ascii="仿宋_GB2312" w:hAnsi="仿宋_GB2312" w:eastAsia="仿宋_GB2312" w:cs="仿宋_GB2312"/>
          <w:b w:val="0"/>
          <w:bCs w:val="0"/>
        </w:rPr>
        <w:t>入决算表</w:t>
      </w:r>
      <w:bookmarkEnd w:id="97"/>
      <w:bookmarkEnd w:id="98"/>
      <w:bookmarkEnd w:id="99"/>
    </w:p>
    <w:p w14:paraId="1CFBFF62">
      <w:pPr>
        <w:pStyle w:val="4"/>
        <w:rPr>
          <w:rFonts w:hint="eastAsia" w:ascii="仿宋_GB2312" w:hAnsi="仿宋_GB2312" w:eastAsia="仿宋_GB2312" w:cs="仿宋_GB2312"/>
        </w:rPr>
      </w:pPr>
      <w:bookmarkStart w:id="100" w:name="_Toc22743"/>
      <w:bookmarkStart w:id="101" w:name="_Toc15396621"/>
      <w:bookmarkStart w:id="102" w:name="_Toc15012"/>
      <w:r>
        <w:rPr>
          <w:rStyle w:val="29"/>
          <w:rFonts w:hint="eastAsia" w:ascii="仿宋_GB2312" w:hAnsi="仿宋_GB2312" w:eastAsia="仿宋_GB2312" w:cs="仿宋_GB2312"/>
          <w:b w:val="0"/>
          <w:bCs w:val="0"/>
        </w:rPr>
        <w:t>三、</w:t>
      </w:r>
      <w:r>
        <w:rPr>
          <w:rFonts w:hint="eastAsia" w:ascii="仿宋_GB2312" w:hAnsi="仿宋_GB2312" w:eastAsia="仿宋_GB2312" w:cs="仿宋_GB2312"/>
          <w:b w:val="0"/>
        </w:rPr>
        <w:t>支</w:t>
      </w:r>
      <w:r>
        <w:rPr>
          <w:rStyle w:val="29"/>
          <w:rFonts w:hint="eastAsia" w:ascii="仿宋_GB2312" w:hAnsi="仿宋_GB2312" w:eastAsia="仿宋_GB2312" w:cs="仿宋_GB2312"/>
          <w:b w:val="0"/>
          <w:bCs w:val="0"/>
        </w:rPr>
        <w:t>出决算表</w:t>
      </w:r>
      <w:bookmarkEnd w:id="100"/>
      <w:bookmarkEnd w:id="101"/>
      <w:bookmarkEnd w:id="102"/>
    </w:p>
    <w:p w14:paraId="0D5A95E0">
      <w:pPr>
        <w:pStyle w:val="4"/>
        <w:rPr>
          <w:rFonts w:hint="eastAsia" w:ascii="仿宋_GB2312" w:hAnsi="仿宋_GB2312" w:eastAsia="仿宋_GB2312" w:cs="仿宋_GB2312"/>
          <w:b w:val="0"/>
        </w:rPr>
      </w:pPr>
      <w:bookmarkStart w:id="103" w:name="_Toc2325"/>
      <w:bookmarkStart w:id="104" w:name="_Toc15396622"/>
      <w:bookmarkStart w:id="105" w:name="_Toc3319"/>
      <w:r>
        <w:rPr>
          <w:rStyle w:val="29"/>
          <w:rFonts w:hint="eastAsia" w:ascii="仿宋_GB2312" w:hAnsi="仿宋_GB2312" w:eastAsia="仿宋_GB2312" w:cs="仿宋_GB2312"/>
          <w:b w:val="0"/>
          <w:bCs w:val="0"/>
        </w:rPr>
        <w:t>四、</w:t>
      </w:r>
      <w:r>
        <w:rPr>
          <w:rFonts w:hint="eastAsia" w:ascii="仿宋_GB2312" w:hAnsi="仿宋_GB2312" w:eastAsia="仿宋_GB2312" w:cs="仿宋_GB2312"/>
          <w:b w:val="0"/>
        </w:rPr>
        <w:t>财</w:t>
      </w:r>
      <w:r>
        <w:rPr>
          <w:rStyle w:val="29"/>
          <w:rFonts w:hint="eastAsia" w:ascii="仿宋_GB2312" w:hAnsi="仿宋_GB2312" w:eastAsia="仿宋_GB2312" w:cs="仿宋_GB2312"/>
          <w:b w:val="0"/>
          <w:bCs w:val="0"/>
        </w:rPr>
        <w:t>政拨款收入支出决算总表</w:t>
      </w:r>
      <w:bookmarkEnd w:id="103"/>
      <w:bookmarkEnd w:id="104"/>
      <w:bookmarkEnd w:id="105"/>
    </w:p>
    <w:p w14:paraId="7208D61F">
      <w:pPr>
        <w:pStyle w:val="4"/>
        <w:rPr>
          <w:rStyle w:val="29"/>
          <w:rFonts w:hint="eastAsia" w:ascii="仿宋_GB2312" w:hAnsi="仿宋_GB2312" w:eastAsia="仿宋_GB2312" w:cs="仿宋_GB2312"/>
          <w:b w:val="0"/>
          <w:bCs w:val="0"/>
        </w:rPr>
      </w:pPr>
      <w:bookmarkStart w:id="106" w:name="_Toc9871"/>
      <w:bookmarkStart w:id="107" w:name="_Toc15396623"/>
      <w:bookmarkStart w:id="108" w:name="_Toc17946"/>
      <w:r>
        <w:rPr>
          <w:rStyle w:val="29"/>
          <w:rFonts w:hint="eastAsia" w:ascii="仿宋_GB2312" w:hAnsi="仿宋_GB2312" w:eastAsia="仿宋_GB2312" w:cs="仿宋_GB2312"/>
          <w:b w:val="0"/>
          <w:bCs w:val="0"/>
        </w:rPr>
        <w:t>五、</w:t>
      </w:r>
      <w:r>
        <w:rPr>
          <w:rFonts w:hint="eastAsia" w:ascii="仿宋_GB2312" w:hAnsi="仿宋_GB2312" w:eastAsia="仿宋_GB2312" w:cs="仿宋_GB2312"/>
          <w:b w:val="0"/>
        </w:rPr>
        <w:t>财</w:t>
      </w:r>
      <w:r>
        <w:rPr>
          <w:rStyle w:val="29"/>
          <w:rFonts w:hint="eastAsia" w:ascii="仿宋_GB2312" w:hAnsi="仿宋_GB2312" w:eastAsia="仿宋_GB2312" w:cs="仿宋_GB2312"/>
          <w:b w:val="0"/>
          <w:bCs w:val="0"/>
        </w:rPr>
        <w:t>政拨款支出决算明细表</w:t>
      </w:r>
      <w:bookmarkEnd w:id="106"/>
      <w:bookmarkEnd w:id="107"/>
      <w:bookmarkEnd w:id="108"/>
      <w:bookmarkStart w:id="109" w:name="_Toc15396624"/>
    </w:p>
    <w:p w14:paraId="48914DD5">
      <w:pPr>
        <w:pStyle w:val="4"/>
        <w:rPr>
          <w:rFonts w:hint="eastAsia" w:ascii="仿宋_GB2312" w:hAnsi="仿宋_GB2312" w:eastAsia="仿宋_GB2312" w:cs="仿宋_GB2312"/>
        </w:rPr>
      </w:pPr>
      <w:bookmarkStart w:id="110" w:name="_Toc20117"/>
      <w:bookmarkStart w:id="111" w:name="_Toc2800"/>
      <w:r>
        <w:rPr>
          <w:rStyle w:val="29"/>
          <w:rFonts w:hint="eastAsia" w:ascii="仿宋_GB2312" w:hAnsi="仿宋_GB2312" w:eastAsia="仿宋_GB2312" w:cs="仿宋_GB2312"/>
          <w:b w:val="0"/>
          <w:bCs w:val="0"/>
        </w:rPr>
        <w:t>六、</w:t>
      </w:r>
      <w:r>
        <w:rPr>
          <w:rFonts w:hint="eastAsia" w:ascii="仿宋_GB2312" w:hAnsi="仿宋_GB2312" w:eastAsia="仿宋_GB2312" w:cs="仿宋_GB2312"/>
          <w:b w:val="0"/>
        </w:rPr>
        <w:t>一</w:t>
      </w:r>
      <w:r>
        <w:rPr>
          <w:rStyle w:val="29"/>
          <w:rFonts w:hint="eastAsia" w:ascii="仿宋_GB2312" w:hAnsi="仿宋_GB2312" w:eastAsia="仿宋_GB2312" w:cs="仿宋_GB2312"/>
          <w:b w:val="0"/>
          <w:bCs w:val="0"/>
        </w:rPr>
        <w:t>般公共预算财政拨款支出决算表</w:t>
      </w:r>
      <w:bookmarkEnd w:id="109"/>
      <w:bookmarkEnd w:id="110"/>
      <w:bookmarkEnd w:id="111"/>
    </w:p>
    <w:p w14:paraId="6F4A23E0">
      <w:pPr>
        <w:pStyle w:val="4"/>
        <w:rPr>
          <w:rFonts w:hint="eastAsia" w:ascii="仿宋_GB2312" w:hAnsi="仿宋_GB2312" w:eastAsia="仿宋_GB2312" w:cs="仿宋_GB2312"/>
        </w:rPr>
      </w:pPr>
      <w:bookmarkStart w:id="112" w:name="_Toc29704"/>
      <w:bookmarkStart w:id="113" w:name="_Toc15396625"/>
      <w:bookmarkStart w:id="114" w:name="_Toc10733"/>
      <w:r>
        <w:rPr>
          <w:rStyle w:val="29"/>
          <w:rFonts w:hint="eastAsia" w:ascii="仿宋_GB2312" w:hAnsi="仿宋_GB2312" w:eastAsia="仿宋_GB2312" w:cs="仿宋_GB2312"/>
          <w:b w:val="0"/>
          <w:bCs w:val="0"/>
        </w:rPr>
        <w:t>七、</w:t>
      </w:r>
      <w:r>
        <w:rPr>
          <w:rFonts w:hint="eastAsia" w:ascii="仿宋_GB2312" w:hAnsi="仿宋_GB2312" w:eastAsia="仿宋_GB2312" w:cs="仿宋_GB2312"/>
          <w:b w:val="0"/>
        </w:rPr>
        <w:t>一</w:t>
      </w:r>
      <w:r>
        <w:rPr>
          <w:rStyle w:val="29"/>
          <w:rFonts w:hint="eastAsia" w:ascii="仿宋_GB2312" w:hAnsi="仿宋_GB2312" w:eastAsia="仿宋_GB2312" w:cs="仿宋_GB2312"/>
          <w:b w:val="0"/>
          <w:bCs w:val="0"/>
        </w:rPr>
        <w:t>般公共预算财政拨款支出决算明细表</w:t>
      </w:r>
      <w:bookmarkEnd w:id="112"/>
      <w:bookmarkEnd w:id="113"/>
      <w:bookmarkEnd w:id="114"/>
    </w:p>
    <w:p w14:paraId="391656D5">
      <w:pPr>
        <w:pStyle w:val="4"/>
        <w:rPr>
          <w:rFonts w:hint="eastAsia" w:ascii="仿宋_GB2312" w:hAnsi="仿宋_GB2312" w:eastAsia="仿宋_GB2312" w:cs="仿宋_GB2312"/>
        </w:rPr>
      </w:pPr>
      <w:bookmarkStart w:id="115" w:name="_Toc30543"/>
      <w:bookmarkStart w:id="116" w:name="_Toc15396626"/>
      <w:bookmarkStart w:id="117" w:name="_Toc8432"/>
      <w:r>
        <w:rPr>
          <w:rStyle w:val="29"/>
          <w:rFonts w:hint="eastAsia" w:ascii="仿宋_GB2312" w:hAnsi="仿宋_GB2312" w:eastAsia="仿宋_GB2312" w:cs="仿宋_GB2312"/>
          <w:b w:val="0"/>
          <w:bCs w:val="0"/>
        </w:rPr>
        <w:t>八、</w:t>
      </w:r>
      <w:r>
        <w:rPr>
          <w:rFonts w:hint="eastAsia" w:ascii="仿宋_GB2312" w:hAnsi="仿宋_GB2312" w:eastAsia="仿宋_GB2312" w:cs="仿宋_GB2312"/>
          <w:b w:val="0"/>
        </w:rPr>
        <w:t>一</w:t>
      </w:r>
      <w:r>
        <w:rPr>
          <w:rStyle w:val="29"/>
          <w:rFonts w:hint="eastAsia" w:ascii="仿宋_GB2312" w:hAnsi="仿宋_GB2312" w:eastAsia="仿宋_GB2312" w:cs="仿宋_GB2312"/>
          <w:b w:val="0"/>
          <w:bCs w:val="0"/>
        </w:rPr>
        <w:t>般公共预算财政拨款基本支出决算表</w:t>
      </w:r>
      <w:bookmarkEnd w:id="115"/>
      <w:bookmarkEnd w:id="116"/>
      <w:bookmarkEnd w:id="117"/>
    </w:p>
    <w:p w14:paraId="067790E1">
      <w:pPr>
        <w:pStyle w:val="4"/>
        <w:rPr>
          <w:rFonts w:hint="eastAsia" w:ascii="仿宋_GB2312" w:hAnsi="仿宋_GB2312" w:eastAsia="仿宋_GB2312" w:cs="仿宋_GB2312"/>
        </w:rPr>
      </w:pPr>
      <w:bookmarkStart w:id="118" w:name="_Toc28168"/>
      <w:bookmarkStart w:id="119" w:name="_Toc15396627"/>
      <w:bookmarkStart w:id="120" w:name="_Toc10916"/>
      <w:r>
        <w:rPr>
          <w:rStyle w:val="29"/>
          <w:rFonts w:hint="eastAsia" w:ascii="仿宋_GB2312" w:hAnsi="仿宋_GB2312" w:eastAsia="仿宋_GB2312" w:cs="仿宋_GB2312"/>
          <w:b w:val="0"/>
          <w:bCs w:val="0"/>
        </w:rPr>
        <w:t>九、</w:t>
      </w:r>
      <w:r>
        <w:rPr>
          <w:rFonts w:hint="eastAsia" w:ascii="仿宋_GB2312" w:hAnsi="仿宋_GB2312" w:eastAsia="仿宋_GB2312" w:cs="仿宋_GB2312"/>
          <w:b w:val="0"/>
        </w:rPr>
        <w:t>一</w:t>
      </w:r>
      <w:r>
        <w:rPr>
          <w:rStyle w:val="29"/>
          <w:rFonts w:hint="eastAsia" w:ascii="仿宋_GB2312" w:hAnsi="仿宋_GB2312" w:eastAsia="仿宋_GB2312" w:cs="仿宋_GB2312"/>
          <w:b w:val="0"/>
          <w:bCs w:val="0"/>
        </w:rPr>
        <w:t>般公共预算财政拨款项目支出决算表</w:t>
      </w:r>
      <w:bookmarkEnd w:id="118"/>
      <w:bookmarkEnd w:id="119"/>
      <w:bookmarkEnd w:id="120"/>
    </w:p>
    <w:p w14:paraId="7B2C2A70">
      <w:pPr>
        <w:pStyle w:val="4"/>
        <w:rPr>
          <w:rFonts w:hint="eastAsia" w:ascii="仿宋_GB2312" w:hAnsi="仿宋_GB2312" w:eastAsia="仿宋_GB2312" w:cs="仿宋_GB2312"/>
        </w:rPr>
      </w:pPr>
      <w:bookmarkStart w:id="121" w:name="_Toc15396628"/>
      <w:bookmarkStart w:id="122" w:name="_Toc16699"/>
      <w:bookmarkStart w:id="123" w:name="_Toc13791"/>
      <w:r>
        <w:rPr>
          <w:rStyle w:val="29"/>
          <w:rFonts w:hint="eastAsia" w:ascii="仿宋_GB2312" w:hAnsi="仿宋_GB2312" w:eastAsia="仿宋_GB2312" w:cs="仿宋_GB2312"/>
          <w:b w:val="0"/>
          <w:bCs w:val="0"/>
        </w:rPr>
        <w:t>十、</w:t>
      </w:r>
      <w:bookmarkEnd w:id="121"/>
      <w:r>
        <w:rPr>
          <w:rFonts w:hint="eastAsia" w:ascii="仿宋_GB2312" w:hAnsi="仿宋_GB2312" w:eastAsia="仿宋_GB2312" w:cs="仿宋_GB2312"/>
          <w:b w:val="0"/>
        </w:rPr>
        <w:t>政</w:t>
      </w:r>
      <w:r>
        <w:rPr>
          <w:rStyle w:val="29"/>
          <w:rFonts w:hint="eastAsia" w:ascii="仿宋_GB2312" w:hAnsi="仿宋_GB2312" w:eastAsia="仿宋_GB2312" w:cs="仿宋_GB2312"/>
          <w:b w:val="0"/>
          <w:bCs w:val="0"/>
        </w:rPr>
        <w:t>府性基金预算财政拨款收入支出决算表</w:t>
      </w:r>
      <w:bookmarkEnd w:id="122"/>
      <w:bookmarkEnd w:id="123"/>
    </w:p>
    <w:p w14:paraId="28A7BDDC">
      <w:pPr>
        <w:pStyle w:val="4"/>
        <w:rPr>
          <w:rFonts w:hint="eastAsia" w:ascii="仿宋_GB2312" w:hAnsi="仿宋_GB2312" w:eastAsia="仿宋_GB2312" w:cs="仿宋_GB2312"/>
        </w:rPr>
      </w:pPr>
      <w:bookmarkStart w:id="124" w:name="_Toc15396629"/>
      <w:bookmarkStart w:id="125" w:name="_Toc8848"/>
      <w:bookmarkStart w:id="126" w:name="_Toc4423"/>
      <w:r>
        <w:rPr>
          <w:rStyle w:val="29"/>
          <w:rFonts w:hint="eastAsia" w:ascii="仿宋_GB2312" w:hAnsi="仿宋_GB2312" w:eastAsia="仿宋_GB2312" w:cs="仿宋_GB2312"/>
          <w:b w:val="0"/>
          <w:bCs w:val="0"/>
        </w:rPr>
        <w:t>十一、</w:t>
      </w:r>
      <w:bookmarkEnd w:id="124"/>
      <w:r>
        <w:rPr>
          <w:rFonts w:hint="eastAsia" w:ascii="仿宋_GB2312" w:hAnsi="仿宋_GB2312" w:eastAsia="仿宋_GB2312" w:cs="仿宋_GB2312"/>
          <w:b w:val="0"/>
        </w:rPr>
        <w:t>国</w:t>
      </w:r>
      <w:r>
        <w:rPr>
          <w:rStyle w:val="29"/>
          <w:rFonts w:hint="eastAsia" w:ascii="仿宋_GB2312" w:hAnsi="仿宋_GB2312" w:eastAsia="仿宋_GB2312" w:cs="仿宋_GB2312"/>
          <w:b w:val="0"/>
          <w:bCs w:val="0"/>
        </w:rPr>
        <w:t>有资本经营预算财政拨款收入支出决算表</w:t>
      </w:r>
      <w:bookmarkEnd w:id="125"/>
      <w:bookmarkEnd w:id="126"/>
    </w:p>
    <w:p w14:paraId="68999FD0">
      <w:pPr>
        <w:pStyle w:val="4"/>
        <w:rPr>
          <w:rFonts w:hint="eastAsia" w:ascii="仿宋_GB2312" w:hAnsi="仿宋_GB2312" w:eastAsia="仿宋_GB2312" w:cs="仿宋_GB2312"/>
        </w:rPr>
      </w:pPr>
      <w:bookmarkStart w:id="127" w:name="_Toc15396630"/>
      <w:bookmarkStart w:id="128" w:name="_Toc3767"/>
      <w:bookmarkStart w:id="129" w:name="_Toc375"/>
      <w:r>
        <w:rPr>
          <w:rStyle w:val="29"/>
          <w:rFonts w:hint="eastAsia" w:ascii="仿宋_GB2312" w:hAnsi="仿宋_GB2312" w:eastAsia="仿宋_GB2312" w:cs="仿宋_GB2312"/>
          <w:b w:val="0"/>
          <w:bCs w:val="0"/>
        </w:rPr>
        <w:t>十二、</w:t>
      </w:r>
      <w:bookmarkEnd w:id="127"/>
      <w:r>
        <w:rPr>
          <w:rStyle w:val="29"/>
          <w:rFonts w:hint="eastAsia" w:ascii="仿宋_GB2312" w:hAnsi="仿宋_GB2312" w:eastAsia="仿宋_GB2312" w:cs="仿宋_GB2312"/>
          <w:b w:val="0"/>
          <w:bCs w:val="0"/>
        </w:rPr>
        <w:t>国有资本经营预算财政拨款支出决算表</w:t>
      </w:r>
      <w:bookmarkEnd w:id="128"/>
      <w:bookmarkEnd w:id="129"/>
    </w:p>
    <w:p w14:paraId="6165C7B4">
      <w:pPr>
        <w:pStyle w:val="4"/>
        <w:rPr>
          <w:rFonts w:hint="eastAsia" w:ascii="仿宋_GB2312" w:hAnsi="仿宋_GB2312" w:eastAsia="仿宋_GB2312" w:cs="仿宋_GB2312"/>
        </w:rPr>
      </w:pPr>
      <w:bookmarkStart w:id="130" w:name="_Toc15396631"/>
      <w:bookmarkStart w:id="131" w:name="_Toc6173"/>
      <w:bookmarkStart w:id="132" w:name="_Toc23427"/>
      <w:r>
        <w:rPr>
          <w:rStyle w:val="29"/>
          <w:rFonts w:hint="eastAsia" w:ascii="仿宋_GB2312" w:hAnsi="仿宋_GB2312" w:eastAsia="仿宋_GB2312" w:cs="仿宋_GB2312"/>
          <w:b w:val="0"/>
          <w:bCs w:val="0"/>
        </w:rPr>
        <w:t>十三、</w:t>
      </w:r>
      <w:bookmarkEnd w:id="130"/>
      <w:r>
        <w:rPr>
          <w:rStyle w:val="29"/>
          <w:rFonts w:hint="eastAsia" w:ascii="仿宋_GB2312" w:hAnsi="仿宋_GB2312" w:eastAsia="仿宋_GB2312" w:cs="仿宋_GB2312"/>
          <w:b w:val="0"/>
          <w:bCs w:val="0"/>
        </w:rPr>
        <w:t>财政拨款“三公”经费支出决算表</w:t>
      </w:r>
      <w:bookmarkEnd w:id="131"/>
      <w:bookmarkEnd w:id="132"/>
    </w:p>
    <w:bookmarkEnd w:id="95"/>
    <w:bookmarkEnd w:id="96"/>
    <w:p w14:paraId="3DAA3DB1">
      <w:pPr>
        <w:pageBreakBefore w:val="0"/>
        <w:kinsoku/>
        <w:wordWrap/>
        <w:overflowPunct/>
        <w:topLinePunct w:val="0"/>
        <w:bidi w:val="0"/>
        <w:spacing w:line="576" w:lineRule="exact"/>
        <w:rPr>
          <w:rFonts w:hint="eastAsia"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
    <w:altName w:val="Malgun Gothic"/>
    <w:panose1 w:val="00000000000000000000"/>
    <w:charset w:val="81"/>
    <w:family w:val="roman"/>
    <w:pitch w:val="default"/>
    <w:sig w:usb0="00000000" w:usb1="00000000" w:usb2="00000010" w:usb3="00000000" w:csb0="0008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362C5">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B8408">
                          <w:pPr>
                            <w:pStyle w:val="2"/>
                            <w:jc w:val="center"/>
                          </w:pPr>
                          <w:r>
                            <w:fldChar w:fldCharType="begin"/>
                          </w:r>
                          <w:r>
                            <w:instrText xml:space="preserve">PAGE   \* MERGEFORMAT</w:instrText>
                          </w:r>
                          <w:r>
                            <w:fldChar w:fldCharType="separate"/>
                          </w:r>
                          <w:r>
                            <w:rPr>
                              <w:lang w:val="zh-CN"/>
                            </w:rPr>
                            <w:t>42</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BEB8408">
                    <w:pPr>
                      <w:pStyle w:val="2"/>
                      <w:jc w:val="center"/>
                    </w:pPr>
                    <w:r>
                      <w:fldChar w:fldCharType="begin"/>
                    </w:r>
                    <w:r>
                      <w:instrText xml:space="preserve">PAGE   \* MERGEFORMAT</w:instrText>
                    </w:r>
                    <w:r>
                      <w:fldChar w:fldCharType="separate"/>
                    </w:r>
                    <w:r>
                      <w:rPr>
                        <w:lang w:val="zh-CN"/>
                      </w:rPr>
                      <w:t>42</w:t>
                    </w:r>
                    <w:r>
                      <w:rPr>
                        <w:lang w:val="zh-CN"/>
                      </w:rPr>
                      <w:fldChar w:fldCharType="end"/>
                    </w:r>
                  </w:p>
                </w:txbxContent>
              </v:textbox>
            </v:shape>
          </w:pict>
        </mc:Fallback>
      </mc:AlternateContent>
    </w:r>
  </w:p>
  <w:p w14:paraId="573A6552">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25D3F">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3MmE1NTM5OTI0MWM2NWZiNjlkYTFmNDI5MGJlNGIifQ=="/>
  </w:docVars>
  <w:rsids>
    <w:rsidRoot w:val="00000000"/>
    <w:rsid w:val="00010C11"/>
    <w:rsid w:val="002235CA"/>
    <w:rsid w:val="009D6218"/>
    <w:rsid w:val="013438C9"/>
    <w:rsid w:val="0216715F"/>
    <w:rsid w:val="023A3BE4"/>
    <w:rsid w:val="0319355E"/>
    <w:rsid w:val="03683A70"/>
    <w:rsid w:val="03AD58A1"/>
    <w:rsid w:val="03BB74EC"/>
    <w:rsid w:val="04920235"/>
    <w:rsid w:val="04980CB6"/>
    <w:rsid w:val="04B969D1"/>
    <w:rsid w:val="054C5617"/>
    <w:rsid w:val="06BD29E9"/>
    <w:rsid w:val="08510EF1"/>
    <w:rsid w:val="0852512A"/>
    <w:rsid w:val="08FF201E"/>
    <w:rsid w:val="09310F40"/>
    <w:rsid w:val="09925BAF"/>
    <w:rsid w:val="0A0D119F"/>
    <w:rsid w:val="0A314614"/>
    <w:rsid w:val="0B2C1993"/>
    <w:rsid w:val="0B710ACB"/>
    <w:rsid w:val="0BA84F92"/>
    <w:rsid w:val="0BDC42B4"/>
    <w:rsid w:val="0CAC4613"/>
    <w:rsid w:val="0CBD0903"/>
    <w:rsid w:val="0D1D0DA0"/>
    <w:rsid w:val="0D9075F4"/>
    <w:rsid w:val="0DE95727"/>
    <w:rsid w:val="0E6D6359"/>
    <w:rsid w:val="0F59694D"/>
    <w:rsid w:val="0FC14B5C"/>
    <w:rsid w:val="10414420"/>
    <w:rsid w:val="107C7598"/>
    <w:rsid w:val="10861954"/>
    <w:rsid w:val="108C228F"/>
    <w:rsid w:val="12E0534B"/>
    <w:rsid w:val="132003EC"/>
    <w:rsid w:val="13F54E26"/>
    <w:rsid w:val="14266A94"/>
    <w:rsid w:val="148E31E3"/>
    <w:rsid w:val="149F447D"/>
    <w:rsid w:val="14B117F9"/>
    <w:rsid w:val="1593416F"/>
    <w:rsid w:val="16DC051F"/>
    <w:rsid w:val="17C9137B"/>
    <w:rsid w:val="184F0345"/>
    <w:rsid w:val="18B5255E"/>
    <w:rsid w:val="19631E3E"/>
    <w:rsid w:val="199E4703"/>
    <w:rsid w:val="1A4C59BC"/>
    <w:rsid w:val="1D6C348C"/>
    <w:rsid w:val="1DCC309C"/>
    <w:rsid w:val="1DE653AC"/>
    <w:rsid w:val="1E652798"/>
    <w:rsid w:val="1ED02286"/>
    <w:rsid w:val="1F72557D"/>
    <w:rsid w:val="1FAD2A59"/>
    <w:rsid w:val="1FB96B88"/>
    <w:rsid w:val="1FD37E2B"/>
    <w:rsid w:val="21892883"/>
    <w:rsid w:val="22367F63"/>
    <w:rsid w:val="238E494F"/>
    <w:rsid w:val="23BC0C45"/>
    <w:rsid w:val="23D41B1B"/>
    <w:rsid w:val="244362A8"/>
    <w:rsid w:val="252D73CB"/>
    <w:rsid w:val="25E64AF0"/>
    <w:rsid w:val="262C70D6"/>
    <w:rsid w:val="27675BE3"/>
    <w:rsid w:val="277C522B"/>
    <w:rsid w:val="279C11EA"/>
    <w:rsid w:val="284B13BF"/>
    <w:rsid w:val="28604DA2"/>
    <w:rsid w:val="28956209"/>
    <w:rsid w:val="29023E15"/>
    <w:rsid w:val="291D731C"/>
    <w:rsid w:val="2A3E70CF"/>
    <w:rsid w:val="2A5F69EF"/>
    <w:rsid w:val="2DA03CEB"/>
    <w:rsid w:val="2E2436C9"/>
    <w:rsid w:val="30AC1A79"/>
    <w:rsid w:val="30CB7EA2"/>
    <w:rsid w:val="311A5A74"/>
    <w:rsid w:val="31642CFA"/>
    <w:rsid w:val="320F422B"/>
    <w:rsid w:val="32145A1D"/>
    <w:rsid w:val="330012A4"/>
    <w:rsid w:val="33684523"/>
    <w:rsid w:val="33A72170"/>
    <w:rsid w:val="33FE167D"/>
    <w:rsid w:val="345179FF"/>
    <w:rsid w:val="345C0152"/>
    <w:rsid w:val="35050DD3"/>
    <w:rsid w:val="358E5CB8"/>
    <w:rsid w:val="35D74690"/>
    <w:rsid w:val="35EF65E1"/>
    <w:rsid w:val="36327824"/>
    <w:rsid w:val="36A007CA"/>
    <w:rsid w:val="379D7E87"/>
    <w:rsid w:val="38476878"/>
    <w:rsid w:val="39750149"/>
    <w:rsid w:val="39D275C6"/>
    <w:rsid w:val="39EB42B4"/>
    <w:rsid w:val="3A035551"/>
    <w:rsid w:val="3A594082"/>
    <w:rsid w:val="3AE80991"/>
    <w:rsid w:val="3B635E56"/>
    <w:rsid w:val="3BD66C55"/>
    <w:rsid w:val="3C270B57"/>
    <w:rsid w:val="3C283C3F"/>
    <w:rsid w:val="3C5E0F0B"/>
    <w:rsid w:val="3D417DF1"/>
    <w:rsid w:val="3D8D1F44"/>
    <w:rsid w:val="3EA70656"/>
    <w:rsid w:val="3F42234D"/>
    <w:rsid w:val="3FA85D8B"/>
    <w:rsid w:val="4177477A"/>
    <w:rsid w:val="41946B8D"/>
    <w:rsid w:val="41FF6CEC"/>
    <w:rsid w:val="42A65B70"/>
    <w:rsid w:val="440700DA"/>
    <w:rsid w:val="44B10051"/>
    <w:rsid w:val="45BC3F60"/>
    <w:rsid w:val="461B5134"/>
    <w:rsid w:val="46B654FC"/>
    <w:rsid w:val="4746348E"/>
    <w:rsid w:val="475C24EB"/>
    <w:rsid w:val="47A75F6D"/>
    <w:rsid w:val="481B5CDF"/>
    <w:rsid w:val="482568B1"/>
    <w:rsid w:val="48B8212E"/>
    <w:rsid w:val="48C60564"/>
    <w:rsid w:val="49B652A4"/>
    <w:rsid w:val="4A0B00C3"/>
    <w:rsid w:val="4A0B01F8"/>
    <w:rsid w:val="4A201EF6"/>
    <w:rsid w:val="4AC80F83"/>
    <w:rsid w:val="4AF350C3"/>
    <w:rsid w:val="4B1F03FF"/>
    <w:rsid w:val="4B3D2633"/>
    <w:rsid w:val="4B700C5B"/>
    <w:rsid w:val="4CC823D1"/>
    <w:rsid w:val="4CCF19B1"/>
    <w:rsid w:val="4D3F2693"/>
    <w:rsid w:val="4D700028"/>
    <w:rsid w:val="4D8E61E9"/>
    <w:rsid w:val="4DA72294"/>
    <w:rsid w:val="4E6323B1"/>
    <w:rsid w:val="4F73455F"/>
    <w:rsid w:val="4FC6107D"/>
    <w:rsid w:val="5032737D"/>
    <w:rsid w:val="505D4EAA"/>
    <w:rsid w:val="51096A81"/>
    <w:rsid w:val="521B6FC8"/>
    <w:rsid w:val="528A4184"/>
    <w:rsid w:val="52DE46FC"/>
    <w:rsid w:val="53432B32"/>
    <w:rsid w:val="541238BB"/>
    <w:rsid w:val="546D52BE"/>
    <w:rsid w:val="55464EF7"/>
    <w:rsid w:val="55ED1449"/>
    <w:rsid w:val="55F82067"/>
    <w:rsid w:val="57106577"/>
    <w:rsid w:val="57D55747"/>
    <w:rsid w:val="58631791"/>
    <w:rsid w:val="58AA033D"/>
    <w:rsid w:val="58D901AF"/>
    <w:rsid w:val="594302D2"/>
    <w:rsid w:val="59861649"/>
    <w:rsid w:val="599E2FD1"/>
    <w:rsid w:val="59FD35BA"/>
    <w:rsid w:val="5A2D3159"/>
    <w:rsid w:val="5AAE12BF"/>
    <w:rsid w:val="5B413B13"/>
    <w:rsid w:val="5BE248BC"/>
    <w:rsid w:val="5C783A22"/>
    <w:rsid w:val="5CC87F31"/>
    <w:rsid w:val="5CE768A3"/>
    <w:rsid w:val="5E03770C"/>
    <w:rsid w:val="5E7B2B51"/>
    <w:rsid w:val="5EBD5323"/>
    <w:rsid w:val="5F49629E"/>
    <w:rsid w:val="60AE19C2"/>
    <w:rsid w:val="61527177"/>
    <w:rsid w:val="618943CD"/>
    <w:rsid w:val="62D022B3"/>
    <w:rsid w:val="63075AEF"/>
    <w:rsid w:val="63200B52"/>
    <w:rsid w:val="63B212A3"/>
    <w:rsid w:val="64E2007C"/>
    <w:rsid w:val="65557D1B"/>
    <w:rsid w:val="66B955E9"/>
    <w:rsid w:val="66EB643A"/>
    <w:rsid w:val="67825B46"/>
    <w:rsid w:val="67B8542F"/>
    <w:rsid w:val="67B9286D"/>
    <w:rsid w:val="685A568A"/>
    <w:rsid w:val="68754926"/>
    <w:rsid w:val="68994715"/>
    <w:rsid w:val="69B67D29"/>
    <w:rsid w:val="6A3771F7"/>
    <w:rsid w:val="6A7F28CF"/>
    <w:rsid w:val="6AAC1E7F"/>
    <w:rsid w:val="6ADF06DE"/>
    <w:rsid w:val="6B221995"/>
    <w:rsid w:val="6DC727EA"/>
    <w:rsid w:val="6DE03046"/>
    <w:rsid w:val="6E186163"/>
    <w:rsid w:val="6E364F94"/>
    <w:rsid w:val="6E871DE3"/>
    <w:rsid w:val="6F7B5355"/>
    <w:rsid w:val="6FC34F4E"/>
    <w:rsid w:val="6FE9543B"/>
    <w:rsid w:val="6FFC43C3"/>
    <w:rsid w:val="7032023F"/>
    <w:rsid w:val="70904F00"/>
    <w:rsid w:val="70B10D0B"/>
    <w:rsid w:val="70B45C5E"/>
    <w:rsid w:val="70D56CE6"/>
    <w:rsid w:val="721C23B7"/>
    <w:rsid w:val="724E485F"/>
    <w:rsid w:val="737C169B"/>
    <w:rsid w:val="73CF616B"/>
    <w:rsid w:val="741B5358"/>
    <w:rsid w:val="7462159B"/>
    <w:rsid w:val="754937FF"/>
    <w:rsid w:val="758B3CC0"/>
    <w:rsid w:val="76BD44A5"/>
    <w:rsid w:val="76DB23CC"/>
    <w:rsid w:val="77910416"/>
    <w:rsid w:val="7A036672"/>
    <w:rsid w:val="7A625724"/>
    <w:rsid w:val="7A9F5054"/>
    <w:rsid w:val="7BA2010D"/>
    <w:rsid w:val="7C0E71B9"/>
    <w:rsid w:val="7C9C729B"/>
    <w:rsid w:val="7D330940"/>
    <w:rsid w:val="7D40493F"/>
    <w:rsid w:val="7F013C16"/>
    <w:rsid w:val="7F7E4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qFormat="1"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 w:cs="Times New Roman"/>
      <w:kern w:val="2"/>
      <w:sz w:val="21"/>
      <w:szCs w:val="24"/>
      <w:lang w:val="en-US" w:eastAsia="zh-CN" w:bidi="ar-SA"/>
    </w:rPr>
  </w:style>
  <w:style w:type="paragraph" w:styleId="3">
    <w:name w:val="heading 1"/>
    <w:basedOn w:val="1"/>
    <w:next w:val="1"/>
    <w:link w:val="21"/>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99"/>
    <w:pPr>
      <w:tabs>
        <w:tab w:val="center" w:pos="4153"/>
        <w:tab w:val="right" w:pos="8306"/>
      </w:tabs>
      <w:snapToGrid w:val="0"/>
      <w:jc w:val="left"/>
    </w:pPr>
    <w:rPr>
      <w:rFonts w:ascii="Calibri" w:hAnsi="Calibri"/>
      <w:kern w:val="0"/>
      <w:sz w:val="18"/>
      <w:szCs w:val="20"/>
    </w:rPr>
  </w:style>
  <w:style w:type="paragraph" w:styleId="6">
    <w:name w:val="index 8"/>
    <w:basedOn w:val="1"/>
    <w:next w:val="1"/>
    <w:qFormat/>
    <w:uiPriority w:val="0"/>
    <w:pPr>
      <w:ind w:left="2940"/>
    </w:pPr>
    <w:rPr>
      <w:rFonts w:ascii="Times New Roman" w:hAnsi="Times New Roman" w:eastAsia="宋体" w:cs="Times New Roman"/>
    </w:rPr>
  </w:style>
  <w:style w:type="paragraph" w:styleId="7">
    <w:name w:val="Body Text"/>
    <w:basedOn w:val="1"/>
    <w:next w:val="6"/>
    <w:qFormat/>
    <w:uiPriority w:val="99"/>
    <w:pPr>
      <w:spacing w:beforeLines="30"/>
    </w:pPr>
    <w:rPr>
      <w:rFonts w:ascii="仿宋_GB2312" w:eastAsia="仿宋_GB2312"/>
      <w:kern w:val="0"/>
      <w:sz w:val="24"/>
      <w:szCs w:val="20"/>
    </w:rPr>
  </w:style>
  <w:style w:type="paragraph" w:styleId="8">
    <w:name w:val="Body Text Indent"/>
    <w:basedOn w:val="1"/>
    <w:next w:val="9"/>
    <w:qFormat/>
    <w:uiPriority w:val="99"/>
    <w:pPr>
      <w:spacing w:after="120"/>
      <w:ind w:left="420" w:leftChars="200"/>
    </w:pPr>
    <w:rPr>
      <w:szCs w:val="20"/>
    </w:rPr>
  </w:style>
  <w:style w:type="paragraph" w:styleId="9">
    <w:name w:val="Body Text First Indent 2"/>
    <w:basedOn w:val="8"/>
    <w:next w:val="10"/>
    <w:qFormat/>
    <w:uiPriority w:val="99"/>
    <w:pPr>
      <w:ind w:firstLine="420" w:firstLineChars="200"/>
    </w:pPr>
  </w:style>
  <w:style w:type="paragraph" w:styleId="10">
    <w:name w:val="index 7"/>
    <w:basedOn w:val="1"/>
    <w:next w:val="1"/>
    <w:qFormat/>
    <w:uiPriority w:val="0"/>
    <w:pPr>
      <w:ind w:left="2520"/>
    </w:pPr>
  </w:style>
  <w:style w:type="paragraph" w:styleId="11">
    <w:name w:val="Plain Text"/>
    <w:basedOn w:val="1"/>
    <w:unhideWhenUsed/>
    <w:qFormat/>
    <w:uiPriority w:val="99"/>
    <w:rPr>
      <w:rFonts w:ascii="宋体" w:hAnsi="Courier New"/>
    </w:rPr>
  </w:style>
  <w:style w:type="paragraph" w:styleId="12">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4">
    <w:name w:val="toc 2"/>
    <w:basedOn w:val="1"/>
    <w:next w:val="1"/>
    <w:qFormat/>
    <w:uiPriority w:val="9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rFonts w:cs="Times New Roman"/>
      <w:b/>
    </w:rPr>
  </w:style>
  <w:style w:type="paragraph" w:customStyle="1" w:styleId="19">
    <w:name w:val="正文首行缩进 21"/>
    <w:basedOn w:val="1"/>
    <w:qFormat/>
    <w:uiPriority w:val="0"/>
    <w:pPr>
      <w:spacing w:line="540" w:lineRule="exact"/>
      <w:ind w:firstLine="200" w:firstLineChars="200"/>
      <w:textAlignment w:val="baseline"/>
    </w:pPr>
    <w:rPr>
      <w:kern w:val="0"/>
      <w:szCs w:val="32"/>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Heading 1 Char"/>
    <w:basedOn w:val="17"/>
    <w:link w:val="3"/>
    <w:qFormat/>
    <w:locked/>
    <w:uiPriority w:val="99"/>
    <w:rPr>
      <w:b/>
      <w:bCs/>
      <w:kern w:val="44"/>
      <w:sz w:val="44"/>
      <w:szCs w:val="44"/>
    </w:rPr>
  </w:style>
  <w:style w:type="character" w:customStyle="1" w:styleId="22">
    <w:name w:val="Heading 2 Char"/>
    <w:basedOn w:val="17"/>
    <w:link w:val="4"/>
    <w:qFormat/>
    <w:locked/>
    <w:uiPriority w:val="99"/>
    <w:rPr>
      <w:rFonts w:ascii="Cambria" w:hAnsi="Cambria"/>
      <w:b/>
      <w:bCs/>
      <w:sz w:val="32"/>
      <w:szCs w:val="32"/>
    </w:rPr>
  </w:style>
  <w:style w:type="paragraph" w:styleId="23">
    <w:name w:val="List Paragraph"/>
    <w:basedOn w:val="1"/>
    <w:qFormat/>
    <w:uiPriority w:val="99"/>
    <w:pPr>
      <w:ind w:firstLine="420" w:firstLineChars="200"/>
    </w:pPr>
  </w:style>
  <w:style w:type="paragraph" w:customStyle="1" w:styleId="24">
    <w:name w:val="四号正文"/>
    <w:basedOn w:val="1"/>
    <w:qFormat/>
    <w:uiPriority w:val="99"/>
    <w:pPr>
      <w:spacing w:line="360" w:lineRule="auto"/>
    </w:pPr>
    <w:rPr>
      <w:rFonts w:ascii="??" w:hAnsi="??"/>
      <w:color w:val="000000"/>
      <w:kern w:val="0"/>
      <w:sz w:val="28"/>
      <w:szCs w:val="21"/>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6">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27">
    <w:name w:val="正文1"/>
    <w:qFormat/>
    <w:uiPriority w:val="0"/>
    <w:pPr>
      <w:widowControl w:val="0"/>
      <w:jc w:val="both"/>
    </w:pPr>
    <w:rPr>
      <w:rFonts w:ascii="Calibri" w:hAnsi="Calibri" w:eastAsia="宋体" w:cs="Times New Roman"/>
      <w:kern w:val="2"/>
      <w:sz w:val="21"/>
      <w:szCs w:val="24"/>
      <w:lang w:val="en-US" w:eastAsia="zh-CN" w:bidi="ar-SA"/>
    </w:rPr>
  </w:style>
  <w:style w:type="character" w:customStyle="1" w:styleId="28">
    <w:name w:val="NormalCharacter"/>
    <w:semiHidden/>
    <w:qFormat/>
    <w:uiPriority w:val="0"/>
    <w:rPr>
      <w:rFonts w:ascii="Calibri" w:hAnsi="Calibri" w:eastAsia="宋体" w:cs="Times New Roman"/>
      <w:kern w:val="2"/>
      <w:sz w:val="21"/>
      <w:szCs w:val="24"/>
      <w:lang w:val="en-US" w:eastAsia="zh-CN" w:bidi="ar-SA"/>
    </w:rPr>
  </w:style>
  <w:style w:type="character" w:customStyle="1" w:styleId="29">
    <w:name w:val="标题 2 Char"/>
    <w:basedOn w:val="17"/>
    <w:link w:val="4"/>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4.bin"/><Relationship Id="rId8" Type="http://schemas.openxmlformats.org/officeDocument/2006/relationships/oleObject" Target="embeddings/oleObject3.bin"/><Relationship Id="rId7" Type="http://schemas.openxmlformats.org/officeDocument/2006/relationships/oleObject" Target="embeddings/oleObject2.bin"/><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chart" Target="charts/chart4.xml"/><Relationship Id="rId23" Type="http://schemas.openxmlformats.org/officeDocument/2006/relationships/oleObject" Target="embeddings/oleObject14.bin"/><Relationship Id="rId22" Type="http://schemas.openxmlformats.org/officeDocument/2006/relationships/chart" Target="charts/chart3.xml"/><Relationship Id="rId21" Type="http://schemas.openxmlformats.org/officeDocument/2006/relationships/oleObject" Target="embeddings/oleObject13.bin"/><Relationship Id="rId20" Type="http://schemas.openxmlformats.org/officeDocument/2006/relationships/oleObject" Target="embeddings/oleObject12.bin"/><Relationship Id="rId2" Type="http://schemas.openxmlformats.org/officeDocument/2006/relationships/settings" Target="settings.xml"/><Relationship Id="rId19" Type="http://schemas.openxmlformats.org/officeDocument/2006/relationships/oleObject" Target="embeddings/oleObject11.bin"/><Relationship Id="rId18" Type="http://schemas.openxmlformats.org/officeDocument/2006/relationships/oleObject" Target="embeddings/oleObject10.bin"/><Relationship Id="rId17" Type="http://schemas.openxmlformats.org/officeDocument/2006/relationships/chart" Target="charts/chart2.xml"/><Relationship Id="rId16" Type="http://schemas.openxmlformats.org/officeDocument/2006/relationships/oleObject" Target="embeddings/oleObject9.bin"/><Relationship Id="rId15" Type="http://schemas.openxmlformats.org/officeDocument/2006/relationships/chart" Target="charts/chart1.xml"/><Relationship Id="rId14" Type="http://schemas.openxmlformats.org/officeDocument/2006/relationships/oleObject" Target="embeddings/oleObject8.bin"/><Relationship Id="rId13" Type="http://schemas.openxmlformats.org/officeDocument/2006/relationships/oleObject" Target="embeddings/oleObject7.bin"/><Relationship Id="rId12" Type="http://schemas.openxmlformats.org/officeDocument/2006/relationships/image" Target="media/image1.emf"/><Relationship Id="rId11" Type="http://schemas.openxmlformats.org/officeDocument/2006/relationships/oleObject" Target="embeddings/oleObject6.bin"/><Relationship Id="rId10" Type="http://schemas.openxmlformats.org/officeDocument/2006/relationships/oleObject" Target="embeddings/oleObject5.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收入构成图</a:t>
            </a:r>
          </a:p>
        </c:rich>
      </c:tx>
      <c:layout/>
      <c:overlay val="0"/>
      <c:spPr>
        <a:noFill/>
        <a:ln>
          <a:noFill/>
        </a:ln>
        <a:effectLst/>
      </c:spPr>
    </c:title>
    <c:autoTitleDeleted val="0"/>
    <c:plotArea>
      <c:layout>
        <c:manualLayout>
          <c:layoutTarget val="inner"/>
          <c:xMode val="edge"/>
          <c:yMode val="edge"/>
          <c:x val="0.356387419983301"/>
          <c:y val="0.362206754318123"/>
          <c:w val="0.340105761202338"/>
          <c:h val="0.630059293632379"/>
        </c:manualLayout>
      </c:layout>
      <c:pieChart>
        <c:varyColors val="1"/>
        <c:ser>
          <c:idx val="0"/>
          <c:order val="0"/>
          <c:tx>
            <c:strRef>
              <c:f>Sheet1!$B$1</c:f>
              <c:strCache>
                <c:ptCount val="1"/>
                <c:pt idx="0">
                  <c:v>收入组成情况图</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1106.28</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9861d4e-d52f-47e1-aefc-5405d93d7fa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5714285714286"/>
          <c:y val="0.0115532734274711"/>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909375"/>
          <c:y val="0.1455"/>
          <c:w val="0.570625"/>
          <c:h val="0.760833333333333"/>
        </c:manualLayout>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344.33</c:v>
                </c:pt>
                <c:pt idx="1">
                  <c:v>761.94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0ca6068-f321-4b30-b312-a248fa5d40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1018.51</c:v>
                </c:pt>
                <c:pt idx="1">
                  <c:v>45.51</c:v>
                </c:pt>
                <c:pt idx="2">
                  <c:v>19.3</c:v>
                </c:pt>
                <c:pt idx="3">
                  <c:v>22.95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64e45f5-689e-48da-97c8-469ee710503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财政拨款“三公经费”支出构成图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公务用车购置及运行维护费支出</c:v>
                </c:pt>
                <c:pt idx="2">
                  <c:v>公务接待</c:v>
                </c:pt>
              </c:strCache>
            </c:strRef>
          </c:cat>
          <c:val>
            <c:numRef>
              <c:f>Sheet1!$B$2:$B$4</c:f>
              <c:numCache>
                <c:formatCode>General</c:formatCode>
                <c:ptCount val="3"/>
                <c:pt idx="0">
                  <c:v>0</c:v>
                </c:pt>
                <c:pt idx="1">
                  <c:v>12.06</c:v>
                </c:pt>
                <c:pt idx="2">
                  <c:v>0.15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14342209332982"/>
          <c:y val="0.9068035943517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a43856-db44-4f01-be66-81174bbbe6c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351</Words>
  <Characters>390</Characters>
  <Lines>0</Lines>
  <Paragraphs>0</Paragraphs>
  <TotalTime>35</TotalTime>
  <ScaleCrop>false</ScaleCrop>
  <LinksUpToDate>false</LinksUpToDate>
  <CharactersWithSpaces>442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湜娝茬洧泩と姩</cp:lastModifiedBy>
  <cp:lastPrinted>2024-11-18T02:50:03Z</cp:lastPrinted>
  <dcterms:modified xsi:type="dcterms:W3CDTF">2024-11-18T03:09:15Z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3B52B08B0D684E808CF4B7E462E4069A</vt:lpwstr>
  </property>
</Properties>
</file>