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90E79">
      <w:pPr>
        <w:pageBreakBefore w:val="0"/>
        <w:kinsoku/>
        <w:wordWrap/>
        <w:topLinePunct w:val="0"/>
        <w:bidi w:val="0"/>
        <w:spacing w:line="576" w:lineRule="exact"/>
        <w:jc w:val="center"/>
        <w:outlineLvl w:val="0"/>
        <w:rPr>
          <w:rFonts w:ascii="方正小标宋简体" w:hAnsi="宋体" w:eastAsia="方正小标宋简体"/>
          <w:sz w:val="72"/>
          <w:szCs w:val="72"/>
        </w:rPr>
      </w:pPr>
      <w:bookmarkStart w:id="0" w:name="_Toc15396475"/>
      <w:bookmarkStart w:id="1" w:name="_Toc15377193"/>
      <w:bookmarkStart w:id="2" w:name="_Toc15378441"/>
      <w:bookmarkStart w:id="3" w:name="_Toc15396597"/>
      <w:bookmarkStart w:id="4" w:name="_Toc15377425"/>
      <w:bookmarkStart w:id="5" w:name="_Toc15306267"/>
      <w:bookmarkStart w:id="49" w:name="_GoBack"/>
      <w:bookmarkEnd w:id="49"/>
    </w:p>
    <w:p w14:paraId="0DF9C343">
      <w:pPr>
        <w:pStyle w:val="6"/>
        <w:pageBreakBefore w:val="0"/>
        <w:kinsoku/>
        <w:wordWrap/>
        <w:topLinePunct w:val="0"/>
        <w:bidi w:val="0"/>
        <w:spacing w:before="93" w:line="576" w:lineRule="exact"/>
      </w:pPr>
    </w:p>
    <w:p w14:paraId="06BFD7BB">
      <w:pPr>
        <w:pageBreakBefore w:val="0"/>
        <w:kinsoku/>
        <w:wordWrap/>
        <w:topLinePunct w:val="0"/>
        <w:bidi w:val="0"/>
        <w:spacing w:line="576" w:lineRule="exact"/>
        <w:jc w:val="center"/>
        <w:outlineLvl w:val="0"/>
        <w:rPr>
          <w:rFonts w:ascii="方正小标宋简体" w:hAnsi="宋体" w:eastAsia="方正小标宋简体"/>
          <w:sz w:val="72"/>
          <w:szCs w:val="72"/>
        </w:rPr>
      </w:pPr>
    </w:p>
    <w:p w14:paraId="19EA7707">
      <w:pPr>
        <w:pStyle w:val="14"/>
        <w:keepNext w:val="0"/>
        <w:keepLines w:val="0"/>
        <w:widowControl/>
        <w:suppressLineNumbers w:val="0"/>
        <w:shd w:val="clear" w:color="auto" w:fill="auto"/>
        <w:ind w:left="0" w:right="75"/>
        <w:jc w:val="center"/>
        <w:rPr>
          <w:rStyle w:val="18"/>
          <w:rFonts w:hint="eastAsia" w:ascii="方正小标宋简体" w:hAnsi="方正小标宋简体" w:eastAsia="方正小标宋简体" w:cs="方正小标宋简体"/>
          <w:sz w:val="60"/>
          <w:szCs w:val="60"/>
          <w:shd w:val="clear" w:color="auto" w:fill="FFFFFF"/>
        </w:rPr>
      </w:pPr>
    </w:p>
    <w:p w14:paraId="7D677AF4">
      <w:pPr>
        <w:pStyle w:val="14"/>
        <w:keepNext w:val="0"/>
        <w:keepLines w:val="0"/>
        <w:widowControl/>
        <w:suppressLineNumbers w:val="0"/>
        <w:shd w:val="clear" w:color="auto" w:fill="auto"/>
        <w:ind w:left="0" w:right="75"/>
        <w:jc w:val="center"/>
        <w:rPr>
          <w:rStyle w:val="18"/>
          <w:rFonts w:hint="eastAsia" w:ascii="方正小标宋简体" w:hAnsi="方正小标宋简体" w:eastAsia="方正小标宋简体" w:cs="方正小标宋简体"/>
          <w:sz w:val="60"/>
          <w:szCs w:val="60"/>
          <w:shd w:val="clear" w:color="auto" w:fill="FFFFFF"/>
        </w:rPr>
      </w:pPr>
      <w:r>
        <w:rPr>
          <w:rStyle w:val="18"/>
          <w:rFonts w:hint="eastAsia" w:ascii="方正小标宋简体" w:hAnsi="方正小标宋简体" w:eastAsia="方正小标宋简体" w:cs="方正小标宋简体"/>
          <w:sz w:val="60"/>
          <w:szCs w:val="60"/>
          <w:shd w:val="clear" w:color="auto" w:fill="FFFFFF"/>
        </w:rPr>
        <w:t>2023年度</w:t>
      </w:r>
      <w:bookmarkEnd w:id="0"/>
      <w:bookmarkEnd w:id="1"/>
      <w:bookmarkEnd w:id="2"/>
      <w:bookmarkEnd w:id="3"/>
      <w:bookmarkEnd w:id="4"/>
    </w:p>
    <w:bookmarkEnd w:id="5"/>
    <w:p w14:paraId="29710AA5">
      <w:pPr>
        <w:pStyle w:val="14"/>
        <w:keepNext w:val="0"/>
        <w:keepLines w:val="0"/>
        <w:widowControl/>
        <w:suppressLineNumbers w:val="0"/>
        <w:shd w:val="clear" w:color="auto" w:fill="auto"/>
        <w:ind w:left="0" w:right="75"/>
        <w:jc w:val="center"/>
        <w:rPr>
          <w:rStyle w:val="18"/>
          <w:rFonts w:hint="eastAsia" w:ascii="方正小标宋简体" w:hAnsi="方正小标宋简体" w:eastAsia="方正小标宋简体" w:cs="方正小标宋简体"/>
          <w:sz w:val="60"/>
          <w:szCs w:val="60"/>
          <w:shd w:val="clear" w:color="auto" w:fill="FFFFFF"/>
          <w:lang w:eastAsia="zh-CN"/>
        </w:rPr>
      </w:pPr>
      <w:r>
        <w:rPr>
          <w:rStyle w:val="18"/>
          <w:rFonts w:hint="eastAsia" w:ascii="方正小标宋简体" w:hAnsi="方正小标宋简体" w:eastAsia="方正小标宋简体" w:cs="方正小标宋简体"/>
          <w:sz w:val="60"/>
          <w:szCs w:val="60"/>
          <w:shd w:val="clear" w:color="auto" w:fill="FFFFFF"/>
          <w:lang w:eastAsia="zh-CN"/>
        </w:rPr>
        <w:t>红原县查尔玛乡人民政府</w:t>
      </w:r>
    </w:p>
    <w:p w14:paraId="7DAA1012">
      <w:pPr>
        <w:pStyle w:val="14"/>
        <w:keepNext w:val="0"/>
        <w:keepLines w:val="0"/>
        <w:widowControl/>
        <w:suppressLineNumbers w:val="0"/>
        <w:shd w:val="clear" w:color="auto" w:fill="auto"/>
        <w:ind w:left="0" w:right="75"/>
        <w:jc w:val="center"/>
        <w:rPr>
          <w:rStyle w:val="18"/>
          <w:rFonts w:hint="eastAsia" w:ascii="方正小标宋简体" w:hAnsi="方正小标宋简体" w:eastAsia="方正小标宋简体" w:cs="方正小标宋简体"/>
          <w:sz w:val="60"/>
          <w:szCs w:val="60"/>
          <w:shd w:val="clear" w:color="auto" w:fill="FFFFFF"/>
          <w:lang w:eastAsia="zh-CN"/>
        </w:rPr>
      </w:pPr>
      <w:r>
        <w:rPr>
          <w:rStyle w:val="18"/>
          <w:rFonts w:hint="eastAsia" w:ascii="方正小标宋简体" w:hAnsi="方正小标宋简体" w:eastAsia="方正小标宋简体" w:cs="方正小标宋简体"/>
          <w:sz w:val="60"/>
          <w:szCs w:val="60"/>
          <w:shd w:val="clear" w:color="auto" w:fill="FFFFFF"/>
          <w:lang w:eastAsia="zh-CN"/>
        </w:rPr>
        <w:t>部门决算公开编制说明</w:t>
      </w:r>
    </w:p>
    <w:p w14:paraId="763A4162">
      <w:pPr>
        <w:pStyle w:val="14"/>
        <w:keepNext w:val="0"/>
        <w:keepLines w:val="0"/>
        <w:pageBreakBefore w:val="0"/>
        <w:widowControl/>
        <w:suppressLineNumbers w:val="0"/>
        <w:kinsoku/>
        <w:wordWrap/>
        <w:topLinePunct w:val="0"/>
        <w:bidi w:val="0"/>
        <w:spacing w:line="576" w:lineRule="exact"/>
        <w:ind w:left="0" w:right="75"/>
        <w:jc w:val="left"/>
        <w:rPr>
          <w:rStyle w:val="18"/>
          <w:rFonts w:hint="eastAsia" w:ascii="方正小标宋简体" w:hAnsi="方正小标宋简体" w:eastAsia="方正小标宋简体" w:cs="方正小标宋简体"/>
          <w:sz w:val="44"/>
          <w:szCs w:val="44"/>
          <w:shd w:val="clear" w:color="auto" w:fill="FFFFFF"/>
          <w:lang w:eastAsia="zh-CN"/>
        </w:rPr>
      </w:pPr>
    </w:p>
    <w:p w14:paraId="7CC677B7">
      <w:pPr>
        <w:pStyle w:val="14"/>
        <w:keepNext w:val="0"/>
        <w:keepLines w:val="0"/>
        <w:pageBreakBefore w:val="0"/>
        <w:widowControl/>
        <w:suppressLineNumbers w:val="0"/>
        <w:kinsoku/>
        <w:wordWrap/>
        <w:topLinePunct w:val="0"/>
        <w:bidi w:val="0"/>
        <w:spacing w:line="576" w:lineRule="exact"/>
        <w:ind w:left="0" w:right="75"/>
        <w:jc w:val="left"/>
        <w:rPr>
          <w:rStyle w:val="18"/>
          <w:rFonts w:hint="eastAsia" w:ascii="方正小标宋简体" w:hAnsi="方正小标宋简体" w:eastAsia="方正小标宋简体" w:cs="方正小标宋简体"/>
          <w:sz w:val="44"/>
          <w:szCs w:val="44"/>
          <w:shd w:val="clear" w:color="auto" w:fill="FFFFFF"/>
          <w:lang w:eastAsia="zh-CN"/>
        </w:rPr>
      </w:pPr>
    </w:p>
    <w:p w14:paraId="31B924CB">
      <w:pPr>
        <w:pStyle w:val="14"/>
        <w:keepNext w:val="0"/>
        <w:keepLines w:val="0"/>
        <w:pageBreakBefore w:val="0"/>
        <w:widowControl/>
        <w:suppressLineNumbers w:val="0"/>
        <w:kinsoku/>
        <w:wordWrap/>
        <w:topLinePunct w:val="0"/>
        <w:bidi w:val="0"/>
        <w:spacing w:line="576" w:lineRule="exact"/>
        <w:ind w:left="0" w:right="75"/>
        <w:jc w:val="left"/>
        <w:rPr>
          <w:rStyle w:val="18"/>
          <w:rFonts w:hint="eastAsia" w:ascii="方正小标宋简体" w:hAnsi="方正小标宋简体" w:eastAsia="方正小标宋简体" w:cs="方正小标宋简体"/>
          <w:sz w:val="44"/>
          <w:szCs w:val="44"/>
          <w:shd w:val="clear" w:color="auto" w:fill="FFFFFF"/>
          <w:lang w:eastAsia="zh-CN"/>
        </w:rPr>
      </w:pPr>
    </w:p>
    <w:p w14:paraId="7E63DC1F">
      <w:pPr>
        <w:pStyle w:val="14"/>
        <w:keepNext w:val="0"/>
        <w:keepLines w:val="0"/>
        <w:pageBreakBefore w:val="0"/>
        <w:widowControl/>
        <w:suppressLineNumbers w:val="0"/>
        <w:kinsoku/>
        <w:wordWrap/>
        <w:topLinePunct w:val="0"/>
        <w:bidi w:val="0"/>
        <w:spacing w:line="576" w:lineRule="exact"/>
        <w:ind w:left="0" w:right="75"/>
        <w:jc w:val="left"/>
        <w:rPr>
          <w:rStyle w:val="18"/>
          <w:rFonts w:hint="eastAsia" w:ascii="方正小标宋简体" w:hAnsi="方正小标宋简体" w:eastAsia="方正小标宋简体" w:cs="方正小标宋简体"/>
          <w:sz w:val="44"/>
          <w:szCs w:val="44"/>
          <w:shd w:val="clear" w:color="auto" w:fill="FFFFFF"/>
          <w:lang w:eastAsia="zh-CN"/>
        </w:rPr>
      </w:pPr>
    </w:p>
    <w:p w14:paraId="7540B50E">
      <w:pPr>
        <w:pStyle w:val="14"/>
        <w:keepNext w:val="0"/>
        <w:keepLines w:val="0"/>
        <w:pageBreakBefore w:val="0"/>
        <w:widowControl/>
        <w:suppressLineNumbers w:val="0"/>
        <w:kinsoku/>
        <w:wordWrap/>
        <w:topLinePunct w:val="0"/>
        <w:bidi w:val="0"/>
        <w:spacing w:line="576" w:lineRule="exact"/>
        <w:ind w:left="0" w:right="75"/>
        <w:jc w:val="left"/>
      </w:pPr>
      <w:r>
        <w:rPr>
          <w:sz w:val="24"/>
          <w:szCs w:val="24"/>
          <w:shd w:val="clear" w:color="auto" w:fill="FFFFFF"/>
        </w:rPr>
        <w:t>保密审查情况：已审查，内容审定</w:t>
      </w:r>
    </w:p>
    <w:p w14:paraId="69649439">
      <w:pPr>
        <w:pStyle w:val="14"/>
        <w:keepNext w:val="0"/>
        <w:keepLines w:val="0"/>
        <w:pageBreakBefore w:val="0"/>
        <w:widowControl/>
        <w:suppressLineNumbers w:val="0"/>
        <w:kinsoku/>
        <w:wordWrap/>
        <w:topLinePunct w:val="0"/>
        <w:bidi w:val="0"/>
        <w:spacing w:line="576" w:lineRule="exact"/>
        <w:ind w:left="0" w:right="75"/>
        <w:jc w:val="left"/>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14:paraId="61F5CC85">
      <w:pPr>
        <w:pageBreakBefore w:val="0"/>
        <w:widowControl/>
        <w:kinsoku/>
        <w:wordWrap/>
        <w:topLinePunct w:val="0"/>
        <w:bidi w:val="0"/>
        <w:spacing w:line="576" w:lineRule="exact"/>
        <w:jc w:val="center"/>
        <w:rPr>
          <w:rFonts w:ascii="黑体" w:hAnsi="黑体" w:eastAsia="黑体"/>
          <w:sz w:val="48"/>
          <w:szCs w:val="48"/>
        </w:rPr>
      </w:pPr>
      <w:r>
        <w:rPr>
          <w:rFonts w:hint="eastAsia" w:ascii="黑体" w:hAnsi="黑体" w:eastAsia="黑体"/>
          <w:sz w:val="48"/>
          <w:szCs w:val="48"/>
        </w:rPr>
        <w:t>目录</w:t>
      </w:r>
    </w:p>
    <w:p w14:paraId="1D6D70B9">
      <w:pPr>
        <w:pageBreakBefore w:val="0"/>
        <w:widowControl/>
        <w:kinsoku/>
        <w:wordWrap/>
        <w:topLinePunct w:val="0"/>
        <w:bidi w:val="0"/>
        <w:spacing w:line="576" w:lineRule="exact"/>
        <w:jc w:val="center"/>
        <w:rPr>
          <w:rFonts w:ascii="黑体" w:hAnsi="黑体" w:eastAsia="黑体" w:cstheme="minorBidi"/>
          <w:sz w:val="28"/>
          <w:szCs w:val="28"/>
        </w:rPr>
      </w:pPr>
    </w:p>
    <w:p w14:paraId="2098FFA9">
      <w:pPr>
        <w:pStyle w:val="12"/>
        <w:pageBreakBefore w:val="0"/>
        <w:kinsoku/>
        <w:wordWrap/>
        <w:topLinePunct w:val="0"/>
        <w:bidi w:val="0"/>
        <w:spacing w:line="576" w:lineRule="exact"/>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11</w:t>
      </w:r>
      <w:r>
        <w:rPr>
          <w:rFonts w:hint="eastAsia"/>
        </w:rPr>
        <w:t>日</w:t>
      </w:r>
    </w:p>
    <w:p w14:paraId="53B75319">
      <w:pPr>
        <w:pageBreakBefore w:val="0"/>
        <w:kinsoku/>
        <w:wordWrap/>
        <w:topLinePunct w:val="0"/>
        <w:bidi w:val="0"/>
        <w:spacing w:line="576" w:lineRule="exact"/>
      </w:pPr>
    </w:p>
    <w:p w14:paraId="0C0E8F16">
      <w:pPr>
        <w:pStyle w:val="12"/>
        <w:tabs>
          <w:tab w:val="right" w:leader="dot" w:pos="8306"/>
          <w:tab w:val="clear" w:pos="8296"/>
        </w:tabs>
        <w:rPr>
          <w:rFonts w:hint="eastAsia" w:ascii="仿宋_GB2312" w:hAnsi="仿宋_GB2312" w:eastAsia="仿宋_GB2312" w:cs="仿宋_GB2312"/>
          <w:sz w:val="30"/>
          <w:szCs w:val="30"/>
        </w:rPr>
      </w:pPr>
      <w:r>
        <w:rPr>
          <w:color w:val="auto"/>
        </w:rPr>
        <w:fldChar w:fldCharType="begin"/>
      </w:r>
      <w:r>
        <w:rPr>
          <w:color w:val="auto"/>
        </w:rPr>
        <w:instrText xml:space="preserve">TOC \o "1-2" \h \u </w:instrText>
      </w:r>
      <w:r>
        <w:rPr>
          <w:color w:val="auto"/>
        </w:rPr>
        <w:fldChar w:fldCharType="separate"/>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_Toc10305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xml:space="preserve">第一部分 </w:t>
      </w:r>
      <w:r>
        <w:rPr>
          <w:rFonts w:hint="eastAsia" w:ascii="仿宋_GB2312" w:hAnsi="仿宋_GB2312" w:eastAsia="仿宋_GB2312" w:cs="仿宋_GB2312"/>
          <w:bCs w:val="0"/>
          <w:sz w:val="30"/>
          <w:szCs w:val="30"/>
        </w:rPr>
        <w:t>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_Toc10305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E20FD09">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_Toc5949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一、 部门职责</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_Toc5949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61AC658B">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_Toc6464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_Toc6464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3BFDD67">
      <w:pPr>
        <w:pStyle w:val="12"/>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_Toc4287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第二部分 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年度</w:t>
      </w:r>
      <w:r>
        <w:rPr>
          <w:rFonts w:hint="eastAsia" w:ascii="仿宋_GB2312" w:hAnsi="仿宋_GB2312" w:eastAsia="仿宋_GB2312" w:cs="仿宋_GB2312"/>
          <w:bCs/>
          <w:sz w:val="30"/>
          <w:szCs w:val="30"/>
        </w:rPr>
        <w:t>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0</w:t>
      </w:r>
    </w:p>
    <w:p w14:paraId="4F8906B5">
      <w:pPr>
        <w:pStyle w:val="13"/>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_Toc12888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0</w:t>
      </w:r>
    </w:p>
    <w:p w14:paraId="2B1C30DF">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_Toc29497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3E8C2159">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_Toc17859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_Toc17859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A76D61A">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_Toc18206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_Toc18206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2602A8F">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_Toc29964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0859ECEB">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_Toc29471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27ED973E">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_Toc16831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七、财政拨款“三公”经费支出决算情况说明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_Toc16831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5B35B295">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_Toc6663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_Toc6663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197BB810">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_Toc10406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_Toc10406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0DB5B17C">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_Toc19090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 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_Toc19090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ACDE6EE">
      <w:pPr>
        <w:pStyle w:val="12"/>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_Toc32480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1</w:t>
      </w:r>
    </w:p>
    <w:p w14:paraId="5421D1A5">
      <w:pPr>
        <w:pStyle w:val="12"/>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_Toc2545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4</w:t>
      </w:r>
    </w:p>
    <w:p w14:paraId="7F4A947B">
      <w:pPr>
        <w:pStyle w:val="12"/>
        <w:tabs>
          <w:tab w:val="right" w:leader="dot" w:pos="8306"/>
          <w:tab w:val="clear" w:pos="8296"/>
        </w:tabs>
        <w:rPr>
          <w:rFonts w:hint="eastAsia" w:eastAsia="仿宋_GB2312"/>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8</w:t>
      </w:r>
    </w:p>
    <w:p w14:paraId="5C1380C0">
      <w:pPr>
        <w:rPr>
          <w:color w:val="auto"/>
        </w:rPr>
      </w:pPr>
      <w:r>
        <w:rPr>
          <w:color w:val="auto"/>
        </w:rPr>
        <w:fldChar w:fldCharType="end"/>
      </w:r>
    </w:p>
    <w:p w14:paraId="7727C0FA">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一、收入支出决算总表</w:t>
      </w:r>
    </w:p>
    <w:p w14:paraId="070A3EB7">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二、收入决算表</w:t>
      </w:r>
    </w:p>
    <w:p w14:paraId="1F03D79F">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三、支出决算表</w:t>
      </w:r>
    </w:p>
    <w:p w14:paraId="14FBFF5E">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四、财政拨款收入支出决算总表</w:t>
      </w:r>
    </w:p>
    <w:p w14:paraId="37F956C8">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五、财政拨款支出决算明细表</w:t>
      </w:r>
    </w:p>
    <w:p w14:paraId="5452B71B">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六、一般公共预算财政拨款支出决算表</w:t>
      </w:r>
    </w:p>
    <w:p w14:paraId="1F2D8EF0">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七、一般公共预算财政拨款支出决算明细表</w:t>
      </w:r>
    </w:p>
    <w:p w14:paraId="2E2FBECA">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八、一般公共预算财政拨款基本支出决算明细表</w:t>
      </w:r>
    </w:p>
    <w:p w14:paraId="32263791">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九、一般公共预算财政拨款项目支出决算表</w:t>
      </w:r>
    </w:p>
    <w:p w14:paraId="5E70903E">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十、政府性基金预算财政拨款收入支出决算表</w:t>
      </w:r>
    </w:p>
    <w:p w14:paraId="6971AE75">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十一、国有资本经营预算财政拨款收入支出决算表</w:t>
      </w:r>
    </w:p>
    <w:p w14:paraId="35183571">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十二、国有资本经营预算财政拨款支出决算表</w:t>
      </w:r>
    </w:p>
    <w:p w14:paraId="491EAB6F">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十三、财政拨款“三公”经费支出决算表</w:t>
      </w:r>
    </w:p>
    <w:p w14:paraId="0411C6D8">
      <w:pPr>
        <w:pageBreakBefore w:val="0"/>
        <w:widowControl/>
        <w:kinsoku/>
        <w:wordWrap/>
        <w:topLinePunct w:val="0"/>
        <w:bidi w:val="0"/>
        <w:adjustRightInd w:val="0"/>
        <w:snapToGrid w:val="0"/>
        <w:spacing w:line="576"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3C9FDD32">
      <w:pPr>
        <w:pageBreakBefore w:val="0"/>
        <w:widowControl/>
        <w:kinsoku/>
        <w:wordWrap/>
        <w:topLinePunct w:val="0"/>
        <w:bidi w:val="0"/>
        <w:spacing w:line="576" w:lineRule="exact"/>
        <w:jc w:val="left"/>
        <w:rPr>
          <w:rFonts w:ascii="仿宋" w:hAnsi="仿宋" w:eastAsia="仿宋"/>
          <w:bCs/>
          <w:kern w:val="44"/>
          <w:sz w:val="24"/>
        </w:rPr>
      </w:pPr>
      <w:bookmarkStart w:id="6" w:name="_Toc15396599"/>
      <w:bookmarkStart w:id="7" w:name="_Toc15377196"/>
      <w:r>
        <w:rPr>
          <w:rFonts w:ascii="仿宋" w:hAnsi="仿宋" w:eastAsia="仿宋"/>
          <w:b/>
          <w:sz w:val="24"/>
        </w:rPr>
        <w:br w:type="page"/>
      </w:r>
    </w:p>
    <w:p w14:paraId="02535FE9">
      <w:pPr>
        <w:pStyle w:val="3"/>
        <w:pageBreakBefore w:val="0"/>
        <w:kinsoku/>
        <w:wordWrap/>
        <w:topLinePunct w:val="0"/>
        <w:bidi w:val="0"/>
        <w:spacing w:line="576" w:lineRule="exact"/>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6"/>
      <w:bookmarkEnd w:id="7"/>
    </w:p>
    <w:p w14:paraId="467CF476">
      <w:pPr>
        <w:pageBreakBefore w:val="0"/>
        <w:widowControl/>
        <w:kinsoku/>
        <w:wordWrap/>
        <w:topLinePunct w:val="0"/>
        <w:bidi w:val="0"/>
        <w:spacing w:line="576" w:lineRule="exact"/>
        <w:jc w:val="left"/>
        <w:rPr>
          <w:rFonts w:ascii="黑体" w:eastAsia="黑体"/>
          <w:sz w:val="32"/>
          <w:szCs w:val="32"/>
        </w:rPr>
      </w:pPr>
    </w:p>
    <w:p w14:paraId="467955C3">
      <w:pPr>
        <w:pStyle w:val="4"/>
        <w:pageBreakBefore w:val="0"/>
        <w:numPr>
          <w:ilvl w:val="0"/>
          <w:numId w:val="1"/>
        </w:numPr>
        <w:kinsoku/>
        <w:wordWrap/>
        <w:topLinePunct w:val="0"/>
        <w:bidi w:val="0"/>
        <w:spacing w:line="576" w:lineRule="exact"/>
      </w:pPr>
      <w:r>
        <w:rPr>
          <w:rFonts w:hint="eastAsia" w:ascii="黑体" w:hAnsi="黑体" w:eastAsia="黑体"/>
          <w:b w:val="0"/>
        </w:rPr>
        <w:t>部门职责</w:t>
      </w:r>
    </w:p>
    <w:p w14:paraId="1BE2E6E9">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(一)乡党委工作职责</w:t>
      </w:r>
    </w:p>
    <w:p w14:paraId="2EB747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(1)宣传和贯彻执行党的路线、方针、政策和党中央、上级党组织及辖区内党委(或党员大会)的决议;</w:t>
      </w:r>
    </w:p>
    <w:p w14:paraId="3EE079E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(2)领导乡政府机关、群众组织和其他各类组织，加强指导和规范,支持和保证这些机关和组织依照国家法律法规及各自章程履行职责;</w:t>
      </w:r>
    </w:p>
    <w:p w14:paraId="30D0F54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讨论和决定辖区内经济建设、政治建设、文化建设、社会建设、生态文明建设、党的建设、乡村振兴中和社会发展中的重大问题。需由乡政权机关或集体经济组织决定的重要事项，经乡党委研究讨论后,由乡政权机关或集体经济组织依照法律和有关规定作出决定;</w:t>
      </w:r>
    </w:p>
    <w:p w14:paraId="173C28A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加强党委自身建设和以党支部为核心的村级组织建设，以及其他隶属乡党委的党组织建设，抓好发展党员工作，加强党员队伍建设。维护和执行党的纪律，监督党员干部和其他任何工作人员严格遵守国家法律法规;</w:t>
      </w:r>
    </w:p>
    <w:p w14:paraId="3CF8BBE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(5)按照干部管理权限，负责对本级乡村干部的教育、管理、选拔和监督工作。协助管理上级有关部门驻乡单位的干部。做好人才服务和引进工作;</w:t>
      </w:r>
    </w:p>
    <w:p w14:paraId="4E1D2C3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(6)领导本乡的基层治理，加强社会主义民主法治建设和精神文明建设，加强社会治安综合治理，做好生态环保、美丽乡村建设、民主保障、巩固脱贫成果、民族宗教、微网实格、群众工作等工作;</w:t>
      </w:r>
    </w:p>
    <w:p w14:paraId="1EECFE9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(7)完成县委交办的其他工作任务。</w:t>
      </w:r>
    </w:p>
    <w:p w14:paraId="0B3A3E62">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(二)乡人民代表大会工作职责</w:t>
      </w:r>
    </w:p>
    <w:p w14:paraId="315D255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(1)坚持党的领导，监督保证宪法、法律、法规及乡人民代表大会和上级人民代表大会及其常务委员会的决议、决定在本行政区域内的遵守和执行;</w:t>
      </w:r>
    </w:p>
    <w:p w14:paraId="0DCBEAB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(2)决定召集和主持本届人民代表大会会议，对本届人民代表大会负责并报告工作,决定召集下届人民代表大会第一次会议;</w:t>
      </w:r>
    </w:p>
    <w:p w14:paraId="27583CF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(3)听取、审议本级人民政府工作报告，通过相应决议、决定，检查、督促本级人民政府对乡人民代表大会决议、决定的贯彻执行;</w:t>
      </w:r>
    </w:p>
    <w:p w14:paraId="35A6F90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(4)讨论辖区内的重大事项，向乡人民政府提出建议或者决定;</w:t>
      </w:r>
    </w:p>
    <w:p w14:paraId="11C86E2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(5)根据乡人民政府的建议，决定乡人民代表大会通过的建设计划、财政预算的部分变更;</w:t>
      </w:r>
    </w:p>
    <w:p w14:paraId="7CE5BF0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(6)督促乡人民政府研究办理乡人民代表大会代表的视察，和调查，指导代表小组开展活动，密切联系代表，听取和反映他们的意见和要求;</w:t>
      </w:r>
    </w:p>
    <w:p w14:paraId="781453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(7)受理人民群众对本级国家机关和工作人员的申诉和意见;</w:t>
      </w:r>
    </w:p>
    <w:p w14:paraId="2D1C619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(8)选举本级人民代表大会主席团成员、主席，乡人民政府乡长、副乡长;决定接受乡长、副乡长的辞职，并报下一次人民代表大会会议备案;乡长因故不能担任职务时，从副乡长中决定代理人选;</w:t>
      </w:r>
    </w:p>
    <w:p w14:paraId="68B4C6F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(9)指导选区依法罢免和补选人民代表大会代表;</w:t>
      </w:r>
    </w:p>
    <w:p w14:paraId="3B98205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(10)保护社会主义全民所有财产和劳动群众集体所有财产;保障公民人身、民主、财产等合法权利;保障各种经济组织合法权利;</w:t>
      </w:r>
    </w:p>
    <w:p w14:paraId="372DCD5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(11)完成乡人民代表大会和上级人民代表大会常务委员会交办的其他事项。</w:t>
      </w:r>
    </w:p>
    <w:p w14:paraId="6575157D">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(三)乡人民政府工作职责</w:t>
      </w:r>
    </w:p>
    <w:p w14:paraId="4730E72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落实国家政策，严格依法行政，发挥经济管理职能，加强政策引导，制定发展规划，服务市场主体和营造发展环境，搞好市场监管，大力促进社会事业发展，发展乡村经济、文化和提请乡人民代表大会会议审议决定;撤销本级人民政府不适当的社会事业，提供公共服务，维护社会稳定，构建社会主义和谐社会;</w:t>
      </w:r>
    </w:p>
    <w:p w14:paraId="710FF7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(2)贯彻执行党的路线、方针、政策及国家法律法规，执行本级人民代表大会决议和上级国家行政机关决定、命令，发布决定、命令;</w:t>
      </w:r>
    </w:p>
    <w:p w14:paraId="08E402F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制定辖区内经济建设和社会发展规划、政策，促进本行政区域内经济和社会发展，做好招商引资工作，努力提高本地区经济实力和可持续发展水平，提高人民群众生活水平和质量;负责乡村建设规划、实施、管理和服务工作，推动乡村振兴宜居宜业和美丽乡村建设;</w:t>
      </w:r>
    </w:p>
    <w:p w14:paraId="59DD4E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编制和执行辖区内国民经济和社会发展计划，领导管理全乡经济、教育、科技、文化、卫生、城乡建设，环境保护事业和财政、民政、公安、司法行政、行政监察、审计、计划生育等行政工作，领导和协助辖区内机关和企事业单位;</w:t>
      </w:r>
    </w:p>
    <w:p w14:paraId="25163E2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(5)保护社会主义的全民所有的财产和劳动群众集体所有的财产，保护公民私人所有的合法财产，维护社会秩序，保障公民的人身权利、民主权利和其他权利;</w:t>
      </w:r>
    </w:p>
    <w:p w14:paraId="6ED6451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(6)负责辖区内综合行政执法工作，维护社会秩序;</w:t>
      </w:r>
    </w:p>
    <w:p w14:paraId="1E0C3C3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(7)保障公民人身、民主、财产等合法权利;</w:t>
      </w:r>
    </w:p>
    <w:p w14:paraId="709E252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(8)保护各种经济组织的合法权益;</w:t>
      </w:r>
    </w:p>
    <w:p w14:paraId="396D3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(9)保障少数民族的权利和尊重少数民族的风俗习惯;</w:t>
      </w:r>
    </w:p>
    <w:p w14:paraId="5331023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(10)统筹管理辖区内寺庙及僧侣工作,规范寺庙管理制度;</w:t>
      </w:r>
    </w:p>
    <w:p w14:paraId="6334840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(11)履行法律规定赋予的其他职责;</w:t>
      </w:r>
    </w:p>
    <w:p w14:paraId="7984F2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(12)完成县委、县政府交办的其他事项。</w:t>
      </w:r>
    </w:p>
    <w:p w14:paraId="61C7D0F0">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(四)乡纪检监察工作职责</w:t>
      </w:r>
    </w:p>
    <w:p w14:paraId="5905DC7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(1)负责贯彻落实中央和上级党委、政府关于加强党风廉政的决定;维护党的章程和其他党内法规，检查党的路线、方针、政策和决议执行情况;负责对党风廉政建设责任制执行情况进行监督检查;</w:t>
      </w:r>
    </w:p>
    <w:p w14:paraId="535D587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(2)贯彻落实上级纪委相关工作决定，监督检查本乡各部门及其工作人员执行国家法律法规、政策和乡党委决定、决议情况;负责部署全乡纠正行业不正之风工作并进行监督、检查、指导;</w:t>
      </w:r>
    </w:p>
    <w:p w14:paraId="7B2318A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(3)负责组织协调全乡党风廉政建设及反腐败工作;协助乡党委抓好农村基层党风廉政建设工作;</w:t>
      </w:r>
    </w:p>
    <w:p w14:paraId="06B768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(4)负责调查处理全乡各单位各部门及工作人员违反国家法律法规、政策或违反政纪行为，并根据责任人所犯错误，按有关程序，作出处分决定;</w:t>
      </w:r>
    </w:p>
    <w:p w14:paraId="7EC28AA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(5)受理基层党支部、党员和领导干部违反党纪政纪的信</w:t>
      </w:r>
    </w:p>
    <w:p w14:paraId="397103A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访和举报;调查处理基层党支部和党员、领导干部违反党纪政纪</w:t>
      </w:r>
    </w:p>
    <w:p w14:paraId="36CA022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的行为或提出处理建议;</w:t>
      </w:r>
    </w:p>
    <w:p w14:paraId="20EE0B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受理党员、党员领导干部及行政干部不服党纪政纪处分的申诉;受理监察对象不服政纪处分申诉，保护党员和国家工作人员正当权利及合法权益;(7)会同有关部门做好党风党纪和廉洁从政的教育、宣传、调研等工作，对乡、村党员及干部进行遵纪守法、廉洁从政教育;</w:t>
      </w:r>
    </w:p>
    <w:p w14:paraId="497AAC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(8)做好执法监察工作;</w:t>
      </w:r>
    </w:p>
    <w:p w14:paraId="3976B9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(9)完成乡党委、乡政府和上级纪检监察机关交办的有关工作。</w:t>
      </w:r>
    </w:p>
    <w:p w14:paraId="741F5228">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(五)乡人民武装部工作职责</w:t>
      </w:r>
    </w:p>
    <w:p w14:paraId="384FD0D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(1)负责本区域的民兵组织建设、政治教育、军事训练、武器装备管理;</w:t>
      </w:r>
    </w:p>
    <w:p w14:paraId="030CF75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(2)组织带领民兵完成战备执勤任务，配合公安部门维护社会治安。协助做好地方群防群治巡逻，协助地方维护社会政治稳定;</w:t>
      </w:r>
    </w:p>
    <w:p w14:paraId="10002DE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(3)发动和组织民兵参加三个文明建设，开展以劳养武活动，完成急难险重任务;</w:t>
      </w:r>
    </w:p>
    <w:p w14:paraId="493CBD0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(4)战时组织带领民兵参军参战，支援前线;</w:t>
      </w:r>
    </w:p>
    <w:p w14:paraId="17FAE48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(5)负责本区域的征兵工作和预备役士兵，预备役军官登记统计工作;</w:t>
      </w:r>
    </w:p>
    <w:p w14:paraId="13DC42C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(6)会同有关部门进行战争潜力调查，做好相关的动员准备工作;</w:t>
      </w:r>
    </w:p>
    <w:p w14:paraId="555852C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(7)协同预备役部(分)队落实参训人员，做好兵役管理、动员集结等工作;</w:t>
      </w:r>
    </w:p>
    <w:p w14:paraId="7C62BBA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(8)协助有关部门开展国防教育，做好退伍军人的安置和优烈军属的优抚工作;</w:t>
      </w:r>
    </w:p>
    <w:p w14:paraId="20565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(9)协助军队做好本区域的军事设施保护工作;</w:t>
      </w:r>
    </w:p>
    <w:p w14:paraId="12BCDA6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(10)为退役退伍干部提供管理及服务;</w:t>
      </w:r>
    </w:p>
    <w:p w14:paraId="566FF98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bookmarkStart w:id="8" w:name="_Toc15377200"/>
      <w:bookmarkStart w:id="9" w:name="_Toc15396601"/>
      <w:r>
        <w:rPr>
          <w:rFonts w:hint="eastAsia" w:ascii="仿宋_GB2312" w:hAnsi="仿宋_GB2312" w:eastAsia="仿宋_GB2312" w:cs="仿宋_GB2312"/>
          <w:sz w:val="32"/>
          <w:szCs w:val="32"/>
          <w:shd w:val="clear" w:color="auto" w:fill="FFFFFF"/>
          <w:lang w:val="en-US" w:eastAsia="zh-CN"/>
        </w:rPr>
        <w:t>(11)完成乡党委、乡政府和上级军事机关交办的其他工作任务。</w:t>
      </w:r>
    </w:p>
    <w:p w14:paraId="600AE313">
      <w:pPr>
        <w:pStyle w:val="2"/>
        <w:pageBreakBefore w:val="0"/>
        <w:kinsoku/>
        <w:wordWrap/>
        <w:topLinePunct w:val="0"/>
        <w:bidi w:val="0"/>
        <w:spacing w:line="576" w:lineRule="exact"/>
      </w:pPr>
      <w:r>
        <w:rPr>
          <w:rStyle w:val="30"/>
          <w:rFonts w:hint="eastAsia" w:ascii="黑体" w:hAnsi="黑体" w:eastAsia="黑体"/>
          <w:b w:val="0"/>
          <w:bCs w:val="0"/>
        </w:rPr>
        <w:t>二、机构设置</w:t>
      </w:r>
      <w:bookmarkEnd w:id="8"/>
      <w:bookmarkEnd w:id="9"/>
    </w:p>
    <w:p w14:paraId="3D4495C6">
      <w:pPr>
        <w:keepNext w:val="0"/>
        <w:keepLines w:val="0"/>
        <w:pageBreakBefore w:val="0"/>
        <w:widowControl w:val="0"/>
        <w:numPr>
          <w:ilvl w:val="0"/>
          <w:numId w:val="0"/>
        </w:numPr>
        <w:kinsoku/>
        <w:wordWrap/>
        <w:overflowPunct w:val="0"/>
        <w:topLinePunct w:val="0"/>
        <w:autoSpaceDE/>
        <w:autoSpaceDN/>
        <w:bidi w:val="0"/>
        <w:adjustRightInd/>
        <w:snapToGrid/>
        <w:spacing w:afterAutospacing="0" w:line="576" w:lineRule="exact"/>
        <w:ind w:left="0" w:leftChars="0" w:firstLine="640" w:firstLineChars="200"/>
        <w:jc w:val="left"/>
        <w:textAlignment w:val="auto"/>
        <w:rPr>
          <w:rFonts w:hint="default" w:ascii="Times New Roman" w:hAnsi="Times New Roman" w:eastAsia="方正仿宋_GBK" w:cs="Times New Roman"/>
          <w:bCs/>
          <w:kern w:val="0"/>
          <w:sz w:val="32"/>
          <w:szCs w:val="32"/>
          <w:highlight w:val="none"/>
          <w:lang w:val="zh-CN" w:eastAsia="zh-CN" w:bidi="ar-SA"/>
        </w:rPr>
      </w:pPr>
      <w:r>
        <w:rPr>
          <w:rFonts w:hint="eastAsia" w:ascii="仿宋_GB2312" w:hAnsi="仿宋_GB2312" w:eastAsia="仿宋_GB2312" w:cs="仿宋_GB2312"/>
          <w:sz w:val="32"/>
          <w:szCs w:val="32"/>
          <w:shd w:val="clear" w:color="auto" w:fill="FFFFFF"/>
          <w:lang w:val="en-US" w:eastAsia="zh-CN"/>
        </w:rPr>
        <w:t>红原县查尔玛乡人民政府下属二级预算单位2个，其中行政单位1个，参照公务员法管理的事业单位1个，无其他事业单位。</w:t>
      </w:r>
      <w:r>
        <w:rPr>
          <w:rFonts w:hint="default" w:ascii="Times New Roman" w:hAnsi="Times New Roman" w:eastAsia="方正仿宋_GBK" w:cs="Times New Roman"/>
          <w:bCs/>
          <w:kern w:val="0"/>
          <w:sz w:val="32"/>
          <w:szCs w:val="32"/>
          <w:highlight w:val="none"/>
          <w:lang w:val="en-US" w:eastAsia="zh-CN" w:bidi="ar-SA"/>
        </w:rPr>
        <w:t>全乡总编制30名，其中：行政编制：20名，事业编制：9名，行政工勤编制：1名。有编在岗人员总数29名，其中：行政人员20名，事业人员8名，行政工勤人员1名。退休人员2人，退职人员0名，遗属人员2名。查尔玛乡下辖3个行政村，现任村干部15名，村民小组长13名，离任村干部13人。</w:t>
      </w:r>
    </w:p>
    <w:p w14:paraId="6FA5ADF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p>
    <w:p w14:paraId="73C8A4F1">
      <w:pPr>
        <w:pStyle w:val="2"/>
        <w:rPr>
          <w:rFonts w:hint="eastAsia"/>
          <w:lang w:val="en-US" w:eastAsia="zh-CN"/>
        </w:rPr>
      </w:pPr>
    </w:p>
    <w:p w14:paraId="2B02C20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纳入红原县查尔玛乡人民政府2023年度部门决算编制范围的二级预算单位包括：</w:t>
      </w:r>
    </w:p>
    <w:p w14:paraId="2D5A8AB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bookmarkStart w:id="10" w:name="_Toc15378449"/>
      <w:bookmarkStart w:id="11" w:name="_Toc15377433"/>
      <w:bookmarkStart w:id="12" w:name="_Toc15306276"/>
      <w:bookmarkStart w:id="13" w:name="_Toc15377202"/>
      <w:r>
        <w:rPr>
          <w:rFonts w:hint="eastAsia" w:ascii="仿宋_GB2312" w:hAnsi="仿宋_GB2312" w:eastAsia="仿宋_GB2312" w:cs="仿宋_GB2312"/>
          <w:sz w:val="32"/>
          <w:szCs w:val="32"/>
          <w:shd w:val="clear" w:color="auto" w:fill="FFFFFF"/>
          <w:lang w:val="en-US" w:eastAsia="zh-CN"/>
        </w:rPr>
        <w:t>1.红原县查尔玛乡人民政府本级</w:t>
      </w:r>
      <w:bookmarkEnd w:id="10"/>
      <w:bookmarkEnd w:id="11"/>
      <w:bookmarkEnd w:id="12"/>
      <w:bookmarkEnd w:id="13"/>
    </w:p>
    <w:p w14:paraId="4DA1CDD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2.红原县查尔玛乡便民服务中心</w:t>
      </w:r>
    </w:p>
    <w:p w14:paraId="5545E1D9">
      <w:pPr>
        <w:pageBreakBefore w:val="0"/>
        <w:widowControl/>
        <w:kinsoku/>
        <w:wordWrap/>
        <w:topLinePunct w:val="0"/>
        <w:bidi w:val="0"/>
        <w:spacing w:line="576" w:lineRule="exact"/>
        <w:jc w:val="left"/>
        <w:rPr>
          <w:rFonts w:ascii="仿宋" w:hAnsi="仿宋" w:eastAsia="仿宋"/>
          <w:kern w:val="0"/>
          <w:sz w:val="32"/>
          <w:szCs w:val="32"/>
        </w:rPr>
      </w:pPr>
      <w:r>
        <w:rPr>
          <w:rFonts w:ascii="仿宋" w:hAnsi="仿宋" w:eastAsia="仿宋"/>
          <w:sz w:val="32"/>
          <w:szCs w:val="32"/>
        </w:rPr>
        <w:br w:type="page"/>
      </w:r>
    </w:p>
    <w:p w14:paraId="55829F12">
      <w:pPr>
        <w:pStyle w:val="3"/>
        <w:pageBreakBefore w:val="0"/>
        <w:kinsoku/>
        <w:wordWrap/>
        <w:topLinePunct w:val="0"/>
        <w:bidi w:val="0"/>
        <w:spacing w:line="576" w:lineRule="exact"/>
        <w:ind w:right="440"/>
        <w:jc w:val="center"/>
        <w:rPr>
          <w:rStyle w:val="29"/>
          <w:rFonts w:ascii="黑体" w:hAnsi="黑体" w:eastAsia="黑体"/>
          <w:b w:val="0"/>
          <w:bCs/>
        </w:rPr>
      </w:pPr>
      <w:bookmarkStart w:id="14" w:name="_Toc15377204"/>
      <w:bookmarkStart w:id="15" w:name="_Toc15396602"/>
      <w:r>
        <w:rPr>
          <w:rFonts w:hint="eastAsia" w:ascii="黑体" w:hAnsi="黑体" w:eastAsia="黑体"/>
          <w:b w:val="0"/>
        </w:rPr>
        <w:t>第二部分 2023年度</w:t>
      </w:r>
      <w:r>
        <w:rPr>
          <w:rStyle w:val="29"/>
          <w:rFonts w:hint="eastAsia" w:ascii="黑体" w:hAnsi="黑体" w:eastAsia="黑体"/>
          <w:b w:val="0"/>
          <w:bCs/>
        </w:rPr>
        <w:t>部门决算情况说明</w:t>
      </w:r>
      <w:bookmarkEnd w:id="14"/>
      <w:bookmarkEnd w:id="15"/>
    </w:p>
    <w:p w14:paraId="1E544B7A">
      <w:pPr>
        <w:pageBreakBefore w:val="0"/>
        <w:kinsoku/>
        <w:wordWrap/>
        <w:topLinePunct w:val="0"/>
        <w:bidi w:val="0"/>
        <w:spacing w:line="576" w:lineRule="exact"/>
      </w:pPr>
      <w:r>
        <w:rPr>
          <w:rFonts w:hint="eastAsia" w:cs="宋体" w:asciiTheme="minorEastAsia" w:hAnsiTheme="minorEastAsia" w:eastAsiaTheme="minorEastAsia"/>
          <w:sz w:val="24"/>
          <w:szCs w:val="24"/>
        </w:rPr>
        <w:drawing>
          <wp:anchor distT="0" distB="0" distL="114300" distR="114300" simplePos="0" relativeHeight="251679744" behindDoc="0" locked="0" layoutInCell="1" allowOverlap="1">
            <wp:simplePos x="0" y="0"/>
            <wp:positionH relativeFrom="column">
              <wp:posOffset>-154305</wp:posOffset>
            </wp:positionH>
            <wp:positionV relativeFrom="paragraph">
              <wp:posOffset>2296795</wp:posOffset>
            </wp:positionV>
            <wp:extent cx="4826000" cy="2743200"/>
            <wp:effectExtent l="4445" t="4445" r="8255" b="14605"/>
            <wp:wrapTopAndBottom/>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90644D1">
      <w:pPr>
        <w:pStyle w:val="28"/>
        <w:pageBreakBefore w:val="0"/>
        <w:numPr>
          <w:ilvl w:val="0"/>
          <w:numId w:val="2"/>
        </w:numPr>
        <w:kinsoku/>
        <w:wordWrap/>
        <w:topLinePunct w:val="0"/>
        <w:bidi w:val="0"/>
        <w:spacing w:line="576" w:lineRule="exact"/>
        <w:ind w:firstLineChars="0"/>
        <w:outlineLvl w:val="1"/>
        <w:rPr>
          <w:rStyle w:val="30"/>
          <w:rFonts w:ascii="黑体" w:hAnsi="黑体" w:eastAsia="黑体"/>
          <w:b w:val="0"/>
        </w:rPr>
      </w:pPr>
      <w:bookmarkStart w:id="16" w:name="_Toc15377205"/>
      <w:bookmarkStart w:id="17" w:name="_Toc15396603"/>
      <w:r>
        <w:rPr>
          <w:rFonts w:hint="eastAsia" w:ascii="黑体" w:hAnsi="黑体" w:eastAsia="黑体"/>
          <w:sz w:val="32"/>
          <w:szCs w:val="32"/>
        </w:rPr>
        <w:t>收</w:t>
      </w:r>
      <w:r>
        <w:rPr>
          <w:rStyle w:val="30"/>
          <w:rFonts w:hint="eastAsia" w:ascii="黑体" w:hAnsi="黑体" w:eastAsia="黑体"/>
          <w:b w:val="0"/>
        </w:rPr>
        <w:t>入支出决算总体情况说明</w:t>
      </w:r>
      <w:bookmarkEnd w:id="16"/>
      <w:bookmarkEnd w:id="17"/>
    </w:p>
    <w:p w14:paraId="5C00E40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2023年度收、支总计均为1186.08万元。与2022年度相比，收、支总计各增加71.63万元，增长6.42%。主要变动原因是查尔玛乡2023年为乡村示范点，项目增加支出增加。</w:t>
      </w:r>
    </w:p>
    <w:p w14:paraId="3EAB6E6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（图1：收、支决算总计变动情况图）（柱状图）</w:t>
      </w:r>
    </w:p>
    <w:p w14:paraId="4744391D">
      <w:pPr>
        <w:pStyle w:val="2"/>
        <w:pageBreakBefore w:val="0"/>
        <w:kinsoku/>
        <w:wordWrap/>
        <w:topLinePunct w:val="0"/>
        <w:bidi w:val="0"/>
        <w:spacing w:line="576" w:lineRule="exact"/>
        <w:rPr>
          <w:rFonts w:ascii="仿宋_GB2312" w:eastAsia="仿宋_GB2312"/>
          <w:sz w:val="32"/>
          <w:szCs w:val="32"/>
        </w:rPr>
      </w:pPr>
    </w:p>
    <w:p w14:paraId="2470D981">
      <w:pPr>
        <w:pStyle w:val="28"/>
        <w:pageBreakBefore w:val="0"/>
        <w:numPr>
          <w:ilvl w:val="0"/>
          <w:numId w:val="2"/>
        </w:numPr>
        <w:kinsoku/>
        <w:wordWrap/>
        <w:topLinePunct w:val="0"/>
        <w:bidi w:val="0"/>
        <w:spacing w:line="576" w:lineRule="exact"/>
        <w:ind w:firstLineChars="0"/>
        <w:outlineLvl w:val="1"/>
        <w:rPr>
          <w:rStyle w:val="30"/>
          <w:rFonts w:ascii="黑体" w:hAnsi="黑体" w:eastAsia="黑体"/>
          <w:b w:val="0"/>
        </w:rPr>
      </w:pPr>
      <w:bookmarkStart w:id="18" w:name="_Toc15377206"/>
      <w:bookmarkStart w:id="19" w:name="_Toc15396604"/>
      <w:r>
        <w:rPr>
          <w:rFonts w:hint="eastAsia" w:ascii="黑体" w:hAnsi="黑体" w:eastAsia="黑体"/>
          <w:sz w:val="32"/>
          <w:szCs w:val="32"/>
        </w:rPr>
        <w:t>收</w:t>
      </w:r>
      <w:r>
        <w:rPr>
          <w:rStyle w:val="30"/>
          <w:rFonts w:hint="eastAsia" w:ascii="黑体" w:hAnsi="黑体" w:eastAsia="黑体"/>
          <w:b w:val="0"/>
        </w:rPr>
        <w:t>入决算情况说明</w:t>
      </w:r>
      <w:bookmarkEnd w:id="18"/>
      <w:bookmarkEnd w:id="19"/>
    </w:p>
    <w:p w14:paraId="7A2575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2023年度本年收入合计1186.08万元，其中：一般公共预算财政拨款收入1180.82万元，占99.55%；政府性基金预算财政拨款收入0万元，占0%；国有资本经营预算财政拨款收入0万元，占0%；上级补助收入0万元，占0%；事业收入0万元，占0%；经营收入0万元，占0%；附属单位上缴</w:t>
      </w:r>
      <w:r>
        <w:rPr>
          <w:rFonts w:hint="eastAsia" w:cs="宋体" w:asciiTheme="minorEastAsia" w:hAnsiTheme="minorEastAsia" w:eastAsiaTheme="minorEastAsia"/>
          <w:sz w:val="24"/>
          <w:szCs w:val="24"/>
        </w:rPr>
        <w:drawing>
          <wp:anchor distT="0" distB="0" distL="114300" distR="114300" simplePos="0" relativeHeight="251680768" behindDoc="0" locked="0" layoutInCell="1" allowOverlap="1">
            <wp:simplePos x="0" y="0"/>
            <wp:positionH relativeFrom="column">
              <wp:posOffset>57150</wp:posOffset>
            </wp:positionH>
            <wp:positionV relativeFrom="paragraph">
              <wp:posOffset>528955</wp:posOffset>
            </wp:positionV>
            <wp:extent cx="4826000" cy="2743200"/>
            <wp:effectExtent l="4445" t="4445" r="8255" b="14605"/>
            <wp:wrapTopAndBottom/>
            <wp:docPr id="1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shd w:val="clear" w:color="auto" w:fill="FFFFFF"/>
          <w:lang w:val="en-US" w:eastAsia="zh-CN"/>
        </w:rPr>
        <w:t>收入0万元，占0%；其他收入5.26万元，占0.44%。</w:t>
      </w:r>
    </w:p>
    <w:p w14:paraId="45C94F4B">
      <w:pPr>
        <w:pageBreakBefore w:val="0"/>
        <w:kinsoku/>
        <w:wordWrap/>
        <w:topLinePunct w:val="0"/>
        <w:bidi w:val="0"/>
        <w:spacing w:line="576" w:lineRule="exact"/>
        <w:ind w:firstLine="640" w:firstLineChars="200"/>
        <w:outlineLvl w:val="1"/>
        <w:rPr>
          <w:rFonts w:ascii="仿宋" w:hAnsi="仿宋" w:eastAsia="仿宋"/>
          <w:sz w:val="32"/>
          <w:szCs w:val="32"/>
        </w:rPr>
      </w:pPr>
    </w:p>
    <w:p w14:paraId="21F64FBB">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 w:hAnsi="仿宋" w:eastAsia="仿宋"/>
          <w:sz w:val="32"/>
          <w:szCs w:val="32"/>
        </w:rPr>
        <w:t>（图2：收入决算结构图）（饼状图）</w:t>
      </w:r>
    </w:p>
    <w:p w14:paraId="5B7D8151">
      <w:pPr>
        <w:pStyle w:val="28"/>
        <w:pageBreakBefore w:val="0"/>
        <w:numPr>
          <w:ilvl w:val="0"/>
          <w:numId w:val="2"/>
        </w:numPr>
        <w:kinsoku/>
        <w:wordWrap/>
        <w:topLinePunct w:val="0"/>
        <w:bidi w:val="0"/>
        <w:spacing w:line="576" w:lineRule="exact"/>
        <w:ind w:firstLineChars="0"/>
        <w:outlineLvl w:val="1"/>
        <w:rPr>
          <w:rStyle w:val="30"/>
          <w:rFonts w:ascii="黑体" w:hAnsi="黑体" w:eastAsia="黑体"/>
          <w:b w:val="0"/>
        </w:rPr>
      </w:pPr>
      <w:bookmarkStart w:id="20" w:name="_Toc15396605"/>
      <w:bookmarkStart w:id="21" w:name="_Toc15377207"/>
      <w:r>
        <w:rPr>
          <w:rFonts w:hint="eastAsia" w:ascii="黑体" w:hAnsi="黑体" w:eastAsia="黑体"/>
          <w:sz w:val="32"/>
          <w:szCs w:val="32"/>
        </w:rPr>
        <w:t>支</w:t>
      </w:r>
      <w:r>
        <w:rPr>
          <w:rStyle w:val="30"/>
          <w:rFonts w:hint="eastAsia" w:ascii="黑体" w:hAnsi="黑体" w:eastAsia="黑体"/>
          <w:b w:val="0"/>
        </w:rPr>
        <w:t>出决算情况说明</w:t>
      </w:r>
      <w:bookmarkEnd w:id="20"/>
      <w:bookmarkEnd w:id="21"/>
    </w:p>
    <w:p w14:paraId="6D983A9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2023年度本年支出合计1186.08万元，其中：基本支出771.04万元，占65%；项目支出415.04万元，占34.99%；上缴上级支出0万元，占0%；经营支出0万元，占0%；对附属单位补助支出0万元，占0%。</w:t>
      </w:r>
    </w:p>
    <w:p w14:paraId="472291BE">
      <w:pPr>
        <w:keepNext w:val="0"/>
        <w:keepLines w:val="0"/>
        <w:pageBreakBefore w:val="0"/>
        <w:numPr>
          <w:ilvl w:val="0"/>
          <w:numId w:val="0"/>
        </w:numPr>
        <w:kinsoku/>
        <w:wordWrap/>
        <w:overflowPunct/>
        <w:topLinePunct w:val="0"/>
        <w:autoSpaceDE/>
        <w:autoSpaceDN/>
        <w:bidi w:val="0"/>
        <w:adjustRightInd/>
        <w:snapToGrid/>
        <w:spacing w:line="576" w:lineRule="exact"/>
        <w:ind w:firstLine="420" w:firstLineChars="200"/>
        <w:textAlignment w:val="auto"/>
        <w:rPr>
          <w:rFonts w:ascii="仿宋_GB2312" w:eastAsia="仿宋_GB2312"/>
          <w:sz w:val="32"/>
          <w:szCs w:val="32"/>
        </w:rPr>
      </w:pPr>
      <w:r>
        <w:drawing>
          <wp:anchor distT="0" distB="0" distL="114300" distR="114300" simplePos="0" relativeHeight="251659264" behindDoc="0" locked="0" layoutInCell="1" allowOverlap="1">
            <wp:simplePos x="0" y="0"/>
            <wp:positionH relativeFrom="column">
              <wp:posOffset>80645</wp:posOffset>
            </wp:positionH>
            <wp:positionV relativeFrom="paragraph">
              <wp:posOffset>399415</wp:posOffset>
            </wp:positionV>
            <wp:extent cx="4826000" cy="2743200"/>
            <wp:effectExtent l="4445" t="4445" r="825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rPr>
        <w:t>（</w:t>
      </w:r>
      <w:r>
        <w:rPr>
          <w:rFonts w:hint="eastAsia" w:ascii="仿宋_GB2312" w:hAnsi="仿宋_GB2312" w:eastAsia="仿宋_GB2312" w:cs="仿宋_GB2312"/>
          <w:sz w:val="32"/>
          <w:szCs w:val="32"/>
          <w:shd w:val="clear" w:color="auto" w:fill="FFFFFF"/>
          <w:lang w:val="en-US" w:eastAsia="zh-CN"/>
        </w:rPr>
        <w:t>图3：支出决算结构图）（饼状图）</w:t>
      </w:r>
    </w:p>
    <w:p w14:paraId="17421265">
      <w:pPr>
        <w:pageBreakBefore w:val="0"/>
        <w:kinsoku/>
        <w:wordWrap/>
        <w:topLinePunct w:val="0"/>
        <w:bidi w:val="0"/>
        <w:spacing w:line="576" w:lineRule="exact"/>
        <w:ind w:firstLine="640" w:firstLineChars="200"/>
        <w:outlineLvl w:val="1"/>
        <w:rPr>
          <w:rStyle w:val="30"/>
          <w:rFonts w:ascii="黑体" w:hAnsi="黑体" w:eastAsia="黑体"/>
          <w:b w:val="0"/>
        </w:rPr>
      </w:pPr>
      <w:bookmarkStart w:id="22" w:name="_Toc15396606"/>
      <w:bookmarkStart w:id="23" w:name="_Toc15377208"/>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22"/>
      <w:bookmarkEnd w:id="23"/>
    </w:p>
    <w:p w14:paraId="2FBE081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 w:hAnsi="仿宋" w:eastAsia="仿宋"/>
          <w:sz w:val="32"/>
          <w:szCs w:val="32"/>
        </w:rPr>
        <w:t>2</w:t>
      </w:r>
      <w:r>
        <w:rPr>
          <w:rFonts w:hint="eastAsia" w:ascii="仿宋_GB2312" w:hAnsi="仿宋_GB2312" w:eastAsia="仿宋_GB2312" w:cs="仿宋_GB2312"/>
          <w:sz w:val="32"/>
          <w:szCs w:val="32"/>
          <w:shd w:val="clear" w:color="auto" w:fill="FFFFFF"/>
          <w:lang w:val="en-US" w:eastAsia="zh-CN"/>
        </w:rPr>
        <w:t>023年度财政拨款收、支总计均为1180.82万元。与2022年度相比，收、支总计各增加71.63万元，增长6.42%。主要变动原因是查尔玛乡2023年为乡村示范点，项目增加支出增加。</w:t>
      </w:r>
    </w:p>
    <w:p w14:paraId="2A514B92">
      <w:pPr>
        <w:pageBreakBefore w:val="0"/>
        <w:kinsoku/>
        <w:wordWrap/>
        <w:topLinePunct w:val="0"/>
        <w:bidi w:val="0"/>
        <w:spacing w:line="576" w:lineRule="exact"/>
        <w:ind w:firstLine="420" w:firstLineChars="200"/>
        <w:rPr>
          <w:rFonts w:ascii="仿宋" w:hAnsi="仿宋" w:eastAsia="仿宋"/>
          <w:b/>
          <w:sz w:val="32"/>
          <w:szCs w:val="32"/>
        </w:rPr>
      </w:pPr>
      <w:r>
        <w:drawing>
          <wp:anchor distT="0" distB="0" distL="114300" distR="114300" simplePos="0" relativeHeight="251660288" behindDoc="0" locked="0" layoutInCell="1" allowOverlap="1">
            <wp:simplePos x="0" y="0"/>
            <wp:positionH relativeFrom="column">
              <wp:posOffset>252095</wp:posOffset>
            </wp:positionH>
            <wp:positionV relativeFrom="paragraph">
              <wp:posOffset>478790</wp:posOffset>
            </wp:positionV>
            <wp:extent cx="4826000" cy="2743200"/>
            <wp:effectExtent l="4445" t="4445" r="8255" b="1460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sz w:val="32"/>
          <w:szCs w:val="32"/>
        </w:rPr>
        <w:t>（图4：财政拨款收、支决算总计变动情况）（柱状图）</w:t>
      </w:r>
    </w:p>
    <w:p w14:paraId="269BA209">
      <w:pPr>
        <w:pageBreakBefore w:val="0"/>
        <w:kinsoku/>
        <w:wordWrap/>
        <w:topLinePunct w:val="0"/>
        <w:bidi w:val="0"/>
        <w:spacing w:line="576" w:lineRule="exact"/>
        <w:ind w:firstLine="640" w:firstLineChars="200"/>
        <w:outlineLvl w:val="1"/>
        <w:rPr>
          <w:rStyle w:val="30"/>
          <w:rFonts w:ascii="黑体" w:hAnsi="黑体" w:eastAsia="黑体"/>
          <w:b w:val="0"/>
        </w:rPr>
      </w:pPr>
      <w:bookmarkStart w:id="24" w:name="_Toc15396607"/>
      <w:bookmarkStart w:id="25" w:name="_Toc15377209"/>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24"/>
      <w:bookmarkEnd w:id="25"/>
    </w:p>
    <w:p w14:paraId="6D9EEAE6">
      <w:pPr>
        <w:pageBreakBefore w:val="0"/>
        <w:kinsoku/>
        <w:wordWrap/>
        <w:topLinePunct w:val="0"/>
        <w:bidi w:val="0"/>
        <w:spacing w:line="576" w:lineRule="exact"/>
        <w:ind w:firstLine="643" w:firstLineChars="200"/>
        <w:outlineLvl w:val="2"/>
        <w:rPr>
          <w:rFonts w:ascii="仿宋" w:hAnsi="仿宋" w:eastAsia="仿宋"/>
          <w:b/>
          <w:sz w:val="32"/>
          <w:szCs w:val="32"/>
        </w:rPr>
      </w:pPr>
      <w:bookmarkStart w:id="26" w:name="_Toc15377210"/>
      <w:r>
        <w:rPr>
          <w:rFonts w:hint="eastAsia" w:ascii="仿宋" w:hAnsi="仿宋" w:eastAsia="仿宋"/>
          <w:b/>
          <w:sz w:val="32"/>
          <w:szCs w:val="32"/>
        </w:rPr>
        <w:t>（一）一般公共预算财政拨款支出决算总体情况</w:t>
      </w:r>
      <w:bookmarkEnd w:id="26"/>
    </w:p>
    <w:p w14:paraId="2A04D07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 w:hAnsi="仿宋" w:eastAsia="仿宋"/>
          <w:sz w:val="32"/>
          <w:szCs w:val="32"/>
        </w:rPr>
        <w:t>2</w:t>
      </w:r>
      <w:r>
        <w:rPr>
          <w:rFonts w:hint="eastAsia" w:ascii="仿宋_GB2312" w:hAnsi="仿宋_GB2312" w:eastAsia="仿宋_GB2312" w:cs="仿宋_GB2312"/>
          <w:sz w:val="32"/>
          <w:szCs w:val="32"/>
          <w:shd w:val="clear" w:color="auto" w:fill="FFFFFF"/>
          <w:lang w:val="en-US" w:eastAsia="zh-CN"/>
        </w:rPr>
        <w:t>023年度一般公共预算财政拨款支出1180.82万元，占本年支出合计的99.55%。与2022年度相比，一般公共预算财政拨款支出比上年度增加71.63万元，增长6.42%，主要原因为项目增加收入增加。</w:t>
      </w:r>
    </w:p>
    <w:p w14:paraId="4B1FD19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（图5：一般公共预算财政拨款支出决算变动情况）（柱状图）</w:t>
      </w:r>
    </w:p>
    <w:p w14:paraId="35CD8443">
      <w:pPr>
        <w:pageBreakBefore w:val="0"/>
        <w:kinsoku/>
        <w:wordWrap/>
        <w:topLinePunct w:val="0"/>
        <w:bidi w:val="0"/>
        <w:spacing w:line="576" w:lineRule="exact"/>
        <w:ind w:firstLine="420" w:firstLineChars="200"/>
        <w:outlineLvl w:val="2"/>
        <w:rPr>
          <w:rFonts w:ascii="仿宋" w:hAnsi="仿宋" w:eastAsia="仿宋"/>
          <w:b/>
          <w:sz w:val="32"/>
          <w:szCs w:val="32"/>
        </w:rPr>
      </w:pPr>
      <w:bookmarkStart w:id="27" w:name="_Toc15377211"/>
      <w:r>
        <w:drawing>
          <wp:anchor distT="0" distB="0" distL="114300" distR="114300" simplePos="0" relativeHeight="251661312" behindDoc="0" locked="0" layoutInCell="1" allowOverlap="1">
            <wp:simplePos x="0" y="0"/>
            <wp:positionH relativeFrom="column">
              <wp:posOffset>218440</wp:posOffset>
            </wp:positionH>
            <wp:positionV relativeFrom="paragraph">
              <wp:posOffset>277495</wp:posOffset>
            </wp:positionV>
            <wp:extent cx="4826000" cy="2743200"/>
            <wp:effectExtent l="4445" t="4445" r="8255" b="1460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b/>
          <w:sz w:val="32"/>
          <w:szCs w:val="32"/>
        </w:rPr>
        <w:t>（二）一般公共预算财政拨款支出决算结构情况</w:t>
      </w:r>
      <w:bookmarkEnd w:id="27"/>
    </w:p>
    <w:p w14:paraId="3E1C443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shd w:val="clear" w:color="auto" w:fill="FFFFFF"/>
          <w:lang w:val="en-US" w:eastAsia="zh-CN"/>
        </w:rPr>
        <w:t>2023年度一般公共预算财政拨款支出1180.82万元，主要用于以下方面:一般公共服务支出为600.55万元，占比50.63%；外交支出为0.00万元，占比0.00%；国防支出为1.70万元，占比0.14%；公共安全支出为0.00万元，占比0.00%；教育支出为0.00万元，占比0.00%；科学技术支出为0.00万元，占比0.00%；文化旅游体育与传媒支出为13.56万元，占比1.14%；社会保障和就业支出为161.32万元，占比13.6%；卫生健康支出为40.17万元，占比3.39%；节能环保支出32.34万元，占比2.73%；城乡社区支出为5.96万元，占比0.5%；农林水支出为279.00万元，占比23.62%；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51.47万元，占比4.34%；粮油物资储备支出为0.00万元，占比0.00%；国有资本经营预算支出为0.00万元，占比0.00%；灾害防治及应急管理支出为0万元，占比0.00%；其他支出为0.00万元，占比0.00%；债务还本支出为0.00万元，占比0.00%；债务付息支出为0.00万元，占比0.00%；抗疫特别国债安排的支出为0.00万元，占比0.00%。</w:t>
      </w:r>
    </w:p>
    <w:p w14:paraId="762B4417">
      <w:pPr>
        <w:pageBreakBefore w:val="0"/>
        <w:kinsoku/>
        <w:wordWrap/>
        <w:topLinePunct w:val="0"/>
        <w:bidi w:val="0"/>
        <w:spacing w:line="576"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54D7BC2D">
      <w:pPr>
        <w:pageBreakBefore w:val="0"/>
        <w:kinsoku/>
        <w:wordWrap/>
        <w:topLinePunct w:val="0"/>
        <w:bidi w:val="0"/>
        <w:spacing w:line="576" w:lineRule="exact"/>
        <w:ind w:firstLine="480" w:firstLineChars="200"/>
        <w:rPr>
          <w:rFonts w:ascii="仿宋" w:hAnsi="仿宋" w:eastAsia="仿宋"/>
          <w:sz w:val="32"/>
          <w:szCs w:val="32"/>
        </w:rPr>
      </w:pPr>
      <w:r>
        <w:rPr>
          <w:rFonts w:hint="eastAsia" w:cs="宋体" w:asciiTheme="minorEastAsia" w:hAnsiTheme="minorEastAsia" w:eastAsiaTheme="minorEastAsia"/>
          <w:sz w:val="24"/>
          <w:szCs w:val="24"/>
        </w:rPr>
        <w:drawing>
          <wp:anchor distT="0" distB="0" distL="114300" distR="114300" simplePos="0" relativeHeight="251662336" behindDoc="0" locked="0" layoutInCell="1" allowOverlap="1">
            <wp:simplePos x="0" y="0"/>
            <wp:positionH relativeFrom="column">
              <wp:posOffset>404495</wp:posOffset>
            </wp:positionH>
            <wp:positionV relativeFrom="paragraph">
              <wp:posOffset>119380</wp:posOffset>
            </wp:positionV>
            <wp:extent cx="4826000" cy="2743200"/>
            <wp:effectExtent l="4445" t="4445" r="8255" b="14605"/>
            <wp:wrapTopAndBottom/>
            <wp:docPr id="1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4D17FB0">
      <w:pPr>
        <w:pageBreakBefore w:val="0"/>
        <w:kinsoku/>
        <w:wordWrap/>
        <w:topLinePunct w:val="0"/>
        <w:bidi w:val="0"/>
        <w:spacing w:line="576" w:lineRule="exact"/>
        <w:ind w:firstLine="643" w:firstLineChars="200"/>
        <w:outlineLvl w:val="2"/>
        <w:rPr>
          <w:rFonts w:ascii="仿宋" w:hAnsi="仿宋" w:eastAsia="仿宋"/>
          <w:b/>
          <w:sz w:val="32"/>
          <w:szCs w:val="32"/>
        </w:rPr>
      </w:pPr>
      <w:bookmarkStart w:id="28" w:name="_Toc15377212"/>
      <w:r>
        <w:rPr>
          <w:rFonts w:hint="eastAsia" w:ascii="仿宋" w:hAnsi="仿宋" w:eastAsia="仿宋"/>
          <w:b/>
          <w:sz w:val="32"/>
          <w:szCs w:val="32"/>
        </w:rPr>
        <w:t>（三）一般公共预算财政拨款支出决算具体情况</w:t>
      </w:r>
      <w:bookmarkEnd w:id="28"/>
    </w:p>
    <w:p w14:paraId="53D90C6A">
      <w:pPr>
        <w:pageBreakBefore w:val="0"/>
        <w:kinsoku/>
        <w:wordWrap/>
        <w:topLinePunct w:val="0"/>
        <w:bidi w:val="0"/>
        <w:spacing w:line="576" w:lineRule="exact"/>
        <w:ind w:firstLine="643" w:firstLineChars="200"/>
        <w:outlineLvl w:val="2"/>
        <w:rPr>
          <w:rFonts w:ascii="仿宋" w:hAnsi="仿宋" w:eastAsia="仿宋"/>
          <w:sz w:val="32"/>
          <w:szCs w:val="32"/>
          <w:highlight w:val="none"/>
        </w:rPr>
      </w:pPr>
      <w:bookmarkStart w:id="29" w:name="_Toc15377444"/>
      <w:bookmarkStart w:id="30" w:name="_Toc15377213"/>
      <w:bookmarkStart w:id="31" w:name="_Toc15378460"/>
      <w:r>
        <w:rPr>
          <w:rFonts w:hint="eastAsia" w:ascii="仿宋" w:hAnsi="仿宋" w:eastAsia="仿宋"/>
          <w:b/>
          <w:sz w:val="32"/>
          <w:szCs w:val="32"/>
        </w:rPr>
        <w:t>2023年度一般公共预算支出</w:t>
      </w:r>
      <w:r>
        <w:rPr>
          <w:rFonts w:hint="eastAsia" w:ascii="仿宋" w:hAnsi="仿宋" w:eastAsia="仿宋"/>
          <w:b/>
          <w:sz w:val="32"/>
          <w:szCs w:val="32"/>
          <w:highlight w:val="none"/>
        </w:rPr>
        <w:t>决算数为</w:t>
      </w:r>
      <w:r>
        <w:rPr>
          <w:sz w:val="32"/>
          <w:szCs w:val="32"/>
          <w:highlight w:val="none"/>
        </w:rPr>
        <w:t>1180.82</w:t>
      </w:r>
      <w:r>
        <w:rPr>
          <w:rFonts w:hint="eastAsia"/>
          <w:sz w:val="32"/>
          <w:szCs w:val="32"/>
          <w:highlight w:val="none"/>
          <w:lang w:eastAsia="zh-CN"/>
        </w:rPr>
        <w:t>万元</w:t>
      </w:r>
      <w:r>
        <w:rPr>
          <w:rFonts w:hint="eastAsia" w:ascii="仿宋" w:hAnsi="仿宋" w:eastAsia="仿宋"/>
          <w:sz w:val="32"/>
          <w:szCs w:val="32"/>
          <w:highlight w:val="none"/>
        </w:rPr>
        <w:t>，</w:t>
      </w:r>
      <w:r>
        <w:rPr>
          <w:rFonts w:hint="eastAsia" w:ascii="仿宋" w:hAnsi="仿宋" w:eastAsia="仿宋"/>
          <w:sz w:val="32"/>
          <w:szCs w:val="32"/>
          <w:highlight w:val="none"/>
          <w:lang w:eastAsia="zh-CN"/>
        </w:rPr>
        <w:t>支出预算数为</w:t>
      </w:r>
      <w:r>
        <w:rPr>
          <w:rFonts w:hint="eastAsia" w:ascii="仿宋" w:hAnsi="仿宋" w:eastAsia="仿宋"/>
          <w:sz w:val="32"/>
          <w:szCs w:val="32"/>
          <w:highlight w:val="none"/>
          <w:lang w:val="en-US" w:eastAsia="zh-CN"/>
        </w:rPr>
        <w:t>1233.16万元，</w:t>
      </w:r>
      <w:r>
        <w:rPr>
          <w:rStyle w:val="18"/>
          <w:rFonts w:hint="eastAsia" w:ascii="仿宋" w:hAnsi="仿宋" w:eastAsia="仿宋"/>
          <w:bCs/>
          <w:sz w:val="32"/>
          <w:szCs w:val="32"/>
          <w:highlight w:val="none"/>
        </w:rPr>
        <w:t>完成预算</w:t>
      </w:r>
      <w:r>
        <w:rPr>
          <w:rStyle w:val="18"/>
          <w:rFonts w:hint="eastAsia" w:ascii="仿宋" w:hAnsi="仿宋" w:eastAsia="仿宋"/>
          <w:bCs/>
          <w:sz w:val="32"/>
          <w:szCs w:val="32"/>
          <w:highlight w:val="none"/>
          <w:lang w:val="en-US" w:eastAsia="zh-CN"/>
        </w:rPr>
        <w:t>96.18</w:t>
      </w:r>
      <w:r>
        <w:rPr>
          <w:rStyle w:val="18"/>
          <w:rFonts w:ascii="仿宋" w:hAnsi="仿宋" w:eastAsia="仿宋"/>
          <w:bCs/>
          <w:sz w:val="32"/>
          <w:szCs w:val="32"/>
          <w:highlight w:val="none"/>
        </w:rPr>
        <w:t>%</w:t>
      </w:r>
      <w:r>
        <w:rPr>
          <w:rStyle w:val="18"/>
          <w:rFonts w:hint="eastAsia" w:ascii="仿宋" w:hAnsi="仿宋" w:eastAsia="仿宋"/>
          <w:bCs/>
          <w:sz w:val="32"/>
          <w:szCs w:val="32"/>
          <w:highlight w:val="none"/>
        </w:rPr>
        <w:t>。其中：</w:t>
      </w:r>
      <w:bookmarkEnd w:id="29"/>
      <w:bookmarkEnd w:id="30"/>
      <w:bookmarkEnd w:id="31"/>
    </w:p>
    <w:p w14:paraId="7521A71C">
      <w:pPr>
        <w:pageBreakBefore w:val="0"/>
        <w:numPr>
          <w:ilvl w:val="0"/>
          <w:numId w:val="3"/>
        </w:numPr>
        <w:kinsoku/>
        <w:wordWrap/>
        <w:topLinePunct w:val="0"/>
        <w:bidi w:val="0"/>
        <w:spacing w:line="576" w:lineRule="exact"/>
        <w:ind w:firstLine="643" w:firstLineChars="200"/>
        <w:rPr>
          <w:rFonts w:hint="eastAsia" w:ascii="仿宋_GB2312" w:hAnsi="仿宋_GB2312" w:eastAsia="仿宋_GB2312" w:cs="仿宋_GB2312"/>
          <w:sz w:val="32"/>
          <w:szCs w:val="32"/>
          <w:shd w:val="clear" w:color="auto" w:fill="FFFFFF"/>
          <w:lang w:val="en-US" w:eastAsia="zh-CN"/>
        </w:rPr>
      </w:pPr>
      <w:r>
        <w:rPr>
          <w:rStyle w:val="18"/>
          <w:rFonts w:hint="eastAsia" w:ascii="仿宋" w:hAnsi="仿宋" w:eastAsia="仿宋"/>
          <w:bCs/>
          <w:sz w:val="32"/>
          <w:szCs w:val="32"/>
          <w:highlight w:val="none"/>
        </w:rPr>
        <w:t>一般公共服务</w:t>
      </w:r>
      <w:r>
        <w:rPr>
          <w:rStyle w:val="18"/>
          <w:rFonts w:ascii="仿宋" w:hAnsi="仿宋" w:eastAsia="仿宋"/>
          <w:bCs/>
          <w:sz w:val="32"/>
          <w:szCs w:val="32"/>
          <w:highlight w:val="none"/>
        </w:rPr>
        <w:t>:</w:t>
      </w:r>
      <w:r>
        <w:rPr>
          <w:rStyle w:val="18"/>
          <w:rFonts w:ascii="仿宋" w:hAnsi="仿宋" w:eastAsia="仿宋"/>
          <w:b w:val="0"/>
          <w:bCs/>
          <w:sz w:val="32"/>
          <w:szCs w:val="32"/>
          <w:highlight w:val="none"/>
        </w:rPr>
        <w:t xml:space="preserve"> </w:t>
      </w:r>
      <w:r>
        <w:rPr>
          <w:rFonts w:hint="eastAsia" w:ascii="仿宋_GB2312" w:hAnsi="仿宋_GB2312" w:eastAsia="仿宋_GB2312" w:cs="仿宋_GB2312"/>
          <w:sz w:val="32"/>
          <w:szCs w:val="32"/>
          <w:shd w:val="clear" w:color="auto" w:fill="FFFFFF"/>
          <w:lang w:val="en-US" w:eastAsia="zh-CN"/>
        </w:rPr>
        <w:t>支出预算数641.48万元，支出决算为600.55万元,完成预算数93.62%.20101-人大事务3.3万元，20103-政府办公厅(室)及相关机构事务592.52万元，20105-统计信息事务1.63万元，20129-群众团体事务1.6万元，20134统战事务0.5万元，20138-市场监督管理事务1万元 ,完成预算93.62%，决算数等于预算数的主要原因是严格按照财政制度、一般预算等进行拨付，厉行节约。</w:t>
      </w:r>
    </w:p>
    <w:p w14:paraId="3A04BD95">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shd w:val="clear" w:color="auto" w:fill="FFFFFF"/>
          <w:lang w:val="en-US" w:eastAsia="zh-CN"/>
        </w:rPr>
      </w:pPr>
      <w:r>
        <w:rPr>
          <w:rStyle w:val="18"/>
          <w:rFonts w:ascii="仿宋" w:hAnsi="仿宋" w:eastAsia="仿宋"/>
          <w:bCs/>
          <w:sz w:val="32"/>
          <w:szCs w:val="32"/>
        </w:rPr>
        <w:t>2.</w:t>
      </w:r>
      <w:r>
        <w:rPr>
          <w:rStyle w:val="18"/>
          <w:rFonts w:hint="eastAsia" w:ascii="仿宋" w:hAnsi="仿宋" w:eastAsia="仿宋"/>
          <w:bCs/>
          <w:sz w:val="32"/>
          <w:szCs w:val="32"/>
        </w:rPr>
        <w:t>文化旅游体育与传媒</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w:t>
      </w:r>
      <w:r>
        <w:rPr>
          <w:rFonts w:hint="eastAsia" w:ascii="仿宋_GB2312" w:hAnsi="仿宋_GB2312" w:eastAsia="仿宋_GB2312" w:cs="仿宋_GB2312"/>
          <w:sz w:val="32"/>
          <w:szCs w:val="32"/>
          <w:shd w:val="clear" w:color="auto" w:fill="FFFFFF"/>
          <w:lang w:val="en-US" w:eastAsia="zh-CN"/>
        </w:rPr>
        <w:t>出决算为13.56万元，完成预算100%。20701-文化和旅游9.45万元，20799-其他文化旅游体育与传媒支出4.11万元，决算数等于预算数的主要原因是严格按照财政制度、一般预算等进行拨付，厉行节约。</w:t>
      </w:r>
    </w:p>
    <w:p w14:paraId="56373D45">
      <w:pPr>
        <w:pageBreakBefore w:val="0"/>
        <w:kinsoku/>
        <w:wordWrap/>
        <w:topLinePunct w:val="0"/>
        <w:bidi w:val="0"/>
        <w:spacing w:line="576" w:lineRule="exact"/>
        <w:ind w:firstLine="643" w:firstLineChars="200"/>
        <w:rPr>
          <w:rFonts w:hint="eastAsia" w:ascii="仿宋_GB2312" w:hAnsi="仿宋_GB2312" w:eastAsia="仿宋_GB2312" w:cs="仿宋_GB2312"/>
          <w:sz w:val="32"/>
          <w:szCs w:val="32"/>
          <w:shd w:val="clear" w:color="auto" w:fill="FFFFFF"/>
          <w:lang w:val="en-US" w:eastAsia="zh-CN"/>
        </w:rPr>
      </w:pPr>
      <w:r>
        <w:rPr>
          <w:rStyle w:val="18"/>
          <w:rFonts w:hint="eastAsia" w:ascii="仿宋" w:hAnsi="仿宋" w:eastAsia="仿宋"/>
          <w:bCs/>
          <w:sz w:val="32"/>
          <w:szCs w:val="32"/>
          <w:lang w:val="en-US" w:eastAsia="zh-CN"/>
        </w:rPr>
        <w:t>3</w:t>
      </w:r>
      <w:r>
        <w:rPr>
          <w:rStyle w:val="18"/>
          <w:rFonts w:ascii="仿宋" w:hAnsi="仿宋" w:eastAsia="仿宋"/>
          <w:bCs/>
          <w:sz w:val="32"/>
          <w:szCs w:val="32"/>
        </w:rPr>
        <w:t>.</w:t>
      </w:r>
      <w:r>
        <w:rPr>
          <w:rStyle w:val="18"/>
          <w:rFonts w:hint="eastAsia" w:ascii="仿宋" w:hAnsi="仿宋" w:eastAsia="仿宋"/>
          <w:bCs/>
          <w:sz w:val="32"/>
          <w:szCs w:val="32"/>
        </w:rPr>
        <w:t>社会保障和就业</w:t>
      </w:r>
      <w:r>
        <w:rPr>
          <w:rStyle w:val="18"/>
          <w:rFonts w:ascii="仿宋" w:hAnsi="仿宋" w:eastAsia="仿宋"/>
          <w:bCs/>
          <w:sz w:val="32"/>
          <w:szCs w:val="32"/>
        </w:rPr>
        <w:t>:</w:t>
      </w:r>
      <w:r>
        <w:rPr>
          <w:rStyle w:val="18"/>
          <w:rFonts w:ascii="仿宋" w:hAnsi="仿宋" w:eastAsia="仿宋"/>
          <w:b w:val="0"/>
          <w:bCs/>
          <w:sz w:val="32"/>
          <w:szCs w:val="32"/>
        </w:rPr>
        <w:t xml:space="preserve"> </w:t>
      </w:r>
      <w:r>
        <w:rPr>
          <w:rFonts w:hint="eastAsia" w:ascii="仿宋_GB2312" w:hAnsi="仿宋_GB2312" w:eastAsia="仿宋_GB2312" w:cs="仿宋_GB2312"/>
          <w:sz w:val="32"/>
          <w:szCs w:val="32"/>
          <w:shd w:val="clear" w:color="auto" w:fill="FFFFFF"/>
          <w:lang w:val="en-US" w:eastAsia="zh-CN"/>
        </w:rPr>
        <w:t>支出决算为161.38万元，支出预算数163.53万元，完成预算98.65%。20802民政管理事务70.18万元，20805-行政事业单位养老支出91.13万元，决算数小于于预算数的主要原因是严格按照财政制度、一般预算等进行拨付，厉行节约。</w:t>
      </w:r>
    </w:p>
    <w:p w14:paraId="2DD886FE">
      <w:pPr>
        <w:pageBreakBefore w:val="0"/>
        <w:kinsoku/>
        <w:wordWrap/>
        <w:topLinePunct w:val="0"/>
        <w:bidi w:val="0"/>
        <w:spacing w:line="576"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4</w:t>
      </w:r>
      <w:r>
        <w:rPr>
          <w:rStyle w:val="18"/>
          <w:rFonts w:ascii="仿宋" w:hAnsi="仿宋" w:eastAsia="仿宋"/>
          <w:bCs/>
          <w:sz w:val="32"/>
          <w:szCs w:val="32"/>
        </w:rPr>
        <w:t>.</w:t>
      </w:r>
      <w:r>
        <w:rPr>
          <w:rFonts w:hint="eastAsia" w:ascii="仿宋" w:hAnsi="仿宋" w:eastAsia="仿宋"/>
          <w:b/>
          <w:bCs/>
          <w:sz w:val="32"/>
          <w:szCs w:val="32"/>
        </w:rPr>
        <w:t>卫生健康</w:t>
      </w:r>
      <w:r>
        <w:rPr>
          <w:rStyle w:val="18"/>
          <w:rFonts w:ascii="仿宋" w:hAnsi="仿宋" w:eastAsia="仿宋"/>
          <w:bCs/>
          <w:sz w:val="32"/>
          <w:szCs w:val="32"/>
        </w:rPr>
        <w:t>:</w:t>
      </w:r>
      <w:r>
        <w:rPr>
          <w:rFonts w:hint="eastAsia" w:ascii="仿宋_GB2312" w:hAnsi="仿宋_GB2312" w:eastAsia="仿宋_GB2312" w:cs="仿宋_GB2312"/>
          <w:sz w:val="32"/>
          <w:szCs w:val="32"/>
          <w:shd w:val="clear" w:color="auto" w:fill="FFFFFF"/>
          <w:lang w:val="en-US" w:eastAsia="zh-CN"/>
        </w:rPr>
        <w:t>支出决算为40.17万元，支出预算数42.96万元，完成预算93.50%。21011-行政事业单位医疗支出决算数40.17万元，支出预算数42.96万元，完成预算93.50%，决算数小于预算数的主要原因是严格按照财政制度、一般预算等进行拨付，厉行节约。</w:t>
      </w:r>
    </w:p>
    <w:p w14:paraId="604722AF">
      <w:pPr>
        <w:pStyle w:val="2"/>
        <w:pageBreakBefore w:val="0"/>
        <w:kinsoku/>
        <w:wordWrap/>
        <w:topLinePunct w:val="0"/>
        <w:bidi w:val="0"/>
        <w:spacing w:line="576" w:lineRule="exact"/>
        <w:ind w:firstLine="643"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 w:hAnsi="仿宋" w:eastAsia="仿宋" w:cs="Times New Roman"/>
          <w:b/>
          <w:bCs/>
          <w:kern w:val="2"/>
          <w:sz w:val="32"/>
          <w:szCs w:val="32"/>
          <w:lang w:val="en-US" w:eastAsia="zh-CN" w:bidi="ar-SA"/>
        </w:rPr>
        <w:t>5.节能环保：</w:t>
      </w:r>
      <w:r>
        <w:rPr>
          <w:rStyle w:val="18"/>
          <w:rFonts w:hint="eastAsia" w:ascii="仿宋" w:hAnsi="仿宋" w:eastAsia="仿宋"/>
          <w:b w:val="0"/>
          <w:bCs/>
          <w:sz w:val="32"/>
          <w:szCs w:val="32"/>
        </w:rPr>
        <w:t>支</w:t>
      </w:r>
      <w:r>
        <w:rPr>
          <w:rFonts w:hint="eastAsia" w:ascii="仿宋_GB2312" w:hAnsi="仿宋_GB2312" w:eastAsia="仿宋_GB2312" w:cs="仿宋_GB2312"/>
          <w:kern w:val="2"/>
          <w:sz w:val="32"/>
          <w:szCs w:val="32"/>
          <w:shd w:val="clear" w:color="auto" w:fill="FFFFFF"/>
          <w:lang w:val="en-US" w:eastAsia="zh-CN" w:bidi="ar-SA"/>
        </w:rPr>
        <w:t>出决算为40.17万元，支出预算数32.34万元，完成预算100%。21101-环境保护管理事务支出决算数为40.17万元，决算数等于预算数的主要原因是严格按照财政制度、一般预算等进行拨付，厉行节约。</w:t>
      </w:r>
    </w:p>
    <w:p w14:paraId="66BA3531">
      <w:pPr>
        <w:pStyle w:val="2"/>
        <w:pageBreakBefore w:val="0"/>
        <w:kinsoku/>
        <w:wordWrap/>
        <w:topLinePunct w:val="0"/>
        <w:bidi w:val="0"/>
        <w:spacing w:line="576" w:lineRule="exact"/>
        <w:ind w:firstLine="643"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 w:hAnsi="仿宋" w:eastAsia="仿宋" w:cs="Times New Roman"/>
          <w:b/>
          <w:bCs/>
          <w:kern w:val="2"/>
          <w:sz w:val="32"/>
          <w:szCs w:val="32"/>
          <w:lang w:val="en-US" w:eastAsia="zh-CN" w:bidi="ar-SA"/>
        </w:rPr>
        <w:t>6.城乡社区：</w:t>
      </w:r>
      <w:r>
        <w:rPr>
          <w:rFonts w:hint="eastAsia" w:ascii="仿宋_GB2312" w:hAnsi="仿宋_GB2312" w:eastAsia="仿宋_GB2312" w:cs="仿宋_GB2312"/>
          <w:kern w:val="2"/>
          <w:sz w:val="32"/>
          <w:szCs w:val="32"/>
          <w:shd w:val="clear" w:color="auto" w:fill="FFFFFF"/>
          <w:lang w:val="en-US" w:eastAsia="zh-CN" w:bidi="ar-SA"/>
        </w:rPr>
        <w:t>支出决算为5.96万元，支出预算数5.96万元，完成预算100%。21205-城乡社区环境卫生支出决算数为5.96万元。</w:t>
      </w:r>
    </w:p>
    <w:p w14:paraId="3EB1E511">
      <w:pPr>
        <w:pStyle w:val="2"/>
        <w:pageBreakBefore w:val="0"/>
        <w:kinsoku/>
        <w:wordWrap/>
        <w:topLinePunct w:val="0"/>
        <w:bidi w:val="0"/>
        <w:spacing w:line="576" w:lineRule="exact"/>
        <w:ind w:firstLine="643"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 w:hAnsi="仿宋" w:eastAsia="仿宋" w:cs="Times New Roman"/>
          <w:b/>
          <w:bCs/>
          <w:kern w:val="2"/>
          <w:sz w:val="32"/>
          <w:szCs w:val="32"/>
          <w:lang w:val="en-US" w:eastAsia="zh-CN" w:bidi="ar-SA"/>
        </w:rPr>
        <w:t>7.农林水：</w:t>
      </w:r>
      <w:r>
        <w:rPr>
          <w:rFonts w:hint="eastAsia" w:ascii="仿宋_GB2312" w:hAnsi="仿宋_GB2312" w:eastAsia="仿宋_GB2312" w:cs="仿宋_GB2312"/>
          <w:kern w:val="2"/>
          <w:sz w:val="32"/>
          <w:szCs w:val="32"/>
          <w:shd w:val="clear" w:color="auto" w:fill="FFFFFF"/>
          <w:lang w:val="en-US" w:eastAsia="zh-CN" w:bidi="ar-SA"/>
        </w:rPr>
        <w:t>支出决算为279万元，支出预算数279万元，完成预算100%。21305-巩固脱贫攻坚成果衔接乡村振兴支出决算数131.19万元，21307农村综合改革支出决算数为147.81万元。</w:t>
      </w:r>
    </w:p>
    <w:p w14:paraId="618CD451">
      <w:pPr>
        <w:pStyle w:val="2"/>
        <w:pageBreakBefore w:val="0"/>
        <w:kinsoku/>
        <w:wordWrap/>
        <w:topLinePunct w:val="0"/>
        <w:bidi w:val="0"/>
        <w:spacing w:line="576" w:lineRule="exact"/>
        <w:ind w:firstLine="643"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 w:hAnsi="仿宋" w:eastAsia="仿宋" w:cs="Times New Roman"/>
          <w:b/>
          <w:bCs/>
          <w:kern w:val="2"/>
          <w:sz w:val="32"/>
          <w:szCs w:val="32"/>
          <w:lang w:val="en-US" w:eastAsia="zh-CN" w:bidi="ar-SA"/>
        </w:rPr>
        <w:t>8.住房保障：</w:t>
      </w:r>
      <w:r>
        <w:rPr>
          <w:rFonts w:hint="eastAsia" w:ascii="仿宋_GB2312" w:hAnsi="仿宋_GB2312" w:eastAsia="仿宋_GB2312" w:cs="仿宋_GB2312"/>
          <w:kern w:val="2"/>
          <w:sz w:val="32"/>
          <w:szCs w:val="32"/>
          <w:shd w:val="clear" w:color="auto" w:fill="FFFFFF"/>
          <w:lang w:val="en-US" w:eastAsia="zh-CN" w:bidi="ar-SA"/>
        </w:rPr>
        <w:t>支出决算为51.47万元，支出预算数52.63万元，完成预算97.80%。22102-住房改革支出支出决算数为51.47万元，决算数小于预算数的主要原因是严格按照财政制度、一般预算等进行拨付，厉行节约。</w:t>
      </w:r>
    </w:p>
    <w:p w14:paraId="642311BC">
      <w:pPr>
        <w:pageBreakBefore w:val="0"/>
        <w:tabs>
          <w:tab w:val="right" w:pos="8306"/>
        </w:tabs>
        <w:kinsoku/>
        <w:wordWrap/>
        <w:topLinePunct w:val="0"/>
        <w:bidi w:val="0"/>
        <w:spacing w:line="576" w:lineRule="exact"/>
        <w:ind w:firstLine="640"/>
        <w:outlineLvl w:val="1"/>
        <w:rPr>
          <w:rStyle w:val="30"/>
        </w:rPr>
      </w:pPr>
      <w:bookmarkStart w:id="32" w:name="_Toc15396608"/>
      <w:bookmarkStart w:id="33"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32"/>
      <w:bookmarkEnd w:id="33"/>
      <w:r>
        <w:rPr>
          <w:rStyle w:val="30"/>
          <w:rFonts w:ascii="黑体" w:hAnsi="黑体" w:eastAsia="黑体"/>
          <w:b w:val="0"/>
        </w:rPr>
        <w:tab/>
      </w:r>
    </w:p>
    <w:p w14:paraId="316D1B51">
      <w:pPr>
        <w:pStyle w:val="2"/>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2023年度一般公共预算财政拨款基本支出768.04万元，其中：</w:t>
      </w:r>
    </w:p>
    <w:p w14:paraId="0BDC89E9">
      <w:pPr>
        <w:pStyle w:val="2"/>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人员经费719.96万元，主要包括：基本工资113.15万元、津贴补贴332.72万元、奖金51.48万元、伙食补助费0万元、绩效工资26.45万元、机关事业单位基本养老保险缴费60.76万元、职业年金缴费30.38万元、其他社会保障缴费7.77万元、其他工资福利支出0万元、离休费0万元、退休费0万元、抚恤金0万元、生活补助90.77万元、医疗费补助、奖励金、住房公积金51.47万元、其他对个人和家庭的补助支出10万元、等。</w:t>
      </w:r>
      <w:r>
        <w:rPr>
          <w:rFonts w:hint="eastAsia" w:ascii="仿宋_GB2312" w:hAnsi="仿宋_GB2312" w:eastAsia="仿宋_GB2312" w:cs="仿宋_GB2312"/>
          <w:kern w:val="2"/>
          <w:sz w:val="32"/>
          <w:szCs w:val="32"/>
          <w:shd w:val="clear" w:color="auto" w:fill="FFFFFF"/>
          <w:lang w:val="en-US" w:eastAsia="zh-CN" w:bidi="ar-SA"/>
        </w:rPr>
        <w:br w:type="textWrapping"/>
      </w:r>
      <w:r>
        <w:rPr>
          <w:rFonts w:hint="eastAsia" w:ascii="仿宋_GB2312" w:hAnsi="仿宋_GB2312" w:eastAsia="仿宋_GB2312" w:cs="仿宋_GB2312"/>
          <w:kern w:val="2"/>
          <w:sz w:val="32"/>
          <w:szCs w:val="32"/>
          <w:shd w:val="clear" w:color="auto" w:fill="FFFFFF"/>
          <w:lang w:val="en-US" w:eastAsia="zh-CN" w:bidi="ar-SA"/>
        </w:rPr>
        <w:t xml:space="preserve">    公用经费48.08万元，主要包括：办公费67.01万元、印刷费6.81万元、咨询费0万元、手续费0万元、水费0万元、电费6.94、邮电费0万元、取暖费0万元、物业管理费0万元、差旅费4.67、因公出国（境）费用0万元、维修（护）费129.52万元、租赁费0万元、会议费0万元、培训费0万元、公务接待费0万元、劳务费1.96万元、委托业务费135.19万元、工会经费5.19万元、福利费0万元、公务用车运行维护费9.2万元、其他交通费0万元、税金及附加费用0万元、其他商品和服务支出0.56万元、办公设备购置0万元、专用设备购置0万元、信息网络及软件购置更新0万元、其他资本性支出0万元等。</w:t>
      </w:r>
    </w:p>
    <w:p w14:paraId="759C012E">
      <w:pPr>
        <w:pageBreakBefore w:val="0"/>
        <w:kinsoku/>
        <w:wordWrap/>
        <w:topLinePunct w:val="0"/>
        <w:bidi w:val="0"/>
        <w:spacing w:line="576" w:lineRule="exact"/>
        <w:ind w:firstLine="640"/>
        <w:outlineLvl w:val="1"/>
        <w:rPr>
          <w:rStyle w:val="30"/>
          <w:rFonts w:ascii="黑体" w:hAnsi="黑体" w:eastAsia="黑体"/>
          <w:b w:val="0"/>
        </w:rPr>
      </w:pPr>
      <w:bookmarkStart w:id="34" w:name="_Toc15396609"/>
      <w:bookmarkStart w:id="35" w:name="_Toc15377215"/>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34"/>
      <w:bookmarkEnd w:id="35"/>
    </w:p>
    <w:p w14:paraId="2CDF5363">
      <w:pPr>
        <w:pageBreakBefore w:val="0"/>
        <w:kinsoku/>
        <w:wordWrap/>
        <w:topLinePunct w:val="0"/>
        <w:bidi w:val="0"/>
        <w:spacing w:line="576" w:lineRule="exact"/>
        <w:ind w:firstLine="640"/>
        <w:outlineLvl w:val="2"/>
        <w:rPr>
          <w:rFonts w:ascii="仿宋" w:hAnsi="仿宋" w:eastAsia="仿宋"/>
          <w:b/>
          <w:sz w:val="32"/>
          <w:szCs w:val="32"/>
        </w:rPr>
      </w:pPr>
      <w:bookmarkStart w:id="36" w:name="_Toc15377216"/>
      <w:r>
        <w:rPr>
          <w:rFonts w:hint="eastAsia" w:ascii="仿宋" w:hAnsi="仿宋" w:eastAsia="仿宋"/>
          <w:b/>
          <w:sz w:val="32"/>
          <w:szCs w:val="32"/>
        </w:rPr>
        <w:t>（一）“三公”经费财政拨款支出决算总体情况说明</w:t>
      </w:r>
      <w:bookmarkEnd w:id="36"/>
    </w:p>
    <w:p w14:paraId="2CEDEA62">
      <w:pPr>
        <w:pStyle w:val="2"/>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2023年度“三公”经费财政拨款支出决算为9.2万元，完成预算100%，上年为9.13万元，较上年度不变，增长0%。</w:t>
      </w:r>
    </w:p>
    <w:p w14:paraId="2D02694F">
      <w:pPr>
        <w:pageBreakBefore w:val="0"/>
        <w:kinsoku/>
        <w:wordWrap/>
        <w:topLinePunct w:val="0"/>
        <w:bidi w:val="0"/>
        <w:spacing w:line="576" w:lineRule="exact"/>
        <w:ind w:firstLine="640"/>
        <w:outlineLvl w:val="2"/>
        <w:rPr>
          <w:rFonts w:ascii="仿宋" w:hAnsi="仿宋" w:eastAsia="仿宋"/>
          <w:b/>
          <w:sz w:val="32"/>
          <w:szCs w:val="32"/>
        </w:rPr>
      </w:pPr>
      <w:bookmarkStart w:id="37" w:name="_Toc15377217"/>
      <w:r>
        <w:rPr>
          <w:rFonts w:hint="eastAsia" w:ascii="仿宋" w:hAnsi="仿宋" w:eastAsia="仿宋"/>
          <w:b/>
          <w:sz w:val="32"/>
          <w:szCs w:val="32"/>
        </w:rPr>
        <w:t>（二）“三公”经费财政拨款支出决算具体情况说明</w:t>
      </w:r>
      <w:bookmarkEnd w:id="37"/>
    </w:p>
    <w:p w14:paraId="0985DA6C">
      <w:pPr>
        <w:pStyle w:val="2"/>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2023年度“三公”经费财政拨款支出决算中，因公出国（境）费支出决算0万元，占0%；公务用车购置及运行维护费支出决算9.2万元，占100%；公务接待费支出决算0万元，占0%。具体情况如下：</w:t>
      </w:r>
    </w:p>
    <w:p w14:paraId="533E3153">
      <w:pPr>
        <w:pStyle w:val="2"/>
        <w:pageBreakBefore w:val="0"/>
        <w:kinsoku/>
        <w:wordWrap/>
        <w:topLinePunct w:val="0"/>
        <w:bidi w:val="0"/>
        <w:spacing w:line="576" w:lineRule="exact"/>
        <w:ind w:firstLine="480" w:firstLineChars="200"/>
      </w:pPr>
      <w:r>
        <w:rPr>
          <w:rFonts w:hint="eastAsia" w:cs="宋体" w:asciiTheme="minorEastAsia" w:hAnsiTheme="minorEastAsia" w:eastAsiaTheme="minorEastAsia"/>
          <w:sz w:val="24"/>
          <w:szCs w:val="24"/>
        </w:rPr>
        <w:drawing>
          <wp:anchor distT="0" distB="0" distL="114300" distR="114300" simplePos="0" relativeHeight="251681792" behindDoc="0" locked="0" layoutInCell="1" allowOverlap="1">
            <wp:simplePos x="0" y="0"/>
            <wp:positionH relativeFrom="column">
              <wp:posOffset>660400</wp:posOffset>
            </wp:positionH>
            <wp:positionV relativeFrom="paragraph">
              <wp:posOffset>601980</wp:posOffset>
            </wp:positionV>
            <wp:extent cx="4826000" cy="2743200"/>
            <wp:effectExtent l="4445" t="4445" r="8255" b="14605"/>
            <wp:wrapTopAndBottom/>
            <wp:docPr id="20"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kern w:val="2"/>
          <w:sz w:val="32"/>
          <w:szCs w:val="32"/>
          <w:shd w:val="clear" w:color="auto" w:fill="FFFFFF"/>
          <w:lang w:val="en-US" w:eastAsia="zh-CN" w:bidi="ar-SA"/>
        </w:rPr>
        <w:t>（图7：“三公”经费财政拨款支出结构）（饼状图）</w:t>
      </w:r>
    </w:p>
    <w:p w14:paraId="3EADC3F4">
      <w:pPr>
        <w:pageBreakBefore w:val="0"/>
        <w:kinsoku/>
        <w:wordWrap/>
        <w:topLinePunct w:val="0"/>
        <w:bidi w:val="0"/>
        <w:spacing w:line="576"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DEC2D24">
      <w:pPr>
        <w:pageBreakBefore w:val="0"/>
        <w:kinsoku/>
        <w:wordWrap/>
        <w:topLinePunct w:val="0"/>
        <w:bidi w:val="0"/>
        <w:spacing w:line="576"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9.2</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0.87</w:t>
      </w:r>
      <w:r>
        <w:rPr>
          <w:rFonts w:hint="eastAsia" w:ascii="仿宋_GB2312" w:eastAsia="仿宋_GB2312"/>
          <w:sz w:val="32"/>
          <w:szCs w:val="32"/>
        </w:rPr>
        <w:t>万元，增长</w:t>
      </w:r>
      <w:r>
        <w:rPr>
          <w:rFonts w:hint="eastAsia" w:ascii="仿宋_GB2312" w:eastAsia="仿宋_GB2312"/>
          <w:sz w:val="32"/>
          <w:szCs w:val="32"/>
          <w:lang w:val="en-US" w:eastAsia="zh-CN"/>
        </w:rPr>
        <w:t>9.5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2023年查尔玛乡项目较多，公务用车使用及维修较多</w:t>
      </w:r>
      <w:r>
        <w:rPr>
          <w:rFonts w:hint="eastAsia" w:ascii="仿宋_GB2312" w:eastAsia="仿宋_GB2312"/>
          <w:sz w:val="32"/>
          <w:szCs w:val="32"/>
        </w:rPr>
        <w:t>。</w:t>
      </w:r>
    </w:p>
    <w:p w14:paraId="7751ED36">
      <w:pPr>
        <w:pageBreakBefore w:val="0"/>
        <w:kinsoku/>
        <w:wordWrap/>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w:t>
      </w:r>
    </w:p>
    <w:p w14:paraId="2039C2A3">
      <w:pPr>
        <w:pageBreakBefore w:val="0"/>
        <w:kinsoku/>
        <w:wordWrap/>
        <w:topLinePunct w:val="0"/>
        <w:bidi w:val="0"/>
        <w:spacing w:line="576"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9.2</w:t>
      </w:r>
      <w:r>
        <w:rPr>
          <w:rFonts w:hint="eastAsia" w:ascii="仿宋_GB2312" w:eastAsia="仿宋_GB2312"/>
          <w:sz w:val="32"/>
          <w:szCs w:val="32"/>
        </w:rPr>
        <w:t>万元。主要用于</w:t>
      </w:r>
      <w:r>
        <w:rPr>
          <w:rFonts w:hint="eastAsia" w:ascii="仿宋_GB2312" w:eastAsia="仿宋_GB2312"/>
          <w:sz w:val="32"/>
          <w:szCs w:val="32"/>
          <w:lang w:eastAsia="zh-CN"/>
        </w:rPr>
        <w:t>下村开展工作、上县交资料等日常工作</w:t>
      </w:r>
      <w:r>
        <w:rPr>
          <w:rFonts w:hint="eastAsia" w:ascii="仿宋_GB2312" w:eastAsia="仿宋_GB2312"/>
          <w:sz w:val="32"/>
          <w:szCs w:val="32"/>
        </w:rPr>
        <w:t>所需的公务用车燃料费、维修费、过路过桥费、保险费等支出。</w:t>
      </w:r>
    </w:p>
    <w:p w14:paraId="064770EA">
      <w:pPr>
        <w:pageBreakBefore w:val="0"/>
        <w:kinsoku/>
        <w:wordWrap/>
        <w:topLinePunct w:val="0"/>
        <w:bidi w:val="0"/>
        <w:spacing w:line="576" w:lineRule="exact"/>
        <w:ind w:firstLine="640"/>
        <w:rPr>
          <w:rFonts w:hint="eastAsia" w:ascii="仿宋_GB2312" w:hAnsi="仿宋_GB2312" w:eastAsia="仿宋_GB2312" w:cs="仿宋_GB2312"/>
          <w:kern w:val="2"/>
          <w:sz w:val="32"/>
          <w:szCs w:val="32"/>
          <w:shd w:val="clear" w:color="auto" w:fill="FFFFFF"/>
          <w:lang w:val="en-US" w:eastAsia="zh-CN" w:bidi="ar-SA"/>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hAnsi="仿宋_GB2312" w:eastAsia="仿宋_GB2312" w:cs="仿宋_GB2312"/>
          <w:kern w:val="2"/>
          <w:sz w:val="32"/>
          <w:szCs w:val="32"/>
          <w:shd w:val="clear" w:color="auto" w:fill="FFFFFF"/>
          <w:lang w:val="en-US" w:eastAsia="zh-CN" w:bidi="ar-SA"/>
        </w:rPr>
        <w:t>0万元，完成预算0%。公务接待费支出决算比2022年度增加0万元，增长0%。</w:t>
      </w:r>
    </w:p>
    <w:p w14:paraId="5409EAD1">
      <w:pPr>
        <w:pageBreakBefore w:val="0"/>
        <w:kinsoku/>
        <w:wordWrap/>
        <w:topLinePunct w:val="0"/>
        <w:bidi w:val="0"/>
        <w:spacing w:line="576"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p>
    <w:p w14:paraId="7596E08A">
      <w:pPr>
        <w:pageBreakBefore w:val="0"/>
        <w:kinsoku/>
        <w:wordWrap/>
        <w:topLinePunct w:val="0"/>
        <w:bidi w:val="0"/>
        <w:spacing w:line="576" w:lineRule="exact"/>
        <w:ind w:firstLine="643"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0万元</w:t>
      </w:r>
      <w:r>
        <w:rPr>
          <w:rFonts w:hint="eastAsia" w:ascii="仿宋_GB2312" w:eastAsia="仿宋_GB2312"/>
          <w:sz w:val="32"/>
          <w:szCs w:val="32"/>
        </w:rPr>
        <w:t>。</w:t>
      </w:r>
      <w:bookmarkStart w:id="38" w:name="_Toc15396610"/>
      <w:bookmarkStart w:id="39" w:name="_Toc15377218"/>
    </w:p>
    <w:p w14:paraId="6A9EE3B6">
      <w:pPr>
        <w:pageBreakBefore w:val="0"/>
        <w:kinsoku/>
        <w:wordWrap/>
        <w:topLinePunct w:val="0"/>
        <w:bidi w:val="0"/>
        <w:spacing w:line="576" w:lineRule="exact"/>
        <w:ind w:firstLine="640"/>
        <w:outlineLvl w:val="1"/>
        <w:rPr>
          <w:rStyle w:val="30"/>
          <w:rFonts w:ascii="黑体" w:hAnsi="黑体" w:eastAsia="黑体"/>
        </w:rPr>
      </w:pPr>
      <w:r>
        <w:rPr>
          <w:rFonts w:hint="eastAsia" w:ascii="黑体" w:eastAsia="黑体"/>
          <w:sz w:val="32"/>
          <w:szCs w:val="32"/>
        </w:rPr>
        <w:t>八、</w:t>
      </w:r>
      <w:r>
        <w:rPr>
          <w:rStyle w:val="30"/>
          <w:rFonts w:hint="eastAsia" w:ascii="黑体" w:hAnsi="黑体" w:eastAsia="黑体"/>
          <w:b w:val="0"/>
        </w:rPr>
        <w:t>政府性基金预算支出决算情况说明</w:t>
      </w:r>
      <w:bookmarkEnd w:id="38"/>
      <w:bookmarkEnd w:id="39"/>
    </w:p>
    <w:p w14:paraId="1C9A0147">
      <w:pPr>
        <w:pageBreakBefore w:val="0"/>
        <w:kinsoku/>
        <w:wordWrap/>
        <w:topLinePunct w:val="0"/>
        <w:bidi w:val="0"/>
        <w:spacing w:line="576" w:lineRule="exact"/>
        <w:ind w:firstLine="640"/>
        <w:rPr>
          <w:rFonts w:ascii="仿宋_GB2312" w:eastAsia="仿宋_GB2312"/>
          <w:sz w:val="32"/>
          <w:szCs w:val="32"/>
        </w:rPr>
      </w:pPr>
      <w:r>
        <w:rPr>
          <w:rFonts w:hint="eastAsia" w:ascii="仿宋_GB2312" w:hAnsi="仿宋_GB2312" w:eastAsia="仿宋_GB2312" w:cs="仿宋_GB2312"/>
          <w:kern w:val="2"/>
          <w:sz w:val="32"/>
          <w:szCs w:val="32"/>
          <w:shd w:val="clear" w:color="auto" w:fill="FFFFFF"/>
          <w:lang w:val="en-US" w:eastAsia="zh-CN" w:bidi="ar-SA"/>
        </w:rPr>
        <w:t>2023年度政府性基金预算财政拨款支出0万元。</w:t>
      </w:r>
    </w:p>
    <w:p w14:paraId="3248A54A">
      <w:pPr>
        <w:pageBreakBefore w:val="0"/>
        <w:numPr>
          <w:ilvl w:val="0"/>
          <w:numId w:val="4"/>
        </w:numPr>
        <w:kinsoku/>
        <w:wordWrap/>
        <w:topLinePunct w:val="0"/>
        <w:bidi w:val="0"/>
        <w:spacing w:line="576" w:lineRule="exact"/>
        <w:ind w:firstLine="640"/>
        <w:outlineLvl w:val="1"/>
        <w:rPr>
          <w:rStyle w:val="30"/>
          <w:rFonts w:ascii="黑体" w:hAnsi="黑体" w:eastAsia="黑体"/>
          <w:b w:val="0"/>
        </w:rPr>
      </w:pPr>
      <w:bookmarkStart w:id="40" w:name="_Toc15396611"/>
      <w:bookmarkStart w:id="41" w:name="_Toc15377219"/>
      <w:r>
        <w:rPr>
          <w:rStyle w:val="30"/>
          <w:rFonts w:hint="eastAsia" w:ascii="黑体" w:hAnsi="黑体" w:eastAsia="黑体"/>
          <w:b w:val="0"/>
        </w:rPr>
        <w:t>国有资本经营预算支出决算情况说明</w:t>
      </w:r>
      <w:bookmarkEnd w:id="40"/>
      <w:bookmarkEnd w:id="41"/>
    </w:p>
    <w:p w14:paraId="5C823404">
      <w:pPr>
        <w:pageBreakBefore w:val="0"/>
        <w:kinsoku/>
        <w:wordWrap/>
        <w:topLinePunct w:val="0"/>
        <w:bidi w:val="0"/>
        <w:spacing w:line="576" w:lineRule="exact"/>
        <w:ind w:firstLine="640"/>
        <w:rPr>
          <w:rFonts w:ascii="方正小标宋简体" w:hAnsi="方正小标宋简体" w:eastAsia="方正小标宋简体" w:cs="方正小标宋简体"/>
          <w:sz w:val="44"/>
          <w:szCs w:val="44"/>
        </w:rPr>
      </w:pPr>
      <w:r>
        <w:rPr>
          <w:rFonts w:hint="eastAsia" w:ascii="仿宋_GB2312" w:hAnsi="仿宋_GB2312" w:eastAsia="仿宋_GB2312" w:cs="仿宋_GB2312"/>
          <w:kern w:val="2"/>
          <w:sz w:val="32"/>
          <w:szCs w:val="32"/>
          <w:shd w:val="clear" w:color="auto" w:fill="FFFFFF"/>
          <w:lang w:val="en-US" w:eastAsia="zh-CN" w:bidi="ar-SA"/>
        </w:rPr>
        <w:t>2023年度国有资本经营预算财政拨款支出0万元。</w:t>
      </w:r>
    </w:p>
    <w:p w14:paraId="0C3D3531">
      <w:pPr>
        <w:pageBreakBefore w:val="0"/>
        <w:numPr>
          <w:ilvl w:val="0"/>
          <w:numId w:val="4"/>
        </w:numPr>
        <w:kinsoku/>
        <w:wordWrap/>
        <w:topLinePunct w:val="0"/>
        <w:bidi w:val="0"/>
        <w:spacing w:line="576" w:lineRule="exact"/>
        <w:ind w:firstLine="640"/>
        <w:outlineLvl w:val="1"/>
        <w:rPr>
          <w:rStyle w:val="30"/>
          <w:rFonts w:ascii="黑体" w:hAnsi="黑体" w:eastAsia="黑体"/>
          <w:b w:val="0"/>
        </w:rPr>
      </w:pPr>
      <w:bookmarkStart w:id="42" w:name="_Toc15396612"/>
      <w:bookmarkStart w:id="43" w:name="_Toc15377221"/>
      <w:r>
        <w:rPr>
          <w:rStyle w:val="30"/>
          <w:rFonts w:hint="eastAsia" w:ascii="黑体" w:hAnsi="黑体" w:eastAsia="黑体"/>
          <w:b w:val="0"/>
        </w:rPr>
        <w:t>其他重要事项的情况说明</w:t>
      </w:r>
      <w:bookmarkEnd w:id="42"/>
      <w:bookmarkEnd w:id="43"/>
    </w:p>
    <w:p w14:paraId="51B84189">
      <w:pPr>
        <w:pageBreakBefore w:val="0"/>
        <w:kinsoku/>
        <w:wordWrap/>
        <w:topLinePunct w:val="0"/>
        <w:bidi w:val="0"/>
        <w:spacing w:line="576" w:lineRule="exact"/>
        <w:ind w:firstLine="643" w:firstLineChars="200"/>
        <w:outlineLvl w:val="2"/>
        <w:rPr>
          <w:rFonts w:ascii="仿宋" w:hAnsi="仿宋" w:eastAsia="仿宋"/>
          <w:sz w:val="32"/>
          <w:szCs w:val="32"/>
        </w:rPr>
      </w:pPr>
      <w:bookmarkStart w:id="44" w:name="_Toc15377222"/>
      <w:r>
        <w:rPr>
          <w:rFonts w:hint="eastAsia" w:ascii="仿宋" w:hAnsi="仿宋" w:eastAsia="仿宋"/>
          <w:b/>
          <w:sz w:val="32"/>
          <w:szCs w:val="32"/>
        </w:rPr>
        <w:t>（一）机关运行经费支出情况</w:t>
      </w:r>
      <w:bookmarkEnd w:id="44"/>
    </w:p>
    <w:p w14:paraId="4595C6AB">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2023年度，红原县查尔玛乡人民政府机关运行经费支出36.59万元。</w:t>
      </w:r>
    </w:p>
    <w:p w14:paraId="4D23A97E">
      <w:pPr>
        <w:pageBreakBefore w:val="0"/>
        <w:kinsoku/>
        <w:wordWrap/>
        <w:topLinePunct w:val="0"/>
        <w:autoSpaceDE w:val="0"/>
        <w:autoSpaceDN w:val="0"/>
        <w:bidi w:val="0"/>
        <w:adjustRightInd w:val="0"/>
        <w:spacing w:line="576" w:lineRule="exact"/>
        <w:ind w:firstLine="643" w:firstLineChars="200"/>
        <w:jc w:val="left"/>
        <w:outlineLvl w:val="2"/>
        <w:rPr>
          <w:rFonts w:ascii="仿宋" w:hAnsi="仿宋" w:eastAsia="仿宋"/>
          <w:b/>
          <w:sz w:val="32"/>
          <w:szCs w:val="32"/>
        </w:rPr>
      </w:pPr>
      <w:bookmarkStart w:id="45" w:name="_Toc15377223"/>
      <w:r>
        <w:rPr>
          <w:rFonts w:hint="eastAsia" w:ascii="仿宋" w:hAnsi="仿宋" w:eastAsia="仿宋"/>
          <w:b/>
          <w:sz w:val="32"/>
          <w:szCs w:val="32"/>
        </w:rPr>
        <w:t>（二）政府采购支出情况</w:t>
      </w:r>
      <w:bookmarkEnd w:id="45"/>
    </w:p>
    <w:p w14:paraId="634C86E7">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2023年度，红原县查尔玛乡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0F59B263">
      <w:pPr>
        <w:pageBreakBefore w:val="0"/>
        <w:kinsoku/>
        <w:wordWrap/>
        <w:topLinePunct w:val="0"/>
        <w:autoSpaceDE w:val="0"/>
        <w:autoSpaceDN w:val="0"/>
        <w:bidi w:val="0"/>
        <w:adjustRightInd w:val="0"/>
        <w:spacing w:line="576" w:lineRule="exact"/>
        <w:ind w:firstLine="643" w:firstLineChars="200"/>
        <w:jc w:val="left"/>
        <w:outlineLvl w:val="2"/>
        <w:rPr>
          <w:rFonts w:ascii="仿宋" w:hAnsi="仿宋" w:eastAsia="仿宋"/>
          <w:b/>
          <w:sz w:val="32"/>
          <w:szCs w:val="32"/>
        </w:rPr>
      </w:pPr>
      <w:bookmarkStart w:id="46" w:name="_Toc15377224"/>
      <w:r>
        <w:rPr>
          <w:rFonts w:hint="eastAsia" w:ascii="仿宋" w:hAnsi="仿宋" w:eastAsia="仿宋"/>
          <w:b/>
          <w:sz w:val="32"/>
          <w:szCs w:val="32"/>
        </w:rPr>
        <w:t>（三）国有资产占有使用情况</w:t>
      </w:r>
      <w:bookmarkEnd w:id="46"/>
    </w:p>
    <w:p w14:paraId="4E9008EC">
      <w:pPr>
        <w:pageBreakBefore w:val="0"/>
        <w:kinsoku/>
        <w:wordWrap/>
        <w:topLinePunct w:val="0"/>
        <w:autoSpaceDE w:val="0"/>
        <w:autoSpaceDN w:val="0"/>
        <w:bidi w:val="0"/>
        <w:adjustRightInd w:val="0"/>
        <w:spacing w:line="576" w:lineRule="exact"/>
        <w:ind w:firstLine="640" w:firstLineChars="200"/>
        <w:jc w:val="left"/>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截至2023年12月31日，红原县查尔玛乡人民政府共有车辆2辆，其中：应急保障用车2辆。单价100万元以上设备（不含车辆）0台（套）。</w:t>
      </w:r>
    </w:p>
    <w:p w14:paraId="5C682411">
      <w:pPr>
        <w:pageBreakBefore w:val="0"/>
        <w:kinsoku/>
        <w:wordWrap/>
        <w:topLinePunct w:val="0"/>
        <w:autoSpaceDE w:val="0"/>
        <w:autoSpaceDN w:val="0"/>
        <w:bidi w:val="0"/>
        <w:adjustRightInd w:val="0"/>
        <w:spacing w:line="576"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1F80C4F7">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根据预算绩效管理要求，本部门在2023年度预算编制阶段，组织对查尔玛乡畜种改良项目、红原县查尔玛乡人居环境提升改善2个重点项目开展了预算事前绩效评估，预算执行过程中，选取2个项目开展绩效监控。</w:t>
      </w:r>
    </w:p>
    <w:p w14:paraId="55EE371E">
      <w:pPr>
        <w:pageBreakBefore w:val="0"/>
        <w:kinsoku/>
        <w:wordWrap/>
        <w:topLinePunct w:val="0"/>
        <w:bidi w:val="0"/>
        <w:spacing w:line="576" w:lineRule="exact"/>
        <w:ind w:firstLine="640" w:firstLineChars="200"/>
        <w:jc w:val="left"/>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组织对2023年度一般公共预算、政府性基金预算、国有资本经营预算、社会保险基金预算以及资本资产、债券资金等全面开展绩效自评，形成红原县查尔玛乡人民政府2023年度部门整体支出绩效评价自评报告、红原县2023年中央财政衔接资金以工代赈项目（查尔玛乡什布龙村）、红原县查尔玛乡家庭生态牧场建设项目、查尔玛乡各村集体牦牛养殖及畜种改良项目等专项预算项目绩效自评报告，其中，红原县查尔玛乡人民政府关于2023年度部门整体支出绩效评价自评报告部门整体（含部门预算项目）得分为99分，绩效自评综述：</w:t>
      </w:r>
      <w:r>
        <w:rPr>
          <w:rFonts w:hint="default" w:ascii="仿宋_GB2312" w:hAnsi="仿宋_GB2312" w:eastAsia="仿宋_GB2312" w:cs="仿宋_GB2312"/>
          <w:kern w:val="2"/>
          <w:sz w:val="32"/>
          <w:szCs w:val="32"/>
          <w:shd w:val="clear" w:color="auto" w:fill="FFFFFF"/>
          <w:lang w:val="zh-CN" w:eastAsia="zh-CN" w:bidi="ar-SA"/>
        </w:rPr>
        <w:t>从</w:t>
      </w:r>
      <w:r>
        <w:rPr>
          <w:rFonts w:hint="default" w:ascii="仿宋_GB2312" w:hAnsi="仿宋_GB2312" w:eastAsia="仿宋_GB2312" w:cs="仿宋_GB2312"/>
          <w:kern w:val="2"/>
          <w:sz w:val="32"/>
          <w:szCs w:val="32"/>
          <w:shd w:val="clear" w:color="auto" w:fill="FFFFFF"/>
          <w:lang w:val="en-US" w:eastAsia="zh-CN" w:bidi="ar-SA"/>
        </w:rPr>
        <w:t>预决算的</w:t>
      </w:r>
      <w:r>
        <w:rPr>
          <w:rFonts w:hint="default" w:ascii="仿宋_GB2312" w:hAnsi="仿宋_GB2312" w:eastAsia="仿宋_GB2312" w:cs="仿宋_GB2312"/>
          <w:kern w:val="2"/>
          <w:sz w:val="32"/>
          <w:szCs w:val="32"/>
          <w:shd w:val="clear" w:color="auto" w:fill="FFFFFF"/>
          <w:lang w:val="zh-CN" w:eastAsia="zh-CN" w:bidi="ar-SA"/>
        </w:rPr>
        <w:t>整体情况来看，我乡严格按照了年初预算进行部门整体支出，</w:t>
      </w:r>
      <w:r>
        <w:rPr>
          <w:rFonts w:hint="default" w:ascii="仿宋_GB2312" w:hAnsi="仿宋_GB2312" w:eastAsia="仿宋_GB2312" w:cs="仿宋_GB2312"/>
          <w:kern w:val="2"/>
          <w:sz w:val="32"/>
          <w:szCs w:val="32"/>
          <w:shd w:val="clear" w:color="auto" w:fill="FFFFFF"/>
          <w:lang w:val="en-US" w:eastAsia="zh-CN" w:bidi="ar-SA"/>
        </w:rPr>
        <w:t>预算执行为</w:t>
      </w:r>
      <w:r>
        <w:rPr>
          <w:rFonts w:hint="eastAsia" w:ascii="仿宋_GB2312" w:hAnsi="仿宋_GB2312" w:eastAsia="仿宋_GB2312" w:cs="仿宋_GB2312"/>
          <w:kern w:val="2"/>
          <w:sz w:val="32"/>
          <w:szCs w:val="32"/>
          <w:shd w:val="clear" w:color="auto" w:fill="FFFFFF"/>
          <w:lang w:val="en-US" w:eastAsia="zh-CN" w:bidi="ar-SA"/>
        </w:rPr>
        <w:t>96.18</w:t>
      </w:r>
      <w:r>
        <w:rPr>
          <w:rFonts w:hint="default" w:ascii="仿宋_GB2312" w:hAnsi="仿宋_GB2312" w:eastAsia="仿宋_GB2312" w:cs="仿宋_GB2312"/>
          <w:kern w:val="2"/>
          <w:sz w:val="32"/>
          <w:szCs w:val="32"/>
          <w:shd w:val="clear" w:color="auto" w:fill="FFFFFF"/>
          <w:lang w:val="en-US" w:eastAsia="zh-CN" w:bidi="ar-SA"/>
        </w:rPr>
        <w:t>%，预决算的主要差异原因在于根据新三定方案人员的大幅增加以及乡村振兴同脱贫攻坚有效衔接的资金项目。严格按照 “行动要快，工作要实，效果要好，奖惩要严”的要求和“督促、检查、协调、落实、推进”的原则，查尔玛乡的工程建设取得了重大进展，实施了重大工程建设和农业农村等多项项目，包括村集体牦牛养殖及畜种改良、人居环境提升整治、以工代赈项目前期经费等项目，全面推进了各项建设步伐，完成绩效目标</w:t>
      </w:r>
      <w:r>
        <w:rPr>
          <w:rFonts w:hint="eastAsia" w:ascii="仿宋_GB2312" w:hAnsi="仿宋_GB2312" w:eastAsia="仿宋_GB2312" w:cs="仿宋_GB2312"/>
          <w:kern w:val="2"/>
          <w:sz w:val="32"/>
          <w:szCs w:val="32"/>
          <w:shd w:val="clear" w:color="auto" w:fill="FFFFFF"/>
          <w:lang w:val="en-US" w:eastAsia="zh-CN" w:bidi="ar-SA"/>
        </w:rPr>
        <w:t>；红原县2023年查尔玛乡人居环境提升整治项目专项预算项目绩效自评得分为100分，绩效自评综述：本项目为查尔玛乡人居环境提升改造项目，符合国家相关产业政策要求，属于《产业结构调整指导目录（2019年本）》鼓励类项目。为促进查尔玛乡城乡融合、推进城镇化发展、建设美丽乡村具有重要战略意义，本项目的建设是非常必要的。项目建设符合国家鼓励发展的产业政策，符合市场经济的发展需求，符合红原县整体规划要求，对促进当地的经济发展和社会稳定具有重要意义。绩效自评报告详见附件。</w:t>
      </w:r>
    </w:p>
    <w:p w14:paraId="5E460567">
      <w:pPr>
        <w:pStyle w:val="2"/>
        <w:rPr>
          <w:rFonts w:hint="eastAsia" w:ascii="仿宋_GB2312" w:hAnsi="仿宋_GB2312" w:eastAsia="仿宋_GB2312" w:cs="仿宋_GB2312"/>
          <w:kern w:val="2"/>
          <w:sz w:val="32"/>
          <w:szCs w:val="32"/>
          <w:shd w:val="clear" w:color="auto" w:fill="FFFFFF"/>
          <w:lang w:val="en-US" w:eastAsia="zh-CN" w:bidi="ar-SA"/>
        </w:rPr>
      </w:pPr>
    </w:p>
    <w:p w14:paraId="42ACBC7B">
      <w:pPr>
        <w:rPr>
          <w:rFonts w:hint="eastAsia" w:ascii="仿宋_GB2312" w:hAnsi="仿宋_GB2312" w:eastAsia="仿宋_GB2312" w:cs="仿宋_GB2312"/>
          <w:kern w:val="2"/>
          <w:sz w:val="32"/>
          <w:szCs w:val="32"/>
          <w:shd w:val="clear" w:color="auto" w:fill="FFFFFF"/>
          <w:lang w:val="en-US" w:eastAsia="zh-CN" w:bidi="ar-SA"/>
        </w:rPr>
      </w:pPr>
    </w:p>
    <w:p w14:paraId="725413F3">
      <w:pPr>
        <w:pStyle w:val="2"/>
        <w:rPr>
          <w:rFonts w:hint="eastAsia" w:ascii="仿宋_GB2312" w:hAnsi="仿宋_GB2312" w:eastAsia="仿宋_GB2312" w:cs="仿宋_GB2312"/>
          <w:kern w:val="2"/>
          <w:sz w:val="32"/>
          <w:szCs w:val="32"/>
          <w:shd w:val="clear" w:color="auto" w:fill="FFFFFF"/>
          <w:lang w:val="en-US" w:eastAsia="zh-CN" w:bidi="ar-SA"/>
        </w:rPr>
      </w:pPr>
    </w:p>
    <w:p w14:paraId="5C7CE5FE">
      <w:pPr>
        <w:rPr>
          <w:rFonts w:hint="eastAsia" w:ascii="仿宋_GB2312" w:hAnsi="仿宋_GB2312" w:eastAsia="仿宋_GB2312" w:cs="仿宋_GB2312"/>
          <w:kern w:val="2"/>
          <w:sz w:val="32"/>
          <w:szCs w:val="32"/>
          <w:shd w:val="clear" w:color="auto" w:fill="FFFFFF"/>
          <w:lang w:val="en-US" w:eastAsia="zh-CN" w:bidi="ar-SA"/>
        </w:rPr>
      </w:pPr>
    </w:p>
    <w:p w14:paraId="46322667">
      <w:pPr>
        <w:pStyle w:val="2"/>
        <w:rPr>
          <w:rFonts w:hint="eastAsia"/>
          <w:lang w:val="en-US" w:eastAsia="zh-CN"/>
        </w:rPr>
      </w:pPr>
    </w:p>
    <w:p w14:paraId="749A1CA9">
      <w:pPr>
        <w:pStyle w:val="3"/>
        <w:pageBreakBefore w:val="0"/>
        <w:kinsoku/>
        <w:wordWrap/>
        <w:topLinePunct w:val="0"/>
        <w:bidi w:val="0"/>
        <w:spacing w:line="576" w:lineRule="exact"/>
        <w:jc w:val="center"/>
      </w:pPr>
      <w:r>
        <w:rPr>
          <w:rFonts w:hint="eastAsia"/>
        </w:rPr>
        <w:t>第三部分 名词解释</w:t>
      </w:r>
    </w:p>
    <w:p w14:paraId="7586B656">
      <w:pPr>
        <w:pageBreakBefore w:val="0"/>
        <w:kinsoku/>
        <w:wordWrap/>
        <w:topLinePunct w:val="0"/>
        <w:bidi w:val="0"/>
        <w:spacing w:line="576" w:lineRule="exact"/>
      </w:pPr>
    </w:p>
    <w:p w14:paraId="2A5C03AC">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4D3B8ABD">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14:paraId="1E6EB890">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14:paraId="248253AD">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3049E2D3">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43E1B9C3">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CCCF74B">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eastAsia="仿宋_GB2312"/>
          <w:sz w:val="32"/>
          <w:szCs w:val="32"/>
        </w:rPr>
        <w:t>7.结</w:t>
      </w:r>
      <w:r>
        <w:rPr>
          <w:rFonts w:hint="eastAsia" w:ascii="仿宋_GB2312" w:hAnsi="仿宋_GB2312" w:eastAsia="仿宋_GB2312" w:cs="仿宋_GB2312"/>
          <w:kern w:val="2"/>
          <w:sz w:val="32"/>
          <w:szCs w:val="32"/>
          <w:shd w:val="clear" w:color="auto" w:fill="FFFFFF"/>
          <w:lang w:val="en-US" w:eastAsia="zh-CN" w:bidi="ar-SA"/>
        </w:rPr>
        <w:t>余分配：指事业单位按照会计制度规定缴纳的所得税、提取的专用结余以及转入非财政拨款结余的金额等。</w:t>
      </w:r>
    </w:p>
    <w:p w14:paraId="1C76951C">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8.年末结转和结余：指单位按有关规定结转到下年或以后年度继续使用的资金。</w:t>
      </w:r>
    </w:p>
    <w:p w14:paraId="6DD525BF">
      <w:pPr>
        <w:pageBreakBefore w:val="0"/>
        <w:kinsoku/>
        <w:wordWrap/>
        <w:topLinePunct w:val="0"/>
        <w:bidi w:val="0"/>
        <w:spacing w:line="576" w:lineRule="exact"/>
        <w:ind w:firstLine="640" w:firstLineChars="200"/>
        <w:rPr>
          <w:rFonts w:hint="default"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9.一般公共服务：指反映机关事业机构产生的人员经费及公用经费及专项费用。</w:t>
      </w:r>
    </w:p>
    <w:p w14:paraId="4E9D35D9">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10.文化旅游体育与传媒：指用于文化站等文化方面经费。</w:t>
      </w:r>
    </w:p>
    <w:p w14:paraId="76C3DFE2">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11.社会保障和就业：指指机关事业单位基本养老保险缴费支出、机关事业单位职业年金缴费支出等。</w:t>
      </w:r>
    </w:p>
    <w:p w14:paraId="533DAA13">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12.卫生健康：指行政单位医疗保险支出、事业单位医疗保险支出、指公务员医疗补助、其他行政事业单位医疗支出，反映事业单位职工补充医保。</w:t>
      </w:r>
    </w:p>
    <w:p w14:paraId="1591ECBA">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13.节能环保：指环境保护管理事务支出。</w:t>
      </w:r>
    </w:p>
    <w:p w14:paraId="1985A871">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14.城乡社区：指用于满足经济建设和各项事业的需要。</w:t>
      </w:r>
    </w:p>
    <w:p w14:paraId="28F90250">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hAnsi="仿宋_GB2312" w:eastAsia="仿宋_GB2312" w:cs="仿宋_GB2312"/>
          <w:kern w:val="2"/>
          <w:sz w:val="32"/>
          <w:szCs w:val="32"/>
          <w:shd w:val="clear" w:color="auto" w:fill="FFFFFF"/>
          <w:lang w:val="en-US" w:eastAsia="zh-CN" w:bidi="ar-SA"/>
        </w:rPr>
        <w:t>15.农林水：指用于农业、林业、水务支出</w:t>
      </w:r>
      <w:r>
        <w:rPr>
          <w:rFonts w:hint="eastAsia" w:ascii="仿宋_GB2312" w:eastAsia="仿宋_GB2312"/>
          <w:sz w:val="32"/>
          <w:szCs w:val="32"/>
        </w:rPr>
        <w:t>。</w:t>
      </w:r>
    </w:p>
    <w:p w14:paraId="7695DDB9">
      <w:pPr>
        <w:pageBreakBefore w:val="0"/>
        <w:kinsoku/>
        <w:wordWrap/>
        <w:topLinePunct w:val="0"/>
        <w:bidi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.住房保障：指</w:t>
      </w:r>
      <w:r>
        <w:rPr>
          <w:rFonts w:hint="eastAsia" w:ascii="仿宋_GB2312" w:eastAsia="仿宋_GB2312"/>
          <w:sz w:val="32"/>
          <w:szCs w:val="32"/>
          <w:lang w:eastAsia="zh-CN"/>
        </w:rPr>
        <w:t>职工行政事业住房公积金支出</w:t>
      </w:r>
      <w:r>
        <w:rPr>
          <w:rFonts w:hint="eastAsia" w:ascii="仿宋_GB2312" w:eastAsia="仿宋_GB2312"/>
          <w:sz w:val="32"/>
          <w:szCs w:val="32"/>
        </w:rPr>
        <w:t>。</w:t>
      </w:r>
    </w:p>
    <w:p w14:paraId="67E2143C">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7.基本支出：指为保障机构正常运转、完成日常工作任务而发生的人员支出和公用支出。</w:t>
      </w:r>
    </w:p>
    <w:p w14:paraId="1116FE71">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 xml:space="preserve">8.项目支出：指在基本支出之外为完成特定行政任务和事业发展目标所发生的支出。 </w:t>
      </w:r>
    </w:p>
    <w:p w14:paraId="4DD2BAB8">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9.经营支出：指事业单位在专业业务活动及其辅助活动之外开展非独立核算经营活动发生的支出。</w:t>
      </w:r>
    </w:p>
    <w:p w14:paraId="6E066BF6">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3F278C0">
      <w:pPr>
        <w:pageBreakBefore w:val="0"/>
        <w:kinsoku/>
        <w:wordWrap/>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778FFD">
      <w:pPr>
        <w:pageBreakBefore w:val="0"/>
        <w:kinsoku/>
        <w:wordWrap/>
        <w:topLinePunct w:val="0"/>
        <w:bidi w:val="0"/>
        <w:spacing w:line="576" w:lineRule="exact"/>
        <w:ind w:firstLine="643" w:firstLineChars="200"/>
        <w:rPr>
          <w:rFonts w:ascii="仿宋" w:hAnsi="仿宋" w:eastAsia="仿宋"/>
          <w:b/>
          <w:sz w:val="32"/>
          <w:szCs w:val="32"/>
        </w:rPr>
      </w:pPr>
    </w:p>
    <w:p w14:paraId="5BD212E2">
      <w:pPr>
        <w:pageBreakBefore w:val="0"/>
        <w:kinsoku/>
        <w:wordWrap/>
        <w:topLinePunct w:val="0"/>
        <w:bidi w:val="0"/>
        <w:spacing w:line="576" w:lineRule="exact"/>
        <w:ind w:firstLine="643" w:firstLineChars="200"/>
        <w:rPr>
          <w:rFonts w:ascii="仿宋" w:hAnsi="仿宋" w:eastAsia="仿宋"/>
          <w:b/>
          <w:sz w:val="32"/>
          <w:szCs w:val="32"/>
        </w:rPr>
      </w:pPr>
      <w:r>
        <w:rPr>
          <w:rFonts w:ascii="仿宋" w:hAnsi="仿宋" w:eastAsia="仿宋"/>
          <w:b/>
          <w:sz w:val="32"/>
          <w:szCs w:val="32"/>
        </w:rPr>
        <w:br w:type="page"/>
      </w:r>
    </w:p>
    <w:p w14:paraId="5ABBCB18">
      <w:pPr>
        <w:pStyle w:val="3"/>
        <w:pageBreakBefore w:val="0"/>
        <w:kinsoku/>
        <w:wordWrap/>
        <w:topLinePunct w:val="0"/>
        <w:bidi w:val="0"/>
        <w:spacing w:line="576" w:lineRule="exact"/>
        <w:jc w:val="center"/>
        <w:rPr>
          <w:rFonts w:ascii="黑体" w:hAnsi="黑体" w:eastAsia="黑体"/>
          <w:b w:val="0"/>
        </w:rPr>
      </w:pPr>
      <w:r>
        <w:rPr>
          <w:rFonts w:hint="eastAsia" w:ascii="黑体" w:hAnsi="黑体" w:eastAsia="黑体"/>
          <w:b w:val="0"/>
        </w:rPr>
        <w:t>第四部分 附件</w:t>
      </w:r>
    </w:p>
    <w:p w14:paraId="1E2A22F9">
      <w:pPr>
        <w:pageBreakBefore w:val="0"/>
        <w:kinsoku/>
        <w:wordWrap/>
        <w:topLinePunct w:val="0"/>
        <w:bidi w:val="0"/>
        <w:spacing w:line="576" w:lineRule="exact"/>
      </w:pPr>
    </w:p>
    <w:p w14:paraId="554ADFEF">
      <w:pPr>
        <w:pageBreakBefore w:val="0"/>
        <w:kinsoku/>
        <w:wordWrap/>
        <w:topLinePunct w:val="0"/>
        <w:bidi w:val="0"/>
        <w:spacing w:line="576" w:lineRule="exact"/>
        <w:rPr>
          <w:rFonts w:ascii="黑体" w:hAnsi="黑体" w:eastAsia="黑体"/>
          <w:sz w:val="32"/>
          <w:szCs w:val="32"/>
        </w:rPr>
      </w:pPr>
      <w:r>
        <w:rPr>
          <w:rFonts w:hint="eastAsia" w:ascii="黑体" w:hAnsi="黑体" w:eastAsia="黑体"/>
          <w:sz w:val="32"/>
          <w:szCs w:val="32"/>
        </w:rPr>
        <w:t>附件1</w:t>
      </w:r>
    </w:p>
    <w:p w14:paraId="11D612B1">
      <w:pPr>
        <w:pageBreakBefore w:val="0"/>
        <w:widowControl/>
        <w:kinsoku/>
        <w:wordWrap/>
        <w:topLinePunct w:val="0"/>
        <w:bidi w:val="0"/>
        <w:spacing w:line="576" w:lineRule="exact"/>
        <w:contextualSpacing/>
        <w:jc w:val="center"/>
        <w:rPr>
          <w:rFonts w:hint="eastAsia" w:ascii="方正小标宋_GBK" w:hAnsi="方正小标宋_GBK" w:eastAsia="方正小标宋_GBK" w:cs="方正小标宋_GBK"/>
          <w:b w:val="0"/>
          <w:bCs/>
          <w:sz w:val="44"/>
          <w:szCs w:val="44"/>
          <w:highlight w:val="none"/>
          <w:shd w:val="clear" w:color="auto" w:fill="FFFFFF"/>
          <w:lang w:val="en-US" w:eastAsia="zh-CN"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红原县</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查尔玛乡人民政府</w:t>
      </w:r>
    </w:p>
    <w:p w14:paraId="17AEA261">
      <w:pPr>
        <w:pageBreakBefore w:val="0"/>
        <w:widowControl/>
        <w:kinsoku/>
        <w:wordWrap/>
        <w:topLinePunct w:val="0"/>
        <w:bidi w:val="0"/>
        <w:spacing w:line="576" w:lineRule="exact"/>
        <w:contextualSpacing/>
        <w:jc w:val="center"/>
        <w:rPr>
          <w:rFonts w:hint="eastAsia" w:ascii="方正小标宋_GBK" w:hAnsi="方正小标宋_GBK" w:eastAsia="方正小标宋_GBK" w:cs="方正小标宋_GBK"/>
          <w:b w:val="0"/>
          <w:bCs/>
          <w:sz w:val="44"/>
          <w:szCs w:val="44"/>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关于</w:t>
      </w:r>
      <w:r>
        <w:rPr>
          <w:rFonts w:hint="eastAsia" w:ascii="方正小标宋_GBK" w:hAnsi="方正小标宋_GBK" w:eastAsia="方正小标宋_GBK" w:cs="方正小标宋_GBK"/>
          <w:b w:val="0"/>
          <w:bCs/>
          <w:sz w:val="44"/>
          <w:szCs w:val="44"/>
          <w:highlight w:val="none"/>
          <w:shd w:val="clear" w:color="auto" w:fill="FFFFFF"/>
          <w:lang w:bidi="ar-SA"/>
        </w:rPr>
        <w:t>2</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023</w:t>
      </w:r>
      <w:r>
        <w:rPr>
          <w:rFonts w:hint="eastAsia" w:ascii="方正小标宋_GBK" w:hAnsi="方正小标宋_GBK" w:eastAsia="方正小标宋_GBK" w:cs="方正小标宋_GBK"/>
          <w:b w:val="0"/>
          <w:bCs/>
          <w:sz w:val="44"/>
          <w:szCs w:val="44"/>
          <w:highlight w:val="none"/>
          <w:shd w:val="clear" w:color="auto" w:fill="FFFFFF"/>
          <w:lang w:bidi="ar-SA"/>
        </w:rPr>
        <w:t>年</w:t>
      </w:r>
      <w:r>
        <w:rPr>
          <w:rFonts w:hint="eastAsia" w:ascii="方正小标宋_GBK" w:hAnsi="方正小标宋_GBK" w:eastAsia="方正小标宋_GBK" w:cs="方正小标宋_GBK"/>
          <w:b w:val="0"/>
          <w:bCs/>
          <w:sz w:val="44"/>
          <w:szCs w:val="44"/>
          <w:highlight w:val="none"/>
          <w:shd w:val="clear" w:color="auto" w:fill="FFFFFF"/>
          <w:lang w:eastAsia="zh-CN" w:bidi="ar-SA"/>
        </w:rPr>
        <w:t>度</w:t>
      </w:r>
      <w:r>
        <w:rPr>
          <w:rFonts w:hint="eastAsia" w:ascii="方正小标宋_GBK" w:hAnsi="方正小标宋_GBK" w:eastAsia="方正小标宋_GBK" w:cs="方正小标宋_GBK"/>
          <w:b w:val="0"/>
          <w:bCs/>
          <w:sz w:val="44"/>
          <w:szCs w:val="44"/>
          <w:highlight w:val="none"/>
          <w:shd w:val="clear" w:color="auto" w:fill="FFFFFF"/>
          <w:lang w:bidi="ar-SA"/>
        </w:rPr>
        <w:t>部门整体支出绩效评价</w:t>
      </w:r>
    </w:p>
    <w:p w14:paraId="068D613A">
      <w:pPr>
        <w:pageBreakBefore w:val="0"/>
        <w:widowControl/>
        <w:kinsoku/>
        <w:wordWrap/>
        <w:topLinePunct w:val="0"/>
        <w:bidi w:val="0"/>
        <w:spacing w:line="576" w:lineRule="exact"/>
        <w:contextualSpacing/>
        <w:jc w:val="center"/>
        <w:rPr>
          <w:rFonts w:ascii="黑体" w:hAnsi="宋体" w:eastAsia="黑体" w:cs="宋体"/>
          <w:color w:val="000000"/>
          <w:kern w:val="0"/>
          <w:sz w:val="24"/>
          <w:szCs w:val="32"/>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自评</w:t>
      </w:r>
      <w:r>
        <w:rPr>
          <w:rFonts w:hint="eastAsia" w:ascii="方正小标宋_GBK" w:hAnsi="方正小标宋_GBK" w:eastAsia="方正小标宋_GBK" w:cs="方正小标宋_GBK"/>
          <w:b w:val="0"/>
          <w:bCs/>
          <w:sz w:val="44"/>
          <w:szCs w:val="44"/>
          <w:highlight w:val="none"/>
          <w:shd w:val="clear" w:color="auto" w:fill="FFFFFF"/>
          <w:lang w:bidi="ar-SA"/>
        </w:rPr>
        <w:t>报告</w:t>
      </w:r>
    </w:p>
    <w:p w14:paraId="6F6EA46F">
      <w:pPr>
        <w:keepNext w:val="0"/>
        <w:keepLines w:val="0"/>
        <w:pageBreakBefore w:val="0"/>
        <w:widowControl/>
        <w:kinsoku/>
        <w:wordWrap/>
        <w:overflowPunct w:val="0"/>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黑体" w:cs="Times New Roman"/>
          <w:color w:val="000000"/>
          <w:kern w:val="0"/>
          <w:sz w:val="32"/>
          <w:szCs w:val="32"/>
          <w:highlight w:val="none"/>
          <w:shd w:val="clear" w:color="auto" w:fill="FFFFFF"/>
          <w:lang w:bidi="ar-SA"/>
        </w:rPr>
      </w:pPr>
    </w:p>
    <w:p w14:paraId="120D29DB">
      <w:pPr>
        <w:keepNext w:val="0"/>
        <w:keepLines w:val="0"/>
        <w:pageBreakBefore w:val="0"/>
        <w:widowControl/>
        <w:kinsoku/>
        <w:wordWrap/>
        <w:overflowPunct w:val="0"/>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方正黑体_GBK" w:cs="Times New Roman"/>
          <w:color w:val="000000"/>
          <w:kern w:val="0"/>
          <w:sz w:val="32"/>
          <w:szCs w:val="32"/>
          <w:highlight w:val="none"/>
          <w:shd w:val="clear" w:color="auto" w:fill="FFFFFF"/>
          <w:lang w:val="zh-CN" w:bidi="ar-SA"/>
        </w:rPr>
      </w:pPr>
      <w:r>
        <w:rPr>
          <w:rFonts w:hint="default" w:ascii="Times New Roman" w:hAnsi="Times New Roman" w:eastAsia="方正黑体_GBK" w:cs="Times New Roman"/>
          <w:color w:val="000000"/>
          <w:kern w:val="0"/>
          <w:sz w:val="32"/>
          <w:szCs w:val="32"/>
          <w:highlight w:val="none"/>
          <w:shd w:val="clear" w:color="auto" w:fill="FFFFFF"/>
          <w:lang w:bidi="ar-SA"/>
        </w:rPr>
        <w:t>一、</w:t>
      </w:r>
      <w:r>
        <w:rPr>
          <w:rFonts w:hint="default" w:ascii="Times New Roman" w:hAnsi="Times New Roman" w:eastAsia="方正黑体_GBK" w:cs="Times New Roman"/>
          <w:color w:val="000000"/>
          <w:kern w:val="0"/>
          <w:sz w:val="32"/>
          <w:szCs w:val="32"/>
          <w:highlight w:val="none"/>
          <w:shd w:val="clear" w:color="auto" w:fill="FFFFFF"/>
          <w:lang w:val="zh-CN" w:bidi="ar-SA"/>
        </w:rPr>
        <w:t>部门（单位）概况</w:t>
      </w:r>
    </w:p>
    <w:p w14:paraId="22F3688D">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（一）机构组成</w:t>
      </w:r>
    </w:p>
    <w:p w14:paraId="06D5D3A3">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0" w:firstLineChars="200"/>
        <w:jc w:val="left"/>
        <w:textAlignment w:val="auto"/>
        <w:outlineLvl w:val="1"/>
        <w:rPr>
          <w:rFonts w:hint="default" w:ascii="Times New Roman" w:hAnsi="Times New Roman" w:eastAsia="方正仿宋_GBK" w:cs="Times New Roman"/>
          <w:bCs/>
          <w:kern w:val="0"/>
          <w:sz w:val="32"/>
          <w:szCs w:val="32"/>
          <w:highlight w:val="none"/>
          <w:lang w:val="zh-CN" w:eastAsia="zh-CN" w:bidi="ar-SA"/>
        </w:rPr>
      </w:pPr>
      <w:r>
        <w:rPr>
          <w:rFonts w:hint="default" w:ascii="Times New Roman" w:hAnsi="Times New Roman" w:eastAsia="方正仿宋_GBK" w:cs="Times New Roman"/>
          <w:bCs/>
          <w:kern w:val="0"/>
          <w:sz w:val="32"/>
          <w:szCs w:val="32"/>
          <w:highlight w:val="none"/>
          <w:lang w:val="en-US" w:eastAsia="zh-CN" w:bidi="ar-SA"/>
        </w:rPr>
        <w:t>查尔玛</w:t>
      </w:r>
      <w:r>
        <w:rPr>
          <w:rFonts w:hint="default" w:ascii="Times New Roman" w:hAnsi="Times New Roman" w:eastAsia="方正仿宋_GBK" w:cs="Times New Roman"/>
          <w:bCs/>
          <w:kern w:val="0"/>
          <w:sz w:val="32"/>
          <w:szCs w:val="32"/>
          <w:highlight w:val="none"/>
          <w:lang w:val="zh-CN" w:eastAsia="zh-CN" w:bidi="ar-SA"/>
        </w:rPr>
        <w:t>乡为独立核算编制的</w:t>
      </w:r>
      <w:r>
        <w:rPr>
          <w:rFonts w:hint="default" w:ascii="Times New Roman" w:hAnsi="Times New Roman" w:eastAsia="方正仿宋_GBK" w:cs="Times New Roman"/>
          <w:bCs/>
          <w:kern w:val="0"/>
          <w:sz w:val="32"/>
          <w:szCs w:val="32"/>
          <w:highlight w:val="none"/>
          <w:lang w:val="en-US" w:eastAsia="zh-CN" w:bidi="ar-SA"/>
        </w:rPr>
        <w:t>行政单位，</w:t>
      </w:r>
      <w:r>
        <w:rPr>
          <w:rFonts w:hint="default" w:ascii="Times New Roman" w:hAnsi="Times New Roman" w:eastAsia="方正仿宋_GBK" w:cs="Times New Roman"/>
          <w:bCs/>
          <w:kern w:val="0"/>
          <w:sz w:val="32"/>
          <w:szCs w:val="32"/>
          <w:highlight w:val="none"/>
          <w:lang w:val="zh-CN" w:eastAsia="zh-CN" w:bidi="ar-SA"/>
        </w:rPr>
        <w:t>执行行政单位会计制度，共</w:t>
      </w:r>
      <w:r>
        <w:rPr>
          <w:rFonts w:hint="default" w:ascii="Times New Roman" w:hAnsi="Times New Roman" w:eastAsia="方正仿宋_GBK" w:cs="Times New Roman"/>
          <w:bCs/>
          <w:kern w:val="0"/>
          <w:sz w:val="32"/>
          <w:szCs w:val="32"/>
          <w:highlight w:val="none"/>
          <w:lang w:val="en-US" w:eastAsia="zh-CN" w:bidi="ar-SA"/>
        </w:rPr>
        <w:t>29名干部</w:t>
      </w:r>
      <w:r>
        <w:rPr>
          <w:rFonts w:hint="default" w:ascii="Times New Roman" w:hAnsi="Times New Roman" w:eastAsia="方正仿宋_GBK" w:cs="Times New Roman"/>
          <w:bCs/>
          <w:kern w:val="0"/>
          <w:sz w:val="32"/>
          <w:szCs w:val="32"/>
          <w:highlight w:val="none"/>
          <w:lang w:val="zh-CN" w:eastAsia="zh-CN" w:bidi="ar-SA"/>
        </w:rPr>
        <w:t>。</w:t>
      </w:r>
      <w:r>
        <w:rPr>
          <w:rFonts w:hint="default" w:ascii="Times New Roman" w:hAnsi="Times New Roman" w:eastAsia="方正仿宋_GBK" w:cs="Times New Roman"/>
          <w:bCs/>
          <w:kern w:val="0"/>
          <w:sz w:val="32"/>
          <w:szCs w:val="32"/>
          <w:highlight w:val="none"/>
          <w:lang w:val="en-US" w:eastAsia="zh-CN" w:bidi="ar-SA"/>
        </w:rPr>
        <w:t>查尔玛</w:t>
      </w:r>
      <w:r>
        <w:rPr>
          <w:rFonts w:hint="default" w:ascii="Times New Roman" w:hAnsi="Times New Roman" w:eastAsia="方正仿宋_GBK" w:cs="Times New Roman"/>
          <w:bCs/>
          <w:kern w:val="0"/>
          <w:sz w:val="32"/>
          <w:szCs w:val="32"/>
          <w:highlight w:val="none"/>
          <w:lang w:val="zh-CN" w:eastAsia="zh-CN" w:bidi="ar-SA"/>
        </w:rPr>
        <w:t>乡辖</w:t>
      </w:r>
      <w:r>
        <w:rPr>
          <w:rFonts w:hint="default" w:ascii="Times New Roman" w:hAnsi="Times New Roman" w:eastAsia="方正仿宋_GBK" w:cs="Times New Roman"/>
          <w:bCs/>
          <w:kern w:val="0"/>
          <w:sz w:val="32"/>
          <w:szCs w:val="32"/>
          <w:highlight w:val="none"/>
          <w:lang w:val="en-US" w:eastAsia="zh-CN" w:bidi="ar-SA"/>
        </w:rPr>
        <w:t>3</w:t>
      </w:r>
      <w:r>
        <w:rPr>
          <w:rFonts w:hint="default" w:ascii="Times New Roman" w:hAnsi="Times New Roman" w:eastAsia="方正仿宋_GBK" w:cs="Times New Roman"/>
          <w:bCs/>
          <w:kern w:val="0"/>
          <w:sz w:val="32"/>
          <w:szCs w:val="32"/>
          <w:highlight w:val="none"/>
          <w:lang w:val="zh-CN" w:eastAsia="zh-CN" w:bidi="ar-SA"/>
        </w:rPr>
        <w:t>个行政村，总共</w:t>
      </w:r>
      <w:r>
        <w:rPr>
          <w:rFonts w:hint="default" w:ascii="Times New Roman" w:hAnsi="Times New Roman" w:eastAsia="方正仿宋_GBK" w:cs="Times New Roman"/>
          <w:bCs/>
          <w:kern w:val="0"/>
          <w:sz w:val="32"/>
          <w:szCs w:val="32"/>
          <w:highlight w:val="none"/>
          <w:lang w:val="en-US" w:eastAsia="zh-CN" w:bidi="ar-SA"/>
        </w:rPr>
        <w:t>42</w:t>
      </w:r>
      <w:r>
        <w:rPr>
          <w:rFonts w:hint="default" w:ascii="Times New Roman" w:hAnsi="Times New Roman" w:eastAsia="方正仿宋_GBK" w:cs="Times New Roman"/>
          <w:bCs/>
          <w:kern w:val="0"/>
          <w:sz w:val="32"/>
          <w:szCs w:val="32"/>
          <w:highlight w:val="none"/>
          <w:lang w:val="zh-CN" w:eastAsia="zh-CN" w:bidi="ar-SA"/>
        </w:rPr>
        <w:t>名村社</w:t>
      </w:r>
      <w:r>
        <w:rPr>
          <w:rFonts w:hint="default" w:ascii="Times New Roman" w:hAnsi="Times New Roman" w:eastAsia="方正仿宋_GBK" w:cs="Times New Roman"/>
          <w:bCs/>
          <w:kern w:val="0"/>
          <w:sz w:val="32"/>
          <w:szCs w:val="32"/>
          <w:highlight w:val="none"/>
          <w:lang w:val="en-US" w:eastAsia="zh-CN" w:bidi="ar-SA"/>
        </w:rPr>
        <w:t>组（包括离休）</w:t>
      </w:r>
      <w:r>
        <w:rPr>
          <w:rFonts w:hint="default" w:ascii="Times New Roman" w:hAnsi="Times New Roman" w:eastAsia="方正仿宋_GBK" w:cs="Times New Roman"/>
          <w:bCs/>
          <w:kern w:val="0"/>
          <w:sz w:val="32"/>
          <w:szCs w:val="32"/>
          <w:highlight w:val="none"/>
          <w:lang w:val="zh-CN" w:eastAsia="zh-CN" w:bidi="ar-SA"/>
        </w:rPr>
        <w:t>干部。</w:t>
      </w:r>
    </w:p>
    <w:p w14:paraId="5D04C895">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（二）机构职能</w:t>
      </w:r>
    </w:p>
    <w:p w14:paraId="184AEF11">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bCs/>
          <w:kern w:val="0"/>
          <w:sz w:val="32"/>
          <w:szCs w:val="32"/>
          <w:highlight w:val="none"/>
          <w:lang w:val="zh-CN" w:eastAsia="zh-CN" w:bidi="ar-SA"/>
        </w:rPr>
      </w:pPr>
      <w:r>
        <w:rPr>
          <w:rFonts w:hint="default" w:ascii="Times New Roman" w:hAnsi="Times New Roman" w:eastAsia="方正仿宋_GBK" w:cs="Times New Roman"/>
          <w:bCs/>
          <w:kern w:val="0"/>
          <w:sz w:val="32"/>
          <w:szCs w:val="32"/>
          <w:highlight w:val="none"/>
          <w:lang w:val="en-US" w:eastAsia="zh-CN" w:bidi="ar-SA"/>
        </w:rPr>
        <w:t xml:space="preserve"> </w:t>
      </w:r>
      <w:r>
        <w:rPr>
          <w:rFonts w:hint="default" w:ascii="Times New Roman" w:hAnsi="Times New Roman" w:eastAsia="方正仿宋_GBK" w:cs="Times New Roman"/>
          <w:bCs/>
          <w:kern w:val="0"/>
          <w:sz w:val="32"/>
          <w:szCs w:val="32"/>
          <w:highlight w:val="none"/>
          <w:lang w:val="zh-CN" w:eastAsia="zh-CN" w:bidi="ar-SA"/>
        </w:rPr>
        <w:t>根据</w:t>
      </w:r>
      <w:r>
        <w:rPr>
          <w:rFonts w:hint="default" w:ascii="Times New Roman" w:hAnsi="Times New Roman" w:eastAsia="方正仿宋_GBK" w:cs="Times New Roman"/>
          <w:bCs/>
          <w:kern w:val="0"/>
          <w:sz w:val="32"/>
          <w:szCs w:val="32"/>
          <w:highlight w:val="none"/>
          <w:lang w:val="en-US" w:eastAsia="zh-CN" w:bidi="ar-SA"/>
        </w:rPr>
        <w:t>查尔玛</w:t>
      </w:r>
      <w:r>
        <w:rPr>
          <w:rFonts w:hint="default" w:ascii="Times New Roman" w:hAnsi="Times New Roman" w:eastAsia="方正仿宋_GBK" w:cs="Times New Roman"/>
          <w:bCs/>
          <w:kern w:val="0"/>
          <w:sz w:val="32"/>
          <w:szCs w:val="32"/>
          <w:highlight w:val="none"/>
          <w:lang w:val="zh-CN" w:eastAsia="zh-CN" w:bidi="ar-SA"/>
        </w:rPr>
        <w:t>乡三定方案（红委办﹝2020﹞126号文件）。</w:t>
      </w:r>
    </w:p>
    <w:p w14:paraId="12DC2E0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3" w:firstLineChars="200"/>
        <w:jc w:val="both"/>
        <w:textAlignment w:val="auto"/>
        <w:rPr>
          <w:rFonts w:hint="default" w:ascii="Times New Roman" w:hAnsi="Times New Roman" w:eastAsia="方正仿宋_GBK" w:cs="Times New Roman"/>
          <w:b/>
          <w:bCs/>
          <w:kern w:val="0"/>
          <w:sz w:val="32"/>
          <w:szCs w:val="32"/>
          <w:highlight w:val="none"/>
          <w:lang w:val="en-US" w:eastAsia="zh-CN" w:bidi="ar-SA"/>
        </w:rPr>
      </w:pPr>
      <w:r>
        <w:rPr>
          <w:rFonts w:hint="default" w:ascii="Times New Roman" w:hAnsi="Times New Roman" w:eastAsia="方正仿宋_GBK" w:cs="Times New Roman"/>
          <w:b/>
          <w:bCs/>
          <w:kern w:val="0"/>
          <w:sz w:val="32"/>
          <w:szCs w:val="32"/>
          <w:highlight w:val="none"/>
          <w:lang w:val="en-US" w:eastAsia="zh-CN" w:bidi="ar-SA"/>
        </w:rPr>
        <w:t>1.乡党委工作职责</w:t>
      </w:r>
    </w:p>
    <w:p w14:paraId="262480F1">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（1）宣传和贯彻执行党的路线方针政策和党中央、上级党组织及本乡党员代表大会（党员大会）的决议;</w:t>
      </w:r>
    </w:p>
    <w:p w14:paraId="45FECAC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2）讨论和决定本乡经济建设、政治建设、文化建设、社会建设、生态文明建设和党的建设以及乡村振兴中的重大问题。需由乡政权机关或者集体经济组织决定的重要事项，经乡党委研究讨论后,由乡政权机关或者集体经济组织依照法律和有关规定作出决定;</w:t>
      </w:r>
    </w:p>
    <w:p w14:paraId="036B097C">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（3）领导乡政权机关、群团组织和其他各类组织，加强指导和规范,支持和保证这些机关和组织依照国家法律法规以及各自章程履行职责;</w:t>
      </w:r>
    </w:p>
    <w:p w14:paraId="7032D1C4">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（4）加强乡党委自身建设和村党组织建设，以及其他隶属乡党委的党组织建设，抓好发展党员工作，加强党员队伍建设。维护和执行党的纪律,监督党员干部和其他任何工作人员严格遵守国家法律法规;</w:t>
      </w:r>
    </w:p>
    <w:p w14:paraId="048C3E48">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（5）按照干部管理权限，负责对干部的教育、培训、选拔、考核和监督工作。协助管理上级有关部门驻乡单位的干部。做好人才服务和引进工作;</w:t>
      </w:r>
    </w:p>
    <w:p w14:paraId="3B26C70C">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（6）领导本乡的基层治理，加强社会主义民主法治建设和精神文明建设，加强社会治安综合治理，做好生态环保、美丽乡村建设、民生保障、脱贫致富、民族宗教等工作;</w:t>
      </w:r>
    </w:p>
    <w:p w14:paraId="5527757D">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（7）完成上级党委、人民政府交办的其他工作任务。</w:t>
      </w:r>
    </w:p>
    <w:p w14:paraId="71258826">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3" w:firstLineChars="200"/>
        <w:jc w:val="both"/>
        <w:textAlignment w:val="auto"/>
        <w:rPr>
          <w:rFonts w:hint="default" w:ascii="Times New Roman" w:hAnsi="Times New Roman" w:eastAsia="方正仿宋_GBK" w:cs="Times New Roman"/>
          <w:b/>
          <w:bCs/>
          <w:kern w:val="0"/>
          <w:sz w:val="32"/>
          <w:szCs w:val="32"/>
          <w:highlight w:val="none"/>
          <w:lang w:val="en-US" w:eastAsia="zh-CN" w:bidi="ar-SA"/>
        </w:rPr>
      </w:pPr>
      <w:r>
        <w:rPr>
          <w:rFonts w:hint="default" w:ascii="Times New Roman" w:hAnsi="Times New Roman" w:eastAsia="方正仿宋_GBK" w:cs="Times New Roman"/>
          <w:b/>
          <w:bCs/>
          <w:kern w:val="0"/>
          <w:sz w:val="32"/>
          <w:szCs w:val="32"/>
          <w:highlight w:val="none"/>
          <w:lang w:val="en-US" w:eastAsia="zh-CN" w:bidi="ar-SA"/>
        </w:rPr>
        <w:t>2.乡人民代表大会工作职责</w:t>
      </w:r>
    </w:p>
    <w:p w14:paraId="7E1392FE">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（1）检查和督促宪法、法律、法规和上级人民代表大会及其常务委员会决议在本乡内的执行;</w:t>
      </w:r>
    </w:p>
    <w:p w14:paraId="6A1FC81E">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（2）决定召集和主持本届人民代表大会会议，对本届人民代表大会负责并报告工作,决定召集下届人民代表大会第一次会议;</w:t>
      </w:r>
    </w:p>
    <w:p w14:paraId="50868CD1">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（3）听取乡人民政府工作情况的报告，检查和督促乡人民政府对乡人民代表大会决议、决定的贯彻执行;</w:t>
      </w:r>
    </w:p>
    <w:p w14:paraId="192DBFAE">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（4）讨论本乡内的重大事项，向乡人民政府提出建议或者提请乡人民代表大会会议审议决定;</w:t>
      </w:r>
    </w:p>
    <w:p w14:paraId="64C179AE">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（5）根据乡人民政府的建议，决定乡人民代表大会通过的建设计划、财政预算的部分变更;</w:t>
      </w:r>
    </w:p>
    <w:p w14:paraId="0DD389F8">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（6）督促乡人民政府研究办理乡人民代表大会代表的视察和调查，指导代表小组开展活动，密切联系代表，听取和反映他们的意见和要求;</w:t>
      </w:r>
    </w:p>
    <w:p w14:paraId="2DFB9E60">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（7）受理人民群众对本级国家机关和工作人员的申诉和意见;</w:t>
      </w:r>
    </w:p>
    <w:p w14:paraId="591CF5BA">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（8）决定接受乡长、副乡长的辞职，并报下一次人民代表大会会议备案。乡长因故不能担任职务的时候，从副乡长中决定代理人选;</w:t>
      </w:r>
    </w:p>
    <w:p w14:paraId="554F0A7F">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（9）指导选区依法罢免和补选人民代表大会代表;</w:t>
      </w:r>
    </w:p>
    <w:p w14:paraId="4769ECBD">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（10）办理乡人民代表大会和上级人民代表大会常务委员会交办的其他事项。</w:t>
      </w:r>
    </w:p>
    <w:p w14:paraId="5301DE2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3" w:firstLineChars="200"/>
        <w:jc w:val="both"/>
        <w:textAlignment w:val="auto"/>
        <w:rPr>
          <w:rFonts w:hint="default" w:ascii="Times New Roman" w:hAnsi="Times New Roman" w:eastAsia="方正仿宋_GBK" w:cs="Times New Roman"/>
          <w:b/>
          <w:bCs/>
          <w:kern w:val="0"/>
          <w:sz w:val="32"/>
          <w:szCs w:val="32"/>
          <w:highlight w:val="none"/>
          <w:lang w:val="en-US" w:eastAsia="zh-CN" w:bidi="ar-SA"/>
        </w:rPr>
      </w:pPr>
      <w:r>
        <w:rPr>
          <w:rFonts w:hint="default" w:ascii="Times New Roman" w:hAnsi="Times New Roman" w:eastAsia="方正仿宋_GBK" w:cs="Times New Roman"/>
          <w:b/>
          <w:bCs/>
          <w:kern w:val="0"/>
          <w:sz w:val="32"/>
          <w:szCs w:val="32"/>
          <w:highlight w:val="none"/>
          <w:lang w:val="en-US" w:eastAsia="zh-CN" w:bidi="ar-SA"/>
        </w:rPr>
        <w:t>3.乡人民政府工作职责</w:t>
      </w:r>
    </w:p>
    <w:p w14:paraId="13000B1D">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291A702A">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（2）执行本级人民代表大会的决议和上级国家行政机关的决定和命令，发布决定和命令;</w:t>
      </w:r>
    </w:p>
    <w:p w14:paraId="6BF73B4F">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（3）执行本行政区域内的经济和社会发展计划、预算，管理本行政区域内的经济、教育、科学、文化、卫生、体育事业和财政、民政、公安、司法行政、计划生育等行政工作;</w:t>
      </w:r>
    </w:p>
    <w:p w14:paraId="3ADAD70C">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（4）保护社会主义的全民所有的财产和劳动群众集体所有的财产，保护公民私人所有的合法财产，维护社会秩序，保障公民的人身权利、民主权利和其他权利;</w:t>
      </w:r>
    </w:p>
    <w:p w14:paraId="7F41B80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（5）保护各种经济组织的合法权益;</w:t>
      </w:r>
    </w:p>
    <w:p w14:paraId="26D2F4F4">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（6）保障少数民族的权利和尊重少数民族的风俗习惯;</w:t>
      </w:r>
    </w:p>
    <w:p w14:paraId="2B802D4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（7）办理上级人民政府交办的其他事项。</w:t>
      </w:r>
    </w:p>
    <w:p w14:paraId="1F00972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3" w:firstLineChars="200"/>
        <w:jc w:val="both"/>
        <w:textAlignment w:val="auto"/>
        <w:rPr>
          <w:rFonts w:hint="default" w:ascii="Times New Roman" w:hAnsi="Times New Roman" w:eastAsia="方正仿宋_GBK" w:cs="Times New Roman"/>
          <w:b/>
          <w:bCs/>
          <w:kern w:val="0"/>
          <w:sz w:val="32"/>
          <w:szCs w:val="32"/>
          <w:highlight w:val="none"/>
          <w:lang w:val="en-US" w:eastAsia="zh-CN" w:bidi="ar-SA"/>
        </w:rPr>
      </w:pPr>
      <w:r>
        <w:rPr>
          <w:rFonts w:hint="default" w:ascii="Times New Roman" w:hAnsi="Times New Roman" w:eastAsia="方正仿宋_GBK" w:cs="Times New Roman"/>
          <w:b/>
          <w:bCs/>
          <w:kern w:val="0"/>
          <w:sz w:val="32"/>
          <w:szCs w:val="32"/>
          <w:highlight w:val="none"/>
          <w:lang w:val="en-US" w:eastAsia="zh-CN" w:bidi="ar-SA"/>
        </w:rPr>
        <w:t>4.乡纪检监察工作职责</w:t>
      </w:r>
    </w:p>
    <w:p w14:paraId="57CFC5E3">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（1）监督检查基层党支部、党员干部贯彻执行国家的法律法规、党的方针政策、乡党委、政府各种规章制度的情况;</w:t>
      </w:r>
    </w:p>
    <w:p w14:paraId="0F45B7CF">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（2）协助乡党委抓好农村基层党风廉政建设工作，监督检查落实党风廉政建设责任制的情况;</w:t>
      </w:r>
    </w:p>
    <w:p w14:paraId="4B69D27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（3）受理基层党支部、党员和领导干部违反党纪政纪的信访和举报;</w:t>
      </w:r>
    </w:p>
    <w:p w14:paraId="6DD1D23E">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（4）调查处理基层党支部和党员、领导干部违反党纪政纪的行为或提出处理建议;</w:t>
      </w:r>
    </w:p>
    <w:p w14:paraId="727E6A57">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（5）受理党员、党员领导干部及行政干部不服党纪政纪处分的申诉;</w:t>
      </w:r>
    </w:p>
    <w:p w14:paraId="0CB26A4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（6）会同有关部门做好党风党纪和廉洁从政的教育、宣传、调研等工作;</w:t>
      </w:r>
    </w:p>
    <w:p w14:paraId="19C65D58">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（7）做好执法监察工作;</w:t>
      </w:r>
    </w:p>
    <w:p w14:paraId="7AC9BF74">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（8）承办好乡党委、政府和上级纪检监察机关交办的有关工作。</w:t>
      </w:r>
    </w:p>
    <w:p w14:paraId="4F3A3C5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3" w:firstLineChars="200"/>
        <w:jc w:val="both"/>
        <w:textAlignment w:val="auto"/>
        <w:rPr>
          <w:rFonts w:hint="default" w:ascii="Times New Roman" w:hAnsi="Times New Roman" w:eastAsia="方正仿宋_GBK" w:cs="Times New Roman"/>
          <w:b/>
          <w:bCs/>
          <w:kern w:val="0"/>
          <w:sz w:val="32"/>
          <w:szCs w:val="32"/>
          <w:highlight w:val="none"/>
          <w:lang w:val="en-US" w:eastAsia="zh-CN" w:bidi="ar-SA"/>
        </w:rPr>
      </w:pPr>
      <w:r>
        <w:rPr>
          <w:rFonts w:hint="default" w:ascii="Times New Roman" w:hAnsi="Times New Roman" w:eastAsia="方正仿宋_GBK" w:cs="Times New Roman"/>
          <w:b/>
          <w:bCs/>
          <w:kern w:val="0"/>
          <w:sz w:val="32"/>
          <w:szCs w:val="32"/>
          <w:highlight w:val="none"/>
          <w:lang w:val="en-US" w:eastAsia="zh-CN" w:bidi="ar-SA"/>
        </w:rPr>
        <w:t>5.乡人民武装部工作职责</w:t>
      </w:r>
    </w:p>
    <w:p w14:paraId="5E7D022D">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（1）负责本区域的民兵组织建设、政治建设、军事训练和武装装备管理;</w:t>
      </w:r>
    </w:p>
    <w:p w14:paraId="69B6FFC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（2）组织带领民兵完成战备执勤任务，配合公安部门维护社会治安;</w:t>
      </w:r>
    </w:p>
    <w:p w14:paraId="2BC173D1">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（3）发动和组织民兵参加两个文明建设，开展以劳养武活动，完成急难险重任务;</w:t>
      </w:r>
    </w:p>
    <w:p w14:paraId="7B578E82">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（4）战时组织带领民兵参军参战，支援前线;</w:t>
      </w:r>
    </w:p>
    <w:p w14:paraId="0B66A30C">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（5）负责本区域的征兵工作和预备役士兵，预备役军官登记统计工作;</w:t>
      </w:r>
    </w:p>
    <w:p w14:paraId="46EBE5EF">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（6）会同有关部门进行战争潜力调查，做好相关的动员准备工作;</w:t>
      </w:r>
    </w:p>
    <w:p w14:paraId="72CF286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（7）协同预备役部(分)队落实参训人员，做好兵役管理、动员集结等工作;</w:t>
      </w:r>
    </w:p>
    <w:p w14:paraId="7D253CD2">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（8）协助有关部门开展国防教育，做好退伍军人的安置和烈军属的优抚工作;</w:t>
      </w:r>
    </w:p>
    <w:p w14:paraId="06116D75">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（9）协助军队做好本区域的军事设施保护工作;</w:t>
      </w:r>
    </w:p>
    <w:p w14:paraId="5831E3FB">
      <w:pPr>
        <w:keepNext w:val="0"/>
        <w:keepLines w:val="0"/>
        <w:pageBreakBefore w:val="0"/>
        <w:widowControl w:val="0"/>
        <w:kinsoku/>
        <w:wordWrap/>
        <w:overflowPunct w:val="0"/>
        <w:topLinePunct w:val="0"/>
        <w:autoSpaceDE/>
        <w:autoSpaceDN/>
        <w:bidi w:val="0"/>
        <w:adjustRightInd w:val="0"/>
        <w:snapToGrid w:val="0"/>
        <w:spacing w:line="576" w:lineRule="exact"/>
        <w:ind w:left="0" w:leftChars="0" w:firstLine="640" w:firstLineChars="200"/>
        <w:jc w:val="both"/>
        <w:textAlignment w:val="auto"/>
        <w:rPr>
          <w:rFonts w:hint="default" w:ascii="Times New Roman" w:hAnsi="Times New Roman" w:eastAsia="方正仿宋_GBK" w:cs="Times New Roman"/>
          <w:bCs/>
          <w:kern w:val="0"/>
          <w:sz w:val="32"/>
          <w:szCs w:val="32"/>
          <w:highlight w:val="none"/>
          <w:lang w:val="en-US" w:eastAsia="zh-CN" w:bidi="ar-SA"/>
        </w:rPr>
      </w:pPr>
      <w:r>
        <w:rPr>
          <w:rFonts w:hint="default" w:ascii="Times New Roman" w:hAnsi="Times New Roman" w:eastAsia="方正仿宋_GBK" w:cs="Times New Roman"/>
          <w:bCs/>
          <w:kern w:val="0"/>
          <w:sz w:val="32"/>
          <w:szCs w:val="32"/>
          <w:highlight w:val="none"/>
          <w:lang w:val="en-US" w:eastAsia="zh-CN" w:bidi="ar-SA"/>
        </w:rPr>
        <w:t>（10）完成地方党委、政府和上级军事机关交办的其他工作任务。</w:t>
      </w:r>
    </w:p>
    <w:p w14:paraId="3FDF37BC">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（三）人员概况</w:t>
      </w:r>
    </w:p>
    <w:p w14:paraId="25CB0359">
      <w:pPr>
        <w:keepNext w:val="0"/>
        <w:keepLines w:val="0"/>
        <w:pageBreakBefore w:val="0"/>
        <w:widowControl w:val="0"/>
        <w:numPr>
          <w:ilvl w:val="0"/>
          <w:numId w:val="0"/>
        </w:numPr>
        <w:kinsoku/>
        <w:wordWrap/>
        <w:overflowPunct w:val="0"/>
        <w:topLinePunct w:val="0"/>
        <w:autoSpaceDE/>
        <w:autoSpaceDN/>
        <w:bidi w:val="0"/>
        <w:adjustRightInd/>
        <w:snapToGrid/>
        <w:spacing w:afterAutospacing="0" w:line="576" w:lineRule="exact"/>
        <w:ind w:left="0" w:leftChars="0" w:firstLine="640" w:firstLineChars="200"/>
        <w:jc w:val="left"/>
        <w:textAlignment w:val="auto"/>
        <w:rPr>
          <w:rFonts w:hint="default" w:ascii="Times New Roman" w:hAnsi="Times New Roman" w:eastAsia="方正仿宋_GBK" w:cs="Times New Roman"/>
          <w:bCs/>
          <w:kern w:val="0"/>
          <w:sz w:val="32"/>
          <w:szCs w:val="32"/>
          <w:highlight w:val="none"/>
          <w:lang w:val="zh-CN" w:eastAsia="zh-CN" w:bidi="ar-SA"/>
        </w:rPr>
      </w:pPr>
      <w:r>
        <w:rPr>
          <w:rFonts w:hint="default" w:ascii="Times New Roman" w:hAnsi="Times New Roman" w:eastAsia="方正仿宋_GBK" w:cs="Times New Roman"/>
          <w:bCs/>
          <w:kern w:val="0"/>
          <w:sz w:val="32"/>
          <w:szCs w:val="32"/>
          <w:highlight w:val="none"/>
          <w:lang w:val="en-US" w:eastAsia="zh-CN" w:bidi="ar-SA"/>
        </w:rPr>
        <w:t>全乡总编制30名，其中：行政编制：20名，事业编制：9名，行政工勤编制：1名。有编在岗人员总数29名，其中：行政人员20名，事业人员8名，行政工勤人员1名。退休人员2人，退职人员0名，遗属人员2名。查尔玛乡下辖3个行政村，现任村干部15名，村民小组长13名，离任村干部13人。</w:t>
      </w:r>
    </w:p>
    <w:p w14:paraId="50B54D40">
      <w:pPr>
        <w:keepNext w:val="0"/>
        <w:keepLines w:val="0"/>
        <w:pageBreakBefore w:val="0"/>
        <w:widowControl/>
        <w:kinsoku/>
        <w:wordWrap/>
        <w:overflowPunct w:val="0"/>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方正黑体_GBK" w:cs="Times New Roman"/>
          <w:color w:val="000000"/>
          <w:kern w:val="0"/>
          <w:sz w:val="32"/>
          <w:szCs w:val="32"/>
          <w:highlight w:val="none"/>
          <w:shd w:val="clear" w:color="auto" w:fill="FFFFFF"/>
          <w:lang w:bidi="ar-SA"/>
        </w:rPr>
      </w:pPr>
      <w:r>
        <w:rPr>
          <w:rFonts w:hint="default" w:ascii="Times New Roman" w:hAnsi="Times New Roman" w:eastAsia="方正黑体_GBK" w:cs="Times New Roman"/>
          <w:color w:val="000000"/>
          <w:kern w:val="0"/>
          <w:sz w:val="32"/>
          <w:szCs w:val="32"/>
          <w:highlight w:val="none"/>
          <w:shd w:val="clear" w:color="auto" w:fill="FFFFFF"/>
          <w:lang w:bidi="ar-SA"/>
        </w:rPr>
        <w:t>二、部门财政资金收支情况</w:t>
      </w:r>
    </w:p>
    <w:p w14:paraId="057BDB7B">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（一）部门财政资金收入情况</w:t>
      </w:r>
    </w:p>
    <w:p w14:paraId="198EA5F4">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default" w:ascii="Times New Roman" w:hAnsi="Times New Roman" w:eastAsia="方正仿宋_GBK" w:cs="Times New Roman"/>
          <w:bCs/>
          <w:kern w:val="0"/>
          <w:sz w:val="32"/>
          <w:szCs w:val="32"/>
          <w:highlight w:val="none"/>
          <w:lang w:val="en-US" w:eastAsia="zh-CN" w:bidi="ar-SA"/>
        </w:rPr>
        <w:t>2023年查尔玛乡人民政府收入预算总额</w:t>
      </w:r>
      <w:r>
        <w:rPr>
          <w:rFonts w:hint="eastAsia" w:ascii="Times New Roman" w:hAnsi="Times New Roman" w:eastAsia="方正仿宋_GBK" w:cs="Times New Roman"/>
          <w:bCs/>
          <w:kern w:val="0"/>
          <w:sz w:val="32"/>
          <w:szCs w:val="32"/>
          <w:highlight w:val="none"/>
          <w:lang w:val="en-US" w:eastAsia="zh-CN" w:bidi="ar-SA"/>
        </w:rPr>
        <w:t>为1186.08万元。其中：一般公共</w:t>
      </w:r>
      <w:r>
        <w:rPr>
          <w:rFonts w:hint="eastAsia" w:ascii="仿宋_GB2312" w:hAnsi="Times New Roman" w:eastAsia="仿宋_GB2312" w:cs="Times New Roman"/>
          <w:sz w:val="32"/>
          <w:szCs w:val="32"/>
          <w:lang w:val="en-US" w:eastAsia="zh-CN"/>
        </w:rPr>
        <w:t>预算财政拨款收入为1180.82万元，占比99.56%；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5.26万元，占比0.44%。</w:t>
      </w:r>
    </w:p>
    <w:p w14:paraId="5A72BBE0">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w:t>
      </w:r>
      <w:r>
        <w:rPr>
          <w:rFonts w:hint="default" w:ascii="Times New Roman" w:hAnsi="Times New Roman" w:eastAsia="方正楷体_GBK" w:cs="Times New Roman"/>
          <w:b/>
          <w:kern w:val="2"/>
          <w:sz w:val="32"/>
          <w:szCs w:val="32"/>
          <w:highlight w:val="none"/>
          <w:lang w:val="en-US" w:eastAsia="zh-CN" w:bidi="ar-SA"/>
        </w:rPr>
        <w:t>二</w:t>
      </w:r>
      <w:r>
        <w:rPr>
          <w:rFonts w:hint="default" w:ascii="Times New Roman" w:hAnsi="Times New Roman" w:eastAsia="方正楷体_GBK" w:cs="Times New Roman"/>
          <w:b/>
          <w:kern w:val="2"/>
          <w:sz w:val="32"/>
          <w:szCs w:val="32"/>
          <w:highlight w:val="none"/>
          <w:lang w:val="zh-CN" w:eastAsia="zh-CN" w:bidi="ar-SA"/>
        </w:rPr>
        <w:t>）部门财政资金支出情况</w:t>
      </w:r>
    </w:p>
    <w:p w14:paraId="6F399DF0">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查尔玛乡人民政府预算安排支出主要用于保障该部门机构正常运转、完成日常工作任务以及承担乡村事业发展相关工作。</w:t>
      </w:r>
      <w:r>
        <w:rPr>
          <w:rFonts w:hint="eastAsia" w:ascii="仿宋_GB2312" w:hAnsi="Times New Roman" w:eastAsia="仿宋_GB2312" w:cs="Times New Roman"/>
          <w:sz w:val="32"/>
          <w:szCs w:val="32"/>
          <w:lang w:val="en-US" w:eastAsia="zh-CN"/>
        </w:rPr>
        <w:t>本年度总支出为1186.08万元。</w:t>
      </w:r>
    </w:p>
    <w:p w14:paraId="4BA465A2">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其中：一般公共服务支出为600.55万元，占比50.63%；外交支出为0.00万元，占比0.00%；国防支出为1.70万元，占比0.14%；公共安全支出为0.00万元，占比0.00%；教育支出为0.00万元，占比0.00%；科学技术支出为0.00万元，占比0.00%；文化旅游体育与传媒支出为13.56万元，占比1.14%；社会保障和就业支出为161.32万元，占比13.6%；卫生健康支出为40.17万元，占比3.39%；节能环保支出32.34万元，占比2.73%；城乡社区支出为5.96万元，占比0.5%；农林水支出为279.00万元，占比23.62%；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51.47万元，占比4.34%；粮油物资储备支出为0.00万元，占比0.00%；国有资本经营预算支出为0.00万元，占比0.00%；灾害防治及应急管理支出为0万元，占比0.00%；其他支出为0.00万元，占比0.00%；债务还本支出为0.00万元，占比0.00%；债务付息支出为0.00万元，占比0.00%；抗疫特别国债安排的支出为0.00万元，占比0.00%。</w:t>
      </w:r>
    </w:p>
    <w:p w14:paraId="560F3D21">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default" w:ascii="Times New Roman" w:hAnsi="Times New Roman" w:eastAsia="方正楷体_GBK" w:cs="Times New Roman"/>
          <w:b/>
          <w:kern w:val="2"/>
          <w:sz w:val="32"/>
          <w:szCs w:val="32"/>
          <w:highlight w:val="none"/>
          <w:lang w:val="zh-CN" w:eastAsia="zh-CN" w:bidi="ar-SA"/>
        </w:rPr>
        <w:t>（</w:t>
      </w:r>
      <w:r>
        <w:rPr>
          <w:rFonts w:hint="eastAsia" w:ascii="Times New Roman" w:hAnsi="Times New Roman" w:eastAsia="方正楷体_GBK" w:cs="Times New Roman"/>
          <w:b/>
          <w:kern w:val="2"/>
          <w:sz w:val="32"/>
          <w:szCs w:val="32"/>
          <w:highlight w:val="none"/>
          <w:lang w:val="zh-CN" w:eastAsia="zh-CN" w:bidi="ar-SA"/>
        </w:rPr>
        <w:t>三</w:t>
      </w:r>
      <w:r>
        <w:rPr>
          <w:rFonts w:hint="default" w:ascii="Times New Roman" w:hAnsi="Times New Roman" w:eastAsia="方正楷体_GBK" w:cs="Times New Roman"/>
          <w:b/>
          <w:kern w:val="2"/>
          <w:sz w:val="32"/>
          <w:szCs w:val="32"/>
          <w:highlight w:val="none"/>
          <w:lang w:val="zh-CN" w:eastAsia="zh-CN" w:bidi="ar-SA"/>
        </w:rPr>
        <w:t>）结余分配和结转结余情况</w:t>
      </w:r>
      <w:r>
        <w:rPr>
          <w:rFonts w:hint="eastAsia" w:ascii="Times New Roman" w:hAnsi="Times New Roman" w:eastAsia="方正楷体_GBK" w:cs="Times New Roman"/>
          <w:b/>
          <w:kern w:val="2"/>
          <w:sz w:val="32"/>
          <w:szCs w:val="32"/>
          <w:highlight w:val="none"/>
          <w:lang w:val="zh-CN" w:eastAsia="zh-CN" w:bidi="ar-SA"/>
        </w:rPr>
        <w:t>。</w:t>
      </w:r>
      <w:r>
        <w:rPr>
          <w:rFonts w:hint="eastAsia" w:ascii="仿宋_GB2312" w:hAnsi="Times New Roman" w:eastAsia="仿宋_GB2312" w:cs="Times New Roman"/>
          <w:sz w:val="32"/>
          <w:szCs w:val="32"/>
          <w:lang w:val="en-US" w:eastAsia="zh-CN"/>
        </w:rPr>
        <w:t>查尔玛乡人民政府2023年决算报表</w:t>
      </w:r>
      <w:r>
        <w:rPr>
          <w:rFonts w:hint="default" w:ascii="仿宋_GB2312" w:hAnsi="Times New Roman" w:eastAsia="仿宋_GB2312" w:cs="Times New Roman"/>
          <w:sz w:val="32"/>
          <w:szCs w:val="32"/>
          <w:lang w:val="en-US" w:eastAsia="zh-CN"/>
        </w:rPr>
        <w:t>年初结转和结余</w:t>
      </w:r>
      <w:r>
        <w:rPr>
          <w:rFonts w:hint="eastAsia" w:ascii="仿宋_GB2312" w:hAnsi="Times New Roman" w:eastAsia="仿宋_GB2312" w:cs="Times New Roman"/>
          <w:sz w:val="32"/>
          <w:szCs w:val="32"/>
          <w:lang w:val="en-US" w:eastAsia="zh-CN"/>
        </w:rPr>
        <w:t>0元，年末结转和结余0元</w:t>
      </w:r>
      <w:r>
        <w:rPr>
          <w:rFonts w:hint="default" w:ascii="仿宋_GB2312" w:hAnsi="Times New Roman" w:eastAsia="仿宋_GB2312" w:cs="Times New Roman"/>
          <w:sz w:val="32"/>
          <w:szCs w:val="32"/>
          <w:lang w:val="en-US" w:eastAsia="zh-CN"/>
        </w:rPr>
        <w:t>。</w:t>
      </w:r>
    </w:p>
    <w:p w14:paraId="266FCAF9">
      <w:pPr>
        <w:keepNext w:val="0"/>
        <w:keepLines w:val="0"/>
        <w:pageBreakBefore w:val="0"/>
        <w:widowControl/>
        <w:kinsoku/>
        <w:wordWrap/>
        <w:overflowPunct w:val="0"/>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方正黑体_GBK" w:cs="Times New Roman"/>
          <w:color w:val="000000"/>
          <w:kern w:val="0"/>
          <w:sz w:val="32"/>
          <w:szCs w:val="32"/>
          <w:highlight w:val="none"/>
          <w:shd w:val="clear" w:color="auto" w:fill="FFFFFF"/>
          <w:lang w:bidi="ar-SA"/>
        </w:rPr>
      </w:pPr>
      <w:r>
        <w:rPr>
          <w:rFonts w:hint="default" w:ascii="Times New Roman" w:hAnsi="Times New Roman" w:eastAsia="方正黑体_GBK" w:cs="Times New Roman"/>
          <w:color w:val="000000"/>
          <w:kern w:val="0"/>
          <w:sz w:val="32"/>
          <w:szCs w:val="32"/>
          <w:highlight w:val="none"/>
          <w:shd w:val="clear" w:color="auto" w:fill="FFFFFF"/>
          <w:lang w:bidi="ar-SA"/>
        </w:rPr>
        <w:t>三、部门</w:t>
      </w:r>
      <w:r>
        <w:rPr>
          <w:rFonts w:hint="default" w:ascii="Times New Roman" w:hAnsi="Times New Roman" w:eastAsia="方正黑体_GBK" w:cs="Times New Roman"/>
          <w:color w:val="000000"/>
          <w:kern w:val="0"/>
          <w:sz w:val="32"/>
          <w:szCs w:val="32"/>
          <w:highlight w:val="none"/>
          <w:shd w:val="clear" w:color="auto" w:fill="FFFFFF"/>
          <w:lang w:eastAsia="zh-CN" w:bidi="ar-SA"/>
        </w:rPr>
        <w:t>预算</w:t>
      </w:r>
      <w:r>
        <w:rPr>
          <w:rFonts w:hint="default" w:ascii="Times New Roman" w:hAnsi="Times New Roman" w:eastAsia="方正黑体_GBK" w:cs="Times New Roman"/>
          <w:color w:val="000000"/>
          <w:kern w:val="0"/>
          <w:sz w:val="32"/>
          <w:szCs w:val="32"/>
          <w:highlight w:val="none"/>
          <w:shd w:val="clear" w:color="auto" w:fill="FFFFFF"/>
          <w:lang w:bidi="ar-SA"/>
        </w:rPr>
        <w:t>绩效</w:t>
      </w:r>
      <w:r>
        <w:rPr>
          <w:rFonts w:hint="default" w:ascii="Times New Roman" w:hAnsi="Times New Roman" w:eastAsia="方正黑体_GBK" w:cs="Times New Roman"/>
          <w:color w:val="000000"/>
          <w:kern w:val="0"/>
          <w:sz w:val="32"/>
          <w:szCs w:val="32"/>
          <w:highlight w:val="none"/>
          <w:shd w:val="clear" w:color="auto" w:fill="FFFFFF"/>
          <w:lang w:eastAsia="zh-CN" w:bidi="ar-SA"/>
        </w:rPr>
        <w:t>分析</w:t>
      </w:r>
    </w:p>
    <w:p w14:paraId="373D642E">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（一）</w:t>
      </w:r>
      <w:r>
        <w:rPr>
          <w:rFonts w:hint="eastAsia" w:ascii="Times New Roman" w:hAnsi="Times New Roman" w:eastAsia="方正楷体_GBK" w:cs="Times New Roman"/>
          <w:b/>
          <w:kern w:val="2"/>
          <w:sz w:val="32"/>
          <w:szCs w:val="32"/>
          <w:highlight w:val="none"/>
          <w:lang w:val="zh-CN" w:eastAsia="zh-CN" w:bidi="ar-SA"/>
        </w:rPr>
        <w:t>部门预算</w:t>
      </w:r>
      <w:r>
        <w:rPr>
          <w:rFonts w:hint="default" w:ascii="Times New Roman" w:hAnsi="Times New Roman" w:eastAsia="方正楷体_GBK" w:cs="Times New Roman"/>
          <w:b/>
          <w:kern w:val="2"/>
          <w:sz w:val="32"/>
          <w:szCs w:val="32"/>
          <w:highlight w:val="none"/>
          <w:lang w:val="zh-CN" w:eastAsia="zh-CN" w:bidi="ar-SA"/>
        </w:rPr>
        <w:t>总体绩效分析</w:t>
      </w:r>
    </w:p>
    <w:p w14:paraId="4290A143">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rPr>
        <w:t>履职效能</w:t>
      </w:r>
    </w:p>
    <w:p w14:paraId="0E931FE9">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重点项目方面。</w:t>
      </w:r>
      <w:r>
        <w:rPr>
          <w:rFonts w:hint="eastAsia" w:ascii="仿宋_GB2312" w:hAnsi="Times New Roman" w:eastAsia="仿宋_GB2312" w:cs="Times New Roman"/>
          <w:sz w:val="32"/>
          <w:szCs w:val="32"/>
          <w:lang w:val="zh-CN"/>
        </w:rPr>
        <w:t>年初目标：</w:t>
      </w:r>
      <w:r>
        <w:rPr>
          <w:rFonts w:hint="eastAsia" w:ascii="仿宋_GB2312" w:hAnsi="Times New Roman" w:eastAsia="仿宋_GB2312" w:cs="Times New Roman"/>
          <w:sz w:val="32"/>
          <w:szCs w:val="32"/>
          <w:lang w:val="en-US" w:eastAsia="zh-CN"/>
        </w:rPr>
        <w:t>多措并举推动美丽乡村建设，重点推进农村户厕建设任务，系统治理乡容村貌突出问题，不断改善农村人居环境。年底工作完成情况：为有效推进项目工程，我乡党委政府特制定了</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查尔玛乡</w:t>
      </w:r>
      <w:r>
        <w:rPr>
          <w:rFonts w:hint="eastAsia" w:ascii="仿宋_GB2312" w:hAnsi="Times New Roman" w:eastAsia="仿宋_GB2312" w:cs="Times New Roman"/>
          <w:sz w:val="32"/>
          <w:szCs w:val="32"/>
        </w:rPr>
        <w:t>人民政府</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三家园</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建设项目</w:t>
      </w:r>
      <w:r>
        <w:rPr>
          <w:rFonts w:hint="eastAsia" w:ascii="仿宋_GB2312" w:hAnsi="Times New Roman" w:eastAsia="仿宋_GB2312" w:cs="Times New Roman"/>
          <w:sz w:val="32"/>
          <w:szCs w:val="32"/>
        </w:rPr>
        <w:t>建设领导小组》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乡党委书记、乡长分别担任双组长，全面负责项目推进工作的决策、部署与指挥。各分管领导与经办人员，</w:t>
      </w:r>
      <w:r>
        <w:rPr>
          <w:rFonts w:hint="eastAsia" w:ascii="仿宋_GB2312" w:hAnsi="Times New Roman" w:eastAsia="仿宋_GB2312" w:cs="Times New Roman"/>
          <w:sz w:val="32"/>
          <w:szCs w:val="32"/>
        </w:rPr>
        <w:t>细化分工</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负责项目各个节点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切实把责任担起来，以饱满的工作热情、高昂的工作斗志，全身心地投入到“三家园”项目建设工作当中，确保</w:t>
      </w:r>
      <w:r>
        <w:rPr>
          <w:rFonts w:hint="default"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三家园</w:t>
      </w:r>
      <w:r>
        <w:rPr>
          <w:rFonts w:hint="default"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建设项目在规划时间内建设完毕。</w:t>
      </w:r>
    </w:p>
    <w:p w14:paraId="04EDB2C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一是红原县2023年查尔玛乡人居环境提升整治项目。</w:t>
      </w:r>
      <w:r>
        <w:rPr>
          <w:rFonts w:hint="eastAsia" w:ascii="仿宋_GB2312" w:hAnsi="Times New Roman" w:eastAsia="仿宋_GB2312" w:cs="Times New Roman"/>
          <w:sz w:val="32"/>
          <w:szCs w:val="32"/>
          <w:lang w:val="en-US" w:eastAsia="zh-CN"/>
        </w:rPr>
        <w:t>提升全乡人居环境，完善小型公益设施、采购安装路灯、新建生态停车场、补齐基础设施短板等内容，该项目总投资1350万元。项目完工，资金拨付达100%。</w:t>
      </w:r>
    </w:p>
    <w:p w14:paraId="6501075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二是红原县畜牧业生产基础设施修复项目</w:t>
      </w:r>
      <w:r>
        <w:rPr>
          <w:rFonts w:hint="eastAsia" w:ascii="仿宋_GB2312" w:hAnsi="Times New Roman" w:eastAsia="仿宋_GB2312" w:cs="Times New Roman"/>
          <w:sz w:val="32"/>
          <w:szCs w:val="32"/>
          <w:lang w:val="en-US" w:eastAsia="zh-CN"/>
        </w:rPr>
        <w:t>。以每公里1万元标准，以工代赈的形式维修了242公里牧道；投入242万元，通过招标的形式，新建了10公里铅丝石笼堡坎，更换了9段已损毁涵管，重建32座板涵桥， 该项目完工，资金已拨付100%（含质保金）。</w:t>
      </w:r>
    </w:p>
    <w:p w14:paraId="5AF850B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三是尔玛乡庭院整治提升项目。</w:t>
      </w:r>
      <w:r>
        <w:rPr>
          <w:rFonts w:hint="eastAsia" w:ascii="仿宋_GB2312" w:hAnsi="Times New Roman" w:eastAsia="仿宋_GB2312" w:cs="Times New Roman"/>
          <w:sz w:val="32"/>
          <w:szCs w:val="32"/>
          <w:lang w:val="en-US" w:eastAsia="zh-CN"/>
        </w:rPr>
        <w:t>投资64万元，按以奖代补的方式，准备实施320家牧户的庭院进行整治；整治内容含入户路改造、生态围栏修剪、院内环境整治、晾衣架等内容，目前已竣工验收310户，资金拨付100%。</w:t>
      </w:r>
    </w:p>
    <w:p w14:paraId="314F0F18">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指标分值为6分，权重占比为60%，指标解释：2023年查尔玛乡成为“三家园”乡镇，县委县政府下大力气投入资金项目，集中提升整治乡村人居环境。评分方法：以社会效益指标为准，基础设施、环境卫生有一定的提升；评分说明：基础设施、环境卫生有一定的提升，政治320户庭院；总分值不超过6分，该项指标得分=6。</w:t>
      </w:r>
    </w:p>
    <w:p w14:paraId="484FC891">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灾后恢复重建方面。</w:t>
      </w:r>
      <w:r>
        <w:rPr>
          <w:rFonts w:hint="eastAsia" w:ascii="仿宋_GB2312" w:hAnsi="Times New Roman" w:eastAsia="仿宋_GB2312" w:cs="Times New Roman"/>
          <w:sz w:val="32"/>
          <w:szCs w:val="32"/>
          <w:lang w:val="zh-CN" w:eastAsia="zh-CN"/>
        </w:rPr>
        <w:t>年初目标：</w:t>
      </w:r>
      <w:r>
        <w:rPr>
          <w:rFonts w:hint="eastAsia" w:ascii="仿宋_GB2312" w:hAnsi="Times New Roman" w:eastAsia="仿宋_GB2312" w:cs="Times New Roman"/>
          <w:sz w:val="32"/>
          <w:szCs w:val="32"/>
          <w:lang w:val="en-US" w:eastAsia="zh-CN"/>
        </w:rPr>
        <w:t>有序推进“6.10”马尔康地震灾后重建项目，按照质量、速度、环保、安全、廉洁、稳定“六位一体”要求，及时分解任务、夯实责任、细化措施，科学有序抓好灾后重建项目各项工作。年底工作完成情况：一是对377户因地震灾害造成困难的家庭申请灾后房屋维修，对1户严重受损的牧户申请重建房屋，确保群众生产生活恢复正常，目前377户房屋维修已全部完成，1户重建已全部完成。同时进一步加强地灾防治，按照防范胜于救灾的理念，积极动员乡村干部、网格员、生态管护员对辖区内的山洪、滑坡、泥石流灾害隐患点，尤其是瓦尕穷谷山体二次垮塌隐患、查龙村村委会后山滑坡隐患点实行“一对一”管控，做到每日排查，随时关注预判，第一时间发布预警信息，第一时间疏散撤离群众，确保人民群众生命财产安全。二是查尔玛乡生产性道路（森林草原防火通道）灾毁段重建修复项目。投入资金30万元，重建灾毁段3公里，项目已完工，资金已拨付97%（留3%质保金）。三是暖棚维修项目共153户，已完成153户维修工程。</w:t>
      </w:r>
    </w:p>
    <w:p w14:paraId="3E42E931">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指标分值为3分，权重占比为20%指标解释：灾后重建项目能解决我乡“6.10”马尔康地震灾后遗留问题。评分方法：以产出指标中的数量指标为准，暖棚维修等于153户；评分说明：暖棚维修153户；总分值不超过3分，该项指标得分=3。</w:t>
      </w:r>
    </w:p>
    <w:p w14:paraId="11C9D405">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安全责任落实方面。</w:t>
      </w:r>
      <w:r>
        <w:rPr>
          <w:rFonts w:hint="eastAsia" w:ascii="仿宋_GB2312" w:hAnsi="Times New Roman" w:eastAsia="仿宋_GB2312" w:cs="Times New Roman"/>
          <w:sz w:val="32"/>
          <w:szCs w:val="32"/>
          <w:lang w:val="en-US" w:eastAsia="zh-CN"/>
        </w:rPr>
        <w:t>年初目标：常态化开展维护稳定、疫情防控、安全生产、防汛减灾、森林草原防灭火等工作。年底工作完成情况：签订《安全生产责任书》120余份，层层分解安全生产责任；同时加大安全生产宣传，坚持逢会必讲，提高“生命红线”意识，扎实开展安全宣传教育500余次，发放宣传单12000份，悬挂宣传横幅30条；定期开展安全隐患排查整治，组织人员检查小卖部、茶楼、小吃店、零售店共计300余次乡、村两级召开专题会议及传达上级防汛防火工作精神80余次，发放藏汉双语宣传单5000余份，张贴横幅标语20条，微信公众号推送信息800余条，出动车辆宣传防火知识共600余次，村级喇叭宣讲110次，开展防火知识讲堂30次，完成牧户“防火明白卡”全覆盖张贴；共开展防汛防火应急演练15次，义务扑火队拉练15次。</w:t>
      </w:r>
    </w:p>
    <w:p w14:paraId="4ACFA9F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指标分值为6分，权重占比为40%，指标解释：安全生产“责任重于泰山”，查尔玛在县委、县政府正确领导下，认真落实各项安全措施，将安全生产、消防安全、食品药品安全、道路交通安全、防汛减灾、森林草原防灭火等工作作为重心来抓，评分方法：以满意指标为准，群众满意度大于等于95%；评分说明：群众满意度大于等于95%，总分值不超过6分。该项指标得分=6。</w:t>
      </w:r>
    </w:p>
    <w:p w14:paraId="742C6DBC">
      <w:pPr>
        <w:pageBreakBefore w:val="0"/>
        <w:kinsoku/>
        <w:wordWrap/>
        <w:topLinePunct w:val="0"/>
        <w:bidi w:val="0"/>
        <w:spacing w:line="576" w:lineRule="exact"/>
        <w:ind w:firstLine="643" w:firstLineChars="200"/>
        <w:rPr>
          <w:rFonts w:hint="default"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1.</w:t>
      </w:r>
      <w:r>
        <w:rPr>
          <w:rFonts w:hint="default" w:ascii="仿宋_GB2312" w:hAnsi="Times New Roman" w:eastAsia="仿宋_GB2312" w:cs="Times New Roman"/>
          <w:b/>
          <w:bCs/>
          <w:sz w:val="32"/>
          <w:szCs w:val="32"/>
          <w:lang w:val="zh-CN" w:eastAsia="zh-CN"/>
        </w:rPr>
        <w:t>预算管理</w:t>
      </w:r>
    </w:p>
    <w:p w14:paraId="6C94D30E">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按照县财政预算编制工作要求，我乡细化预算编制，提高预算编制的科学化、精细化水平，组织财务人员积极参与预算一体化培训会，及时掌握预算编制口径等相关知识，结合单位工作实际，按照“两上两下”编制方式，按照编制内实有人数和国家工资标准编制，分类分档按定额逐项核定，全面、及时、完整地编制了单位预算，并经财政部门审核下达。</w:t>
      </w:r>
    </w:p>
    <w:p w14:paraId="4386E63B">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在预算执行中，我乡着力加强资金使用管理，在费用报账支付时，严格按照预算规定的费用项目和用途进行资金使用审核、列报支付、财务核算，杜绝超支现象的发生；着力加强项目支出调度，加强项目开展事前事中事后的跟踪和支出进度的控制，开展项目绩效评价，科学、合理安排支出项目；着力坚持厉行节约，压缩一般性支出，在预算编制中严格执行因公出国（境）经费、公务用车购置及运行费、公务接待费等“三公经费”不得超过上年人均压缩后规模的要求。2023年度“三公“经费支出情况：无出国出境费用；无公务接待费用；公务用车运行费为9.2万元。</w:t>
      </w:r>
    </w:p>
    <w:p w14:paraId="4FB4AF54">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我乡2023年收入全年预算数为1233.16万元，收入决算数为1186.07万元，预算完成度为96.18%，本年度支出全年预算数为1127.91万元，支出决算数为1180.82万元，预算完成度为96.18%。</w:t>
      </w:r>
    </w:p>
    <w:p w14:paraId="7E1EBD13">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eastAsia="zh-CN"/>
        </w:rPr>
      </w:pPr>
      <w:r>
        <w:rPr>
          <w:rFonts w:hint="eastAsia" w:ascii="仿宋_GB2312" w:hAnsi="Times New Roman" w:eastAsia="仿宋_GB2312" w:cs="Times New Roman"/>
          <w:b/>
          <w:bCs/>
          <w:sz w:val="32"/>
          <w:szCs w:val="32"/>
          <w:lang w:val="en-US" w:eastAsia="zh-CN"/>
        </w:rPr>
        <w:t>2.</w:t>
      </w:r>
      <w:r>
        <w:rPr>
          <w:rFonts w:hint="default" w:ascii="仿宋_GB2312" w:hAnsi="Times New Roman" w:eastAsia="仿宋_GB2312" w:cs="Times New Roman"/>
          <w:b/>
          <w:bCs/>
          <w:sz w:val="32"/>
          <w:szCs w:val="32"/>
          <w:lang w:val="zh-CN" w:eastAsia="zh-CN"/>
        </w:rPr>
        <w:t>财务管理</w:t>
      </w:r>
    </w:p>
    <w:p w14:paraId="68C34248">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r>
        <w:rPr>
          <w:rFonts w:hint="default" w:ascii="仿宋_GB2312" w:hAnsi="Times New Roman" w:eastAsia="仿宋_GB2312" w:cs="Times New Roman"/>
          <w:sz w:val="32"/>
          <w:szCs w:val="32"/>
          <w:lang w:val="zh-CN" w:eastAsia="zh-CN"/>
        </w:rPr>
        <w:t>我乡严格按照财务管理制度进行预、决算编报，在财政批复后在规定的时间内在指定网站进行财务公开工作，20</w:t>
      </w:r>
      <w:r>
        <w:rPr>
          <w:rFonts w:hint="default" w:ascii="仿宋_GB2312" w:hAnsi="Times New Roman" w:eastAsia="仿宋_GB2312" w:cs="Times New Roman"/>
          <w:sz w:val="32"/>
          <w:szCs w:val="32"/>
          <w:lang w:val="en-US" w:eastAsia="zh-CN"/>
        </w:rPr>
        <w:t>23</w:t>
      </w:r>
      <w:r>
        <w:rPr>
          <w:rFonts w:hint="default" w:ascii="仿宋_GB2312" w:hAnsi="Times New Roman" w:eastAsia="仿宋_GB2312" w:cs="Times New Roman"/>
          <w:sz w:val="32"/>
          <w:szCs w:val="32"/>
          <w:lang w:val="zh-CN" w:eastAsia="zh-CN"/>
        </w:rPr>
        <w:t>年以来，我乡制定了乡机关内部控制工作实施方案，并不断完善了“预算管理办法”、“合同管理制度”、“收支管理办法”、“资产管理制度”、“</w:t>
      </w:r>
      <w:r>
        <w:rPr>
          <w:rFonts w:hint="default" w:ascii="仿宋_GB2312" w:hAnsi="Times New Roman" w:eastAsia="仿宋_GB2312" w:cs="Times New Roman"/>
          <w:sz w:val="32"/>
          <w:szCs w:val="32"/>
          <w:lang w:val="en-US" w:eastAsia="zh-CN"/>
        </w:rPr>
        <w:t>采购管理制度</w:t>
      </w:r>
      <w:r>
        <w:rPr>
          <w:rFonts w:hint="default" w:ascii="仿宋_GB2312" w:hAnsi="Times New Roman" w:eastAsia="仿宋_GB2312" w:cs="Times New Roman"/>
          <w:sz w:val="32"/>
          <w:szCs w:val="32"/>
          <w:lang w:val="zh-CN" w:eastAsia="zh-CN"/>
        </w:rPr>
        <w:t>”等一系列内部制度</w:t>
      </w:r>
      <w:r>
        <w:rPr>
          <w:rFonts w:hint="eastAsia" w:ascii="仿宋_GB2312" w:hAnsi="Times New Roman" w:eastAsia="仿宋_GB2312" w:cs="Times New Roman"/>
          <w:sz w:val="32"/>
          <w:szCs w:val="32"/>
          <w:lang w:val="zh-CN" w:eastAsia="zh-CN"/>
        </w:rPr>
        <w:t>，部门合理设置财务工作岗位，明确职责权限，并严格实行不相容岗位分离的，资金使用规范，严格按照相关规程进行支付。</w:t>
      </w:r>
    </w:p>
    <w:p w14:paraId="2CA856F5">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rPr>
      </w:pPr>
      <w:r>
        <w:rPr>
          <w:rFonts w:hint="eastAsia" w:ascii="仿宋_GB2312" w:hAnsi="Times New Roman" w:eastAsia="仿宋_GB2312" w:cs="Times New Roman"/>
          <w:b/>
          <w:bCs/>
          <w:sz w:val="32"/>
          <w:szCs w:val="32"/>
          <w:lang w:val="en-US" w:eastAsia="zh-CN"/>
        </w:rPr>
        <w:t>4.</w:t>
      </w:r>
      <w:r>
        <w:rPr>
          <w:rFonts w:hint="default" w:ascii="仿宋_GB2312" w:hAnsi="Times New Roman" w:eastAsia="仿宋_GB2312" w:cs="Times New Roman"/>
          <w:b/>
          <w:bCs/>
          <w:sz w:val="32"/>
          <w:szCs w:val="32"/>
          <w:lang w:val="zh-CN" w:eastAsia="zh-CN"/>
        </w:rPr>
        <w:t>资产管理</w:t>
      </w:r>
    </w:p>
    <w:p w14:paraId="63B4414B">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截止到</w:t>
      </w:r>
      <w:r>
        <w:rPr>
          <w:rFonts w:hint="eastAsia" w:ascii="仿宋_GB2312" w:hAnsi="Times New Roman" w:eastAsia="仿宋_GB2312" w:cs="Times New Roman"/>
          <w:sz w:val="32"/>
          <w:szCs w:val="32"/>
          <w:lang w:val="en-US" w:eastAsia="zh-CN"/>
        </w:rPr>
        <w:t>2023年12月查尔玛乡人民政府固定资产原值为2067483元，累计折旧为1120208.24元，净值为947274.76元，无其它资产，</w:t>
      </w:r>
      <w:r>
        <w:rPr>
          <w:rFonts w:hint="eastAsia" w:ascii="仿宋_GB2312" w:hAnsi="Times New Roman" w:eastAsia="仿宋_GB2312" w:cs="Times New Roman"/>
          <w:sz w:val="32"/>
          <w:szCs w:val="32"/>
          <w:lang w:val="zh-CN" w:eastAsia="zh-CN"/>
        </w:rPr>
        <w:t>两年均无闲置资产。</w:t>
      </w:r>
    </w:p>
    <w:p w14:paraId="1F9256C5">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eastAsia="zh-CN"/>
        </w:rPr>
      </w:pPr>
      <w:r>
        <w:rPr>
          <w:rFonts w:hint="eastAsia" w:ascii="仿宋_GB2312" w:hAnsi="Times New Roman" w:eastAsia="仿宋_GB2312" w:cs="Times New Roman"/>
          <w:b/>
          <w:bCs/>
          <w:sz w:val="32"/>
          <w:szCs w:val="32"/>
          <w:lang w:val="en-US" w:eastAsia="zh-CN"/>
        </w:rPr>
        <w:t>5.</w:t>
      </w:r>
      <w:r>
        <w:rPr>
          <w:rFonts w:hint="default" w:ascii="仿宋_GB2312" w:hAnsi="Times New Roman" w:eastAsia="仿宋_GB2312" w:cs="Times New Roman"/>
          <w:b/>
          <w:bCs/>
          <w:sz w:val="32"/>
          <w:szCs w:val="32"/>
          <w:lang w:val="zh-CN" w:eastAsia="zh-CN"/>
        </w:rPr>
        <w:t>采购管理</w:t>
      </w:r>
    </w:p>
    <w:p w14:paraId="4716EF90">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2023年项目项目申报内容与具体实方内容相符、申报目标合理可行。资金计划及到位，资金到位率100%。项目资金严格按照相关规程进行拨付，该项目均严格按照合同价支付，支付依据合规合法，资金支付与预算相符，主管部门财务管理制度健全，能严格执行财务管理制度，账务处理及时，会计、出纳核算较为准确规范，采购执行率</w:t>
      </w:r>
      <w:r>
        <w:rPr>
          <w:rFonts w:hint="eastAsia" w:ascii="仿宋_GB2312" w:hAnsi="Times New Roman" w:eastAsia="仿宋_GB2312" w:cs="Times New Roman"/>
          <w:sz w:val="32"/>
          <w:szCs w:val="32"/>
          <w:lang w:val="en-US" w:eastAsia="zh-CN"/>
        </w:rPr>
        <w:t>100%</w:t>
      </w:r>
    </w:p>
    <w:p w14:paraId="33AC5826">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default" w:ascii="Times New Roman" w:hAnsi="Times New Roman" w:eastAsia="方正楷体_GBK" w:cs="Times New Roman"/>
          <w:b/>
          <w:kern w:val="2"/>
          <w:sz w:val="32"/>
          <w:szCs w:val="32"/>
          <w:highlight w:val="none"/>
          <w:lang w:val="zh-CN" w:eastAsia="zh-CN" w:bidi="ar-SA"/>
        </w:rPr>
        <w:t>（二）部门预算项目绩效分析。</w:t>
      </w:r>
      <w:r>
        <w:rPr>
          <w:rFonts w:hint="eastAsia" w:ascii="仿宋_GB2312" w:hAnsi="Times New Roman" w:eastAsia="仿宋_GB2312" w:cs="Times New Roman"/>
          <w:sz w:val="32"/>
          <w:szCs w:val="32"/>
          <w:lang w:val="zh-CN" w:eastAsia="zh-CN"/>
        </w:rPr>
        <w:t>填报以下数据，并</w:t>
      </w:r>
      <w:r>
        <w:rPr>
          <w:rFonts w:hint="default" w:ascii="仿宋_GB2312" w:hAnsi="Times New Roman" w:eastAsia="仿宋_GB2312" w:cs="Times New Roman"/>
          <w:sz w:val="32"/>
          <w:szCs w:val="32"/>
          <w:lang w:val="zh-CN" w:eastAsia="zh-CN"/>
        </w:rPr>
        <w:t>根据部门预算绩效评价指标体系“项目绩效”涉及</w:t>
      </w:r>
      <w:r>
        <w:rPr>
          <w:rFonts w:hint="eastAsia" w:ascii="仿宋_GB2312" w:hAnsi="Times New Roman" w:eastAsia="仿宋_GB2312" w:cs="Times New Roman"/>
          <w:sz w:val="32"/>
          <w:szCs w:val="32"/>
          <w:lang w:val="zh-CN" w:eastAsia="zh-CN"/>
        </w:rPr>
        <w:t>二、三级</w:t>
      </w:r>
      <w:r>
        <w:rPr>
          <w:rFonts w:hint="default" w:ascii="仿宋_GB2312" w:hAnsi="Times New Roman" w:eastAsia="仿宋_GB2312" w:cs="Times New Roman"/>
          <w:sz w:val="32"/>
          <w:szCs w:val="32"/>
          <w:lang w:val="zh-CN" w:eastAsia="zh-CN"/>
        </w:rPr>
        <w:t>指标进行</w:t>
      </w:r>
      <w:r>
        <w:rPr>
          <w:rFonts w:hint="eastAsia" w:ascii="仿宋_GB2312" w:hAnsi="Times New Roman" w:eastAsia="仿宋_GB2312" w:cs="Times New Roman"/>
          <w:sz w:val="32"/>
          <w:szCs w:val="32"/>
          <w:lang w:val="zh-CN" w:eastAsia="zh-CN"/>
        </w:rPr>
        <w:t>逐项</w:t>
      </w:r>
      <w:r>
        <w:rPr>
          <w:rFonts w:hint="default" w:ascii="仿宋_GB2312" w:hAnsi="Times New Roman" w:eastAsia="仿宋_GB2312" w:cs="Times New Roman"/>
          <w:sz w:val="32"/>
          <w:szCs w:val="32"/>
          <w:lang w:val="zh-CN" w:eastAsia="zh-CN"/>
        </w:rPr>
        <w:t>绩效分析</w:t>
      </w:r>
      <w:r>
        <w:rPr>
          <w:rFonts w:hint="eastAsia" w:ascii="仿宋_GB2312" w:hAnsi="Times New Roman" w:eastAsia="仿宋_GB2312" w:cs="Times New Roman"/>
          <w:sz w:val="32"/>
          <w:szCs w:val="32"/>
          <w:lang w:val="zh-CN" w:eastAsia="zh-CN"/>
        </w:rPr>
        <w:t>并评分</w:t>
      </w:r>
      <w:r>
        <w:rPr>
          <w:rFonts w:hint="default" w:ascii="仿宋_GB2312" w:hAnsi="Times New Roman" w:eastAsia="仿宋_GB2312" w:cs="Times New Roman"/>
          <w:sz w:val="32"/>
          <w:szCs w:val="32"/>
          <w:lang w:val="zh-CN" w:eastAsia="zh-CN"/>
        </w:rPr>
        <w:t>，依次包括项目</w:t>
      </w:r>
      <w:r>
        <w:rPr>
          <w:rFonts w:hint="default" w:ascii="仿宋_GB2312" w:hAnsi="Times New Roman" w:eastAsia="仿宋_GB2312" w:cs="Times New Roman"/>
          <w:sz w:val="32"/>
          <w:szCs w:val="32"/>
          <w:lang w:val="en-US" w:eastAsia="zh-CN"/>
        </w:rPr>
        <w:t>决策、项目执行、目标实现等情况</w:t>
      </w:r>
      <w:r>
        <w:rPr>
          <w:rFonts w:hint="eastAsia" w:ascii="仿宋_GB2312" w:hAnsi="Times New Roman" w:eastAsia="仿宋_GB2312" w:cs="Times New Roman"/>
          <w:sz w:val="32"/>
          <w:szCs w:val="32"/>
          <w:lang w:val="en-US" w:eastAsia="zh-CN"/>
        </w:rPr>
        <w:t>。</w:t>
      </w:r>
    </w:p>
    <w:p w14:paraId="63C1BFA7">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常年项目绩效分析。</w:t>
      </w:r>
      <w:r>
        <w:rPr>
          <w:rFonts w:hint="default" w:ascii="仿宋_GB2312" w:hAnsi="Times New Roman" w:eastAsia="仿宋_GB2312" w:cs="Times New Roman"/>
          <w:sz w:val="32"/>
          <w:szCs w:val="32"/>
          <w:lang w:val="zh-CN" w:eastAsia="zh-CN"/>
        </w:rPr>
        <w:t>该类项目总数</w:t>
      </w:r>
      <w:r>
        <w:rPr>
          <w:rFonts w:hint="eastAsia" w:ascii="仿宋_GB2312" w:hAnsi="Times New Roman" w:eastAsia="仿宋_GB2312" w:cs="Times New Roman"/>
          <w:sz w:val="32"/>
          <w:szCs w:val="32"/>
          <w:lang w:val="en-US" w:eastAsia="zh-CN"/>
        </w:rPr>
        <w:t>12</w:t>
      </w:r>
      <w:r>
        <w:rPr>
          <w:rFonts w:hint="default" w:ascii="仿宋_GB2312" w:hAnsi="Times New Roman" w:eastAsia="仿宋_GB2312" w:cs="Times New Roman"/>
          <w:sz w:val="32"/>
          <w:szCs w:val="32"/>
          <w:lang w:val="zh-CN" w:eastAsia="zh-CN"/>
        </w:rPr>
        <w:t>个，涉及预算总金额</w:t>
      </w:r>
      <w:r>
        <w:rPr>
          <w:rFonts w:hint="eastAsia" w:ascii="仿宋_GB2312" w:hAnsi="Times New Roman" w:eastAsia="仿宋_GB2312" w:cs="Times New Roman"/>
          <w:sz w:val="32"/>
          <w:szCs w:val="32"/>
          <w:lang w:val="en-US" w:eastAsia="zh-CN"/>
        </w:rPr>
        <w:t>431.32</w:t>
      </w:r>
      <w:r>
        <w:rPr>
          <w:rFonts w:hint="default" w:ascii="仿宋_GB2312" w:hAnsi="Times New Roman" w:eastAsia="仿宋_GB2312" w:cs="Times New Roman"/>
          <w:sz w:val="32"/>
          <w:szCs w:val="32"/>
          <w:lang w:val="zh-CN" w:eastAsia="zh-CN"/>
        </w:rPr>
        <w:t>万元，1</w:t>
      </w:r>
      <w:r>
        <w:rPr>
          <w:rFonts w:hint="eastAsia" w:ascii="仿宋_GB2312" w:hAnsi="Times New Roman" w:eastAsia="仿宋_GB2312" w:cs="Times New Roman"/>
          <w:sz w:val="32"/>
          <w:szCs w:val="32"/>
          <w:lang w:val="zh-CN" w:eastAsia="zh-CN"/>
        </w:rPr>
        <w:t>—</w:t>
      </w:r>
      <w:r>
        <w:rPr>
          <w:rFonts w:hint="default" w:ascii="仿宋_GB2312" w:hAnsi="Times New Roman" w:eastAsia="仿宋_GB2312" w:cs="Times New Roman"/>
          <w:sz w:val="32"/>
          <w:szCs w:val="32"/>
          <w:lang w:val="zh-CN" w:eastAsia="zh-CN"/>
        </w:rPr>
        <w:t>1</w:t>
      </w:r>
      <w:r>
        <w:rPr>
          <w:rFonts w:hint="default"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eastAsia="zh-CN"/>
        </w:rPr>
        <w:t>月预算执行总体进度为</w:t>
      </w:r>
      <w:r>
        <w:rPr>
          <w:rFonts w:hint="eastAsia" w:ascii="仿宋_GB2312" w:hAnsi="Times New Roman" w:eastAsia="仿宋_GB2312" w:cs="Times New Roman"/>
          <w:sz w:val="32"/>
          <w:szCs w:val="32"/>
          <w:lang w:val="en-US" w:eastAsia="zh-CN"/>
        </w:rPr>
        <w:t>82.85</w:t>
      </w:r>
      <w:r>
        <w:rPr>
          <w:rFonts w:hint="default" w:ascii="仿宋_GB2312" w:hAnsi="Times New Roman" w:eastAsia="仿宋_GB2312" w:cs="Times New Roman"/>
          <w:sz w:val="32"/>
          <w:szCs w:val="32"/>
          <w:lang w:val="zh-CN" w:eastAsia="zh-CN"/>
        </w:rPr>
        <w:t>%，其中：预算结余率大于</w:t>
      </w:r>
      <w:r>
        <w:rPr>
          <w:rFonts w:hint="default" w:ascii="仿宋_GB2312" w:hAnsi="Times New Roman" w:eastAsia="仿宋_GB2312" w:cs="Times New Roman"/>
          <w:sz w:val="32"/>
          <w:szCs w:val="32"/>
          <w:lang w:val="en-US" w:eastAsia="zh-CN"/>
        </w:rPr>
        <w:t>10%</w:t>
      </w:r>
      <w:r>
        <w:rPr>
          <w:rFonts w:hint="default" w:ascii="仿宋_GB2312" w:hAnsi="Times New Roman" w:eastAsia="仿宋_GB2312" w:cs="Times New Roman"/>
          <w:sz w:val="32"/>
          <w:szCs w:val="32"/>
          <w:lang w:val="zh-CN" w:eastAsia="zh-CN"/>
        </w:rPr>
        <w:t>的项目共计</w:t>
      </w:r>
      <w:r>
        <w:rPr>
          <w:rFonts w:hint="eastAsia"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eastAsia="zh-CN"/>
        </w:rPr>
        <w:t>个</w:t>
      </w:r>
      <w:r>
        <w:rPr>
          <w:rFonts w:hint="eastAsia" w:ascii="仿宋_GB2312" w:hAnsi="Times New Roman" w:eastAsia="仿宋_GB2312" w:cs="Times New Roman"/>
          <w:sz w:val="32"/>
          <w:szCs w:val="32"/>
          <w:lang w:val="zh-CN" w:eastAsia="zh-CN"/>
        </w:rPr>
        <w:t>，分别</w:t>
      </w:r>
      <w:r>
        <w:rPr>
          <w:rFonts w:hint="eastAsia" w:ascii="仿宋_GB2312" w:hAnsi="Times New Roman" w:eastAsia="仿宋_GB2312" w:cs="Times New Roman"/>
          <w:sz w:val="32"/>
          <w:szCs w:val="32"/>
          <w:lang w:val="en-US" w:eastAsia="zh-CN"/>
        </w:rPr>
        <w:t>为</w:t>
      </w:r>
      <w:r>
        <w:rPr>
          <w:rFonts w:hint="eastAsia" w:ascii="仿宋_GB2312" w:hAnsi="Times New Roman" w:eastAsia="仿宋_GB2312" w:cs="Times New Roman"/>
          <w:sz w:val="32"/>
          <w:szCs w:val="32"/>
          <w:lang w:val="zh-CN" w:eastAsia="zh-CN"/>
        </w:rPr>
        <w:t>2023年人代会议经费23000和2023年武装经费</w:t>
      </w:r>
      <w:r>
        <w:rPr>
          <w:rFonts w:hint="eastAsia" w:ascii="仿宋_GB2312" w:hAnsi="Times New Roman" w:eastAsia="仿宋_GB2312" w:cs="Times New Roman"/>
          <w:sz w:val="32"/>
          <w:szCs w:val="32"/>
          <w:lang w:val="en-US" w:eastAsia="zh-CN"/>
        </w:rPr>
        <w:t>3020元。</w:t>
      </w:r>
    </w:p>
    <w:p w14:paraId="3D9CEF68">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zh-CN" w:eastAsia="zh-CN"/>
        </w:rPr>
      </w:pPr>
      <w:r>
        <w:rPr>
          <w:rFonts w:hint="default" w:ascii="仿宋_GB2312" w:hAnsi="Times New Roman" w:eastAsia="仿宋_GB2312" w:cs="Times New Roman"/>
          <w:sz w:val="32"/>
          <w:szCs w:val="32"/>
          <w:lang w:val="en-US" w:eastAsia="zh-CN"/>
        </w:rPr>
        <w:t>阶段</w:t>
      </w:r>
      <w:r>
        <w:rPr>
          <w:rFonts w:hint="eastAsia" w:ascii="仿宋_GB2312" w:hAnsi="Times New Roman" w:eastAsia="仿宋_GB2312" w:cs="Times New Roman"/>
          <w:sz w:val="32"/>
          <w:szCs w:val="32"/>
          <w:lang w:val="en-US" w:eastAsia="zh-CN"/>
        </w:rPr>
        <w:t>（</w:t>
      </w:r>
      <w:r>
        <w:rPr>
          <w:rFonts w:hint="default" w:ascii="仿宋_GB2312" w:hAnsi="Times New Roman" w:eastAsia="仿宋_GB2312" w:cs="Times New Roman"/>
          <w:sz w:val="32"/>
          <w:szCs w:val="32"/>
          <w:lang w:val="en-US" w:eastAsia="zh-CN"/>
        </w:rPr>
        <w:t>一次性</w:t>
      </w:r>
      <w:r>
        <w:rPr>
          <w:rFonts w:hint="eastAsia" w:ascii="仿宋_GB2312" w:hAnsi="Times New Roman" w:eastAsia="仿宋_GB2312" w:cs="Times New Roman"/>
          <w:sz w:val="32"/>
          <w:szCs w:val="32"/>
          <w:lang w:val="en-US" w:eastAsia="zh-CN"/>
        </w:rPr>
        <w:t>）</w:t>
      </w:r>
      <w:r>
        <w:rPr>
          <w:rFonts w:hint="default" w:ascii="仿宋_GB2312" w:hAnsi="Times New Roman" w:eastAsia="仿宋_GB2312" w:cs="Times New Roman"/>
          <w:sz w:val="32"/>
          <w:szCs w:val="32"/>
          <w:lang w:val="en-US" w:eastAsia="zh-CN"/>
        </w:rPr>
        <w:t>项目绩效分析。</w:t>
      </w:r>
      <w:r>
        <w:rPr>
          <w:rFonts w:hint="default" w:ascii="仿宋_GB2312" w:hAnsi="Times New Roman" w:eastAsia="仿宋_GB2312" w:cs="Times New Roman"/>
          <w:sz w:val="32"/>
          <w:szCs w:val="32"/>
          <w:lang w:val="zh-CN" w:eastAsia="zh-CN"/>
        </w:rPr>
        <w:t>该类项目总数</w:t>
      </w:r>
      <w:r>
        <w:rPr>
          <w:rFonts w:hint="eastAsia" w:ascii="仿宋_GB2312" w:hAnsi="Times New Roman" w:eastAsia="仿宋_GB2312" w:cs="Times New Roman"/>
          <w:sz w:val="32"/>
          <w:szCs w:val="32"/>
          <w:lang w:val="en-US" w:eastAsia="zh-CN"/>
        </w:rPr>
        <w:t>8</w:t>
      </w:r>
      <w:r>
        <w:rPr>
          <w:rFonts w:hint="default" w:ascii="仿宋_GB2312" w:hAnsi="Times New Roman" w:eastAsia="仿宋_GB2312" w:cs="Times New Roman"/>
          <w:sz w:val="32"/>
          <w:szCs w:val="32"/>
          <w:lang w:val="zh-CN" w:eastAsia="zh-CN"/>
        </w:rPr>
        <w:t>个，涉及预算总金额</w:t>
      </w:r>
      <w:r>
        <w:rPr>
          <w:rFonts w:hint="eastAsia" w:ascii="仿宋_GB2312" w:hAnsi="Times New Roman" w:eastAsia="仿宋_GB2312" w:cs="Times New Roman"/>
          <w:sz w:val="32"/>
          <w:szCs w:val="32"/>
          <w:lang w:val="en-US" w:eastAsia="zh-CN"/>
        </w:rPr>
        <w:t>3064</w:t>
      </w:r>
      <w:r>
        <w:rPr>
          <w:rFonts w:hint="default" w:ascii="仿宋_GB2312" w:hAnsi="Times New Roman" w:eastAsia="仿宋_GB2312" w:cs="Times New Roman"/>
          <w:sz w:val="32"/>
          <w:szCs w:val="32"/>
          <w:lang w:val="zh-CN" w:eastAsia="zh-CN"/>
        </w:rPr>
        <w:t>万元，1</w:t>
      </w:r>
      <w:r>
        <w:rPr>
          <w:rFonts w:hint="eastAsia" w:ascii="仿宋_GB2312" w:hAnsi="Times New Roman" w:eastAsia="仿宋_GB2312" w:cs="Times New Roman"/>
          <w:sz w:val="32"/>
          <w:szCs w:val="32"/>
          <w:lang w:val="zh-CN" w:eastAsia="zh-CN"/>
        </w:rPr>
        <w:t>—</w:t>
      </w:r>
      <w:r>
        <w:rPr>
          <w:rFonts w:hint="default" w:ascii="仿宋_GB2312" w:hAnsi="Times New Roman" w:eastAsia="仿宋_GB2312" w:cs="Times New Roman"/>
          <w:sz w:val="32"/>
          <w:szCs w:val="32"/>
          <w:lang w:val="zh-CN" w:eastAsia="zh-CN"/>
        </w:rPr>
        <w:t>1</w:t>
      </w:r>
      <w:r>
        <w:rPr>
          <w:rFonts w:hint="default"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zh-CN" w:eastAsia="zh-CN"/>
        </w:rPr>
        <w:t>月预算执行总体进度为</w:t>
      </w:r>
      <w:r>
        <w:rPr>
          <w:rFonts w:hint="eastAsia" w:ascii="仿宋_GB2312" w:hAnsi="Times New Roman" w:eastAsia="仿宋_GB2312" w:cs="Times New Roman"/>
          <w:sz w:val="32"/>
          <w:szCs w:val="32"/>
          <w:lang w:val="en-US" w:eastAsia="zh-CN"/>
        </w:rPr>
        <w:t>87.6</w:t>
      </w:r>
      <w:r>
        <w:rPr>
          <w:rFonts w:hint="default" w:ascii="仿宋_GB2312" w:hAnsi="Times New Roman" w:eastAsia="仿宋_GB2312" w:cs="Times New Roman"/>
          <w:sz w:val="32"/>
          <w:szCs w:val="32"/>
          <w:lang w:val="zh-CN" w:eastAsia="zh-CN"/>
        </w:rPr>
        <w:t>%，其中：预算结余率大于</w:t>
      </w:r>
      <w:r>
        <w:rPr>
          <w:rFonts w:hint="default" w:ascii="仿宋_GB2312" w:hAnsi="Times New Roman" w:eastAsia="仿宋_GB2312" w:cs="Times New Roman"/>
          <w:sz w:val="32"/>
          <w:szCs w:val="32"/>
          <w:lang w:val="en-US" w:eastAsia="zh-CN"/>
        </w:rPr>
        <w:t>10%</w:t>
      </w:r>
      <w:r>
        <w:rPr>
          <w:rFonts w:hint="default" w:ascii="仿宋_GB2312" w:hAnsi="Times New Roman" w:eastAsia="仿宋_GB2312" w:cs="Times New Roman"/>
          <w:sz w:val="32"/>
          <w:szCs w:val="32"/>
          <w:lang w:val="zh-CN" w:eastAsia="zh-CN"/>
        </w:rPr>
        <w:t>的项目共计</w:t>
      </w:r>
      <w:r>
        <w:rPr>
          <w:rFonts w:hint="eastAsia" w:ascii="仿宋_GB2312" w:hAnsi="Times New Roman" w:eastAsia="仿宋_GB2312" w:cs="Times New Roman"/>
          <w:sz w:val="32"/>
          <w:szCs w:val="32"/>
          <w:lang w:val="en-US" w:eastAsia="zh-CN"/>
        </w:rPr>
        <w:t>1</w:t>
      </w:r>
      <w:r>
        <w:rPr>
          <w:rFonts w:hint="default" w:ascii="仿宋_GB2312" w:hAnsi="Times New Roman" w:eastAsia="仿宋_GB2312" w:cs="Times New Roman"/>
          <w:sz w:val="32"/>
          <w:szCs w:val="32"/>
          <w:lang w:val="zh-CN" w:eastAsia="zh-CN"/>
        </w:rPr>
        <w:t>个。</w:t>
      </w:r>
    </w:p>
    <w:p w14:paraId="3150217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zh-CN" w:eastAsia="zh-CN"/>
        </w:rPr>
        <w:t>查尔玛乡卫生户厕建设（一期）项目目标为以先建后补方式，新建农村户用卫生（无害化）200座，每户补助7700元；红原县畜牧业生产基础设施修复项目目标为牧道维修242公里，每公里1万元堡坎10公里，每公里20万元，涵管更换9个，每个1万，板涵桥加固维修32座，每座10万元；红原县2023年查尔玛乡以工代赈项目（什布龙村）目标为对村内道路提升该找3.2公里，宽4米的泥青路；查尔玛乡各村集体牦牛养殖及畜种改良项目目标为购买符合标准的牦牛；查尔玛乡庭院整治提升项目目标为以补助方式实施320户牧民群众的庭院整治，内容为：入户路改造，生态围栏修建维护，屋内院内环境整治等内容。查尔玛乡320户；红原县家庭牧场和标准养殖场目标为维修、加固家庭牧场8户，每户2万元，维修标准化养殖场5户，每户4万元，红原县暖棚恢复重建项目目标为暖棚恢复153间，共2907平方米，每平方米535.5元，每户补助1万元。均已按照要求程序进行项目入库。</w:t>
      </w:r>
    </w:p>
    <w:p w14:paraId="53BCE3B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en-US" w:eastAsia="zh-CN"/>
        </w:rPr>
        <w:t>2.项目执行</w:t>
      </w:r>
      <w:r>
        <w:rPr>
          <w:rFonts w:hint="eastAsia" w:ascii="仿宋_GB2312" w:hAnsi="Times New Roman" w:eastAsia="仿宋_GB2312" w:cs="Times New Roman"/>
          <w:b/>
          <w:bCs/>
          <w:sz w:val="32"/>
          <w:szCs w:val="32"/>
          <w:lang w:val="zh-CN" w:eastAsia="zh-CN"/>
        </w:rPr>
        <w:t>。</w:t>
      </w:r>
      <w:r>
        <w:rPr>
          <w:rFonts w:hint="eastAsia" w:ascii="仿宋_GB2312" w:hAnsi="Times New Roman" w:eastAsia="仿宋_GB2312" w:cs="Times New Roman"/>
          <w:sz w:val="32"/>
          <w:szCs w:val="32"/>
          <w:lang w:val="zh-CN" w:eastAsia="zh-CN"/>
        </w:rPr>
        <w:t>以上项目均严格按照验收标准进行验收，项目任务量完成、质量标准、进度计划成本、控制目标等符合项目绩效目标。</w:t>
      </w:r>
    </w:p>
    <w:p w14:paraId="5760597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目标实现。</w:t>
      </w:r>
      <w:r>
        <w:rPr>
          <w:rFonts w:hint="eastAsia" w:ascii="仿宋_GB2312" w:hAnsi="Times New Roman" w:eastAsia="仿宋_GB2312" w:cs="Times New Roman"/>
          <w:sz w:val="32"/>
          <w:szCs w:val="32"/>
          <w:lang w:val="zh-CN" w:eastAsia="zh-CN"/>
        </w:rPr>
        <w:t>改善了农村居民的居住环境，提高群众的生活质量和幸福感，提高牧民对环保理念的认识，进一步提升生态效益，加快草原牲畜业转型升级，促进牧户增收，有利于维护民族地区团结和社会稳定，严格按照前期目标实施，实施效果良好。</w:t>
      </w:r>
    </w:p>
    <w:p w14:paraId="760CBF35">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default" w:ascii="Times New Roman" w:hAnsi="Times New Roman" w:eastAsia="方正楷体_GBK" w:cs="Times New Roman"/>
          <w:b/>
          <w:kern w:val="2"/>
          <w:sz w:val="32"/>
          <w:szCs w:val="32"/>
          <w:highlight w:val="none"/>
          <w:lang w:val="zh-CN" w:eastAsia="zh-CN" w:bidi="ar-SA"/>
        </w:rPr>
        <w:t>（</w:t>
      </w:r>
      <w:r>
        <w:rPr>
          <w:rFonts w:hint="eastAsia" w:ascii="Times New Roman" w:hAnsi="Times New Roman" w:eastAsia="方正楷体_GBK" w:cs="Times New Roman"/>
          <w:b/>
          <w:kern w:val="2"/>
          <w:sz w:val="32"/>
          <w:szCs w:val="32"/>
          <w:highlight w:val="none"/>
          <w:lang w:val="zh-CN" w:eastAsia="zh-CN" w:bidi="ar-SA"/>
        </w:rPr>
        <w:t>三</w:t>
      </w:r>
      <w:r>
        <w:rPr>
          <w:rFonts w:hint="default" w:ascii="Times New Roman" w:hAnsi="Times New Roman" w:eastAsia="方正楷体_GBK" w:cs="Times New Roman"/>
          <w:b/>
          <w:kern w:val="2"/>
          <w:sz w:val="32"/>
          <w:szCs w:val="32"/>
          <w:highlight w:val="none"/>
          <w:lang w:val="zh-CN" w:eastAsia="zh-CN" w:bidi="ar-SA"/>
        </w:rPr>
        <w:t>）重点领域绩效分析。</w:t>
      </w:r>
      <w:r>
        <w:rPr>
          <w:rFonts w:hint="eastAsia" w:ascii="仿宋_GB2312" w:hAnsi="Times New Roman" w:eastAsia="仿宋_GB2312" w:cs="Times New Roman"/>
          <w:sz w:val="32"/>
          <w:szCs w:val="32"/>
          <w:lang w:val="en-US" w:eastAsia="zh-CN"/>
        </w:rPr>
        <w:t>州</w:t>
      </w:r>
      <w:r>
        <w:rPr>
          <w:rFonts w:hint="default" w:ascii="仿宋_GB2312" w:hAnsi="Times New Roman" w:eastAsia="仿宋_GB2312" w:cs="Times New Roman"/>
          <w:sz w:val="32"/>
          <w:szCs w:val="32"/>
          <w:lang w:val="en-US" w:eastAsia="zh-CN"/>
        </w:rPr>
        <w:t>级部门</w:t>
      </w:r>
      <w:r>
        <w:rPr>
          <w:rFonts w:hint="eastAsia" w:ascii="仿宋_GB2312" w:hAnsi="Times New Roman" w:eastAsia="仿宋_GB2312" w:cs="Times New Roman"/>
          <w:sz w:val="32"/>
          <w:szCs w:val="32"/>
          <w:lang w:val="en-US" w:eastAsia="zh-CN"/>
        </w:rPr>
        <w:t>2023年度无</w:t>
      </w:r>
      <w:r>
        <w:rPr>
          <w:rFonts w:hint="default" w:ascii="仿宋_GB2312" w:hAnsi="Times New Roman" w:eastAsia="仿宋_GB2312" w:cs="Times New Roman"/>
          <w:sz w:val="32"/>
          <w:szCs w:val="32"/>
          <w:lang w:val="en-US" w:eastAsia="zh-CN"/>
        </w:rPr>
        <w:t>涉及国有资本、行政事业性国有资产、债券资金、政府采购和政府购买服务等重点领域的</w:t>
      </w:r>
      <w:r>
        <w:rPr>
          <w:rFonts w:hint="eastAsia" w:ascii="仿宋_GB2312" w:hAnsi="Times New Roman" w:eastAsia="仿宋_GB2312" w:cs="Times New Roman"/>
          <w:sz w:val="32"/>
          <w:szCs w:val="32"/>
          <w:lang w:val="en-US" w:eastAsia="zh-CN"/>
        </w:rPr>
        <w:t>。</w:t>
      </w:r>
    </w:p>
    <w:p w14:paraId="1C0FD4DD">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default" w:ascii="Times New Roman" w:hAnsi="Times New Roman" w:eastAsia="方正楷体_GBK" w:cs="Times New Roman"/>
          <w:b/>
          <w:kern w:val="2"/>
          <w:sz w:val="32"/>
          <w:szCs w:val="32"/>
          <w:highlight w:val="none"/>
          <w:lang w:val="zh-CN" w:eastAsia="zh-CN" w:bidi="ar-SA"/>
        </w:rPr>
        <w:t>（四）绩效结果应用情况</w:t>
      </w:r>
      <w:r>
        <w:rPr>
          <w:rFonts w:hint="eastAsia" w:ascii="Times New Roman" w:hAnsi="Times New Roman" w:eastAsia="方正楷体_GBK" w:cs="Times New Roman"/>
          <w:b/>
          <w:kern w:val="2"/>
          <w:sz w:val="32"/>
          <w:szCs w:val="32"/>
          <w:highlight w:val="none"/>
          <w:lang w:val="zh-CN" w:eastAsia="zh-CN" w:bidi="ar-SA"/>
        </w:rPr>
        <w:t>。</w:t>
      </w:r>
      <w:r>
        <w:rPr>
          <w:rFonts w:hint="default" w:ascii="仿宋_GB2312" w:hAnsi="Times New Roman" w:eastAsia="仿宋_GB2312" w:cs="Times New Roman"/>
          <w:sz w:val="32"/>
          <w:szCs w:val="32"/>
          <w:lang w:val="zh-CN" w:eastAsia="zh-CN"/>
        </w:rPr>
        <w:t>从</w:t>
      </w:r>
      <w:r>
        <w:rPr>
          <w:rFonts w:hint="default" w:ascii="仿宋_GB2312" w:hAnsi="Times New Roman" w:eastAsia="仿宋_GB2312" w:cs="Times New Roman"/>
          <w:sz w:val="32"/>
          <w:szCs w:val="32"/>
          <w:lang w:val="en-US" w:eastAsia="zh-CN"/>
        </w:rPr>
        <w:t>预决算的</w:t>
      </w:r>
      <w:r>
        <w:rPr>
          <w:rFonts w:hint="default" w:ascii="仿宋_GB2312" w:hAnsi="Times New Roman" w:eastAsia="仿宋_GB2312" w:cs="Times New Roman"/>
          <w:sz w:val="32"/>
          <w:szCs w:val="32"/>
          <w:lang w:val="zh-CN" w:eastAsia="zh-CN"/>
        </w:rPr>
        <w:t>整体情况来看，我乡严格按照了年初预算进行部门整体支出，</w:t>
      </w:r>
      <w:r>
        <w:rPr>
          <w:rFonts w:hint="default" w:ascii="仿宋_GB2312" w:hAnsi="Times New Roman" w:eastAsia="仿宋_GB2312" w:cs="Times New Roman"/>
          <w:sz w:val="32"/>
          <w:szCs w:val="32"/>
          <w:lang w:val="en-US" w:eastAsia="zh-CN"/>
        </w:rPr>
        <w:t>预算执行为100%，预决算的主要差异原因在于根据新三定方案人员的大幅增加以及乡村振兴同脱贫攻坚有效衔接的资金项目。严格按照 “行动要快，工作要实，效果要好，奖惩要严”的要求和“督促、检查、协调、落实、推进”的原则，查尔玛乡的工程建设取得了重大进展，实施了重大工程建设和农业农村等多项项目，包括村集体牦牛养殖及畜种改良、人居环境提升整治、以工代赈项目前期经费等项目，全面推进了各项建设步伐，完成绩效目标。</w:t>
      </w:r>
      <w:r>
        <w:rPr>
          <w:rFonts w:hint="eastAsia" w:ascii="仿宋_GB2312" w:hAnsi="Times New Roman" w:eastAsia="仿宋_GB2312" w:cs="Times New Roman"/>
          <w:sz w:val="32"/>
          <w:szCs w:val="32"/>
          <w:lang w:val="en-US" w:eastAsia="zh-CN"/>
        </w:rPr>
        <w:t>严格按照上级部门要求及时进行信息公开和开展整改工作。</w:t>
      </w:r>
    </w:p>
    <w:p w14:paraId="32486A7C">
      <w:pPr>
        <w:keepNext w:val="0"/>
        <w:keepLines w:val="0"/>
        <w:pageBreakBefore w:val="0"/>
        <w:widowControl/>
        <w:kinsoku/>
        <w:wordWrap/>
        <w:overflowPunct w:val="0"/>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方正黑体_GBK" w:cs="Times New Roman"/>
          <w:color w:val="000000"/>
          <w:kern w:val="0"/>
          <w:sz w:val="32"/>
          <w:szCs w:val="32"/>
          <w:highlight w:val="none"/>
          <w:shd w:val="clear" w:color="auto" w:fill="FFFFFF"/>
          <w:lang w:bidi="ar-SA"/>
        </w:rPr>
      </w:pPr>
      <w:r>
        <w:rPr>
          <w:rFonts w:hint="default" w:ascii="Times New Roman" w:hAnsi="Times New Roman" w:eastAsia="方正黑体_GBK" w:cs="Times New Roman"/>
          <w:color w:val="000000"/>
          <w:kern w:val="0"/>
          <w:sz w:val="32"/>
          <w:szCs w:val="32"/>
          <w:highlight w:val="none"/>
          <w:shd w:val="clear" w:color="auto" w:fill="FFFFFF"/>
          <w:lang w:bidi="ar-SA"/>
        </w:rPr>
        <w:t>四、评价结论及建议</w:t>
      </w:r>
    </w:p>
    <w:p w14:paraId="11D40DD3">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（一）评价结论</w:t>
      </w:r>
    </w:p>
    <w:p w14:paraId="4A204007">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我乡预算绩效及管理整体评价良好，预算收入和支出相符。</w:t>
      </w:r>
    </w:p>
    <w:p w14:paraId="01850283">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（二）存在问题</w:t>
      </w:r>
    </w:p>
    <w:p w14:paraId="36EFE7B2">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bookmarkStart w:id="47" w:name="_Toc18861"/>
      <w:r>
        <w:rPr>
          <w:rFonts w:hint="default" w:ascii="仿宋_GB2312" w:hAnsi="Times New Roman" w:eastAsia="仿宋_GB2312" w:cs="Times New Roman"/>
          <w:b/>
          <w:bCs/>
          <w:sz w:val="32"/>
          <w:szCs w:val="32"/>
          <w:lang w:val="zh-CN" w:eastAsia="zh-CN"/>
        </w:rPr>
        <w:t>一是</w:t>
      </w:r>
      <w:r>
        <w:rPr>
          <w:rFonts w:hint="default" w:ascii="仿宋_GB2312" w:hAnsi="Times New Roman" w:eastAsia="仿宋_GB2312" w:cs="Times New Roman"/>
          <w:sz w:val="32"/>
          <w:szCs w:val="32"/>
          <w:lang w:val="en-US" w:eastAsia="zh-CN"/>
        </w:rPr>
        <w:t>内控制度不够健全</w:t>
      </w:r>
      <w:r>
        <w:rPr>
          <w:rFonts w:hint="default" w:ascii="仿宋_GB2312" w:hAnsi="Times New Roman" w:eastAsia="仿宋_GB2312" w:cs="Times New Roman"/>
          <w:sz w:val="32"/>
          <w:szCs w:val="32"/>
          <w:lang w:val="zh-CN" w:eastAsia="zh-CN"/>
        </w:rPr>
        <w:t>；</w:t>
      </w:r>
      <w:r>
        <w:rPr>
          <w:rFonts w:hint="default" w:ascii="仿宋_GB2312" w:hAnsi="Times New Roman" w:eastAsia="仿宋_GB2312" w:cs="Times New Roman"/>
          <w:b/>
          <w:bCs/>
          <w:sz w:val="32"/>
          <w:szCs w:val="32"/>
          <w:lang w:val="zh-CN" w:eastAsia="zh-CN"/>
        </w:rPr>
        <w:t>二是</w:t>
      </w:r>
      <w:r>
        <w:rPr>
          <w:rFonts w:hint="default" w:ascii="仿宋_GB2312" w:hAnsi="Times New Roman" w:eastAsia="仿宋_GB2312" w:cs="Times New Roman"/>
          <w:sz w:val="32"/>
          <w:szCs w:val="32"/>
          <w:lang w:val="en-US" w:eastAsia="zh-CN"/>
        </w:rPr>
        <w:t>责任分工不够明确；</w:t>
      </w:r>
      <w:r>
        <w:rPr>
          <w:rFonts w:hint="default" w:ascii="仿宋_GB2312" w:hAnsi="Times New Roman" w:eastAsia="仿宋_GB2312" w:cs="Times New Roman"/>
          <w:b/>
          <w:bCs/>
          <w:sz w:val="32"/>
          <w:szCs w:val="32"/>
          <w:lang w:val="en-US" w:eastAsia="zh-CN"/>
        </w:rPr>
        <w:t>三是</w:t>
      </w:r>
      <w:r>
        <w:rPr>
          <w:rFonts w:hint="default" w:ascii="仿宋_GB2312" w:hAnsi="Times New Roman" w:eastAsia="仿宋_GB2312" w:cs="Times New Roman"/>
          <w:sz w:val="32"/>
          <w:szCs w:val="32"/>
          <w:lang w:val="zh-CN" w:eastAsia="zh-CN"/>
        </w:rPr>
        <w:t>会计核算</w:t>
      </w:r>
      <w:r>
        <w:rPr>
          <w:rFonts w:hint="default" w:ascii="仿宋_GB2312" w:hAnsi="Times New Roman" w:eastAsia="仿宋_GB2312" w:cs="Times New Roman"/>
          <w:sz w:val="32"/>
          <w:szCs w:val="32"/>
          <w:lang w:val="en-US" w:eastAsia="zh-CN"/>
        </w:rPr>
        <w:t>不够</w:t>
      </w:r>
      <w:r>
        <w:rPr>
          <w:rFonts w:hint="default" w:ascii="仿宋_GB2312" w:hAnsi="Times New Roman" w:eastAsia="仿宋_GB2312" w:cs="Times New Roman"/>
          <w:sz w:val="32"/>
          <w:szCs w:val="32"/>
          <w:lang w:val="zh-CN" w:eastAsia="zh-CN"/>
        </w:rPr>
        <w:t>规范</w:t>
      </w:r>
      <w:bookmarkEnd w:id="47"/>
      <w:r>
        <w:rPr>
          <w:rFonts w:hint="default" w:ascii="仿宋_GB2312" w:hAnsi="Times New Roman" w:eastAsia="仿宋_GB2312" w:cs="Times New Roman"/>
          <w:sz w:val="32"/>
          <w:szCs w:val="32"/>
          <w:lang w:val="zh-CN" w:eastAsia="zh-CN"/>
        </w:rPr>
        <w:t>；</w:t>
      </w:r>
      <w:r>
        <w:rPr>
          <w:rFonts w:hint="default" w:ascii="仿宋_GB2312" w:hAnsi="Times New Roman" w:eastAsia="仿宋_GB2312" w:cs="Times New Roman"/>
          <w:b/>
          <w:bCs/>
          <w:sz w:val="32"/>
          <w:szCs w:val="32"/>
          <w:lang w:val="en-US" w:eastAsia="zh-CN"/>
        </w:rPr>
        <w:t>四是</w:t>
      </w:r>
      <w:r>
        <w:rPr>
          <w:rFonts w:hint="default" w:ascii="仿宋_GB2312" w:hAnsi="Times New Roman" w:eastAsia="仿宋_GB2312" w:cs="Times New Roman"/>
          <w:sz w:val="32"/>
          <w:szCs w:val="32"/>
          <w:lang w:val="en-US" w:eastAsia="zh-CN"/>
        </w:rPr>
        <w:t>财务人员不够专业。</w:t>
      </w:r>
    </w:p>
    <w:p w14:paraId="61CED252">
      <w:pPr>
        <w:keepNext w:val="0"/>
        <w:keepLines w:val="0"/>
        <w:pageBreakBefore w:val="0"/>
        <w:widowControl/>
        <w:kinsoku/>
        <w:wordWrap/>
        <w:overflowPunct w:val="0"/>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default" w:ascii="Times New Roman" w:hAnsi="Times New Roman" w:eastAsia="方正楷体_GBK" w:cs="Times New Roman"/>
          <w:b/>
          <w:kern w:val="2"/>
          <w:sz w:val="32"/>
          <w:szCs w:val="32"/>
          <w:highlight w:val="none"/>
          <w:lang w:val="zh-CN" w:eastAsia="zh-CN" w:bidi="ar-SA"/>
        </w:rPr>
      </w:pPr>
      <w:r>
        <w:rPr>
          <w:rFonts w:hint="default" w:ascii="Times New Roman" w:hAnsi="Times New Roman" w:eastAsia="方正楷体_GBK" w:cs="Times New Roman"/>
          <w:b/>
          <w:kern w:val="2"/>
          <w:sz w:val="32"/>
          <w:szCs w:val="32"/>
          <w:highlight w:val="none"/>
          <w:lang w:val="zh-CN" w:eastAsia="zh-CN" w:bidi="ar-SA"/>
        </w:rPr>
        <w:t>（</w:t>
      </w:r>
      <w:r>
        <w:rPr>
          <w:rFonts w:hint="default" w:ascii="Times New Roman" w:hAnsi="Times New Roman" w:eastAsia="方正楷体_GBK" w:cs="Times New Roman"/>
          <w:b/>
          <w:kern w:val="2"/>
          <w:sz w:val="32"/>
          <w:szCs w:val="32"/>
          <w:highlight w:val="none"/>
          <w:lang w:val="en-US" w:eastAsia="zh-CN" w:bidi="ar-SA"/>
        </w:rPr>
        <w:t>三</w:t>
      </w:r>
      <w:r>
        <w:rPr>
          <w:rFonts w:hint="default" w:ascii="Times New Roman" w:hAnsi="Times New Roman" w:eastAsia="方正楷体_GBK" w:cs="Times New Roman"/>
          <w:b/>
          <w:kern w:val="2"/>
          <w:sz w:val="32"/>
          <w:szCs w:val="32"/>
          <w:highlight w:val="none"/>
          <w:lang w:val="zh-CN" w:eastAsia="zh-CN" w:bidi="ar-SA"/>
        </w:rPr>
        <w:t>）改进建议</w:t>
      </w:r>
    </w:p>
    <w:p w14:paraId="76BAAF8D">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default" w:ascii="仿宋_GB2312" w:hAnsi="Times New Roman" w:eastAsia="仿宋_GB2312" w:cs="Times New Roman"/>
          <w:b/>
          <w:bCs/>
          <w:sz w:val="32"/>
          <w:szCs w:val="32"/>
          <w:lang w:val="en-US" w:eastAsia="zh-CN"/>
        </w:rPr>
        <w:t>一是</w:t>
      </w:r>
      <w:r>
        <w:rPr>
          <w:rFonts w:hint="default" w:ascii="仿宋_GB2312" w:hAnsi="Times New Roman" w:eastAsia="仿宋_GB2312" w:cs="Times New Roman"/>
          <w:sz w:val="32"/>
          <w:szCs w:val="32"/>
          <w:lang w:val="en-US" w:eastAsia="zh-CN"/>
        </w:rPr>
        <w:t>聘请第三方评估进行内部审计，帮助完善内部管理制度，确保制度不空白无遗漏，强化对重点风险岗位的监控。</w:t>
      </w:r>
      <w:r>
        <w:rPr>
          <w:rFonts w:hint="default" w:ascii="仿宋_GB2312" w:hAnsi="Times New Roman" w:eastAsia="仿宋_GB2312" w:cs="Times New Roman"/>
          <w:b/>
          <w:bCs/>
          <w:sz w:val="32"/>
          <w:szCs w:val="32"/>
          <w:lang w:val="en-US" w:eastAsia="zh-CN"/>
        </w:rPr>
        <w:t>二是</w:t>
      </w:r>
      <w:r>
        <w:rPr>
          <w:rFonts w:hint="default" w:ascii="仿宋_GB2312" w:hAnsi="Times New Roman" w:eastAsia="仿宋_GB2312" w:cs="Times New Roman"/>
          <w:sz w:val="32"/>
          <w:szCs w:val="32"/>
          <w:lang w:val="en-US" w:eastAsia="zh-CN"/>
        </w:rPr>
        <w:t>严格专人责任制，把责任压实在专人专岗中，确保工作的常态化开展</w:t>
      </w:r>
      <w:r>
        <w:rPr>
          <w:rFonts w:hint="default" w:ascii="仿宋_GB2312" w:hAnsi="Times New Roman" w:eastAsia="仿宋_GB2312" w:cs="Times New Roman"/>
          <w:sz w:val="32"/>
          <w:szCs w:val="32"/>
          <w:lang w:val="zh-CN" w:eastAsia="zh-CN"/>
        </w:rPr>
        <w:t>。</w:t>
      </w:r>
      <w:r>
        <w:rPr>
          <w:rFonts w:hint="default" w:ascii="仿宋_GB2312" w:hAnsi="Times New Roman" w:eastAsia="仿宋_GB2312" w:cs="Times New Roman"/>
          <w:b/>
          <w:bCs/>
          <w:sz w:val="32"/>
          <w:szCs w:val="32"/>
          <w:lang w:val="zh-CN" w:eastAsia="zh-CN"/>
        </w:rPr>
        <w:t>三是</w:t>
      </w:r>
      <w:r>
        <w:rPr>
          <w:rFonts w:hint="default" w:ascii="仿宋_GB2312" w:hAnsi="Times New Roman" w:eastAsia="仿宋_GB2312" w:cs="Times New Roman"/>
          <w:sz w:val="32"/>
          <w:szCs w:val="32"/>
          <w:lang w:val="zh-CN" w:eastAsia="zh-CN"/>
        </w:rPr>
        <w:t>财务人员要加</w:t>
      </w:r>
      <w:r>
        <w:rPr>
          <w:rFonts w:hint="default" w:ascii="仿宋_GB2312" w:hAnsi="Times New Roman" w:eastAsia="仿宋_GB2312" w:cs="Times New Roman"/>
          <w:sz w:val="32"/>
          <w:szCs w:val="32"/>
          <w:lang w:val="en-US" w:eastAsia="zh-CN"/>
        </w:rPr>
        <w:t>大继续教育的力度，在提升自我专业能力素养的同时提升会计核算的规范性</w:t>
      </w:r>
      <w:r>
        <w:rPr>
          <w:rFonts w:hint="default" w:ascii="仿宋_GB2312" w:hAnsi="Times New Roman" w:eastAsia="仿宋_GB2312" w:cs="Times New Roman"/>
          <w:sz w:val="32"/>
          <w:szCs w:val="32"/>
          <w:lang w:val="zh-CN" w:eastAsia="zh-CN"/>
        </w:rPr>
        <w:t>。</w:t>
      </w:r>
    </w:p>
    <w:p w14:paraId="21380973">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zh-CN"/>
        </w:rPr>
      </w:pPr>
    </w:p>
    <w:p w14:paraId="78436432">
      <w:pPr>
        <w:pStyle w:val="2"/>
        <w:rPr>
          <w:rFonts w:hint="default" w:ascii="仿宋_GB2312" w:hAnsi="Times New Roman" w:eastAsia="仿宋_GB2312" w:cs="Times New Roman"/>
          <w:sz w:val="32"/>
          <w:szCs w:val="32"/>
          <w:lang w:val="zh-CN"/>
        </w:rPr>
      </w:pPr>
    </w:p>
    <w:p w14:paraId="444A91E7">
      <w:pPr>
        <w:pStyle w:val="2"/>
        <w:rPr>
          <w:rFonts w:hint="default" w:ascii="仿宋_GB2312" w:hAnsi="Times New Roman" w:eastAsia="仿宋_GB2312" w:cs="Times New Roman"/>
          <w:sz w:val="32"/>
          <w:szCs w:val="32"/>
          <w:lang w:val="zh-CN"/>
        </w:rPr>
      </w:pPr>
    </w:p>
    <w:p w14:paraId="6DEF966A">
      <w:pPr>
        <w:pStyle w:val="2"/>
        <w:rPr>
          <w:rFonts w:hint="default" w:ascii="仿宋_GB2312" w:hAnsi="Times New Roman" w:eastAsia="仿宋_GB2312" w:cs="Times New Roman"/>
          <w:sz w:val="32"/>
          <w:szCs w:val="32"/>
          <w:lang w:val="zh-CN"/>
        </w:rPr>
      </w:pPr>
    </w:p>
    <w:p w14:paraId="667A8050">
      <w:pPr>
        <w:pStyle w:val="2"/>
        <w:rPr>
          <w:rFonts w:hint="default" w:ascii="仿宋_GB2312" w:hAnsi="Times New Roman" w:eastAsia="仿宋_GB2312" w:cs="Times New Roman"/>
          <w:sz w:val="32"/>
          <w:szCs w:val="32"/>
          <w:lang w:val="zh-CN"/>
        </w:rPr>
      </w:pPr>
    </w:p>
    <w:p w14:paraId="5EB35D91">
      <w:pPr>
        <w:pStyle w:val="8"/>
        <w:keepNext w:val="0"/>
        <w:keepLines w:val="0"/>
        <w:pageBreakBefore w:val="0"/>
        <w:kinsoku/>
        <w:wordWrap/>
        <w:topLinePunct w:val="0"/>
        <w:autoSpaceDE/>
        <w:autoSpaceDN/>
        <w:bidi w:val="0"/>
        <w:spacing w:line="576" w:lineRule="exact"/>
        <w:ind w:left="0" w:leftChars="0" w:firstLine="643" w:firstLineChars="200"/>
        <w:jc w:val="left"/>
        <w:textAlignment w:val="auto"/>
        <w:rPr>
          <w:rFonts w:hint="eastAsia"/>
          <w:i w:val="0"/>
          <w:iCs w:val="0"/>
          <w:sz w:val="28"/>
          <w:szCs w:val="28"/>
          <w:highlight w:val="none"/>
          <w:u w:val="none"/>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en-US" w:eastAsia="zh-CN" w:bidi="ar-SA"/>
        </w:rPr>
        <w:t>附表：</w:t>
      </w:r>
      <w:r>
        <w:rPr>
          <w:rFonts w:hint="default" w:ascii="仿宋_GB2312" w:hAnsi="仿宋_GB2312" w:eastAsia="仿宋_GB2312" w:cs="仿宋_GB2312"/>
          <w:kern w:val="2"/>
          <w:sz w:val="32"/>
          <w:szCs w:val="32"/>
          <w:shd w:val="clear" w:color="auto" w:fill="FFFFFF"/>
          <w:lang w:val="en-US" w:eastAsia="zh-CN" w:bidi="ar-SA"/>
        </w:rPr>
        <w:t>部门整体支出绩效目标完成情况自评表</w:t>
      </w:r>
    </w:p>
    <w:p w14:paraId="54DA9EF8">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jc w:val="left"/>
        <w:textAlignment w:val="auto"/>
        <w:rPr>
          <w:rFonts w:hint="default" w:ascii="Times New Roman" w:hAnsi="Times New Roman" w:eastAsia="方正仿宋_GBK" w:cs="Times New Roman"/>
          <w:color w:val="000000"/>
          <w:kern w:val="2"/>
          <w:sz w:val="32"/>
          <w:szCs w:val="32"/>
          <w:highlight w:val="none"/>
          <w:lang w:val="en-US" w:eastAsia="zh-CN" w:bidi="ar-SA"/>
        </w:rPr>
      </w:pPr>
    </w:p>
    <w:p w14:paraId="7AF86502">
      <w:pPr>
        <w:pStyle w:val="2"/>
        <w:rPr>
          <w:rFonts w:hint="default" w:ascii="Times New Roman" w:hAnsi="Times New Roman" w:eastAsia="方正仿宋_GBK" w:cs="Times New Roman"/>
          <w:color w:val="000000"/>
          <w:kern w:val="2"/>
          <w:sz w:val="32"/>
          <w:szCs w:val="32"/>
          <w:highlight w:val="none"/>
          <w:lang w:val="en-US" w:eastAsia="zh-CN" w:bidi="ar-SA"/>
        </w:rPr>
      </w:pPr>
    </w:p>
    <w:p w14:paraId="29F2C016">
      <w:pPr>
        <w:pStyle w:val="2"/>
        <w:rPr>
          <w:rFonts w:hint="default" w:ascii="Times New Roman" w:hAnsi="Times New Roman" w:eastAsia="方正仿宋_GBK" w:cs="Times New Roman"/>
          <w:color w:val="000000"/>
          <w:kern w:val="2"/>
          <w:sz w:val="32"/>
          <w:szCs w:val="32"/>
          <w:highlight w:val="none"/>
          <w:lang w:val="en-US" w:eastAsia="zh-CN" w:bidi="ar-SA"/>
        </w:rPr>
      </w:pPr>
    </w:p>
    <w:p w14:paraId="06796273">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color w:val="000000"/>
          <w:kern w:val="2"/>
          <w:sz w:val="32"/>
          <w:szCs w:val="32"/>
          <w:highlight w:val="none"/>
          <w:lang w:val="en-US" w:eastAsia="zh-CN" w:bidi="ar-SA"/>
        </w:rPr>
        <w:t xml:space="preserve">   红原县查尔玛乡人民政府</w:t>
      </w:r>
    </w:p>
    <w:p w14:paraId="2F787D64">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highlight w:val="none"/>
          <w:lang w:val="en-US" w:eastAsia="zh-CN" w:bidi="ar-SA"/>
        </w:rPr>
      </w:pPr>
      <w:r>
        <w:rPr>
          <w:rFonts w:hint="default" w:ascii="Times New Roman" w:hAnsi="Times New Roman" w:eastAsia="方正仿宋_GBK" w:cs="Times New Roman"/>
          <w:color w:val="000000"/>
          <w:kern w:val="2"/>
          <w:sz w:val="32"/>
          <w:szCs w:val="32"/>
          <w:highlight w:val="none"/>
          <w:lang w:val="en-US" w:eastAsia="zh-CN" w:bidi="ar-SA"/>
        </w:rPr>
        <w:t xml:space="preserve">                                  2024年6月1日</w:t>
      </w:r>
    </w:p>
    <w:p w14:paraId="585B3F3E">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2F8F61F6">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3212CACC">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1941A5B5">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69AFCD33">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369EADAE">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5E404BCA">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03741D6E">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3F0732E9">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p>
    <w:p w14:paraId="4987CDBC">
      <w:pPr>
        <w:rPr>
          <w:rFonts w:hint="eastAsia"/>
          <w:i w:val="0"/>
          <w:iCs w:val="0"/>
          <w:sz w:val="28"/>
          <w:szCs w:val="28"/>
          <w:highlight w:val="none"/>
          <w:u w:val="none"/>
          <w:lang w:val="en-US" w:eastAsia="zh-CN"/>
        </w:rPr>
      </w:pPr>
    </w:p>
    <w:p w14:paraId="31AA14CC">
      <w:pPr>
        <w:pStyle w:val="2"/>
        <w:rPr>
          <w:rFonts w:hint="eastAsia"/>
          <w:i w:val="0"/>
          <w:iCs w:val="0"/>
          <w:sz w:val="28"/>
          <w:szCs w:val="28"/>
          <w:highlight w:val="none"/>
          <w:u w:val="none"/>
          <w:lang w:val="en-US" w:eastAsia="zh-CN"/>
        </w:rPr>
      </w:pPr>
    </w:p>
    <w:p w14:paraId="7C4866C7">
      <w:pPr>
        <w:pStyle w:val="2"/>
        <w:rPr>
          <w:rFonts w:hint="eastAsia"/>
          <w:i w:val="0"/>
          <w:iCs w:val="0"/>
          <w:sz w:val="28"/>
          <w:szCs w:val="28"/>
          <w:highlight w:val="none"/>
          <w:u w:val="none"/>
          <w:lang w:val="en-US" w:eastAsia="zh-CN"/>
        </w:rPr>
      </w:pPr>
    </w:p>
    <w:p w14:paraId="2B166AE1">
      <w:pPr>
        <w:pStyle w:val="2"/>
        <w:rPr>
          <w:rFonts w:hint="eastAsia"/>
          <w:i w:val="0"/>
          <w:iCs w:val="0"/>
          <w:sz w:val="28"/>
          <w:szCs w:val="28"/>
          <w:highlight w:val="none"/>
          <w:u w:val="none"/>
          <w:lang w:val="en-US" w:eastAsia="zh-CN"/>
        </w:rPr>
      </w:pPr>
    </w:p>
    <w:p w14:paraId="0CDB84D8">
      <w:pPr>
        <w:pStyle w:val="2"/>
        <w:rPr>
          <w:rFonts w:hint="eastAsia"/>
          <w:i w:val="0"/>
          <w:iCs w:val="0"/>
          <w:sz w:val="28"/>
          <w:szCs w:val="28"/>
          <w:highlight w:val="none"/>
          <w:u w:val="none"/>
          <w:lang w:val="en-US" w:eastAsia="zh-CN"/>
        </w:rPr>
      </w:pPr>
    </w:p>
    <w:p w14:paraId="12AEF6DA">
      <w:pPr>
        <w:pStyle w:val="2"/>
        <w:rPr>
          <w:rFonts w:hint="eastAsia"/>
          <w:i w:val="0"/>
          <w:iCs w:val="0"/>
          <w:sz w:val="28"/>
          <w:szCs w:val="28"/>
          <w:highlight w:val="none"/>
          <w:u w:val="none"/>
          <w:lang w:val="en-US" w:eastAsia="zh-CN"/>
        </w:rPr>
      </w:pPr>
    </w:p>
    <w:p w14:paraId="3B0B4CD9">
      <w:pPr>
        <w:pStyle w:val="2"/>
        <w:rPr>
          <w:rFonts w:hint="eastAsia"/>
          <w:i w:val="0"/>
          <w:iCs w:val="0"/>
          <w:sz w:val="28"/>
          <w:szCs w:val="28"/>
          <w:highlight w:val="none"/>
          <w:u w:val="none"/>
          <w:lang w:val="en-US" w:eastAsia="zh-CN"/>
        </w:rPr>
      </w:pPr>
    </w:p>
    <w:p w14:paraId="13C6639C">
      <w:pPr>
        <w:pStyle w:val="2"/>
        <w:rPr>
          <w:rFonts w:hint="eastAsia"/>
          <w:i w:val="0"/>
          <w:iCs w:val="0"/>
          <w:sz w:val="28"/>
          <w:szCs w:val="28"/>
          <w:highlight w:val="none"/>
          <w:u w:val="none"/>
          <w:lang w:val="en-US" w:eastAsia="zh-CN"/>
        </w:rPr>
      </w:pPr>
    </w:p>
    <w:p w14:paraId="2A1491A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highlight w:val="none"/>
          <w:u w:val="none"/>
          <w:lang w:val="en-US" w:eastAsia="zh-CN"/>
        </w:rPr>
      </w:pPr>
      <w:r>
        <w:rPr>
          <w:sz w:val="28"/>
          <w:highlight w:val="none"/>
        </w:rP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64384;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2TOE0wAAAAcBAAAPAAAAAAAAAAEAIAAAACIAAABkcnMvZG93&#10;bnJldi54bWxQSwECFAAUAAAACACHTuJAfQfj0wUCAAD/AwAADgAAAAAAAAABACAAAAAiAQAAZHJz&#10;L2Uyb0RvYy54bWxQSwUGAAAAAAYABgBZAQAAmQUAAAAA&#10;">
                <v:fill on="f" focussize="0,0"/>
                <v:stroke color="#000000" joinstyle="round"/>
                <v:imagedata o:title=""/>
                <o:lock v:ext="edit" aspectratio="f"/>
              </v:line>
            </w:pict>
          </mc:Fallback>
        </mc:AlternateContent>
      </w:r>
    </w:p>
    <w:p w14:paraId="19C50C61">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highlight w:val="none"/>
          <w:shd w:val="clear" w:color="auto" w:fill="FFFFFF"/>
          <w:lang w:val="zh-CN"/>
        </w:rPr>
      </w:pPr>
      <w:r>
        <w:rPr>
          <w:sz w:val="28"/>
          <w:highlight w:val="none"/>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63360;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GeemNQAAAAHAQAADwAAAAAAAAABACAAAAAiAAAAZHJzL2Rv&#10;d25yZXYueG1sUEsBAhQAFAAAAAgAh07iQPswn1IFAgAA/wMAAA4AAAAAAAAAAQAgAAAAIwEAAGRy&#10;cy9lMm9Eb2MueG1sUEsFBgAAAAAGAAYAWQEAAJoFAAAAAA==&#10;">
                <v:fill on="f" focussize="0,0"/>
                <v:stroke color="#000000" joinstyle="round"/>
                <v:imagedata o:title=""/>
                <o:lock v:ext="edit" aspectratio="f"/>
              </v:line>
            </w:pict>
          </mc:Fallback>
        </mc:AlternateContent>
      </w:r>
      <w:r>
        <w:rPr>
          <w:rFonts w:hint="eastAsia"/>
          <w:i w:val="0"/>
          <w:iCs w:val="0"/>
          <w:sz w:val="28"/>
          <w:szCs w:val="28"/>
          <w:highlight w:val="none"/>
          <w:u w:val="none"/>
          <w:lang w:val="en-US" w:eastAsia="zh-CN"/>
        </w:rPr>
        <w:t>红原县查尔玛乡人民政府                   2024年6月1日印</w:t>
      </w:r>
    </w:p>
    <w:p w14:paraId="6CAE9E82">
      <w:pPr>
        <w:keepNext w:val="0"/>
        <w:keepLines w:val="0"/>
        <w:pageBreakBefore w:val="0"/>
        <w:kinsoku/>
        <w:wordWrap/>
        <w:overflowPunct/>
        <w:topLinePunct w:val="0"/>
        <w:autoSpaceDE/>
        <w:autoSpaceDN/>
        <w:bidi w:val="0"/>
        <w:spacing w:line="576" w:lineRule="exact"/>
        <w:ind w:firstLine="42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default" w:ascii="Times New Roman" w:hAnsi="Times New Roman" w:cs="Times New Roman"/>
          <w:color w:val="000000"/>
          <w:kern w:val="0"/>
          <w:szCs w:val="32"/>
          <w:highlight w:val="none"/>
          <w:shd w:val="clear" w:color="auto" w:fill="FFFFFF"/>
          <w:lang w:val="en-US" w:eastAsia="zh-CN"/>
        </w:rPr>
        <w:br w:type="page"/>
      </w:r>
      <w:r>
        <w:rPr>
          <w:rFonts w:hint="eastAsia" w:ascii="黑体" w:hAnsi="黑体" w:eastAsia="黑体" w:cs="黑体"/>
          <w:kern w:val="2"/>
          <w:sz w:val="32"/>
          <w:szCs w:val="24"/>
          <w:highlight w:val="none"/>
          <w:lang w:val="en-US" w:eastAsia="zh-CN" w:bidi="ar-SA"/>
        </w:rPr>
        <w:t>附表</w:t>
      </w:r>
    </w:p>
    <w:tbl>
      <w:tblPr>
        <w:tblStyle w:val="15"/>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3CEF8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noWrap w:val="0"/>
            <w:vAlign w:val="center"/>
          </w:tcPr>
          <w:p w14:paraId="12CE06A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黑体" w:cs="Times New Roman"/>
                <w:i w:val="0"/>
                <w:color w:val="000000"/>
                <w:sz w:val="28"/>
                <w:szCs w:val="28"/>
                <w:highlight w:val="none"/>
                <w:u w:val="none"/>
              </w:rPr>
            </w:pPr>
            <w:r>
              <w:rPr>
                <w:rFonts w:hint="default" w:ascii="Times New Roman" w:hAnsi="Times New Roman" w:eastAsia="方正小标宋简体" w:cs="Times New Roman"/>
                <w:i w:val="0"/>
                <w:color w:val="000000"/>
                <w:kern w:val="0"/>
                <w:sz w:val="44"/>
                <w:szCs w:val="44"/>
                <w:highlight w:val="none"/>
                <w:u w:val="none"/>
                <w:lang w:val="en-US" w:eastAsia="zh-CN" w:bidi="ar"/>
              </w:rPr>
              <w:t>部门整体支出绩效目标完成情况自评表</w:t>
            </w:r>
          </w:p>
        </w:tc>
      </w:tr>
      <w:tr w14:paraId="25E0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noWrap w:val="0"/>
            <w:vAlign w:val="center"/>
          </w:tcPr>
          <w:p w14:paraId="569A4484">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8"/>
                <w:szCs w:val="28"/>
                <w:highlight w:val="none"/>
                <w:u w:val="none"/>
              </w:rPr>
            </w:pPr>
            <w:r>
              <w:rPr>
                <w:rFonts w:hint="default" w:ascii="Times New Roman" w:hAnsi="Times New Roman" w:eastAsia="宋体" w:cs="Times New Roman"/>
                <w:i w:val="0"/>
                <w:color w:val="000000"/>
                <w:kern w:val="0"/>
                <w:sz w:val="28"/>
                <w:szCs w:val="28"/>
                <w:highlight w:val="none"/>
                <w:u w:val="none"/>
                <w:lang w:val="en-US" w:eastAsia="zh-CN" w:bidi="ar"/>
              </w:rPr>
              <w:t>（2023年度）</w:t>
            </w:r>
          </w:p>
        </w:tc>
      </w:tr>
      <w:tr w14:paraId="4598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noWrap w:val="0"/>
            <w:vAlign w:val="center"/>
          </w:tcPr>
          <w:p w14:paraId="10C9ED1D">
            <w:pPr>
              <w:keepNext w:val="0"/>
              <w:keepLines w:val="0"/>
              <w:pageBreakBefore w:val="0"/>
              <w:widowControl/>
              <w:suppressLineNumbers w:val="0"/>
              <w:kinsoku/>
              <w:wordWrap/>
              <w:overflowPunct/>
              <w:topLinePunct w:val="0"/>
              <w:autoSpaceDE/>
              <w:autoSpaceDN/>
              <w:bidi w:val="0"/>
              <w:adjustRightInd/>
              <w:snapToGrid/>
              <w:spacing w:line="576" w:lineRule="exact"/>
              <w:jc w:val="right"/>
              <w:textAlignment w:val="center"/>
              <w:outlineLvl w:val="9"/>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单位：万元</w:t>
            </w:r>
          </w:p>
        </w:tc>
      </w:tr>
      <w:tr w14:paraId="3BC2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14:paraId="53CC029D">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624B30D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eastAsia" w:eastAsia="宋体" w:cs="Times New Roman"/>
                <w:i w:val="0"/>
                <w:color w:val="000000"/>
                <w:kern w:val="0"/>
                <w:sz w:val="24"/>
                <w:szCs w:val="24"/>
                <w:highlight w:val="none"/>
                <w:u w:val="none"/>
                <w:lang w:val="en-US" w:eastAsia="zh-CN" w:bidi="ar"/>
              </w:rPr>
              <w:t>红原县查尔玛乡人民政</w:t>
            </w:r>
          </w:p>
        </w:tc>
      </w:tr>
      <w:tr w14:paraId="0517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0BB4D1D">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2EC5BC9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352D19C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02000FF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其他资金</w:t>
            </w:r>
          </w:p>
        </w:tc>
      </w:tr>
      <w:tr w14:paraId="1E50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473B4F">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A6DD3B3">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eastAsia" w:ascii="Times New Roman" w:hAnsi="Times New Roman" w:eastAsia="宋体" w:cs="Times New Roman"/>
                <w:i w:val="0"/>
                <w:color w:val="000000"/>
                <w:kern w:val="0"/>
                <w:sz w:val="24"/>
                <w:szCs w:val="24"/>
                <w:highlight w:val="none"/>
                <w:u w:val="none"/>
                <w:lang w:val="en-US" w:eastAsia="zh-CN" w:bidi="ar"/>
              </w:rPr>
              <w:t>1186.08</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295E15F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eastAsia="宋体" w:cs="Times New Roman"/>
                <w:i w:val="0"/>
                <w:color w:val="000000"/>
                <w:kern w:val="0"/>
                <w:sz w:val="24"/>
                <w:szCs w:val="24"/>
                <w:highlight w:val="none"/>
                <w:u w:val="none"/>
                <w:lang w:val="en-US" w:eastAsia="zh-CN" w:bidi="ar"/>
              </w:rPr>
              <w:t>1180.82</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2A73DBB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eastAsia="宋体" w:cs="Times New Roman"/>
                <w:i w:val="0"/>
                <w:color w:val="000000"/>
                <w:kern w:val="0"/>
                <w:sz w:val="24"/>
                <w:szCs w:val="24"/>
                <w:highlight w:val="none"/>
                <w:u w:val="none"/>
                <w:lang w:val="en-US" w:eastAsia="zh-CN" w:bidi="ar"/>
              </w:rPr>
              <w:t>5.26</w:t>
            </w:r>
          </w:p>
        </w:tc>
      </w:tr>
      <w:tr w14:paraId="3776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noWrap w:val="0"/>
            <w:vAlign w:val="center"/>
          </w:tcPr>
          <w:p w14:paraId="448FBF80">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default" w:ascii="Times New Roman" w:hAnsi="Times New Roman" w:eastAsia="宋体" w:cs="Times New Roman"/>
                <w:i w:val="0"/>
                <w:color w:val="000000"/>
                <w:sz w:val="24"/>
                <w:szCs w:val="24"/>
                <w:highlight w:val="none"/>
                <w:u w:val="none"/>
                <w:lang w:val="en-US" w:eastAsia="zh-CN"/>
              </w:rPr>
              <w:t>年度总体</w:t>
            </w:r>
          </w:p>
          <w:p w14:paraId="62D25985">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sz w:val="24"/>
                <w:szCs w:val="24"/>
                <w:highlight w:val="none"/>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14:paraId="6ABD783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eastAsia"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1.有序推进“6.10”马尔康地震灾后重建项目，按照质量、速度、环保、安全、廉洁、稳定“六位一体”要求，及时分解任务、夯实责任、细化措施，科学有序抓好灾后重建项目各项工作；</w:t>
            </w:r>
          </w:p>
          <w:p w14:paraId="0CEF1AB0">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eastAsia"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2.多措并举推动美丽乡村建设，重点推进农村户厕建设任务，系统治理乡容村貌突出问题，不断改善农村人居环境。</w:t>
            </w:r>
          </w:p>
          <w:p w14:paraId="5AE5C94E">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3.常态化开展维护稳定、疫情防控、安全生产、防汛减灾、森林草原防灭火等工作</w:t>
            </w:r>
          </w:p>
        </w:tc>
      </w:tr>
      <w:tr w14:paraId="7648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noWrap w:val="0"/>
            <w:vAlign w:val="center"/>
          </w:tcPr>
          <w:p w14:paraId="61D60FA7">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年度主要</w:t>
            </w:r>
          </w:p>
          <w:p w14:paraId="66D4A36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2EAC260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default" w:ascii="Times New Roman" w:hAnsi="Times New Roman" w:eastAsia="宋体" w:cs="Times New Roman"/>
                <w:i w:val="0"/>
                <w:color w:val="000000"/>
                <w:sz w:val="24"/>
                <w:szCs w:val="24"/>
                <w:highlight w:val="none"/>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09BFA48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default" w:ascii="Times New Roman" w:hAnsi="Times New Roman" w:eastAsia="宋体" w:cs="Times New Roman"/>
                <w:i w:val="0"/>
                <w:color w:val="000000"/>
                <w:sz w:val="24"/>
                <w:szCs w:val="24"/>
                <w:highlight w:val="none"/>
                <w:u w:val="none"/>
                <w:lang w:val="en-US" w:eastAsia="zh-CN"/>
              </w:rPr>
              <w:t>主要内容</w:t>
            </w:r>
          </w:p>
        </w:tc>
      </w:tr>
      <w:tr w14:paraId="37DF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noWrap w:val="0"/>
            <w:vAlign w:val="center"/>
          </w:tcPr>
          <w:p w14:paraId="4854F812">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5FE355F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重点项目方面</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33C2F14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多措并举推动美丽乡村建设，重点推进农村户厕建设任务，系统治理乡容村貌突出问题，不断改善农村人居环境。</w:t>
            </w:r>
          </w:p>
        </w:tc>
      </w:tr>
      <w:tr w14:paraId="2013E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noWrap w:val="0"/>
            <w:vAlign w:val="center"/>
          </w:tcPr>
          <w:p w14:paraId="5B6263FD">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3769FF9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灾后恢复重建方面</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23A27BA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有序推进“6.10”马尔康地震灾后重建项目，按照质量、速度、环保、安全、廉洁、稳定“六位一体”要求，及时分解任务、夯实责任、细化措施，科学有序抓好灾后重建项目各项工作。</w:t>
            </w:r>
          </w:p>
        </w:tc>
      </w:tr>
      <w:tr w14:paraId="7C70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noWrap w:val="0"/>
            <w:vAlign w:val="center"/>
          </w:tcPr>
          <w:p w14:paraId="073610D8">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008391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安全责任落实方面</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4CDB2AA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常态化开展维护稳定、疫情防控、安全生产、防汛减灾、森林草原防灭火等工作</w:t>
            </w:r>
          </w:p>
        </w:tc>
      </w:tr>
      <w:tr w14:paraId="3944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46C9C90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年度绩效</w:t>
            </w:r>
          </w:p>
          <w:p w14:paraId="4ECBFB5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63D0B44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3DC46FE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AB8ADA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07FDBDE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绩效指标</w:t>
            </w:r>
          </w:p>
          <w:p w14:paraId="0E7AE408">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4FC486AE">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F83FA8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14:paraId="4E24BC77">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76986A8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实际完成</w:t>
            </w:r>
          </w:p>
          <w:p w14:paraId="75C97356">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指标值</w:t>
            </w:r>
          </w:p>
        </w:tc>
      </w:tr>
      <w:tr w14:paraId="14F9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BAF49">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26B0CF98">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21A2DC11">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1B3F94C">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暖棚维修153户</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4AC5FBC2">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等于</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51D4296F">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153</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813A1F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户</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C6D9EAE">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20</w:t>
            </w:r>
            <w:r>
              <w:rPr>
                <w:rFonts w:hint="default" w:ascii="Times New Roman" w:hAnsi="Times New Roman" w:eastAsia="宋体" w:cs="Times New Roman"/>
                <w:i w:val="0"/>
                <w:color w:val="000000"/>
                <w:sz w:val="24"/>
                <w:szCs w:val="24"/>
                <w:highlight w:val="none"/>
                <w:u w:val="none"/>
                <w:lang w:val="en-US" w:eastAsia="zh-CN"/>
              </w:rPr>
              <w:t>%</w:t>
            </w:r>
          </w:p>
        </w:tc>
        <w:tc>
          <w:tcPr>
            <w:tcW w:w="1113" w:type="dxa"/>
            <w:tcBorders>
              <w:left w:val="single" w:color="000000" w:sz="4" w:space="0"/>
              <w:bottom w:val="single" w:color="000000" w:sz="4" w:space="0"/>
              <w:right w:val="single" w:color="000000" w:sz="4" w:space="0"/>
            </w:tcBorders>
            <w:noWrap w:val="0"/>
            <w:vAlign w:val="center"/>
          </w:tcPr>
          <w:p w14:paraId="7CBA545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3</w:t>
            </w:r>
          </w:p>
        </w:tc>
      </w:tr>
      <w:tr w14:paraId="07B2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E65C4">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133124B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14:paraId="15B21AC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社会效益</w:t>
            </w:r>
          </w:p>
          <w:p w14:paraId="1A53DBA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A6304A2">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基础设施、环境卫生有一定的提升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5DF45E3A">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定性指标</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3335889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一部分</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D975F8B">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改善</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066F0005">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40</w:t>
            </w:r>
            <w:r>
              <w:rPr>
                <w:rFonts w:hint="default" w:ascii="Times New Roman" w:hAnsi="Times New Roman" w:eastAsia="宋体" w:cs="Times New Roman"/>
                <w:i w:val="0"/>
                <w:color w:val="000000"/>
                <w:sz w:val="24"/>
                <w:szCs w:val="24"/>
                <w:highlight w:val="none"/>
                <w:u w:val="none"/>
                <w:lang w:val="en-US" w:eastAsia="zh-CN"/>
              </w:rPr>
              <w:t>%</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0391134E">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6</w:t>
            </w:r>
          </w:p>
        </w:tc>
      </w:tr>
      <w:tr w14:paraId="0D61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9A9D58">
            <w:pPr>
              <w:keepNext w:val="0"/>
              <w:keepLines w:val="0"/>
              <w:pageBreakBefore w:val="0"/>
              <w:widowControl/>
              <w:kinsoku/>
              <w:wordWrap/>
              <w:overflowPunct/>
              <w:topLinePunct w:val="0"/>
              <w:autoSpaceDE/>
              <w:autoSpaceDN/>
              <w:bidi w:val="0"/>
              <w:adjustRightInd/>
              <w:snapToGrid/>
              <w:spacing w:line="576"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20E324E1">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165912B8">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97AD31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群众满意度</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3C9DF063">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大于等于</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4ACE1362">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86D9895">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D2D75E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40%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19501DE3">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outlineLvl w:val="9"/>
              <w:rPr>
                <w:rFonts w:hint="default" w:ascii="Times New Roman" w:hAnsi="Times New Roman" w:eastAsia="宋体" w:cs="Times New Roman"/>
                <w:i w:val="0"/>
                <w:color w:val="000000"/>
                <w:sz w:val="24"/>
                <w:szCs w:val="24"/>
                <w:highlight w:val="none"/>
                <w:u w:val="none"/>
                <w:lang w:val="en-US" w:eastAsia="zh-CN"/>
              </w:rPr>
            </w:pPr>
            <w:r>
              <w:rPr>
                <w:rFonts w:hint="eastAsia" w:ascii="Times New Roman" w:hAnsi="Times New Roman" w:eastAsia="宋体" w:cs="Times New Roman"/>
                <w:i w:val="0"/>
                <w:color w:val="000000"/>
                <w:sz w:val="24"/>
                <w:szCs w:val="24"/>
                <w:highlight w:val="none"/>
                <w:u w:val="none"/>
                <w:lang w:val="en-US" w:eastAsia="zh-CN"/>
              </w:rPr>
              <w:t>6</w:t>
            </w:r>
          </w:p>
        </w:tc>
      </w:tr>
    </w:tbl>
    <w:p w14:paraId="1D5C8342">
      <w:pPr>
        <w:pStyle w:val="8"/>
        <w:pageBreakBefore w:val="0"/>
        <w:kinsoku/>
        <w:wordWrap/>
        <w:topLinePunct w:val="0"/>
        <w:bidi w:val="0"/>
        <w:spacing w:line="576" w:lineRule="exact"/>
        <w:ind w:left="0" w:leftChars="0" w:firstLine="0" w:firstLineChars="0"/>
        <w:rPr>
          <w:rFonts w:hint="default" w:ascii="Times New Roman" w:hAnsi="Times New Roman" w:eastAsia="黑体" w:cs="Times New Roman"/>
          <w:sz w:val="24"/>
          <w:szCs w:val="24"/>
          <w:highlight w:val="none"/>
          <w:lang w:val="en-US" w:eastAsia="zh-CN"/>
        </w:rPr>
      </w:pPr>
    </w:p>
    <w:p w14:paraId="353A21DB">
      <w:pPr>
        <w:pageBreakBefore w:val="0"/>
        <w:kinsoku/>
        <w:wordWrap/>
        <w:topLinePunct w:val="0"/>
        <w:bidi w:val="0"/>
        <w:spacing w:line="576" w:lineRule="exact"/>
      </w:pPr>
    </w:p>
    <w:p w14:paraId="622303D1">
      <w:pPr>
        <w:pageBreakBefore w:val="0"/>
        <w:kinsoku/>
        <w:wordWrap/>
        <w:topLinePunct w:val="0"/>
        <w:bidi w:val="0"/>
        <w:spacing w:line="576" w:lineRule="exact"/>
      </w:pPr>
    </w:p>
    <w:p w14:paraId="2CEF688F">
      <w:pPr>
        <w:pStyle w:val="2"/>
      </w:pPr>
    </w:p>
    <w:p w14:paraId="18EBDE69">
      <w:pPr>
        <w:pStyle w:val="2"/>
      </w:pPr>
    </w:p>
    <w:p w14:paraId="52BE2EC1">
      <w:pPr>
        <w:pStyle w:val="2"/>
      </w:pPr>
    </w:p>
    <w:p w14:paraId="2E7E025C">
      <w:pPr>
        <w:pStyle w:val="2"/>
      </w:pPr>
    </w:p>
    <w:p w14:paraId="44550FED">
      <w:pPr>
        <w:pStyle w:val="2"/>
      </w:pPr>
    </w:p>
    <w:p w14:paraId="530F9DEE">
      <w:pPr>
        <w:pStyle w:val="2"/>
      </w:pPr>
    </w:p>
    <w:p w14:paraId="4A5723E8">
      <w:pPr>
        <w:pStyle w:val="2"/>
      </w:pPr>
    </w:p>
    <w:p w14:paraId="340CC6CD">
      <w:pPr>
        <w:pStyle w:val="2"/>
      </w:pPr>
    </w:p>
    <w:p w14:paraId="6593BC5E">
      <w:pPr>
        <w:pStyle w:val="2"/>
      </w:pPr>
    </w:p>
    <w:p w14:paraId="196862D1">
      <w:pPr>
        <w:pStyle w:val="2"/>
      </w:pPr>
    </w:p>
    <w:p w14:paraId="14CC1783">
      <w:pPr>
        <w:pStyle w:val="2"/>
      </w:pPr>
    </w:p>
    <w:p w14:paraId="21E2A1AE">
      <w:pPr>
        <w:pStyle w:val="2"/>
      </w:pPr>
    </w:p>
    <w:p w14:paraId="534804CE">
      <w:pPr>
        <w:pStyle w:val="2"/>
      </w:pPr>
    </w:p>
    <w:p w14:paraId="1AA08925">
      <w:pPr>
        <w:pStyle w:val="2"/>
      </w:pPr>
    </w:p>
    <w:p w14:paraId="29811F59">
      <w:pPr>
        <w:pStyle w:val="2"/>
      </w:pPr>
    </w:p>
    <w:p w14:paraId="64DC0E9E">
      <w:pPr>
        <w:pStyle w:val="2"/>
      </w:pPr>
    </w:p>
    <w:p w14:paraId="22D067B2">
      <w:pPr>
        <w:pStyle w:val="2"/>
      </w:pPr>
    </w:p>
    <w:p w14:paraId="7DA348E2">
      <w:pPr>
        <w:pStyle w:val="2"/>
      </w:pPr>
    </w:p>
    <w:p w14:paraId="79FF1554">
      <w:pPr>
        <w:pStyle w:val="2"/>
      </w:pPr>
    </w:p>
    <w:p w14:paraId="6DE47D5D">
      <w:pPr>
        <w:pStyle w:val="2"/>
      </w:pPr>
    </w:p>
    <w:p w14:paraId="00A667E9">
      <w:pPr>
        <w:pStyle w:val="2"/>
      </w:pPr>
    </w:p>
    <w:p w14:paraId="521AB248">
      <w:pPr>
        <w:pStyle w:val="2"/>
      </w:pPr>
    </w:p>
    <w:p w14:paraId="785F9D2D">
      <w:pPr>
        <w:pStyle w:val="2"/>
      </w:pPr>
    </w:p>
    <w:p w14:paraId="0FDFCB21">
      <w:pPr>
        <w:pStyle w:val="2"/>
      </w:pPr>
    </w:p>
    <w:p w14:paraId="6532C027">
      <w:pPr>
        <w:pStyle w:val="2"/>
      </w:pPr>
    </w:p>
    <w:p w14:paraId="3C9EC18C">
      <w:pPr>
        <w:pStyle w:val="2"/>
      </w:pPr>
    </w:p>
    <w:p w14:paraId="1C0ABE0C">
      <w:pPr>
        <w:pStyle w:val="2"/>
      </w:pPr>
    </w:p>
    <w:p w14:paraId="290C47AA">
      <w:pPr>
        <w:pStyle w:val="2"/>
      </w:pPr>
    </w:p>
    <w:p w14:paraId="1E5C854A">
      <w:pPr>
        <w:pStyle w:val="2"/>
      </w:pPr>
    </w:p>
    <w:p w14:paraId="5CCE9F52">
      <w:pPr>
        <w:pStyle w:val="2"/>
      </w:pPr>
    </w:p>
    <w:p w14:paraId="1B917E2A">
      <w:pPr>
        <w:pStyle w:val="2"/>
      </w:pPr>
    </w:p>
    <w:p w14:paraId="25D30916">
      <w:pPr>
        <w:pageBreakBefore w:val="0"/>
        <w:kinsoku/>
        <w:wordWrap/>
        <w:topLinePunct w:val="0"/>
        <w:bidi w:val="0"/>
        <w:spacing w:line="576" w:lineRule="exact"/>
        <w:rPr>
          <w:rFonts w:ascii="黑体" w:hAnsi="黑体" w:eastAsia="黑体"/>
          <w:sz w:val="32"/>
          <w:szCs w:val="32"/>
        </w:rPr>
      </w:pPr>
      <w:r>
        <w:rPr>
          <w:rFonts w:hint="eastAsia" w:ascii="黑体" w:hAnsi="黑体" w:eastAsia="黑体"/>
          <w:sz w:val="32"/>
          <w:szCs w:val="32"/>
        </w:rPr>
        <w:t>附件2</w:t>
      </w:r>
    </w:p>
    <w:p w14:paraId="1241A22D">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702EA383">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关于红原县2023年查尔玛乡</w:t>
      </w:r>
    </w:p>
    <w:p w14:paraId="21414BFF">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人居环境提升整治项目的绩效评价报告</w:t>
      </w:r>
    </w:p>
    <w:p w14:paraId="347D18A4">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p>
    <w:p w14:paraId="23D7227F">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一、项目概况</w:t>
      </w:r>
    </w:p>
    <w:p w14:paraId="6E58A85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cs="仿宋_GB2312"/>
          <w:color w:val="auto"/>
          <w:kern w:val="0"/>
          <w:sz w:val="32"/>
          <w:szCs w:val="32"/>
          <w:highlight w:val="none"/>
          <w:u w:val="none"/>
          <w:shd w:val="clear" w:color="auto" w:fill="FFFFFF"/>
          <w:lang w:val="en-US" w:eastAsia="zh-CN"/>
        </w:rPr>
        <w:t>项</w:t>
      </w:r>
      <w:r>
        <w:rPr>
          <w:rFonts w:hint="eastAsia" w:ascii="仿宋_GB2312" w:hAnsi="仿宋_GB2312" w:eastAsia="仿宋_GB2312" w:cs="仿宋_GB2312"/>
          <w:color w:val="auto"/>
          <w:sz w:val="32"/>
          <w:szCs w:val="32"/>
          <w:lang w:val="zh-CN"/>
        </w:rPr>
        <w:t>查尔玛乡人居环境提升整治项目</w:t>
      </w:r>
      <w:r>
        <w:rPr>
          <w:rFonts w:hint="eastAsia" w:ascii="仿宋_GB2312" w:hAnsi="仿宋_GB2312" w:eastAsia="仿宋_GB2312" w:cs="仿宋_GB2312"/>
          <w:color w:val="auto"/>
          <w:kern w:val="2"/>
          <w:sz w:val="32"/>
          <w:szCs w:val="32"/>
          <w:lang w:val="en-US" w:eastAsia="zh-CN" w:bidi="ar"/>
        </w:rPr>
        <w:t>，项目下达资金1350元，资金来源属于</w:t>
      </w:r>
      <w:r>
        <w:rPr>
          <w:rFonts w:hint="eastAsia" w:ascii="仿宋_GB2312" w:hAnsi="仿宋_GB2312" w:eastAsia="仿宋_GB2312" w:cs="仿宋_GB2312"/>
          <w:color w:val="auto"/>
          <w:kern w:val="2"/>
          <w:sz w:val="32"/>
          <w:szCs w:val="32"/>
          <w:lang w:val="zh-CN" w:eastAsia="zh-CN" w:bidi="ar"/>
        </w:rPr>
        <w:t>20</w:t>
      </w:r>
      <w:r>
        <w:rPr>
          <w:rFonts w:hint="eastAsia" w:ascii="仿宋_GB2312" w:hAnsi="仿宋_GB2312" w:eastAsia="仿宋_GB2312" w:cs="仿宋_GB2312"/>
          <w:color w:val="auto"/>
          <w:kern w:val="2"/>
          <w:sz w:val="32"/>
          <w:szCs w:val="32"/>
          <w:lang w:val="en-US" w:eastAsia="zh-CN" w:bidi="ar"/>
        </w:rPr>
        <w:t>23</w:t>
      </w:r>
      <w:r>
        <w:rPr>
          <w:rFonts w:hint="eastAsia" w:ascii="仿宋_GB2312" w:hAnsi="仿宋_GB2312" w:eastAsia="仿宋_GB2312" w:cs="仿宋_GB2312"/>
          <w:color w:val="auto"/>
          <w:kern w:val="2"/>
          <w:sz w:val="32"/>
          <w:szCs w:val="32"/>
          <w:lang w:val="zh-CN" w:eastAsia="zh-CN" w:bidi="ar"/>
        </w:rPr>
        <w:t>年乡村振兴衔接</w:t>
      </w:r>
      <w:r>
        <w:rPr>
          <w:rFonts w:hint="eastAsia" w:ascii="仿宋_GB2312" w:hAnsi="仿宋_GB2312" w:eastAsia="仿宋_GB2312" w:cs="仿宋_GB2312"/>
          <w:color w:val="auto"/>
          <w:kern w:val="2"/>
          <w:sz w:val="32"/>
          <w:szCs w:val="32"/>
          <w:lang w:val="en-US" w:eastAsia="zh-CN" w:bidi="ar"/>
        </w:rPr>
        <w:t>资金及绵阳援建资金，</w:t>
      </w:r>
      <w:r>
        <w:rPr>
          <w:rFonts w:hint="eastAsia" w:ascii="仿宋_GB2312" w:hAnsi="仿宋_GB2312" w:eastAsia="仿宋_GB2312" w:cs="仿宋_GB2312"/>
          <w:color w:val="auto"/>
          <w:sz w:val="32"/>
          <w:szCs w:val="32"/>
          <w:lang w:val="zh-CN"/>
        </w:rPr>
        <w:t>符合资金管理办法等相关规定。</w:t>
      </w:r>
    </w:p>
    <w:p w14:paraId="10C5135B">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sz w:val="32"/>
          <w:szCs w:val="32"/>
          <w:lang w:val="zh-CN"/>
        </w:rPr>
        <w:t>该项目建设内容为：一是提升整治全乡人居环境。二是完善提升小型公益设施、便民设施等配套，采购安装路灯，生态停车场建设等。</w:t>
      </w:r>
    </w:p>
    <w:p w14:paraId="6FACD98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color w:val="auto"/>
          <w:sz w:val="32"/>
          <w:szCs w:val="32"/>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b/>
          <w:bCs/>
          <w:color w:val="auto"/>
          <w:sz w:val="32"/>
          <w:szCs w:val="32"/>
          <w:lang w:val="zh-CN"/>
        </w:rPr>
        <w:t>1．资金计划及到位。</w:t>
      </w:r>
      <w:r>
        <w:rPr>
          <w:rFonts w:hint="eastAsia" w:ascii="仿宋_GB2312" w:hAnsi="仿宋_GB2312" w:eastAsia="仿宋_GB2312" w:cs="仿宋_GB2312"/>
          <w:color w:val="auto"/>
          <w:kern w:val="2"/>
          <w:sz w:val="32"/>
          <w:szCs w:val="32"/>
          <w:lang w:val="en-US" w:eastAsia="zh-CN" w:bidi="ar"/>
        </w:rPr>
        <w:t>该项目总投资1350万元，属于</w:t>
      </w:r>
      <w:r>
        <w:rPr>
          <w:rFonts w:hint="eastAsia" w:ascii="仿宋_GB2312" w:hAnsi="仿宋_GB2312" w:eastAsia="仿宋_GB2312" w:cs="仿宋_GB2312"/>
          <w:color w:val="auto"/>
          <w:kern w:val="2"/>
          <w:sz w:val="32"/>
          <w:szCs w:val="32"/>
          <w:lang w:val="zh-CN" w:eastAsia="zh-CN" w:bidi="ar"/>
        </w:rPr>
        <w:t>20</w:t>
      </w:r>
      <w:r>
        <w:rPr>
          <w:rFonts w:hint="eastAsia" w:ascii="仿宋_GB2312" w:hAnsi="仿宋_GB2312" w:eastAsia="仿宋_GB2312" w:cs="仿宋_GB2312"/>
          <w:color w:val="auto"/>
          <w:kern w:val="2"/>
          <w:sz w:val="32"/>
          <w:szCs w:val="32"/>
          <w:lang w:val="en-US" w:eastAsia="zh-CN" w:bidi="ar"/>
        </w:rPr>
        <w:t>23</w:t>
      </w:r>
      <w:r>
        <w:rPr>
          <w:rFonts w:hint="eastAsia" w:ascii="仿宋_GB2312" w:hAnsi="仿宋_GB2312" w:eastAsia="仿宋_GB2312" w:cs="仿宋_GB2312"/>
          <w:color w:val="auto"/>
          <w:kern w:val="2"/>
          <w:sz w:val="32"/>
          <w:szCs w:val="32"/>
          <w:lang w:val="zh-CN" w:eastAsia="zh-CN" w:bidi="ar"/>
        </w:rPr>
        <w:t>年乡村振兴衔接</w:t>
      </w:r>
      <w:r>
        <w:rPr>
          <w:rFonts w:hint="eastAsia" w:ascii="仿宋_GB2312" w:hAnsi="仿宋_GB2312" w:eastAsia="仿宋_GB2312" w:cs="仿宋_GB2312"/>
          <w:color w:val="auto"/>
          <w:kern w:val="2"/>
          <w:sz w:val="32"/>
          <w:szCs w:val="32"/>
          <w:lang w:val="en-US" w:eastAsia="zh-CN" w:bidi="ar"/>
        </w:rPr>
        <w:t>资金及绵阳援建资金于2023年8月共计下达950万元，2024年4月乡村振兴衔接资金332.6万元，截至目前资金到位率100%。</w:t>
      </w:r>
    </w:p>
    <w:p w14:paraId="09C273F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bCs/>
          <w:color w:val="auto"/>
          <w:sz w:val="32"/>
          <w:szCs w:val="32"/>
          <w:lang w:val="zh-CN"/>
        </w:rPr>
        <w:t>2．资金使用。</w:t>
      </w:r>
      <w:r>
        <w:rPr>
          <w:rFonts w:hint="eastAsia" w:ascii="仿宋_GB2312" w:hAnsi="仿宋_GB2312" w:eastAsia="仿宋_GB2312" w:cs="仿宋_GB2312"/>
          <w:color w:val="auto"/>
          <w:kern w:val="2"/>
          <w:sz w:val="32"/>
          <w:szCs w:val="32"/>
          <w:lang w:val="en-US" w:eastAsia="zh-CN" w:bidi="ar"/>
        </w:rPr>
        <w:t>该项目资金严格按照相关规程进行拨付，截止目前，该项目合同价为1282.65万元，目前已支付至合同价的70%，共计903万元。</w:t>
      </w:r>
      <w:r>
        <w:rPr>
          <w:rFonts w:hint="eastAsia" w:ascii="仿宋_GB2312" w:hAnsi="仿宋_GB2312" w:eastAsia="仿宋_GB2312" w:cs="仿宋_GB2312"/>
          <w:color w:val="auto"/>
          <w:sz w:val="32"/>
          <w:szCs w:val="32"/>
          <w:lang w:val="zh-CN"/>
        </w:rPr>
        <w:t>支付依据合规合法，资金支付与预算相符。</w:t>
      </w:r>
    </w:p>
    <w:p w14:paraId="1EBB489E">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default" w:ascii="仿宋_GB2312" w:hAnsi="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color w:val="auto"/>
          <w:sz w:val="32"/>
          <w:szCs w:val="32"/>
          <w:lang w:val="zh-CN"/>
        </w:rPr>
        <w:t>该项目建设内容为：一是提升整治全乡人居环境。二是完善提升小型公益设施、便民设施等配套，采购安装路灯，生态停车场建设等。</w:t>
      </w:r>
      <w:r>
        <w:rPr>
          <w:rFonts w:hint="eastAsia" w:ascii="仿宋_GB2312" w:hAnsi="仿宋_GB2312" w:eastAsia="仿宋_GB2312" w:cs="仿宋_GB2312"/>
          <w:color w:val="auto"/>
          <w:kern w:val="2"/>
          <w:sz w:val="32"/>
          <w:szCs w:val="32"/>
          <w:lang w:val="en-US" w:eastAsia="zh-CN" w:bidi="ar"/>
        </w:rPr>
        <w:t>该项目</w:t>
      </w:r>
      <w:r>
        <w:rPr>
          <w:rFonts w:hint="eastAsia" w:ascii="仿宋_GB2312" w:hAnsi="仿宋_GB2312" w:cs="仿宋_GB2312"/>
          <w:color w:val="auto"/>
          <w:kern w:val="2"/>
          <w:sz w:val="32"/>
          <w:szCs w:val="32"/>
          <w:lang w:val="en-US" w:eastAsia="zh-CN" w:bidi="ar"/>
        </w:rPr>
        <w:t>已</w:t>
      </w:r>
      <w:r>
        <w:rPr>
          <w:rFonts w:hint="eastAsia" w:ascii="仿宋_GB2312" w:hAnsi="仿宋_GB2312" w:eastAsia="仿宋_GB2312" w:cs="仿宋_GB2312"/>
          <w:color w:val="auto"/>
          <w:kern w:val="2"/>
          <w:sz w:val="32"/>
          <w:szCs w:val="32"/>
          <w:lang w:val="en-US" w:eastAsia="zh-CN" w:bidi="ar"/>
        </w:rPr>
        <w:t>完工</w:t>
      </w:r>
      <w:r>
        <w:rPr>
          <w:rFonts w:hint="eastAsia" w:ascii="仿宋_GB2312" w:hAnsi="仿宋_GB2312" w:eastAsia="仿宋_GB2312" w:cs="仿宋_GB2312"/>
          <w:color w:val="auto"/>
          <w:kern w:val="0"/>
          <w:sz w:val="32"/>
          <w:szCs w:val="32"/>
          <w:highlight w:val="none"/>
          <w:u w:val="none"/>
          <w:shd w:val="clear" w:color="auto" w:fill="FFFFFF"/>
          <w:lang w:val="zh-CN"/>
        </w:rPr>
        <w:t>。</w:t>
      </w:r>
    </w:p>
    <w:p w14:paraId="217A91CE">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zh-CN" w:eastAsia="zh-CN"/>
        </w:rPr>
        <w:t>评价实施</w:t>
      </w:r>
    </w:p>
    <w:p w14:paraId="588EF936">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eastAsia="仿宋_GB2312" w:cs="Times New Roman"/>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color w:val="auto"/>
          <w:sz w:val="32"/>
          <w:szCs w:val="32"/>
          <w:lang w:val="zh-CN"/>
        </w:rPr>
        <w:t>该项目建设内容为：一是提升整治全乡人居环境。二是完善提升小型公益设施、便民设施等配套，采购安装路灯，生态停车场建设等。</w:t>
      </w:r>
      <w:r>
        <w:rPr>
          <w:rFonts w:hint="eastAsia" w:ascii="仿宋_GB2312" w:hAnsi="仿宋_GB2312" w:eastAsia="仿宋_GB2312" w:cs="仿宋_GB2312"/>
          <w:color w:val="auto"/>
          <w:kern w:val="2"/>
          <w:sz w:val="32"/>
          <w:szCs w:val="32"/>
          <w:lang w:val="en-US" w:eastAsia="zh-CN" w:bidi="ar"/>
        </w:rPr>
        <w:t>该项目</w:t>
      </w:r>
      <w:r>
        <w:rPr>
          <w:rFonts w:hint="eastAsia" w:ascii="仿宋_GB2312" w:hAnsi="仿宋_GB2312" w:cs="仿宋_GB2312"/>
          <w:color w:val="auto"/>
          <w:kern w:val="2"/>
          <w:sz w:val="32"/>
          <w:szCs w:val="32"/>
          <w:lang w:val="en-US" w:eastAsia="zh-CN" w:bidi="ar"/>
        </w:rPr>
        <w:t>已</w:t>
      </w:r>
      <w:r>
        <w:rPr>
          <w:rFonts w:hint="eastAsia" w:ascii="仿宋_GB2312" w:hAnsi="仿宋_GB2312" w:eastAsia="仿宋_GB2312" w:cs="仿宋_GB2312"/>
          <w:color w:val="auto"/>
          <w:kern w:val="2"/>
          <w:sz w:val="32"/>
          <w:szCs w:val="32"/>
          <w:lang w:val="en-US" w:eastAsia="zh-CN" w:bidi="ar"/>
        </w:rPr>
        <w:t>完工</w:t>
      </w:r>
      <w:r>
        <w:rPr>
          <w:rFonts w:hint="eastAsia" w:ascii="仿宋_GB2312" w:hAnsi="仿宋_GB2312" w:eastAsia="仿宋_GB2312" w:cs="仿宋_GB2312"/>
          <w:color w:val="auto"/>
          <w:kern w:val="0"/>
          <w:sz w:val="32"/>
          <w:szCs w:val="32"/>
          <w:highlight w:val="none"/>
          <w:u w:val="none"/>
          <w:shd w:val="clear" w:color="auto" w:fill="FFFFFF"/>
          <w:lang w:val="zh-CN"/>
        </w:rPr>
        <w:t>。</w:t>
      </w:r>
    </w:p>
    <w:p w14:paraId="17186EDE">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kern w:val="2"/>
          <w:sz w:val="32"/>
          <w:szCs w:val="32"/>
          <w:lang w:val="en-US" w:eastAsia="zh-CN" w:bidi="ar"/>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color w:val="auto"/>
          <w:kern w:val="2"/>
          <w:sz w:val="32"/>
          <w:szCs w:val="32"/>
          <w:lang w:val="en-US" w:eastAsia="zh-CN" w:bidi="ar"/>
        </w:rPr>
        <w:t>通过改善农村人居环境，如基础设施建设（如道路、路灯、广场等），进一步缩小城乡差距，促进城乡融合发展，增进城乡之间的交流和互动。为农村物流和产业发展提供了便利，推动了农村经济的繁荣。农村人居环境的改善可以吸引更多人才返乡创业，带动农村产业的发展，为农村带来新的经济增长点。</w:t>
      </w:r>
    </w:p>
    <w:p w14:paraId="40ABED82">
      <w:pPr>
        <w:keepNext w:val="0"/>
        <w:keepLines w:val="0"/>
        <w:pageBreakBefore w:val="0"/>
        <w:widowControl w:val="0"/>
        <w:numPr>
          <w:ilvl w:val="0"/>
          <w:numId w:val="0"/>
        </w:numPr>
        <w:kinsoku/>
        <w:wordWrap/>
        <w:overflowPunct w:val="0"/>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b/>
          <w:bCs/>
          <w:color w:val="auto"/>
          <w:sz w:val="32"/>
          <w:szCs w:val="32"/>
          <w:lang w:val="en-US" w:eastAsia="zh-CN"/>
        </w:rPr>
        <w:t>社会效益：</w:t>
      </w:r>
      <w:r>
        <w:rPr>
          <w:rFonts w:hint="eastAsia" w:ascii="仿宋_GB2312" w:hAnsi="仿宋_GB2312" w:eastAsia="仿宋_GB2312" w:cs="仿宋_GB2312"/>
          <w:color w:val="auto"/>
          <w:kern w:val="2"/>
          <w:sz w:val="32"/>
          <w:szCs w:val="32"/>
          <w:lang w:val="en-US" w:eastAsia="zh-CN" w:bidi="ar"/>
        </w:rPr>
        <w:t>打造清洁、优雅的居住环境，既是老百姓感受到政府利群利民的大好事，也是群众真正得到实惠的大实事。</w:t>
      </w:r>
      <w:r>
        <w:rPr>
          <w:rFonts w:hint="eastAsia" w:ascii="仿宋_GB2312" w:hAnsi="仿宋_GB2312" w:eastAsia="仿宋_GB2312" w:cs="仿宋_GB2312"/>
          <w:color w:val="auto"/>
          <w:sz w:val="32"/>
          <w:szCs w:val="32"/>
          <w:lang w:val="zh-CN"/>
        </w:rPr>
        <w:t>人居环境提升整治，有效</w:t>
      </w:r>
      <w:r>
        <w:rPr>
          <w:rFonts w:hint="eastAsia" w:ascii="仿宋_GB2312" w:hAnsi="仿宋_GB2312" w:eastAsia="仿宋_GB2312" w:cs="仿宋_GB2312"/>
          <w:color w:val="auto"/>
          <w:kern w:val="2"/>
          <w:sz w:val="32"/>
          <w:szCs w:val="32"/>
          <w:lang w:val="en-US" w:eastAsia="zh-CN" w:bidi="ar"/>
        </w:rPr>
        <w:t>改善群众生活条件、完善的交通等，使农村居民的基本生活需求得以满足，提高了他们的生活幸福感。群众共同参与人居环境的改善，让群众更加关注和参与社会事务，加强了各族群众的团结与互助，提升了群众凝聚力和归属感。提升农村人居环境也包括传承乡村的历史文化和传统习俗，丰富了社会文化的多样性。</w:t>
      </w:r>
    </w:p>
    <w:p w14:paraId="7C232406">
      <w:pPr>
        <w:keepNext w:val="0"/>
        <w:keepLines w:val="0"/>
        <w:pageBreakBefore w:val="0"/>
        <w:widowControl w:val="0"/>
        <w:numPr>
          <w:ilvl w:val="0"/>
          <w:numId w:val="0"/>
        </w:numPr>
        <w:kinsoku/>
        <w:wordWrap/>
        <w:overflowPunct w:val="0"/>
        <w:topLinePunct w:val="0"/>
        <w:autoSpaceDE/>
        <w:autoSpaceDN/>
        <w:bidi w:val="0"/>
        <w:adjustRightInd/>
        <w:snapToGrid/>
        <w:spacing w:after="0" w:line="576" w:lineRule="exact"/>
        <w:ind w:firstLine="643" w:firstLineChars="200"/>
        <w:jc w:val="both"/>
        <w:textAlignment w:val="auto"/>
        <w:rPr>
          <w:rFonts w:hint="eastAsia" w:cs="Times New Roman"/>
          <w:szCs w:val="32"/>
          <w:lang w:eastAsia="zh-CN"/>
        </w:rPr>
      </w:pPr>
      <w:r>
        <w:rPr>
          <w:rFonts w:hint="eastAsia" w:ascii="仿宋_GB2312" w:hAnsi="仿宋_GB2312" w:eastAsia="仿宋_GB2312" w:cs="仿宋_GB2312"/>
          <w:b/>
          <w:bCs/>
          <w:color w:val="auto"/>
          <w:kern w:val="2"/>
          <w:sz w:val="32"/>
          <w:szCs w:val="32"/>
          <w:lang w:val="en-US" w:eastAsia="zh-CN" w:bidi="ar-SA"/>
        </w:rPr>
        <w:t>生态效益：</w:t>
      </w:r>
      <w:r>
        <w:rPr>
          <w:rFonts w:hint="eastAsia" w:ascii="仿宋_GB2312" w:hAnsi="仿宋_GB2312" w:eastAsia="仿宋_GB2312" w:cs="仿宋_GB2312"/>
          <w:color w:val="auto"/>
          <w:kern w:val="2"/>
          <w:sz w:val="32"/>
          <w:szCs w:val="32"/>
          <w:lang w:val="en-US" w:eastAsia="zh-CN" w:bidi="ar"/>
        </w:rPr>
        <w:t>人居环境整治美化亮化可以增加绿地面积，种植各种植物，为鸟类、昆虫等生物提供更多的栖息地和食物，促进生物多样性的保护。绿化覆盖率的提高可以吸收二氧化碳，释放氧气，减少空气中的有害气体含量；同时，植物根系可以过滤土壤中的污染物，减少土壤侵蚀，改善水质。人居环境整治美化亮化可以提供各种生态系统服务，如土壤保持、水源涵养、风沙防护等，维护生物多样性和生态平衡，为人类提供稳定和可持续的生态系统服务</w:t>
      </w:r>
      <w:r>
        <w:rPr>
          <w:rFonts w:hint="eastAsia" w:eastAsia="仿宋_GB2312" w:cs="Times New Roman"/>
          <w:szCs w:val="32"/>
          <w:lang w:eastAsia="zh-CN"/>
        </w:rPr>
        <w:t>。</w:t>
      </w:r>
    </w:p>
    <w:p w14:paraId="47928B3F">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textAlignment w:val="auto"/>
        <w:outlineLvl w:val="9"/>
        <w:rPr>
          <w:rFonts w:hint="eastAsia" w:cs="Times New Roman"/>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kern w:val="2"/>
          <w:sz w:val="32"/>
          <w:szCs w:val="32"/>
          <w:shd w:val="clear" w:color="auto" w:fill="FFFFFF"/>
          <w:lang w:val="zh-CN" w:eastAsia="zh-CN" w:bidi="ar-SA"/>
        </w:rPr>
        <w:t>项目绩效自评所抽样点位合格。</w:t>
      </w:r>
    </w:p>
    <w:p w14:paraId="46F2C10D">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eastAsia="仿宋_GB2312" w:cs="Times New Roman"/>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kern w:val="2"/>
          <w:sz w:val="32"/>
          <w:szCs w:val="32"/>
          <w:shd w:val="clear" w:color="auto" w:fill="FFFFFF"/>
          <w:lang w:val="en-US" w:eastAsia="zh-CN" w:bidi="ar-SA"/>
        </w:rPr>
        <w:t>项目100%验收，实地勘察法。</w:t>
      </w:r>
    </w:p>
    <w:p w14:paraId="334F03E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kern w:val="2"/>
          <w:sz w:val="32"/>
          <w:szCs w:val="32"/>
          <w:shd w:val="clear" w:color="auto" w:fill="FFFFFF"/>
          <w:lang w:val="en-US" w:eastAsia="zh-CN" w:bidi="ar-SA"/>
        </w:rPr>
        <w:t>由查尔玛乡人民政府分工一名副科级牵头，两名经办开展监督验收</w:t>
      </w:r>
      <w:r>
        <w:rPr>
          <w:rFonts w:hint="eastAsia" w:ascii="仿宋_GB2312" w:hAnsi="Times New Roman" w:eastAsia="仿宋_GB2312" w:cs="Times New Roman"/>
          <w:sz w:val="32"/>
          <w:szCs w:val="32"/>
          <w:lang w:val="en-US" w:eastAsia="zh-CN"/>
        </w:rPr>
        <w:t>工作。</w:t>
      </w:r>
    </w:p>
    <w:p w14:paraId="567052B0">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zh-CN" w:eastAsia="zh-CN"/>
        </w:rPr>
        <w:t>绩效分析</w:t>
      </w:r>
      <w:r>
        <w:rPr>
          <w:rFonts w:hint="eastAsia" w:ascii="楷体_GB2312" w:hAnsi="宋体" w:eastAsia="楷体_GB2312" w:cs="Times New Roman"/>
          <w:b/>
          <w:color w:val="auto"/>
          <w:sz w:val="32"/>
          <w:szCs w:val="32"/>
          <w:highlight w:val="none"/>
          <w:u w:val="none"/>
          <w:lang w:val="zh-CN"/>
        </w:rPr>
        <w:tab/>
      </w:r>
    </w:p>
    <w:p w14:paraId="460C39AE">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zh-CN"/>
        </w:rPr>
        <w:t>（一）</w:t>
      </w:r>
      <w:r>
        <w:rPr>
          <w:rFonts w:hint="eastAsia" w:ascii="仿宋_GB2312" w:hAnsi="Times New Roman" w:eastAsia="仿宋_GB2312" w:cs="Times New Roman"/>
          <w:b/>
          <w:bCs/>
          <w:sz w:val="32"/>
          <w:szCs w:val="32"/>
          <w:lang w:val="en-US" w:eastAsia="zh-CN"/>
        </w:rPr>
        <w:t>通用指标</w:t>
      </w:r>
      <w:r>
        <w:rPr>
          <w:rFonts w:hint="default" w:ascii="仿宋_GB2312" w:hAnsi="Times New Roman" w:eastAsia="仿宋_GB2312" w:cs="Times New Roman"/>
          <w:b/>
          <w:bCs/>
          <w:sz w:val="32"/>
          <w:szCs w:val="32"/>
          <w:lang w:val="zh-CN"/>
        </w:rPr>
        <w:t>绩效分析。</w:t>
      </w:r>
    </w:p>
    <w:p w14:paraId="0600A944">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eastAsia="zh-CN"/>
        </w:rPr>
        <w:t>项目决策。</w:t>
      </w:r>
      <w:r>
        <w:rPr>
          <w:rFonts w:hint="eastAsia" w:ascii="仿宋_GB2312" w:hAnsi="Times New Roman" w:eastAsia="仿宋_GB2312" w:cs="Times New Roman"/>
          <w:sz w:val="32"/>
          <w:szCs w:val="32"/>
          <w:lang w:val="en-US" w:eastAsia="zh-CN"/>
        </w:rPr>
        <w:t>本项目由红原县查尔玛人民政府负责具体实施，县住建局负责项目监管，县财政局负责监管项目资金。</w:t>
      </w:r>
    </w:p>
    <w:p w14:paraId="5E859419">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7E20D63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3.项目实施。该项目总投资1350万元，属于</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23</w:t>
      </w:r>
      <w:r>
        <w:rPr>
          <w:rFonts w:hint="eastAsia" w:ascii="仿宋_GB2312" w:hAnsi="Times New Roman" w:eastAsia="仿宋_GB2312" w:cs="Times New Roman"/>
          <w:sz w:val="32"/>
          <w:szCs w:val="32"/>
          <w:lang w:val="zh-CN" w:eastAsia="zh-CN"/>
        </w:rPr>
        <w:t>年乡村振兴衔接</w:t>
      </w:r>
      <w:r>
        <w:rPr>
          <w:rFonts w:hint="eastAsia" w:ascii="仿宋_GB2312" w:hAnsi="Times New Roman" w:eastAsia="仿宋_GB2312" w:cs="Times New Roman"/>
          <w:sz w:val="32"/>
          <w:szCs w:val="32"/>
          <w:lang w:val="en-US" w:eastAsia="zh-CN"/>
        </w:rPr>
        <w:t>资金及绵阳援建资金于2023年8月共计下达950万元，2024年4月乡村振兴衔接资金332.6万元，截至目前资金到位率100%。</w:t>
      </w:r>
    </w:p>
    <w:p w14:paraId="731074AE">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zh-CN"/>
        </w:rPr>
        <w:t>2．资金使用。</w:t>
      </w:r>
      <w:r>
        <w:rPr>
          <w:rFonts w:hint="eastAsia" w:ascii="仿宋_GB2312" w:hAnsi="Times New Roman" w:eastAsia="仿宋_GB2312" w:cs="Times New Roman"/>
          <w:sz w:val="32"/>
          <w:szCs w:val="32"/>
          <w:lang w:val="en-US" w:eastAsia="zh-CN"/>
        </w:rPr>
        <w:t>该项目资金严格按照相关规程进行拨付，截止目前，该项目合同价为1282.65万元，目前已支付至合同价的70%，共计903万元。</w:t>
      </w:r>
      <w:r>
        <w:rPr>
          <w:rFonts w:hint="eastAsia" w:ascii="仿宋_GB2312" w:hAnsi="Times New Roman" w:eastAsia="仿宋_GB2312" w:cs="Times New Roman"/>
          <w:sz w:val="32"/>
          <w:szCs w:val="32"/>
          <w:lang w:val="zh-CN"/>
        </w:rPr>
        <w:t>支付依据合规合法，资金支付与预算相符</w:t>
      </w:r>
      <w:r>
        <w:rPr>
          <w:rFonts w:hint="eastAsia" w:ascii="仿宋_GB2312" w:hAnsi="Times New Roman" w:eastAsia="仿宋_GB2312" w:cs="Times New Roman"/>
          <w:sz w:val="32"/>
          <w:szCs w:val="32"/>
          <w:lang w:val="en-US" w:eastAsia="zh-CN"/>
        </w:rPr>
        <w:t>。该项目于2023年11月30日基本完工，目前正在验收整改阶段。项目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5928D7D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（二）</w:t>
      </w:r>
      <w:r>
        <w:rPr>
          <w:rFonts w:hint="eastAsia" w:ascii="仿宋_GB2312" w:hAnsi="Times New Roman" w:eastAsia="仿宋_GB2312" w:cs="Times New Roman"/>
          <w:b/>
          <w:bCs/>
          <w:sz w:val="32"/>
          <w:szCs w:val="32"/>
          <w:lang w:val="en-US" w:eastAsia="zh-CN"/>
        </w:rPr>
        <w:t>专用指标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zh-CN" w:eastAsia="zh-CN"/>
        </w:rPr>
        <w:t>根据</w:t>
      </w:r>
      <w:r>
        <w:rPr>
          <w:rFonts w:hint="eastAsia" w:ascii="仿宋_GB2312" w:hAnsi="Times New Roman" w:eastAsia="仿宋_GB2312" w:cs="Times New Roman"/>
          <w:sz w:val="32"/>
          <w:szCs w:val="32"/>
          <w:lang w:val="en-US" w:eastAsia="zh-CN"/>
        </w:rPr>
        <w:t>专项预算项目资金支持对象选择所属指标进行绩效分析。支持对象</w:t>
      </w:r>
      <w:r>
        <w:rPr>
          <w:rFonts w:hint="eastAsia" w:ascii="仿宋_GB2312" w:hAnsi="Times New Roman" w:eastAsia="仿宋_GB2312" w:cs="Times New Roman"/>
          <w:sz w:val="32"/>
          <w:szCs w:val="32"/>
          <w:lang w:val="zh-CN" w:eastAsia="zh-CN"/>
        </w:rPr>
        <w:t>包括产业发展、民生保障、基础设施、行政运转等方面。</w:t>
      </w:r>
    </w:p>
    <w:p w14:paraId="42657FE6">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产业发展。过改善农村人居环境，如基础设施建设（如道路、路灯、广场等），进一步缩小城乡差距，促进城乡融合发展，增进城乡之间的交流和互动。为农村物流和产业发展提供了便利，推动了农村经济的繁荣。农村人居环境的改善可以吸引更多人才返乡创业，带动农村产业的发展，为农村带来新的经济增长点。</w:t>
      </w:r>
    </w:p>
    <w:p w14:paraId="02840EAD">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民生保障。</w:t>
      </w:r>
      <w:r>
        <w:rPr>
          <w:rFonts w:hint="eastAsia" w:ascii="仿宋_GB2312" w:hAnsi="Times New Roman" w:eastAsia="仿宋_GB2312" w:cs="Times New Roman"/>
          <w:sz w:val="32"/>
          <w:szCs w:val="32"/>
          <w:lang w:val="en-US" w:eastAsia="zh-CN"/>
        </w:rPr>
        <w:t>打造清洁、优雅的居住环境，既是老百姓感受到政府利群利民的大好事，也是群众真正得到实惠的大实事。</w:t>
      </w:r>
      <w:r>
        <w:rPr>
          <w:rFonts w:hint="eastAsia" w:ascii="仿宋_GB2312" w:hAnsi="Times New Roman" w:eastAsia="仿宋_GB2312" w:cs="Times New Roman"/>
          <w:sz w:val="32"/>
          <w:szCs w:val="32"/>
          <w:lang w:val="zh-CN"/>
        </w:rPr>
        <w:t>人居环境提升整治，有效</w:t>
      </w:r>
      <w:r>
        <w:rPr>
          <w:rFonts w:hint="eastAsia" w:ascii="仿宋_GB2312" w:hAnsi="Times New Roman" w:eastAsia="仿宋_GB2312" w:cs="Times New Roman"/>
          <w:sz w:val="32"/>
          <w:szCs w:val="32"/>
          <w:lang w:val="en-US" w:eastAsia="zh-CN"/>
        </w:rPr>
        <w:t>改善群众生活条件、完善的交通等，使农村居民的基本生活需求得以满足，提高了他们的生活幸福感。群众共同参与人居环境的改善，让群众更加关注和参与社会事务，加强了各族群众的团结与互助，提升了群众凝聚力和归属感。提升农村人居环境也包括传承乡村的历史文化和传统习俗，丰富了社会文化的多样性。</w:t>
      </w:r>
    </w:p>
    <w:p w14:paraId="1984C72C">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3.基础设施。</w:t>
      </w:r>
      <w:r>
        <w:rPr>
          <w:rFonts w:hint="eastAsia" w:ascii="仿宋_GB2312" w:hAnsi="Times New Roman" w:eastAsia="仿宋_GB2312" w:cs="Times New Roman"/>
          <w:sz w:val="32"/>
          <w:szCs w:val="32"/>
        </w:rPr>
        <w:t>项目建设场址具有良好的远近结合区位优势，外部水、电基础设施条件较好，建设场址地质较稳定，为项目建设提供了有利的建设条件。 项目建设规模、技术标准、实施方案、项目组织与管理、投资估算和资金筹措方案是可行的。通过该项目的建设，将积极推进红原县</w:t>
      </w:r>
      <w:r>
        <w:rPr>
          <w:rFonts w:hint="eastAsia" w:ascii="仿宋_GB2312" w:hAnsi="Times New Roman" w:eastAsia="仿宋_GB2312" w:cs="Times New Roman"/>
          <w:sz w:val="32"/>
          <w:szCs w:val="32"/>
          <w:lang w:eastAsia="zh-CN"/>
        </w:rPr>
        <w:t>查尔玛乡</w:t>
      </w:r>
      <w:r>
        <w:rPr>
          <w:rFonts w:hint="eastAsia" w:ascii="仿宋_GB2312" w:hAnsi="Times New Roman" w:eastAsia="仿宋_GB2312" w:cs="Times New Roman"/>
          <w:sz w:val="32"/>
          <w:szCs w:val="32"/>
        </w:rPr>
        <w:t>的建设，促进经济发展，具有良好的社会效益。</w:t>
      </w:r>
    </w:p>
    <w:p w14:paraId="5DE11877">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lang w:val="zh-CN" w:eastAsia="zh-CN"/>
        </w:rPr>
        <w:t>行政运转。</w:t>
      </w:r>
      <w:r>
        <w:rPr>
          <w:rFonts w:hint="eastAsia" w:ascii="仿宋_GB2312" w:hAnsi="Times New Roman" w:eastAsia="仿宋_GB2312" w:cs="Times New Roman"/>
          <w:sz w:val="32"/>
          <w:szCs w:val="32"/>
        </w:rPr>
        <w:t>本项目总投资</w:t>
      </w:r>
      <w:r>
        <w:rPr>
          <w:rFonts w:hint="eastAsia" w:ascii="仿宋_GB2312" w:hAnsi="Times New Roman" w:eastAsia="仿宋_GB2312" w:cs="Times New Roman"/>
          <w:sz w:val="32"/>
          <w:szCs w:val="32"/>
          <w:lang w:val="en-US" w:eastAsia="zh-CN"/>
        </w:rPr>
        <w:t>1350</w:t>
      </w:r>
      <w:r>
        <w:rPr>
          <w:rFonts w:hint="eastAsia" w:ascii="仿宋_GB2312" w:hAnsi="Times New Roman" w:eastAsia="仿宋_GB2312" w:cs="Times New Roman"/>
          <w:sz w:val="32"/>
          <w:szCs w:val="32"/>
        </w:rPr>
        <w:t>万元，项目建设资金拟采用</w:t>
      </w:r>
      <w:r>
        <w:rPr>
          <w:rFonts w:hint="eastAsia" w:ascii="仿宋_GB2312" w:hAnsi="Times New Roman" w:eastAsia="仿宋_GB2312" w:cs="Times New Roman"/>
          <w:sz w:val="32"/>
          <w:szCs w:val="32"/>
          <w:lang w:val="en-US" w:eastAsia="zh-CN"/>
        </w:rPr>
        <w:t>2023年</w:t>
      </w:r>
      <w:r>
        <w:rPr>
          <w:rFonts w:hint="eastAsia" w:ascii="仿宋_GB2312" w:hAnsi="Times New Roman" w:eastAsia="仿宋_GB2312" w:cs="Times New Roman"/>
          <w:sz w:val="32"/>
          <w:szCs w:val="32"/>
          <w:lang w:eastAsia="zh-CN"/>
        </w:rPr>
        <w:t>绵阳援建资金</w:t>
      </w:r>
      <w:r>
        <w:rPr>
          <w:rFonts w:hint="eastAsia" w:ascii="仿宋_GB2312" w:hAnsi="Times New Roman" w:eastAsia="仿宋_GB2312" w:cs="Times New Roman"/>
          <w:sz w:val="32"/>
          <w:szCs w:val="32"/>
          <w:lang w:val="en-US" w:eastAsia="zh-CN"/>
        </w:rPr>
        <w:t>950万元，</w:t>
      </w:r>
      <w:r>
        <w:rPr>
          <w:rFonts w:hint="eastAsia" w:ascii="仿宋_GB2312" w:hAnsi="Times New Roman" w:eastAsia="仿宋_GB2312" w:cs="Times New Roman"/>
          <w:sz w:val="32"/>
          <w:szCs w:val="32"/>
          <w:lang w:eastAsia="zh-CN"/>
        </w:rPr>
        <w:t>及</w:t>
      </w:r>
      <w:r>
        <w:rPr>
          <w:rFonts w:hint="eastAsia"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rPr>
        <w:t>年乡村振兴衔接资金</w:t>
      </w:r>
      <w:r>
        <w:rPr>
          <w:rFonts w:hint="eastAsia" w:ascii="仿宋_GB2312" w:hAnsi="Times New Roman" w:eastAsia="仿宋_GB2312" w:cs="Times New Roman"/>
          <w:sz w:val="32"/>
          <w:szCs w:val="32"/>
          <w:lang w:eastAsia="zh-CN"/>
        </w:rPr>
        <w:t>（第一批）</w:t>
      </w:r>
      <w:r>
        <w:rPr>
          <w:rFonts w:hint="eastAsia" w:ascii="仿宋_GB2312" w:hAnsi="Times New Roman" w:eastAsia="仿宋_GB2312" w:cs="Times New Roman"/>
          <w:sz w:val="32"/>
          <w:szCs w:val="32"/>
          <w:lang w:val="en-US" w:eastAsia="zh-CN"/>
        </w:rPr>
        <w:t>332万元</w:t>
      </w:r>
      <w:r>
        <w:rPr>
          <w:rFonts w:hint="eastAsia" w:ascii="仿宋_GB2312" w:hAnsi="Times New Roman" w:eastAsia="仿宋_GB2312" w:cs="Times New Roman"/>
          <w:sz w:val="32"/>
          <w:szCs w:val="32"/>
        </w:rPr>
        <w:t>。</w:t>
      </w:r>
    </w:p>
    <w:p w14:paraId="63284D13">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zh-CN"/>
        </w:rPr>
        <w:t>（三）</w:t>
      </w:r>
      <w:r>
        <w:rPr>
          <w:rFonts w:hint="eastAsia" w:ascii="仿宋_GB2312" w:hAnsi="Times New Roman" w:eastAsia="仿宋_GB2312" w:cs="Times New Roman"/>
          <w:b/>
          <w:bCs/>
          <w:sz w:val="32"/>
          <w:szCs w:val="32"/>
          <w:lang w:val="en-US" w:eastAsia="zh-CN"/>
        </w:rPr>
        <w:t>个性指标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en-US" w:eastAsia="zh-CN"/>
        </w:rPr>
        <w:t>该项目于2023年11月30日基本完工，目前正在验收整改阶段。项目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627540C7">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eastAsia="zh-CN"/>
        </w:rPr>
        <w:t>四</w:t>
      </w:r>
      <w:r>
        <w:rPr>
          <w:rFonts w:hint="eastAsia" w:ascii="楷体_GB2312" w:hAnsi="宋体" w:eastAsia="楷体_GB2312" w:cs="Times New Roman"/>
          <w:b/>
          <w:color w:val="auto"/>
          <w:sz w:val="32"/>
          <w:szCs w:val="32"/>
          <w:highlight w:val="none"/>
          <w:u w:val="none"/>
          <w:lang w:val="zh-CN"/>
        </w:rPr>
        <w:t>、评价结论</w:t>
      </w:r>
    </w:p>
    <w:p w14:paraId="1F4D7F4C">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本项目为</w:t>
      </w:r>
      <w:r>
        <w:rPr>
          <w:rFonts w:hint="eastAsia" w:ascii="仿宋_GB2312" w:hAnsi="Times New Roman" w:eastAsia="仿宋_GB2312" w:cs="Times New Roman"/>
          <w:sz w:val="32"/>
          <w:szCs w:val="32"/>
          <w:lang w:eastAsia="zh-CN"/>
        </w:rPr>
        <w:t>查尔玛乡人居环境提</w:t>
      </w:r>
      <w:r>
        <w:rPr>
          <w:rFonts w:hint="eastAsia" w:ascii="仿宋_GB2312" w:hAnsi="仿宋_GB2312" w:eastAsia="仿宋_GB2312" w:cs="仿宋_GB2312"/>
          <w:color w:val="000000"/>
          <w:kern w:val="0"/>
          <w:sz w:val="32"/>
          <w:szCs w:val="32"/>
          <w:lang w:eastAsia="zh-CN" w:bidi="ar"/>
        </w:rPr>
        <w:t>升改造项目</w:t>
      </w:r>
      <w:r>
        <w:rPr>
          <w:rFonts w:hint="eastAsia" w:ascii="仿宋_GB2312" w:hAnsi="仿宋_GB2312" w:eastAsia="仿宋_GB2312" w:cs="仿宋_GB2312"/>
          <w:color w:val="000000"/>
          <w:kern w:val="0"/>
          <w:sz w:val="32"/>
          <w:szCs w:val="32"/>
          <w:lang w:bidi="ar"/>
        </w:rPr>
        <w:t>，符合国家相关产业政策要求，属于《</w:t>
      </w:r>
      <w:r>
        <w:rPr>
          <w:rFonts w:hint="eastAsia" w:ascii="仿宋_GB2312" w:hAnsi="Times New Roman" w:eastAsia="仿宋_GB2312" w:cs="Times New Roman"/>
          <w:sz w:val="32"/>
          <w:szCs w:val="32"/>
        </w:rPr>
        <w:t>产业结构调整指导目录（2019年本）》鼓励类项目。</w:t>
      </w:r>
    </w:p>
    <w:p w14:paraId="7966CF4B">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为促进</w:t>
      </w:r>
      <w:r>
        <w:rPr>
          <w:rFonts w:hint="eastAsia" w:ascii="仿宋_GB2312" w:hAnsi="Times New Roman" w:eastAsia="仿宋_GB2312" w:cs="Times New Roman"/>
          <w:sz w:val="32"/>
          <w:szCs w:val="32"/>
          <w:lang w:eastAsia="zh-CN"/>
        </w:rPr>
        <w:t>查尔玛乡</w:t>
      </w:r>
      <w:r>
        <w:rPr>
          <w:rFonts w:hint="eastAsia" w:ascii="仿宋_GB2312" w:hAnsi="Times New Roman" w:eastAsia="仿宋_GB2312" w:cs="Times New Roman"/>
          <w:sz w:val="32"/>
          <w:szCs w:val="32"/>
        </w:rPr>
        <w:t>城乡融合、推进城镇化发展、建设美丽乡村具有重要战略意义，本项目的建设是非常必要的。</w:t>
      </w:r>
    </w:p>
    <w:p w14:paraId="504D0658">
      <w:pPr>
        <w:pageBreakBefore w:val="0"/>
        <w:kinsoku/>
        <w:wordWrap/>
        <w:topLinePunct w:val="0"/>
        <w:bidi w:val="0"/>
        <w:spacing w:line="576"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Times New Roman" w:eastAsia="仿宋_GB2312" w:cs="Times New Roman"/>
          <w:sz w:val="32"/>
          <w:szCs w:val="32"/>
        </w:rPr>
        <w:t>本项目的建设围绕</w:t>
      </w:r>
      <w:r>
        <w:rPr>
          <w:rFonts w:hint="eastAsia" w:ascii="仿宋_GB2312" w:hAnsi="Times New Roman" w:eastAsia="仿宋_GB2312" w:cs="Times New Roman"/>
          <w:sz w:val="32"/>
          <w:szCs w:val="32"/>
          <w:lang w:eastAsia="zh-CN"/>
        </w:rPr>
        <w:t>查尔玛乡</w:t>
      </w:r>
      <w:r>
        <w:rPr>
          <w:rFonts w:hint="eastAsia" w:ascii="仿宋_GB2312" w:hAnsi="Times New Roman" w:eastAsia="仿宋_GB2312" w:cs="Times New Roman"/>
          <w:sz w:val="32"/>
          <w:szCs w:val="32"/>
        </w:rPr>
        <w:t>城乡</w:t>
      </w:r>
      <w:r>
        <w:rPr>
          <w:rFonts w:hint="eastAsia" w:ascii="仿宋_GB2312" w:hAnsi="仿宋_GB2312" w:eastAsia="仿宋_GB2312" w:cs="仿宋_GB2312"/>
          <w:color w:val="000000"/>
          <w:kern w:val="0"/>
          <w:sz w:val="32"/>
          <w:szCs w:val="32"/>
          <w:lang w:bidi="ar"/>
        </w:rPr>
        <w:t>融合发展，加快生态文明体系改革，系统提升改造生态环境，丰富土地资源，促进绿色发展；围绕发展现代农业、</w:t>
      </w:r>
      <w:r>
        <w:rPr>
          <w:rFonts w:hint="eastAsia" w:ascii="仿宋_GB2312" w:hAnsi="仿宋_GB2312" w:eastAsia="仿宋_GB2312" w:cs="仿宋_GB2312"/>
          <w:color w:val="000000"/>
          <w:kern w:val="0"/>
          <w:sz w:val="32"/>
          <w:szCs w:val="32"/>
          <w:lang w:val="en-US" w:eastAsia="zh-CN" w:bidi="ar"/>
        </w:rPr>
        <w:t>商业、旅游业等，</w:t>
      </w:r>
      <w:r>
        <w:rPr>
          <w:rFonts w:hint="eastAsia" w:ascii="仿宋_GB2312" w:hAnsi="仿宋_GB2312" w:eastAsia="仿宋_GB2312" w:cs="仿宋_GB2312"/>
          <w:color w:val="000000"/>
          <w:kern w:val="0"/>
          <w:sz w:val="32"/>
          <w:szCs w:val="32"/>
          <w:lang w:bidi="ar"/>
        </w:rPr>
        <w:t>培育新产业新业态，完善农企利益紧密联结机制，实现城乡经济多元化和农业全产业链发展。</w:t>
      </w:r>
    </w:p>
    <w:p w14:paraId="5158017E">
      <w:pPr>
        <w:pageBreakBefore w:val="0"/>
        <w:kinsoku/>
        <w:wordWrap/>
        <w:topLinePunct w:val="0"/>
        <w:bidi w:val="0"/>
        <w:spacing w:line="576" w:lineRule="exact"/>
        <w:ind w:firstLine="640" w:firstLineChars="200"/>
        <w:jc w:val="left"/>
        <w:rPr>
          <w:rFonts w:hint="eastAsia" w:ascii="楷体_GB2312" w:eastAsia="仿宋_GB2312"/>
          <w:b/>
          <w:sz w:val="32"/>
          <w:szCs w:val="32"/>
          <w:lang w:val="en-US" w:eastAsia="zh-CN"/>
        </w:rPr>
      </w:pPr>
      <w:r>
        <w:rPr>
          <w:rFonts w:hint="eastAsia" w:ascii="仿宋_GB2312" w:hAnsi="仿宋_GB2312" w:eastAsia="仿宋_GB2312" w:cs="仿宋_GB2312"/>
          <w:color w:val="000000"/>
          <w:kern w:val="0"/>
          <w:sz w:val="32"/>
          <w:szCs w:val="32"/>
          <w:lang w:bidi="ar"/>
        </w:rPr>
        <w:t>项目建设符合国家鼓励发展的产业政策，符合市场经济的发展需求，符合</w:t>
      </w:r>
      <w:r>
        <w:rPr>
          <w:rFonts w:hint="eastAsia" w:ascii="仿宋_GB2312" w:hAnsi="仿宋_GB2312" w:eastAsia="仿宋_GB2312" w:cs="仿宋_GB2312"/>
          <w:color w:val="000000"/>
          <w:kern w:val="0"/>
          <w:sz w:val="32"/>
          <w:szCs w:val="32"/>
          <w:lang w:eastAsia="zh-CN" w:bidi="ar"/>
        </w:rPr>
        <w:t>红原县</w:t>
      </w:r>
      <w:r>
        <w:rPr>
          <w:rFonts w:hint="eastAsia" w:ascii="仿宋_GB2312" w:hAnsi="仿宋_GB2312" w:eastAsia="仿宋_GB2312" w:cs="仿宋_GB2312"/>
          <w:color w:val="000000"/>
          <w:kern w:val="0"/>
          <w:sz w:val="32"/>
          <w:szCs w:val="32"/>
          <w:lang w:bidi="ar"/>
        </w:rPr>
        <w:t>整体规划要求，对促进当地的经济发展和社会稳定具</w:t>
      </w:r>
      <w:r>
        <w:rPr>
          <w:rFonts w:hint="eastAsia" w:ascii="仿宋_GB2312" w:hAnsi="仿宋_GB2312" w:eastAsia="仿宋_GB2312" w:cs="仿宋_GB2312"/>
          <w:color w:val="000000"/>
          <w:kern w:val="0"/>
          <w:sz w:val="32"/>
          <w:szCs w:val="32"/>
          <w:lang w:eastAsia="zh-CN" w:bidi="ar"/>
        </w:rPr>
        <w:t>有重要意义。</w:t>
      </w:r>
    </w:p>
    <w:p w14:paraId="301AC3AF">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五、存在主要问题</w:t>
      </w:r>
    </w:p>
    <w:p w14:paraId="49F8EC48">
      <w:pPr>
        <w:pStyle w:val="6"/>
        <w:pageBreakBefore w:val="0"/>
        <w:numPr>
          <w:ilvl w:val="0"/>
          <w:numId w:val="0"/>
        </w:numPr>
        <w:tabs>
          <w:tab w:val="left" w:pos="2160"/>
        </w:tabs>
        <w:kinsoku/>
        <w:wordWrap/>
        <w:overflowPunct/>
        <w:topLinePunct w:val="0"/>
        <w:autoSpaceDE/>
        <w:autoSpaceDN/>
        <w:bidi w:val="0"/>
        <w:adjustRightInd/>
        <w:spacing w:line="576" w:lineRule="exact"/>
        <w:ind w:firstLine="640" w:firstLineChars="200"/>
        <w:textAlignment w:val="auto"/>
        <w:rPr>
          <w:rFonts w:hint="eastAsia" w:ascii="黑体" w:hAnsi="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3E2E91A3">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六、改进建议</w:t>
      </w:r>
    </w:p>
    <w:p w14:paraId="3BE2A21C">
      <w:pPr>
        <w:pageBreakBefore w:val="0"/>
        <w:tabs>
          <w:tab w:val="left" w:pos="1911"/>
        </w:tabs>
        <w:kinsoku/>
        <w:wordWrap/>
        <w:topLinePunct w:val="0"/>
        <w:bidi w:val="0"/>
        <w:spacing w:line="576" w:lineRule="exact"/>
        <w:ind w:firstLine="640" w:firstLineChars="200"/>
        <w:jc w:val="left"/>
        <w:rPr>
          <w:rFonts w:hint="eastAsia" w:ascii="仿宋_GB2312" w:hAnsi="仿宋_GB2312" w:eastAsia="仿宋_GB2312" w:cs="仿宋_GB2312"/>
          <w:b w:val="0"/>
          <w:bCs w:val="0"/>
          <w:kern w:val="0"/>
          <w:position w:val="0"/>
          <w:sz w:val="32"/>
          <w:szCs w:val="32"/>
          <w:highlight w:val="none"/>
          <w:lang w:val="en" w:eastAsia="zh-CN" w:bidi="ar-SA"/>
        </w:rPr>
      </w:pPr>
      <w:bookmarkStart w:id="48" w:name="_Hlk110546638"/>
      <w:r>
        <w:rPr>
          <w:rFonts w:hint="eastAsia" w:ascii="仿宋_GB2312" w:hAnsi="仿宋_GB2312" w:cs="仿宋_GB2312"/>
          <w:b w:val="0"/>
          <w:bCs w:val="0"/>
          <w:kern w:val="0"/>
          <w:position w:val="0"/>
          <w:sz w:val="32"/>
          <w:szCs w:val="32"/>
          <w:highlight w:val="none"/>
          <w:lang w:val="en-US" w:eastAsia="zh-CN" w:bidi="ar-SA"/>
        </w:rPr>
        <w:t>无。</w:t>
      </w:r>
    </w:p>
    <w:bookmarkEnd w:id="48"/>
    <w:p w14:paraId="04EC8AAB">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442020F4">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zh-CN" w:eastAsia="zh-CN"/>
        </w:rPr>
      </w:pPr>
    </w:p>
    <w:p w14:paraId="75690A73">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zh-CN" w:eastAsia="zh-CN"/>
        </w:rPr>
      </w:pPr>
    </w:p>
    <w:p w14:paraId="79E37DC6">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zh-CN" w:eastAsia="zh-CN"/>
        </w:rPr>
      </w:pPr>
    </w:p>
    <w:p w14:paraId="1070A1FE">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zh-CN" w:eastAsia="zh-CN"/>
        </w:rPr>
      </w:pPr>
    </w:p>
    <w:p w14:paraId="3EBD932B">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附表：1.项目资金分配涉及所有点位自评得分情况表</w:t>
      </w:r>
    </w:p>
    <w:p w14:paraId="6126C1A4">
      <w:pPr>
        <w:pageBreakBefore w:val="0"/>
        <w:kinsoku/>
        <w:wordWrap/>
        <w:topLinePunct w:val="0"/>
        <w:bidi w:val="0"/>
        <w:spacing w:line="576" w:lineRule="exact"/>
        <w:ind w:firstLine="1600" w:firstLineChars="500"/>
        <w:rPr>
          <w:rFonts w:hint="default"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2.专项预算项目绩效目标完成情况自评表</w:t>
      </w:r>
    </w:p>
    <w:p w14:paraId="0B15BC8C">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3DA784C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7EA6C1E0">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53C8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123" w:type="dxa"/>
            <w:noWrap w:val="0"/>
            <w:vAlign w:val="top"/>
          </w:tcPr>
          <w:p w14:paraId="72A3AA6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1A0DBE4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03392AB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4089E24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4574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1123" w:type="dxa"/>
            <w:noWrap w:val="0"/>
            <w:vAlign w:val="top"/>
          </w:tcPr>
          <w:p w14:paraId="3419D5E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center"/>
          </w:tcPr>
          <w:p w14:paraId="706CF976">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r>
              <w:rPr>
                <w:rFonts w:hint="eastAsia" w:ascii="宋体" w:hAnsi="宋体" w:eastAsia="宋体" w:cs="宋体"/>
                <w:i w:val="0"/>
                <w:iCs w:val="0"/>
                <w:color w:val="000000"/>
                <w:kern w:val="0"/>
                <w:sz w:val="22"/>
                <w:szCs w:val="22"/>
                <w:u w:val="none"/>
                <w:lang w:val="en-US" w:eastAsia="zh-CN" w:bidi="ar"/>
              </w:rPr>
              <w:t>5-县（区）级</w:t>
            </w:r>
          </w:p>
        </w:tc>
        <w:tc>
          <w:tcPr>
            <w:tcW w:w="2861" w:type="dxa"/>
            <w:noWrap w:val="0"/>
            <w:vAlign w:val="top"/>
          </w:tcPr>
          <w:p w14:paraId="73C8E80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01E60A8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55B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noWrap w:val="0"/>
            <w:vAlign w:val="top"/>
          </w:tcPr>
          <w:p w14:paraId="1BDA588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center"/>
          </w:tcPr>
          <w:p w14:paraId="04B32634">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553E59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0F057E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E8D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C45820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center"/>
          </w:tcPr>
          <w:p w14:paraId="2F96C79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CBEC16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3CF7665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BD1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D2836F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center"/>
          </w:tcPr>
          <w:p w14:paraId="2BE49891">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46778D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32671E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29B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60D9F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center"/>
          </w:tcPr>
          <w:p w14:paraId="175617A9">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47F66E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B07D86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2E40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9261B7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center"/>
          </w:tcPr>
          <w:p w14:paraId="0B4A9BED">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B588EE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3AEBD04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EEF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B39E09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center"/>
          </w:tcPr>
          <w:p w14:paraId="313AC582">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D928C7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39031D7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EA0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988A98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center"/>
          </w:tcPr>
          <w:p w14:paraId="1E7F2370">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3FFA06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FE5AD1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67317EE7">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备注：1.项目资金末端分配点位包括州本级、县（市）、州级部门下属单位及一次性单位等。</w:t>
      </w:r>
    </w:p>
    <w:p w14:paraId="4435413E">
      <w:pPr>
        <w:pageBreakBefore w:val="0"/>
        <w:kinsoku/>
        <w:wordWrap/>
        <w:topLinePunct w:val="0"/>
        <w:bidi w:val="0"/>
        <w:spacing w:line="576" w:lineRule="exact"/>
        <w:ind w:firstLine="640" w:firstLineChars="200"/>
        <w:rPr>
          <w:rFonts w:hint="eastAsia" w:ascii="仿宋_GB2312" w:hAnsi="仿宋_GB2312" w:eastAsia="仿宋_GB2312" w:cs="仿宋_GB2312"/>
          <w:kern w:val="2"/>
          <w:sz w:val="32"/>
          <w:szCs w:val="32"/>
          <w:shd w:val="clear" w:color="auto" w:fill="FFFFFF"/>
          <w:lang w:val="en-US" w:eastAsia="zh-CN" w:bidi="ar-SA"/>
        </w:rPr>
      </w:pPr>
      <w:r>
        <w:rPr>
          <w:rFonts w:hint="eastAsia" w:ascii="仿宋_GB2312" w:hAnsi="仿宋_GB2312" w:eastAsia="仿宋_GB2312" w:cs="仿宋_GB2312"/>
          <w:kern w:val="2"/>
          <w:sz w:val="32"/>
          <w:szCs w:val="32"/>
          <w:shd w:val="clear" w:color="auto" w:fill="FFFFFF"/>
          <w:lang w:val="en-US" w:eastAsia="zh-CN" w:bidi="ar-SA"/>
        </w:rPr>
        <w:t>自评得分（百分制）从高到低划分为优、良、中、差四个档次，各个档次数量占比分别为20%、20%、55%、5%，且不同档次间得分分值应体现差异化，同档次得分分值相同的比例不超过该档次总数量的10%。</w:t>
      </w:r>
    </w:p>
    <w:p w14:paraId="1DF9FD92">
      <w:pPr>
        <w:pStyle w:val="20"/>
        <w:keepNext/>
        <w:keepLines/>
        <w:pageBreakBefore w:val="0"/>
        <w:widowControl w:val="0"/>
        <w:numPr>
          <w:ilvl w:val="0"/>
          <w:numId w:val="0"/>
        </w:numPr>
        <w:kinsoku/>
        <w:wordWrap/>
        <w:topLinePunct w:val="0"/>
        <w:bidi w:val="0"/>
        <w:spacing w:before="280" w:after="156" w:line="576" w:lineRule="exact"/>
        <w:jc w:val="left"/>
        <w:outlineLvl w:val="4"/>
        <w:rPr>
          <w:rFonts w:hint="eastAsia"/>
          <w:lang w:val="en-US" w:eastAsia="zh-CN"/>
        </w:rPr>
      </w:pPr>
    </w:p>
    <w:p w14:paraId="07393A9D">
      <w:pPr>
        <w:pageBreakBefore w:val="0"/>
        <w:kinsoku/>
        <w:wordWrap/>
        <w:topLinePunct w:val="0"/>
        <w:bidi w:val="0"/>
        <w:spacing w:line="576" w:lineRule="exact"/>
        <w:rPr>
          <w:rFonts w:hint="eastAsia"/>
          <w:lang w:val="en-US" w:eastAsia="zh-CN"/>
        </w:rPr>
      </w:pPr>
    </w:p>
    <w:p w14:paraId="6631459E">
      <w:pPr>
        <w:pStyle w:val="20"/>
        <w:pageBreakBefore w:val="0"/>
        <w:kinsoku/>
        <w:wordWrap/>
        <w:topLinePunct w:val="0"/>
        <w:bidi w:val="0"/>
        <w:spacing w:line="576" w:lineRule="exact"/>
        <w:rPr>
          <w:rFonts w:hint="eastAsia"/>
          <w:lang w:val="en-US" w:eastAsia="zh-CN"/>
        </w:rPr>
      </w:pPr>
    </w:p>
    <w:p w14:paraId="7A64D343">
      <w:pPr>
        <w:pageBreakBefore w:val="0"/>
        <w:kinsoku/>
        <w:wordWrap/>
        <w:topLinePunct w:val="0"/>
        <w:bidi w:val="0"/>
        <w:spacing w:line="576" w:lineRule="exact"/>
        <w:rPr>
          <w:rFonts w:hint="eastAsia"/>
          <w:lang w:val="en-US" w:eastAsia="zh-CN"/>
        </w:rPr>
      </w:pPr>
    </w:p>
    <w:p w14:paraId="2F7B13F4">
      <w:pPr>
        <w:pStyle w:val="20"/>
        <w:pageBreakBefore w:val="0"/>
        <w:kinsoku/>
        <w:wordWrap/>
        <w:topLinePunct w:val="0"/>
        <w:bidi w:val="0"/>
        <w:spacing w:line="576" w:lineRule="exact"/>
        <w:rPr>
          <w:rFonts w:hint="eastAsia"/>
          <w:lang w:val="en-US" w:eastAsia="zh-CN"/>
        </w:rPr>
      </w:pPr>
    </w:p>
    <w:p w14:paraId="1C7A5392">
      <w:pPr>
        <w:pageBreakBefore w:val="0"/>
        <w:kinsoku/>
        <w:wordWrap/>
        <w:topLinePunct w:val="0"/>
        <w:bidi w:val="0"/>
        <w:spacing w:line="576" w:lineRule="exact"/>
        <w:rPr>
          <w:rFonts w:hint="eastAsia"/>
          <w:lang w:val="en-US" w:eastAsia="zh-CN"/>
        </w:rPr>
      </w:pPr>
    </w:p>
    <w:p w14:paraId="1A8480E3">
      <w:pPr>
        <w:pStyle w:val="2"/>
        <w:rPr>
          <w:rFonts w:hint="eastAsia"/>
          <w:lang w:val="en-US" w:eastAsia="zh-CN"/>
        </w:rPr>
      </w:pPr>
    </w:p>
    <w:p w14:paraId="4E8BD3BE">
      <w:pPr>
        <w:pStyle w:val="2"/>
        <w:rPr>
          <w:rFonts w:hint="eastAsia"/>
          <w:lang w:val="en-US" w:eastAsia="zh-CN"/>
        </w:rPr>
      </w:pP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429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65A0226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7AD2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1FAD8A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62B381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红原县2023年查尔玛乡人居环境提升整治项目</w:t>
            </w:r>
          </w:p>
        </w:tc>
      </w:tr>
      <w:tr w14:paraId="27533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0312E1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598ABC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57343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12413D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E337137">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19110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FDFA8C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4452BF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0CCACFD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6A88048">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红财发[2023]110号</w:t>
            </w:r>
          </w:p>
        </w:tc>
      </w:tr>
      <w:tr w14:paraId="3D1C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B4EAD4">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8434B4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10C788E">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00A8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19E34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4D8941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15591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57A9D19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95B52C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86E11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023C1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CD3F7F">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FDEF71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872764A">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340C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784AE">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31F53F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D16BB58">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23523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76C8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DCEAE4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9B0A9C">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74BA4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3DE4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D5B66C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40B3A55">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1FBF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FAC91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2CC2AAB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AEF93B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082FB49">
            <w:pPr>
              <w:keepNext w:val="0"/>
              <w:keepLines w:val="0"/>
              <w:pageBreakBefore w:val="0"/>
              <w:kinsoku/>
              <w:wordWrap/>
              <w:overflowPunct/>
              <w:topLinePunct w:val="0"/>
              <w:autoSpaceDE/>
              <w:autoSpaceDN/>
              <w:bidi w:val="0"/>
              <w:adjustRightInd/>
              <w:snapToGrid/>
              <w:spacing w:line="576"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1350万元</w:t>
            </w:r>
          </w:p>
        </w:tc>
      </w:tr>
      <w:tr w14:paraId="57FFC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CE21A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2D1D7E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594E753">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val="en-US" w:eastAsia="zh-CN"/>
              </w:rPr>
              <w:t>1350万元</w:t>
            </w:r>
          </w:p>
        </w:tc>
      </w:tr>
      <w:tr w14:paraId="2DD3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18D20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9A506D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4CFE41B">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00D8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92AEC7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24B5AF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5381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2CD1F">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0B08AA">
            <w:pPr>
              <w:keepNext w:val="0"/>
              <w:keepLines w:val="0"/>
              <w:pageBreakBefore w:val="0"/>
              <w:kinsoku/>
              <w:wordWrap/>
              <w:overflowPunct/>
              <w:topLinePunct w:val="0"/>
              <w:autoSpaceDE/>
              <w:autoSpaceDN/>
              <w:bidi w:val="0"/>
              <w:adjustRightInd/>
              <w:snapToGrid/>
              <w:spacing w:line="576" w:lineRule="exact"/>
              <w:ind w:left="0" w:leftChars="0" w:firstLine="480" w:firstLineChars="20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rPr>
              <w:t>一是提升整治全乡人居环境。二是完善提升小型公益设施、便民设施等配套，采购安装路灯，生态停车场建设等</w:t>
            </w:r>
            <w:r>
              <w:rPr>
                <w:rFonts w:hint="eastAsia" w:ascii="宋体" w:hAnsi="宋体" w:eastAsia="宋体" w:cs="宋体"/>
                <w:i w:val="0"/>
                <w:color w:val="000000"/>
                <w:sz w:val="24"/>
                <w:szCs w:val="24"/>
                <w:u w:val="none"/>
                <w:lang w:eastAsia="zh-CN"/>
              </w:rPr>
              <w:t>。</w:t>
            </w:r>
          </w:p>
        </w:tc>
      </w:tr>
      <w:tr w14:paraId="6DE3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4A68C47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FFA903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4E888E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1AC1ED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2DF24A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340A09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9760E6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ABCCFD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EC646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0BAD7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020CF2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right w:val="single" w:color="000000" w:sz="4" w:space="0"/>
            </w:tcBorders>
            <w:noWrap w:val="0"/>
            <w:vAlign w:val="center"/>
          </w:tcPr>
          <w:p w14:paraId="0927C01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1771A6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A98E9D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改善人居环境户数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5ADA52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≥472户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724B930">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472户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9AF73A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EA39C34">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926B2D0">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728F2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54E7DD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DE14F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0EFCF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76C90C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622BCE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FCC8F00">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C9235C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6AFF35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BC9A6B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0D4F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664786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CB05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AEE0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92A69F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受益建档立卡脱贫人口数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FCA953C">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0"/>
                <w:szCs w:val="20"/>
                <w:u w:val="none"/>
                <w:lang w:val="en-US" w:eastAsia="zh-CN" w:bidi="ar"/>
              </w:rPr>
              <w:t>≥135户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BCCDEA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135户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3446D9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797C1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8BDBAD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73F8D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03D5FA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7F11B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right w:val="single" w:color="000000" w:sz="4" w:space="0"/>
            </w:tcBorders>
            <w:noWrap w:val="0"/>
            <w:vAlign w:val="center"/>
          </w:tcPr>
          <w:p w14:paraId="380EC1D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可持续影响</w:t>
            </w:r>
          </w:p>
          <w:p w14:paraId="59A59BF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6F8EC4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工程设计使用年限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776516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0"/>
                <w:szCs w:val="20"/>
                <w:u w:val="none"/>
                <w:lang w:val="en-US" w:eastAsia="zh-CN" w:bidi="ar"/>
              </w:rPr>
              <w:t>≥20年</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47059E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20年</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2ED26D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9D156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B7C979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7A25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4"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78C73A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11D9EF3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满意度</w:t>
            </w:r>
          </w:p>
          <w:p w14:paraId="2E953B8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指标</w:t>
            </w:r>
          </w:p>
        </w:tc>
        <w:tc>
          <w:tcPr>
            <w:tcW w:w="1250" w:type="dxa"/>
            <w:tcBorders>
              <w:top w:val="single" w:color="000000" w:sz="4" w:space="0"/>
              <w:left w:val="single" w:color="000000" w:sz="4" w:space="0"/>
              <w:right w:val="single" w:color="000000" w:sz="4" w:space="0"/>
            </w:tcBorders>
            <w:noWrap w:val="0"/>
            <w:vAlign w:val="center"/>
          </w:tcPr>
          <w:p w14:paraId="1597E7E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服务对象</w:t>
            </w:r>
          </w:p>
          <w:p w14:paraId="167F950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09C37B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122BE4">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≥99%</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87C678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A1A8E7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01B353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D648F6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1127331F">
      <w:pPr>
        <w:pStyle w:val="20"/>
        <w:pageBreakBefore w:val="0"/>
        <w:kinsoku/>
        <w:wordWrap/>
        <w:topLinePunct w:val="0"/>
        <w:bidi w:val="0"/>
        <w:spacing w:line="576" w:lineRule="exact"/>
        <w:rPr>
          <w:rFonts w:hint="eastAsia"/>
          <w:lang w:val="en-US" w:eastAsia="zh-CN"/>
        </w:rPr>
      </w:pPr>
    </w:p>
    <w:p w14:paraId="3FDD782B">
      <w:pPr>
        <w:pageBreakBefore w:val="0"/>
        <w:kinsoku/>
        <w:wordWrap/>
        <w:topLinePunct w:val="0"/>
        <w:bidi w:val="0"/>
        <w:spacing w:line="576" w:lineRule="exact"/>
        <w:rPr>
          <w:rFonts w:hint="eastAsia"/>
          <w:lang w:val="en-US" w:eastAsia="zh-CN"/>
        </w:rPr>
      </w:pPr>
    </w:p>
    <w:p w14:paraId="7FA91E26">
      <w:pPr>
        <w:pStyle w:val="20"/>
        <w:pageBreakBefore w:val="0"/>
        <w:kinsoku/>
        <w:wordWrap/>
        <w:topLinePunct w:val="0"/>
        <w:bidi w:val="0"/>
        <w:spacing w:line="576" w:lineRule="exact"/>
        <w:rPr>
          <w:rFonts w:hint="eastAsia"/>
          <w:lang w:val="en-US" w:eastAsia="zh-CN"/>
        </w:rPr>
      </w:pPr>
    </w:p>
    <w:p w14:paraId="033FB970">
      <w:pPr>
        <w:rPr>
          <w:rFonts w:hint="eastAsia"/>
          <w:lang w:val="en-US" w:eastAsia="zh-CN"/>
        </w:rPr>
      </w:pPr>
    </w:p>
    <w:p w14:paraId="1B6D7E1B">
      <w:pPr>
        <w:pStyle w:val="2"/>
        <w:rPr>
          <w:rFonts w:hint="eastAsia"/>
          <w:lang w:val="en-US" w:eastAsia="zh-CN"/>
        </w:rPr>
      </w:pPr>
    </w:p>
    <w:p w14:paraId="779FC44E">
      <w:pPr>
        <w:pStyle w:val="2"/>
        <w:rPr>
          <w:rFonts w:hint="eastAsia"/>
          <w:lang w:val="en-US" w:eastAsia="zh-CN"/>
        </w:rPr>
      </w:pPr>
    </w:p>
    <w:p w14:paraId="3B578CC9">
      <w:pPr>
        <w:pStyle w:val="2"/>
        <w:rPr>
          <w:rFonts w:hint="eastAsia"/>
          <w:lang w:val="en-US" w:eastAsia="zh-CN"/>
        </w:rPr>
      </w:pPr>
    </w:p>
    <w:p w14:paraId="2C8F7017">
      <w:pPr>
        <w:pStyle w:val="2"/>
        <w:rPr>
          <w:rFonts w:hint="eastAsia"/>
          <w:lang w:val="en-US" w:eastAsia="zh-CN"/>
        </w:rPr>
      </w:pPr>
    </w:p>
    <w:p w14:paraId="02F653C3">
      <w:pPr>
        <w:pStyle w:val="2"/>
        <w:rPr>
          <w:rFonts w:hint="eastAsia"/>
          <w:lang w:val="en-US" w:eastAsia="zh-CN"/>
        </w:rPr>
      </w:pPr>
    </w:p>
    <w:p w14:paraId="41F289F6">
      <w:pPr>
        <w:pStyle w:val="2"/>
        <w:rPr>
          <w:rFonts w:hint="eastAsia"/>
          <w:lang w:val="en-US" w:eastAsia="zh-CN"/>
        </w:rPr>
      </w:pPr>
    </w:p>
    <w:p w14:paraId="4C56C986">
      <w:pPr>
        <w:pStyle w:val="2"/>
        <w:rPr>
          <w:rFonts w:hint="eastAsia"/>
          <w:lang w:val="en-US" w:eastAsia="zh-CN"/>
        </w:rPr>
      </w:pPr>
    </w:p>
    <w:p w14:paraId="57883F9B">
      <w:pPr>
        <w:pStyle w:val="2"/>
        <w:rPr>
          <w:rFonts w:hint="eastAsia"/>
          <w:lang w:val="en-US" w:eastAsia="zh-CN"/>
        </w:rPr>
      </w:pPr>
    </w:p>
    <w:p w14:paraId="7FD9BDA5">
      <w:pPr>
        <w:pStyle w:val="2"/>
        <w:rPr>
          <w:rFonts w:hint="eastAsia"/>
          <w:lang w:val="en-US" w:eastAsia="zh-CN"/>
        </w:rPr>
      </w:pPr>
    </w:p>
    <w:p w14:paraId="35E211E3">
      <w:pPr>
        <w:pStyle w:val="2"/>
        <w:rPr>
          <w:rFonts w:hint="eastAsia"/>
          <w:lang w:val="en-US" w:eastAsia="zh-CN"/>
        </w:rPr>
      </w:pPr>
    </w:p>
    <w:p w14:paraId="47C08910">
      <w:pPr>
        <w:pStyle w:val="2"/>
        <w:rPr>
          <w:rFonts w:hint="eastAsia"/>
          <w:lang w:val="en-US" w:eastAsia="zh-CN"/>
        </w:rPr>
      </w:pPr>
    </w:p>
    <w:p w14:paraId="0477D232">
      <w:pPr>
        <w:pStyle w:val="2"/>
        <w:rPr>
          <w:rFonts w:hint="eastAsia"/>
          <w:lang w:val="en-US" w:eastAsia="zh-CN"/>
        </w:rPr>
      </w:pPr>
    </w:p>
    <w:p w14:paraId="7B903F61">
      <w:pPr>
        <w:pStyle w:val="2"/>
        <w:rPr>
          <w:rFonts w:hint="eastAsia"/>
          <w:lang w:val="en-US" w:eastAsia="zh-CN"/>
        </w:rPr>
      </w:pPr>
    </w:p>
    <w:p w14:paraId="0CB825CB">
      <w:pPr>
        <w:pStyle w:val="2"/>
        <w:rPr>
          <w:rFonts w:hint="eastAsia"/>
          <w:lang w:val="en-US" w:eastAsia="zh-CN"/>
        </w:rPr>
      </w:pPr>
    </w:p>
    <w:p w14:paraId="6496E6EB">
      <w:pPr>
        <w:pStyle w:val="2"/>
        <w:rPr>
          <w:rFonts w:hint="eastAsia"/>
          <w:lang w:val="en-US" w:eastAsia="zh-CN"/>
        </w:rPr>
      </w:pPr>
    </w:p>
    <w:p w14:paraId="0F909203">
      <w:pPr>
        <w:pStyle w:val="2"/>
        <w:rPr>
          <w:rFonts w:hint="eastAsia"/>
          <w:lang w:val="en-US" w:eastAsia="zh-CN"/>
        </w:rPr>
      </w:pPr>
    </w:p>
    <w:p w14:paraId="3896560B">
      <w:pPr>
        <w:pStyle w:val="2"/>
        <w:rPr>
          <w:rFonts w:hint="eastAsia"/>
          <w:lang w:val="en-US" w:eastAsia="zh-CN"/>
        </w:rPr>
      </w:pPr>
    </w:p>
    <w:p w14:paraId="0C75AC9D">
      <w:pPr>
        <w:pStyle w:val="2"/>
        <w:rPr>
          <w:rFonts w:hint="eastAsia"/>
          <w:lang w:val="en-US" w:eastAsia="zh-CN"/>
        </w:rPr>
      </w:pPr>
    </w:p>
    <w:p w14:paraId="30475460">
      <w:pPr>
        <w:pStyle w:val="2"/>
        <w:rPr>
          <w:rFonts w:hint="eastAsia"/>
          <w:lang w:val="en-US" w:eastAsia="zh-CN"/>
        </w:rPr>
      </w:pPr>
    </w:p>
    <w:p w14:paraId="452102E7">
      <w:pPr>
        <w:pStyle w:val="2"/>
        <w:rPr>
          <w:rFonts w:hint="eastAsia"/>
          <w:lang w:val="en-US" w:eastAsia="zh-CN"/>
        </w:rPr>
      </w:pPr>
    </w:p>
    <w:p w14:paraId="327C33E6">
      <w:pPr>
        <w:pStyle w:val="2"/>
        <w:rPr>
          <w:rFonts w:hint="eastAsia"/>
          <w:lang w:val="en-US" w:eastAsia="zh-CN"/>
        </w:rPr>
      </w:pPr>
    </w:p>
    <w:p w14:paraId="18040ADA">
      <w:pPr>
        <w:pageBreakBefore w:val="0"/>
        <w:kinsoku/>
        <w:wordWrap/>
        <w:topLinePunct w:val="0"/>
        <w:bidi w:val="0"/>
        <w:spacing w:line="576" w:lineRule="exact"/>
        <w:rPr>
          <w:rFonts w:hint="eastAsia"/>
          <w:lang w:val="en-US" w:eastAsia="zh-CN"/>
        </w:rPr>
      </w:pPr>
    </w:p>
    <w:p w14:paraId="14AC76A7">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05B15199">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w:t>
      </w:r>
      <w:r>
        <w:rPr>
          <w:rFonts w:hint="eastAsia" w:ascii="方正小标宋简体" w:hAnsi="方正小标宋简体" w:eastAsia="方正小标宋简体" w:cs="方正小标宋简体"/>
          <w:color w:val="auto"/>
          <w:kern w:val="2"/>
          <w:sz w:val="44"/>
          <w:szCs w:val="44"/>
          <w:highlight w:val="none"/>
          <w:lang w:val="en-US" w:eastAsia="zh-CN"/>
        </w:rPr>
        <w:t>查尔玛乡卫生户厕建设（一期）</w:t>
      </w:r>
    </w:p>
    <w:p w14:paraId="0A120A22">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项目绩效评价报告</w:t>
      </w:r>
    </w:p>
    <w:p w14:paraId="7078A86D">
      <w:pPr>
        <w:pStyle w:val="35"/>
        <w:keepNext w:val="0"/>
        <w:keepLines w:val="0"/>
        <w:pageBreakBefore w:val="0"/>
        <w:widowControl w:val="0"/>
        <w:kinsoku/>
        <w:wordWrap/>
        <w:overflowPunct/>
        <w:topLinePunct w:val="0"/>
        <w:autoSpaceDE/>
        <w:autoSpaceDN/>
        <w:bidi w:val="0"/>
        <w:spacing w:line="576" w:lineRule="exact"/>
        <w:ind w:left="0" w:leftChars="0" w:firstLine="640"/>
        <w:jc w:val="center"/>
        <w:textAlignment w:val="auto"/>
        <w:rPr>
          <w:rFonts w:ascii="宋体" w:hAnsi="宋体"/>
          <w:color w:val="auto"/>
          <w:kern w:val="2"/>
          <w:sz w:val="32"/>
          <w:szCs w:val="32"/>
          <w:highlight w:val="none"/>
        </w:rPr>
      </w:pPr>
    </w:p>
    <w:p w14:paraId="70CE8D87">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cs="Times New Roman"/>
          <w:b/>
          <w:bCs/>
          <w:sz w:val="32"/>
          <w:szCs w:val="32"/>
          <w:highlight w:val="none"/>
          <w:lang w:val="zh-CN" w:eastAsia="zh-CN"/>
        </w:rPr>
      </w:pPr>
      <w:r>
        <w:rPr>
          <w:rFonts w:hint="eastAsia" w:ascii="黑体" w:hAnsi="宋体" w:eastAsia="黑体" w:cs="Times New Roman"/>
          <w:b/>
          <w:bCs/>
          <w:sz w:val="32"/>
          <w:szCs w:val="32"/>
          <w:highlight w:val="none"/>
          <w:lang w:val="zh-CN" w:eastAsia="zh-CN"/>
        </w:rPr>
        <w:t>一、项目概况</w:t>
      </w:r>
    </w:p>
    <w:p w14:paraId="318F308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color w:val="auto"/>
          <w:sz w:val="32"/>
          <w:szCs w:val="32"/>
          <w:lang w:eastAsia="zh-CN"/>
        </w:rPr>
        <w:t>查尔玛乡卫生户厕建设（一期）项目</w:t>
      </w:r>
      <w:r>
        <w:rPr>
          <w:rFonts w:hint="eastAsia" w:ascii="仿宋_GB2312" w:hAnsi="仿宋_GB2312" w:eastAsia="仿宋_GB2312" w:cs="仿宋_GB2312"/>
          <w:color w:val="auto"/>
          <w:kern w:val="2"/>
          <w:sz w:val="32"/>
          <w:szCs w:val="32"/>
          <w:lang w:val="en-US" w:eastAsia="zh-CN" w:bidi="ar"/>
        </w:rPr>
        <w:t>，项目下达资金154万元，资金来源属于</w:t>
      </w:r>
      <w:r>
        <w:rPr>
          <w:rFonts w:hint="eastAsia" w:ascii="仿宋_GB2312" w:hAnsi="仿宋_GB2312" w:eastAsia="仿宋_GB2312" w:cs="仿宋_GB2312"/>
          <w:color w:val="auto"/>
          <w:kern w:val="2"/>
          <w:sz w:val="32"/>
          <w:szCs w:val="32"/>
          <w:lang w:val="zh-CN" w:eastAsia="zh-CN" w:bidi="ar"/>
        </w:rPr>
        <w:t>20</w:t>
      </w:r>
      <w:r>
        <w:rPr>
          <w:rFonts w:hint="eastAsia" w:ascii="仿宋_GB2312" w:hAnsi="仿宋_GB2312" w:eastAsia="仿宋_GB2312" w:cs="仿宋_GB2312"/>
          <w:color w:val="auto"/>
          <w:kern w:val="2"/>
          <w:sz w:val="32"/>
          <w:szCs w:val="32"/>
          <w:lang w:val="en-US" w:eastAsia="zh-CN" w:bidi="ar"/>
        </w:rPr>
        <w:t>23</w:t>
      </w:r>
      <w:r>
        <w:rPr>
          <w:rFonts w:hint="eastAsia" w:ascii="仿宋_GB2312" w:hAnsi="仿宋_GB2312" w:eastAsia="仿宋_GB2312" w:cs="仿宋_GB2312"/>
          <w:color w:val="auto"/>
          <w:kern w:val="2"/>
          <w:sz w:val="32"/>
          <w:szCs w:val="32"/>
          <w:lang w:val="zh-CN" w:eastAsia="zh-CN" w:bidi="ar"/>
        </w:rPr>
        <w:t>年县级配套衔接资金</w:t>
      </w:r>
      <w:r>
        <w:rPr>
          <w:rFonts w:hint="eastAsia" w:ascii="仿宋_GB2312" w:hAnsi="仿宋_GB2312" w:eastAsia="仿宋_GB2312" w:cs="仿宋_GB2312"/>
          <w:color w:val="auto"/>
          <w:kern w:val="2"/>
          <w:sz w:val="32"/>
          <w:szCs w:val="32"/>
          <w:lang w:val="en-US" w:eastAsia="zh-CN" w:bidi="ar"/>
        </w:rPr>
        <w:t>，</w:t>
      </w:r>
      <w:r>
        <w:rPr>
          <w:rFonts w:hint="eastAsia" w:ascii="仿宋_GB2312" w:hAnsi="仿宋_GB2312" w:eastAsia="仿宋_GB2312" w:cs="仿宋_GB2312"/>
          <w:color w:val="auto"/>
          <w:sz w:val="32"/>
          <w:szCs w:val="32"/>
          <w:lang w:val="zh-CN"/>
        </w:rPr>
        <w:t>符合资金管理办法等相关规定。</w:t>
      </w:r>
    </w:p>
    <w:p w14:paraId="17E064FB">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sz w:val="32"/>
          <w:szCs w:val="32"/>
          <w:lang w:val="zh-CN"/>
        </w:rPr>
        <w:t>该项目建设内容为：以先建后补方式，新建农村户用卫生（无害化）</w:t>
      </w:r>
      <w:r>
        <w:rPr>
          <w:rFonts w:hint="eastAsia" w:ascii="仿宋_GB2312" w:hAnsi="仿宋_GB2312" w:eastAsia="仿宋_GB2312" w:cs="仿宋_GB2312"/>
          <w:color w:val="auto"/>
          <w:sz w:val="32"/>
          <w:szCs w:val="32"/>
          <w:lang w:val="en-US" w:eastAsia="zh-CN"/>
        </w:rPr>
        <w:t>200座，</w:t>
      </w:r>
      <w:r>
        <w:rPr>
          <w:rFonts w:hint="eastAsia" w:ascii="仿宋_GB2312" w:hAnsi="仿宋_GB2312" w:eastAsia="仿宋_GB2312" w:cs="仿宋_GB2312"/>
          <w:color w:val="auto"/>
          <w:sz w:val="32"/>
          <w:szCs w:val="32"/>
          <w:lang w:val="zh-CN"/>
        </w:rPr>
        <w:t>按每户自筹1300元，补助7700元。</w:t>
      </w:r>
    </w:p>
    <w:p w14:paraId="188843A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color w:val="auto"/>
          <w:kern w:val="2"/>
          <w:sz w:val="32"/>
          <w:szCs w:val="32"/>
          <w:lang w:val="en-US" w:eastAsia="zh-CN" w:bidi="ar"/>
        </w:rPr>
        <w:t>该项目总投资154万元，全部为</w:t>
      </w:r>
      <w:r>
        <w:rPr>
          <w:rFonts w:hint="eastAsia" w:ascii="仿宋_GB2312" w:hAnsi="仿宋_GB2312" w:eastAsia="仿宋_GB2312" w:cs="仿宋_GB2312"/>
          <w:color w:val="auto"/>
          <w:kern w:val="2"/>
          <w:sz w:val="32"/>
          <w:szCs w:val="32"/>
          <w:lang w:val="zh-CN" w:eastAsia="zh-CN" w:bidi="ar"/>
        </w:rPr>
        <w:t>20</w:t>
      </w:r>
      <w:r>
        <w:rPr>
          <w:rFonts w:hint="eastAsia" w:ascii="仿宋_GB2312" w:hAnsi="仿宋_GB2312" w:eastAsia="仿宋_GB2312" w:cs="仿宋_GB2312"/>
          <w:color w:val="auto"/>
          <w:kern w:val="2"/>
          <w:sz w:val="32"/>
          <w:szCs w:val="32"/>
          <w:lang w:val="en-US" w:eastAsia="zh-CN" w:bidi="ar"/>
        </w:rPr>
        <w:t>23</w:t>
      </w:r>
      <w:r>
        <w:rPr>
          <w:rFonts w:hint="eastAsia" w:ascii="仿宋_GB2312" w:hAnsi="仿宋_GB2312" w:eastAsia="仿宋_GB2312" w:cs="仿宋_GB2312"/>
          <w:color w:val="auto"/>
          <w:kern w:val="2"/>
          <w:sz w:val="32"/>
          <w:szCs w:val="32"/>
          <w:lang w:val="zh-CN" w:eastAsia="zh-CN" w:bidi="ar"/>
        </w:rPr>
        <w:t>年乡村振兴衔接</w:t>
      </w:r>
      <w:r>
        <w:rPr>
          <w:rFonts w:hint="eastAsia" w:ascii="仿宋_GB2312" w:hAnsi="仿宋_GB2312" w:eastAsia="仿宋_GB2312" w:cs="仿宋_GB2312"/>
          <w:color w:val="auto"/>
          <w:kern w:val="2"/>
          <w:sz w:val="32"/>
          <w:szCs w:val="32"/>
          <w:lang w:val="en-US" w:eastAsia="zh-CN" w:bidi="ar"/>
        </w:rPr>
        <w:t>资金，且资金于2023年5月下达，资金到位率100%。该项目资金严格按照相关规程进行拨付，截止目前，该项目已支付至合同价的100%，共计154万元。</w:t>
      </w:r>
      <w:r>
        <w:rPr>
          <w:rFonts w:hint="eastAsia" w:ascii="仿宋_GB2312" w:hAnsi="仿宋_GB2312" w:eastAsia="仿宋_GB2312" w:cs="仿宋_GB2312"/>
          <w:color w:val="auto"/>
          <w:sz w:val="32"/>
          <w:szCs w:val="32"/>
          <w:lang w:val="zh-CN"/>
        </w:rPr>
        <w:t>支付依据合规合法，资金支付与预算相符。</w:t>
      </w:r>
    </w:p>
    <w:p w14:paraId="5DE2BF8F">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default" w:ascii="仿宋_GB2312" w:hAnsi="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color w:val="auto"/>
          <w:sz w:val="32"/>
          <w:szCs w:val="32"/>
          <w:lang w:val="zh-CN"/>
        </w:rPr>
        <w:t>该项目建设内容为：以先建后补方式，新建农村户用卫生（无害化）</w:t>
      </w:r>
      <w:r>
        <w:rPr>
          <w:rFonts w:hint="eastAsia" w:ascii="仿宋_GB2312" w:hAnsi="仿宋_GB2312" w:eastAsia="仿宋_GB2312" w:cs="仿宋_GB2312"/>
          <w:color w:val="auto"/>
          <w:sz w:val="32"/>
          <w:szCs w:val="32"/>
          <w:lang w:val="en-US" w:eastAsia="zh-CN"/>
        </w:rPr>
        <w:t>200座，</w:t>
      </w:r>
      <w:r>
        <w:rPr>
          <w:rFonts w:hint="eastAsia" w:ascii="仿宋_GB2312" w:hAnsi="仿宋_GB2312" w:eastAsia="仿宋_GB2312" w:cs="仿宋_GB2312"/>
          <w:color w:val="auto"/>
          <w:sz w:val="32"/>
          <w:szCs w:val="32"/>
          <w:lang w:val="zh-CN"/>
        </w:rPr>
        <w:t>按每户自筹1300元，补助7700元。</w:t>
      </w:r>
      <w:r>
        <w:rPr>
          <w:rFonts w:hint="eastAsia" w:ascii="仿宋_GB2312" w:hAnsi="仿宋_GB2312" w:eastAsia="仿宋_GB2312" w:cs="仿宋_GB2312"/>
          <w:color w:val="auto"/>
          <w:kern w:val="2"/>
          <w:sz w:val="32"/>
          <w:szCs w:val="32"/>
          <w:lang w:val="en-US" w:eastAsia="zh-CN" w:bidi="ar"/>
        </w:rPr>
        <w:t>该项目于2023年10月30日全面完工。</w:t>
      </w:r>
    </w:p>
    <w:p w14:paraId="16BF4456">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b/>
          <w:bCs/>
          <w:sz w:val="32"/>
          <w:szCs w:val="32"/>
          <w:highlight w:val="none"/>
          <w:lang w:eastAsia="zh-CN"/>
        </w:rPr>
      </w:pPr>
      <w:r>
        <w:rPr>
          <w:rFonts w:hint="eastAsia" w:ascii="黑体" w:hAnsi="宋体" w:eastAsia="黑体"/>
          <w:b/>
          <w:bCs/>
          <w:sz w:val="32"/>
          <w:szCs w:val="32"/>
          <w:highlight w:val="none"/>
        </w:rPr>
        <w:t>二、</w:t>
      </w:r>
      <w:r>
        <w:rPr>
          <w:rFonts w:hint="eastAsia" w:ascii="黑体" w:hAnsi="宋体" w:eastAsia="黑体"/>
          <w:b/>
          <w:bCs/>
          <w:sz w:val="32"/>
          <w:szCs w:val="32"/>
          <w:highlight w:val="none"/>
          <w:lang w:eastAsia="zh-CN"/>
        </w:rPr>
        <w:t>评价实施</w:t>
      </w:r>
    </w:p>
    <w:p w14:paraId="427DF2AF">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eastAsia="仿宋_GB2312" w:cs="Times New Roman"/>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color w:val="auto"/>
          <w:sz w:val="32"/>
          <w:szCs w:val="32"/>
          <w:lang w:val="zh-CN"/>
        </w:rPr>
        <w:t>以先建后补方式，新建农村户用卫生（无害化）</w:t>
      </w:r>
      <w:r>
        <w:rPr>
          <w:rFonts w:hint="eastAsia" w:ascii="仿宋_GB2312" w:hAnsi="仿宋_GB2312" w:eastAsia="仿宋_GB2312" w:cs="仿宋_GB2312"/>
          <w:color w:val="auto"/>
          <w:sz w:val="32"/>
          <w:szCs w:val="32"/>
          <w:lang w:val="en-US" w:eastAsia="zh-CN"/>
        </w:rPr>
        <w:t>200座</w:t>
      </w:r>
      <w:r>
        <w:rPr>
          <w:rFonts w:hint="eastAsia" w:cs="Times New Roman"/>
          <w:szCs w:val="32"/>
          <w:lang w:eastAsia="zh-CN"/>
        </w:rPr>
        <w:t>。</w:t>
      </w:r>
    </w:p>
    <w:p w14:paraId="106B767C">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color w:val="auto"/>
          <w:kern w:val="2"/>
          <w:sz w:val="32"/>
          <w:szCs w:val="32"/>
          <w:lang w:val="en-US" w:eastAsia="zh-CN" w:bidi="ar"/>
        </w:rPr>
        <w:t>该项目资金严格按照相关规程进行拨付，截止目前</w:t>
      </w:r>
      <w:r>
        <w:rPr>
          <w:rFonts w:hint="eastAsia" w:ascii="仿宋_GB2312" w:hAnsi="Times New Roman" w:eastAsia="仿宋_GB2312" w:cs="Times New Roman"/>
          <w:sz w:val="32"/>
          <w:szCs w:val="32"/>
          <w:lang w:val="en-US" w:eastAsia="zh-CN"/>
        </w:rPr>
        <w:t>，该项目已支付至合同价的100%，共计154万元。</w:t>
      </w:r>
      <w:r>
        <w:rPr>
          <w:rFonts w:hint="eastAsia" w:ascii="仿宋_GB2312" w:hAnsi="Times New Roman" w:eastAsia="仿宋_GB2312" w:cs="Times New Roman"/>
          <w:sz w:val="32"/>
          <w:szCs w:val="32"/>
          <w:lang w:val="zh-CN"/>
        </w:rPr>
        <w:t>支付依据合规合法，资金支付与预算相符。</w:t>
      </w:r>
    </w:p>
    <w:p w14:paraId="70C36EC9">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（三）评价选点。</w:t>
      </w:r>
      <w:r>
        <w:rPr>
          <w:rFonts w:hint="eastAsia" w:ascii="仿宋_GB2312" w:hAnsi="Times New Roman" w:eastAsia="仿宋_GB2312" w:cs="Times New Roman"/>
          <w:sz w:val="32"/>
          <w:szCs w:val="32"/>
          <w:lang w:val="zh-CN" w:eastAsia="zh-CN"/>
        </w:rPr>
        <w:t>项目绩效自评所抽样点位合格。</w:t>
      </w:r>
    </w:p>
    <w:p w14:paraId="1B68733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zh-CN"/>
        </w:rPr>
        <w:t>（四）评价方法。</w:t>
      </w:r>
      <w:r>
        <w:rPr>
          <w:rFonts w:hint="eastAsia" w:ascii="仿宋_GB2312" w:hAnsi="Times New Roman" w:eastAsia="仿宋_GB2312" w:cs="Times New Roman"/>
          <w:sz w:val="32"/>
          <w:szCs w:val="32"/>
          <w:lang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rPr>
        <w:t>实地勘察法</w:t>
      </w:r>
      <w:r>
        <w:rPr>
          <w:rFonts w:hint="eastAsia" w:ascii="仿宋_GB2312" w:hAnsi="Times New Roman" w:eastAsia="仿宋_GB2312" w:cs="Times New Roman"/>
          <w:sz w:val="32"/>
          <w:szCs w:val="32"/>
          <w:lang w:eastAsia="zh-CN"/>
        </w:rPr>
        <w:t>。</w:t>
      </w:r>
    </w:p>
    <w:p w14:paraId="14AC5BA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zh-CN"/>
        </w:rPr>
        <w:t>（五）评价组织。</w:t>
      </w:r>
      <w:r>
        <w:rPr>
          <w:rFonts w:hint="eastAsia" w:ascii="仿宋_GB2312" w:hAnsi="Times New Roman" w:eastAsia="仿宋_GB2312" w:cs="Times New Roman"/>
          <w:sz w:val="32"/>
          <w:szCs w:val="32"/>
          <w:lang w:eastAsia="zh-CN"/>
        </w:rPr>
        <w:t>由查尔玛乡人民政府分工一名副科级牵头，两名经办开展监督验收工作。</w:t>
      </w:r>
    </w:p>
    <w:p w14:paraId="64BD9A3B">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cs="Times New Roman"/>
          <w:b/>
          <w:bCs/>
          <w:sz w:val="32"/>
          <w:szCs w:val="32"/>
          <w:highlight w:val="none"/>
          <w:lang w:val="zh-CN" w:eastAsia="zh-CN"/>
        </w:rPr>
      </w:pPr>
      <w:r>
        <w:rPr>
          <w:rFonts w:hint="eastAsia" w:ascii="黑体" w:hAnsi="宋体" w:eastAsia="黑体" w:cs="Times New Roman"/>
          <w:b/>
          <w:bCs/>
          <w:sz w:val="32"/>
          <w:szCs w:val="32"/>
          <w:highlight w:val="none"/>
          <w:lang w:eastAsia="zh-CN"/>
        </w:rPr>
        <w:t>三、绩效分析</w:t>
      </w:r>
      <w:r>
        <w:rPr>
          <w:rFonts w:hint="eastAsia" w:ascii="黑体" w:hAnsi="宋体" w:eastAsia="黑体" w:cs="Times New Roman"/>
          <w:b/>
          <w:bCs/>
          <w:sz w:val="32"/>
          <w:szCs w:val="32"/>
          <w:highlight w:val="none"/>
          <w:lang w:val="zh-CN" w:eastAsia="zh-CN"/>
        </w:rPr>
        <w:tab/>
      </w:r>
    </w:p>
    <w:p w14:paraId="67FB98C5">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zh-CN"/>
        </w:rPr>
        <w:t>（一）</w:t>
      </w:r>
      <w:r>
        <w:rPr>
          <w:rFonts w:hint="eastAsia" w:ascii="仿宋_GB2312" w:hAnsi="Times New Roman" w:eastAsia="仿宋_GB2312" w:cs="Times New Roman"/>
          <w:b/>
          <w:bCs/>
          <w:sz w:val="32"/>
          <w:szCs w:val="32"/>
          <w:lang w:val="en-US" w:eastAsia="zh-CN"/>
        </w:rPr>
        <w:t>通用指标</w:t>
      </w:r>
      <w:r>
        <w:rPr>
          <w:rFonts w:hint="default" w:ascii="仿宋_GB2312" w:hAnsi="Times New Roman" w:eastAsia="仿宋_GB2312" w:cs="Times New Roman"/>
          <w:b/>
          <w:bCs/>
          <w:sz w:val="32"/>
          <w:szCs w:val="32"/>
          <w:lang w:val="zh-CN"/>
        </w:rPr>
        <w:t>绩效分析。</w:t>
      </w:r>
    </w:p>
    <w:p w14:paraId="0296D5D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eastAsia="zh-CN"/>
        </w:rPr>
        <w:t>项目决策。</w:t>
      </w:r>
      <w:r>
        <w:rPr>
          <w:rFonts w:hint="eastAsia" w:ascii="仿宋_GB2312" w:hAnsi="Times New Roman" w:eastAsia="仿宋_GB2312" w:cs="Times New Roman"/>
          <w:sz w:val="32"/>
          <w:szCs w:val="32"/>
          <w:lang w:val="en-US" w:eastAsia="zh-CN"/>
        </w:rPr>
        <w:t>本项目由红原县查尔玛人民政府负责具体实施，县住建局负责项目监管，县财政局负责监管项目资金。</w:t>
      </w:r>
    </w:p>
    <w:p w14:paraId="0B45FE6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5F1B1783">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该项目资金严格按照相关规程进行拨付，</w:t>
      </w:r>
    </w:p>
    <w:p w14:paraId="557FB0E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截止目前，该项目已支付至合同价的100%，共计154万元。</w:t>
      </w:r>
      <w:r>
        <w:rPr>
          <w:rFonts w:hint="eastAsia" w:ascii="仿宋_GB2312" w:hAnsi="Times New Roman" w:eastAsia="仿宋_GB2312" w:cs="Times New Roman"/>
          <w:sz w:val="32"/>
          <w:szCs w:val="32"/>
          <w:lang w:val="zh-CN"/>
        </w:rPr>
        <w:t>支付依据合规合法，资金支付与预算相符。</w:t>
      </w:r>
      <w:r>
        <w:rPr>
          <w:rFonts w:hint="eastAsia" w:ascii="仿宋_GB2312" w:hAnsi="Times New Roman" w:eastAsia="仿宋_GB2312" w:cs="Times New Roman"/>
          <w:sz w:val="32"/>
          <w:szCs w:val="32"/>
          <w:lang w:val="en-US" w:eastAsia="zh-CN"/>
        </w:rPr>
        <w:t>4.项目结果。围绕</w:t>
      </w:r>
      <w:r>
        <w:rPr>
          <w:rFonts w:hint="eastAsia" w:ascii="仿宋_GB2312" w:hAnsi="Times New Roman" w:eastAsia="仿宋_GB2312" w:cs="Times New Roman"/>
          <w:sz w:val="32"/>
          <w:szCs w:val="32"/>
          <w:lang w:eastAsia="zh-CN"/>
        </w:rPr>
        <w:t>目标完成、完成时效进行绩效分析。</w:t>
      </w:r>
    </w:p>
    <w:p w14:paraId="3D7987A5">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eastAsia="zh-CN"/>
        </w:rPr>
      </w:pPr>
      <w:r>
        <w:rPr>
          <w:rFonts w:hint="eastAsia" w:ascii="仿宋_GB2312" w:hAnsi="Times New Roman" w:eastAsia="仿宋_GB2312" w:cs="Times New Roman"/>
          <w:b/>
          <w:bCs/>
          <w:sz w:val="32"/>
          <w:szCs w:val="32"/>
          <w:lang w:val="zh-CN"/>
        </w:rPr>
        <w:t>（二）</w:t>
      </w:r>
      <w:r>
        <w:rPr>
          <w:rFonts w:hint="eastAsia" w:ascii="仿宋_GB2312" w:hAnsi="Times New Roman" w:eastAsia="仿宋_GB2312" w:cs="Times New Roman"/>
          <w:b/>
          <w:bCs/>
          <w:sz w:val="32"/>
          <w:szCs w:val="32"/>
          <w:lang w:val="en-US" w:eastAsia="zh-CN"/>
        </w:rPr>
        <w:t>专用指标</w:t>
      </w:r>
      <w:r>
        <w:rPr>
          <w:rFonts w:hint="default" w:ascii="仿宋_GB2312" w:hAnsi="Times New Roman" w:eastAsia="仿宋_GB2312" w:cs="Times New Roman"/>
          <w:b/>
          <w:bCs/>
          <w:sz w:val="32"/>
          <w:szCs w:val="32"/>
          <w:lang w:val="zh-CN"/>
        </w:rPr>
        <w:t>绩效分析。</w:t>
      </w:r>
    </w:p>
    <w:p w14:paraId="11056F0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sz w:val="32"/>
          <w:szCs w:val="32"/>
          <w:lang w:val="en-US" w:eastAsia="zh-CN"/>
        </w:rPr>
        <w:t>卫生户厕的建设改善了农村居民的居住环境，提高了群众的生活质量和幸福感。居民可以更方便、更卫生地解决如厕问题，减少了生活中的不便。通过建设卫生户厕，减少了因粪便污染导致的疾病传播，降低了与粪便有关疾病的发病率和死亡率。这有助于保障农村居民的身体健康，减轻医疗负担。在牧区推广卫生户厕的使用，有助于推动新农村建设，解决“三农”问题，稳定社会。同时，也提高了牧民对环保理念的认识，对提升整个社会的卫生水平和文明程度都有积极影响。</w:t>
      </w:r>
    </w:p>
    <w:p w14:paraId="0C832229">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2.基础设施。</w:t>
      </w:r>
      <w:r>
        <w:rPr>
          <w:rFonts w:hint="eastAsia" w:ascii="仿宋_GB2312" w:hAnsi="Times New Roman" w:eastAsia="仿宋_GB2312" w:cs="Times New Roman"/>
          <w:sz w:val="32"/>
          <w:szCs w:val="32"/>
          <w:lang w:val="en-US" w:eastAsia="zh-CN"/>
        </w:rPr>
        <w:t>改善农村生态环境。通过卫生户厕的建设，可以有效解决过去农村厕所“脏乱差”的问题，极大地促进了农村生态环境的改善，避免了传统污水处理方式可能带来的环境负担，减少了对水资源的污染，进一步提升了生态效益。</w:t>
      </w:r>
    </w:p>
    <w:p w14:paraId="2A38D5F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zh-CN"/>
        </w:rPr>
        <w:t>（三）</w:t>
      </w:r>
      <w:r>
        <w:rPr>
          <w:rFonts w:hint="eastAsia" w:ascii="仿宋_GB2312" w:hAnsi="Times New Roman" w:eastAsia="仿宋_GB2312" w:cs="Times New Roman"/>
          <w:b/>
          <w:bCs/>
          <w:sz w:val="32"/>
          <w:szCs w:val="32"/>
          <w:lang w:val="en-US" w:eastAsia="zh-CN"/>
        </w:rPr>
        <w:t>个性指标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en-US" w:eastAsia="zh-CN"/>
        </w:rPr>
        <w:t>该项目于2023年10月30日全面完工，完成全乡200户户厕建设，验收质量合格达标。项目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52D7570F">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cs="Times New Roman"/>
          <w:b/>
          <w:bCs/>
          <w:sz w:val="32"/>
          <w:szCs w:val="32"/>
          <w:highlight w:val="none"/>
          <w:lang w:eastAsia="zh-CN"/>
        </w:rPr>
      </w:pPr>
      <w:r>
        <w:rPr>
          <w:rFonts w:hint="eastAsia" w:ascii="黑体" w:hAnsi="宋体" w:eastAsia="黑体" w:cs="Times New Roman"/>
          <w:b/>
          <w:bCs/>
          <w:sz w:val="32"/>
          <w:szCs w:val="32"/>
          <w:highlight w:val="none"/>
          <w:lang w:eastAsia="zh-CN"/>
        </w:rPr>
        <w:t>四、评价结论</w:t>
      </w:r>
    </w:p>
    <w:p w14:paraId="3430F1BA">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rPr>
        <w:t>查尔玛乡卫生户厕建设（一期）项目</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实施单位</w:t>
      </w:r>
      <w:r>
        <w:rPr>
          <w:rFonts w:hint="eastAsia" w:ascii="仿宋_GB2312" w:hAnsi="Times New Roman" w:eastAsia="仿宋_GB2312" w:cs="Times New Roman"/>
          <w:sz w:val="32"/>
          <w:szCs w:val="32"/>
          <w:lang w:val="en-US" w:eastAsia="zh-CN"/>
        </w:rPr>
        <w:t>是红原县查尔玛乡人民政府，主管单位是县住建局，本项目由红原县查尔玛人民政府负责具体实施，县住建局负责项目监管，县财政局负责监管项目资金。项目实施严格按照相关流程进行，包括：资金下达、项目选址、方案编制、项目公示、立项、财评、确定施工方、进场施工、资金拨付、资料收集归档。</w:t>
      </w:r>
    </w:p>
    <w:p w14:paraId="7E5822A4">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cs="Times New Roman"/>
          <w:b/>
          <w:bCs/>
          <w:sz w:val="32"/>
          <w:szCs w:val="32"/>
          <w:highlight w:val="none"/>
          <w:lang w:eastAsia="zh-CN"/>
        </w:rPr>
      </w:pPr>
      <w:r>
        <w:rPr>
          <w:rFonts w:hint="eastAsia" w:ascii="黑体" w:hAnsi="宋体" w:eastAsia="黑体" w:cs="Times New Roman"/>
          <w:b/>
          <w:bCs/>
          <w:sz w:val="32"/>
          <w:szCs w:val="32"/>
          <w:highlight w:val="none"/>
          <w:lang w:eastAsia="zh-CN"/>
        </w:rPr>
        <w:t>五、存在主要问题</w:t>
      </w:r>
    </w:p>
    <w:p w14:paraId="19CF19D7">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0151EC10">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黑体" w:hAnsi="宋体" w:eastAsia="黑体" w:cs="Times New Roman"/>
          <w:b/>
          <w:bCs/>
          <w:sz w:val="32"/>
          <w:szCs w:val="32"/>
          <w:highlight w:val="none"/>
          <w:lang w:val="zh-CN" w:eastAsia="zh-CN"/>
        </w:rPr>
      </w:pPr>
      <w:r>
        <w:rPr>
          <w:rFonts w:hint="eastAsia" w:ascii="黑体" w:hAnsi="宋体" w:eastAsia="黑体" w:cs="Times New Roman"/>
          <w:b/>
          <w:bCs/>
          <w:sz w:val="32"/>
          <w:szCs w:val="32"/>
          <w:highlight w:val="none"/>
          <w:lang w:val="zh-CN" w:eastAsia="zh-CN"/>
        </w:rPr>
        <w:t>六、改进建议</w:t>
      </w:r>
    </w:p>
    <w:p w14:paraId="372FA36F">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0CE253D3">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242CED0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5B311617">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2.专项预算项目绩效目标完成情况自评表</w:t>
      </w:r>
    </w:p>
    <w:p w14:paraId="06E6CE8B">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p>
    <w:p w14:paraId="480CFC39">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en-US" w:eastAsia="zh-CN"/>
        </w:rPr>
      </w:pPr>
    </w:p>
    <w:p w14:paraId="31436770">
      <w:pPr>
        <w:pStyle w:val="2"/>
        <w:pageBreakBefore w:val="0"/>
        <w:kinsoku/>
        <w:wordWrap/>
        <w:topLinePunct w:val="0"/>
        <w:bidi w:val="0"/>
        <w:spacing w:line="576" w:lineRule="exact"/>
        <w:rPr>
          <w:rFonts w:hint="eastAsia" w:ascii="Times New Roman" w:hAnsi="Times New Roman" w:cs="Times New Roman"/>
          <w:color w:val="000000"/>
          <w:kern w:val="0"/>
          <w:szCs w:val="32"/>
          <w:highlight w:val="none"/>
          <w:shd w:val="clear" w:color="auto" w:fill="FFFFFF"/>
          <w:lang w:val="en-US" w:eastAsia="zh-CN"/>
        </w:rPr>
      </w:pPr>
    </w:p>
    <w:p w14:paraId="6E53144A">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1E017110">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205B8BCE">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78DD10C3">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5652B832">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0348D2C1">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44E5DCB5">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42235260">
      <w:pPr>
        <w:pageBreakBefore w:val="0"/>
        <w:kinsoku/>
        <w:wordWrap/>
        <w:topLinePunct w:val="0"/>
        <w:bidi w:val="0"/>
        <w:spacing w:line="576" w:lineRule="exact"/>
        <w:rPr>
          <w:rFonts w:hint="eastAsia"/>
          <w:i w:val="0"/>
          <w:iCs w:val="0"/>
          <w:sz w:val="28"/>
          <w:szCs w:val="28"/>
          <w:u w:val="none"/>
          <w:lang w:val="en-US" w:eastAsia="zh-CN"/>
        </w:rPr>
      </w:pPr>
    </w:p>
    <w:p w14:paraId="68BB7A13">
      <w:pPr>
        <w:pStyle w:val="2"/>
        <w:pageBreakBefore w:val="0"/>
        <w:kinsoku/>
        <w:wordWrap/>
        <w:topLinePunct w:val="0"/>
        <w:bidi w:val="0"/>
        <w:spacing w:line="576" w:lineRule="exact"/>
        <w:rPr>
          <w:rFonts w:hint="eastAsia"/>
          <w:i w:val="0"/>
          <w:iCs w:val="0"/>
          <w:sz w:val="28"/>
          <w:szCs w:val="28"/>
          <w:u w:val="none"/>
          <w:lang w:val="en-US" w:eastAsia="zh-CN"/>
        </w:rPr>
      </w:pPr>
    </w:p>
    <w:p w14:paraId="22DBF867">
      <w:pPr>
        <w:pStyle w:val="2"/>
        <w:pageBreakBefore w:val="0"/>
        <w:kinsoku/>
        <w:wordWrap/>
        <w:topLinePunct w:val="0"/>
        <w:bidi w:val="0"/>
        <w:spacing w:line="576" w:lineRule="exact"/>
        <w:rPr>
          <w:rFonts w:hint="eastAsia"/>
          <w:i w:val="0"/>
          <w:iCs w:val="0"/>
          <w:sz w:val="28"/>
          <w:szCs w:val="28"/>
          <w:u w:val="none"/>
          <w:lang w:val="en-US" w:eastAsia="zh-CN"/>
        </w:rPr>
      </w:pPr>
    </w:p>
    <w:p w14:paraId="553EA523">
      <w:pPr>
        <w:pStyle w:val="2"/>
        <w:pageBreakBefore w:val="0"/>
        <w:kinsoku/>
        <w:wordWrap/>
        <w:topLinePunct w:val="0"/>
        <w:bidi w:val="0"/>
        <w:spacing w:line="576" w:lineRule="exact"/>
        <w:rPr>
          <w:rFonts w:hint="eastAsia"/>
          <w:i w:val="0"/>
          <w:iCs w:val="0"/>
          <w:sz w:val="28"/>
          <w:szCs w:val="28"/>
          <w:u w:val="none"/>
          <w:lang w:val="en-US" w:eastAsia="zh-CN"/>
        </w:rPr>
      </w:pPr>
    </w:p>
    <w:p w14:paraId="6284DD6B">
      <w:pPr>
        <w:pStyle w:val="2"/>
        <w:pageBreakBefore w:val="0"/>
        <w:kinsoku/>
        <w:wordWrap/>
        <w:topLinePunct w:val="0"/>
        <w:bidi w:val="0"/>
        <w:spacing w:line="576" w:lineRule="exact"/>
        <w:rPr>
          <w:rFonts w:hint="eastAsia"/>
          <w:i w:val="0"/>
          <w:iCs w:val="0"/>
          <w:sz w:val="28"/>
          <w:szCs w:val="28"/>
          <w:u w:val="none"/>
          <w:lang w:val="en-US" w:eastAsia="zh-CN"/>
        </w:rPr>
      </w:pPr>
    </w:p>
    <w:p w14:paraId="7D15DA63">
      <w:pPr>
        <w:pStyle w:val="2"/>
        <w:pageBreakBefore w:val="0"/>
        <w:kinsoku/>
        <w:wordWrap/>
        <w:topLinePunct w:val="0"/>
        <w:bidi w:val="0"/>
        <w:spacing w:line="576" w:lineRule="exact"/>
        <w:rPr>
          <w:rFonts w:hint="eastAsia"/>
          <w:i w:val="0"/>
          <w:iCs w:val="0"/>
          <w:sz w:val="28"/>
          <w:szCs w:val="28"/>
          <w:u w:val="none"/>
          <w:lang w:val="en-US" w:eastAsia="zh-CN"/>
        </w:rPr>
      </w:pPr>
    </w:p>
    <w:p w14:paraId="095AF67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04FE53C9">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76672"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11" name="直接连接符 11"/>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76672;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2TOE0wAAAAcBAAAPAAAAAAAAAAEAIAAAACIAAABkcnMvZG93&#10;bnJldi54bWxQSwECFAAUAAAACACHTuJABYPY+wUCAAABBAAADgAAAAAAAAABACAAAAAiAQAAZHJz&#10;L2Uyb0RvYy54bWxQSwUGAAAAAAYABgBZAQAAmQUAAAAA&#10;">
                <v:fill on="f" focussize="0,0"/>
                <v:stroke color="#000000" joinstyle="round"/>
                <v:imagedata o:title=""/>
                <o:lock v:ext="edit" aspectratio="f"/>
              </v:line>
            </w:pict>
          </mc:Fallback>
        </mc:AlternateContent>
      </w:r>
    </w:p>
    <w:p w14:paraId="24A3E7D2">
      <w:pPr>
        <w:pStyle w:val="8"/>
        <w:pageBreakBefore w:val="0"/>
        <w:kinsoku/>
        <w:wordWrap/>
        <w:topLinePunct w:val="0"/>
        <w:bidi w:val="0"/>
        <w:spacing w:line="576" w:lineRule="exact"/>
        <w:ind w:left="0" w:leftChars="0" w:firstLine="280" w:firstLineChars="100"/>
        <w:jc w:val="left"/>
        <w:rPr>
          <w:rFonts w:hint="default"/>
          <w:lang w:val="en-US" w:eastAsia="zh-CN"/>
        </w:rPr>
      </w:pPr>
      <w:r>
        <w:rPr>
          <w:sz w:val="28"/>
        </w:rPr>
        <mc:AlternateContent>
          <mc:Choice Requires="wps">
            <w:drawing>
              <wp:anchor distT="0" distB="0" distL="114300" distR="114300" simplePos="0" relativeHeight="251675648"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16" name="直接连接符 16"/>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75648;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GeemNQAAAAHAQAADwAAAAAAAAABACAAAAAiAAAAZHJzL2Rv&#10;d25yZXYueG1sUEsBAhQAFAAAAAgAh07iQLkrbSEFAgAAAQQAAA4AAAAAAAAAAQAgAAAAIwEAAGRy&#10;cy9lMm9Eb2MueG1sUEsFBgAAAAAGAAYAWQEAAJoFA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04D108C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00DC8A10">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2A1A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1123" w:type="dxa"/>
            <w:noWrap w:val="0"/>
            <w:vAlign w:val="top"/>
          </w:tcPr>
          <w:p w14:paraId="2CD6C5B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3D458F2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4B4D961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7EB5FD6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6CA3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jc w:val="center"/>
        </w:trPr>
        <w:tc>
          <w:tcPr>
            <w:tcW w:w="1123" w:type="dxa"/>
            <w:noWrap w:val="0"/>
            <w:vAlign w:val="top"/>
          </w:tcPr>
          <w:p w14:paraId="44BAEC4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62187F8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2-省级</w:t>
            </w:r>
          </w:p>
        </w:tc>
        <w:tc>
          <w:tcPr>
            <w:tcW w:w="2861" w:type="dxa"/>
            <w:noWrap w:val="0"/>
            <w:vAlign w:val="top"/>
          </w:tcPr>
          <w:p w14:paraId="102283A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77C9E8B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AA4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96838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32F6E67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F7D391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3B4FB8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FA3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D2CDAB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4E8156A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9EDA5F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AA166F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4B8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CC25D2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3261CBF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74675A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106201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D92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BC62804">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54B5262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4FCD9F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188F43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2C0B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3FA36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0B200F9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ABCEB7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C931F9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AA5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2C368A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690504E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47F620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F11044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AD1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0DA62E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50A1FD6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79BB74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FA0273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FC2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C3AD60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6193D34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949439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B7DF68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5F762927">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3AACD1F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1497EF92">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5AA6F889">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666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10EDD27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4599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59DCD3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133B51F">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查尔玛乡卫生户厕建设（一期）项目</w:t>
            </w:r>
          </w:p>
        </w:tc>
      </w:tr>
      <w:tr w14:paraId="12C3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6BAB3F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C4F24A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24F74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91C944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AB57C1B">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1C9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24732B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4253D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2F2C4E8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56E1DB5">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阿州财资环【2022】26号】</w:t>
            </w:r>
          </w:p>
        </w:tc>
      </w:tr>
      <w:tr w14:paraId="296F0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2261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E42098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0803A27">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289A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17BBB">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EC0B45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BE0983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16463E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0A156C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F7A328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0A95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852C2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6BD9BF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98D8360">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212D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F0502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515566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1DEC50">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83C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D1EE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B79742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9C3B71B">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7954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8225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2797DC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277D5E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6AC6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924B7A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1F0130C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04B859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8ECDA3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200</w:t>
            </w:r>
          </w:p>
        </w:tc>
      </w:tr>
      <w:tr w14:paraId="631A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77E39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E05FBC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DE715C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154</w:t>
            </w:r>
          </w:p>
        </w:tc>
      </w:tr>
      <w:tr w14:paraId="7243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EF6984B">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8D5835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CDBAFF6">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46</w:t>
            </w:r>
          </w:p>
        </w:tc>
      </w:tr>
      <w:tr w14:paraId="63A0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5EF99A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699773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34F8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E5004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C04BF1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以先建后补方式，新建农村户用卫生（无害化）200座，每户补助7700元。</w:t>
            </w:r>
          </w:p>
        </w:tc>
      </w:tr>
      <w:tr w14:paraId="2F52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6A4E26F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1C399C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4E85FC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FFB52E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B9FFC5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3F9E09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740B3F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6C7A40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7EEB6C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7FEB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5D6E4A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2FF2C4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33606B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8A10AE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★★★新建卫生户厕数量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2E93CD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B9F4B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200座</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CF3FE8B">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543253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F59C16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r>
      <w:tr w14:paraId="658C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754FB4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6F6C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5D1A4B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721B81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267D55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359C61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BF5E459">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F8B540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C731E5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r>
      <w:tr w14:paraId="4F9A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4E8C0C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B59B72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839D2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经济效益</w:t>
            </w:r>
          </w:p>
          <w:p w14:paraId="3F7AF7C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F08274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★补助标准</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6D14E8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7700/户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F7F30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lang w:val="en-US" w:eastAsia="zh-CN"/>
              </w:rPr>
            </w:pPr>
            <w:r>
              <w:rPr>
                <w:rFonts w:hint="eastAsia" w:ascii="宋体" w:hAnsi="宋体" w:eastAsia="宋体" w:cs="宋体"/>
                <w:i w:val="0"/>
                <w:color w:val="000000"/>
                <w:kern w:val="0"/>
                <w:sz w:val="24"/>
                <w:szCs w:val="24"/>
                <w:u w:val="none"/>
                <w:lang w:val="en-US" w:eastAsia="zh-CN" w:bidi="ar"/>
              </w:rPr>
              <w:t>7700元</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C6222F5">
            <w:pPr>
              <w:keepNext w:val="0"/>
              <w:keepLines w:val="0"/>
              <w:pageBreakBefore w:val="0"/>
              <w:widowControl/>
              <w:suppressLineNumbers w:val="0"/>
              <w:kinsoku/>
              <w:wordWrap/>
              <w:topLinePunct w:val="0"/>
              <w:bidi w:val="0"/>
              <w:spacing w:line="576"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/户</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41C0FC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33C70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r>
      <w:tr w14:paraId="1B486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BB2299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FB1E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top w:val="single" w:color="000000" w:sz="4" w:space="0"/>
              <w:left w:val="single" w:color="000000" w:sz="4" w:space="0"/>
              <w:right w:val="single" w:color="000000" w:sz="4" w:space="0"/>
            </w:tcBorders>
            <w:noWrap w:val="0"/>
            <w:vAlign w:val="center"/>
          </w:tcPr>
          <w:p w14:paraId="4D2C189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EEE620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★★★受益建档立卡脱贫人口数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4C73BD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≥62人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01500B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62人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B1DFCA6">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3CCB6B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E23B71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r>
      <w:tr w14:paraId="76FA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813FEE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right w:val="single" w:color="000000" w:sz="4" w:space="0"/>
            </w:tcBorders>
            <w:noWrap w:val="0"/>
            <w:vAlign w:val="center"/>
          </w:tcPr>
          <w:p w14:paraId="66BBF48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2F7AEEE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1372862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018F816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4E98BA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FB136D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2B82DC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C62D6C9">
            <w:pPr>
              <w:keepNext w:val="0"/>
              <w:keepLines w:val="0"/>
              <w:pageBreakBefore w:val="0"/>
              <w:widowControl/>
              <w:suppressLineNumbers w:val="0"/>
              <w:kinsoku/>
              <w:wordWrap/>
              <w:topLinePunct w:val="0"/>
              <w:bidi w:val="0"/>
              <w:spacing w:line="576"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C4A974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0AB019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r>
    </w:tbl>
    <w:p w14:paraId="4F1DF88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宋体" w:hAnsi="宋体" w:eastAsia="宋体" w:cs="宋体"/>
          <w:i w:val="0"/>
          <w:color w:val="000000"/>
          <w:kern w:val="0"/>
          <w:sz w:val="24"/>
          <w:szCs w:val="24"/>
          <w:u w:val="none"/>
          <w:lang w:val="en-US" w:eastAsia="zh-CN" w:bidi="ar"/>
        </w:rPr>
      </w:pPr>
    </w:p>
    <w:p w14:paraId="5CAF6DC9">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3775E48D">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62567B12">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33E82964">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0E743846">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16B4293A">
      <w:pPr>
        <w:rPr>
          <w:rFonts w:hint="default" w:ascii="宋体" w:hAnsi="宋体" w:eastAsia="宋体" w:cs="宋体"/>
          <w:i w:val="0"/>
          <w:color w:val="000000"/>
          <w:kern w:val="0"/>
          <w:sz w:val="24"/>
          <w:szCs w:val="24"/>
          <w:u w:val="none"/>
          <w:lang w:val="en-US" w:eastAsia="zh-CN" w:bidi="ar"/>
        </w:rPr>
      </w:pPr>
    </w:p>
    <w:p w14:paraId="7C66E9B2">
      <w:pPr>
        <w:pStyle w:val="2"/>
        <w:rPr>
          <w:rFonts w:hint="default" w:ascii="宋体" w:hAnsi="宋体" w:eastAsia="宋体" w:cs="宋体"/>
          <w:i w:val="0"/>
          <w:color w:val="000000"/>
          <w:kern w:val="0"/>
          <w:sz w:val="24"/>
          <w:szCs w:val="24"/>
          <w:u w:val="none"/>
          <w:lang w:val="en-US" w:eastAsia="zh-CN" w:bidi="ar"/>
        </w:rPr>
      </w:pPr>
    </w:p>
    <w:p w14:paraId="0E3F91BC">
      <w:pPr>
        <w:pStyle w:val="2"/>
        <w:rPr>
          <w:rFonts w:hint="default" w:ascii="宋体" w:hAnsi="宋体" w:eastAsia="宋体" w:cs="宋体"/>
          <w:i w:val="0"/>
          <w:color w:val="000000"/>
          <w:kern w:val="0"/>
          <w:sz w:val="24"/>
          <w:szCs w:val="24"/>
          <w:u w:val="none"/>
          <w:lang w:val="en-US" w:eastAsia="zh-CN" w:bidi="ar"/>
        </w:rPr>
      </w:pPr>
    </w:p>
    <w:p w14:paraId="2FD3B560">
      <w:pPr>
        <w:pStyle w:val="2"/>
        <w:rPr>
          <w:rFonts w:hint="default" w:ascii="宋体" w:hAnsi="宋体" w:eastAsia="宋体" w:cs="宋体"/>
          <w:i w:val="0"/>
          <w:color w:val="000000"/>
          <w:kern w:val="0"/>
          <w:sz w:val="24"/>
          <w:szCs w:val="24"/>
          <w:u w:val="none"/>
          <w:lang w:val="en-US" w:eastAsia="zh-CN" w:bidi="ar"/>
        </w:rPr>
      </w:pPr>
    </w:p>
    <w:p w14:paraId="4E5ADB8F">
      <w:pPr>
        <w:pStyle w:val="2"/>
        <w:rPr>
          <w:rFonts w:hint="default" w:ascii="宋体" w:hAnsi="宋体" w:eastAsia="宋体" w:cs="宋体"/>
          <w:i w:val="0"/>
          <w:color w:val="000000"/>
          <w:kern w:val="0"/>
          <w:sz w:val="24"/>
          <w:szCs w:val="24"/>
          <w:u w:val="none"/>
          <w:lang w:val="en-US" w:eastAsia="zh-CN" w:bidi="ar"/>
        </w:rPr>
      </w:pPr>
    </w:p>
    <w:p w14:paraId="2B2E1D72">
      <w:pPr>
        <w:pStyle w:val="2"/>
        <w:rPr>
          <w:rFonts w:hint="default" w:ascii="宋体" w:hAnsi="宋体" w:eastAsia="宋体" w:cs="宋体"/>
          <w:i w:val="0"/>
          <w:color w:val="000000"/>
          <w:kern w:val="0"/>
          <w:sz w:val="24"/>
          <w:szCs w:val="24"/>
          <w:u w:val="none"/>
          <w:lang w:val="en-US" w:eastAsia="zh-CN" w:bidi="ar"/>
        </w:rPr>
      </w:pPr>
    </w:p>
    <w:p w14:paraId="6D0D27A4">
      <w:pPr>
        <w:pStyle w:val="2"/>
        <w:rPr>
          <w:rFonts w:hint="default" w:ascii="宋体" w:hAnsi="宋体" w:eastAsia="宋体" w:cs="宋体"/>
          <w:i w:val="0"/>
          <w:color w:val="000000"/>
          <w:kern w:val="0"/>
          <w:sz w:val="24"/>
          <w:szCs w:val="24"/>
          <w:u w:val="none"/>
          <w:lang w:val="en-US" w:eastAsia="zh-CN" w:bidi="ar"/>
        </w:rPr>
      </w:pPr>
    </w:p>
    <w:p w14:paraId="1932CDB2">
      <w:pPr>
        <w:pStyle w:val="2"/>
        <w:rPr>
          <w:rFonts w:hint="default" w:ascii="宋体" w:hAnsi="宋体" w:eastAsia="宋体" w:cs="宋体"/>
          <w:i w:val="0"/>
          <w:color w:val="000000"/>
          <w:kern w:val="0"/>
          <w:sz w:val="24"/>
          <w:szCs w:val="24"/>
          <w:u w:val="none"/>
          <w:lang w:val="en-US" w:eastAsia="zh-CN" w:bidi="ar"/>
        </w:rPr>
      </w:pPr>
    </w:p>
    <w:p w14:paraId="771CE284">
      <w:pPr>
        <w:pStyle w:val="2"/>
        <w:rPr>
          <w:rFonts w:hint="default" w:ascii="宋体" w:hAnsi="宋体" w:eastAsia="宋体" w:cs="宋体"/>
          <w:i w:val="0"/>
          <w:color w:val="000000"/>
          <w:kern w:val="0"/>
          <w:sz w:val="24"/>
          <w:szCs w:val="24"/>
          <w:u w:val="none"/>
          <w:lang w:val="en-US" w:eastAsia="zh-CN" w:bidi="ar"/>
        </w:rPr>
      </w:pPr>
    </w:p>
    <w:p w14:paraId="2327EBDB">
      <w:pPr>
        <w:pStyle w:val="2"/>
        <w:rPr>
          <w:rFonts w:hint="default" w:ascii="宋体" w:hAnsi="宋体" w:eastAsia="宋体" w:cs="宋体"/>
          <w:i w:val="0"/>
          <w:color w:val="000000"/>
          <w:kern w:val="0"/>
          <w:sz w:val="24"/>
          <w:szCs w:val="24"/>
          <w:u w:val="none"/>
          <w:lang w:val="en-US" w:eastAsia="zh-CN" w:bidi="ar"/>
        </w:rPr>
      </w:pPr>
    </w:p>
    <w:p w14:paraId="1F19BEA9">
      <w:pPr>
        <w:pStyle w:val="2"/>
        <w:rPr>
          <w:rFonts w:hint="default" w:ascii="宋体" w:hAnsi="宋体" w:eastAsia="宋体" w:cs="宋体"/>
          <w:i w:val="0"/>
          <w:color w:val="000000"/>
          <w:kern w:val="0"/>
          <w:sz w:val="24"/>
          <w:szCs w:val="24"/>
          <w:u w:val="none"/>
          <w:lang w:val="en-US" w:eastAsia="zh-CN" w:bidi="ar"/>
        </w:rPr>
      </w:pPr>
    </w:p>
    <w:p w14:paraId="47C05990">
      <w:pPr>
        <w:pStyle w:val="2"/>
        <w:rPr>
          <w:rFonts w:hint="default" w:ascii="宋体" w:hAnsi="宋体" w:eastAsia="宋体" w:cs="宋体"/>
          <w:i w:val="0"/>
          <w:color w:val="000000"/>
          <w:kern w:val="0"/>
          <w:sz w:val="24"/>
          <w:szCs w:val="24"/>
          <w:u w:val="none"/>
          <w:lang w:val="en-US" w:eastAsia="zh-CN" w:bidi="ar"/>
        </w:rPr>
      </w:pPr>
    </w:p>
    <w:p w14:paraId="268CDAF8">
      <w:pPr>
        <w:pStyle w:val="2"/>
        <w:rPr>
          <w:rFonts w:hint="default" w:ascii="宋体" w:hAnsi="宋体" w:eastAsia="宋体" w:cs="宋体"/>
          <w:i w:val="0"/>
          <w:color w:val="000000"/>
          <w:kern w:val="0"/>
          <w:sz w:val="24"/>
          <w:szCs w:val="24"/>
          <w:u w:val="none"/>
          <w:lang w:val="en-US" w:eastAsia="zh-CN" w:bidi="ar"/>
        </w:rPr>
      </w:pPr>
    </w:p>
    <w:p w14:paraId="1D66694A">
      <w:pPr>
        <w:pStyle w:val="2"/>
        <w:rPr>
          <w:rFonts w:hint="default" w:ascii="宋体" w:hAnsi="宋体" w:eastAsia="宋体" w:cs="宋体"/>
          <w:i w:val="0"/>
          <w:color w:val="000000"/>
          <w:kern w:val="0"/>
          <w:sz w:val="24"/>
          <w:szCs w:val="24"/>
          <w:u w:val="none"/>
          <w:lang w:val="en-US" w:eastAsia="zh-CN" w:bidi="ar"/>
        </w:rPr>
      </w:pPr>
    </w:p>
    <w:p w14:paraId="78887002">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0053E3BF">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w:t>
      </w:r>
      <w:r>
        <w:rPr>
          <w:rFonts w:hint="eastAsia" w:ascii="方正小标宋简体" w:hAnsi="方正小标宋简体" w:eastAsia="方正小标宋简体" w:cs="方正小标宋简体"/>
          <w:color w:val="auto"/>
          <w:kern w:val="2"/>
          <w:sz w:val="44"/>
          <w:szCs w:val="44"/>
          <w:highlight w:val="none"/>
          <w:lang w:val="en-US" w:eastAsia="zh-CN"/>
        </w:rPr>
        <w:t>查尔玛乡庭院整治提升项目</w:t>
      </w:r>
    </w:p>
    <w:p w14:paraId="533BA099">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绩效评价报告</w:t>
      </w:r>
    </w:p>
    <w:p w14:paraId="2AE862A2">
      <w:pPr>
        <w:pStyle w:val="35"/>
        <w:keepNext w:val="0"/>
        <w:keepLines w:val="0"/>
        <w:pageBreakBefore w:val="0"/>
        <w:widowControl w:val="0"/>
        <w:kinsoku/>
        <w:wordWrap/>
        <w:overflowPunct/>
        <w:topLinePunct w:val="0"/>
        <w:autoSpaceDE/>
        <w:autoSpaceDN/>
        <w:bidi w:val="0"/>
        <w:spacing w:line="576" w:lineRule="exact"/>
        <w:ind w:left="0" w:leftChars="0" w:firstLine="640"/>
        <w:jc w:val="center"/>
        <w:textAlignment w:val="auto"/>
        <w:rPr>
          <w:rFonts w:ascii="宋体" w:hAnsi="宋体"/>
          <w:color w:val="auto"/>
          <w:kern w:val="2"/>
          <w:sz w:val="32"/>
          <w:szCs w:val="32"/>
          <w:highlight w:val="none"/>
        </w:rPr>
      </w:pPr>
    </w:p>
    <w:p w14:paraId="270EE6D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0912E57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val="zh-CN"/>
        </w:rPr>
        <w:t>查尔玛乡</w:t>
      </w:r>
      <w:r>
        <w:rPr>
          <w:rFonts w:hint="eastAsia" w:ascii="仿宋_GB2312" w:hAnsi="仿宋_GB2312" w:eastAsia="仿宋_GB2312" w:cs="仿宋_GB2312"/>
          <w:sz w:val="32"/>
          <w:szCs w:val="32"/>
        </w:rPr>
        <w:t>庭院整治提升项目</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 w:val="0"/>
          <w:bCs w:val="0"/>
          <w:kern w:val="2"/>
          <w:sz w:val="32"/>
          <w:szCs w:val="32"/>
          <w:lang w:val="en-US" w:eastAsia="zh-CN" w:bidi="ar"/>
        </w:rPr>
        <w:t>项目下达资金64元，</w:t>
      </w:r>
      <w:r>
        <w:rPr>
          <w:rFonts w:hint="eastAsia" w:ascii="仿宋_GB2312" w:hAnsi="仿宋_GB2312" w:eastAsia="仿宋_GB2312" w:cs="仿宋_GB2312"/>
          <w:kern w:val="2"/>
          <w:sz w:val="32"/>
          <w:szCs w:val="32"/>
          <w:lang w:val="en-US" w:eastAsia="zh-CN" w:bidi="ar"/>
        </w:rPr>
        <w:t>资金来源文号为：红财发〔2023〕68号县级财政衔接推进乡村振兴补助资金，资金来源属于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w:t>
      </w:r>
      <w:r>
        <w:rPr>
          <w:rFonts w:hint="eastAsia" w:ascii="仿宋_GB2312" w:hAnsi="仿宋_GB2312" w:eastAsia="仿宋_GB2312" w:cs="仿宋_GB2312"/>
          <w:sz w:val="32"/>
          <w:szCs w:val="32"/>
          <w:lang w:val="zh-CN"/>
        </w:rPr>
        <w:t>符合资金管理办法等相关规定。</w:t>
      </w:r>
    </w:p>
    <w:p w14:paraId="6554DE9F">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sz w:val="32"/>
          <w:szCs w:val="32"/>
          <w:lang w:val="zh-CN"/>
        </w:rPr>
        <w:t>以补助方式实施</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lang w:val="zh-CN"/>
        </w:rPr>
        <w:t>户牧民群众的庭院整治，</w:t>
      </w:r>
      <w:r>
        <w:rPr>
          <w:rFonts w:hint="eastAsia" w:ascii="仿宋_GB2312" w:hAnsi="仿宋_GB2312" w:eastAsia="仿宋_GB2312" w:cs="仿宋_GB2312"/>
          <w:kern w:val="2"/>
          <w:sz w:val="32"/>
          <w:szCs w:val="32"/>
          <w:lang w:val="zh-CN" w:eastAsia="zh-CN" w:bidi="ar"/>
        </w:rPr>
        <w:t>每户补助2000元。</w:t>
      </w:r>
      <w:r>
        <w:rPr>
          <w:rFonts w:hint="eastAsia" w:ascii="仿宋_GB2312" w:hAnsi="仿宋_GB2312" w:eastAsia="仿宋_GB2312" w:cs="仿宋_GB2312"/>
          <w:sz w:val="32"/>
          <w:szCs w:val="32"/>
          <w:lang w:val="zh-CN"/>
        </w:rPr>
        <w:t>内容为：入户路改造，生态围栏修建维护，屋内院内环境整治等内容。</w:t>
      </w:r>
    </w:p>
    <w:p w14:paraId="3BC12C2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kern w:val="2"/>
          <w:sz w:val="32"/>
          <w:szCs w:val="32"/>
          <w:lang w:val="en-US" w:eastAsia="zh-CN" w:bidi="ar"/>
        </w:rPr>
        <w:t>该项目总投资64万元，全部为</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资金，且资金于2023年5月下达，资金到位率100%。该项目资金严格按照相关规程进行拨付，截止目前，该项目以以奖代补形式实施，补助到户已支付100%，共计64万元。</w:t>
      </w:r>
      <w:r>
        <w:rPr>
          <w:rFonts w:hint="eastAsia" w:ascii="仿宋_GB2312" w:hAnsi="仿宋_GB2312" w:eastAsia="仿宋_GB2312" w:cs="仿宋_GB2312"/>
          <w:sz w:val="32"/>
          <w:szCs w:val="32"/>
          <w:lang w:val="zh-CN"/>
        </w:rPr>
        <w:t>支付依据合规合法，资金支付与预算相符。</w:t>
      </w:r>
    </w:p>
    <w:p w14:paraId="37B01EC1">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default" w:ascii="仿宋_GB2312" w:hAnsi="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lang w:val="zh-CN"/>
        </w:rPr>
        <w:t>以补助方式实施</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lang w:val="zh-CN"/>
        </w:rPr>
        <w:t>户牧民群众的庭院整治，</w:t>
      </w:r>
      <w:r>
        <w:rPr>
          <w:rFonts w:hint="eastAsia" w:ascii="仿宋_GB2312" w:hAnsi="仿宋_GB2312" w:eastAsia="仿宋_GB2312" w:cs="仿宋_GB2312"/>
          <w:kern w:val="2"/>
          <w:sz w:val="32"/>
          <w:szCs w:val="32"/>
          <w:lang w:val="zh-CN" w:eastAsia="zh-CN" w:bidi="ar"/>
        </w:rPr>
        <w:t>每户补助2000元。</w:t>
      </w:r>
      <w:r>
        <w:rPr>
          <w:rFonts w:hint="eastAsia" w:ascii="仿宋_GB2312" w:hAnsi="仿宋_GB2312" w:eastAsia="仿宋_GB2312" w:cs="仿宋_GB2312"/>
          <w:sz w:val="32"/>
          <w:szCs w:val="32"/>
          <w:lang w:val="zh-CN"/>
        </w:rPr>
        <w:t>内容为：入户路改造，生态围栏修建维护，屋内院内环境整治等内容。</w:t>
      </w:r>
      <w:r>
        <w:rPr>
          <w:rFonts w:hint="eastAsia" w:ascii="仿宋_GB2312" w:hAnsi="仿宋_GB2312" w:eastAsia="仿宋_GB2312" w:cs="仿宋_GB2312"/>
          <w:kern w:val="2"/>
          <w:sz w:val="32"/>
          <w:szCs w:val="32"/>
          <w:lang w:val="en-US" w:eastAsia="zh-CN" w:bidi="ar"/>
        </w:rPr>
        <w:t>该项目于2023年11月20日全面完工。</w:t>
      </w:r>
    </w:p>
    <w:p w14:paraId="4D3EC96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highlight w:val="none"/>
          <w:lang w:eastAsia="zh-CN"/>
        </w:rPr>
      </w:pPr>
      <w:r>
        <w:rPr>
          <w:rFonts w:hint="eastAsia" w:ascii="黑体" w:hAnsi="宋体" w:eastAsia="黑体" w:cs="Times New Roman"/>
          <w:sz w:val="32"/>
          <w:szCs w:val="32"/>
          <w:highlight w:val="none"/>
        </w:rPr>
        <w:t>二、</w:t>
      </w:r>
      <w:r>
        <w:rPr>
          <w:rFonts w:hint="eastAsia" w:ascii="黑体" w:hAnsi="宋体" w:eastAsia="黑体" w:cs="Times New Roman"/>
          <w:sz w:val="32"/>
          <w:szCs w:val="32"/>
          <w:highlight w:val="none"/>
          <w:lang w:eastAsia="zh-CN"/>
        </w:rPr>
        <w:t>评价实施</w:t>
      </w:r>
    </w:p>
    <w:p w14:paraId="466091B4">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eastAsia="仿宋_GB2312" w:cs="Times New Roman"/>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sz w:val="32"/>
          <w:szCs w:val="32"/>
          <w:lang w:val="zh-CN"/>
        </w:rPr>
        <w:t>以补助方式实施</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lang w:val="zh-CN"/>
        </w:rPr>
        <w:t>户牧民群众的庭院整治，</w:t>
      </w:r>
      <w:r>
        <w:rPr>
          <w:rFonts w:hint="eastAsia" w:ascii="仿宋_GB2312" w:hAnsi="仿宋_GB2312" w:eastAsia="仿宋_GB2312" w:cs="仿宋_GB2312"/>
          <w:kern w:val="2"/>
          <w:sz w:val="32"/>
          <w:szCs w:val="32"/>
          <w:lang w:val="zh-CN" w:eastAsia="zh-CN" w:bidi="ar"/>
        </w:rPr>
        <w:t>每户补助2000元。</w:t>
      </w:r>
      <w:r>
        <w:rPr>
          <w:rFonts w:hint="eastAsia" w:ascii="仿宋_GB2312" w:hAnsi="仿宋_GB2312" w:eastAsia="仿宋_GB2312" w:cs="仿宋_GB2312"/>
          <w:sz w:val="32"/>
          <w:szCs w:val="32"/>
          <w:lang w:val="zh-CN"/>
        </w:rPr>
        <w:t>内容为：入户路改造，生态围栏修建维护，屋内院内环境整治等内容。</w:t>
      </w:r>
    </w:p>
    <w:p w14:paraId="10C35A4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sz w:val="32"/>
          <w:szCs w:val="32"/>
          <w:lang w:eastAsia="zh-CN"/>
        </w:rPr>
        <w:t>查尔玛乡</w:t>
      </w:r>
      <w:r>
        <w:rPr>
          <w:rFonts w:hint="eastAsia" w:ascii="仿宋_GB2312" w:hAnsi="仿宋_GB2312" w:eastAsia="仿宋_GB2312" w:cs="仿宋_GB2312"/>
          <w:sz w:val="32"/>
          <w:szCs w:val="32"/>
        </w:rPr>
        <w:t>庭院整治提升项目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zh-CN" w:eastAsia="zh-CN"/>
        </w:rPr>
        <w:t>实施单位</w:t>
      </w:r>
      <w:r>
        <w:rPr>
          <w:rFonts w:hint="eastAsia" w:ascii="仿宋_GB2312" w:hAnsi="仿宋_GB2312" w:eastAsia="仿宋_GB2312" w:cs="仿宋_GB2312"/>
          <w:sz w:val="32"/>
          <w:szCs w:val="32"/>
          <w:lang w:val="en-US" w:eastAsia="zh-CN"/>
        </w:rPr>
        <w:t>是红原县查尔玛乡人民政府，主管单位是县住建局，该项目实行报账制，主管部</w:t>
      </w:r>
      <w:r>
        <w:rPr>
          <w:rFonts w:hint="eastAsia" w:ascii="仿宋_GB2312" w:hAnsi="Times New Roman" w:eastAsia="仿宋_GB2312" w:cs="Times New Roman"/>
          <w:sz w:val="32"/>
          <w:szCs w:val="32"/>
          <w:lang w:val="en-US" w:eastAsia="zh-CN"/>
        </w:rPr>
        <w:t>门</w:t>
      </w:r>
      <w:r>
        <w:rPr>
          <w:rFonts w:hint="eastAsia" w:ascii="仿宋_GB2312" w:hAnsi="Times New Roman" w:eastAsia="仿宋_GB2312" w:cs="Times New Roman"/>
          <w:sz w:val="32"/>
          <w:szCs w:val="32"/>
          <w:lang w:val="zh-CN" w:eastAsia="zh-CN"/>
        </w:rPr>
        <w:t>财务管理制度健全，</w:t>
      </w:r>
      <w:r>
        <w:rPr>
          <w:rFonts w:hint="eastAsia" w:ascii="仿宋_GB2312" w:hAnsi="Times New Roman" w:eastAsia="仿宋_GB2312" w:cs="Times New Roman"/>
          <w:sz w:val="32"/>
          <w:szCs w:val="32"/>
          <w:lang w:val="en-US" w:eastAsia="zh-CN"/>
        </w:rPr>
        <w:t>能</w:t>
      </w:r>
      <w:r>
        <w:rPr>
          <w:rFonts w:hint="eastAsia" w:ascii="仿宋_GB2312" w:hAnsi="Times New Roman" w:eastAsia="仿宋_GB2312" w:cs="Times New Roman"/>
          <w:sz w:val="32"/>
          <w:szCs w:val="32"/>
          <w:lang w:val="zh-CN" w:eastAsia="zh-CN"/>
        </w:rPr>
        <w:t>严格执行财务管理制度，账务处理及时，会计、</w:t>
      </w:r>
      <w:r>
        <w:rPr>
          <w:rFonts w:hint="eastAsia" w:ascii="仿宋_GB2312" w:hAnsi="Times New Roman" w:eastAsia="仿宋_GB2312" w:cs="Times New Roman"/>
          <w:sz w:val="32"/>
          <w:szCs w:val="32"/>
          <w:lang w:val="en-US" w:eastAsia="zh-CN"/>
        </w:rPr>
        <w:t>出纳</w:t>
      </w:r>
      <w:r>
        <w:rPr>
          <w:rFonts w:hint="eastAsia" w:ascii="仿宋_GB2312" w:hAnsi="Times New Roman" w:eastAsia="仿宋_GB2312" w:cs="Times New Roman"/>
          <w:sz w:val="32"/>
          <w:szCs w:val="32"/>
          <w:lang w:val="zh-CN" w:eastAsia="zh-CN"/>
        </w:rPr>
        <w:t>核算</w:t>
      </w:r>
      <w:r>
        <w:rPr>
          <w:rFonts w:hint="eastAsia" w:ascii="仿宋_GB2312" w:hAnsi="Times New Roman" w:eastAsia="仿宋_GB2312" w:cs="Times New Roman"/>
          <w:sz w:val="32"/>
          <w:szCs w:val="32"/>
          <w:lang w:val="en-US" w:eastAsia="zh-CN"/>
        </w:rPr>
        <w:t>较为准确规范。</w:t>
      </w:r>
    </w:p>
    <w:p w14:paraId="4853169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（三）评价选点。</w:t>
      </w:r>
      <w:r>
        <w:rPr>
          <w:rFonts w:hint="eastAsia" w:ascii="仿宋_GB2312" w:hAnsi="Times New Roman" w:eastAsia="仿宋_GB2312" w:cs="Times New Roman"/>
          <w:sz w:val="32"/>
          <w:szCs w:val="32"/>
          <w:lang w:val="zh-CN" w:eastAsia="zh-CN"/>
        </w:rPr>
        <w:t>项目绩效自评所抽样点位合格。</w:t>
      </w:r>
    </w:p>
    <w:p w14:paraId="01862751">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zh-CN"/>
        </w:rPr>
        <w:t>（四）评价方法。</w:t>
      </w:r>
      <w:r>
        <w:rPr>
          <w:rFonts w:hint="eastAsia" w:ascii="仿宋_GB2312" w:hAnsi="Times New Roman" w:eastAsia="仿宋_GB2312" w:cs="Times New Roman"/>
          <w:sz w:val="32"/>
          <w:szCs w:val="32"/>
          <w:lang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rPr>
        <w:t>实地勘察法</w:t>
      </w:r>
      <w:r>
        <w:rPr>
          <w:rFonts w:hint="eastAsia" w:ascii="仿宋_GB2312" w:hAnsi="Times New Roman" w:eastAsia="仿宋_GB2312" w:cs="Times New Roman"/>
          <w:sz w:val="32"/>
          <w:szCs w:val="32"/>
          <w:lang w:eastAsia="zh-CN"/>
        </w:rPr>
        <w:t>。</w:t>
      </w:r>
    </w:p>
    <w:p w14:paraId="69A3AD0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zh-CN"/>
        </w:rPr>
        <w:t>（五）评价组织</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eastAsia="zh-CN"/>
        </w:rPr>
        <w:t>由查尔玛乡人民政府分工一名副科级牵头，两名经办开展监督验收工作。</w:t>
      </w:r>
    </w:p>
    <w:p w14:paraId="0A0F1CC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highlight w:val="none"/>
          <w:lang w:val="zh-CN"/>
        </w:rPr>
      </w:pPr>
      <w:r>
        <w:rPr>
          <w:rFonts w:hint="eastAsia" w:ascii="黑体" w:hAnsi="宋体" w:eastAsia="黑体" w:cs="Times New Roman"/>
          <w:sz w:val="32"/>
          <w:szCs w:val="32"/>
          <w:highlight w:val="none"/>
        </w:rPr>
        <w:t>三、</w:t>
      </w:r>
      <w:r>
        <w:rPr>
          <w:rFonts w:hint="eastAsia" w:ascii="黑体" w:hAnsi="宋体" w:eastAsia="黑体" w:cs="Times New Roman"/>
          <w:sz w:val="32"/>
          <w:szCs w:val="32"/>
          <w:highlight w:val="none"/>
          <w:lang w:eastAsia="zh-CN"/>
        </w:rPr>
        <w:t>绩效分析</w:t>
      </w:r>
      <w:r>
        <w:rPr>
          <w:rFonts w:hint="eastAsia" w:ascii="黑体" w:hAnsi="宋体" w:eastAsia="黑体" w:cs="Times New Roman"/>
          <w:sz w:val="32"/>
          <w:szCs w:val="32"/>
          <w:highlight w:val="none"/>
          <w:lang w:val="zh-CN"/>
        </w:rPr>
        <w:tab/>
      </w:r>
    </w:p>
    <w:p w14:paraId="00DA7799">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zh-CN"/>
        </w:rPr>
        <w:t>（一）</w:t>
      </w:r>
      <w:r>
        <w:rPr>
          <w:rFonts w:hint="eastAsia" w:ascii="仿宋_GB2312" w:hAnsi="Times New Roman" w:eastAsia="仿宋_GB2312" w:cs="Times New Roman"/>
          <w:b/>
          <w:bCs/>
          <w:sz w:val="32"/>
          <w:szCs w:val="32"/>
          <w:lang w:val="en-US" w:eastAsia="zh-CN"/>
        </w:rPr>
        <w:t>通用指标</w:t>
      </w:r>
      <w:r>
        <w:rPr>
          <w:rFonts w:hint="default" w:ascii="仿宋_GB2312" w:hAnsi="Times New Roman" w:eastAsia="仿宋_GB2312" w:cs="Times New Roman"/>
          <w:b/>
          <w:bCs/>
          <w:sz w:val="32"/>
          <w:szCs w:val="32"/>
          <w:lang w:val="zh-CN"/>
        </w:rPr>
        <w:t>绩效分析。</w:t>
      </w:r>
    </w:p>
    <w:p w14:paraId="7D5962A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eastAsia="zh-CN"/>
        </w:rPr>
        <w:t>项目决策。</w:t>
      </w:r>
      <w:r>
        <w:rPr>
          <w:rFonts w:hint="eastAsia" w:ascii="仿宋_GB2312" w:hAnsi="Times New Roman" w:eastAsia="仿宋_GB2312" w:cs="Times New Roman"/>
          <w:sz w:val="32"/>
          <w:szCs w:val="32"/>
          <w:lang w:val="en-US" w:eastAsia="zh-CN"/>
        </w:rPr>
        <w:t>本项目由红原县查尔玛人民政府负责具体实施，县住建局负责项目监管，县财政局负责监管项目资金。</w:t>
      </w:r>
    </w:p>
    <w:p w14:paraId="5884105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3E7A947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该项目资金严格按照相关规程进行拨付，截止目前，该项目以以奖代补形式实施，补助到户已支付100%，共计64万元。</w:t>
      </w:r>
      <w:r>
        <w:rPr>
          <w:rFonts w:hint="eastAsia" w:ascii="仿宋_GB2312" w:hAnsi="Times New Roman" w:eastAsia="仿宋_GB2312" w:cs="Times New Roman"/>
          <w:sz w:val="32"/>
          <w:szCs w:val="32"/>
          <w:lang w:val="zh-CN"/>
        </w:rPr>
        <w:t>支付依据合规合法，资金支付与预算相符。</w:t>
      </w:r>
    </w:p>
    <w:p w14:paraId="0E5EC46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en-US" w:eastAsia="zh-CN"/>
        </w:rPr>
        <w:t>该项目于2023年10月20日全面完工，完成全乡320户庭院整治，验收质量合格达标。项目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58BA9D4C">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eastAsia="zh-CN"/>
        </w:rPr>
      </w:pPr>
      <w:r>
        <w:rPr>
          <w:rFonts w:hint="eastAsia" w:ascii="仿宋_GB2312" w:hAnsi="Times New Roman" w:eastAsia="仿宋_GB2312" w:cs="Times New Roman"/>
          <w:b/>
          <w:bCs/>
          <w:sz w:val="32"/>
          <w:szCs w:val="32"/>
          <w:lang w:val="zh-CN"/>
        </w:rPr>
        <w:t>（二）</w:t>
      </w:r>
      <w:r>
        <w:rPr>
          <w:rFonts w:hint="eastAsia" w:ascii="仿宋_GB2312" w:hAnsi="Times New Roman" w:eastAsia="仿宋_GB2312" w:cs="Times New Roman"/>
          <w:b/>
          <w:bCs/>
          <w:sz w:val="32"/>
          <w:szCs w:val="32"/>
          <w:lang w:val="en-US" w:eastAsia="zh-CN"/>
        </w:rPr>
        <w:t>专用指标</w:t>
      </w:r>
      <w:r>
        <w:rPr>
          <w:rFonts w:hint="default" w:ascii="仿宋_GB2312" w:hAnsi="Times New Roman" w:eastAsia="仿宋_GB2312" w:cs="Times New Roman"/>
          <w:b/>
          <w:bCs/>
          <w:sz w:val="32"/>
          <w:szCs w:val="32"/>
          <w:lang w:val="zh-CN"/>
        </w:rPr>
        <w:t>绩效分析。</w:t>
      </w:r>
    </w:p>
    <w:p w14:paraId="02BB92A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en-US" w:eastAsia="zh-CN"/>
        </w:rPr>
        <w:t>将庭院整治</w:t>
      </w:r>
      <w:r>
        <w:rPr>
          <w:rFonts w:hint="eastAsia" w:ascii="仿宋_GB2312" w:hAnsi="仿宋_GB2312" w:eastAsia="仿宋_GB2312" w:cs="仿宋_GB2312"/>
          <w:color w:val="000000"/>
          <w:kern w:val="2"/>
          <w:sz w:val="32"/>
          <w:szCs w:val="32"/>
          <w:lang w:val="en-US" w:eastAsia="zh-CN" w:bidi="ar-SA"/>
        </w:rPr>
        <w:t>作为农村人居环境整治提升五年行动的基础性工作和新农村建设的重要内容来抓，持续提升广大农民群众新农村建设获得感幸福感，让农户庭院达到“整洁庭院”水平，不断</w:t>
      </w:r>
      <w:r>
        <w:rPr>
          <w:rFonts w:hint="eastAsia" w:ascii="仿宋_GB2312" w:hAnsi="Times New Roman" w:eastAsia="仿宋_GB2312" w:cs="Times New Roman"/>
          <w:sz w:val="32"/>
          <w:szCs w:val="32"/>
          <w:lang w:val="en-US" w:eastAsia="zh-CN"/>
        </w:rPr>
        <w:t>扮靓“美丽乡村”。通过整治村容村貌、庭院建设，有效改善了牧户的居住环境，使得整个农村环境得到改善，提升了农村的外在形象和文明程度。</w:t>
      </w:r>
    </w:p>
    <w:p w14:paraId="27E6874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en-US" w:eastAsia="zh-CN"/>
        </w:rPr>
        <w:t>庭院美化通过增加绿地面积，不断改善生态环境，起到增强水土涵养能力和净化水质作用。同时，为各种植物提供了生长空间，增加生物多样性，有助于维护生态平衡，促进生态系统的稳定性和健康。</w:t>
      </w:r>
    </w:p>
    <w:p w14:paraId="2D4E5EE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zh-CN"/>
        </w:rPr>
        <w:t>（三）</w:t>
      </w:r>
      <w:r>
        <w:rPr>
          <w:rFonts w:hint="eastAsia" w:ascii="仿宋_GB2312" w:hAnsi="Times New Roman" w:eastAsia="仿宋_GB2312" w:cs="Times New Roman"/>
          <w:b/>
          <w:bCs/>
          <w:sz w:val="32"/>
          <w:szCs w:val="32"/>
          <w:lang w:val="en-US" w:eastAsia="zh-CN"/>
        </w:rPr>
        <w:t>个性指标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en-US" w:eastAsia="zh-CN"/>
        </w:rPr>
        <w:t>完成全乡320户庭院整治，验收质量合格达标。项目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4FCCB8C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highlight w:val="none"/>
        </w:rPr>
      </w:pPr>
      <w:r>
        <w:rPr>
          <w:rFonts w:hint="eastAsia" w:ascii="黑体" w:hAnsi="宋体" w:eastAsia="黑体" w:cs="Times New Roman"/>
          <w:sz w:val="32"/>
          <w:szCs w:val="32"/>
          <w:highlight w:val="none"/>
          <w:lang w:eastAsia="zh-CN"/>
        </w:rPr>
        <w:t>四</w:t>
      </w:r>
      <w:r>
        <w:rPr>
          <w:rFonts w:hint="eastAsia" w:ascii="黑体" w:hAnsi="宋体" w:eastAsia="黑体" w:cs="Times New Roman"/>
          <w:sz w:val="32"/>
          <w:szCs w:val="32"/>
          <w:highlight w:val="none"/>
        </w:rPr>
        <w:t>、评价结论</w:t>
      </w:r>
    </w:p>
    <w:p w14:paraId="21A444D6">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该项目申报内容与具体实施内容相符、申报目标合理可行。</w:t>
      </w: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0D73255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highlight w:val="none"/>
          <w:lang w:eastAsia="zh-CN"/>
        </w:rPr>
      </w:pPr>
      <w:r>
        <w:rPr>
          <w:rFonts w:hint="eastAsia" w:ascii="黑体" w:hAnsi="宋体" w:eastAsia="黑体" w:cs="Times New Roman"/>
          <w:sz w:val="32"/>
          <w:szCs w:val="32"/>
          <w:highlight w:val="none"/>
          <w:lang w:eastAsia="zh-CN"/>
        </w:rPr>
        <w:t>五、存在主要问题</w:t>
      </w:r>
    </w:p>
    <w:p w14:paraId="308966BE">
      <w:pPr>
        <w:pStyle w:val="6"/>
        <w:pageBreakBefore w:val="0"/>
        <w:numPr>
          <w:ilvl w:val="0"/>
          <w:numId w:val="0"/>
        </w:numPr>
        <w:tabs>
          <w:tab w:val="left" w:pos="2160"/>
        </w:tabs>
        <w:kinsoku/>
        <w:wordWrap/>
        <w:overflowPunct/>
        <w:topLinePunct w:val="0"/>
        <w:autoSpaceDE/>
        <w:autoSpaceDN/>
        <w:bidi w:val="0"/>
        <w:adjustRightInd/>
        <w:spacing w:line="576" w:lineRule="exact"/>
        <w:ind w:firstLine="640" w:firstLineChars="200"/>
        <w:textAlignment w:val="auto"/>
        <w:rPr>
          <w:rFonts w:hint="eastAsia" w:ascii="黑体" w:hAnsi="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512542B2">
      <w:pPr>
        <w:pStyle w:val="6"/>
        <w:pageBreakBefore w:val="0"/>
        <w:numPr>
          <w:ilvl w:val="0"/>
          <w:numId w:val="0"/>
        </w:numPr>
        <w:tabs>
          <w:tab w:val="left" w:pos="2160"/>
        </w:tabs>
        <w:kinsoku/>
        <w:wordWrap/>
        <w:overflowPunct/>
        <w:topLinePunct w:val="0"/>
        <w:autoSpaceDE/>
        <w:autoSpaceDN/>
        <w:bidi w:val="0"/>
        <w:adjustRightInd/>
        <w:spacing w:line="576"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09B7283E">
      <w:pPr>
        <w:pageBreakBefore w:val="0"/>
        <w:tabs>
          <w:tab w:val="left" w:pos="1911"/>
        </w:tabs>
        <w:kinsoku/>
        <w:wordWrap/>
        <w:topLinePunct w:val="0"/>
        <w:bidi w:val="0"/>
        <w:spacing w:line="576" w:lineRule="exact"/>
        <w:jc w:val="left"/>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无。</w:t>
      </w:r>
    </w:p>
    <w:p w14:paraId="1392FA31">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31EB5CA3">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20FD4FBC">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附表：1.项目资金分配涉及所有点位自评得分情况表</w:t>
      </w:r>
    </w:p>
    <w:p w14:paraId="14FC560A">
      <w:pPr>
        <w:pageBreakBefore w:val="0"/>
        <w:kinsoku/>
        <w:wordWrap/>
        <w:topLinePunct w:val="0"/>
        <w:bidi w:val="0"/>
        <w:spacing w:line="576" w:lineRule="exact"/>
        <w:ind w:firstLine="640" w:firstLineChars="200"/>
        <w:rPr>
          <w:rFonts w:hint="eastAsia" w:ascii="Times New Roman" w:hAnsi="Times New Roman" w:cs="Times New Roman"/>
          <w:color w:val="000000"/>
          <w:kern w:val="0"/>
          <w:szCs w:val="32"/>
          <w:highlight w:val="none"/>
          <w:shd w:val="clear" w:color="auto" w:fill="FFFFFF"/>
          <w:lang w:val="en-US" w:eastAsia="zh-CN"/>
        </w:rPr>
      </w:pPr>
      <w:r>
        <w:rPr>
          <w:rFonts w:hint="eastAsia" w:ascii="仿宋_GB2312" w:hAnsi="Times New Roman" w:eastAsia="仿宋_GB2312" w:cs="Times New Roman"/>
          <w:sz w:val="32"/>
          <w:szCs w:val="32"/>
          <w:lang w:val="en-US" w:eastAsia="zh-CN"/>
        </w:rPr>
        <w:t>专项预算项目绩效目标完成情况自评</w:t>
      </w:r>
      <w:r>
        <w:rPr>
          <w:rFonts w:hint="eastAsia" w:ascii="Times New Roman" w:hAnsi="Times New Roman" w:cs="Times New Roman"/>
          <w:color w:val="000000"/>
          <w:kern w:val="0"/>
          <w:szCs w:val="32"/>
          <w:highlight w:val="none"/>
          <w:shd w:val="clear" w:color="auto" w:fill="FFFFFF"/>
          <w:lang w:val="en-US" w:eastAsia="zh-CN"/>
        </w:rPr>
        <w:t>表</w:t>
      </w:r>
    </w:p>
    <w:p w14:paraId="744D1CB4">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3BFCB52F">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2A87B622">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1C759074">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36EC2616">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785FEC47">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2E46AD24">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764249F4">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6B9012CD">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25C35B98">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2014EA4C">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93D8390">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76BCCFC7">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0EC0C45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4F04BF6A">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78720"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78720;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HZM4TTAAAABwEAAA8AAAAAAAAAAQAgAAAAIgAAAGRycy9kb3du&#10;cmV2LnhtbFBLAQIUABQAAAAIAIdO4kC41nSXBAIAAAEEAAAOAAAAAAAAAAEAIAAAACIBAABkcnMv&#10;ZTJvRG9jLnhtbFBLBQYAAAAABgAGAFkBAACYBQAAAAA=&#10;">
                <v:fill on="f" focussize="0,0"/>
                <v:stroke color="#000000" joinstyle="round"/>
                <v:imagedata o:title=""/>
                <o:lock v:ext="edit" aspectratio="f"/>
              </v:line>
            </w:pict>
          </mc:Fallback>
        </mc:AlternateContent>
      </w:r>
    </w:p>
    <w:p w14:paraId="536A0D3E">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77696"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12" name="直接连接符 12"/>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77696;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GeemNQAAAAHAQAADwAAAAAAAAABACAAAAAiAAAAZHJzL2Rv&#10;d25yZXYueG1sUEsBAhQAFAAAAAgAh07iQAR+wU0FAgAAAQQAAA4AAAAAAAAAAQAgAAAAIwEAAGRy&#10;cy9lMm9Eb2MueG1sUEsFBgAAAAAGAAYAWQEAAJoFA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54D8B17B">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551BD942">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397301C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44FF5B61">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1CF8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jc w:val="center"/>
        </w:trPr>
        <w:tc>
          <w:tcPr>
            <w:tcW w:w="1123" w:type="dxa"/>
            <w:noWrap w:val="0"/>
            <w:vAlign w:val="top"/>
          </w:tcPr>
          <w:p w14:paraId="05827FE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1B6AEA4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28E99192">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5743C30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5C9B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1123" w:type="dxa"/>
            <w:noWrap w:val="0"/>
            <w:vAlign w:val="top"/>
          </w:tcPr>
          <w:p w14:paraId="5918CCAF">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4972872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5-县（区）级</w:t>
            </w:r>
          </w:p>
        </w:tc>
        <w:tc>
          <w:tcPr>
            <w:tcW w:w="2861" w:type="dxa"/>
            <w:noWrap w:val="0"/>
            <w:vAlign w:val="top"/>
          </w:tcPr>
          <w:p w14:paraId="5104488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13761F9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66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5A4564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6EF2BE5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275730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698731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83D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0631F8">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1C447E1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62A446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42CEE8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58E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540D3F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2E37C7D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DE61A1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95C65A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478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83BD88">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1C8F457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A43A9A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02D71E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2D8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DB320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359929D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0EA4EC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8C5B48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2DC5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5D955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77D75D2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949CA1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0C92C0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D53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342D502">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6FE6BE9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77AC4C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D805BD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5BE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09FCF78">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0E4A413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EB18E7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C5D47C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0E6ED65C">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04E7692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193FED40">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2B793552">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B3E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7583FE9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5192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C4CD06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8EA3CAC">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查尔玛乡庭院整治提升项目</w:t>
            </w:r>
          </w:p>
        </w:tc>
      </w:tr>
      <w:tr w14:paraId="2694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8D41CD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CB0B7CD">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红原县查尔玛乡人民政府</w:t>
            </w:r>
          </w:p>
        </w:tc>
      </w:tr>
      <w:tr w14:paraId="660D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5DDB78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5A717E">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lang w:val="en-US" w:eastAsia="zh-CN"/>
              </w:rPr>
            </w:pPr>
          </w:p>
        </w:tc>
      </w:tr>
      <w:tr w14:paraId="7578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3A7F01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BA0859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76F3A58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7E3B7F1">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红财发〔2023〕68号县</w:t>
            </w:r>
          </w:p>
        </w:tc>
      </w:tr>
      <w:tr w14:paraId="53C3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A332A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AA1CF4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0B95579">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6FC8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C695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60E4BD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56825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1F4635F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1DFD71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9416AC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0609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5C8B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9860FD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D68DDD7">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25C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E003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711BD7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D4583D2">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3B146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A1F2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92C3AB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109C112">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7954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509B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876ECD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8E3FDAB">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1FA7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EA7533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16B64A3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CBEFCB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CE25350">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64</w:t>
            </w:r>
          </w:p>
        </w:tc>
      </w:tr>
      <w:tr w14:paraId="3903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D50B7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3AD757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6A8BBD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64</w:t>
            </w:r>
          </w:p>
        </w:tc>
      </w:tr>
      <w:tr w14:paraId="0184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A6E884">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183A40F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2298379">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5B9A9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AD5336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477E62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116F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6188C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54446F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以补助方式实施320户牧民群众的庭院整治；内容为：入户路改造，生态围栏修建维护，屋内院内环境整治等内容。查尔玛乡320户。</w:t>
            </w:r>
          </w:p>
        </w:tc>
      </w:tr>
      <w:tr w14:paraId="7C3C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330B4C5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E5AC14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A0952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5390E7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65BADA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CFA0DA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05E103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5CA169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0FCC22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749F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184E25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7C1B18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5E4B4C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EAB7E4F">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★★★改善人居庭院户数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C0FDF2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≥320户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6093CF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320户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191B79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063FED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C8E7408">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4100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03E55D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00EA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4DBD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F4733F1">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77AF7D6">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AD678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319851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02E786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5EBA27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3467D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86D87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52D7D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E547B6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5A17A8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FCDFF7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66BE7D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513FA0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804F91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8B9440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6B6BC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C28AA8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6906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right w:val="single" w:color="000000" w:sz="4" w:space="0"/>
            </w:tcBorders>
            <w:noWrap w:val="0"/>
            <w:vAlign w:val="center"/>
          </w:tcPr>
          <w:p w14:paraId="69A9AB4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w:t>
            </w:r>
          </w:p>
          <w:p w14:paraId="04D7818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CD93338">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★★★受益建档立卡脱贫人口数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E26FB4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≥135人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83CBDFD">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135人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AE1B7D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23A16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D39914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13AE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90A043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72ABF93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7F3F749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1F782FA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22EC40C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E24ADF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9DACE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5B206A6">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1D307F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F30E70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64CDF8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3D80E3D2">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73864AE2">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5122BEAD">
      <w:pPr>
        <w:rPr>
          <w:rFonts w:hint="default" w:ascii="宋体" w:hAnsi="宋体" w:eastAsia="宋体" w:cs="宋体"/>
          <w:i w:val="0"/>
          <w:color w:val="000000"/>
          <w:kern w:val="0"/>
          <w:sz w:val="24"/>
          <w:szCs w:val="24"/>
          <w:u w:val="none"/>
          <w:lang w:val="en-US" w:eastAsia="zh-CN" w:bidi="ar"/>
        </w:rPr>
      </w:pPr>
    </w:p>
    <w:p w14:paraId="07A823BC">
      <w:pPr>
        <w:pStyle w:val="2"/>
        <w:rPr>
          <w:rFonts w:hint="default" w:ascii="宋体" w:hAnsi="宋体" w:eastAsia="宋体" w:cs="宋体"/>
          <w:i w:val="0"/>
          <w:color w:val="000000"/>
          <w:kern w:val="0"/>
          <w:sz w:val="24"/>
          <w:szCs w:val="24"/>
          <w:u w:val="none"/>
          <w:lang w:val="en-US" w:eastAsia="zh-CN" w:bidi="ar"/>
        </w:rPr>
      </w:pPr>
    </w:p>
    <w:p w14:paraId="66BB9D89">
      <w:pPr>
        <w:pStyle w:val="2"/>
        <w:rPr>
          <w:rFonts w:hint="default" w:ascii="宋体" w:hAnsi="宋体" w:eastAsia="宋体" w:cs="宋体"/>
          <w:i w:val="0"/>
          <w:color w:val="000000"/>
          <w:kern w:val="0"/>
          <w:sz w:val="24"/>
          <w:szCs w:val="24"/>
          <w:u w:val="none"/>
          <w:lang w:val="en-US" w:eastAsia="zh-CN" w:bidi="ar"/>
        </w:rPr>
      </w:pPr>
    </w:p>
    <w:p w14:paraId="1F60ED65">
      <w:pPr>
        <w:pStyle w:val="2"/>
        <w:rPr>
          <w:rFonts w:hint="default" w:ascii="宋体" w:hAnsi="宋体" w:eastAsia="宋体" w:cs="宋体"/>
          <w:i w:val="0"/>
          <w:color w:val="000000"/>
          <w:kern w:val="0"/>
          <w:sz w:val="24"/>
          <w:szCs w:val="24"/>
          <w:u w:val="none"/>
          <w:lang w:val="en-US" w:eastAsia="zh-CN" w:bidi="ar"/>
        </w:rPr>
      </w:pPr>
    </w:p>
    <w:p w14:paraId="6C13F565">
      <w:pPr>
        <w:pStyle w:val="2"/>
        <w:rPr>
          <w:rFonts w:hint="default" w:ascii="宋体" w:hAnsi="宋体" w:eastAsia="宋体" w:cs="宋体"/>
          <w:i w:val="0"/>
          <w:color w:val="000000"/>
          <w:kern w:val="0"/>
          <w:sz w:val="24"/>
          <w:szCs w:val="24"/>
          <w:u w:val="none"/>
          <w:lang w:val="en-US" w:eastAsia="zh-CN" w:bidi="ar"/>
        </w:rPr>
      </w:pPr>
    </w:p>
    <w:p w14:paraId="4DA14261">
      <w:pPr>
        <w:pStyle w:val="2"/>
        <w:rPr>
          <w:rFonts w:hint="default" w:ascii="宋体" w:hAnsi="宋体" w:eastAsia="宋体" w:cs="宋体"/>
          <w:i w:val="0"/>
          <w:color w:val="000000"/>
          <w:kern w:val="0"/>
          <w:sz w:val="24"/>
          <w:szCs w:val="24"/>
          <w:u w:val="none"/>
          <w:lang w:val="en-US" w:eastAsia="zh-CN" w:bidi="ar"/>
        </w:rPr>
      </w:pPr>
    </w:p>
    <w:p w14:paraId="3AB643E7">
      <w:pPr>
        <w:pStyle w:val="2"/>
        <w:rPr>
          <w:rFonts w:hint="default" w:ascii="宋体" w:hAnsi="宋体" w:eastAsia="宋体" w:cs="宋体"/>
          <w:i w:val="0"/>
          <w:color w:val="000000"/>
          <w:kern w:val="0"/>
          <w:sz w:val="24"/>
          <w:szCs w:val="24"/>
          <w:u w:val="none"/>
          <w:lang w:val="en-US" w:eastAsia="zh-CN" w:bidi="ar"/>
        </w:rPr>
      </w:pPr>
    </w:p>
    <w:p w14:paraId="38052A7A">
      <w:pPr>
        <w:pStyle w:val="2"/>
        <w:rPr>
          <w:rFonts w:hint="default" w:ascii="宋体" w:hAnsi="宋体" w:eastAsia="宋体" w:cs="宋体"/>
          <w:i w:val="0"/>
          <w:color w:val="000000"/>
          <w:kern w:val="0"/>
          <w:sz w:val="24"/>
          <w:szCs w:val="24"/>
          <w:u w:val="none"/>
          <w:lang w:val="en-US" w:eastAsia="zh-CN" w:bidi="ar"/>
        </w:rPr>
      </w:pPr>
    </w:p>
    <w:p w14:paraId="1578D0EB">
      <w:pPr>
        <w:pStyle w:val="2"/>
        <w:rPr>
          <w:rFonts w:hint="default" w:ascii="宋体" w:hAnsi="宋体" w:eastAsia="宋体" w:cs="宋体"/>
          <w:i w:val="0"/>
          <w:color w:val="000000"/>
          <w:kern w:val="0"/>
          <w:sz w:val="24"/>
          <w:szCs w:val="24"/>
          <w:u w:val="none"/>
          <w:lang w:val="en-US" w:eastAsia="zh-CN" w:bidi="ar"/>
        </w:rPr>
      </w:pPr>
    </w:p>
    <w:p w14:paraId="62F1B4D7">
      <w:pPr>
        <w:pStyle w:val="2"/>
        <w:rPr>
          <w:rFonts w:hint="default" w:ascii="宋体" w:hAnsi="宋体" w:eastAsia="宋体" w:cs="宋体"/>
          <w:i w:val="0"/>
          <w:color w:val="000000"/>
          <w:kern w:val="0"/>
          <w:sz w:val="24"/>
          <w:szCs w:val="24"/>
          <w:u w:val="none"/>
          <w:lang w:val="en-US" w:eastAsia="zh-CN" w:bidi="ar"/>
        </w:rPr>
      </w:pPr>
    </w:p>
    <w:p w14:paraId="0C9D63B1">
      <w:pPr>
        <w:pStyle w:val="2"/>
        <w:rPr>
          <w:rFonts w:hint="default" w:ascii="宋体" w:hAnsi="宋体" w:eastAsia="宋体" w:cs="宋体"/>
          <w:i w:val="0"/>
          <w:color w:val="000000"/>
          <w:kern w:val="0"/>
          <w:sz w:val="24"/>
          <w:szCs w:val="24"/>
          <w:u w:val="none"/>
          <w:lang w:val="en-US" w:eastAsia="zh-CN" w:bidi="ar"/>
        </w:rPr>
      </w:pPr>
    </w:p>
    <w:p w14:paraId="02456BB7">
      <w:pPr>
        <w:pStyle w:val="2"/>
        <w:rPr>
          <w:rFonts w:hint="default" w:ascii="宋体" w:hAnsi="宋体" w:eastAsia="宋体" w:cs="宋体"/>
          <w:i w:val="0"/>
          <w:color w:val="000000"/>
          <w:kern w:val="0"/>
          <w:sz w:val="24"/>
          <w:szCs w:val="24"/>
          <w:u w:val="none"/>
          <w:lang w:val="en-US" w:eastAsia="zh-CN" w:bidi="ar"/>
        </w:rPr>
      </w:pPr>
    </w:p>
    <w:p w14:paraId="21634098">
      <w:pPr>
        <w:pStyle w:val="2"/>
        <w:rPr>
          <w:rFonts w:hint="default" w:ascii="宋体" w:hAnsi="宋体" w:eastAsia="宋体" w:cs="宋体"/>
          <w:i w:val="0"/>
          <w:color w:val="000000"/>
          <w:kern w:val="0"/>
          <w:sz w:val="24"/>
          <w:szCs w:val="24"/>
          <w:u w:val="none"/>
          <w:lang w:val="en-US" w:eastAsia="zh-CN" w:bidi="ar"/>
        </w:rPr>
      </w:pPr>
    </w:p>
    <w:p w14:paraId="2D997967">
      <w:pPr>
        <w:pStyle w:val="2"/>
        <w:rPr>
          <w:rFonts w:hint="default" w:ascii="宋体" w:hAnsi="宋体" w:eastAsia="宋体" w:cs="宋体"/>
          <w:i w:val="0"/>
          <w:color w:val="000000"/>
          <w:kern w:val="0"/>
          <w:sz w:val="24"/>
          <w:szCs w:val="24"/>
          <w:u w:val="none"/>
          <w:lang w:val="en-US" w:eastAsia="zh-CN" w:bidi="ar"/>
        </w:rPr>
      </w:pPr>
    </w:p>
    <w:p w14:paraId="55AB75D1">
      <w:pPr>
        <w:pStyle w:val="2"/>
        <w:rPr>
          <w:rFonts w:hint="default" w:ascii="宋体" w:hAnsi="宋体" w:eastAsia="宋体" w:cs="宋体"/>
          <w:i w:val="0"/>
          <w:color w:val="000000"/>
          <w:kern w:val="0"/>
          <w:sz w:val="24"/>
          <w:szCs w:val="24"/>
          <w:u w:val="none"/>
          <w:lang w:val="en-US" w:eastAsia="zh-CN" w:bidi="ar"/>
        </w:rPr>
      </w:pPr>
    </w:p>
    <w:p w14:paraId="0D17D9B8">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39A9B270">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52C166FC">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w:t>
      </w:r>
      <w:r>
        <w:rPr>
          <w:rFonts w:hint="eastAsia" w:ascii="方正小标宋简体" w:hAnsi="方正小标宋简体" w:eastAsia="方正小标宋简体" w:cs="方正小标宋简体"/>
          <w:color w:val="auto"/>
          <w:kern w:val="2"/>
          <w:sz w:val="44"/>
          <w:szCs w:val="44"/>
          <w:highlight w:val="none"/>
          <w:lang w:val="en-US" w:eastAsia="zh-CN"/>
        </w:rPr>
        <w:t>县查尔玛乡人民政府</w:t>
      </w:r>
    </w:p>
    <w:p w14:paraId="35553AAA">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关于查尔玛乡各村集体牦牛</w:t>
      </w:r>
    </w:p>
    <w:p w14:paraId="71722905">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养殖及畜种改良项目绩效评价报告</w:t>
      </w:r>
    </w:p>
    <w:p w14:paraId="232BDB46">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黑体" w:hAnsi="宋体" w:eastAsia="黑体"/>
          <w:highlight w:val="none"/>
        </w:rPr>
      </w:pPr>
    </w:p>
    <w:p w14:paraId="025F478D">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3886472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eastAsia="zh-CN"/>
        </w:rPr>
        <w:t>查尔玛乡各村集体牦牛养殖及畜种改良项目</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color w:val="auto"/>
          <w:kern w:val="2"/>
          <w:sz w:val="32"/>
          <w:szCs w:val="32"/>
          <w:lang w:val="en-US" w:eastAsia="zh-CN" w:bidi="ar"/>
        </w:rPr>
        <w:t>项目下达资金100元，</w:t>
      </w:r>
      <w:r>
        <w:rPr>
          <w:rFonts w:hint="eastAsia" w:ascii="仿宋_GB2312" w:hAnsi="仿宋_GB2312" w:eastAsia="仿宋_GB2312" w:cs="仿宋_GB2312"/>
          <w:kern w:val="2"/>
          <w:sz w:val="32"/>
          <w:szCs w:val="32"/>
          <w:lang w:val="en-US" w:eastAsia="zh-CN" w:bidi="ar"/>
        </w:rPr>
        <w:t>资金来源文号为：阿州财农〔2023〕12号中央财政衔接推进乡村振兴补助资金，资金来源属于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w:t>
      </w:r>
      <w:r>
        <w:rPr>
          <w:rFonts w:hint="eastAsia" w:ascii="仿宋_GB2312" w:hAnsi="仿宋_GB2312" w:eastAsia="仿宋_GB2312" w:cs="仿宋_GB2312"/>
          <w:sz w:val="32"/>
          <w:szCs w:val="32"/>
          <w:lang w:val="zh-CN"/>
        </w:rPr>
        <w:t>符合资金管理办法等相关规定。</w:t>
      </w:r>
    </w:p>
    <w:p w14:paraId="45C092B1">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sz w:val="32"/>
          <w:szCs w:val="32"/>
          <w:lang w:val="zh-CN"/>
        </w:rPr>
        <w:t>采购优质种牛</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zh-CN"/>
        </w:rPr>
        <w:t>头2.采购二代野牦牛种公牛</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头，野牦牛（母牛）</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头</w:t>
      </w:r>
      <w:r>
        <w:rPr>
          <w:rFonts w:hint="eastAsia" w:ascii="仿宋_GB2312" w:hAnsi="仿宋_GB2312" w:cs="仿宋_GB2312"/>
          <w:sz w:val="32"/>
          <w:szCs w:val="32"/>
          <w:lang w:val="zh-CN"/>
        </w:rPr>
        <w:t>。</w:t>
      </w:r>
    </w:p>
    <w:p w14:paraId="16F9DC6C">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kern w:val="2"/>
          <w:sz w:val="32"/>
          <w:szCs w:val="32"/>
          <w:lang w:val="en-US" w:eastAsia="zh-CN" w:bidi="ar"/>
        </w:rPr>
        <w:t>该项目总投资100万元，全部为</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资金，且资金于2023年5月下达，资金到位率100%。该项目</w:t>
      </w:r>
      <w:r>
        <w:rPr>
          <w:rFonts w:hint="eastAsia" w:ascii="仿宋_GB2312" w:hAnsi="Times New Roman" w:eastAsia="仿宋_GB2312" w:cs="Times New Roman"/>
          <w:sz w:val="32"/>
          <w:szCs w:val="32"/>
          <w:lang w:val="en-US" w:eastAsia="zh-CN"/>
        </w:rPr>
        <w:t>资金严格按照相关规程进行拨付，截止目前，该项目已支付至合同价的100%，共计100万元。</w:t>
      </w:r>
      <w:r>
        <w:rPr>
          <w:rFonts w:hint="eastAsia" w:ascii="仿宋_GB2312" w:hAnsi="Times New Roman" w:eastAsia="仿宋_GB2312" w:cs="Times New Roman"/>
          <w:sz w:val="32"/>
          <w:szCs w:val="32"/>
          <w:lang w:val="zh-CN"/>
        </w:rPr>
        <w:t>支付依据合规合法，资金支付与预算相符。</w:t>
      </w:r>
    </w:p>
    <w:p w14:paraId="6B61F8E3">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val="zh-CN"/>
        </w:rPr>
      </w:pPr>
      <w:r>
        <w:rPr>
          <w:rFonts w:hint="eastAsia" w:ascii="仿宋_GB2312" w:hAnsi="Times New Roman" w:eastAsia="仿宋_GB2312" w:cs="Times New Roman"/>
          <w:sz w:val="32"/>
          <w:szCs w:val="32"/>
          <w:lang w:val="zh-CN" w:eastAsia="zh-CN"/>
        </w:rPr>
        <w:t>（四）项目绩效目标设置。</w:t>
      </w:r>
      <w:r>
        <w:rPr>
          <w:rFonts w:hint="eastAsia" w:ascii="仿宋_GB2312" w:hAnsi="Times New Roman" w:eastAsia="仿宋_GB2312" w:cs="Times New Roman"/>
          <w:sz w:val="32"/>
          <w:szCs w:val="32"/>
          <w:lang w:val="zh-CN"/>
        </w:rPr>
        <w:t>采购优质种牛</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lang w:val="zh-CN"/>
        </w:rPr>
        <w:t>头2.采购二代野牦牛种公牛</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头，野牦</w:t>
      </w:r>
      <w:r>
        <w:rPr>
          <w:rFonts w:hint="eastAsia" w:ascii="仿宋_GB2312" w:hAnsi="仿宋_GB2312" w:eastAsia="仿宋_GB2312" w:cs="仿宋_GB2312"/>
          <w:color w:val="auto"/>
          <w:kern w:val="2"/>
          <w:sz w:val="32"/>
          <w:szCs w:val="32"/>
          <w:lang w:val="zh-CN" w:eastAsia="zh-CN" w:bidi="ar"/>
        </w:rPr>
        <w:t>牛（母牛）</w:t>
      </w:r>
      <w:r>
        <w:rPr>
          <w:rFonts w:hint="eastAsia" w:ascii="仿宋_GB2312" w:hAnsi="仿宋_GB2312" w:eastAsia="仿宋_GB2312" w:cs="仿宋_GB2312"/>
          <w:color w:val="auto"/>
          <w:kern w:val="2"/>
          <w:sz w:val="32"/>
          <w:szCs w:val="32"/>
          <w:lang w:val="en-US" w:eastAsia="zh-CN" w:bidi="ar"/>
        </w:rPr>
        <w:t>20</w:t>
      </w:r>
      <w:r>
        <w:rPr>
          <w:rFonts w:hint="eastAsia" w:ascii="仿宋_GB2312" w:hAnsi="仿宋_GB2312" w:eastAsia="仿宋_GB2312" w:cs="仿宋_GB2312"/>
          <w:color w:val="auto"/>
          <w:kern w:val="2"/>
          <w:sz w:val="32"/>
          <w:szCs w:val="32"/>
          <w:lang w:val="zh-CN" w:eastAsia="zh-CN" w:bidi="ar"/>
        </w:rPr>
        <w:t>头。</w:t>
      </w:r>
      <w:r>
        <w:rPr>
          <w:rFonts w:hint="eastAsia" w:ascii="仿宋_GB2312" w:hAnsi="仿宋_GB2312" w:eastAsia="仿宋_GB2312" w:cs="仿宋_GB2312"/>
          <w:color w:val="auto"/>
          <w:kern w:val="2"/>
          <w:sz w:val="32"/>
          <w:szCs w:val="32"/>
          <w:lang w:val="en-US" w:eastAsia="zh-CN" w:bidi="ar"/>
        </w:rPr>
        <w:t>该项目于2023年9月20日全面完工。</w:t>
      </w:r>
    </w:p>
    <w:p w14:paraId="627E5393">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eastAsia="zh-CN"/>
        </w:rPr>
      </w:pPr>
      <w:r>
        <w:rPr>
          <w:rFonts w:hint="eastAsia" w:ascii="黑体" w:hAnsi="宋体" w:eastAsia="黑体" w:cs="Times New Roman"/>
          <w:sz w:val="32"/>
          <w:szCs w:val="32"/>
          <w:highlight w:val="none"/>
        </w:rPr>
        <w:t>二、</w:t>
      </w:r>
      <w:r>
        <w:rPr>
          <w:rFonts w:hint="eastAsia" w:ascii="黑体" w:hAnsi="宋体" w:eastAsia="黑体" w:cs="Times New Roman"/>
          <w:sz w:val="32"/>
          <w:szCs w:val="32"/>
          <w:highlight w:val="none"/>
          <w:lang w:eastAsia="zh-CN"/>
        </w:rPr>
        <w:t>评价实施</w:t>
      </w:r>
    </w:p>
    <w:p w14:paraId="3C715E9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rPr>
      </w:pPr>
      <w:r>
        <w:rPr>
          <w:rFonts w:hint="eastAsia" w:ascii="楷体_GB2312" w:hAnsi="宋体" w:eastAsia="楷体_GB2312" w:cs="Times New Roman"/>
          <w:b/>
          <w:color w:val="auto"/>
          <w:sz w:val="32"/>
          <w:szCs w:val="32"/>
          <w:highlight w:val="none"/>
          <w:u w:val="none"/>
          <w:lang w:val="zh-CN" w:eastAsia="zh-CN"/>
        </w:rPr>
        <w:t>（一）评价目的。</w:t>
      </w:r>
      <w:r>
        <w:rPr>
          <w:rFonts w:hint="eastAsia" w:ascii="仿宋_GB2312" w:hAnsi="Times New Roman" w:eastAsia="仿宋_GB2312" w:cs="Times New Roman"/>
          <w:sz w:val="32"/>
          <w:szCs w:val="32"/>
          <w:lang w:val="zh-CN"/>
        </w:rPr>
        <w:t>采购优质种牛</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lang w:val="zh-CN"/>
        </w:rPr>
        <w:t>头2.采购二代野牦牛种公牛</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头，野牦牛（母牛）</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val="zh-CN"/>
        </w:rPr>
        <w:t>头。</w:t>
      </w:r>
    </w:p>
    <w:p w14:paraId="5EF0DD6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楷体_GB2312" w:hAnsi="宋体" w:eastAsia="楷体_GB2312" w:cs="Times New Roman"/>
          <w:b/>
          <w:color w:val="auto"/>
          <w:sz w:val="32"/>
          <w:szCs w:val="32"/>
          <w:highlight w:val="none"/>
          <w:u w:val="none"/>
          <w:lang w:val="zh-CN" w:eastAsia="zh-CN"/>
        </w:rPr>
        <w:t>（二）预设问题及评价重点。</w:t>
      </w:r>
      <w:r>
        <w:rPr>
          <w:rFonts w:hint="eastAsia" w:ascii="仿宋_GB2312" w:hAnsi="Times New Roman" w:eastAsia="仿宋_GB2312" w:cs="Times New Roman"/>
          <w:sz w:val="32"/>
          <w:szCs w:val="32"/>
          <w:lang w:val="en-US" w:eastAsia="zh-CN"/>
        </w:rPr>
        <w:t>该项目资金严格按照相关规程进行拨付，截止目前，该项目已支付至合同价的100%，共计100万元。</w:t>
      </w:r>
      <w:r>
        <w:rPr>
          <w:rFonts w:hint="eastAsia" w:ascii="仿宋_GB2312" w:hAnsi="Times New Roman" w:eastAsia="仿宋_GB2312" w:cs="Times New Roman"/>
          <w:sz w:val="32"/>
          <w:szCs w:val="32"/>
          <w:lang w:val="zh-CN"/>
        </w:rPr>
        <w:t>支付依据合规合法，资金支付与预算相符。</w:t>
      </w:r>
    </w:p>
    <w:p w14:paraId="03F3E3C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（三）评价选点。</w:t>
      </w:r>
      <w:r>
        <w:rPr>
          <w:rFonts w:hint="eastAsia" w:ascii="仿宋_GB2312" w:hAnsi="Times New Roman" w:eastAsia="仿宋_GB2312" w:cs="Times New Roman"/>
          <w:sz w:val="32"/>
          <w:szCs w:val="32"/>
          <w:lang w:val="zh-CN" w:eastAsia="zh-CN"/>
        </w:rPr>
        <w:t>项目绩效自评所抽样点位合格。</w:t>
      </w:r>
    </w:p>
    <w:p w14:paraId="20B3800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eastAsia="zh-CN"/>
        </w:rPr>
      </w:pPr>
      <w:r>
        <w:rPr>
          <w:rFonts w:hint="eastAsia" w:ascii="楷体_GB2312" w:hAnsi="宋体" w:eastAsia="楷体_GB2312" w:cs="Times New Roman"/>
          <w:b/>
          <w:color w:val="auto"/>
          <w:sz w:val="32"/>
          <w:szCs w:val="32"/>
          <w:highlight w:val="none"/>
          <w:u w:val="none"/>
          <w:lang w:val="zh-CN" w:eastAsia="zh-CN"/>
        </w:rPr>
        <w:t>（四）评价方法。</w:t>
      </w:r>
      <w:r>
        <w:rPr>
          <w:rFonts w:hint="eastAsia" w:ascii="仿宋_GB2312" w:hAnsi="Times New Roman" w:eastAsia="仿宋_GB2312" w:cs="Times New Roman"/>
          <w:sz w:val="32"/>
          <w:szCs w:val="32"/>
          <w:lang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rPr>
        <w:t>实地勘察法</w:t>
      </w:r>
      <w:r>
        <w:rPr>
          <w:rFonts w:hint="eastAsia" w:ascii="仿宋_GB2312" w:hAnsi="Times New Roman" w:eastAsia="仿宋_GB2312" w:cs="Times New Roman"/>
          <w:sz w:val="32"/>
          <w:szCs w:val="32"/>
          <w:lang w:eastAsia="zh-CN"/>
        </w:rPr>
        <w:t>。</w:t>
      </w:r>
    </w:p>
    <w:p w14:paraId="5BF4604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（五）评价组织。</w:t>
      </w:r>
      <w:r>
        <w:rPr>
          <w:rFonts w:hint="eastAsia" w:ascii="仿宋_GB2312" w:hAnsi="Times New Roman" w:eastAsia="仿宋_GB2312" w:cs="Times New Roman"/>
          <w:sz w:val="32"/>
          <w:szCs w:val="32"/>
          <w:lang w:val="zh-CN" w:eastAsia="zh-CN"/>
        </w:rPr>
        <w:t>由查尔玛乡人民政府分工一名副科级牵头，两名经办开展监督验收工作。</w:t>
      </w:r>
    </w:p>
    <w:p w14:paraId="2C83B2CE">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val="zh-CN"/>
        </w:rPr>
      </w:pPr>
      <w:r>
        <w:rPr>
          <w:rFonts w:hint="eastAsia" w:ascii="黑体" w:hAnsi="宋体" w:eastAsia="黑体" w:cs="Times New Roman"/>
          <w:sz w:val="32"/>
          <w:szCs w:val="32"/>
          <w:highlight w:val="none"/>
          <w:lang w:val="zh-CN"/>
        </w:rPr>
        <w:t>三、</w:t>
      </w:r>
      <w:r>
        <w:rPr>
          <w:rFonts w:hint="eastAsia" w:ascii="黑体" w:hAnsi="宋体" w:eastAsia="黑体" w:cs="Times New Roman"/>
          <w:sz w:val="32"/>
          <w:szCs w:val="32"/>
          <w:highlight w:val="none"/>
          <w:lang w:val="zh-CN" w:eastAsia="zh-CN"/>
        </w:rPr>
        <w:t>绩效分析</w:t>
      </w:r>
      <w:r>
        <w:rPr>
          <w:rFonts w:hint="eastAsia" w:ascii="黑体" w:hAnsi="宋体" w:eastAsia="黑体" w:cs="Times New Roman"/>
          <w:sz w:val="32"/>
          <w:szCs w:val="32"/>
          <w:highlight w:val="none"/>
          <w:lang w:val="zh-CN"/>
        </w:rPr>
        <w:tab/>
      </w:r>
    </w:p>
    <w:p w14:paraId="371AA4C6">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楷体_GB2312" w:hAnsi="宋体" w:eastAsia="楷体_GB2312" w:cs="Times New Roman"/>
          <w:b/>
          <w:color w:val="auto"/>
          <w:sz w:val="32"/>
          <w:szCs w:val="32"/>
          <w:highlight w:val="none"/>
          <w:u w:val="none"/>
          <w:lang w:val="zh-CN" w:eastAsia="zh-CN"/>
        </w:rPr>
        <w:t>绩效分析。</w:t>
      </w:r>
    </w:p>
    <w:p w14:paraId="29BF38D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en-US" w:eastAsia="zh-CN"/>
        </w:rPr>
        <w:t>本项目由红原县查尔玛人民政府负责具体实施，县科农局负责项目监管，县财政局负责监管项目资金。</w:t>
      </w:r>
    </w:p>
    <w:p w14:paraId="3A527D53">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3ED7DE9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项目已支付至合同价的100%，共计100</w:t>
      </w:r>
    </w:p>
    <w:p w14:paraId="2374174F">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元。</w:t>
      </w:r>
      <w:r>
        <w:rPr>
          <w:rFonts w:hint="eastAsia" w:ascii="仿宋_GB2312" w:hAnsi="Times New Roman" w:eastAsia="仿宋_GB2312" w:cs="Times New Roman"/>
          <w:sz w:val="32"/>
          <w:szCs w:val="32"/>
          <w:lang w:val="zh-CN"/>
        </w:rPr>
        <w:t>支付依据合规合法，资金支付与预算相符。</w:t>
      </w:r>
    </w:p>
    <w:p w14:paraId="4C19823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zh-CN"/>
        </w:rPr>
        <w:t>采购优质种牛</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lang w:val="zh-CN"/>
        </w:rPr>
        <w:t>头2.采购二代野牦牛种公牛</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rPr>
        <w:t>头，野牦牛（母牛）</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val="zh-CN"/>
        </w:rPr>
        <w:t>头，</w:t>
      </w:r>
      <w:r>
        <w:rPr>
          <w:rFonts w:hint="eastAsia" w:ascii="仿宋_GB2312" w:hAnsi="Times New Roman" w:eastAsia="仿宋_GB2312" w:cs="Times New Roman"/>
          <w:sz w:val="32"/>
          <w:szCs w:val="32"/>
          <w:lang w:val="en-US" w:eastAsia="zh-CN"/>
        </w:rPr>
        <w:t>完成各村集体牦牛养殖及畜种改良，验收质量合格达标。项目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5E449375">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eastAsia="zh-CN"/>
        </w:rPr>
        <w:t>绩效分析。</w:t>
      </w:r>
    </w:p>
    <w:p w14:paraId="2D777773">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1.产业发展。</w:t>
      </w:r>
      <w:r>
        <w:rPr>
          <w:rFonts w:hint="eastAsia" w:ascii="仿宋_GB2312" w:hAnsi="Times New Roman" w:eastAsia="仿宋_GB2312" w:cs="Times New Roman"/>
          <w:sz w:val="32"/>
          <w:szCs w:val="32"/>
          <w:lang w:val="zh-CN" w:eastAsia="zh-CN"/>
        </w:rPr>
        <w:t>查尔玛乡各村集体牦牛养殖及畜种改良项目</w:t>
      </w:r>
      <w:r>
        <w:rPr>
          <w:rFonts w:hint="eastAsia" w:ascii="仿宋_GB2312" w:hAnsi="Times New Roman" w:eastAsia="仿宋_GB2312" w:cs="Times New Roman"/>
          <w:sz w:val="32"/>
          <w:szCs w:val="32"/>
          <w:lang w:val="en-US" w:eastAsia="zh-CN"/>
        </w:rPr>
        <w:t>，将有利于提高种畜质量，提高我乡牲畜出栏率，提高养殖业的经济效益。通过为村集体经济组织购买优质种畜的方式，推动畜牧业养殖更大范围的生产和扶持，使畜牧业种养结合的区域化布局、规模化生产和增长方式得到有效的转变，从整体上提高畜牧业经济效益，让我乡畜牧业步入优质、高产、高效发展轨道。</w:t>
      </w:r>
    </w:p>
    <w:p w14:paraId="291E64A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en-US" w:eastAsia="zh-CN"/>
        </w:rPr>
        <w:t>牦牛养殖为产业扶贫提供了长效机制，有助于巩固脱贫成果。通过</w:t>
      </w:r>
      <w:r>
        <w:rPr>
          <w:rFonts w:hint="eastAsia" w:ascii="仿宋_GB2312" w:hAnsi="Times New Roman" w:eastAsia="仿宋_GB2312" w:cs="Times New Roman"/>
          <w:sz w:val="32"/>
          <w:szCs w:val="32"/>
          <w:lang w:val="zh-CN" w:eastAsia="zh-CN"/>
        </w:rPr>
        <w:t>牦牛养殖及畜种改良，</w:t>
      </w:r>
      <w:r>
        <w:rPr>
          <w:rFonts w:hint="eastAsia" w:ascii="仿宋_GB2312" w:hAnsi="Times New Roman" w:eastAsia="仿宋_GB2312" w:cs="Times New Roman"/>
          <w:sz w:val="32"/>
          <w:szCs w:val="32"/>
          <w:lang w:val="en-US" w:eastAsia="zh-CN"/>
        </w:rPr>
        <w:t>增加畜牧业产品的产量和质量，提高产品质量和安全标准，增强产品的市场竞争力。促进畜牧业产业升级，将推动畜牧业向规模化、集约化、标准化方向发展，促进产业升级和转型，增强畜牧业产业的竞争力，将提高畜牧业的生产效率和产品质量。</w:t>
      </w:r>
    </w:p>
    <w:p w14:paraId="48DA7F5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zh-CN" w:eastAsia="zh-CN"/>
        </w:rPr>
        <w:t>牦牛养殖及畜种改良项目，将有效促进现代畜牧业转型升级，由原来粗放式的向现代化、标准化、集约化发展，</w:t>
      </w:r>
      <w:r>
        <w:rPr>
          <w:rFonts w:hint="eastAsia" w:ascii="仿宋_GB2312" w:hAnsi="Times New Roman" w:eastAsia="仿宋_GB2312" w:cs="Times New Roman"/>
          <w:sz w:val="32"/>
          <w:szCs w:val="32"/>
          <w:lang w:val="zh-CN"/>
        </w:rPr>
        <w:t>能够帮助保持草原生态平衡，预防过度放牧引起的环境问题。</w:t>
      </w:r>
      <w:r>
        <w:rPr>
          <w:rFonts w:hint="eastAsia" w:ascii="仿宋_GB2312" w:hAnsi="Times New Roman" w:eastAsia="仿宋_GB2312" w:cs="Times New Roman"/>
          <w:sz w:val="32"/>
          <w:szCs w:val="32"/>
          <w:lang w:val="en-US" w:eastAsia="zh-CN"/>
        </w:rPr>
        <w:t>推广生态养殖模式，合理利用资源，降低畜牧业对环境的影响，促进生态可持续发展，实现畜牧生产和草原保护建设共同发展。</w:t>
      </w:r>
    </w:p>
    <w:p w14:paraId="24C207E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r>
        <w:rPr>
          <w:rFonts w:hint="eastAsia" w:ascii="仿宋_GB2312" w:hAnsi="Times New Roman" w:eastAsia="仿宋_GB2312" w:cs="Times New Roman"/>
          <w:sz w:val="32"/>
          <w:szCs w:val="32"/>
          <w:lang w:val="en-US" w:eastAsia="zh-CN"/>
        </w:rPr>
        <w:t>该项目于2023年9月20日全面完工，完成各村集体牦牛养殖及畜种改良，验收质量合格达标。</w:t>
      </w:r>
    </w:p>
    <w:p w14:paraId="383AA185">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val="zh-CN"/>
        </w:rPr>
      </w:pPr>
      <w:r>
        <w:rPr>
          <w:rFonts w:hint="eastAsia" w:ascii="黑体" w:hAnsi="宋体" w:eastAsia="黑体" w:cs="Times New Roman"/>
          <w:sz w:val="32"/>
          <w:szCs w:val="32"/>
          <w:highlight w:val="none"/>
          <w:lang w:val="zh-CN" w:eastAsia="zh-CN"/>
        </w:rPr>
        <w:t>四</w:t>
      </w:r>
      <w:r>
        <w:rPr>
          <w:rFonts w:hint="eastAsia" w:ascii="黑体" w:hAnsi="宋体" w:eastAsia="黑体" w:cs="Times New Roman"/>
          <w:sz w:val="32"/>
          <w:szCs w:val="32"/>
          <w:highlight w:val="none"/>
          <w:lang w:val="zh-CN"/>
        </w:rPr>
        <w:t>、评价结论</w:t>
      </w:r>
    </w:p>
    <w:p w14:paraId="1F028F6B">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p>
    <w:p w14:paraId="62A6FE5D">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val="zh-CN" w:eastAsia="zh-CN"/>
        </w:rPr>
      </w:pPr>
      <w:r>
        <w:rPr>
          <w:rFonts w:hint="eastAsia" w:ascii="黑体" w:hAnsi="宋体" w:eastAsia="黑体" w:cs="Times New Roman"/>
          <w:sz w:val="32"/>
          <w:szCs w:val="32"/>
          <w:highlight w:val="none"/>
          <w:lang w:val="zh-CN" w:eastAsia="zh-CN"/>
        </w:rPr>
        <w:t>五、存在主要问题</w:t>
      </w:r>
    </w:p>
    <w:p w14:paraId="54EB68D5">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5948F1D9">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黑体" w:hAnsi="宋体" w:eastAsia="黑体" w:cs="Times New Roman"/>
          <w:sz w:val="32"/>
          <w:szCs w:val="32"/>
          <w:highlight w:val="none"/>
          <w:lang w:val="zh-CN" w:eastAsia="zh-CN"/>
        </w:rPr>
      </w:pPr>
      <w:r>
        <w:rPr>
          <w:rFonts w:hint="eastAsia" w:ascii="黑体" w:hAnsi="宋体" w:eastAsia="黑体" w:cs="Times New Roman"/>
          <w:sz w:val="32"/>
          <w:szCs w:val="32"/>
          <w:highlight w:val="none"/>
          <w:lang w:val="zh-CN" w:eastAsia="zh-CN"/>
        </w:rPr>
        <w:t>六、改进建议</w:t>
      </w:r>
    </w:p>
    <w:p w14:paraId="362B98A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4D2B0B09">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3C6EEBB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640A3FF9">
      <w:pPr>
        <w:pageBreakBefore w:val="0"/>
        <w:kinsoku/>
        <w:wordWrap/>
        <w:topLinePunct w:val="0"/>
        <w:bidi w:val="0"/>
        <w:spacing w:line="576" w:lineRule="exact"/>
        <w:ind w:firstLine="1600" w:firstLineChars="5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2.专项预算项目绩效目标完成情况自评表</w:t>
      </w:r>
    </w:p>
    <w:p w14:paraId="3A111D3B">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p>
    <w:p w14:paraId="2A0FF9D6">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p>
    <w:p w14:paraId="2DDE116E">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595AA04B">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72553924">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4F9C0538">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0F7776F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A4E551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46B5D13">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E0F90B3">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55AAFBE">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48410485">
      <w:pPr>
        <w:pageBreakBefore w:val="0"/>
        <w:kinsoku/>
        <w:wordWrap/>
        <w:topLinePunct w:val="0"/>
        <w:bidi w:val="0"/>
        <w:spacing w:line="576" w:lineRule="exact"/>
        <w:ind w:firstLine="560" w:firstLineChars="200"/>
        <w:rPr>
          <w:rFonts w:hint="eastAsia"/>
          <w:i w:val="0"/>
          <w:iCs w:val="0"/>
          <w:sz w:val="28"/>
          <w:szCs w:val="28"/>
          <w:u w:val="none"/>
          <w:lang w:val="en-US" w:eastAsia="zh-CN"/>
        </w:rPr>
      </w:pPr>
    </w:p>
    <w:p w14:paraId="5F610055">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4C1C054">
      <w:pPr>
        <w:rPr>
          <w:rFonts w:hint="eastAsia"/>
          <w:i w:val="0"/>
          <w:iCs w:val="0"/>
          <w:sz w:val="28"/>
          <w:szCs w:val="28"/>
          <w:u w:val="none"/>
          <w:lang w:val="en-US" w:eastAsia="zh-CN"/>
        </w:rPr>
      </w:pPr>
    </w:p>
    <w:p w14:paraId="4356F879">
      <w:pPr>
        <w:pStyle w:val="2"/>
        <w:rPr>
          <w:rFonts w:hint="eastAsia"/>
          <w:i w:val="0"/>
          <w:iCs w:val="0"/>
          <w:sz w:val="28"/>
          <w:szCs w:val="28"/>
          <w:u w:val="none"/>
          <w:lang w:val="en-US" w:eastAsia="zh-CN"/>
        </w:rPr>
      </w:pPr>
    </w:p>
    <w:p w14:paraId="0B70D534">
      <w:pPr>
        <w:pStyle w:val="2"/>
        <w:rPr>
          <w:rFonts w:hint="eastAsia"/>
          <w:i w:val="0"/>
          <w:iCs w:val="0"/>
          <w:sz w:val="28"/>
          <w:szCs w:val="28"/>
          <w:u w:val="none"/>
          <w:lang w:val="en-US" w:eastAsia="zh-CN"/>
        </w:rPr>
      </w:pPr>
    </w:p>
    <w:p w14:paraId="32AA0E8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D7F160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66432"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26" name="直接连接符 26"/>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66432;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dkzhNMAAAAHAQAADwAAAAAAAAABACAAAAAiAAAAZHJzL2Rv&#10;d25yZXYueG1sUEsBAhQAFAAAAAgAh07iQNIC3FYGAgAAAQQAAA4AAAAAAAAAAQAgAAAAIgEAAGRy&#10;cy9lMm9Eb2MueG1sUEsFBgAAAAAGAAYAWQEAAJoFAAAAAA==&#10;">
                <v:fill on="f" focussize="0,0"/>
                <v:stroke color="#000000" joinstyle="round"/>
                <v:imagedata o:title=""/>
                <o:lock v:ext="edit" aspectratio="f"/>
              </v:line>
            </w:pict>
          </mc:Fallback>
        </mc:AlternateContent>
      </w:r>
    </w:p>
    <w:p w14:paraId="491A68BF">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65408"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24" name="直接连接符 24"/>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65408;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nnpjUAAAABwEAAA8AAAAAAAAAAQAgAAAAIgAAAGRycy9k&#10;b3ducmV2LnhtbFBLAQIUABQAAAAIAIdO4kAsqzKNBgIAAAEEAAAOAAAAAAAAAAEAIAAAACMBAABk&#10;cnMvZTJvRG9jLnhtbFBLBQYAAAAABgAGAFkBAACbBQ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51D14AD7">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0DC3CC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483C9EF9">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3F1D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exact"/>
          <w:jc w:val="center"/>
        </w:trPr>
        <w:tc>
          <w:tcPr>
            <w:tcW w:w="1123" w:type="dxa"/>
            <w:noWrap w:val="0"/>
            <w:vAlign w:val="top"/>
          </w:tcPr>
          <w:p w14:paraId="02CF975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42224AE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401A8084">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43241D0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0C38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123" w:type="dxa"/>
            <w:noWrap w:val="0"/>
            <w:vAlign w:val="top"/>
          </w:tcPr>
          <w:p w14:paraId="7523D09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262694D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1-中央级</w:t>
            </w:r>
          </w:p>
        </w:tc>
        <w:tc>
          <w:tcPr>
            <w:tcW w:w="2861" w:type="dxa"/>
            <w:noWrap w:val="0"/>
            <w:vAlign w:val="top"/>
          </w:tcPr>
          <w:p w14:paraId="6D8F97B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23A67E5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99F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C869744">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3B3ADA3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4DDBDE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304D1A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AE7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30501E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6B12C48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488B46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6080A7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668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552515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2CD5FAD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57FA3C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D4E0EE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F9B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E13008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6AB3ADD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60F24B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3260E1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5E4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5E0B41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4EBE5A5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5EA7FE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91364E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5DD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1E3100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15A2C0B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1C19A6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5D7B6D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E02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5CFB62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6E75AF4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14C1C3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60D8D8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55C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3818D9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0A9E6C8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2779D7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9E0FAA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35CD1AD5">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4F3BC06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5B931698">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1A3FF713">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D60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62BED12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18F4F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34C9F1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B02285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查尔玛乡各村集体牦牛养殖及畜种改良项目</w:t>
            </w:r>
          </w:p>
        </w:tc>
      </w:tr>
      <w:tr w14:paraId="47CB3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B96AA6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F381A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34F59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86237A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6D10FD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29D67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F1F5A9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539D9FF">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中长期规划（名称、文号，仅指</w:t>
            </w:r>
          </w:p>
          <w:p w14:paraId="36E7D44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74287E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阿州财农〔2023〕12号</w:t>
            </w:r>
          </w:p>
        </w:tc>
      </w:tr>
      <w:tr w14:paraId="4EF6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501475">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E64662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5A43A9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71BB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2AB9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5E45DC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CF3E30E">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default" w:ascii="宋体" w:hAnsi="宋体" w:eastAsia="宋体" w:cs="宋体"/>
                <w:i w:val="0"/>
                <w:color w:val="000000"/>
                <w:sz w:val="24"/>
                <w:szCs w:val="24"/>
                <w:u w:val="none"/>
                <w:lang w:val="en-US" w:eastAsia="zh-CN"/>
              </w:rPr>
              <w:t>£</w:t>
            </w:r>
            <w:r>
              <w:rPr>
                <w:rFonts w:hint="eastAsia" w:ascii="宋体" w:hAnsi="宋体" w:eastAsia="宋体" w:cs="宋体"/>
                <w:i w:val="0"/>
                <w:color w:val="000000"/>
                <w:sz w:val="24"/>
                <w:szCs w:val="24"/>
                <w:u w:val="none"/>
                <w:lang w:val="en-US" w:eastAsia="zh-CN"/>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7F77EBD">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eastAsia="zh-CN"/>
              </w:rPr>
            </w:pPr>
            <w:r>
              <w:rPr>
                <w:rFonts w:hint="default" w:ascii="宋体" w:hAnsi="宋体" w:eastAsia="宋体" w:cs="宋体"/>
                <w:i w:val="0"/>
                <w:color w:val="000000"/>
                <w:sz w:val="24"/>
                <w:szCs w:val="24"/>
                <w:u w:val="none"/>
                <w:lang w:val="en-US" w:eastAsia="zh-CN"/>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50AFE9">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eastAsia="zh-CN"/>
              </w:rPr>
            </w:pPr>
            <w:r>
              <w:rPr>
                <w:rFonts w:hint="default" w:ascii="宋体" w:hAnsi="宋体" w:eastAsia="宋体" w:cs="宋体"/>
                <w:i w:val="0"/>
                <w:color w:val="000000"/>
                <w:sz w:val="24"/>
                <w:szCs w:val="24"/>
                <w:u w:val="none"/>
                <w:lang w:val="en-US" w:eastAsia="zh-CN"/>
              </w:rPr>
              <w:t>£</w:t>
            </w:r>
            <w:r>
              <w:rPr>
                <w:rFonts w:hint="eastAsia" w:ascii="宋体" w:hAnsi="宋体" w:eastAsia="宋体" w:cs="宋体"/>
                <w:i w:val="0"/>
                <w:color w:val="000000"/>
                <w:sz w:val="24"/>
                <w:szCs w:val="24"/>
                <w:u w:val="none"/>
                <w:lang w:val="en-US" w:eastAsia="zh-CN"/>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2848C8C">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eastAsia="zh-CN"/>
              </w:rPr>
            </w:pPr>
            <w:r>
              <w:rPr>
                <w:rFonts w:hint="default" w:ascii="宋体" w:hAnsi="宋体" w:eastAsia="宋体" w:cs="宋体"/>
                <w:i w:val="0"/>
                <w:color w:val="000000"/>
                <w:sz w:val="24"/>
                <w:szCs w:val="24"/>
                <w:u w:val="none"/>
                <w:lang w:val="en-US" w:eastAsia="zh-CN"/>
              </w:rPr>
              <w:t>£</w:t>
            </w:r>
            <w:r>
              <w:rPr>
                <w:rFonts w:hint="eastAsia" w:ascii="宋体" w:hAnsi="宋体" w:eastAsia="宋体" w:cs="宋体"/>
                <w:i w:val="0"/>
                <w:color w:val="000000"/>
                <w:sz w:val="24"/>
                <w:szCs w:val="24"/>
                <w:u w:val="none"/>
                <w:lang w:val="en-US" w:eastAsia="zh-CN"/>
              </w:rPr>
              <w:t>因素法与项目法相结合</w:t>
            </w:r>
          </w:p>
        </w:tc>
      </w:tr>
      <w:tr w14:paraId="0290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367D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04316D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424A078">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val="en-US" w:eastAsia="zh-CN"/>
              </w:rPr>
            </w:pPr>
          </w:p>
        </w:tc>
      </w:tr>
      <w:tr w14:paraId="4C1B4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38790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811E21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52891F4">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val="en-US" w:eastAsia="zh-CN"/>
              </w:rPr>
            </w:pPr>
          </w:p>
        </w:tc>
      </w:tr>
      <w:tr w14:paraId="475D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813F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D4F9F0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AE993A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67A9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CC804">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8BF804B">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B0E618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1BD6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4E925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项目资金</w:t>
            </w:r>
          </w:p>
          <w:p w14:paraId="39A29E3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65C4AE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713C263">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4A5B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71A93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B8F424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0D02F6D">
            <w:pPr>
              <w:keepNext w:val="0"/>
              <w:keepLines w:val="0"/>
              <w:pageBreakBefore w:val="0"/>
              <w:kinsoku/>
              <w:wordWrap/>
              <w:overflowPunct/>
              <w:topLinePunct w:val="0"/>
              <w:autoSpaceDE/>
              <w:autoSpaceDN/>
              <w:bidi w:val="0"/>
              <w:adjustRightInd/>
              <w:snapToGrid/>
              <w:spacing w:line="576" w:lineRule="exact"/>
              <w:ind w:left="0" w:leftChars="0"/>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2677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010225">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09D72F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96A3BF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7A12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6380A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FFB697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年度目标</w:t>
            </w:r>
          </w:p>
        </w:tc>
      </w:tr>
      <w:tr w14:paraId="3365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3173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6B3952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zh-CN" w:eastAsia="zh-CN"/>
              </w:rPr>
              <w:t>采购优质种牛</w:t>
            </w:r>
            <w:r>
              <w:rPr>
                <w:rFonts w:hint="eastAsia" w:ascii="宋体" w:hAnsi="宋体" w:eastAsia="宋体" w:cs="宋体"/>
                <w:i w:val="0"/>
                <w:color w:val="000000"/>
                <w:sz w:val="24"/>
                <w:szCs w:val="24"/>
                <w:u w:val="none"/>
                <w:lang w:val="en-US" w:eastAsia="zh-CN"/>
              </w:rPr>
              <w:t>13</w:t>
            </w:r>
            <w:r>
              <w:rPr>
                <w:rFonts w:hint="eastAsia" w:ascii="宋体" w:hAnsi="宋体" w:eastAsia="宋体" w:cs="宋体"/>
                <w:i w:val="0"/>
                <w:color w:val="000000"/>
                <w:sz w:val="24"/>
                <w:szCs w:val="24"/>
                <w:u w:val="none"/>
                <w:lang w:val="zh-CN" w:eastAsia="zh-CN"/>
              </w:rPr>
              <w:t>头2.采购二代野牦牛种公牛</w:t>
            </w:r>
            <w:r>
              <w:rPr>
                <w:rFonts w:hint="eastAsia" w:ascii="宋体" w:hAnsi="宋体" w:eastAsia="宋体" w:cs="宋体"/>
                <w:i w:val="0"/>
                <w:color w:val="000000"/>
                <w:sz w:val="24"/>
                <w:szCs w:val="24"/>
                <w:u w:val="none"/>
                <w:lang w:val="en-US" w:eastAsia="zh-CN"/>
              </w:rPr>
              <w:t>1</w:t>
            </w:r>
            <w:r>
              <w:rPr>
                <w:rFonts w:hint="eastAsia" w:ascii="宋体" w:hAnsi="宋体" w:eastAsia="宋体" w:cs="宋体"/>
                <w:i w:val="0"/>
                <w:color w:val="000000"/>
                <w:sz w:val="24"/>
                <w:szCs w:val="24"/>
                <w:u w:val="none"/>
                <w:lang w:val="zh-CN" w:eastAsia="zh-CN"/>
              </w:rPr>
              <w:t>头，野牦牛（母牛）</w:t>
            </w:r>
            <w:r>
              <w:rPr>
                <w:rFonts w:hint="eastAsia" w:ascii="宋体" w:hAnsi="宋体" w:eastAsia="宋体" w:cs="宋体"/>
                <w:i w:val="0"/>
                <w:color w:val="000000"/>
                <w:sz w:val="24"/>
                <w:szCs w:val="24"/>
                <w:u w:val="none"/>
                <w:lang w:val="en-US" w:eastAsia="zh-CN"/>
              </w:rPr>
              <w:t>20</w:t>
            </w:r>
            <w:r>
              <w:rPr>
                <w:rFonts w:hint="eastAsia" w:ascii="宋体" w:hAnsi="宋体" w:eastAsia="宋体" w:cs="宋体"/>
                <w:i w:val="0"/>
                <w:color w:val="000000"/>
                <w:sz w:val="24"/>
                <w:szCs w:val="24"/>
                <w:u w:val="none"/>
                <w:lang w:val="zh-CN" w:eastAsia="zh-CN"/>
              </w:rPr>
              <w:t>头。</w:t>
            </w:r>
          </w:p>
        </w:tc>
      </w:tr>
      <w:tr w14:paraId="0B37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8CB76E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D124F9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672E44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E3B52F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C5DC6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B715DD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87DBEC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76713F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06EE0D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3686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9DB15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right w:val="single" w:color="000000" w:sz="4" w:space="0"/>
            </w:tcBorders>
            <w:noWrap w:val="0"/>
            <w:vAlign w:val="center"/>
          </w:tcPr>
          <w:p w14:paraId="4ED8103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33BF10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0758863">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★★★村集体采购牦牛</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A3364F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≥34头</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17D5B9">
            <w:pPr>
              <w:keepNext w:val="0"/>
              <w:keepLines w:val="0"/>
              <w:pageBreakBefore w:val="0"/>
              <w:widowControl/>
              <w:suppressLineNumbers w:val="0"/>
              <w:kinsoku/>
              <w:wordWrap/>
              <w:topLinePunct w:val="0"/>
              <w:bidi w:val="0"/>
              <w:spacing w:line="576" w:lineRule="exact"/>
              <w:jc w:val="left"/>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34头</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B08B43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444A5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AFB7D1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3D0E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ABCF1A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8483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B2E07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777AEA9">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D9FF472">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1D8540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3AC129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148400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6B057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10165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6D3C72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F3AF3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6A21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4D3A5FA">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2518EFB">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868978">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A3C75E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C369D6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36D5D8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55FE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AB8B56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09E0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E756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A7E078F">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★★★提升脱贫人口收入</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05591B7">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≥50元/人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53094FA">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50元</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85CEB6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042D7F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9ECBC3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71052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1CC382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104F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right w:val="single" w:color="000000" w:sz="4" w:space="0"/>
            </w:tcBorders>
            <w:noWrap w:val="0"/>
            <w:vAlign w:val="center"/>
          </w:tcPr>
          <w:p w14:paraId="5EB62FA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w:t>
            </w:r>
          </w:p>
          <w:p w14:paraId="636A6A4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F82F569">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★★★受益建档立卡贫困人口数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949C2D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≥135人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B16EE3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135人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A06AA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46DE11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DDDD6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4B209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4E558D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062C8C8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4A0C938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7EBA6DF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7E2DF00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6719AB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983B8B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93120A3">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0D6C8D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C12677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E0E62C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4AD02050">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701B4A96">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60374477">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1EB52F38">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30209E46">
      <w:pPr>
        <w:rPr>
          <w:rFonts w:hint="default" w:ascii="宋体" w:hAnsi="宋体" w:eastAsia="宋体" w:cs="宋体"/>
          <w:i w:val="0"/>
          <w:color w:val="000000"/>
          <w:kern w:val="0"/>
          <w:sz w:val="24"/>
          <w:szCs w:val="24"/>
          <w:u w:val="none"/>
          <w:lang w:val="en-US" w:eastAsia="zh-CN" w:bidi="ar"/>
        </w:rPr>
      </w:pPr>
    </w:p>
    <w:p w14:paraId="6A5381F6">
      <w:pPr>
        <w:pStyle w:val="2"/>
        <w:rPr>
          <w:rFonts w:hint="default" w:ascii="宋体" w:hAnsi="宋体" w:eastAsia="宋体" w:cs="宋体"/>
          <w:i w:val="0"/>
          <w:color w:val="000000"/>
          <w:kern w:val="0"/>
          <w:sz w:val="24"/>
          <w:szCs w:val="24"/>
          <w:u w:val="none"/>
          <w:lang w:val="en-US" w:eastAsia="zh-CN" w:bidi="ar"/>
        </w:rPr>
      </w:pPr>
    </w:p>
    <w:p w14:paraId="55420932">
      <w:pPr>
        <w:pStyle w:val="2"/>
        <w:rPr>
          <w:rFonts w:hint="default" w:ascii="宋体" w:hAnsi="宋体" w:eastAsia="宋体" w:cs="宋体"/>
          <w:i w:val="0"/>
          <w:color w:val="000000"/>
          <w:kern w:val="0"/>
          <w:sz w:val="24"/>
          <w:szCs w:val="24"/>
          <w:u w:val="none"/>
          <w:lang w:val="en-US" w:eastAsia="zh-CN" w:bidi="ar"/>
        </w:rPr>
      </w:pPr>
    </w:p>
    <w:p w14:paraId="0CC57C80">
      <w:pPr>
        <w:pStyle w:val="2"/>
        <w:rPr>
          <w:rFonts w:hint="default" w:ascii="宋体" w:hAnsi="宋体" w:eastAsia="宋体" w:cs="宋体"/>
          <w:i w:val="0"/>
          <w:color w:val="000000"/>
          <w:kern w:val="0"/>
          <w:sz w:val="24"/>
          <w:szCs w:val="24"/>
          <w:u w:val="none"/>
          <w:lang w:val="en-US" w:eastAsia="zh-CN" w:bidi="ar"/>
        </w:rPr>
      </w:pPr>
    </w:p>
    <w:p w14:paraId="4841A838">
      <w:pPr>
        <w:pStyle w:val="2"/>
        <w:rPr>
          <w:rFonts w:hint="default" w:ascii="宋体" w:hAnsi="宋体" w:eastAsia="宋体" w:cs="宋体"/>
          <w:i w:val="0"/>
          <w:color w:val="000000"/>
          <w:kern w:val="0"/>
          <w:sz w:val="24"/>
          <w:szCs w:val="24"/>
          <w:u w:val="none"/>
          <w:lang w:val="en-US" w:eastAsia="zh-CN" w:bidi="ar"/>
        </w:rPr>
      </w:pPr>
    </w:p>
    <w:p w14:paraId="4E84AAE0">
      <w:pPr>
        <w:pStyle w:val="2"/>
        <w:rPr>
          <w:rFonts w:hint="default" w:ascii="宋体" w:hAnsi="宋体" w:eastAsia="宋体" w:cs="宋体"/>
          <w:i w:val="0"/>
          <w:color w:val="000000"/>
          <w:kern w:val="0"/>
          <w:sz w:val="24"/>
          <w:szCs w:val="24"/>
          <w:u w:val="none"/>
          <w:lang w:val="en-US" w:eastAsia="zh-CN" w:bidi="ar"/>
        </w:rPr>
      </w:pPr>
    </w:p>
    <w:p w14:paraId="7CF575B8">
      <w:pPr>
        <w:pStyle w:val="2"/>
        <w:rPr>
          <w:rFonts w:hint="default" w:ascii="宋体" w:hAnsi="宋体" w:eastAsia="宋体" w:cs="宋体"/>
          <w:i w:val="0"/>
          <w:color w:val="000000"/>
          <w:kern w:val="0"/>
          <w:sz w:val="24"/>
          <w:szCs w:val="24"/>
          <w:u w:val="none"/>
          <w:lang w:val="en-US" w:eastAsia="zh-CN" w:bidi="ar"/>
        </w:rPr>
      </w:pPr>
    </w:p>
    <w:p w14:paraId="7C9F413A">
      <w:pPr>
        <w:pStyle w:val="2"/>
        <w:rPr>
          <w:rFonts w:hint="default" w:ascii="宋体" w:hAnsi="宋体" w:eastAsia="宋体" w:cs="宋体"/>
          <w:i w:val="0"/>
          <w:color w:val="000000"/>
          <w:kern w:val="0"/>
          <w:sz w:val="24"/>
          <w:szCs w:val="24"/>
          <w:u w:val="none"/>
          <w:lang w:val="en-US" w:eastAsia="zh-CN" w:bidi="ar"/>
        </w:rPr>
      </w:pPr>
    </w:p>
    <w:p w14:paraId="5A19178A">
      <w:pPr>
        <w:pStyle w:val="2"/>
        <w:rPr>
          <w:rFonts w:hint="default" w:ascii="宋体" w:hAnsi="宋体" w:eastAsia="宋体" w:cs="宋体"/>
          <w:i w:val="0"/>
          <w:color w:val="000000"/>
          <w:kern w:val="0"/>
          <w:sz w:val="24"/>
          <w:szCs w:val="24"/>
          <w:u w:val="none"/>
          <w:lang w:val="en-US" w:eastAsia="zh-CN" w:bidi="ar"/>
        </w:rPr>
      </w:pPr>
    </w:p>
    <w:p w14:paraId="34507201">
      <w:pPr>
        <w:pStyle w:val="2"/>
        <w:rPr>
          <w:rFonts w:hint="default" w:ascii="宋体" w:hAnsi="宋体" w:eastAsia="宋体" w:cs="宋体"/>
          <w:i w:val="0"/>
          <w:color w:val="000000"/>
          <w:kern w:val="0"/>
          <w:sz w:val="24"/>
          <w:szCs w:val="24"/>
          <w:u w:val="none"/>
          <w:lang w:val="en-US" w:eastAsia="zh-CN" w:bidi="ar"/>
        </w:rPr>
      </w:pPr>
    </w:p>
    <w:p w14:paraId="4D25C012">
      <w:pPr>
        <w:pStyle w:val="2"/>
        <w:rPr>
          <w:rFonts w:hint="default" w:ascii="宋体" w:hAnsi="宋体" w:eastAsia="宋体" w:cs="宋体"/>
          <w:i w:val="0"/>
          <w:color w:val="000000"/>
          <w:kern w:val="0"/>
          <w:sz w:val="24"/>
          <w:szCs w:val="24"/>
          <w:u w:val="none"/>
          <w:lang w:val="en-US" w:eastAsia="zh-CN" w:bidi="ar"/>
        </w:rPr>
      </w:pPr>
    </w:p>
    <w:p w14:paraId="749BE094">
      <w:pPr>
        <w:pStyle w:val="2"/>
        <w:rPr>
          <w:rFonts w:hint="default" w:ascii="宋体" w:hAnsi="宋体" w:eastAsia="宋体" w:cs="宋体"/>
          <w:i w:val="0"/>
          <w:color w:val="000000"/>
          <w:kern w:val="0"/>
          <w:sz w:val="24"/>
          <w:szCs w:val="24"/>
          <w:u w:val="none"/>
          <w:lang w:val="en-US" w:eastAsia="zh-CN" w:bidi="ar"/>
        </w:rPr>
      </w:pPr>
    </w:p>
    <w:p w14:paraId="7FB82162">
      <w:pPr>
        <w:pStyle w:val="2"/>
        <w:rPr>
          <w:rFonts w:hint="default" w:ascii="宋体" w:hAnsi="宋体" w:eastAsia="宋体" w:cs="宋体"/>
          <w:i w:val="0"/>
          <w:color w:val="000000"/>
          <w:kern w:val="0"/>
          <w:sz w:val="24"/>
          <w:szCs w:val="24"/>
          <w:u w:val="none"/>
          <w:lang w:val="en-US" w:eastAsia="zh-CN" w:bidi="ar"/>
        </w:rPr>
      </w:pPr>
    </w:p>
    <w:p w14:paraId="29B9DC59">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6E67D3FE">
      <w:pPr>
        <w:pStyle w:val="35"/>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w:t>
      </w:r>
      <w:r>
        <w:rPr>
          <w:rFonts w:hint="eastAsia" w:ascii="方正小标宋简体" w:hAnsi="方正小标宋简体" w:eastAsia="方正小标宋简体" w:cs="方正小标宋简体"/>
          <w:color w:val="auto"/>
          <w:kern w:val="2"/>
          <w:sz w:val="44"/>
          <w:szCs w:val="44"/>
          <w:highlight w:val="none"/>
          <w:lang w:val="en-US" w:eastAsia="zh-CN"/>
        </w:rPr>
        <w:t>红原县2023年查尔玛乡以工代赈项目（什布龙村）的绩效评价报告</w:t>
      </w:r>
    </w:p>
    <w:p w14:paraId="6AFC33F4">
      <w:pPr>
        <w:pStyle w:val="35"/>
        <w:keepNext w:val="0"/>
        <w:keepLines w:val="0"/>
        <w:pageBreakBefore w:val="0"/>
        <w:widowControl w:val="0"/>
        <w:kinsoku/>
        <w:wordWrap/>
        <w:overflowPunct/>
        <w:topLinePunct w:val="0"/>
        <w:autoSpaceDE/>
        <w:autoSpaceDN/>
        <w:bidi w:val="0"/>
        <w:spacing w:line="576" w:lineRule="exact"/>
        <w:ind w:left="0" w:leftChars="0" w:firstLine="640"/>
        <w:jc w:val="center"/>
        <w:textAlignment w:val="auto"/>
        <w:rPr>
          <w:rFonts w:ascii="宋体" w:hAnsi="宋体"/>
          <w:color w:val="auto"/>
          <w:kern w:val="2"/>
          <w:sz w:val="32"/>
          <w:szCs w:val="32"/>
          <w:highlight w:val="none"/>
        </w:rPr>
      </w:pPr>
    </w:p>
    <w:p w14:paraId="6448B957">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一、项目概况</w:t>
      </w:r>
    </w:p>
    <w:p w14:paraId="22F6981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zh-CN"/>
        </w:rPr>
        <w:t>（一）设立背景及基本情况。</w:t>
      </w:r>
      <w:r>
        <w:rPr>
          <w:rFonts w:hint="eastAsia" w:ascii="仿宋_GB2312" w:hAnsi="Times New Roman" w:eastAsia="仿宋_GB2312" w:cs="Times New Roman"/>
          <w:sz w:val="32"/>
          <w:szCs w:val="32"/>
          <w:lang w:val="en-US" w:eastAsia="zh-CN"/>
        </w:rPr>
        <w:t>红原县2023年中央财政衔接资金以工代赈项目（查尔玛乡什布龙村），项目下达资金390万元，资金来源文号为：阿州财农〔2023〕12号中央财政衔接推进乡村振兴补助资金，资金来源属于</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23</w:t>
      </w:r>
      <w:r>
        <w:rPr>
          <w:rFonts w:hint="eastAsia" w:ascii="仿宋_GB2312" w:hAnsi="Times New Roman" w:eastAsia="仿宋_GB2312" w:cs="Times New Roman"/>
          <w:sz w:val="32"/>
          <w:szCs w:val="32"/>
          <w:lang w:val="zh-CN" w:eastAsia="zh-CN"/>
        </w:rPr>
        <w:t>年乡村振兴衔接</w:t>
      </w:r>
      <w:r>
        <w:rPr>
          <w:rFonts w:hint="eastAsia" w:ascii="仿宋_GB2312" w:hAnsi="Times New Roman" w:eastAsia="仿宋_GB2312" w:cs="Times New Roman"/>
          <w:sz w:val="32"/>
          <w:szCs w:val="32"/>
          <w:lang w:val="en-US" w:eastAsia="zh-CN"/>
        </w:rPr>
        <w:t>资金。</w:t>
      </w:r>
    </w:p>
    <w:p w14:paraId="288E2C3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zh-CN"/>
        </w:rPr>
        <w:t>（二）</w:t>
      </w:r>
      <w:r>
        <w:rPr>
          <w:rFonts w:hint="default" w:ascii="仿宋_GB2312" w:hAnsi="Times New Roman" w:eastAsia="仿宋_GB2312" w:cs="Times New Roman"/>
          <w:b/>
          <w:bCs/>
          <w:sz w:val="32"/>
          <w:szCs w:val="32"/>
          <w:lang w:val="en-US" w:eastAsia="zh-CN"/>
        </w:rPr>
        <w:t>实施目的及支持方向</w:t>
      </w:r>
      <w:r>
        <w:rPr>
          <w:rFonts w:hint="eastAsia" w:ascii="仿宋_GB2312" w:hAnsi="Times New Roman" w:eastAsia="仿宋_GB2312" w:cs="Times New Roman"/>
          <w:b/>
          <w:bCs/>
          <w:sz w:val="32"/>
          <w:szCs w:val="32"/>
          <w:lang w:val="en-US" w:eastAsia="zh-CN"/>
        </w:rPr>
        <w:t>。</w:t>
      </w:r>
      <w:r>
        <w:rPr>
          <w:rFonts w:hint="eastAsia" w:ascii="仿宋_GB2312" w:hAnsi="Times New Roman" w:eastAsia="仿宋_GB2312" w:cs="Times New Roman"/>
          <w:sz w:val="32"/>
          <w:szCs w:val="32"/>
          <w:lang w:val="en-US" w:eastAsia="zh-CN"/>
        </w:rPr>
        <w:t>对村内道路提升该找3.2公里，宽4米的泥青路。</w:t>
      </w:r>
    </w:p>
    <w:p w14:paraId="4E31379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zh-CN" w:eastAsia="zh-CN"/>
        </w:rPr>
        <w:t>（三）</w:t>
      </w:r>
      <w:r>
        <w:rPr>
          <w:rFonts w:hint="default" w:ascii="仿宋_GB2312" w:hAnsi="Times New Roman" w:eastAsia="仿宋_GB2312" w:cs="Times New Roman"/>
          <w:b/>
          <w:bCs/>
          <w:sz w:val="32"/>
          <w:szCs w:val="32"/>
          <w:lang w:val="en-US" w:eastAsia="zh-CN"/>
        </w:rPr>
        <w:t>预算安排及分配管理</w:t>
      </w:r>
      <w:r>
        <w:rPr>
          <w:rFonts w:hint="eastAsia" w:ascii="仿宋_GB2312" w:hAnsi="Times New Roman" w:eastAsia="仿宋_GB2312" w:cs="Times New Roman"/>
          <w:b/>
          <w:bCs/>
          <w:sz w:val="32"/>
          <w:szCs w:val="32"/>
          <w:lang w:val="zh-CN" w:eastAsia="zh-CN"/>
        </w:rPr>
        <w:t>。</w:t>
      </w:r>
      <w:r>
        <w:rPr>
          <w:rFonts w:hint="eastAsia" w:ascii="仿宋_GB2312" w:hAnsi="Times New Roman" w:eastAsia="仿宋_GB2312" w:cs="Times New Roman"/>
          <w:sz w:val="32"/>
          <w:szCs w:val="32"/>
          <w:lang w:val="en-US" w:eastAsia="zh-CN"/>
        </w:rPr>
        <w:t>该项目总投资390万元，全部为</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23</w:t>
      </w:r>
      <w:r>
        <w:rPr>
          <w:rFonts w:hint="eastAsia" w:ascii="仿宋_GB2312" w:hAnsi="Times New Roman" w:eastAsia="仿宋_GB2312" w:cs="Times New Roman"/>
          <w:sz w:val="32"/>
          <w:szCs w:val="32"/>
          <w:lang w:val="zh-CN" w:eastAsia="zh-CN"/>
        </w:rPr>
        <w:t>年乡村振兴衔接</w:t>
      </w:r>
      <w:r>
        <w:rPr>
          <w:rFonts w:hint="eastAsia" w:ascii="仿宋_GB2312" w:hAnsi="Times New Roman" w:eastAsia="仿宋_GB2312" w:cs="Times New Roman"/>
          <w:sz w:val="32"/>
          <w:szCs w:val="32"/>
          <w:lang w:val="en-US" w:eastAsia="zh-CN"/>
        </w:rPr>
        <w:t>资金，且资金于2023年5月下达，资金到位率100%。</w:t>
      </w:r>
    </w:p>
    <w:p w14:paraId="1DB292A0">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eastAsia="zh-CN"/>
        </w:rPr>
        <w:t>（四）项目绩效目标设置。</w:t>
      </w:r>
      <w:r>
        <w:rPr>
          <w:rFonts w:hint="eastAsia" w:ascii="仿宋_GB2312" w:hAnsi="Times New Roman" w:eastAsia="仿宋_GB2312" w:cs="Times New Roman"/>
          <w:sz w:val="32"/>
          <w:szCs w:val="32"/>
          <w:lang w:val="zh-CN" w:eastAsia="zh-CN"/>
        </w:rPr>
        <w:t>对村内道路提升改造3.2公里，宽4米的沥青路。</w:t>
      </w:r>
      <w:r>
        <w:rPr>
          <w:rFonts w:hint="eastAsia" w:ascii="仿宋_GB2312" w:hAnsi="Times New Roman" w:eastAsia="仿宋_GB2312" w:cs="Times New Roman"/>
          <w:sz w:val="32"/>
          <w:szCs w:val="32"/>
          <w:lang w:val="en-US" w:eastAsia="zh-CN"/>
        </w:rPr>
        <w:t>该项目于2023年10月30日全面完工。</w:t>
      </w:r>
    </w:p>
    <w:p w14:paraId="3CF070C6">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rPr>
        <w:t>二、</w:t>
      </w:r>
      <w:r>
        <w:rPr>
          <w:rFonts w:hint="eastAsia" w:ascii="方正黑体_GBK" w:hAnsi="方正黑体_GBK" w:eastAsia="方正黑体_GBK" w:cs="方正黑体_GBK"/>
          <w:sz w:val="32"/>
          <w:szCs w:val="32"/>
          <w:lang w:val="zh-CN" w:eastAsia="zh-CN"/>
        </w:rPr>
        <w:t>评价实施</w:t>
      </w:r>
    </w:p>
    <w:p w14:paraId="3276A9D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zh-CN"/>
        </w:rPr>
        <w:t>（一）评价目的。</w:t>
      </w:r>
      <w:r>
        <w:rPr>
          <w:rFonts w:hint="eastAsia" w:ascii="仿宋_GB2312" w:hAnsi="Times New Roman" w:eastAsia="仿宋_GB2312" w:cs="Times New Roman"/>
          <w:sz w:val="32"/>
          <w:szCs w:val="32"/>
          <w:lang w:val="zh-CN"/>
        </w:rPr>
        <w:t>对村内道路提升该找3.2公里，宽4米的泥青路。</w:t>
      </w:r>
    </w:p>
    <w:p w14:paraId="261FA8E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（二）预设问题及评价重点。</w:t>
      </w:r>
      <w:r>
        <w:rPr>
          <w:rFonts w:hint="eastAsia" w:ascii="仿宋_GB2312" w:hAnsi="Times New Roman" w:eastAsia="仿宋_GB2312" w:cs="Times New Roman"/>
          <w:sz w:val="32"/>
          <w:szCs w:val="32"/>
          <w:lang w:val="en-US" w:eastAsia="zh-CN"/>
        </w:rPr>
        <w:t>该项目资金严格按照相关规程进行拨付，项目施工合同价为390元。截止目前，该项目已支付至合同价的97%，共计：383万元。</w:t>
      </w:r>
    </w:p>
    <w:p w14:paraId="7DDA16C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（三）评价选点。</w:t>
      </w:r>
      <w:r>
        <w:rPr>
          <w:rFonts w:hint="eastAsia" w:ascii="仿宋_GB2312" w:hAnsi="Times New Roman" w:eastAsia="仿宋_GB2312" w:cs="Times New Roman"/>
          <w:sz w:val="32"/>
          <w:szCs w:val="32"/>
          <w:lang w:val="zh-CN" w:eastAsia="zh-CN"/>
        </w:rPr>
        <w:t>项目绩效自评所抽样点位合格。</w:t>
      </w:r>
    </w:p>
    <w:p w14:paraId="3941EBB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zh-CN"/>
        </w:rPr>
        <w:t>（四）评价方法。</w:t>
      </w:r>
      <w:r>
        <w:rPr>
          <w:rFonts w:hint="eastAsia" w:ascii="仿宋_GB2312" w:hAnsi="Times New Roman" w:eastAsia="仿宋_GB2312" w:cs="Times New Roman"/>
          <w:sz w:val="32"/>
          <w:szCs w:val="32"/>
          <w:lang w:val="zh-CN"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lang w:val="zh-CN"/>
        </w:rPr>
        <w:t>实地勘察法</w:t>
      </w:r>
      <w:r>
        <w:rPr>
          <w:rFonts w:hint="eastAsia" w:ascii="仿宋_GB2312" w:hAnsi="Times New Roman" w:eastAsia="仿宋_GB2312" w:cs="Times New Roman"/>
          <w:sz w:val="32"/>
          <w:szCs w:val="32"/>
          <w:lang w:val="zh-CN" w:eastAsia="zh-CN"/>
        </w:rPr>
        <w:t>。</w:t>
      </w:r>
    </w:p>
    <w:p w14:paraId="42C3FA05">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zh-CN"/>
        </w:rPr>
        <w:t>（五）评价组织。</w:t>
      </w:r>
      <w:r>
        <w:rPr>
          <w:rFonts w:hint="eastAsia" w:ascii="仿宋_GB2312" w:hAnsi="Times New Roman" w:eastAsia="仿宋_GB2312" w:cs="Times New Roman"/>
          <w:sz w:val="32"/>
          <w:szCs w:val="32"/>
          <w:lang w:val="zh-CN" w:eastAsia="zh-CN"/>
        </w:rPr>
        <w:t>由查尔玛乡人民政府分工一名副科级牵头，两名经办开展监督验收工作。</w:t>
      </w:r>
    </w:p>
    <w:p w14:paraId="0A556396">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三、</w:t>
      </w:r>
      <w:r>
        <w:rPr>
          <w:rFonts w:hint="eastAsia" w:ascii="方正黑体_GBK" w:hAnsi="方正黑体_GBK" w:eastAsia="方正黑体_GBK" w:cs="方正黑体_GBK"/>
          <w:sz w:val="32"/>
          <w:szCs w:val="32"/>
          <w:lang w:val="zh-CN" w:eastAsia="zh-CN"/>
        </w:rPr>
        <w:t>绩效分析</w:t>
      </w:r>
      <w:r>
        <w:rPr>
          <w:rFonts w:hint="eastAsia" w:ascii="方正黑体_GBK" w:hAnsi="方正黑体_GBK" w:eastAsia="方正黑体_GBK" w:cs="方正黑体_GBK"/>
          <w:sz w:val="32"/>
          <w:szCs w:val="32"/>
          <w:lang w:val="zh-CN"/>
        </w:rPr>
        <w:tab/>
      </w:r>
    </w:p>
    <w:p w14:paraId="4B9F5FB4">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zh-CN"/>
        </w:rPr>
        <w:t>（一）</w:t>
      </w:r>
      <w:r>
        <w:rPr>
          <w:rFonts w:hint="eastAsia" w:ascii="仿宋_GB2312" w:hAnsi="Times New Roman" w:eastAsia="仿宋_GB2312" w:cs="Times New Roman"/>
          <w:b/>
          <w:bCs/>
          <w:sz w:val="32"/>
          <w:szCs w:val="32"/>
          <w:lang w:val="en-US" w:eastAsia="zh-CN"/>
        </w:rPr>
        <w:t>通用指标</w:t>
      </w:r>
      <w:r>
        <w:rPr>
          <w:rFonts w:hint="default" w:ascii="仿宋_GB2312" w:hAnsi="Times New Roman" w:eastAsia="仿宋_GB2312" w:cs="Times New Roman"/>
          <w:b/>
          <w:bCs/>
          <w:sz w:val="32"/>
          <w:szCs w:val="32"/>
          <w:lang w:val="zh-CN"/>
        </w:rPr>
        <w:t>绩效分析。</w:t>
      </w:r>
    </w:p>
    <w:p w14:paraId="06434E83">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en-US" w:eastAsia="zh-CN"/>
        </w:rPr>
        <w:t>本项目由红原县查尔玛乡人民政府负责具体实施，县发改局负责项目监管，县财政局负责监管项目资金。</w:t>
      </w:r>
    </w:p>
    <w:p w14:paraId="15E04C59">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24199E5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zh-CN" w:eastAsia="zh-CN"/>
        </w:rPr>
        <w:t>项目申报内容与具体实施内容相符、申报目标合理可行。</w:t>
      </w:r>
    </w:p>
    <w:p w14:paraId="02D08F3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en-US" w:eastAsia="zh-CN"/>
        </w:rPr>
        <w:t>该项目于2023年10月30日全面完工。项目</w:t>
      </w:r>
      <w:r>
        <w:rPr>
          <w:rFonts w:hint="eastAsia" w:ascii="仿宋_GB2312" w:hAnsi="Times New Roman" w:eastAsia="仿宋_GB2312" w:cs="Times New Roman"/>
          <w:sz w:val="32"/>
          <w:szCs w:val="32"/>
          <w:lang w:val="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1AE9BED0">
      <w:pPr>
        <w:pageBreakBefore w:val="0"/>
        <w:kinsoku/>
        <w:wordWrap/>
        <w:topLinePunct w:val="0"/>
        <w:bidi w:val="0"/>
        <w:spacing w:line="576" w:lineRule="exact"/>
        <w:ind w:firstLine="643" w:firstLineChars="200"/>
        <w:rPr>
          <w:rFonts w:hint="eastAsia" w:ascii="仿宋_GB2312" w:hAnsi="Times New Roman" w:eastAsia="仿宋_GB2312" w:cs="Times New Roman"/>
          <w:b/>
          <w:bCs/>
          <w:sz w:val="32"/>
          <w:szCs w:val="32"/>
          <w:lang w:val="zh-CN" w:eastAsia="zh-CN"/>
        </w:rPr>
      </w:pPr>
      <w:r>
        <w:rPr>
          <w:rFonts w:hint="eastAsia" w:ascii="仿宋_GB2312" w:hAnsi="Times New Roman" w:eastAsia="仿宋_GB2312" w:cs="Times New Roman"/>
          <w:b/>
          <w:bCs/>
          <w:sz w:val="32"/>
          <w:szCs w:val="32"/>
          <w:lang w:val="zh-CN"/>
        </w:rPr>
        <w:t>（二）</w:t>
      </w:r>
      <w:r>
        <w:rPr>
          <w:rFonts w:hint="eastAsia" w:ascii="仿宋_GB2312" w:hAnsi="Times New Roman" w:eastAsia="仿宋_GB2312" w:cs="Times New Roman"/>
          <w:b/>
          <w:bCs/>
          <w:sz w:val="32"/>
          <w:szCs w:val="32"/>
          <w:lang w:val="en-US" w:eastAsia="zh-CN"/>
        </w:rPr>
        <w:t>专用指标</w:t>
      </w:r>
      <w:r>
        <w:rPr>
          <w:rFonts w:hint="default" w:ascii="仿宋_GB2312" w:hAnsi="Times New Roman" w:eastAsia="仿宋_GB2312" w:cs="Times New Roman"/>
          <w:b/>
          <w:bCs/>
          <w:sz w:val="32"/>
          <w:szCs w:val="32"/>
          <w:lang w:val="zh-CN"/>
        </w:rPr>
        <w:t>绩效分析。</w:t>
      </w:r>
    </w:p>
    <w:p w14:paraId="010319B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en-US" w:eastAsia="zh-CN"/>
        </w:rPr>
        <w:t>沥青路面的表面平整度高，摩擦系数大，有效减少路面凸起和坑洼，提高行车安全性。沥青路面的铺设可以有效降低路面噪音，改变原来土路雨天泥泞、晴天尘土飞扬的现状，使人们的出行更加舒适，改善交通环境。</w:t>
      </w:r>
    </w:p>
    <w:p w14:paraId="5BC08E26">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en-US" w:eastAsia="zh-CN"/>
        </w:rPr>
        <w:t>采用透水性沥青技术的路面，具有良好的透水能力，可以缓解公路排水系统的排水压力。在雨天可实现快速排水，改善路面抗滑性能。透水沥青技术将雨水直接渗入地下，经过土层的过滤和净化，可以调节大气湿度，利于植物生长。</w:t>
      </w:r>
    </w:p>
    <w:p w14:paraId="0E66942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zh-CN"/>
        </w:rPr>
        <w:t>（三）</w:t>
      </w:r>
      <w:r>
        <w:rPr>
          <w:rFonts w:hint="eastAsia" w:ascii="仿宋_GB2312" w:hAnsi="Times New Roman" w:eastAsia="仿宋_GB2312" w:cs="Times New Roman"/>
          <w:b/>
          <w:bCs/>
          <w:sz w:val="32"/>
          <w:szCs w:val="32"/>
          <w:lang w:val="en-US" w:eastAsia="zh-CN"/>
        </w:rPr>
        <w:t>个性指标</w:t>
      </w:r>
      <w:r>
        <w:rPr>
          <w:rFonts w:hint="default" w:ascii="仿宋_GB2312" w:hAnsi="Times New Roman" w:eastAsia="仿宋_GB2312" w:cs="Times New Roman"/>
          <w:b/>
          <w:bCs/>
          <w:sz w:val="32"/>
          <w:szCs w:val="32"/>
          <w:lang w:val="zh-CN"/>
        </w:rPr>
        <w:t>绩效分析。</w:t>
      </w:r>
      <w:r>
        <w:rPr>
          <w:rFonts w:hint="eastAsia" w:ascii="仿宋_GB2312" w:hAnsi="Times New Roman" w:eastAsia="仿宋_GB2312" w:cs="Times New Roman"/>
          <w:sz w:val="32"/>
          <w:szCs w:val="32"/>
          <w:lang w:val="en-US" w:eastAsia="zh-CN"/>
        </w:rPr>
        <w:t>红原县2023年中央财政衔接资金以工代赈项目（查尔玛乡什布龙村），</w:t>
      </w:r>
      <w:r>
        <w:rPr>
          <w:rFonts w:hint="eastAsia" w:ascii="仿宋_GB2312" w:hAnsi="Times New Roman" w:eastAsia="仿宋_GB2312" w:cs="Times New Roman"/>
          <w:sz w:val="32"/>
          <w:szCs w:val="32"/>
          <w:lang w:val="zh-CN" w:eastAsia="zh-CN"/>
        </w:rPr>
        <w:t>实施单位</w:t>
      </w:r>
      <w:r>
        <w:rPr>
          <w:rFonts w:hint="eastAsia" w:ascii="仿宋_GB2312" w:hAnsi="Times New Roman" w:eastAsia="仿宋_GB2312" w:cs="Times New Roman"/>
          <w:sz w:val="32"/>
          <w:szCs w:val="32"/>
          <w:lang w:val="en-US" w:eastAsia="zh-CN"/>
        </w:rPr>
        <w:t>是红原县查尔玛乡人民政府，主管单位是县发改局，该项目实行报账制，主管部门</w:t>
      </w:r>
      <w:r>
        <w:rPr>
          <w:rFonts w:hint="eastAsia" w:ascii="仿宋_GB2312" w:hAnsi="Times New Roman" w:eastAsia="仿宋_GB2312" w:cs="Times New Roman"/>
          <w:sz w:val="32"/>
          <w:szCs w:val="32"/>
          <w:lang w:val="zh-CN" w:eastAsia="zh-CN"/>
        </w:rPr>
        <w:t>财务管理制度健全，</w:t>
      </w:r>
      <w:r>
        <w:rPr>
          <w:rFonts w:hint="eastAsia" w:ascii="仿宋_GB2312" w:hAnsi="Times New Roman" w:eastAsia="仿宋_GB2312" w:cs="Times New Roman"/>
          <w:sz w:val="32"/>
          <w:szCs w:val="32"/>
          <w:lang w:val="en-US" w:eastAsia="zh-CN"/>
        </w:rPr>
        <w:t>能</w:t>
      </w:r>
      <w:r>
        <w:rPr>
          <w:rFonts w:hint="eastAsia" w:ascii="仿宋_GB2312" w:hAnsi="Times New Roman" w:eastAsia="仿宋_GB2312" w:cs="Times New Roman"/>
          <w:sz w:val="32"/>
          <w:szCs w:val="32"/>
          <w:lang w:val="zh-CN" w:eastAsia="zh-CN"/>
        </w:rPr>
        <w:t>严格执行财务管理制度，账务处理及时，会计、</w:t>
      </w:r>
      <w:r>
        <w:rPr>
          <w:rFonts w:hint="eastAsia" w:ascii="仿宋_GB2312" w:hAnsi="Times New Roman" w:eastAsia="仿宋_GB2312" w:cs="Times New Roman"/>
          <w:sz w:val="32"/>
          <w:szCs w:val="32"/>
          <w:lang w:val="en-US" w:eastAsia="zh-CN"/>
        </w:rPr>
        <w:t>出纳</w:t>
      </w:r>
      <w:r>
        <w:rPr>
          <w:rFonts w:hint="eastAsia" w:ascii="仿宋_GB2312" w:hAnsi="Times New Roman" w:eastAsia="仿宋_GB2312" w:cs="Times New Roman"/>
          <w:sz w:val="32"/>
          <w:szCs w:val="32"/>
          <w:lang w:val="zh-CN" w:eastAsia="zh-CN"/>
        </w:rPr>
        <w:t>核算</w:t>
      </w:r>
      <w:r>
        <w:rPr>
          <w:rFonts w:hint="eastAsia" w:ascii="仿宋_GB2312" w:hAnsi="Times New Roman" w:eastAsia="仿宋_GB2312" w:cs="Times New Roman"/>
          <w:sz w:val="32"/>
          <w:szCs w:val="32"/>
          <w:lang w:val="en-US" w:eastAsia="zh-CN"/>
        </w:rPr>
        <w:t>较为准确规范。</w:t>
      </w:r>
    </w:p>
    <w:p w14:paraId="06144D7D">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eastAsia="zh-CN"/>
        </w:rPr>
        <w:t>四</w:t>
      </w:r>
      <w:r>
        <w:rPr>
          <w:rFonts w:hint="eastAsia" w:ascii="方正黑体_GBK" w:hAnsi="方正黑体_GBK" w:eastAsia="方正黑体_GBK" w:cs="方正黑体_GBK"/>
          <w:sz w:val="32"/>
          <w:szCs w:val="32"/>
          <w:lang w:val="zh-CN"/>
        </w:rPr>
        <w:t>、评价结论</w:t>
      </w:r>
    </w:p>
    <w:p w14:paraId="3525389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4D951153">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五、存在主要问题</w:t>
      </w:r>
    </w:p>
    <w:p w14:paraId="239C63F2">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4A1817AC">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六、改进建议</w:t>
      </w:r>
    </w:p>
    <w:p w14:paraId="3DC2158D">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4361DB3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1ACCBC2E">
      <w:pPr>
        <w:pageBreakBefore w:val="0"/>
        <w:kinsoku/>
        <w:wordWrap/>
        <w:topLinePunct w:val="0"/>
        <w:bidi w:val="0"/>
        <w:spacing w:line="576" w:lineRule="exact"/>
        <w:ind w:firstLine="1600" w:firstLineChars="5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专项预算项目绩效目标完成情况自评表</w:t>
      </w:r>
    </w:p>
    <w:p w14:paraId="208738CB">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1A7EA45B">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2334EB58">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1F4DD659">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42F112F4">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eastAsia"/>
          <w:i w:val="0"/>
          <w:iCs w:val="0"/>
          <w:sz w:val="28"/>
          <w:szCs w:val="28"/>
          <w:u w:val="none"/>
          <w:lang w:val="en-US" w:eastAsia="zh-CN"/>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087411A8">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68480"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68480;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2TOE0wAAAAcBAAAPAAAAAAAAAAEAIAAAACIAAABkcnMvZG93&#10;bnJldi54bWxQSwECFAAUAAAACACHTuJA0//F4AUCAAABBAAADgAAAAAAAAABACAAAAAiAQAAZHJz&#10;L2Uyb0RvYy54bWxQSwUGAAAAAAYABgBZAQAAmQUAAAAA&#10;">
                <v:fill on="f" focussize="0,0"/>
                <v:stroke color="#000000" joinstyle="round"/>
                <v:imagedata o:title=""/>
                <o:lock v:ext="edit" aspectratio="f"/>
              </v:line>
            </w:pict>
          </mc:Fallback>
        </mc:AlternateContent>
      </w:r>
    </w:p>
    <w:p w14:paraId="0F8D5D4D">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28" name="直接连接符 28"/>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67456;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nnpjUAAAABwEAAA8AAAAAAAAAAQAgAAAAIgAAAGRycy9k&#10;b3ducmV2LnhtbFBLAQIUABQAAAAIAIdO4kDrVcY4BgIAAAEEAAAOAAAAAAAAAAEAIAAAACMBAABk&#10;cnMvZTJvRG9jLnhtbFBLBQYAAAAABgAGAFkBAACbBQ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1E803D5B">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2B16F26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2230D949">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269C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1123" w:type="dxa"/>
            <w:noWrap w:val="0"/>
            <w:vAlign w:val="top"/>
          </w:tcPr>
          <w:p w14:paraId="05CBEF6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3F0FA65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43EB5BF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76D4E06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3CCC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jc w:val="center"/>
        </w:trPr>
        <w:tc>
          <w:tcPr>
            <w:tcW w:w="1123" w:type="dxa"/>
            <w:noWrap w:val="0"/>
            <w:vAlign w:val="top"/>
          </w:tcPr>
          <w:p w14:paraId="21B6087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01E1818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1-中央级</w:t>
            </w:r>
          </w:p>
        </w:tc>
        <w:tc>
          <w:tcPr>
            <w:tcW w:w="2861" w:type="dxa"/>
            <w:noWrap w:val="0"/>
            <w:vAlign w:val="top"/>
          </w:tcPr>
          <w:p w14:paraId="07C2E7E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6DE67F6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CD8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5A7BD24">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0D34A03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D95CDB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3969393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AD2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AD3A68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18A0C89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C997B0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4BD4E7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CC6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BAC9A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4C7746C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D1EA0F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74638B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CD8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515489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583F0F3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4F95979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9AFC34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FDD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EF0A61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35CE012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371B45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B95AEB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01A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BE7A00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2209D4A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CB29A6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8CA55E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5B6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586E9F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30D256A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48CE97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0CC704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4DC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08051E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6CCD624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4EF364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A9DEE6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611F6870">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425561C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2C823237">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61DF95B4">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8C65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5CC714C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34164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E7DBBA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F7BF32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红原县2023年查尔玛乡以工代赈项目（什布龙村）</w:t>
            </w:r>
          </w:p>
        </w:tc>
      </w:tr>
      <w:tr w14:paraId="422B9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670245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4F9E47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638A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7C4EC5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8E944C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2B35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C5774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16FEF5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75D1E0A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899AF0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阿州财农〔2023〕12号</w:t>
            </w:r>
          </w:p>
        </w:tc>
      </w:tr>
      <w:tr w14:paraId="1067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D8693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734368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ADA539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6E6A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7392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31BFBF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B4B10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410DD3B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C09D39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4BC041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4FF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49E31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57D78E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432B863">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0510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86842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8C5FB6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116F650">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62CD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E8ABB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DD55BE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0A06CDF">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66864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3D172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B169B9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FEEFDF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2BC2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01BEB2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7721175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143ACEF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567393">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390</w:t>
            </w:r>
          </w:p>
        </w:tc>
      </w:tr>
      <w:tr w14:paraId="69BB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23243E">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A63665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C13873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390</w:t>
            </w:r>
          </w:p>
        </w:tc>
      </w:tr>
      <w:tr w14:paraId="5902B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0DDC9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2ACEFC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479A276">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51AC9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D313DB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34E36F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557FA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E8FF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AAB2F0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对村内道路提升该找3.2公里，宽4米的泥青路。</w:t>
            </w:r>
          </w:p>
        </w:tc>
      </w:tr>
      <w:tr w14:paraId="53EDE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515F623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C54892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5F53D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AAC7A0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5834B3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0216B0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C4E703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3E67C6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9D4CC5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7874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526932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08316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CF9FD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684087C">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★★★改扩建沥青路</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35669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≥3.2公里</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D5F430F">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3.2公里</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338689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3C47A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7F6A1AE">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1927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65A8E1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087A7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AE80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102A2F2">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183C8A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D7E6DA1">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BF8CA5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9AE620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2AFEDA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3E804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95A46E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E204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C9BD0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DAC5BD1">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15F972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73DBFE3">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4ADABD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C26B70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07D4FB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44F9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E1BA99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8E03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right w:val="single" w:color="000000" w:sz="4" w:space="0"/>
            </w:tcBorders>
            <w:noWrap w:val="0"/>
            <w:vAlign w:val="center"/>
          </w:tcPr>
          <w:p w14:paraId="57347C6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w:t>
            </w:r>
          </w:p>
          <w:p w14:paraId="5981C3E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2D67076">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★★★解决生产生活基础设施条件人数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716615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≥2267人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3B559E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2267人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3A982E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96C800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F755A9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0917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D1D600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206FBE7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124D398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596E74D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36D1A9D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2C9FF0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DF8343D">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C6B0136">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0D25CC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288933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8FDE1D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7D3BAF7A">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2D0B8D2A">
      <w:pPr>
        <w:pageBreakBefore w:val="0"/>
        <w:kinsoku/>
        <w:wordWrap/>
        <w:topLinePunct w:val="0"/>
        <w:bidi w:val="0"/>
        <w:spacing w:line="576" w:lineRule="exact"/>
        <w:rPr>
          <w:rFonts w:hint="default" w:ascii="黑体" w:hAnsi="黑体" w:eastAsia="黑体" w:cs="黑体"/>
          <w:sz w:val="24"/>
          <w:szCs w:val="24"/>
          <w:highlight w:val="none"/>
          <w:lang w:val="en-US" w:eastAsia="zh-CN"/>
        </w:rPr>
      </w:pPr>
    </w:p>
    <w:p w14:paraId="6CE3EC58">
      <w:pPr>
        <w:pStyle w:val="20"/>
        <w:pageBreakBefore w:val="0"/>
        <w:kinsoku/>
        <w:wordWrap/>
        <w:topLinePunct w:val="0"/>
        <w:bidi w:val="0"/>
        <w:spacing w:line="576" w:lineRule="exact"/>
        <w:rPr>
          <w:rFonts w:hint="default" w:ascii="黑体" w:hAnsi="黑体" w:eastAsia="黑体" w:cs="黑体"/>
          <w:sz w:val="24"/>
          <w:szCs w:val="24"/>
          <w:highlight w:val="none"/>
          <w:lang w:val="en-US" w:eastAsia="zh-CN"/>
        </w:rPr>
      </w:pPr>
    </w:p>
    <w:p w14:paraId="620E371B">
      <w:pPr>
        <w:rPr>
          <w:rFonts w:hint="default" w:ascii="黑体" w:hAnsi="黑体" w:eastAsia="黑体" w:cs="黑体"/>
          <w:sz w:val="24"/>
          <w:szCs w:val="24"/>
          <w:highlight w:val="none"/>
          <w:lang w:val="en-US" w:eastAsia="zh-CN"/>
        </w:rPr>
      </w:pPr>
    </w:p>
    <w:p w14:paraId="35FD6401">
      <w:pPr>
        <w:pStyle w:val="2"/>
        <w:rPr>
          <w:rFonts w:hint="default" w:ascii="黑体" w:hAnsi="黑体" w:eastAsia="黑体" w:cs="黑体"/>
          <w:sz w:val="24"/>
          <w:szCs w:val="24"/>
          <w:highlight w:val="none"/>
          <w:lang w:val="en-US" w:eastAsia="zh-CN"/>
        </w:rPr>
      </w:pPr>
    </w:p>
    <w:p w14:paraId="1E27E429">
      <w:pPr>
        <w:pStyle w:val="2"/>
        <w:rPr>
          <w:rFonts w:hint="default" w:ascii="黑体" w:hAnsi="黑体" w:eastAsia="黑体" w:cs="黑体"/>
          <w:sz w:val="24"/>
          <w:szCs w:val="24"/>
          <w:highlight w:val="none"/>
          <w:lang w:val="en-US" w:eastAsia="zh-CN"/>
        </w:rPr>
      </w:pPr>
    </w:p>
    <w:p w14:paraId="6BA17447">
      <w:pPr>
        <w:pStyle w:val="2"/>
        <w:rPr>
          <w:rFonts w:hint="default" w:ascii="黑体" w:hAnsi="黑体" w:eastAsia="黑体" w:cs="黑体"/>
          <w:sz w:val="24"/>
          <w:szCs w:val="24"/>
          <w:highlight w:val="none"/>
          <w:lang w:val="en-US" w:eastAsia="zh-CN"/>
        </w:rPr>
      </w:pPr>
    </w:p>
    <w:p w14:paraId="476C66C4">
      <w:pPr>
        <w:pStyle w:val="2"/>
        <w:rPr>
          <w:rFonts w:hint="default" w:ascii="黑体" w:hAnsi="黑体" w:eastAsia="黑体" w:cs="黑体"/>
          <w:sz w:val="24"/>
          <w:szCs w:val="24"/>
          <w:highlight w:val="none"/>
          <w:lang w:val="en-US" w:eastAsia="zh-CN"/>
        </w:rPr>
      </w:pPr>
    </w:p>
    <w:p w14:paraId="04378607">
      <w:pPr>
        <w:pStyle w:val="2"/>
        <w:rPr>
          <w:rFonts w:hint="default" w:ascii="黑体" w:hAnsi="黑体" w:eastAsia="黑体" w:cs="黑体"/>
          <w:sz w:val="24"/>
          <w:szCs w:val="24"/>
          <w:highlight w:val="none"/>
          <w:lang w:val="en-US" w:eastAsia="zh-CN"/>
        </w:rPr>
      </w:pPr>
    </w:p>
    <w:p w14:paraId="653826B3">
      <w:pPr>
        <w:pStyle w:val="2"/>
        <w:rPr>
          <w:rFonts w:hint="default" w:ascii="黑体" w:hAnsi="黑体" w:eastAsia="黑体" w:cs="黑体"/>
          <w:sz w:val="24"/>
          <w:szCs w:val="24"/>
          <w:highlight w:val="none"/>
          <w:lang w:val="en-US" w:eastAsia="zh-CN"/>
        </w:rPr>
      </w:pPr>
    </w:p>
    <w:p w14:paraId="5106DADC">
      <w:pPr>
        <w:pStyle w:val="2"/>
        <w:rPr>
          <w:rFonts w:hint="default" w:ascii="黑体" w:hAnsi="黑体" w:eastAsia="黑体" w:cs="黑体"/>
          <w:sz w:val="24"/>
          <w:szCs w:val="24"/>
          <w:highlight w:val="none"/>
          <w:lang w:val="en-US" w:eastAsia="zh-CN"/>
        </w:rPr>
      </w:pPr>
    </w:p>
    <w:p w14:paraId="2C189F1C">
      <w:pPr>
        <w:pStyle w:val="2"/>
        <w:rPr>
          <w:rFonts w:hint="default" w:ascii="黑体" w:hAnsi="黑体" w:eastAsia="黑体" w:cs="黑体"/>
          <w:sz w:val="24"/>
          <w:szCs w:val="24"/>
          <w:highlight w:val="none"/>
          <w:lang w:val="en-US" w:eastAsia="zh-CN"/>
        </w:rPr>
      </w:pPr>
    </w:p>
    <w:p w14:paraId="36C056CC">
      <w:pPr>
        <w:pStyle w:val="2"/>
        <w:rPr>
          <w:rFonts w:hint="default" w:ascii="黑体" w:hAnsi="黑体" w:eastAsia="黑体" w:cs="黑体"/>
          <w:sz w:val="24"/>
          <w:szCs w:val="24"/>
          <w:highlight w:val="none"/>
          <w:lang w:val="en-US" w:eastAsia="zh-CN"/>
        </w:rPr>
      </w:pPr>
    </w:p>
    <w:p w14:paraId="3AB26B78">
      <w:pPr>
        <w:pStyle w:val="2"/>
        <w:rPr>
          <w:rFonts w:hint="default" w:ascii="黑体" w:hAnsi="黑体" w:eastAsia="黑体" w:cs="黑体"/>
          <w:sz w:val="24"/>
          <w:szCs w:val="24"/>
          <w:highlight w:val="none"/>
          <w:lang w:val="en-US" w:eastAsia="zh-CN"/>
        </w:rPr>
      </w:pPr>
    </w:p>
    <w:p w14:paraId="3E54D9CA">
      <w:pPr>
        <w:pStyle w:val="2"/>
        <w:rPr>
          <w:rFonts w:hint="default" w:ascii="黑体" w:hAnsi="黑体" w:eastAsia="黑体" w:cs="黑体"/>
          <w:sz w:val="24"/>
          <w:szCs w:val="24"/>
          <w:highlight w:val="none"/>
          <w:lang w:val="en-US" w:eastAsia="zh-CN"/>
        </w:rPr>
      </w:pPr>
    </w:p>
    <w:p w14:paraId="4A8CC3F5">
      <w:pPr>
        <w:pStyle w:val="2"/>
        <w:rPr>
          <w:rFonts w:hint="default" w:ascii="黑体" w:hAnsi="黑体" w:eastAsia="黑体" w:cs="黑体"/>
          <w:sz w:val="24"/>
          <w:szCs w:val="24"/>
          <w:highlight w:val="none"/>
          <w:lang w:val="en-US" w:eastAsia="zh-CN"/>
        </w:rPr>
      </w:pPr>
    </w:p>
    <w:p w14:paraId="33601C68">
      <w:pPr>
        <w:pStyle w:val="2"/>
        <w:rPr>
          <w:rFonts w:hint="default" w:ascii="黑体" w:hAnsi="黑体" w:eastAsia="黑体" w:cs="黑体"/>
          <w:sz w:val="24"/>
          <w:szCs w:val="24"/>
          <w:highlight w:val="none"/>
          <w:lang w:val="en-US" w:eastAsia="zh-CN"/>
        </w:rPr>
      </w:pPr>
    </w:p>
    <w:p w14:paraId="42CC4B8C">
      <w:pPr>
        <w:pStyle w:val="2"/>
        <w:rPr>
          <w:rFonts w:hint="default" w:ascii="黑体" w:hAnsi="黑体" w:eastAsia="黑体" w:cs="黑体"/>
          <w:sz w:val="24"/>
          <w:szCs w:val="24"/>
          <w:highlight w:val="none"/>
          <w:lang w:val="en-US" w:eastAsia="zh-CN"/>
        </w:rPr>
      </w:pPr>
    </w:p>
    <w:p w14:paraId="0FDC2E21">
      <w:pPr>
        <w:pStyle w:val="2"/>
        <w:rPr>
          <w:rFonts w:hint="default" w:ascii="黑体" w:hAnsi="黑体" w:eastAsia="黑体" w:cs="黑体"/>
          <w:sz w:val="24"/>
          <w:szCs w:val="24"/>
          <w:highlight w:val="none"/>
          <w:lang w:val="en-US" w:eastAsia="zh-CN"/>
        </w:rPr>
      </w:pPr>
    </w:p>
    <w:p w14:paraId="213A057B">
      <w:pPr>
        <w:pStyle w:val="2"/>
        <w:rPr>
          <w:rFonts w:hint="default" w:ascii="黑体" w:hAnsi="黑体" w:eastAsia="黑体" w:cs="黑体"/>
          <w:sz w:val="24"/>
          <w:szCs w:val="24"/>
          <w:highlight w:val="none"/>
          <w:lang w:val="en-US" w:eastAsia="zh-CN"/>
        </w:rPr>
      </w:pPr>
    </w:p>
    <w:p w14:paraId="43790D8F">
      <w:pPr>
        <w:pageBreakBefore w:val="0"/>
        <w:kinsoku/>
        <w:wordWrap/>
        <w:topLinePunct w:val="0"/>
        <w:bidi w:val="0"/>
        <w:spacing w:line="576" w:lineRule="exact"/>
        <w:rPr>
          <w:rFonts w:hint="default"/>
          <w:lang w:val="en-US" w:eastAsia="zh-CN"/>
        </w:rPr>
      </w:pPr>
    </w:p>
    <w:p w14:paraId="615914AC">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59CAE51F">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关于红原县查尔玛乡畜牧业生产基础设施修复项目的绩效评价报告</w:t>
      </w:r>
    </w:p>
    <w:p w14:paraId="0140EC85">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p>
    <w:p w14:paraId="5708BA4C">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一、项目概况</w:t>
      </w:r>
    </w:p>
    <w:p w14:paraId="4A1750E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eastAsia="zh-CN"/>
        </w:rPr>
        <w:t>红原县查尔玛乡畜牧业生产基础设施修复</w:t>
      </w:r>
      <w:r>
        <w:rPr>
          <w:rFonts w:hint="eastAsia" w:ascii="仿宋_GB2312" w:hAnsi="仿宋_GB2312" w:eastAsia="仿宋_GB2312" w:cs="仿宋_GB2312"/>
          <w:sz w:val="32"/>
          <w:szCs w:val="32"/>
        </w:rPr>
        <w:t>项目</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color w:val="auto"/>
          <w:kern w:val="2"/>
          <w:sz w:val="32"/>
          <w:szCs w:val="32"/>
          <w:lang w:val="en-US" w:eastAsia="zh-CN" w:bidi="ar"/>
        </w:rPr>
        <w:t>项目下达资金771元，</w:t>
      </w:r>
      <w:r>
        <w:rPr>
          <w:rFonts w:hint="eastAsia" w:ascii="仿宋_GB2312" w:hAnsi="仿宋_GB2312" w:eastAsia="仿宋_GB2312" w:cs="仿宋_GB2312"/>
          <w:kern w:val="2"/>
          <w:sz w:val="32"/>
          <w:szCs w:val="32"/>
          <w:lang w:val="en-US" w:eastAsia="zh-CN" w:bidi="ar"/>
        </w:rPr>
        <w:t>资金来源文号为：阿州财农〔2023〕12号中央财政衔接推进乡村振兴补助资金，资金来源属于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资金314万元及灾后重建资金457万元，</w:t>
      </w:r>
      <w:r>
        <w:rPr>
          <w:rFonts w:hint="eastAsia" w:ascii="仿宋_GB2312" w:hAnsi="仿宋_GB2312" w:eastAsia="仿宋_GB2312" w:cs="仿宋_GB2312"/>
          <w:sz w:val="32"/>
          <w:szCs w:val="32"/>
          <w:lang w:val="zh-CN"/>
        </w:rPr>
        <w:t>符合资金管理办法等相关规定。</w:t>
      </w:r>
    </w:p>
    <w:p w14:paraId="74EAA24F">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sz w:val="32"/>
          <w:szCs w:val="32"/>
          <w:lang w:val="zh-CN"/>
        </w:rPr>
        <w:t>1.牧道维修242公里，每公里1万元；2.堡坎10公里，每公里20万元；3.涵管更换9个，每个1万；4.板涵桥加固维修32座，每座10万元</w:t>
      </w:r>
      <w:r>
        <w:rPr>
          <w:rFonts w:hint="eastAsia" w:ascii="仿宋_GB2312" w:hAnsi="仿宋_GB2312" w:cs="仿宋_GB2312"/>
          <w:sz w:val="32"/>
          <w:szCs w:val="32"/>
          <w:lang w:val="zh-CN"/>
        </w:rPr>
        <w:t>。</w:t>
      </w:r>
    </w:p>
    <w:p w14:paraId="243B2BA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kern w:val="2"/>
          <w:sz w:val="32"/>
          <w:szCs w:val="32"/>
          <w:lang w:val="en-US" w:eastAsia="zh-CN" w:bidi="ar"/>
        </w:rPr>
        <w:t>该项目总投资771万元，资金来源属于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资金314万元及灾后重建资金457万元，且资金于2023年5月下达，资金到位率100%。</w:t>
      </w:r>
    </w:p>
    <w:p w14:paraId="51590318">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default" w:ascii="仿宋_GB2312" w:hAnsi="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lang w:val="zh-CN"/>
        </w:rPr>
        <w:t>1.牧道维修242公里，每公里1万元；2.堡坎10公里，每公里20万元；3.涵管更换9个，每个1万；4.板涵桥加固维修32座，每座10万元。</w:t>
      </w:r>
      <w:r>
        <w:rPr>
          <w:rFonts w:hint="eastAsia" w:ascii="仿宋_GB2312" w:hAnsi="仿宋_GB2312" w:eastAsia="仿宋_GB2312" w:cs="仿宋_GB2312"/>
          <w:kern w:val="2"/>
          <w:sz w:val="32"/>
          <w:szCs w:val="32"/>
          <w:lang w:val="en-US" w:eastAsia="zh-CN" w:bidi="ar"/>
        </w:rPr>
        <w:t>该项目于2023年10月30日全面完工。</w:t>
      </w:r>
    </w:p>
    <w:p w14:paraId="1972EE6A">
      <w:pPr>
        <w:keepNext w:val="0"/>
        <w:keepLines w:val="0"/>
        <w:pageBreakBefore w:val="0"/>
        <w:widowControl w:val="0"/>
        <w:kinsoku/>
        <w:wordWrap/>
        <w:overflowPunct/>
        <w:topLinePunct w:val="0"/>
        <w:autoSpaceDE/>
        <w:autoSpaceDN/>
        <w:bidi w:val="0"/>
        <w:adjustRightInd w:val="0"/>
        <w:snapToGrid w:val="0"/>
        <w:spacing w:line="576" w:lineRule="exact"/>
        <w:ind w:firstLine="420" w:firstLineChars="200"/>
        <w:textAlignment w:val="auto"/>
        <w:outlineLvl w:val="9"/>
        <w:rPr>
          <w:rFonts w:hint="eastAsia" w:ascii="黑体" w:hAnsi="宋体" w:eastAsia="黑体"/>
          <w:highlight w:val="none"/>
          <w:lang w:eastAsia="zh-CN"/>
        </w:rPr>
      </w:pPr>
      <w:r>
        <w:rPr>
          <w:rFonts w:hint="eastAsia" w:ascii="黑体" w:hAnsi="宋体" w:eastAsia="黑体"/>
          <w:highlight w:val="none"/>
        </w:rPr>
        <w:t>二、</w:t>
      </w:r>
      <w:r>
        <w:rPr>
          <w:rFonts w:hint="eastAsia" w:ascii="黑体" w:hAnsi="宋体" w:eastAsia="黑体"/>
          <w:highlight w:val="none"/>
          <w:lang w:eastAsia="zh-CN"/>
        </w:rPr>
        <w:t>评价实施</w:t>
      </w:r>
    </w:p>
    <w:p w14:paraId="1C669236">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eastAsia="仿宋_GB2312" w:cs="Times New Roman"/>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sz w:val="32"/>
          <w:szCs w:val="32"/>
          <w:lang w:val="zh-CN"/>
        </w:rPr>
        <w:t>1.牧道维修242公里，每公里1万元；2.堡坎10公里，每公里20万元；3.涵管更换9个，每个1万；4.板涵桥加固维修32座，每座10万元。</w:t>
      </w:r>
    </w:p>
    <w:p w14:paraId="6AC0EFD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kern w:val="2"/>
          <w:sz w:val="32"/>
          <w:szCs w:val="32"/>
          <w:lang w:val="en-US" w:eastAsia="zh-CN" w:bidi="ar"/>
        </w:rPr>
        <w:t>该项目资金严格按照相关规程进行拨付，该项目合同价为724.78万元，截止目前，该项目已支付至合同</w:t>
      </w:r>
      <w:r>
        <w:rPr>
          <w:rFonts w:hint="eastAsia" w:ascii="仿宋_GB2312" w:hAnsi="Times New Roman" w:eastAsia="仿宋_GB2312" w:cs="Times New Roman"/>
          <w:sz w:val="32"/>
          <w:szCs w:val="32"/>
          <w:lang w:val="en-US" w:eastAsia="zh-CN"/>
        </w:rPr>
        <w:t>价的92%，共计710.3万元。</w:t>
      </w:r>
      <w:r>
        <w:rPr>
          <w:rFonts w:hint="eastAsia" w:ascii="仿宋_GB2312" w:hAnsi="Times New Roman" w:eastAsia="仿宋_GB2312" w:cs="Times New Roman"/>
          <w:sz w:val="32"/>
          <w:szCs w:val="32"/>
          <w:lang w:val="zh-CN"/>
        </w:rPr>
        <w:t>支付依据合规合法，资金支付与预算相符。</w:t>
      </w:r>
    </w:p>
    <w:p w14:paraId="1D8963E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rPr>
        <w:t>（三）评价选点。</w:t>
      </w:r>
      <w:r>
        <w:rPr>
          <w:rFonts w:hint="eastAsia" w:ascii="仿宋_GB2312" w:hAnsi="Times New Roman" w:eastAsia="仿宋_GB2312" w:cs="Times New Roman"/>
          <w:sz w:val="32"/>
          <w:szCs w:val="32"/>
          <w:lang w:val="zh-CN" w:eastAsia="zh-CN"/>
        </w:rPr>
        <w:t>项目绩效自评所抽样点位合格。</w:t>
      </w:r>
    </w:p>
    <w:p w14:paraId="18BE609B">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rPr>
        <w:t>（四）评价方法。</w:t>
      </w:r>
      <w:r>
        <w:rPr>
          <w:rFonts w:hint="eastAsia" w:ascii="仿宋_GB2312" w:hAnsi="Times New Roman" w:eastAsia="仿宋_GB2312" w:cs="Times New Roman"/>
          <w:sz w:val="32"/>
          <w:szCs w:val="32"/>
          <w:lang w:val="zh-CN"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lang w:val="zh-CN"/>
        </w:rPr>
        <w:t>实地勘察法</w:t>
      </w:r>
      <w:r>
        <w:rPr>
          <w:rFonts w:hint="eastAsia" w:ascii="仿宋_GB2312" w:hAnsi="Times New Roman" w:eastAsia="仿宋_GB2312" w:cs="Times New Roman"/>
          <w:sz w:val="32"/>
          <w:szCs w:val="32"/>
          <w:lang w:val="zh-CN" w:eastAsia="zh-CN"/>
        </w:rPr>
        <w:t>。</w:t>
      </w:r>
    </w:p>
    <w:p w14:paraId="78838687">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rPr>
        <w:t>（五）评价组织。</w:t>
      </w:r>
      <w:r>
        <w:rPr>
          <w:rFonts w:hint="eastAsia" w:ascii="仿宋_GB2312" w:hAnsi="Times New Roman" w:eastAsia="仿宋_GB2312" w:cs="Times New Roman"/>
          <w:sz w:val="32"/>
          <w:szCs w:val="32"/>
          <w:lang w:val="zh-CN" w:eastAsia="zh-CN"/>
        </w:rPr>
        <w:t>由查尔玛乡人民政府分工一名副科级牵头，两名经办开展监督验收工作。</w:t>
      </w:r>
    </w:p>
    <w:p w14:paraId="4CB560A3">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三、</w:t>
      </w:r>
      <w:r>
        <w:rPr>
          <w:rFonts w:hint="eastAsia" w:ascii="方正黑体_GBK" w:hAnsi="方正黑体_GBK" w:eastAsia="方正黑体_GBK" w:cs="方正黑体_GBK"/>
          <w:sz w:val="32"/>
          <w:szCs w:val="32"/>
          <w:lang w:val="zh-CN" w:eastAsia="zh-CN"/>
        </w:rPr>
        <w:t>绩效分析</w:t>
      </w:r>
      <w:r>
        <w:rPr>
          <w:rFonts w:hint="eastAsia" w:ascii="方正黑体_GBK" w:hAnsi="方正黑体_GBK" w:eastAsia="方正黑体_GBK" w:cs="方正黑体_GBK"/>
          <w:sz w:val="32"/>
          <w:szCs w:val="32"/>
          <w:lang w:val="zh-CN"/>
        </w:rPr>
        <w:tab/>
      </w:r>
    </w:p>
    <w:p w14:paraId="7DC5A968">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楷体_GB2312" w:hAnsi="宋体" w:eastAsia="楷体_GB2312" w:cs="Times New Roman"/>
          <w:b/>
          <w:color w:val="auto"/>
          <w:sz w:val="32"/>
          <w:szCs w:val="32"/>
          <w:highlight w:val="none"/>
          <w:u w:val="none"/>
          <w:lang w:val="zh-CN"/>
        </w:rPr>
        <w:t>绩效分析。</w:t>
      </w:r>
    </w:p>
    <w:p w14:paraId="497FD13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en-US" w:eastAsia="zh-CN"/>
        </w:rPr>
        <w:t>本项目由红原县查尔玛人民政府负责具体实施，县科农局负责项目监管，县财政局负责监管项目资金。</w:t>
      </w:r>
    </w:p>
    <w:p w14:paraId="0FF292D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45341D5F">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截止目前，该项目已支付至合同价的92%，共计710.3万元。</w:t>
      </w:r>
    </w:p>
    <w:p w14:paraId="3B6D988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en-US" w:eastAsia="zh-CN"/>
        </w:rPr>
        <w:t>该项目于2023年10月30日全面完工，完成所有修复项目，验收质量合格达标。项目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494EE904">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rPr>
        <w:t>绩效分析。</w:t>
      </w:r>
    </w:p>
    <w:p w14:paraId="568D71E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1.产业发展。</w:t>
      </w:r>
      <w:r>
        <w:rPr>
          <w:rFonts w:hint="eastAsia" w:ascii="仿宋_GB2312" w:hAnsi="Times New Roman" w:eastAsia="仿宋_GB2312" w:cs="Times New Roman"/>
          <w:sz w:val="32"/>
          <w:szCs w:val="32"/>
          <w:lang w:val="en-US" w:eastAsia="zh-CN"/>
        </w:rPr>
        <w:t>畜牧业是农村经济的重要组成部分，基础设施的修复有助于提升畜牧业的生产效率，从而增加农民的收入来源。牧民可以通过参与畜牧业生产、销售等活动，获得更稳定的收入，提高生活水平。畜牧业生产基础设施的修复将带动相关产业的发展，形成产业链效应，促进农村经济的多元化发展。通过优化产业结构，进一步提升畜牧业的经济效益，从而促进农村经济发展。</w:t>
      </w:r>
    </w:p>
    <w:p w14:paraId="0D3C6A4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b w:val="0"/>
          <w:bCs w:val="0"/>
          <w:sz w:val="32"/>
          <w:szCs w:val="32"/>
          <w:lang w:val="zh-CN" w:eastAsia="zh-CN"/>
        </w:rPr>
        <w:t>畜牧</w:t>
      </w:r>
      <w:r>
        <w:rPr>
          <w:rFonts w:hint="eastAsia" w:ascii="仿宋_GB2312" w:hAnsi="Times New Roman" w:eastAsia="仿宋_GB2312" w:cs="Times New Roman"/>
          <w:sz w:val="32"/>
          <w:szCs w:val="32"/>
          <w:lang w:val="zh-CN" w:eastAsia="zh-CN"/>
        </w:rPr>
        <w:t>业生产基础设施</w:t>
      </w:r>
      <w:r>
        <w:rPr>
          <w:rFonts w:hint="eastAsia" w:ascii="仿宋_GB2312" w:hAnsi="Times New Roman" w:eastAsia="仿宋_GB2312" w:cs="Times New Roman"/>
          <w:sz w:val="32"/>
          <w:szCs w:val="32"/>
          <w:lang w:val="en-US" w:eastAsia="zh-CN"/>
        </w:rPr>
        <w:t>的修复将改善畜牧业生产条件，提高生产效率，降低生产成本，增加畜牧业产品的产量和质量。通过改善畜牧业生产基础设施，提高产品质量和安全标准，增强产品的市场竞争力。促进畜牧业产业升级，基础设施的修复将推动畜牧业向规模化、集约化、标准化方向发展，促进产业升级和转型，增强畜牧业产业的竞争力，将提高畜牧业的生产效率和产品质量。</w:t>
      </w:r>
    </w:p>
    <w:p w14:paraId="31AFCEB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en-US" w:eastAsia="zh-CN"/>
        </w:rPr>
        <w:t>修复畜牧业生产基础设施，如养殖场废弃物处理设施，有助于减少环境污染，保护农村生态环境。推广生态养殖模式，合理利用资源，降低畜牧业对环境的影响，促进生态可持续发展，实现畜牧生产和草原保护建设共同发展。</w:t>
      </w:r>
    </w:p>
    <w:p w14:paraId="7E6DF18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rPr>
        <w:t>绩效分析。</w:t>
      </w:r>
      <w:r>
        <w:rPr>
          <w:rFonts w:hint="eastAsia" w:ascii="仿宋_GB2312" w:hAnsi="Times New Roman" w:eastAsia="仿宋_GB2312" w:cs="Times New Roman"/>
          <w:sz w:val="32"/>
          <w:szCs w:val="32"/>
          <w:lang w:val="en-US" w:eastAsia="zh-CN"/>
        </w:rPr>
        <w:t>该项目于2023年10月30日全面完工，完成所有修复项目，验收质量合格达标。项目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4F7E86CA">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eastAsia="zh-CN"/>
        </w:rPr>
        <w:t>四</w:t>
      </w:r>
      <w:r>
        <w:rPr>
          <w:rFonts w:hint="eastAsia" w:ascii="方正黑体_GBK" w:hAnsi="方正黑体_GBK" w:eastAsia="方正黑体_GBK" w:cs="方正黑体_GBK"/>
          <w:sz w:val="32"/>
          <w:szCs w:val="32"/>
          <w:lang w:val="zh-CN"/>
        </w:rPr>
        <w:t>、评价结论</w:t>
      </w:r>
    </w:p>
    <w:p w14:paraId="3E995F51">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551E213E">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五、存在主要问题</w:t>
      </w:r>
    </w:p>
    <w:p w14:paraId="2C78404A">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5AD3B020">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六、改进建议</w:t>
      </w:r>
    </w:p>
    <w:p w14:paraId="2E91B084">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0AFC2387">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5BC8118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4D3E8AB7">
      <w:pPr>
        <w:pageBreakBefore w:val="0"/>
        <w:kinsoku/>
        <w:wordWrap/>
        <w:topLinePunct w:val="0"/>
        <w:bidi w:val="0"/>
        <w:spacing w:line="576" w:lineRule="exact"/>
        <w:ind w:firstLine="1600" w:firstLineChars="5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2.专项预算项目绩效目标完成情况自评表</w:t>
      </w:r>
    </w:p>
    <w:p w14:paraId="196514B4">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p>
    <w:p w14:paraId="5A2711B8">
      <w:pPr>
        <w:pageBreakBefore w:val="0"/>
        <w:kinsoku/>
        <w:wordWrap/>
        <w:topLinePunct w:val="0"/>
        <w:bidi w:val="0"/>
        <w:spacing w:line="576" w:lineRule="exact"/>
        <w:ind w:firstLine="640" w:firstLineChars="200"/>
        <w:rPr>
          <w:rFonts w:hint="default" w:ascii="仿宋_GB2312" w:hAnsi="Times New Roman" w:eastAsia="仿宋_GB2312" w:cs="Times New Roman"/>
          <w:sz w:val="32"/>
          <w:szCs w:val="32"/>
          <w:lang w:val="en-US" w:eastAsia="zh-CN"/>
        </w:rPr>
      </w:pPr>
    </w:p>
    <w:p w14:paraId="26069C88">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33446FED">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48026091">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5AA9129A">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1EC0112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285E2F6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964544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689F7739">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4680A512">
      <w:pPr>
        <w:pageBreakBefore w:val="0"/>
        <w:kinsoku/>
        <w:wordWrap/>
        <w:topLinePunct w:val="0"/>
        <w:bidi w:val="0"/>
        <w:spacing w:line="576" w:lineRule="exact"/>
        <w:ind w:firstLine="560" w:firstLineChars="200"/>
        <w:rPr>
          <w:rFonts w:hint="eastAsia"/>
          <w:i w:val="0"/>
          <w:iCs w:val="0"/>
          <w:sz w:val="28"/>
          <w:szCs w:val="28"/>
          <w:u w:val="none"/>
          <w:lang w:val="en-US" w:eastAsia="zh-CN"/>
        </w:rPr>
      </w:pPr>
    </w:p>
    <w:p w14:paraId="6B986B4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47EED46">
      <w:pPr>
        <w:rPr>
          <w:rFonts w:hint="eastAsia"/>
          <w:i w:val="0"/>
          <w:iCs w:val="0"/>
          <w:sz w:val="28"/>
          <w:szCs w:val="28"/>
          <w:u w:val="none"/>
          <w:lang w:val="en-US" w:eastAsia="zh-CN"/>
        </w:rPr>
      </w:pPr>
    </w:p>
    <w:p w14:paraId="6E53AF8A">
      <w:pPr>
        <w:pStyle w:val="2"/>
        <w:rPr>
          <w:rFonts w:hint="eastAsia"/>
          <w:i w:val="0"/>
          <w:iCs w:val="0"/>
          <w:sz w:val="28"/>
          <w:szCs w:val="28"/>
          <w:u w:val="none"/>
          <w:lang w:val="en-US" w:eastAsia="zh-CN"/>
        </w:rPr>
      </w:pPr>
    </w:p>
    <w:p w14:paraId="5F6DD6BD">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70528"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23" name="直接连接符 23"/>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70528;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dkzhNMAAAAHAQAADwAAAAAAAAABACAAAAAiAAAAZHJzL2Rv&#10;d25yZXYueG1sUEsBAhQAFAAAAAgAh07iQJADh1cGAgAAAQQAAA4AAAAAAAAAAQAgAAAAIgEAAGRy&#10;cy9lMm9Eb2MueG1sUEsFBgAAAAAGAAYAWQEAAJoFAAAAAA==&#10;">
                <v:fill on="f" focussize="0,0"/>
                <v:stroke color="#000000" joinstyle="round"/>
                <v:imagedata o:title=""/>
                <o:lock v:ext="edit" aspectratio="f"/>
              </v:line>
            </w:pict>
          </mc:Fallback>
        </mc:AlternateContent>
      </w:r>
    </w:p>
    <w:p w14:paraId="3A70F64E">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69504"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21" name="直接连接符 21"/>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69504;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nnpjUAAAABwEAAA8AAAAAAAAAAQAgAAAAIgAAAGRycy9k&#10;b3ducmV2LnhtbFBLAQIUABQAAAAIAIdO4kBuqmmMBgIAAAEEAAAOAAAAAAAAAAEAIAAAACMBAABk&#10;cnMvZTJvRG9jLnhtbFBLBQYAAAAABgAGAFkBAACbBQ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7992AA8D">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0EB2F53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15C19656">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CA6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123" w:type="dxa"/>
            <w:noWrap w:val="0"/>
            <w:vAlign w:val="top"/>
          </w:tcPr>
          <w:p w14:paraId="536086CF">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795D861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64DB9C9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0763942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6F9A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123" w:type="dxa"/>
            <w:noWrap w:val="0"/>
            <w:vAlign w:val="top"/>
          </w:tcPr>
          <w:p w14:paraId="1058264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301C24B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1-中央级</w:t>
            </w:r>
          </w:p>
        </w:tc>
        <w:tc>
          <w:tcPr>
            <w:tcW w:w="2861" w:type="dxa"/>
            <w:noWrap w:val="0"/>
            <w:vAlign w:val="top"/>
          </w:tcPr>
          <w:p w14:paraId="106146F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04FCE58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13A0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0A1C04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347201B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D97E1C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780F1B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0E6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708910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168CDE0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5E3763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ED31B5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921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B4E807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23FFC2A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B4564A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B1DB80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740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25C59C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7F4083D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D9D32D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D040A5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7137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27C174B">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5F580C0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407B86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130C12C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ECE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6C110A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43C5907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1863C3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15AC58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5FB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C1F4E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63C7129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F86330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210C05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25A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0D0D7E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0604351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1AE44C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67F2B8D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02625264">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6A93B8D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2111B1B2">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7DD08DB7">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08D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6589219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78BF6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6D1A65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139CF3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红原县查尔玛乡畜牧业生产基础设施修复项目</w:t>
            </w:r>
          </w:p>
        </w:tc>
      </w:tr>
      <w:tr w14:paraId="6121B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292F08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40F52E">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12DF9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2E4DF1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88053E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60BE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5DFF12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C9EB7D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69D834C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F8393F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阿州财农〔2023〕12号</w:t>
            </w:r>
          </w:p>
        </w:tc>
      </w:tr>
      <w:tr w14:paraId="34E4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BF4F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919AD6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4E0298B">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1421A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AFEF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297D1C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F0F54B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67EB533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D4B8E8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040925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55F3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85B1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E0800B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F6615B">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06390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0B2B0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0A968C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769F422">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129C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8E094">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04FCA2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1D19F86">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106D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BEA7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64B02C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CDF420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3414D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89F072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4E7F373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DF96A5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5B08914">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771</w:t>
            </w:r>
          </w:p>
        </w:tc>
      </w:tr>
      <w:tr w14:paraId="08BF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5FA93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0B71DF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AABF4C">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771</w:t>
            </w:r>
          </w:p>
        </w:tc>
      </w:tr>
      <w:tr w14:paraId="0B095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EF478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0C004C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9EE40B">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0E24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59DDF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B386BB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56EC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20E14">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AAC0A5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1.牧道维修242公里，每公里1万元</w:t>
            </w:r>
          </w:p>
          <w:p w14:paraId="6113D5F1">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2.堡坎10公里，每公里20万元</w:t>
            </w:r>
          </w:p>
          <w:p w14:paraId="6AA1645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3.涵管更换9个，每个1万</w:t>
            </w:r>
          </w:p>
          <w:p w14:paraId="0ACD4C35">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4.板涵桥加固维修32座，每座10万元</w:t>
            </w:r>
          </w:p>
        </w:tc>
      </w:tr>
      <w:tr w14:paraId="5A72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A369A0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325D35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12974A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09ECB7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51A1C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BD43F5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BC50A9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E598DF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47F75B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01F1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196E0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7476EF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CEC80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84CCC80">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★★★维修牧道公里数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61B87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≥242公里</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658B64E">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242公里</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223DCB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825509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42E5B3F">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6654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D5074A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9AFA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48B9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69EF757">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AF299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089E2B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9113F4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B89688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805A32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73FE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FB9191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85E1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ECA21D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32F0D2D">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08EEAE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896B70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53967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E6913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D78346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6DA5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6384F0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19B3F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right w:val="single" w:color="000000" w:sz="4" w:space="0"/>
            </w:tcBorders>
            <w:noWrap w:val="0"/>
            <w:vAlign w:val="center"/>
          </w:tcPr>
          <w:p w14:paraId="260D27B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E8ECC42">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★★★解决生产生活基础设施条件人数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153946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≥2267人</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4A20962">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2267人</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996E9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62BE4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D52B9F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65E3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29D7AE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5B39A5F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4A91511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39111FB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4B44323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22BA913">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★受益人口满意度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293F4B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5CDDF47">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6CD806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257CB5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2318C2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159CE48C">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35D549A5">
      <w:pPr>
        <w:rPr>
          <w:rFonts w:hint="default" w:ascii="黑体" w:hAnsi="黑体" w:eastAsia="黑体" w:cs="黑体"/>
          <w:sz w:val="24"/>
          <w:szCs w:val="24"/>
          <w:highlight w:val="none"/>
          <w:lang w:val="en-US" w:eastAsia="zh-CN"/>
        </w:rPr>
      </w:pPr>
    </w:p>
    <w:p w14:paraId="6411B7C1">
      <w:pPr>
        <w:pStyle w:val="2"/>
        <w:rPr>
          <w:rFonts w:hint="default" w:ascii="黑体" w:hAnsi="黑体" w:eastAsia="黑体" w:cs="黑体"/>
          <w:sz w:val="24"/>
          <w:szCs w:val="24"/>
          <w:highlight w:val="none"/>
          <w:lang w:val="en-US" w:eastAsia="zh-CN"/>
        </w:rPr>
      </w:pPr>
    </w:p>
    <w:p w14:paraId="57A7A1E7">
      <w:pPr>
        <w:pStyle w:val="2"/>
        <w:rPr>
          <w:rFonts w:hint="default" w:ascii="黑体" w:hAnsi="黑体" w:eastAsia="黑体" w:cs="黑体"/>
          <w:sz w:val="24"/>
          <w:szCs w:val="24"/>
          <w:highlight w:val="none"/>
          <w:lang w:val="en-US" w:eastAsia="zh-CN"/>
        </w:rPr>
      </w:pPr>
    </w:p>
    <w:p w14:paraId="7087FA9E">
      <w:pPr>
        <w:pStyle w:val="2"/>
        <w:rPr>
          <w:rFonts w:hint="default" w:ascii="黑体" w:hAnsi="黑体" w:eastAsia="黑体" w:cs="黑体"/>
          <w:sz w:val="24"/>
          <w:szCs w:val="24"/>
          <w:highlight w:val="none"/>
          <w:lang w:val="en-US" w:eastAsia="zh-CN"/>
        </w:rPr>
      </w:pPr>
    </w:p>
    <w:p w14:paraId="619667C2">
      <w:pPr>
        <w:pStyle w:val="2"/>
        <w:rPr>
          <w:rFonts w:hint="default" w:ascii="黑体" w:hAnsi="黑体" w:eastAsia="黑体" w:cs="黑体"/>
          <w:sz w:val="24"/>
          <w:szCs w:val="24"/>
          <w:highlight w:val="none"/>
          <w:lang w:val="en-US" w:eastAsia="zh-CN"/>
        </w:rPr>
      </w:pPr>
    </w:p>
    <w:p w14:paraId="309C6A2B">
      <w:pPr>
        <w:pStyle w:val="2"/>
        <w:rPr>
          <w:rFonts w:hint="default" w:ascii="黑体" w:hAnsi="黑体" w:eastAsia="黑体" w:cs="黑体"/>
          <w:sz w:val="24"/>
          <w:szCs w:val="24"/>
          <w:highlight w:val="none"/>
          <w:lang w:val="en-US" w:eastAsia="zh-CN"/>
        </w:rPr>
      </w:pPr>
    </w:p>
    <w:p w14:paraId="1A9E3EE1">
      <w:pPr>
        <w:pStyle w:val="2"/>
        <w:rPr>
          <w:rFonts w:hint="default" w:ascii="黑体" w:hAnsi="黑体" w:eastAsia="黑体" w:cs="黑体"/>
          <w:sz w:val="24"/>
          <w:szCs w:val="24"/>
          <w:highlight w:val="none"/>
          <w:lang w:val="en-US" w:eastAsia="zh-CN"/>
        </w:rPr>
      </w:pPr>
    </w:p>
    <w:p w14:paraId="15F76839">
      <w:pPr>
        <w:pStyle w:val="2"/>
        <w:rPr>
          <w:rFonts w:hint="default" w:ascii="黑体" w:hAnsi="黑体" w:eastAsia="黑体" w:cs="黑体"/>
          <w:sz w:val="24"/>
          <w:szCs w:val="24"/>
          <w:highlight w:val="none"/>
          <w:lang w:val="en-US" w:eastAsia="zh-CN"/>
        </w:rPr>
      </w:pPr>
    </w:p>
    <w:p w14:paraId="0E208B2A">
      <w:pPr>
        <w:pStyle w:val="2"/>
        <w:rPr>
          <w:rFonts w:hint="default" w:ascii="黑体" w:hAnsi="黑体" w:eastAsia="黑体" w:cs="黑体"/>
          <w:sz w:val="24"/>
          <w:szCs w:val="24"/>
          <w:highlight w:val="none"/>
          <w:lang w:val="en-US" w:eastAsia="zh-CN"/>
        </w:rPr>
      </w:pPr>
    </w:p>
    <w:p w14:paraId="1D27F54F">
      <w:pPr>
        <w:pStyle w:val="2"/>
        <w:rPr>
          <w:rFonts w:hint="default" w:ascii="黑体" w:hAnsi="黑体" w:eastAsia="黑体" w:cs="黑体"/>
          <w:sz w:val="24"/>
          <w:szCs w:val="24"/>
          <w:highlight w:val="none"/>
          <w:lang w:val="en-US" w:eastAsia="zh-CN"/>
        </w:rPr>
      </w:pPr>
    </w:p>
    <w:p w14:paraId="69263F4B">
      <w:pPr>
        <w:pStyle w:val="2"/>
        <w:rPr>
          <w:rFonts w:hint="default" w:ascii="黑体" w:hAnsi="黑体" w:eastAsia="黑体" w:cs="黑体"/>
          <w:sz w:val="24"/>
          <w:szCs w:val="24"/>
          <w:highlight w:val="none"/>
          <w:lang w:val="en-US" w:eastAsia="zh-CN"/>
        </w:rPr>
      </w:pPr>
    </w:p>
    <w:p w14:paraId="5A19C60F">
      <w:pPr>
        <w:pStyle w:val="2"/>
        <w:rPr>
          <w:rFonts w:hint="default" w:ascii="黑体" w:hAnsi="黑体" w:eastAsia="黑体" w:cs="黑体"/>
          <w:sz w:val="24"/>
          <w:szCs w:val="24"/>
          <w:highlight w:val="none"/>
          <w:lang w:val="en-US" w:eastAsia="zh-CN"/>
        </w:rPr>
      </w:pPr>
    </w:p>
    <w:p w14:paraId="33A3C542">
      <w:pPr>
        <w:pStyle w:val="2"/>
        <w:rPr>
          <w:rFonts w:hint="default" w:ascii="黑体" w:hAnsi="黑体" w:eastAsia="黑体" w:cs="黑体"/>
          <w:sz w:val="24"/>
          <w:szCs w:val="24"/>
          <w:highlight w:val="none"/>
          <w:lang w:val="en-US" w:eastAsia="zh-CN"/>
        </w:rPr>
      </w:pPr>
    </w:p>
    <w:p w14:paraId="47EAAC60">
      <w:pPr>
        <w:pStyle w:val="2"/>
        <w:rPr>
          <w:rFonts w:hint="default" w:ascii="黑体" w:hAnsi="黑体" w:eastAsia="黑体" w:cs="黑体"/>
          <w:sz w:val="24"/>
          <w:szCs w:val="24"/>
          <w:highlight w:val="none"/>
          <w:lang w:val="en-US" w:eastAsia="zh-CN"/>
        </w:rPr>
      </w:pPr>
    </w:p>
    <w:p w14:paraId="288D0850">
      <w:pPr>
        <w:pStyle w:val="2"/>
        <w:rPr>
          <w:rFonts w:hint="default" w:ascii="黑体" w:hAnsi="黑体" w:eastAsia="黑体" w:cs="黑体"/>
          <w:sz w:val="24"/>
          <w:szCs w:val="24"/>
          <w:highlight w:val="none"/>
          <w:lang w:val="en-US" w:eastAsia="zh-CN"/>
        </w:rPr>
      </w:pPr>
    </w:p>
    <w:p w14:paraId="74674021">
      <w:pPr>
        <w:pStyle w:val="2"/>
        <w:rPr>
          <w:rFonts w:hint="default" w:ascii="黑体" w:hAnsi="黑体" w:eastAsia="黑体" w:cs="黑体"/>
          <w:sz w:val="24"/>
          <w:szCs w:val="24"/>
          <w:highlight w:val="none"/>
          <w:lang w:val="en-US" w:eastAsia="zh-CN"/>
        </w:rPr>
      </w:pPr>
    </w:p>
    <w:p w14:paraId="7AA6378A">
      <w:pPr>
        <w:pStyle w:val="2"/>
        <w:rPr>
          <w:rFonts w:hint="default" w:ascii="黑体" w:hAnsi="黑体" w:eastAsia="黑体" w:cs="黑体"/>
          <w:sz w:val="24"/>
          <w:szCs w:val="24"/>
          <w:highlight w:val="none"/>
          <w:lang w:val="en-US" w:eastAsia="zh-CN"/>
        </w:rPr>
      </w:pPr>
    </w:p>
    <w:p w14:paraId="36FEACF9">
      <w:pPr>
        <w:pStyle w:val="2"/>
        <w:rPr>
          <w:rFonts w:hint="default" w:ascii="黑体" w:hAnsi="黑体" w:eastAsia="黑体" w:cs="黑体"/>
          <w:sz w:val="24"/>
          <w:szCs w:val="24"/>
          <w:highlight w:val="none"/>
          <w:lang w:val="en-US" w:eastAsia="zh-CN"/>
        </w:rPr>
      </w:pPr>
    </w:p>
    <w:p w14:paraId="4C1C77C1">
      <w:pPr>
        <w:pStyle w:val="2"/>
        <w:rPr>
          <w:rFonts w:hint="default" w:ascii="黑体" w:hAnsi="黑体" w:eastAsia="黑体" w:cs="黑体"/>
          <w:sz w:val="24"/>
          <w:szCs w:val="24"/>
          <w:highlight w:val="none"/>
          <w:lang w:val="en-US" w:eastAsia="zh-CN"/>
        </w:rPr>
      </w:pPr>
    </w:p>
    <w:p w14:paraId="6234D7EF">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p>
    <w:p w14:paraId="07F0139F">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6D4264B2">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关于红原县查尔玛乡家庭生态牧场建设</w:t>
      </w:r>
    </w:p>
    <w:p w14:paraId="76306032">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的绩效评价报告</w:t>
      </w:r>
    </w:p>
    <w:p w14:paraId="059BA975">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p>
    <w:p w14:paraId="39AEEB70">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一、项目概况</w:t>
      </w:r>
    </w:p>
    <w:p w14:paraId="596AC28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eastAsia="zh-CN"/>
        </w:rPr>
        <w:t>红原县查尔玛乡家庭生态牧场建设</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auto"/>
          <w:kern w:val="2"/>
          <w:sz w:val="32"/>
          <w:szCs w:val="32"/>
          <w:lang w:val="en-US" w:eastAsia="zh-CN" w:bidi="ar"/>
        </w:rPr>
        <w:t>，项</w:t>
      </w:r>
      <w:r>
        <w:rPr>
          <w:rFonts w:hint="eastAsia" w:ascii="仿宋_GB2312" w:hAnsi="Times New Roman" w:eastAsia="仿宋_GB2312" w:cs="Times New Roman"/>
          <w:sz w:val="32"/>
          <w:szCs w:val="32"/>
          <w:lang w:val="en-US" w:eastAsia="zh-CN"/>
        </w:rPr>
        <w:t>目下达资金300万元，资金来源文号为：阿州财农〔2023〕12号</w:t>
      </w:r>
      <w:r>
        <w:rPr>
          <w:rFonts w:hint="eastAsia" w:ascii="仿宋_GB2312" w:hAnsi="仿宋_GB2312" w:eastAsia="仿宋_GB2312" w:cs="仿宋_GB2312"/>
          <w:kern w:val="2"/>
          <w:sz w:val="32"/>
          <w:szCs w:val="32"/>
          <w:lang w:val="en-US" w:eastAsia="zh-CN" w:bidi="ar"/>
        </w:rPr>
        <w:t>中央财政衔接推进乡村振兴补助资金、红财发〔2023〕26号2000万、红财发〔2023〕89号400万元，</w:t>
      </w:r>
      <w:r>
        <w:rPr>
          <w:rFonts w:hint="eastAsia" w:ascii="仿宋_GB2312" w:hAnsi="仿宋_GB2312" w:eastAsia="仿宋_GB2312" w:cs="仿宋_GB2312"/>
          <w:sz w:val="32"/>
          <w:szCs w:val="32"/>
          <w:lang w:val="zh-CN"/>
        </w:rPr>
        <w:t>符合资金管理办法等相关规定。</w:t>
      </w:r>
    </w:p>
    <w:p w14:paraId="3BC50107">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sz w:val="32"/>
          <w:szCs w:val="32"/>
          <w:lang w:val="zh-CN"/>
        </w:rPr>
        <w:t>在查尔玛乡3个村内新建生态家庭牧场15个。建设标准：新型标准化暖棚200平方米、生产管理用房40平方米、长圈（带防疫巷道）400平方米、草料库50平方米、割草地5亩（围栏500米）。</w:t>
      </w:r>
    </w:p>
    <w:p w14:paraId="713EDAC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kern w:val="2"/>
          <w:sz w:val="32"/>
          <w:szCs w:val="32"/>
          <w:lang w:val="en-US" w:eastAsia="zh-CN" w:bidi="ar"/>
        </w:rPr>
        <w:t>该项目以以奖代补形式实施，补助到户已支付100%，共计300万元。</w:t>
      </w:r>
    </w:p>
    <w:p w14:paraId="182F4E56">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lang w:val="zh-CN"/>
        </w:rPr>
        <w:t>在查尔玛乡3个村内新建生态家庭牧场15个。建设标准：新型标准化暖棚200平方米、生产管理用房40平方米、长圈（带防疫巷道）400平方米、草料库50平方米、割草地5亩（围栏500米）。</w:t>
      </w:r>
      <w:r>
        <w:rPr>
          <w:rFonts w:hint="eastAsia" w:ascii="仿宋_GB2312" w:hAnsi="仿宋_GB2312" w:eastAsia="仿宋_GB2312" w:cs="仿宋_GB2312"/>
          <w:kern w:val="2"/>
          <w:sz w:val="32"/>
          <w:szCs w:val="32"/>
          <w:lang w:val="en-US" w:eastAsia="zh-CN" w:bidi="ar"/>
        </w:rPr>
        <w:t>该项目于2023年11</w:t>
      </w:r>
      <w:r>
        <w:rPr>
          <w:rFonts w:hint="eastAsia" w:ascii="仿宋_GB2312" w:hAnsi="Times New Roman" w:eastAsia="仿宋_GB2312" w:cs="Times New Roman"/>
          <w:sz w:val="32"/>
          <w:szCs w:val="32"/>
          <w:lang w:val="en-US" w:eastAsia="zh-CN"/>
        </w:rPr>
        <w:t>月20日全面完工。</w:t>
      </w:r>
    </w:p>
    <w:p w14:paraId="6EAF380A">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rPr>
        <w:t>二、</w:t>
      </w:r>
      <w:r>
        <w:rPr>
          <w:rFonts w:hint="eastAsia" w:ascii="方正黑体_GBK" w:hAnsi="方正黑体_GBK" w:eastAsia="方正黑体_GBK" w:cs="方正黑体_GBK"/>
          <w:sz w:val="32"/>
          <w:szCs w:val="32"/>
          <w:lang w:val="zh-CN" w:eastAsia="zh-CN"/>
        </w:rPr>
        <w:t>评价实施</w:t>
      </w:r>
    </w:p>
    <w:p w14:paraId="7A573211">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楷体_GB2312" w:hAnsi="宋体" w:eastAsia="楷体_GB2312" w:cs="Times New Roman"/>
          <w:b/>
          <w:color w:val="auto"/>
          <w:sz w:val="32"/>
          <w:szCs w:val="32"/>
          <w:highlight w:val="none"/>
          <w:u w:val="none"/>
          <w:lang w:val="zh-CN" w:eastAsia="zh-CN"/>
        </w:rPr>
        <w:t>（一）评价目的。</w:t>
      </w:r>
      <w:r>
        <w:rPr>
          <w:rFonts w:hint="eastAsia" w:ascii="仿宋_GB2312" w:hAnsi="Times New Roman" w:eastAsia="仿宋_GB2312" w:cs="Times New Roman"/>
          <w:sz w:val="32"/>
          <w:szCs w:val="32"/>
          <w:lang w:val="zh-CN"/>
        </w:rPr>
        <w:t>在查尔玛乡3个村内新建生态家庭牧场15个。</w:t>
      </w:r>
    </w:p>
    <w:p w14:paraId="1144359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（二）预设问题及评价重点。</w:t>
      </w:r>
      <w:r>
        <w:rPr>
          <w:rFonts w:hint="eastAsia" w:ascii="仿宋_GB2312" w:hAnsi="Times New Roman" w:eastAsia="仿宋_GB2312" w:cs="Times New Roman"/>
          <w:sz w:val="32"/>
          <w:szCs w:val="32"/>
          <w:lang w:val="en-US" w:eastAsia="zh-CN"/>
        </w:rPr>
        <w:t>该项目资金严格按照相关规程进行拨付，截止目前，该项目以以奖代补形式实施，补助到户已支付100%，共计300万元。</w:t>
      </w:r>
      <w:r>
        <w:rPr>
          <w:rFonts w:hint="eastAsia" w:ascii="仿宋_GB2312" w:hAnsi="Times New Roman" w:eastAsia="仿宋_GB2312" w:cs="Times New Roman"/>
          <w:sz w:val="32"/>
          <w:szCs w:val="32"/>
          <w:lang w:val="zh-CN"/>
        </w:rPr>
        <w:t>支付依据合规合法，资金支付与预算相符。</w:t>
      </w:r>
    </w:p>
    <w:p w14:paraId="6D27190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（三）评价选点。</w:t>
      </w:r>
      <w:r>
        <w:rPr>
          <w:rFonts w:hint="eastAsia" w:ascii="仿宋_GB2312" w:hAnsi="Times New Roman" w:eastAsia="仿宋_GB2312" w:cs="Times New Roman"/>
          <w:sz w:val="32"/>
          <w:szCs w:val="32"/>
          <w:lang w:val="zh-CN" w:eastAsia="zh-CN"/>
        </w:rPr>
        <w:t>项目绩效自评所抽样点位合格。</w:t>
      </w:r>
    </w:p>
    <w:p w14:paraId="0581A5C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（四）评价方法。</w:t>
      </w:r>
      <w:r>
        <w:rPr>
          <w:rFonts w:hint="eastAsia" w:ascii="仿宋_GB2312" w:hAnsi="Times New Roman" w:eastAsia="仿宋_GB2312" w:cs="Times New Roman"/>
          <w:sz w:val="32"/>
          <w:szCs w:val="32"/>
          <w:lang w:val="zh-CN"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lang w:val="zh-CN"/>
        </w:rPr>
        <w:t>实地勘察法</w:t>
      </w:r>
      <w:r>
        <w:rPr>
          <w:rFonts w:hint="eastAsia" w:ascii="仿宋_GB2312" w:hAnsi="Times New Roman" w:eastAsia="仿宋_GB2312" w:cs="Times New Roman"/>
          <w:sz w:val="32"/>
          <w:szCs w:val="32"/>
          <w:lang w:val="zh-CN" w:eastAsia="zh-CN"/>
        </w:rPr>
        <w:t>。</w:t>
      </w:r>
    </w:p>
    <w:p w14:paraId="454AD168">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（五）评价组织。</w:t>
      </w:r>
      <w:r>
        <w:rPr>
          <w:rFonts w:hint="eastAsia" w:ascii="仿宋_GB2312" w:hAnsi="Times New Roman" w:eastAsia="仿宋_GB2312" w:cs="Times New Roman"/>
          <w:sz w:val="32"/>
          <w:szCs w:val="32"/>
          <w:lang w:val="zh-CN" w:eastAsia="zh-CN"/>
        </w:rPr>
        <w:t>由查尔玛乡人民政府分工一名副科级牵头，两名经办开展监督验收工作。</w:t>
      </w:r>
    </w:p>
    <w:p w14:paraId="2D29EE3D">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三、</w:t>
      </w:r>
      <w:r>
        <w:rPr>
          <w:rFonts w:hint="eastAsia" w:ascii="方正黑体_GBK" w:hAnsi="方正黑体_GBK" w:eastAsia="方正黑体_GBK" w:cs="方正黑体_GBK"/>
          <w:sz w:val="32"/>
          <w:szCs w:val="32"/>
          <w:lang w:val="zh-CN" w:eastAsia="zh-CN"/>
        </w:rPr>
        <w:t>绩效分析</w:t>
      </w:r>
      <w:r>
        <w:rPr>
          <w:rFonts w:hint="eastAsia" w:ascii="方正黑体_GBK" w:hAnsi="方正黑体_GBK" w:eastAsia="方正黑体_GBK" w:cs="方正黑体_GBK"/>
          <w:sz w:val="32"/>
          <w:szCs w:val="32"/>
          <w:lang w:val="zh-CN"/>
        </w:rPr>
        <w:tab/>
      </w:r>
    </w:p>
    <w:p w14:paraId="5960D0AD">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楷体_GB2312" w:hAnsi="宋体" w:eastAsia="楷体_GB2312" w:cs="Times New Roman"/>
          <w:b/>
          <w:color w:val="auto"/>
          <w:sz w:val="32"/>
          <w:szCs w:val="32"/>
          <w:highlight w:val="none"/>
          <w:u w:val="none"/>
          <w:lang w:val="zh-CN" w:eastAsia="zh-CN"/>
        </w:rPr>
        <w:t>绩效分析。</w:t>
      </w:r>
    </w:p>
    <w:p w14:paraId="525A55C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en-US" w:eastAsia="zh-CN"/>
        </w:rPr>
        <w:t>本项目由红原县查尔玛人民政府负责具体实施，县科农局负责项目监管，县财政局负责监管项目资金。</w:t>
      </w:r>
    </w:p>
    <w:p w14:paraId="38045722">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7B0F01C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该项目总投资300万元，为</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23</w:t>
      </w:r>
      <w:r>
        <w:rPr>
          <w:rFonts w:hint="eastAsia" w:ascii="仿宋_GB2312" w:hAnsi="Times New Roman" w:eastAsia="仿宋_GB2312" w:cs="Times New Roman"/>
          <w:sz w:val="32"/>
          <w:szCs w:val="32"/>
          <w:lang w:val="zh-CN" w:eastAsia="zh-CN"/>
        </w:rPr>
        <w:t>年财政</w:t>
      </w:r>
    </w:p>
    <w:p w14:paraId="5006FBC2">
      <w:pPr>
        <w:pageBreakBefore w:val="0"/>
        <w:kinsoku/>
        <w:wordWrap/>
        <w:topLinePunct w:val="0"/>
        <w:bidi w:val="0"/>
        <w:spacing w:line="576" w:lineRule="exact"/>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衔接资金和涉农整合资金</w:t>
      </w:r>
      <w:r>
        <w:rPr>
          <w:rFonts w:hint="eastAsia" w:ascii="仿宋_GB2312" w:hAnsi="Times New Roman" w:eastAsia="仿宋_GB2312" w:cs="Times New Roman"/>
          <w:sz w:val="32"/>
          <w:szCs w:val="32"/>
          <w:lang w:val="en-US" w:eastAsia="zh-CN"/>
        </w:rPr>
        <w:t>，且资金于2023年5月下达，资金到位率100%。</w:t>
      </w:r>
    </w:p>
    <w:p w14:paraId="0A766C09">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en-US" w:eastAsia="zh-CN"/>
        </w:rPr>
        <w:t>该项目于2023年11月20日全面完工，完成全乡15个生态家庭牧场新建任务</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en-US" w:eastAsia="zh-CN"/>
        </w:rPr>
        <w:t>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176C0B8F">
      <w:pPr>
        <w:keepNext w:val="0"/>
        <w:keepLines w:val="0"/>
        <w:pageBreakBefore w:val="0"/>
        <w:widowControl w:val="0"/>
        <w:kinsoku/>
        <w:wordWrap/>
        <w:overflowPunct w:val="0"/>
        <w:topLinePunct w:val="0"/>
        <w:autoSpaceDE/>
        <w:autoSpaceDN/>
        <w:bidi w:val="0"/>
        <w:adjustRightInd w:val="0"/>
        <w:snapToGrid w:val="0"/>
        <w:spacing w:line="576" w:lineRule="exact"/>
        <w:ind w:firstLine="720"/>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eastAsia="zh-CN"/>
        </w:rPr>
        <w:t>绩效分析。</w:t>
      </w:r>
    </w:p>
    <w:p w14:paraId="15659E4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1.产业发展。</w:t>
      </w:r>
      <w:r>
        <w:rPr>
          <w:rFonts w:hint="eastAsia" w:ascii="仿宋_GB2312" w:hAnsi="Times New Roman" w:eastAsia="仿宋_GB2312" w:cs="Times New Roman"/>
          <w:sz w:val="32"/>
          <w:szCs w:val="32"/>
          <w:lang w:val="zh-CN" w:eastAsia="zh-CN"/>
        </w:rPr>
        <w:t>家庭生态牧场的</w:t>
      </w:r>
      <w:r>
        <w:rPr>
          <w:rFonts w:hint="eastAsia" w:ascii="仿宋_GB2312" w:hAnsi="Times New Roman" w:eastAsia="仿宋_GB2312" w:cs="Times New Roman"/>
          <w:sz w:val="32"/>
          <w:szCs w:val="32"/>
          <w:lang w:val="en-US" w:eastAsia="zh-CN"/>
        </w:rPr>
        <w:t>建设，将有效推行舍饲、半舍饲养殖方式，实行冷季保畜保膘、暖季补饲助肥，加快牲畜出栏，增加农牧民的经济收入。培育和发展牧区新型经营主体，构建新型市场经营方式，为牧区畜牧业经济增长打下坚实的基础。</w:t>
      </w:r>
    </w:p>
    <w:p w14:paraId="5ED1B0B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zh-CN" w:eastAsia="zh-CN"/>
        </w:rPr>
        <w:t>家庭生态牧场</w:t>
      </w:r>
      <w:r>
        <w:rPr>
          <w:rFonts w:hint="eastAsia" w:ascii="仿宋_GB2312" w:hAnsi="Times New Roman" w:eastAsia="仿宋_GB2312" w:cs="Times New Roman"/>
          <w:sz w:val="32"/>
          <w:szCs w:val="32"/>
          <w:lang w:val="en-US" w:eastAsia="zh-CN"/>
        </w:rPr>
        <w:t xml:space="preserve">的建设符合乡村振兴战略，不仅可改善牧区群众生活条件，促进社会稳定，而且可以极大地推动乡村振兴战略实施，进一步加快草原畜牧业转型升级，促进畜牧业生产方式转变，带动和提高周边地区畜牧生产能力提高，促进牧户增收，有利于维护民族地区团结和社会稳定。 </w:t>
      </w:r>
    </w:p>
    <w:p w14:paraId="15FCCA2E">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en-US" w:eastAsia="zh-CN"/>
        </w:rPr>
        <w:t>项目的实施，有利于半舍饲养殖、草畜动态平衡等现代畜牧生产技术得到应用推广，实现畜牧生产和草原保护建设共同发展。</w:t>
      </w:r>
    </w:p>
    <w:p w14:paraId="255F57A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r>
        <w:rPr>
          <w:rFonts w:hint="eastAsia" w:ascii="仿宋_GB2312" w:hAnsi="Times New Roman" w:eastAsia="仿宋_GB2312" w:cs="Times New Roman"/>
          <w:sz w:val="32"/>
          <w:szCs w:val="32"/>
          <w:lang w:val="en-US" w:eastAsia="zh-CN"/>
        </w:rPr>
        <w:t>该项目于2023年11月20日全面完工，完成全乡15个生态家庭牧场新建任务</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en-US" w:eastAsia="zh-CN"/>
        </w:rPr>
        <w:t>验收质量合格达标。</w:t>
      </w:r>
    </w:p>
    <w:p w14:paraId="50C4E707">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eastAsia="zh-CN"/>
        </w:rPr>
        <w:t>四</w:t>
      </w:r>
      <w:r>
        <w:rPr>
          <w:rFonts w:hint="eastAsia" w:ascii="方正黑体_GBK" w:hAnsi="方正黑体_GBK" w:eastAsia="方正黑体_GBK" w:cs="方正黑体_GBK"/>
          <w:sz w:val="32"/>
          <w:szCs w:val="32"/>
          <w:lang w:val="zh-CN"/>
        </w:rPr>
        <w:t>、评价结论</w:t>
      </w:r>
    </w:p>
    <w:p w14:paraId="5C5C8D8C">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74D4E154">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五、存在主要问题</w:t>
      </w:r>
    </w:p>
    <w:p w14:paraId="4E5C1A3E">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25B3C453">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六、改进建议</w:t>
      </w:r>
    </w:p>
    <w:p w14:paraId="27468E25">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36F8ECFD">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230B075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32ADF931">
      <w:pPr>
        <w:pageBreakBefore w:val="0"/>
        <w:kinsoku/>
        <w:wordWrap/>
        <w:topLinePunct w:val="0"/>
        <w:bidi w:val="0"/>
        <w:spacing w:line="576" w:lineRule="exact"/>
        <w:ind w:firstLine="1600" w:firstLineChars="5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专项预算项目绩效目标完成情况自评表</w:t>
      </w:r>
    </w:p>
    <w:p w14:paraId="3C934941">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54DD6B6D">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772B5236">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76FA6C0C">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5EFB77B3">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448A4748">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1B07E37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67A2A9C6">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7AAA33F0">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F347CFF">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69299E84">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5AB42657">
      <w:pPr>
        <w:pStyle w:val="2"/>
        <w:pageBreakBefore w:val="0"/>
        <w:kinsoku/>
        <w:wordWrap/>
        <w:topLinePunct w:val="0"/>
        <w:bidi w:val="0"/>
        <w:spacing w:line="576" w:lineRule="exact"/>
        <w:rPr>
          <w:rFonts w:hint="eastAsia"/>
          <w:i w:val="0"/>
          <w:iCs w:val="0"/>
          <w:sz w:val="28"/>
          <w:szCs w:val="28"/>
          <w:u w:val="none"/>
          <w:lang w:val="en-US" w:eastAsia="zh-CN"/>
        </w:rPr>
      </w:pPr>
    </w:p>
    <w:p w14:paraId="01AAC88E">
      <w:pPr>
        <w:pStyle w:val="2"/>
        <w:pageBreakBefore w:val="0"/>
        <w:kinsoku/>
        <w:wordWrap/>
        <w:topLinePunct w:val="0"/>
        <w:bidi w:val="0"/>
        <w:spacing w:line="576" w:lineRule="exact"/>
        <w:rPr>
          <w:rFonts w:hint="eastAsia"/>
          <w:i w:val="0"/>
          <w:iCs w:val="0"/>
          <w:sz w:val="28"/>
          <w:szCs w:val="28"/>
          <w:u w:val="none"/>
          <w:lang w:val="en-US" w:eastAsia="zh-CN"/>
        </w:rPr>
      </w:pPr>
    </w:p>
    <w:p w14:paraId="6E72D32B">
      <w:pPr>
        <w:pStyle w:val="2"/>
        <w:pageBreakBefore w:val="0"/>
        <w:kinsoku/>
        <w:wordWrap/>
        <w:topLinePunct w:val="0"/>
        <w:bidi w:val="0"/>
        <w:spacing w:line="576" w:lineRule="exact"/>
        <w:rPr>
          <w:rFonts w:hint="eastAsia"/>
          <w:i w:val="0"/>
          <w:iCs w:val="0"/>
          <w:sz w:val="28"/>
          <w:szCs w:val="28"/>
          <w:u w:val="none"/>
          <w:lang w:val="en-US" w:eastAsia="zh-CN"/>
        </w:rPr>
      </w:pPr>
    </w:p>
    <w:p w14:paraId="4ABB4CBD">
      <w:pPr>
        <w:pStyle w:val="2"/>
        <w:pageBreakBefore w:val="0"/>
        <w:kinsoku/>
        <w:wordWrap/>
        <w:topLinePunct w:val="0"/>
        <w:bidi w:val="0"/>
        <w:spacing w:line="576" w:lineRule="exact"/>
        <w:rPr>
          <w:rFonts w:hint="eastAsia"/>
          <w:i w:val="0"/>
          <w:iCs w:val="0"/>
          <w:sz w:val="28"/>
          <w:szCs w:val="28"/>
          <w:u w:val="none"/>
          <w:lang w:val="en-US" w:eastAsia="zh-CN"/>
        </w:rPr>
      </w:pPr>
    </w:p>
    <w:p w14:paraId="4F38A0AF">
      <w:pPr>
        <w:pStyle w:val="2"/>
        <w:pageBreakBefore w:val="0"/>
        <w:kinsoku/>
        <w:wordWrap/>
        <w:topLinePunct w:val="0"/>
        <w:bidi w:val="0"/>
        <w:spacing w:line="576" w:lineRule="exact"/>
        <w:rPr>
          <w:rFonts w:hint="eastAsia"/>
          <w:i w:val="0"/>
          <w:iCs w:val="0"/>
          <w:sz w:val="28"/>
          <w:szCs w:val="28"/>
          <w:u w:val="none"/>
          <w:lang w:val="en-US" w:eastAsia="zh-CN"/>
        </w:rPr>
      </w:pPr>
    </w:p>
    <w:p w14:paraId="74198A1D">
      <w:pPr>
        <w:pStyle w:val="2"/>
        <w:pageBreakBefore w:val="0"/>
        <w:kinsoku/>
        <w:wordWrap/>
        <w:topLinePunct w:val="0"/>
        <w:bidi w:val="0"/>
        <w:spacing w:line="576" w:lineRule="exact"/>
        <w:rPr>
          <w:rFonts w:hint="eastAsia"/>
          <w:i w:val="0"/>
          <w:iCs w:val="0"/>
          <w:sz w:val="28"/>
          <w:szCs w:val="28"/>
          <w:u w:val="none"/>
          <w:lang w:val="en-US" w:eastAsia="zh-CN"/>
        </w:rPr>
      </w:pPr>
    </w:p>
    <w:p w14:paraId="0C7818CC">
      <w:pPr>
        <w:pStyle w:val="2"/>
        <w:pageBreakBefore w:val="0"/>
        <w:kinsoku/>
        <w:wordWrap/>
        <w:topLinePunct w:val="0"/>
        <w:bidi w:val="0"/>
        <w:spacing w:line="576" w:lineRule="exact"/>
        <w:rPr>
          <w:rFonts w:hint="eastAsia"/>
          <w:i w:val="0"/>
          <w:iCs w:val="0"/>
          <w:sz w:val="28"/>
          <w:szCs w:val="28"/>
          <w:u w:val="none"/>
          <w:lang w:val="en-US" w:eastAsia="zh-CN"/>
        </w:rPr>
      </w:pPr>
    </w:p>
    <w:p w14:paraId="131AC3A8">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27" name="直接连接符 27"/>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72576;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dkzhNMAAAAHAQAADwAAAAAAAAABACAAAAAiAAAAZHJzL2Rv&#10;d25yZXYueG1sUEsBAhQAFAAAAAgAh07iQC1WKzsGAgAAAQQAAA4AAAAAAAAAAQAgAAAAIgEAAGRy&#10;cy9lMm9Eb2MueG1sUEsFBgAAAAAGAAYAWQEAAJoFAAAAAA==&#10;">
                <v:fill on="f" focussize="0,0"/>
                <v:stroke color="#000000" joinstyle="round"/>
                <v:imagedata o:title=""/>
                <o:lock v:ext="edit" aspectratio="f"/>
              </v:line>
            </w:pict>
          </mc:Fallback>
        </mc:AlternateContent>
      </w:r>
    </w:p>
    <w:p w14:paraId="07069840">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71552"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22" name="直接连接符 22"/>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71552;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nnpjUAAAABwEAAA8AAAAAAAAAAQAgAAAAIgAAAGRycy9k&#10;b3ducmV2LnhtbFBLAQIUABQAAAAIAIdO4kBvV3A6BgIAAAEEAAAOAAAAAAAAAAEAIAAAACMBAABk&#10;cnMvZTJvRG9jLnhtbFBLBQYAAAAABgAGAFkBAACbBQ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128AADD5">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798997C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094FC4ED">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648E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1123" w:type="dxa"/>
            <w:noWrap w:val="0"/>
            <w:vAlign w:val="top"/>
          </w:tcPr>
          <w:p w14:paraId="433978A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4AF37330">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7A2E602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1FC9DCA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7CF6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1123" w:type="dxa"/>
            <w:noWrap w:val="0"/>
            <w:vAlign w:val="top"/>
          </w:tcPr>
          <w:p w14:paraId="4298DD2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1156873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1-中央级</w:t>
            </w:r>
          </w:p>
        </w:tc>
        <w:tc>
          <w:tcPr>
            <w:tcW w:w="2861" w:type="dxa"/>
            <w:noWrap w:val="0"/>
            <w:vAlign w:val="top"/>
          </w:tcPr>
          <w:p w14:paraId="11BC467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7E31DFA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4CA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C64D41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0B9B0EF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42EDA3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5A19B2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38A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67B11C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2CD7DF5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EC5A3A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C1DC30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E74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361CF65">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3E96A52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13FDC9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3640B5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934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BF9F3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7004273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4BB421F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53CF2D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F65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CC3A3A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54B2B2A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1088D74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9EB09A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29D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BB0ADEA">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3591BCA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007D29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8C0905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FAA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89573F8">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17F0B2D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048C04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57E632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E7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B6209F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59BEB0A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7F2DD7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A867BE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3B30E3BA">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2EA0EF7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2316E021">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4A50DB28">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6B5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418224A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6403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A0CB0D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E2A159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红原县查尔玛乡家庭生态牧场建设项目</w:t>
            </w:r>
          </w:p>
        </w:tc>
      </w:tr>
      <w:tr w14:paraId="04B4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E94085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CC6CAEF">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6AA4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395B75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7968E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6CE9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4813BD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B6E355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3379355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42CA7C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val="en-US" w:eastAsia="zh-CN"/>
              </w:rPr>
              <w:t>阿州财农〔2023〕12号中央财政衔接推进乡村振兴补助资金、红财发〔2023〕26号2000万、红财发〔2023〕89号400万元</w:t>
            </w:r>
          </w:p>
        </w:tc>
      </w:tr>
      <w:tr w14:paraId="32F7D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E464A">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839710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C2DEAA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p>
        </w:tc>
      </w:tr>
      <w:tr w14:paraId="1D83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09F7A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84A917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5FFCA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6FE5756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A4CD69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4F1835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5FE4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24D889">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70BA87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892E073">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104A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46D6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4C810F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F102826">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247CA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86FCA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C4D5A2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6915C42">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5EDE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55CA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877E11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FF3673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0B5FB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BC8A7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0A2B917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0CC822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52B3C29">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300</w:t>
            </w:r>
          </w:p>
        </w:tc>
      </w:tr>
      <w:tr w14:paraId="4DAB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6BAC78">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508FF2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6F6070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300</w:t>
            </w:r>
          </w:p>
        </w:tc>
      </w:tr>
      <w:tr w14:paraId="6D69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DD292E">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980288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56A46BB">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3448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68FB3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DB1B75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年度目标</w:t>
            </w:r>
          </w:p>
        </w:tc>
      </w:tr>
      <w:tr w14:paraId="7F5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AD12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8E9F76D">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zh-CN" w:eastAsia="zh-CN"/>
              </w:rPr>
              <w:t>在查尔玛乡3个村内新建生态家庭牧场15个。建设标准：新型标准化暖棚200平方米、生产管理用房40平方米、长圈（带防疫巷道）400平方米、草料库50平方米、割草地5亩（围栏500米）。</w:t>
            </w:r>
          </w:p>
        </w:tc>
      </w:tr>
      <w:tr w14:paraId="1899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4244AD3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4BB71C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94521D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FE9459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B3C96A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CBCE0F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828D47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C7CE51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E4DDFB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39A4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428411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A52161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F1375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FC2FF4A">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拨付资金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5D6FF9">
            <w:pPr>
              <w:keepNext w:val="0"/>
              <w:keepLines w:val="0"/>
              <w:pageBreakBefore w:val="0"/>
              <w:widowControl/>
              <w:suppressLineNumbers w:val="0"/>
              <w:kinsoku/>
              <w:wordWrap/>
              <w:topLinePunct w:val="0"/>
              <w:bidi w:val="0"/>
              <w:spacing w:line="576" w:lineRule="exact"/>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iCs w:val="0"/>
                <w:color w:val="000000"/>
                <w:kern w:val="0"/>
                <w:sz w:val="20"/>
                <w:szCs w:val="20"/>
                <w:u w:val="none"/>
                <w:lang w:val="en-US" w:eastAsia="zh-CN" w:bidi="ar"/>
              </w:rPr>
              <w:t>300万元</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996A5EE">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300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563261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9ECE8CC">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19B7C8D">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1569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E0C2FF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B038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6943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29FD61F">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3BC2E69">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AA1719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FABD7E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7CAEBD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FA3D0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5AA9B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D77AB7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2052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CE379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96CF87C">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3C8B06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1E56CA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8D30523">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C01F31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092B74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4737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000CA1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8611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6472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CEB7ED0">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解决生产生活基础设施条件户数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22CD33">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D135D4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BB9DE7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4DFAC3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B9B5155">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50F59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D4A9F2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E85DAB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435D85E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8F5D62A">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41B809F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C662B48">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35F7E1">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8D7D6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E7F055C">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08C4B2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E8A56B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4DF22B1C">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65CDCE72">
      <w:pPr>
        <w:pageBreakBefore w:val="0"/>
        <w:kinsoku/>
        <w:wordWrap/>
        <w:topLinePunct w:val="0"/>
        <w:bidi w:val="0"/>
        <w:spacing w:line="576" w:lineRule="exact"/>
        <w:rPr>
          <w:rFonts w:hint="default" w:ascii="黑体" w:hAnsi="黑体" w:eastAsia="黑体" w:cs="黑体"/>
          <w:sz w:val="24"/>
          <w:szCs w:val="24"/>
          <w:highlight w:val="none"/>
          <w:lang w:val="en-US" w:eastAsia="zh-CN"/>
        </w:rPr>
      </w:pPr>
    </w:p>
    <w:p w14:paraId="4FD6305F">
      <w:pPr>
        <w:pStyle w:val="20"/>
        <w:pageBreakBefore w:val="0"/>
        <w:kinsoku/>
        <w:wordWrap/>
        <w:topLinePunct w:val="0"/>
        <w:bidi w:val="0"/>
        <w:spacing w:line="576" w:lineRule="exact"/>
        <w:rPr>
          <w:rFonts w:hint="default" w:ascii="黑体" w:hAnsi="黑体" w:eastAsia="黑体" w:cs="黑体"/>
          <w:sz w:val="24"/>
          <w:szCs w:val="24"/>
          <w:highlight w:val="none"/>
          <w:lang w:val="en-US" w:eastAsia="zh-CN"/>
        </w:rPr>
      </w:pPr>
    </w:p>
    <w:p w14:paraId="51218F45">
      <w:pPr>
        <w:rPr>
          <w:rFonts w:hint="default" w:ascii="黑体" w:hAnsi="黑体" w:eastAsia="黑体" w:cs="黑体"/>
          <w:sz w:val="24"/>
          <w:szCs w:val="24"/>
          <w:highlight w:val="none"/>
          <w:lang w:val="en-US" w:eastAsia="zh-CN"/>
        </w:rPr>
      </w:pPr>
    </w:p>
    <w:p w14:paraId="6ACD803E">
      <w:pPr>
        <w:pStyle w:val="2"/>
        <w:rPr>
          <w:rFonts w:hint="default" w:ascii="黑体" w:hAnsi="黑体" w:eastAsia="黑体" w:cs="黑体"/>
          <w:sz w:val="24"/>
          <w:szCs w:val="24"/>
          <w:highlight w:val="none"/>
          <w:lang w:val="en-US" w:eastAsia="zh-CN"/>
        </w:rPr>
      </w:pPr>
    </w:p>
    <w:p w14:paraId="47CAC60C">
      <w:pPr>
        <w:pStyle w:val="2"/>
        <w:rPr>
          <w:rFonts w:hint="default" w:ascii="黑体" w:hAnsi="黑体" w:eastAsia="黑体" w:cs="黑体"/>
          <w:sz w:val="24"/>
          <w:szCs w:val="24"/>
          <w:highlight w:val="none"/>
          <w:lang w:val="en-US" w:eastAsia="zh-CN"/>
        </w:rPr>
      </w:pPr>
    </w:p>
    <w:p w14:paraId="58D00BF5">
      <w:pPr>
        <w:pStyle w:val="2"/>
        <w:rPr>
          <w:rFonts w:hint="default" w:ascii="黑体" w:hAnsi="黑体" w:eastAsia="黑体" w:cs="黑体"/>
          <w:sz w:val="24"/>
          <w:szCs w:val="24"/>
          <w:highlight w:val="none"/>
          <w:lang w:val="en-US" w:eastAsia="zh-CN"/>
        </w:rPr>
      </w:pPr>
    </w:p>
    <w:p w14:paraId="7E20F298">
      <w:pPr>
        <w:pStyle w:val="2"/>
        <w:rPr>
          <w:rFonts w:hint="default" w:ascii="黑体" w:hAnsi="黑体" w:eastAsia="黑体" w:cs="黑体"/>
          <w:sz w:val="24"/>
          <w:szCs w:val="24"/>
          <w:highlight w:val="none"/>
          <w:lang w:val="en-US" w:eastAsia="zh-CN"/>
        </w:rPr>
      </w:pPr>
    </w:p>
    <w:p w14:paraId="4B1D4294">
      <w:pPr>
        <w:pStyle w:val="2"/>
        <w:rPr>
          <w:rFonts w:hint="default" w:ascii="黑体" w:hAnsi="黑体" w:eastAsia="黑体" w:cs="黑体"/>
          <w:sz w:val="24"/>
          <w:szCs w:val="24"/>
          <w:highlight w:val="none"/>
          <w:lang w:val="en-US" w:eastAsia="zh-CN"/>
        </w:rPr>
      </w:pPr>
    </w:p>
    <w:p w14:paraId="04312346">
      <w:pPr>
        <w:pStyle w:val="2"/>
        <w:rPr>
          <w:rFonts w:hint="default" w:ascii="黑体" w:hAnsi="黑体" w:eastAsia="黑体" w:cs="黑体"/>
          <w:sz w:val="24"/>
          <w:szCs w:val="24"/>
          <w:highlight w:val="none"/>
          <w:lang w:val="en-US" w:eastAsia="zh-CN"/>
        </w:rPr>
      </w:pPr>
    </w:p>
    <w:p w14:paraId="7E83E00E">
      <w:pPr>
        <w:pStyle w:val="2"/>
        <w:rPr>
          <w:rFonts w:hint="default" w:ascii="黑体" w:hAnsi="黑体" w:eastAsia="黑体" w:cs="黑体"/>
          <w:sz w:val="24"/>
          <w:szCs w:val="24"/>
          <w:highlight w:val="none"/>
          <w:lang w:val="en-US" w:eastAsia="zh-CN"/>
        </w:rPr>
      </w:pPr>
    </w:p>
    <w:p w14:paraId="1381AC4B">
      <w:pPr>
        <w:pStyle w:val="2"/>
        <w:rPr>
          <w:rFonts w:hint="default" w:ascii="黑体" w:hAnsi="黑体" w:eastAsia="黑体" w:cs="黑体"/>
          <w:sz w:val="24"/>
          <w:szCs w:val="24"/>
          <w:highlight w:val="none"/>
          <w:lang w:val="en-US" w:eastAsia="zh-CN"/>
        </w:rPr>
      </w:pPr>
    </w:p>
    <w:p w14:paraId="6107078D">
      <w:pPr>
        <w:pStyle w:val="2"/>
        <w:rPr>
          <w:rFonts w:hint="default" w:ascii="黑体" w:hAnsi="黑体" w:eastAsia="黑体" w:cs="黑体"/>
          <w:sz w:val="24"/>
          <w:szCs w:val="24"/>
          <w:highlight w:val="none"/>
          <w:lang w:val="en-US" w:eastAsia="zh-CN"/>
        </w:rPr>
      </w:pPr>
    </w:p>
    <w:p w14:paraId="7B0E8927">
      <w:pPr>
        <w:pStyle w:val="2"/>
        <w:rPr>
          <w:rFonts w:hint="default" w:ascii="黑体" w:hAnsi="黑体" w:eastAsia="黑体" w:cs="黑体"/>
          <w:sz w:val="24"/>
          <w:szCs w:val="24"/>
          <w:highlight w:val="none"/>
          <w:lang w:val="en-US" w:eastAsia="zh-CN"/>
        </w:rPr>
      </w:pPr>
    </w:p>
    <w:p w14:paraId="72E4E65C">
      <w:pPr>
        <w:pStyle w:val="2"/>
        <w:rPr>
          <w:rFonts w:hint="default" w:ascii="黑体" w:hAnsi="黑体" w:eastAsia="黑体" w:cs="黑体"/>
          <w:sz w:val="24"/>
          <w:szCs w:val="24"/>
          <w:highlight w:val="none"/>
          <w:lang w:val="en-US" w:eastAsia="zh-CN"/>
        </w:rPr>
      </w:pPr>
    </w:p>
    <w:p w14:paraId="67062A6D">
      <w:pPr>
        <w:pStyle w:val="2"/>
        <w:rPr>
          <w:rFonts w:hint="default" w:ascii="黑体" w:hAnsi="黑体" w:eastAsia="黑体" w:cs="黑体"/>
          <w:sz w:val="24"/>
          <w:szCs w:val="24"/>
          <w:highlight w:val="none"/>
          <w:lang w:val="en-US" w:eastAsia="zh-CN"/>
        </w:rPr>
      </w:pPr>
    </w:p>
    <w:p w14:paraId="6E2E924F">
      <w:pPr>
        <w:pStyle w:val="2"/>
        <w:rPr>
          <w:rFonts w:hint="default" w:ascii="黑体" w:hAnsi="黑体" w:eastAsia="黑体" w:cs="黑体"/>
          <w:sz w:val="24"/>
          <w:szCs w:val="24"/>
          <w:highlight w:val="none"/>
          <w:lang w:val="en-US" w:eastAsia="zh-CN"/>
        </w:rPr>
      </w:pPr>
    </w:p>
    <w:p w14:paraId="59F2FE1A">
      <w:pPr>
        <w:pStyle w:val="2"/>
        <w:rPr>
          <w:rFonts w:hint="default" w:ascii="黑体" w:hAnsi="黑体" w:eastAsia="黑体" w:cs="黑体"/>
          <w:sz w:val="24"/>
          <w:szCs w:val="24"/>
          <w:highlight w:val="none"/>
          <w:lang w:val="en-US" w:eastAsia="zh-CN"/>
        </w:rPr>
      </w:pPr>
    </w:p>
    <w:p w14:paraId="2BEC7323">
      <w:pPr>
        <w:pStyle w:val="2"/>
        <w:rPr>
          <w:rFonts w:hint="default" w:ascii="黑体" w:hAnsi="黑体" w:eastAsia="黑体" w:cs="黑体"/>
          <w:sz w:val="24"/>
          <w:szCs w:val="24"/>
          <w:highlight w:val="none"/>
          <w:lang w:val="en-US" w:eastAsia="zh-CN"/>
        </w:rPr>
      </w:pPr>
    </w:p>
    <w:p w14:paraId="399A8A97">
      <w:pPr>
        <w:pageBreakBefore w:val="0"/>
        <w:kinsoku/>
        <w:wordWrap/>
        <w:topLinePunct w:val="0"/>
        <w:bidi w:val="0"/>
        <w:spacing w:line="576" w:lineRule="exact"/>
        <w:rPr>
          <w:rFonts w:hint="default"/>
          <w:lang w:val="en-US" w:eastAsia="zh-CN"/>
        </w:rPr>
      </w:pPr>
    </w:p>
    <w:p w14:paraId="70B87528">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红原县查尔玛乡人民政府</w:t>
      </w:r>
    </w:p>
    <w:p w14:paraId="00E11245">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关于</w:t>
      </w:r>
      <w:r>
        <w:rPr>
          <w:rFonts w:hint="eastAsia" w:ascii="方正小标宋简体" w:hAnsi="方正小标宋简体" w:eastAsia="方正小标宋简体" w:cs="方正小标宋简体"/>
          <w:color w:val="auto"/>
          <w:kern w:val="2"/>
          <w:sz w:val="44"/>
          <w:szCs w:val="44"/>
          <w:highlight w:val="none"/>
          <w:lang w:val="en-US" w:eastAsia="zh-CN"/>
        </w:rPr>
        <w:t>红原县家庭牧场和标准养殖场</w:t>
      </w:r>
    </w:p>
    <w:p w14:paraId="68B01AE3">
      <w:pPr>
        <w:pStyle w:val="35"/>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的绩效评价报告</w:t>
      </w:r>
    </w:p>
    <w:p w14:paraId="00BDE304">
      <w:pPr>
        <w:pStyle w:val="35"/>
        <w:keepNext w:val="0"/>
        <w:keepLines w:val="0"/>
        <w:pageBreakBefore w:val="0"/>
        <w:widowControl w:val="0"/>
        <w:kinsoku/>
        <w:wordWrap/>
        <w:overflowPunct/>
        <w:topLinePunct w:val="0"/>
        <w:autoSpaceDE/>
        <w:autoSpaceDN/>
        <w:bidi w:val="0"/>
        <w:spacing w:line="576" w:lineRule="exact"/>
        <w:ind w:left="0" w:leftChars="0" w:firstLine="640"/>
        <w:jc w:val="center"/>
        <w:textAlignment w:val="auto"/>
        <w:rPr>
          <w:rFonts w:ascii="宋体" w:hAnsi="宋体"/>
          <w:color w:val="auto"/>
          <w:kern w:val="2"/>
          <w:sz w:val="32"/>
          <w:szCs w:val="32"/>
          <w:highlight w:val="none"/>
        </w:rPr>
      </w:pPr>
    </w:p>
    <w:p w14:paraId="185C1290">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一、项目概况</w:t>
      </w:r>
    </w:p>
    <w:p w14:paraId="79B9860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eastAsia="zh-CN"/>
        </w:rPr>
        <w:t>红原县查尔玛乡家庭牧场和标准养殖场</w:t>
      </w:r>
      <w:r>
        <w:rPr>
          <w:rFonts w:hint="eastAsia" w:ascii="仿宋_GB2312" w:hAnsi="仿宋_GB2312" w:eastAsia="仿宋_GB2312" w:cs="仿宋_GB2312"/>
          <w:sz w:val="32"/>
          <w:szCs w:val="32"/>
        </w:rPr>
        <w:t>项目</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color w:val="auto"/>
          <w:kern w:val="2"/>
          <w:sz w:val="32"/>
          <w:szCs w:val="32"/>
          <w:lang w:val="en-US" w:eastAsia="zh-CN" w:bidi="ar"/>
        </w:rPr>
        <w:t>项目下达资金36元，</w:t>
      </w:r>
      <w:r>
        <w:rPr>
          <w:rFonts w:hint="eastAsia" w:ascii="仿宋_GB2312" w:hAnsi="仿宋_GB2312" w:eastAsia="仿宋_GB2312" w:cs="仿宋_GB2312"/>
          <w:kern w:val="2"/>
          <w:sz w:val="32"/>
          <w:szCs w:val="32"/>
          <w:lang w:val="en-US" w:eastAsia="zh-CN" w:bidi="ar"/>
        </w:rPr>
        <w:t>资金来源文号为：阿州财农〔2023〕12号中央财政衔接推进乡村振兴补助资金，资金来源属于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资金21万元及灾后重建资金15万元，</w:t>
      </w:r>
      <w:r>
        <w:rPr>
          <w:rFonts w:hint="eastAsia" w:ascii="仿宋_GB2312" w:hAnsi="仿宋_GB2312" w:eastAsia="仿宋_GB2312" w:cs="仿宋_GB2312"/>
          <w:sz w:val="32"/>
          <w:szCs w:val="32"/>
          <w:lang w:val="zh-CN"/>
        </w:rPr>
        <w:t>符合资金管理办法等相关规定。</w:t>
      </w:r>
    </w:p>
    <w:p w14:paraId="78463F47">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en-US" w:eastAsia="zh-CN"/>
        </w:rPr>
        <w:t>1.维修、加固家庭牧场8户，每户2万元；2.维修标准化养殖场5户，每户4万元</w:t>
      </w:r>
      <w:r>
        <w:rPr>
          <w:rFonts w:hint="eastAsia" w:ascii="仿宋_GB2312" w:hAnsi="仿宋_GB2312" w:cs="仿宋_GB2312"/>
          <w:color w:val="auto"/>
          <w:kern w:val="0"/>
          <w:sz w:val="32"/>
          <w:szCs w:val="32"/>
          <w:highlight w:val="none"/>
          <w:u w:val="none"/>
          <w:shd w:val="clear" w:color="auto" w:fill="FFFFFF"/>
          <w:lang w:val="en-US" w:eastAsia="zh-CN"/>
        </w:rPr>
        <w:t>。</w:t>
      </w:r>
    </w:p>
    <w:p w14:paraId="24D103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kern w:val="2"/>
          <w:sz w:val="32"/>
          <w:szCs w:val="32"/>
          <w:lang w:val="en-US" w:eastAsia="zh-CN" w:bidi="ar"/>
        </w:rPr>
        <w:t>该项目总投资36万元，资金来源属于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23</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资金21万元及灾后重建资金15万元，且资金于2023年5月下达，资金到位率100%。</w:t>
      </w:r>
    </w:p>
    <w:p w14:paraId="3C646992">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楷体_GB2312" w:hAnsi="宋体" w:eastAsia="楷体_GB2312" w:cs="Times New Roman"/>
          <w:b/>
          <w:color w:val="auto"/>
          <w:sz w:val="32"/>
          <w:szCs w:val="32"/>
          <w:highlight w:val="none"/>
          <w:u w:val="none"/>
          <w:lang w:val="en-US" w:eastAsia="zh-CN"/>
        </w:rPr>
        <w:t>1.</w:t>
      </w:r>
      <w:r>
        <w:rPr>
          <w:rFonts w:hint="eastAsia" w:ascii="仿宋_GB2312" w:hAnsi="仿宋_GB2312" w:eastAsia="仿宋_GB2312" w:cs="仿宋_GB2312"/>
          <w:sz w:val="32"/>
          <w:szCs w:val="32"/>
          <w:lang w:val="zh-CN"/>
        </w:rPr>
        <w:t>维修、加固家庭牧场8户，每户2万元；2.维修标</w:t>
      </w:r>
      <w:r>
        <w:rPr>
          <w:rFonts w:hint="eastAsia" w:ascii="仿宋_GB2312" w:hAnsi="Times New Roman" w:eastAsia="仿宋_GB2312" w:cs="Times New Roman"/>
          <w:sz w:val="32"/>
          <w:szCs w:val="32"/>
          <w:lang w:val="zh-CN"/>
        </w:rPr>
        <w:t>准化养殖场5户，每户4万元。</w:t>
      </w:r>
      <w:r>
        <w:rPr>
          <w:rFonts w:hint="eastAsia" w:ascii="仿宋_GB2312" w:hAnsi="Times New Roman" w:eastAsia="仿宋_GB2312" w:cs="Times New Roman"/>
          <w:sz w:val="32"/>
          <w:szCs w:val="32"/>
          <w:lang w:val="en-US" w:eastAsia="zh-CN"/>
        </w:rPr>
        <w:t>该项目于2023年10月30日全面完工。</w:t>
      </w:r>
    </w:p>
    <w:p w14:paraId="220AACDF">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rPr>
        <w:t>二、</w:t>
      </w:r>
      <w:r>
        <w:rPr>
          <w:rFonts w:hint="eastAsia" w:ascii="方正黑体_GBK" w:hAnsi="方正黑体_GBK" w:eastAsia="方正黑体_GBK" w:cs="方正黑体_GBK"/>
          <w:sz w:val="32"/>
          <w:szCs w:val="32"/>
          <w:lang w:val="zh-CN" w:eastAsia="zh-CN"/>
        </w:rPr>
        <w:t>评价实施</w:t>
      </w:r>
    </w:p>
    <w:p w14:paraId="1417D730">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（一）评价目的。</w:t>
      </w:r>
      <w:r>
        <w:rPr>
          <w:rFonts w:hint="eastAsia" w:ascii="仿宋_GB2312" w:hAnsi="Times New Roman" w:eastAsia="仿宋_GB2312" w:cs="Times New Roman"/>
          <w:sz w:val="32"/>
          <w:szCs w:val="32"/>
          <w:lang w:val="zh-CN" w:eastAsia="zh-CN"/>
        </w:rPr>
        <w:t>1</w:t>
      </w:r>
      <w:r>
        <w:rPr>
          <w:rFonts w:hint="eastAsia" w:ascii="仿宋_GB2312" w:hAnsi="Times New Roman" w:eastAsia="仿宋_GB2312" w:cs="Times New Roman"/>
          <w:sz w:val="32"/>
          <w:szCs w:val="32"/>
          <w:lang w:val="zh-CN"/>
        </w:rPr>
        <w:t>.维修、加固家庭牧场8户，每户2万元；2.维修标准化养殖场5户，每户4万元</w:t>
      </w:r>
      <w:r>
        <w:rPr>
          <w:rFonts w:hint="eastAsia" w:ascii="仿宋_GB2312" w:hAnsi="Times New Roman" w:eastAsia="仿宋_GB2312" w:cs="Times New Roman"/>
          <w:sz w:val="32"/>
          <w:szCs w:val="32"/>
          <w:lang w:val="zh-CN" w:eastAsia="zh-CN"/>
        </w:rPr>
        <w:t>。</w:t>
      </w:r>
    </w:p>
    <w:p w14:paraId="244B16B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楷体_GB2312" w:hAnsi="宋体" w:eastAsia="楷体_GB2312" w:cs="Times New Roman"/>
          <w:b/>
          <w:color w:val="auto"/>
          <w:sz w:val="32"/>
          <w:szCs w:val="32"/>
          <w:highlight w:val="none"/>
          <w:u w:val="none"/>
          <w:lang w:val="zh-CN" w:eastAsia="zh-CN"/>
        </w:rPr>
        <w:t>（二）预设问题及评价重点</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lang w:val="en-US" w:eastAsia="zh-CN"/>
        </w:rPr>
        <w:t>该项目资金严格按照相关规程进行拨付，截止目前，该项目以以工代赈形式实施，补助到户已支付100%，共计36万元。</w:t>
      </w:r>
      <w:r>
        <w:rPr>
          <w:rFonts w:hint="eastAsia" w:ascii="仿宋_GB2312" w:hAnsi="Times New Roman" w:eastAsia="仿宋_GB2312" w:cs="Times New Roman"/>
          <w:sz w:val="32"/>
          <w:szCs w:val="32"/>
          <w:lang w:val="zh-CN"/>
        </w:rPr>
        <w:t>支付依据合规合法，资金支付与预算相符</w:t>
      </w:r>
    </w:p>
    <w:p w14:paraId="46613195">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（三）评价选点。</w:t>
      </w:r>
      <w:r>
        <w:rPr>
          <w:rFonts w:hint="eastAsia" w:ascii="仿宋_GB2312" w:hAnsi="Times New Roman" w:eastAsia="仿宋_GB2312" w:cs="Times New Roman"/>
          <w:sz w:val="32"/>
          <w:szCs w:val="32"/>
          <w:lang w:val="zh-CN" w:eastAsia="zh-CN"/>
        </w:rPr>
        <w:t>项目绩效自评所抽样点位合格。</w:t>
      </w:r>
    </w:p>
    <w:p w14:paraId="0B5745F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楷体_GB2312" w:hAnsi="宋体" w:eastAsia="楷体_GB2312" w:cs="Times New Roman"/>
          <w:b/>
          <w:color w:val="auto"/>
          <w:sz w:val="32"/>
          <w:szCs w:val="32"/>
          <w:highlight w:val="none"/>
          <w:u w:val="none"/>
          <w:lang w:val="zh-CN" w:eastAsia="zh-CN"/>
        </w:rPr>
        <w:t>（四）评价方法。</w:t>
      </w:r>
      <w:r>
        <w:rPr>
          <w:rFonts w:hint="eastAsia" w:ascii="仿宋_GB2312" w:hAnsi="Times New Roman" w:eastAsia="仿宋_GB2312" w:cs="Times New Roman"/>
          <w:sz w:val="32"/>
          <w:szCs w:val="32"/>
          <w:lang w:val="zh-CN" w:eastAsia="zh-CN"/>
        </w:rPr>
        <w:t>项目</w:t>
      </w:r>
      <w:r>
        <w:rPr>
          <w:rFonts w:hint="eastAsia" w:ascii="仿宋_GB2312" w:hAnsi="Times New Roman" w:eastAsia="仿宋_GB2312" w:cs="Times New Roman"/>
          <w:sz w:val="32"/>
          <w:szCs w:val="32"/>
          <w:lang w:val="en-US" w:eastAsia="zh-CN"/>
        </w:rPr>
        <w:t>100%验收，</w:t>
      </w:r>
      <w:r>
        <w:rPr>
          <w:rFonts w:hint="eastAsia" w:ascii="仿宋_GB2312" w:hAnsi="Times New Roman" w:eastAsia="仿宋_GB2312" w:cs="Times New Roman"/>
          <w:sz w:val="32"/>
          <w:szCs w:val="32"/>
          <w:lang w:val="zh-CN"/>
        </w:rPr>
        <w:t>实地勘察法</w:t>
      </w:r>
      <w:r>
        <w:rPr>
          <w:rFonts w:hint="eastAsia" w:ascii="仿宋_GB2312" w:hAnsi="Times New Roman" w:eastAsia="仿宋_GB2312" w:cs="Times New Roman"/>
          <w:sz w:val="32"/>
          <w:szCs w:val="32"/>
          <w:lang w:val="zh-CN" w:eastAsia="zh-CN"/>
        </w:rPr>
        <w:t>。</w:t>
      </w:r>
    </w:p>
    <w:p w14:paraId="33E52B60">
      <w:pPr>
        <w:pageBreakBefore w:val="0"/>
        <w:kinsoku/>
        <w:wordWrap/>
        <w:topLinePunct w:val="0"/>
        <w:bidi w:val="0"/>
        <w:spacing w:line="576" w:lineRule="exact"/>
        <w:ind w:firstLine="643" w:firstLineChars="200"/>
        <w:rPr>
          <w:rFonts w:hint="default"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（五）评价组织。</w:t>
      </w:r>
      <w:r>
        <w:rPr>
          <w:rFonts w:hint="eastAsia" w:ascii="仿宋_GB2312" w:hAnsi="Times New Roman" w:eastAsia="仿宋_GB2312" w:cs="Times New Roman"/>
          <w:sz w:val="32"/>
          <w:szCs w:val="32"/>
          <w:lang w:val="zh-CN" w:eastAsia="zh-CN"/>
        </w:rPr>
        <w:t>由查尔玛乡人民政府分工一名副科级牵头，两名经办开展监督验收工作。</w:t>
      </w:r>
    </w:p>
    <w:p w14:paraId="0592F33A">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rPr>
        <w:t>三、</w:t>
      </w:r>
      <w:r>
        <w:rPr>
          <w:rFonts w:hint="eastAsia" w:ascii="方正黑体_GBK" w:hAnsi="方正黑体_GBK" w:eastAsia="方正黑体_GBK" w:cs="方正黑体_GBK"/>
          <w:sz w:val="32"/>
          <w:szCs w:val="32"/>
          <w:lang w:val="zh-CN" w:eastAsia="zh-CN"/>
        </w:rPr>
        <w:t>绩效分析</w:t>
      </w:r>
      <w:r>
        <w:rPr>
          <w:rFonts w:hint="eastAsia" w:ascii="方正黑体_GBK" w:hAnsi="方正黑体_GBK" w:eastAsia="方正黑体_GBK" w:cs="方正黑体_GBK"/>
          <w:sz w:val="32"/>
          <w:szCs w:val="32"/>
          <w:lang w:val="zh-CN"/>
        </w:rPr>
        <w:tab/>
      </w:r>
    </w:p>
    <w:p w14:paraId="5819F19F">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楷体_GB2312" w:hAnsi="宋体" w:eastAsia="楷体_GB2312" w:cs="Times New Roman"/>
          <w:b/>
          <w:color w:val="auto"/>
          <w:sz w:val="32"/>
          <w:szCs w:val="32"/>
          <w:highlight w:val="none"/>
          <w:u w:val="none"/>
          <w:lang w:val="zh-CN" w:eastAsia="zh-CN"/>
        </w:rPr>
        <w:t>绩效分析。</w:t>
      </w:r>
    </w:p>
    <w:p w14:paraId="517B7AA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lang w:val="zh-CN" w:eastAsia="zh-CN"/>
        </w:rPr>
        <w:t>项目决策。</w:t>
      </w:r>
      <w:r>
        <w:rPr>
          <w:rFonts w:hint="eastAsia" w:ascii="仿宋_GB2312" w:hAnsi="Times New Roman" w:eastAsia="仿宋_GB2312" w:cs="Times New Roman"/>
          <w:sz w:val="32"/>
          <w:szCs w:val="32"/>
          <w:lang w:val="en-US" w:eastAsia="zh-CN"/>
        </w:rPr>
        <w:t>本项目由红原县查尔玛人民政府负责具体实施，县科农局负责项目监管，县财政局负责监管项目资金。</w:t>
      </w:r>
    </w:p>
    <w:p w14:paraId="3E0EC5B8">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项目管理。</w:t>
      </w:r>
      <w:r>
        <w:rPr>
          <w:rFonts w:hint="eastAsia" w:ascii="仿宋_GB2312" w:hAnsi="Times New Roman" w:eastAsia="仿宋_GB2312" w:cs="Times New Roman"/>
          <w:sz w:val="32"/>
          <w:szCs w:val="32"/>
          <w:lang w:val="en-US" w:eastAsia="zh-CN"/>
        </w:rPr>
        <w:t>项目实施严格按照相关流程进行，包括：资金下达、项目选址、方案编制、项目公示、立项、财评、确定施工方、进场施工、资金拨付、资料收集归档。</w:t>
      </w:r>
    </w:p>
    <w:p w14:paraId="289A8DEC">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b/>
          <w:bCs/>
          <w:sz w:val="32"/>
          <w:szCs w:val="32"/>
          <w:lang w:val="en-US" w:eastAsia="zh-CN"/>
        </w:rPr>
        <w:t>3.项目实施。</w:t>
      </w:r>
      <w:r>
        <w:rPr>
          <w:rFonts w:hint="eastAsia" w:ascii="仿宋_GB2312" w:hAnsi="Times New Roman" w:eastAsia="仿宋_GB2312" w:cs="Times New Roman"/>
          <w:sz w:val="32"/>
          <w:szCs w:val="32"/>
          <w:lang w:val="en-US" w:eastAsia="zh-CN"/>
        </w:rPr>
        <w:t>该项目以以工代赈形式实施，补助到户已支付100%，共计36万元。</w:t>
      </w:r>
      <w:r>
        <w:rPr>
          <w:rFonts w:hint="eastAsia" w:ascii="仿宋_GB2312" w:hAnsi="Times New Roman" w:eastAsia="仿宋_GB2312" w:cs="Times New Roman"/>
          <w:sz w:val="32"/>
          <w:szCs w:val="32"/>
          <w:lang w:val="zh-CN"/>
        </w:rPr>
        <w:t>支付依据合规合法，资金支付与预算相符。</w:t>
      </w:r>
    </w:p>
    <w:p w14:paraId="164810E0">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b/>
          <w:bCs/>
          <w:sz w:val="32"/>
          <w:szCs w:val="32"/>
          <w:lang w:val="en-US" w:eastAsia="zh-CN"/>
        </w:rPr>
        <w:t>4.项目结果。</w:t>
      </w:r>
      <w:r>
        <w:rPr>
          <w:rFonts w:hint="eastAsia" w:ascii="仿宋_GB2312" w:hAnsi="Times New Roman" w:eastAsia="仿宋_GB2312" w:cs="Times New Roman"/>
          <w:sz w:val="32"/>
          <w:szCs w:val="32"/>
          <w:lang w:val="en-US" w:eastAsia="zh-CN"/>
        </w:rPr>
        <w:t>该项目于2023年10月30日全面完工，完成全乡</w:t>
      </w:r>
      <w:r>
        <w:rPr>
          <w:rFonts w:hint="eastAsia" w:ascii="仿宋_GB2312" w:hAnsi="Times New Roman" w:eastAsia="仿宋_GB2312" w:cs="Times New Roman"/>
          <w:sz w:val="32"/>
          <w:szCs w:val="32"/>
          <w:lang w:val="zh-CN"/>
        </w:rPr>
        <w:t>8户家庭牧场维修加固，5户标准化养殖场维修。</w:t>
      </w:r>
    </w:p>
    <w:p w14:paraId="56B62ACD">
      <w:pPr>
        <w:pageBreakBefore w:val="0"/>
        <w:kinsoku/>
        <w:wordWrap/>
        <w:topLinePunct w:val="0"/>
        <w:bidi w:val="0"/>
        <w:spacing w:line="576" w:lineRule="exact"/>
        <w:ind w:firstLine="643" w:firstLineChars="200"/>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eastAsia="zh-CN"/>
        </w:rPr>
        <w:t>绩效分析。</w:t>
      </w:r>
    </w:p>
    <w:p w14:paraId="1772F6BD">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1.产业发展。</w:t>
      </w:r>
      <w:r>
        <w:rPr>
          <w:rFonts w:hint="eastAsia" w:ascii="仿宋_GB2312" w:hAnsi="Times New Roman" w:eastAsia="仿宋_GB2312" w:cs="Times New Roman"/>
          <w:sz w:val="32"/>
          <w:szCs w:val="32"/>
          <w:lang w:val="zh-CN" w:eastAsia="zh-CN"/>
        </w:rPr>
        <w:t>家庭牧场和标准养殖场的</w:t>
      </w:r>
      <w:r>
        <w:rPr>
          <w:rFonts w:hint="eastAsia" w:ascii="仿宋_GB2312" w:hAnsi="Times New Roman" w:eastAsia="仿宋_GB2312" w:cs="Times New Roman"/>
          <w:sz w:val="32"/>
          <w:szCs w:val="32"/>
          <w:lang w:val="en-US" w:eastAsia="zh-CN"/>
        </w:rPr>
        <w:t>建设，将有效推行舍饲、半舍饲养殖方式，实行冷季保畜保膘、暖季补饲助肥，加快牲畜出栏，增加农牧民的经济收入。培育和发展牧区新型经营主体，构建新型市场经营方式，为牧区畜牧业经济增长打下坚实的基础。</w:t>
      </w:r>
    </w:p>
    <w:p w14:paraId="03358685">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lang w:val="zh-CN" w:eastAsia="zh-CN"/>
        </w:rPr>
        <w:t>民生保障。</w:t>
      </w:r>
      <w:r>
        <w:rPr>
          <w:rFonts w:hint="eastAsia" w:ascii="仿宋_GB2312" w:hAnsi="Times New Roman" w:eastAsia="仿宋_GB2312" w:cs="Times New Roman"/>
          <w:sz w:val="32"/>
          <w:szCs w:val="32"/>
          <w:lang w:val="zh-CN" w:eastAsia="zh-CN"/>
        </w:rPr>
        <w:t>家庭牧场和标准养殖场</w:t>
      </w:r>
      <w:r>
        <w:rPr>
          <w:rFonts w:hint="eastAsia" w:ascii="仿宋_GB2312" w:hAnsi="Times New Roman" w:eastAsia="仿宋_GB2312" w:cs="Times New Roman"/>
          <w:sz w:val="32"/>
          <w:szCs w:val="32"/>
          <w:lang w:val="en-US" w:eastAsia="zh-CN"/>
        </w:rPr>
        <w:t>的建设符合乡村振兴战略，不仅可改善牧区群众生活条件，促进社会稳定，而且可以极大地推动乡村振兴战略实施，进一步加快草原畜牧业转型升级，促进畜牧业生产方式转变，带动和提高周边地区畜牧生产能力提高，促进牧户增收，有利于维护民族地区团结和社会稳定。</w:t>
      </w:r>
    </w:p>
    <w:p w14:paraId="5EC8AE7A">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3.</w:t>
      </w:r>
      <w:r>
        <w:rPr>
          <w:rFonts w:hint="eastAsia" w:ascii="仿宋_GB2312" w:hAnsi="Times New Roman" w:eastAsia="仿宋_GB2312" w:cs="Times New Roman"/>
          <w:b/>
          <w:bCs/>
          <w:sz w:val="32"/>
          <w:szCs w:val="32"/>
          <w:lang w:val="zh-CN" w:eastAsia="zh-CN"/>
        </w:rPr>
        <w:t>行政运转。</w:t>
      </w:r>
      <w:r>
        <w:rPr>
          <w:rFonts w:hint="eastAsia" w:ascii="仿宋_GB2312" w:hAnsi="Times New Roman" w:eastAsia="仿宋_GB2312" w:cs="Times New Roman"/>
          <w:sz w:val="32"/>
          <w:szCs w:val="32"/>
          <w:lang w:val="zh-CN" w:eastAsia="zh-CN"/>
        </w:rPr>
        <w:t>围绕用途合规性、程序合规性、标准合规性进行绩效分析。</w:t>
      </w:r>
      <w:r>
        <w:rPr>
          <w:rFonts w:hint="eastAsia" w:ascii="仿宋_GB2312" w:hAnsi="Times New Roman" w:eastAsia="仿宋_GB2312" w:cs="Times New Roman"/>
          <w:sz w:val="32"/>
          <w:szCs w:val="32"/>
          <w:lang w:val="en-US" w:eastAsia="zh-CN"/>
        </w:rPr>
        <w:t>项目的实施，有利于半舍饲养殖、草畜动态平衡等现代畜牧生产技术得到应用推广，实现畜牧生产和草原保护建设共同发展。</w:t>
      </w:r>
    </w:p>
    <w:p w14:paraId="54886F64">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楷体_GB2312" w:hAnsi="宋体" w:eastAsia="楷体_GB2312" w:cs="Times New Roman"/>
          <w:b/>
          <w:color w:val="auto"/>
          <w:sz w:val="32"/>
          <w:szCs w:val="32"/>
          <w:highlight w:val="none"/>
          <w:u w:val="none"/>
          <w:lang w:val="zh-CN" w:eastAsia="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楷体_GB2312" w:hAnsi="宋体" w:eastAsia="楷体_GB2312" w:cs="Times New Roman"/>
          <w:b/>
          <w:color w:val="auto"/>
          <w:sz w:val="32"/>
          <w:szCs w:val="32"/>
          <w:highlight w:val="none"/>
          <w:u w:val="none"/>
          <w:lang w:val="zh-CN" w:eastAsia="zh-CN"/>
        </w:rPr>
        <w:t>绩效分析。</w:t>
      </w:r>
      <w:r>
        <w:rPr>
          <w:rFonts w:hint="eastAsia" w:ascii="仿宋_GB2312" w:hAnsi="Times New Roman" w:eastAsia="仿宋_GB2312" w:cs="Times New Roman"/>
          <w:sz w:val="32"/>
          <w:szCs w:val="32"/>
          <w:lang w:val="en-US" w:eastAsia="zh-CN"/>
        </w:rPr>
        <w:t>本项目由红原县查尔玛人民政府负责具体实施，县科农局负责项目监管，县财政局负责监管项目资金。项目实施严格按照相关流程进行，包括：资金下达、项目选址、方案编制、项目公示、立项、财评、确定施工方、进场施工、资金拨付、资料收集归档。</w:t>
      </w:r>
    </w:p>
    <w:p w14:paraId="6FB379B3">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lang w:val="zh-CN" w:eastAsia="zh-CN"/>
        </w:rPr>
        <w:t>四</w:t>
      </w:r>
      <w:r>
        <w:rPr>
          <w:rFonts w:hint="eastAsia" w:ascii="方正黑体_GBK" w:hAnsi="方正黑体_GBK" w:eastAsia="方正黑体_GBK" w:cs="方正黑体_GBK"/>
          <w:sz w:val="32"/>
          <w:szCs w:val="32"/>
          <w:lang w:val="zh-CN"/>
        </w:rPr>
        <w:t>、评价结论</w:t>
      </w:r>
    </w:p>
    <w:p w14:paraId="2733ACC3">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en-US" w:eastAsia="zh-CN"/>
        </w:rPr>
        <w:t>验收质量合格达标。项目</w:t>
      </w:r>
      <w:r>
        <w:rPr>
          <w:rFonts w:hint="eastAsia" w:ascii="仿宋_GB2312" w:hAnsi="Times New Roman" w:eastAsia="仿宋_GB2312" w:cs="Times New Roman"/>
          <w:sz w:val="32"/>
          <w:szCs w:val="32"/>
          <w:lang w:val="zh-CN" w:eastAsia="zh-CN"/>
        </w:rPr>
        <w:t>任务量完成、质量标准、进度计划、成本控制目标</w:t>
      </w:r>
      <w:r>
        <w:rPr>
          <w:rFonts w:hint="eastAsia" w:ascii="仿宋_GB2312" w:hAnsi="Times New Roman" w:eastAsia="仿宋_GB2312" w:cs="Times New Roman"/>
          <w:sz w:val="32"/>
          <w:szCs w:val="32"/>
          <w:lang w:val="en-US" w:eastAsia="zh-CN"/>
        </w:rPr>
        <w:t>等符合项目绩效目标</w:t>
      </w:r>
      <w:r>
        <w:rPr>
          <w:rFonts w:hint="eastAsia" w:ascii="仿宋_GB2312" w:hAnsi="Times New Roman" w:eastAsia="仿宋_GB2312" w:cs="Times New Roman"/>
          <w:sz w:val="32"/>
          <w:szCs w:val="32"/>
          <w:lang w:val="zh-CN"/>
        </w:rPr>
        <w:t>。</w:t>
      </w:r>
    </w:p>
    <w:p w14:paraId="06516066">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五、存在主要问题</w:t>
      </w:r>
    </w:p>
    <w:p w14:paraId="26468530">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无。</w:t>
      </w:r>
    </w:p>
    <w:p w14:paraId="72666AC7">
      <w:pPr>
        <w:pageBreakBefore w:val="0"/>
        <w:kinsoku/>
        <w:wordWrap/>
        <w:topLinePunct w:val="0"/>
        <w:bidi w:val="0"/>
        <w:spacing w:line="576" w:lineRule="exact"/>
        <w:ind w:firstLine="640" w:firstLineChars="200"/>
        <w:rPr>
          <w:rFonts w:hint="eastAsia" w:ascii="方正黑体_GBK" w:hAnsi="方正黑体_GBK" w:eastAsia="方正黑体_GBK" w:cs="方正黑体_GBK"/>
          <w:sz w:val="32"/>
          <w:szCs w:val="32"/>
          <w:lang w:val="zh-CN" w:eastAsia="zh-CN"/>
        </w:rPr>
      </w:pPr>
      <w:r>
        <w:rPr>
          <w:rFonts w:hint="eastAsia" w:ascii="方正黑体_GBK" w:hAnsi="方正黑体_GBK" w:eastAsia="方正黑体_GBK" w:cs="方正黑体_GBK"/>
          <w:sz w:val="32"/>
          <w:szCs w:val="32"/>
          <w:lang w:val="zh-CN" w:eastAsia="zh-CN"/>
        </w:rPr>
        <w:t>六、改进建议</w:t>
      </w:r>
    </w:p>
    <w:p w14:paraId="411BF45E">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en" w:eastAsia="zh-CN"/>
        </w:rPr>
      </w:pPr>
      <w:r>
        <w:rPr>
          <w:rFonts w:hint="eastAsia" w:ascii="仿宋_GB2312" w:hAnsi="Times New Roman" w:eastAsia="仿宋_GB2312" w:cs="Times New Roman"/>
          <w:sz w:val="32"/>
          <w:szCs w:val="32"/>
          <w:lang w:val="zh-CN" w:eastAsia="zh-CN"/>
        </w:rPr>
        <w:t xml:space="preserve"> </w:t>
      </w:r>
      <w:r>
        <w:rPr>
          <w:rFonts w:hint="eastAsia" w:ascii="仿宋_GB2312" w:hAnsi="Times New Roman" w:eastAsia="仿宋_GB2312" w:cs="Times New Roman"/>
          <w:sz w:val="32"/>
          <w:szCs w:val="32"/>
          <w:lang w:val="en-US" w:eastAsia="zh-CN"/>
        </w:rPr>
        <w:t xml:space="preserve">   无。</w:t>
      </w:r>
    </w:p>
    <w:p w14:paraId="5F58121D">
      <w:pPr>
        <w:pageBreakBefore w:val="0"/>
        <w:kinsoku/>
        <w:wordWrap/>
        <w:topLinePunct w:val="0"/>
        <w:bidi w:val="0"/>
        <w:spacing w:line="576" w:lineRule="exact"/>
        <w:ind w:firstLine="640" w:firstLineChars="200"/>
        <w:rPr>
          <w:rFonts w:hint="eastAsia" w:ascii="仿宋_GB2312" w:hAnsi="Times New Roman" w:eastAsia="仿宋_GB2312" w:cs="Times New Roman"/>
          <w:sz w:val="32"/>
          <w:szCs w:val="32"/>
          <w:lang w:val="zh-CN" w:eastAsia="zh-CN"/>
        </w:rPr>
      </w:pPr>
    </w:p>
    <w:p w14:paraId="2880AE88">
      <w:pPr>
        <w:pStyle w:val="2"/>
        <w:rPr>
          <w:rFonts w:hint="eastAsia" w:ascii="仿宋_GB2312" w:hAnsi="Times New Roman" w:eastAsia="仿宋_GB2312" w:cs="Times New Roman"/>
          <w:sz w:val="32"/>
          <w:szCs w:val="32"/>
          <w:lang w:val="zh-CN" w:eastAsia="zh-CN"/>
        </w:rPr>
      </w:pPr>
    </w:p>
    <w:p w14:paraId="432B15CE">
      <w:pPr>
        <w:pStyle w:val="2"/>
        <w:rPr>
          <w:rFonts w:hint="eastAsia" w:ascii="仿宋_GB2312" w:hAnsi="Times New Roman" w:eastAsia="仿宋_GB2312" w:cs="Times New Roman"/>
          <w:sz w:val="32"/>
          <w:szCs w:val="32"/>
          <w:lang w:val="zh-CN" w:eastAsia="zh-CN"/>
        </w:rPr>
      </w:pPr>
    </w:p>
    <w:p w14:paraId="432E0DC7">
      <w:pPr>
        <w:pageBreakBefore w:val="0"/>
        <w:kinsoku/>
        <w:wordWrap/>
        <w:topLinePunct w:val="0"/>
        <w:bidi w:val="0"/>
        <w:spacing w:line="576" w:lineRule="exact"/>
        <w:ind w:firstLine="643"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bCs/>
          <w:sz w:val="32"/>
          <w:szCs w:val="32"/>
          <w:lang w:val="en-US" w:eastAsia="zh-CN"/>
        </w:rPr>
        <w:t>附表：</w:t>
      </w:r>
      <w:r>
        <w:rPr>
          <w:rFonts w:hint="eastAsia" w:ascii="仿宋_GB2312" w:hAnsi="Times New Roman" w:eastAsia="仿宋_GB2312" w:cs="Times New Roman"/>
          <w:sz w:val="32"/>
          <w:szCs w:val="32"/>
          <w:lang w:val="en-US" w:eastAsia="zh-CN"/>
        </w:rPr>
        <w:t>1.项目资金分配涉及所有点位自评得分情况表</w:t>
      </w:r>
    </w:p>
    <w:p w14:paraId="52E4BF37">
      <w:pPr>
        <w:pageBreakBefore w:val="0"/>
        <w:kinsoku/>
        <w:wordWrap/>
        <w:topLinePunct w:val="0"/>
        <w:bidi w:val="0"/>
        <w:spacing w:line="576" w:lineRule="exact"/>
        <w:ind w:firstLine="1600" w:firstLineChars="5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2.专项预算项目绩效目标完成情况自评表</w:t>
      </w:r>
    </w:p>
    <w:p w14:paraId="74648ADE">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3ABC7E31">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0B61ECDA">
      <w:pPr>
        <w:pStyle w:val="2"/>
        <w:pageBreakBefore w:val="0"/>
        <w:widowControl w:val="0"/>
        <w:numPr>
          <w:ilvl w:val="0"/>
          <w:numId w:val="0"/>
        </w:numPr>
        <w:kinsoku/>
        <w:wordWrap/>
        <w:topLinePunct w:val="0"/>
        <w:bidi w:val="0"/>
        <w:snapToGrid w:val="0"/>
        <w:spacing w:line="576" w:lineRule="exact"/>
        <w:jc w:val="left"/>
        <w:rPr>
          <w:rFonts w:hint="default"/>
          <w:lang w:val="en-US" w:eastAsia="zh-CN"/>
        </w:rPr>
      </w:pPr>
    </w:p>
    <w:p w14:paraId="1F32EED7">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righ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红原县查尔玛乡人民政府</w:t>
      </w:r>
    </w:p>
    <w:p w14:paraId="0ADC9622">
      <w:pPr>
        <w:keepNext w:val="0"/>
        <w:keepLines w:val="0"/>
        <w:pageBreakBefore w:val="0"/>
        <w:widowControl w:val="0"/>
        <w:tabs>
          <w:tab w:val="center" w:pos="4153"/>
          <w:tab w:val="right" w:pos="8306"/>
        </w:tabs>
        <w:kinsoku/>
        <w:wordWrap/>
        <w:overflowPunct w:val="0"/>
        <w:topLinePunct w:val="0"/>
        <w:autoSpaceDE/>
        <w:autoSpaceDN/>
        <w:bidi w:val="0"/>
        <w:snapToGrid w:val="0"/>
        <w:spacing w:afterAutospacing="0" w:line="576" w:lineRule="exact"/>
        <w:ind w:left="0" w:leftChars="0" w:firstLine="640" w:firstLineChars="200"/>
        <w:jc w:val="left"/>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 xml:space="preserve">                                 </w:t>
      </w:r>
      <w:r>
        <w:rPr>
          <w:rFonts w:hint="eastAsia" w:ascii="Times New Roman" w:hAnsi="Times New Roman" w:eastAsia="方正仿宋_GBK" w:cs="Times New Roman"/>
          <w:color w:val="000000"/>
          <w:kern w:val="2"/>
          <w:sz w:val="32"/>
          <w:szCs w:val="32"/>
          <w:lang w:val="en-US" w:eastAsia="zh-CN" w:bidi="ar-SA"/>
        </w:rPr>
        <w:t xml:space="preserve"> 2024年8月5日</w:t>
      </w:r>
    </w:p>
    <w:p w14:paraId="1ED59B8C">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A361C2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512A4A63">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34DDA518">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69857611">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ED2BF72">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7466C1C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0A6BD7B4">
      <w:pPr>
        <w:pStyle w:val="2"/>
        <w:pageBreakBefore w:val="0"/>
        <w:kinsoku/>
        <w:wordWrap/>
        <w:topLinePunct w:val="0"/>
        <w:bidi w:val="0"/>
        <w:spacing w:line="576" w:lineRule="exact"/>
        <w:rPr>
          <w:rFonts w:hint="eastAsia"/>
          <w:i w:val="0"/>
          <w:iCs w:val="0"/>
          <w:sz w:val="28"/>
          <w:szCs w:val="28"/>
          <w:u w:val="none"/>
          <w:lang w:val="en-US" w:eastAsia="zh-CN"/>
        </w:rPr>
      </w:pPr>
    </w:p>
    <w:p w14:paraId="2682FFCC">
      <w:pPr>
        <w:pStyle w:val="2"/>
        <w:pageBreakBefore w:val="0"/>
        <w:kinsoku/>
        <w:wordWrap/>
        <w:topLinePunct w:val="0"/>
        <w:bidi w:val="0"/>
        <w:spacing w:line="576" w:lineRule="exact"/>
        <w:rPr>
          <w:rFonts w:hint="eastAsia"/>
          <w:i w:val="0"/>
          <w:iCs w:val="0"/>
          <w:sz w:val="28"/>
          <w:szCs w:val="28"/>
          <w:u w:val="none"/>
          <w:lang w:val="en-US" w:eastAsia="zh-CN"/>
        </w:rPr>
      </w:pPr>
    </w:p>
    <w:p w14:paraId="4C6742A2">
      <w:pPr>
        <w:pStyle w:val="2"/>
        <w:pageBreakBefore w:val="0"/>
        <w:kinsoku/>
        <w:wordWrap/>
        <w:topLinePunct w:val="0"/>
        <w:bidi w:val="0"/>
        <w:spacing w:line="576" w:lineRule="exact"/>
        <w:rPr>
          <w:rFonts w:hint="eastAsia"/>
          <w:i w:val="0"/>
          <w:iCs w:val="0"/>
          <w:sz w:val="28"/>
          <w:szCs w:val="28"/>
          <w:u w:val="none"/>
          <w:lang w:val="en-US" w:eastAsia="zh-CN"/>
        </w:rPr>
      </w:pPr>
    </w:p>
    <w:p w14:paraId="475C2A7E">
      <w:pPr>
        <w:pStyle w:val="2"/>
        <w:pageBreakBefore w:val="0"/>
        <w:kinsoku/>
        <w:wordWrap/>
        <w:topLinePunct w:val="0"/>
        <w:bidi w:val="0"/>
        <w:spacing w:line="576" w:lineRule="exact"/>
        <w:rPr>
          <w:rFonts w:hint="eastAsia"/>
          <w:i w:val="0"/>
          <w:iCs w:val="0"/>
          <w:sz w:val="28"/>
          <w:szCs w:val="28"/>
          <w:u w:val="none"/>
          <w:lang w:val="en-US" w:eastAsia="zh-CN"/>
        </w:rPr>
      </w:pPr>
    </w:p>
    <w:p w14:paraId="692DAFD5">
      <w:pPr>
        <w:pStyle w:val="2"/>
        <w:pageBreakBefore w:val="0"/>
        <w:kinsoku/>
        <w:wordWrap/>
        <w:topLinePunct w:val="0"/>
        <w:bidi w:val="0"/>
        <w:spacing w:line="576" w:lineRule="exact"/>
        <w:rPr>
          <w:rFonts w:hint="eastAsia"/>
          <w:i w:val="0"/>
          <w:iCs w:val="0"/>
          <w:sz w:val="28"/>
          <w:szCs w:val="28"/>
          <w:u w:val="none"/>
          <w:lang w:val="en-US" w:eastAsia="zh-CN"/>
        </w:rPr>
      </w:pPr>
    </w:p>
    <w:p w14:paraId="5C1C1B25">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p>
    <w:p w14:paraId="13E94ACB">
      <w:pPr>
        <w:pStyle w:val="8"/>
        <w:keepNext w:val="0"/>
        <w:keepLines w:val="0"/>
        <w:pageBreakBefore w:val="0"/>
        <w:kinsoku/>
        <w:wordWrap/>
        <w:topLinePunct w:val="0"/>
        <w:autoSpaceDE/>
        <w:autoSpaceDN/>
        <w:bidi w:val="0"/>
        <w:spacing w:line="576" w:lineRule="exact"/>
        <w:ind w:left="0" w:leftChars="0" w:firstLine="0" w:firstLineChars="0"/>
        <w:jc w:val="left"/>
        <w:textAlignment w:val="auto"/>
        <w:rPr>
          <w:rFonts w:hint="eastAsia"/>
          <w:i w:val="0"/>
          <w:iCs w:val="0"/>
          <w:sz w:val="28"/>
          <w:szCs w:val="28"/>
          <w:u w:val="none"/>
          <w:lang w:val="en-US" w:eastAsia="zh-CN"/>
        </w:rPr>
      </w:pPr>
      <w:r>
        <w:rPr>
          <w:sz w:val="28"/>
        </w:rPr>
        <mc:AlternateContent>
          <mc:Choice Requires="wps">
            <w:drawing>
              <wp:anchor distT="0" distB="0" distL="114300" distR="114300" simplePos="0" relativeHeight="251674624" behindDoc="0" locked="0" layoutInCell="1" allowOverlap="1">
                <wp:simplePos x="0" y="0"/>
                <wp:positionH relativeFrom="column">
                  <wp:posOffset>7620</wp:posOffset>
                </wp:positionH>
                <wp:positionV relativeFrom="paragraph">
                  <wp:posOffset>352425</wp:posOffset>
                </wp:positionV>
                <wp:extent cx="5619115" cy="8890"/>
                <wp:effectExtent l="0" t="0" r="0" b="0"/>
                <wp:wrapNone/>
                <wp:docPr id="19" name="直接连接符 19"/>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7.75pt;height:0.7pt;width:442.45pt;z-index:251674624;mso-width-relative:page;mso-height-relative:page;" filled="f" stroked="t" coordsize="21600,21600" o:gfxdata="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2TOE0wAAAAcBAAAPAAAAAAAAAAEAIAAAACIAAABkcnMvZG93&#10;bnJldi54bWxQSwECFAAUAAAACACHTuJAfyiAIgUCAAABBAAADgAAAAAAAAABACAAAAAiAQAAZHJz&#10;L2Uyb0RvYy54bWxQSwUGAAAAAAYABgBZAQAAmQUAAAAA&#10;">
                <v:fill on="f" focussize="0,0"/>
                <v:stroke color="#000000" joinstyle="round"/>
                <v:imagedata o:title=""/>
                <o:lock v:ext="edit" aspectratio="f"/>
              </v:line>
            </w:pict>
          </mc:Fallback>
        </mc:AlternateContent>
      </w:r>
    </w:p>
    <w:p w14:paraId="4D486F1D">
      <w:pPr>
        <w:pStyle w:val="8"/>
        <w:pageBreakBefore w:val="0"/>
        <w:kinsoku/>
        <w:wordWrap/>
        <w:topLinePunct w:val="0"/>
        <w:bidi w:val="0"/>
        <w:spacing w:line="576" w:lineRule="exact"/>
        <w:ind w:left="0" w:leftChars="0" w:firstLine="280" w:firstLineChars="100"/>
        <w:jc w:val="left"/>
        <w:rPr>
          <w:rFonts w:ascii="仿宋_GB2312" w:hAnsi="宋体" w:cs="宋体"/>
          <w:color w:val="000000"/>
          <w:kern w:val="0"/>
          <w:szCs w:val="32"/>
          <w:shd w:val="clear" w:color="auto" w:fill="FFFFFF"/>
          <w:lang w:val="zh-CN"/>
        </w:rPr>
      </w:pPr>
      <w:r>
        <w:rPr>
          <w:sz w:val="28"/>
        </w:rPr>
        <mc:AlternateContent>
          <mc:Choice Requires="wps">
            <w:drawing>
              <wp:anchor distT="0" distB="0" distL="114300" distR="114300" simplePos="0" relativeHeight="251673600" behindDoc="0" locked="0" layoutInCell="1" allowOverlap="1">
                <wp:simplePos x="0" y="0"/>
                <wp:positionH relativeFrom="column">
                  <wp:posOffset>7620</wp:posOffset>
                </wp:positionH>
                <wp:positionV relativeFrom="paragraph">
                  <wp:posOffset>365760</wp:posOffset>
                </wp:positionV>
                <wp:extent cx="5619115" cy="8890"/>
                <wp:effectExtent l="0" t="0" r="0" b="0"/>
                <wp:wrapNone/>
                <wp:docPr id="18" name="直接连接符 18"/>
                <wp:cNvGraphicFramePr/>
                <a:graphic xmlns:a="http://schemas.openxmlformats.org/drawingml/2006/main">
                  <a:graphicData uri="http://schemas.microsoft.com/office/word/2010/wordprocessingShape">
                    <wps:wsp>
                      <wps:cNvCnPr/>
                      <wps:spPr>
                        <a:xfrm flipV="1">
                          <a:off x="0" y="0"/>
                          <a:ext cx="56191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6pt;margin-top:28.8pt;height:0.7pt;width:442.45pt;z-index:251673600;mso-width-relative:page;mso-height-relative:page;" filled="f" stroked="t" coordsize="21600,21600" o:gfxdata="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GeemNQAAAAHAQAADwAAAAAAAAABACAAAAAiAAAAZHJzL2Rv&#10;d25yZXYueG1sUEsBAhQAFAAAAAgAh07iQIB8d08FAgAAAQQAAA4AAAAAAAAAAQAgAAAAIwEAAGRy&#10;cy9lMm9Eb2MueG1sUEsFBgAAAAAGAAYAWQEAAJoFAAAAAA==&#10;">
                <v:fill on="f" focussize="0,0"/>
                <v:stroke color="#000000" joinstyle="round"/>
                <v:imagedata o:title=""/>
                <o:lock v:ext="edit" aspectratio="f"/>
              </v:line>
            </w:pict>
          </mc:Fallback>
        </mc:AlternateContent>
      </w:r>
      <w:r>
        <w:rPr>
          <w:rFonts w:hint="eastAsia"/>
          <w:i w:val="0"/>
          <w:iCs w:val="0"/>
          <w:sz w:val="28"/>
          <w:szCs w:val="28"/>
          <w:u w:val="none"/>
          <w:lang w:val="en-US" w:eastAsia="zh-CN"/>
        </w:rPr>
        <w:t>红原县查尔玛乡人民政府                   2024年8月5日印</w:t>
      </w:r>
    </w:p>
    <w:p w14:paraId="0714A409">
      <w:pPr>
        <w:keepNext w:val="0"/>
        <w:keepLines w:val="0"/>
        <w:pageBreakBefore w:val="0"/>
        <w:kinsoku/>
        <w:wordWrap/>
        <w:overflowPunct/>
        <w:topLinePunct w:val="0"/>
        <w:autoSpaceDE/>
        <w:autoSpaceDN/>
        <w:bidi w:val="0"/>
        <w:adjustRightInd/>
        <w:snapToGrid w:val="0"/>
        <w:spacing w:line="576"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14:paraId="7F3EB2C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zh-CN"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附表</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14:paraId="07A37193">
      <w:pPr>
        <w:keepNext w:val="0"/>
        <w:keepLines w:val="0"/>
        <w:pageBreakBefore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71F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123" w:type="dxa"/>
            <w:noWrap w:val="0"/>
            <w:vAlign w:val="top"/>
          </w:tcPr>
          <w:p w14:paraId="7E4FB0F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43" w:type="dxa"/>
            <w:noWrap w:val="0"/>
            <w:vAlign w:val="top"/>
          </w:tcPr>
          <w:p w14:paraId="1AB7BF71">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61" w:type="dxa"/>
            <w:noWrap w:val="0"/>
            <w:vAlign w:val="top"/>
          </w:tcPr>
          <w:p w14:paraId="4145331B">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3" w:type="dxa"/>
            <w:noWrap w:val="0"/>
            <w:vAlign w:val="top"/>
          </w:tcPr>
          <w:p w14:paraId="2B36FC08">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14:paraId="5140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jc w:val="center"/>
        </w:trPr>
        <w:tc>
          <w:tcPr>
            <w:tcW w:w="1123" w:type="dxa"/>
            <w:noWrap w:val="0"/>
            <w:vAlign w:val="top"/>
          </w:tcPr>
          <w:p w14:paraId="621BCF7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43" w:type="dxa"/>
            <w:noWrap w:val="0"/>
            <w:vAlign w:val="top"/>
          </w:tcPr>
          <w:p w14:paraId="4108B4B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1-中央级</w:t>
            </w:r>
          </w:p>
        </w:tc>
        <w:tc>
          <w:tcPr>
            <w:tcW w:w="2861" w:type="dxa"/>
            <w:noWrap w:val="0"/>
            <w:vAlign w:val="top"/>
          </w:tcPr>
          <w:p w14:paraId="1A42DDB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100%</w:t>
            </w:r>
          </w:p>
        </w:tc>
        <w:tc>
          <w:tcPr>
            <w:tcW w:w="993" w:type="dxa"/>
            <w:noWrap w:val="0"/>
            <w:vAlign w:val="top"/>
          </w:tcPr>
          <w:p w14:paraId="0B6D362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0960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35AF4DC">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43" w:type="dxa"/>
            <w:noWrap w:val="0"/>
            <w:vAlign w:val="top"/>
          </w:tcPr>
          <w:p w14:paraId="4AEBDF8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5BD34A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930A24A">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F06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E4EBE2E">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43" w:type="dxa"/>
            <w:noWrap w:val="0"/>
            <w:vAlign w:val="top"/>
          </w:tcPr>
          <w:p w14:paraId="2B51672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58C5561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0BFFB72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27CF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6EA756">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43" w:type="dxa"/>
            <w:noWrap w:val="0"/>
            <w:vAlign w:val="top"/>
          </w:tcPr>
          <w:p w14:paraId="6AFEFFA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7609FC08">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B7FFF1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7E9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F99B752">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43" w:type="dxa"/>
            <w:noWrap w:val="0"/>
            <w:vAlign w:val="top"/>
          </w:tcPr>
          <w:p w14:paraId="3D384CA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66B523D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71EA639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534E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1945819">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43" w:type="dxa"/>
            <w:noWrap w:val="0"/>
            <w:vAlign w:val="top"/>
          </w:tcPr>
          <w:p w14:paraId="1E107B77">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4E78930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4AD125A3">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47E8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DCDE227">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43" w:type="dxa"/>
            <w:noWrap w:val="0"/>
            <w:vAlign w:val="top"/>
          </w:tcPr>
          <w:p w14:paraId="713743F9">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035AC46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2C052C0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6DF4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42B89C3">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43" w:type="dxa"/>
            <w:noWrap w:val="0"/>
            <w:vAlign w:val="top"/>
          </w:tcPr>
          <w:p w14:paraId="2DFA0C31">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27A4DBA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C7C29B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r w14:paraId="36C7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81A0A1D">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43" w:type="dxa"/>
            <w:noWrap w:val="0"/>
            <w:vAlign w:val="top"/>
          </w:tcPr>
          <w:p w14:paraId="128DDAA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2861" w:type="dxa"/>
            <w:noWrap w:val="0"/>
            <w:vAlign w:val="top"/>
          </w:tcPr>
          <w:p w14:paraId="3D5525D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 w:eastAsia="zh-CN"/>
              </w:rPr>
            </w:pPr>
          </w:p>
        </w:tc>
        <w:tc>
          <w:tcPr>
            <w:tcW w:w="993" w:type="dxa"/>
            <w:noWrap w:val="0"/>
            <w:vAlign w:val="top"/>
          </w:tcPr>
          <w:p w14:paraId="5ACFB4DF">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outlineLvl w:val="9"/>
              <w:rPr>
                <w:rFonts w:hint="eastAsia" w:ascii="宋体" w:hAnsi="宋体" w:cs="宋体"/>
                <w:color w:val="auto"/>
                <w:sz w:val="24"/>
                <w:szCs w:val="24"/>
                <w:highlight w:val="none"/>
                <w:u w:val="none"/>
                <w:vertAlign w:val="baseline"/>
                <w:lang w:val="en-US" w:eastAsia="zh-CN"/>
              </w:rPr>
            </w:pPr>
          </w:p>
        </w:tc>
      </w:tr>
    </w:tbl>
    <w:p w14:paraId="7BEA1147">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14:paraId="214A351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14:paraId="5C780E67">
      <w:pPr>
        <w:pageBreakBefore w:val="0"/>
        <w:kinsoku/>
        <w:wordWrap/>
        <w:topLinePunct w:val="0"/>
        <w:bidi w:val="0"/>
        <w:spacing w:line="576" w:lineRule="exact"/>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14:paraId="354F6AC4">
      <w:pPr>
        <w:pStyle w:val="8"/>
        <w:keepNext w:val="0"/>
        <w:keepLines w:val="0"/>
        <w:pageBreakBefore w:val="0"/>
        <w:kinsoku/>
        <w:wordWrap/>
        <w:overflowPunct/>
        <w:topLinePunct w:val="0"/>
        <w:autoSpaceDE/>
        <w:autoSpaceDN/>
        <w:bidi w:val="0"/>
        <w:spacing w:after="0" w:line="576"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5"/>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C9DD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484F470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391E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8C1930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1CA909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红原县家庭牧场和标准养殖场</w:t>
            </w:r>
          </w:p>
        </w:tc>
      </w:tr>
      <w:tr w14:paraId="5D1B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86D7D3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C048567">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红原县查尔玛乡人民政府</w:t>
            </w:r>
          </w:p>
        </w:tc>
      </w:tr>
      <w:tr w14:paraId="2B22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D86F1B7">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D17D656">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753D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9B167D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044078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5810F052">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44054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阿州财农〔2023〕12号</w:t>
            </w:r>
          </w:p>
        </w:tc>
      </w:tr>
      <w:tr w14:paraId="48E6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31753">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506ED0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13CD6B5">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08DD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DBE5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2B1A84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43A827C">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9EC3EA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146F9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A3D8DD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6D93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DB7A90">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128C88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057E0F1">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0A34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2A96B">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B945CB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84D1433">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4A220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96C61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E055A8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B3E3A7D">
            <w:pPr>
              <w:keepNext w:val="0"/>
              <w:keepLines w:val="0"/>
              <w:pageBreakBefore w:val="0"/>
              <w:kinsoku/>
              <w:wordWrap/>
              <w:overflowPunct/>
              <w:topLinePunct w:val="0"/>
              <w:autoSpaceDE/>
              <w:autoSpaceDN/>
              <w:bidi w:val="0"/>
              <w:adjustRightInd/>
              <w:snapToGrid/>
              <w:spacing w:line="576" w:lineRule="exact"/>
              <w:ind w:left="0" w:leftChars="0"/>
              <w:jc w:val="left"/>
              <w:rPr>
                <w:rFonts w:hint="eastAsia" w:ascii="宋体" w:hAnsi="宋体" w:eastAsia="宋体" w:cs="宋体"/>
                <w:i w:val="0"/>
                <w:color w:val="000000"/>
                <w:sz w:val="24"/>
                <w:szCs w:val="24"/>
                <w:u w:val="none"/>
              </w:rPr>
            </w:pPr>
          </w:p>
        </w:tc>
      </w:tr>
      <w:tr w14:paraId="3F02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4CF75">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39AE35D">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57395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r>
      <w:tr w14:paraId="0F6A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EA27C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4DEAEFD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769F64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28229C">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36</w:t>
            </w:r>
          </w:p>
        </w:tc>
      </w:tr>
      <w:tr w14:paraId="0CAB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39291C">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148226A4">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A313654">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36</w:t>
            </w:r>
          </w:p>
        </w:tc>
      </w:tr>
      <w:tr w14:paraId="401FC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BAC2B2">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16F573B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3A40EBB">
            <w:pPr>
              <w:keepNext w:val="0"/>
              <w:keepLines w:val="0"/>
              <w:pageBreakBefore w:val="0"/>
              <w:kinsoku/>
              <w:wordWrap/>
              <w:overflowPunct/>
              <w:topLinePunct w:val="0"/>
              <w:autoSpaceDE/>
              <w:autoSpaceDN/>
              <w:bidi w:val="0"/>
              <w:adjustRightInd/>
              <w:snapToGrid/>
              <w:spacing w:line="576" w:lineRule="exact"/>
              <w:ind w:left="0" w:leftChars="0"/>
              <w:jc w:val="right"/>
              <w:rPr>
                <w:rFonts w:hint="eastAsia" w:ascii="宋体" w:hAnsi="宋体" w:eastAsia="宋体" w:cs="宋体"/>
                <w:i w:val="0"/>
                <w:color w:val="000000"/>
                <w:sz w:val="24"/>
                <w:szCs w:val="24"/>
                <w:u w:val="none"/>
              </w:rPr>
            </w:pPr>
          </w:p>
        </w:tc>
      </w:tr>
      <w:tr w14:paraId="6F5B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325EDF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F21611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20B35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77D26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460A7BD">
            <w:pPr>
              <w:keepNext w:val="0"/>
              <w:keepLines w:val="0"/>
              <w:pageBreakBefore w:val="0"/>
              <w:kinsoku/>
              <w:wordWrap/>
              <w:overflowPunct/>
              <w:topLinePunct w:val="0"/>
              <w:autoSpaceDE/>
              <w:autoSpaceDN/>
              <w:bidi w:val="0"/>
              <w:adjustRightInd/>
              <w:snapToGrid/>
              <w:spacing w:line="576"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rPr>
              <w:t>1.维修、加固家庭牧场8户，每户2万元；2.维修标准化养殖场5户，每户4万元</w:t>
            </w:r>
            <w:r>
              <w:rPr>
                <w:rFonts w:hint="eastAsia" w:ascii="宋体" w:hAnsi="宋体" w:eastAsia="宋体" w:cs="宋体"/>
                <w:i w:val="0"/>
                <w:color w:val="000000"/>
                <w:sz w:val="24"/>
                <w:szCs w:val="24"/>
                <w:u w:val="none"/>
                <w:lang w:eastAsia="zh-CN"/>
              </w:rPr>
              <w:t>。</w:t>
            </w:r>
          </w:p>
        </w:tc>
      </w:tr>
      <w:tr w14:paraId="6139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34F8FCD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41800BF">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9E9FA5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E3DAC96">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01EA26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A3B47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AF301DE">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B72333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F452623">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14:paraId="2142C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5EEF2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2961DF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9B212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B40B17E">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★维修家庭牧场户数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50A6EBA">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≥8户</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BD68F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8户</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21AF0D5">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375BD6E">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7E5FF60">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100%</w:t>
            </w:r>
          </w:p>
        </w:tc>
      </w:tr>
      <w:tr w14:paraId="38F2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E7C31F2">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FF3C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91C81">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D2BBE4F">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★工程验收合格率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D0AF68">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A69DA4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65C05FB">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222F12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BCA99D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5334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EF367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B8CE4">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2F8CA6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434D979">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★工程完成及时率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7B6C8DC">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0745D46">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F64199">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71C66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CCEAE7F">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2A70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C3B03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30677">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250" w:type="dxa"/>
            <w:tcBorders>
              <w:top w:val="single" w:color="000000" w:sz="4" w:space="0"/>
              <w:left w:val="single" w:color="000000" w:sz="4" w:space="0"/>
              <w:right w:val="single" w:color="000000" w:sz="4" w:space="0"/>
            </w:tcBorders>
            <w:noWrap w:val="0"/>
            <w:vAlign w:val="center"/>
          </w:tcPr>
          <w:p w14:paraId="4886CAB8">
            <w:pPr>
              <w:keepNext w:val="0"/>
              <w:keepLines w:val="0"/>
              <w:pageBreakBefore w:val="0"/>
              <w:widowControl/>
              <w:suppressLineNumbers w:val="0"/>
              <w:kinsoku/>
              <w:wordWrap/>
              <w:topLinePunct w:val="0"/>
              <w:bidi w:val="0"/>
              <w:spacing w:line="576" w:lineRule="exact"/>
              <w:jc w:val="center"/>
              <w:textAlignment w:val="center"/>
              <w:rPr>
                <w:rFonts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可持续影响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24A1FF8">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乡村道路设计使用年限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25CB1E">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≥20年</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B77C9BB">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20年</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2230BEA">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81CC80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E69471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r w14:paraId="0B841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BA9CAE0">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right w:val="single" w:color="000000" w:sz="4" w:space="0"/>
            </w:tcBorders>
            <w:noWrap w:val="0"/>
            <w:vAlign w:val="center"/>
          </w:tcPr>
          <w:p w14:paraId="6D999325">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w:t>
            </w:r>
          </w:p>
          <w:p w14:paraId="1D6A5091">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w:t>
            </w:r>
          </w:p>
        </w:tc>
        <w:tc>
          <w:tcPr>
            <w:tcW w:w="1250" w:type="dxa"/>
            <w:tcBorders>
              <w:top w:val="single" w:color="000000" w:sz="4" w:space="0"/>
              <w:left w:val="single" w:color="000000" w:sz="4" w:space="0"/>
              <w:right w:val="single" w:color="000000" w:sz="4" w:space="0"/>
            </w:tcBorders>
            <w:noWrap w:val="0"/>
            <w:vAlign w:val="center"/>
          </w:tcPr>
          <w:p w14:paraId="6211C14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w:t>
            </w:r>
          </w:p>
          <w:p w14:paraId="4A53E3EB">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9E177ED">
            <w:pPr>
              <w:keepNext w:val="0"/>
              <w:keepLines w:val="0"/>
              <w:pageBreakBefore w:val="0"/>
              <w:widowControl/>
              <w:suppressLineNumbers w:val="0"/>
              <w:kinsoku/>
              <w:wordWrap/>
              <w:topLinePunct w:val="0"/>
              <w:bidi w:val="0"/>
              <w:spacing w:line="576"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以奖代补参与群众满意度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3DCA150">
            <w:pPr>
              <w:keepNext w:val="0"/>
              <w:keepLines w:val="0"/>
              <w:pageBreakBefore w:val="0"/>
              <w:widowControl/>
              <w:suppressLineNumbers w:val="0"/>
              <w:kinsoku/>
              <w:wordWrap/>
              <w:topLinePunct w:val="0"/>
              <w:bidi w:val="0"/>
              <w:spacing w:line="576"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360569D">
            <w:pPr>
              <w:keepNext w:val="0"/>
              <w:keepLines w:val="0"/>
              <w:pageBreakBefore w:val="0"/>
              <w:kinsoku/>
              <w:wordWrap/>
              <w:overflowPunct/>
              <w:topLinePunct w:val="0"/>
              <w:autoSpaceDE/>
              <w:autoSpaceDN/>
              <w:bidi w:val="0"/>
              <w:adjustRightInd/>
              <w:snapToGrid/>
              <w:spacing w:line="576" w:lineRule="exact"/>
              <w:ind w:left="0" w:leftChars="0"/>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162CB3E">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F54506D">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75531C8">
            <w:pPr>
              <w:keepNext w:val="0"/>
              <w:keepLines w:val="0"/>
              <w:pageBreakBefore w:val="0"/>
              <w:kinsoku/>
              <w:wordWrap/>
              <w:overflowPunct/>
              <w:topLinePunct w:val="0"/>
              <w:autoSpaceDE/>
              <w:autoSpaceDN/>
              <w:bidi w:val="0"/>
              <w:adjustRightInd/>
              <w:snapToGrid/>
              <w:spacing w:line="576" w:lineRule="exact"/>
              <w:ind w:left="0" w:leftChars="0"/>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100%</w:t>
            </w:r>
          </w:p>
        </w:tc>
      </w:tr>
    </w:tbl>
    <w:p w14:paraId="7A0C4BCA">
      <w:pPr>
        <w:pStyle w:val="8"/>
        <w:keepNext w:val="0"/>
        <w:keepLines w:val="0"/>
        <w:pageBreakBefore w:val="0"/>
        <w:kinsoku/>
        <w:wordWrap/>
        <w:overflowPunct/>
        <w:topLinePunct w:val="0"/>
        <w:autoSpaceDE/>
        <w:autoSpaceDN/>
        <w:bidi w:val="0"/>
        <w:spacing w:after="0" w:line="576" w:lineRule="exact"/>
        <w:ind w:left="0" w:leftChars="0"/>
        <w:rPr>
          <w:rFonts w:hint="default" w:ascii="黑体" w:hAnsi="黑体" w:eastAsia="黑体" w:cs="黑体"/>
          <w:sz w:val="24"/>
          <w:szCs w:val="24"/>
          <w:highlight w:val="none"/>
          <w:lang w:val="en-US" w:eastAsia="zh-CN"/>
        </w:rPr>
      </w:pPr>
    </w:p>
    <w:p w14:paraId="34DA7F3D">
      <w:pPr>
        <w:pStyle w:val="8"/>
        <w:pageBreakBefore w:val="0"/>
        <w:kinsoku/>
        <w:wordWrap/>
        <w:topLinePunct w:val="0"/>
        <w:bidi w:val="0"/>
        <w:spacing w:line="576" w:lineRule="exact"/>
        <w:rPr>
          <w:rFonts w:hint="default" w:ascii="宋体" w:hAnsi="宋体" w:eastAsia="宋体" w:cs="宋体"/>
          <w:i w:val="0"/>
          <w:color w:val="000000"/>
          <w:kern w:val="0"/>
          <w:sz w:val="24"/>
          <w:szCs w:val="24"/>
          <w:u w:val="none"/>
          <w:lang w:val="en-US" w:eastAsia="zh-CN" w:bidi="ar"/>
        </w:rPr>
      </w:pPr>
    </w:p>
    <w:p w14:paraId="57F8B6A5">
      <w:pPr>
        <w:pStyle w:val="3"/>
        <w:pageBreakBefore w:val="0"/>
        <w:kinsoku/>
        <w:wordWrap/>
        <w:topLinePunct w:val="0"/>
        <w:bidi w:val="0"/>
        <w:spacing w:line="576" w:lineRule="exact"/>
        <w:jc w:val="center"/>
        <w:rPr>
          <w:rFonts w:hint="eastAsia" w:ascii="黑体" w:hAnsi="黑体" w:eastAsia="黑体"/>
        </w:rPr>
      </w:pPr>
    </w:p>
    <w:p w14:paraId="605ACD80">
      <w:pPr>
        <w:rPr>
          <w:rFonts w:hint="eastAsia" w:ascii="黑体" w:hAnsi="黑体" w:eastAsia="黑体"/>
        </w:rPr>
      </w:pPr>
    </w:p>
    <w:p w14:paraId="57413951">
      <w:pPr>
        <w:pStyle w:val="2"/>
        <w:rPr>
          <w:rFonts w:hint="eastAsia" w:ascii="黑体" w:hAnsi="黑体" w:eastAsia="黑体"/>
        </w:rPr>
      </w:pPr>
    </w:p>
    <w:p w14:paraId="2D811522">
      <w:pPr>
        <w:pStyle w:val="2"/>
        <w:rPr>
          <w:rFonts w:hint="eastAsia" w:ascii="黑体" w:hAnsi="黑体" w:eastAsia="黑体"/>
        </w:rPr>
      </w:pPr>
    </w:p>
    <w:p w14:paraId="4A05C2D2">
      <w:pPr>
        <w:pStyle w:val="2"/>
        <w:rPr>
          <w:rFonts w:hint="eastAsia" w:ascii="黑体" w:hAnsi="黑体" w:eastAsia="黑体"/>
        </w:rPr>
      </w:pPr>
    </w:p>
    <w:p w14:paraId="5EA43BDF">
      <w:pPr>
        <w:pStyle w:val="2"/>
        <w:rPr>
          <w:rFonts w:hint="eastAsia" w:ascii="黑体" w:hAnsi="黑体" w:eastAsia="黑体"/>
        </w:rPr>
      </w:pPr>
    </w:p>
    <w:p w14:paraId="4A40470D">
      <w:pPr>
        <w:pStyle w:val="2"/>
        <w:rPr>
          <w:rFonts w:hint="eastAsia" w:ascii="黑体" w:hAnsi="黑体" w:eastAsia="黑体"/>
        </w:rPr>
      </w:pPr>
    </w:p>
    <w:p w14:paraId="5A8152BC">
      <w:pPr>
        <w:pStyle w:val="2"/>
        <w:rPr>
          <w:rFonts w:hint="eastAsia" w:ascii="黑体" w:hAnsi="黑体" w:eastAsia="黑体"/>
        </w:rPr>
      </w:pPr>
    </w:p>
    <w:p w14:paraId="11546F32">
      <w:pPr>
        <w:pStyle w:val="2"/>
        <w:rPr>
          <w:rFonts w:hint="eastAsia" w:ascii="黑体" w:hAnsi="黑体" w:eastAsia="黑体"/>
        </w:rPr>
      </w:pPr>
    </w:p>
    <w:p w14:paraId="1DF165CE">
      <w:pPr>
        <w:pStyle w:val="2"/>
        <w:rPr>
          <w:rFonts w:hint="eastAsia" w:ascii="黑体" w:hAnsi="黑体" w:eastAsia="黑体"/>
        </w:rPr>
      </w:pPr>
    </w:p>
    <w:p w14:paraId="6AB563AF">
      <w:pPr>
        <w:pStyle w:val="2"/>
        <w:rPr>
          <w:rFonts w:hint="eastAsia" w:ascii="黑体" w:hAnsi="黑体" w:eastAsia="黑体"/>
        </w:rPr>
      </w:pPr>
    </w:p>
    <w:p w14:paraId="33222ADF">
      <w:pPr>
        <w:pStyle w:val="2"/>
        <w:rPr>
          <w:rFonts w:hint="eastAsia" w:ascii="黑体" w:hAnsi="黑体" w:eastAsia="黑体"/>
        </w:rPr>
      </w:pPr>
    </w:p>
    <w:p w14:paraId="2C9683AC">
      <w:pPr>
        <w:pStyle w:val="2"/>
        <w:rPr>
          <w:rFonts w:hint="eastAsia" w:ascii="黑体" w:hAnsi="黑体" w:eastAsia="黑体"/>
        </w:rPr>
      </w:pPr>
    </w:p>
    <w:p w14:paraId="1A690646">
      <w:pPr>
        <w:pStyle w:val="2"/>
        <w:rPr>
          <w:rFonts w:hint="eastAsia" w:ascii="黑体" w:hAnsi="黑体" w:eastAsia="黑体"/>
        </w:rPr>
      </w:pPr>
    </w:p>
    <w:p w14:paraId="5578D45A">
      <w:pPr>
        <w:pStyle w:val="2"/>
        <w:rPr>
          <w:rFonts w:hint="eastAsia" w:ascii="黑体" w:hAnsi="黑体" w:eastAsia="黑体"/>
        </w:rPr>
      </w:pPr>
    </w:p>
    <w:p w14:paraId="443B5FB8">
      <w:pPr>
        <w:pStyle w:val="2"/>
        <w:rPr>
          <w:rFonts w:hint="eastAsia" w:ascii="黑体" w:hAnsi="黑体" w:eastAsia="黑体"/>
        </w:rPr>
      </w:pPr>
    </w:p>
    <w:p w14:paraId="106A0BB5">
      <w:pPr>
        <w:pStyle w:val="2"/>
        <w:rPr>
          <w:rFonts w:hint="eastAsia" w:ascii="黑体" w:hAnsi="黑体" w:eastAsia="黑体"/>
        </w:rPr>
      </w:pPr>
    </w:p>
    <w:p w14:paraId="30BE93C4">
      <w:pPr>
        <w:pStyle w:val="2"/>
        <w:rPr>
          <w:rFonts w:hint="eastAsia" w:ascii="黑体" w:hAnsi="黑体" w:eastAsia="黑体"/>
        </w:rPr>
      </w:pPr>
    </w:p>
    <w:p w14:paraId="45C534FC">
      <w:pPr>
        <w:pStyle w:val="2"/>
        <w:rPr>
          <w:rFonts w:hint="eastAsia" w:ascii="黑体" w:hAnsi="黑体" w:eastAsia="黑体"/>
        </w:rPr>
      </w:pPr>
    </w:p>
    <w:p w14:paraId="7C1006C4">
      <w:pPr>
        <w:pStyle w:val="2"/>
        <w:rPr>
          <w:rFonts w:hint="eastAsia" w:ascii="黑体" w:hAnsi="黑体" w:eastAsia="黑体"/>
        </w:rPr>
      </w:pPr>
    </w:p>
    <w:p w14:paraId="4935958F">
      <w:pPr>
        <w:pStyle w:val="2"/>
        <w:rPr>
          <w:rFonts w:hint="eastAsia" w:ascii="黑体" w:hAnsi="黑体" w:eastAsia="黑体"/>
        </w:rPr>
      </w:pPr>
    </w:p>
    <w:p w14:paraId="0C7C7736">
      <w:pPr>
        <w:pStyle w:val="2"/>
        <w:rPr>
          <w:rFonts w:hint="eastAsia" w:ascii="黑体" w:hAnsi="黑体" w:eastAsia="黑体"/>
        </w:rPr>
      </w:pPr>
    </w:p>
    <w:p w14:paraId="2D3C589D">
      <w:pPr>
        <w:pStyle w:val="2"/>
        <w:rPr>
          <w:rFonts w:hint="eastAsia" w:ascii="黑体" w:hAnsi="黑体" w:eastAsia="黑体"/>
        </w:rPr>
      </w:pPr>
    </w:p>
    <w:p w14:paraId="55241CFD">
      <w:pPr>
        <w:pStyle w:val="2"/>
        <w:rPr>
          <w:rFonts w:hint="eastAsia" w:ascii="黑体" w:hAnsi="黑体" w:eastAsia="黑体"/>
        </w:rPr>
      </w:pPr>
    </w:p>
    <w:p w14:paraId="1C47B4D8">
      <w:pPr>
        <w:pStyle w:val="2"/>
        <w:rPr>
          <w:rFonts w:hint="eastAsia" w:ascii="黑体" w:hAnsi="黑体" w:eastAsia="黑体"/>
        </w:rPr>
      </w:pPr>
    </w:p>
    <w:p w14:paraId="485AF4D1">
      <w:pPr>
        <w:pStyle w:val="2"/>
        <w:rPr>
          <w:rFonts w:hint="eastAsia" w:ascii="黑体" w:hAnsi="黑体" w:eastAsia="黑体"/>
        </w:rPr>
      </w:pPr>
    </w:p>
    <w:p w14:paraId="2FDA6536">
      <w:pPr>
        <w:pStyle w:val="2"/>
        <w:rPr>
          <w:rFonts w:hint="eastAsia" w:ascii="黑体" w:hAnsi="黑体" w:eastAsia="黑体"/>
        </w:rPr>
      </w:pPr>
    </w:p>
    <w:p w14:paraId="0F8338FB">
      <w:pPr>
        <w:pStyle w:val="3"/>
        <w:pageBreakBefore w:val="0"/>
        <w:kinsoku/>
        <w:wordWrap/>
        <w:topLinePunct w:val="0"/>
        <w:bidi w:val="0"/>
        <w:spacing w:line="576" w:lineRule="exact"/>
        <w:jc w:val="center"/>
        <w:rPr>
          <w:rFonts w:ascii="黑体" w:hAnsi="黑体" w:eastAsia="黑体"/>
        </w:rPr>
      </w:pPr>
      <w:r>
        <w:rPr>
          <w:rFonts w:hint="eastAsia" w:ascii="黑体" w:hAnsi="黑体" w:eastAsia="黑体"/>
        </w:rPr>
        <w:t>第五部分 附表</w:t>
      </w:r>
    </w:p>
    <w:p w14:paraId="18567AD3">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一、收入支出决算总表</w:t>
      </w:r>
    </w:p>
    <w:p w14:paraId="47B3DCB8">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二、收入决算表</w:t>
      </w:r>
    </w:p>
    <w:p w14:paraId="62FB94A2">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三、支出决算表</w:t>
      </w:r>
    </w:p>
    <w:p w14:paraId="5ACFCACD">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四、财政拨款收入支出决算总表</w:t>
      </w:r>
    </w:p>
    <w:p w14:paraId="4C695BC5">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五、财政拨款支出决算明细表</w:t>
      </w:r>
    </w:p>
    <w:p w14:paraId="658EB44B">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六、一般公共预算财政拨款支出决算表</w:t>
      </w:r>
    </w:p>
    <w:p w14:paraId="30143FC0">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七、一般公共预算财政拨款支出决算明细表</w:t>
      </w:r>
    </w:p>
    <w:p w14:paraId="16BF02B5">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八、一般公共预算财政拨款基本支出决算表</w:t>
      </w:r>
    </w:p>
    <w:p w14:paraId="18653FC6">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九、一般公共预算财政拨款项目支出决算表</w:t>
      </w:r>
    </w:p>
    <w:p w14:paraId="73798597">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十、政府性基金预算财政拨款收入支出决算表</w:t>
      </w:r>
    </w:p>
    <w:p w14:paraId="620B15B4">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十一、国有资本经营预算财政拨款收入支出决算表</w:t>
      </w:r>
    </w:p>
    <w:p w14:paraId="2B420880">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十二、国有资本经营预算财政拨款支出决算表</w:t>
      </w:r>
    </w:p>
    <w:p w14:paraId="7A80621E">
      <w:pPr>
        <w:pageBreakBefore w:val="0"/>
        <w:kinsoku/>
        <w:wordWrap/>
        <w:topLinePunct w:val="0"/>
        <w:bidi w:val="0"/>
        <w:spacing w:line="576" w:lineRule="exact"/>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46C71C-F9AF-4230-AD11-80719030B2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137AA297-866B-49F6-9586-4152FFB52FA0}"/>
  </w:font>
  <w:font w:name="仿宋_GB2312">
    <w:panose1 w:val="02010609030101010101"/>
    <w:charset w:val="86"/>
    <w:family w:val="auto"/>
    <w:pitch w:val="default"/>
    <w:sig w:usb0="00000001" w:usb1="080E0000" w:usb2="00000000" w:usb3="00000000" w:csb0="00040000" w:csb1="00000000"/>
    <w:embedRegular r:id="rId3" w:fontKey="{36855477-5CFA-49C4-AD71-7EBFF48BE62D}"/>
  </w:font>
  <w:font w:name="仿宋">
    <w:panose1 w:val="02010609060101010101"/>
    <w:charset w:val="86"/>
    <w:family w:val="modern"/>
    <w:pitch w:val="default"/>
    <w:sig w:usb0="800002BF" w:usb1="38CF7CFA" w:usb2="00000016" w:usb3="00000000" w:csb0="00040001" w:csb1="00000000"/>
    <w:embedRegular r:id="rId4" w:fontKey="{81A144A0-D342-443D-8B3E-A9FF9CADA0E6}"/>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5" w:fontKey="{3D2D3572-B281-4730-A6A8-60E15050EE98}"/>
  </w:font>
  <w:font w:name="方正仿宋_GBK">
    <w:panose1 w:val="03000509000000000000"/>
    <w:charset w:val="86"/>
    <w:family w:val="auto"/>
    <w:pitch w:val="default"/>
    <w:sig w:usb0="00000001" w:usb1="080E0000" w:usb2="00000000" w:usb3="00000000" w:csb0="00040000" w:csb1="00000000"/>
    <w:embedRegular r:id="rId6" w:fontKey="{BD4A3A9A-7CEE-491C-9C26-8B4D7DE54E94}"/>
  </w:font>
  <w:font w:name="方正小标宋_GBK">
    <w:panose1 w:val="03000509000000000000"/>
    <w:charset w:val="86"/>
    <w:family w:val="auto"/>
    <w:pitch w:val="default"/>
    <w:sig w:usb0="00000001" w:usb1="080E0000" w:usb2="00000000" w:usb3="00000000" w:csb0="00040000" w:csb1="00000000"/>
    <w:embedRegular r:id="rId7" w:fontKey="{AC3E2B6E-7166-45C9-B680-3986A5D595E2}"/>
  </w:font>
  <w:font w:name="方正黑体_GBK">
    <w:panose1 w:val="03000509000000000000"/>
    <w:charset w:val="86"/>
    <w:family w:val="auto"/>
    <w:pitch w:val="default"/>
    <w:sig w:usb0="00000001" w:usb1="080E0000" w:usb2="00000000" w:usb3="00000000" w:csb0="00040000" w:csb1="00000000"/>
    <w:embedRegular r:id="rId8" w:fontKey="{7590D19A-7A5E-44B4-B0DC-F34D6B33043E}"/>
  </w:font>
  <w:font w:name="方正楷体_GBK">
    <w:panose1 w:val="03000509000000000000"/>
    <w:charset w:val="86"/>
    <w:family w:val="auto"/>
    <w:pitch w:val="default"/>
    <w:sig w:usb0="00000001" w:usb1="080E0000" w:usb2="00000000" w:usb3="00000000" w:csb0="00040000" w:csb1="00000000"/>
    <w:embedRegular r:id="rId9" w:fontKey="{F3571254-BC91-4483-BF29-88A32029FF5D}"/>
  </w:font>
  <w:font w:name="楷体_GB2312">
    <w:panose1 w:val="02010609030101010101"/>
    <w:charset w:val="86"/>
    <w:family w:val="auto"/>
    <w:pitch w:val="default"/>
    <w:sig w:usb0="00000001" w:usb1="080E0000" w:usb2="00000000" w:usb3="00000000" w:csb0="00040000" w:csb1="00000000"/>
    <w:embedRegular r:id="rId10" w:fontKey="{DF0E6B4A-E303-4C00-9AD7-E6D9604A6B9A}"/>
  </w:font>
  <w:font w:name="Wingdings 2">
    <w:panose1 w:val="05020102010507070707"/>
    <w:charset w:val="02"/>
    <w:family w:val="auto"/>
    <w:pitch w:val="default"/>
    <w:sig w:usb0="00000000" w:usb1="00000000" w:usb2="00000000" w:usb3="00000000" w:csb0="80000000" w:csb1="00000000"/>
    <w:embedRegular r:id="rId11" w:fontKey="{6BEE2723-1299-4C83-A11F-B18AE2DA14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9955745">
        <w:pPr>
          <w:pStyle w:val="2"/>
          <w:jc w:val="center"/>
        </w:pPr>
        <w:r>
          <w:fldChar w:fldCharType="begin"/>
        </w:r>
        <w:r>
          <w:instrText xml:space="preserve">PAGE   \* MERGEFORMAT</w:instrText>
        </w:r>
        <w:r>
          <w:fldChar w:fldCharType="separate"/>
        </w:r>
        <w:r>
          <w:rPr>
            <w:lang w:val="zh-CN"/>
          </w:rPr>
          <w:t>23</w:t>
        </w:r>
        <w:r>
          <w:fldChar w:fldCharType="end"/>
        </w:r>
      </w:p>
    </w:sdtContent>
  </w:sdt>
  <w:p w14:paraId="293DF65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5512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36D9DC4"/>
    <w:multiLevelType w:val="singleLevel"/>
    <w:tmpl w:val="D36D9DC4"/>
    <w:lvl w:ilvl="0" w:tentative="0">
      <w:start w:val="1"/>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984E318"/>
    <w:multiLevelType w:val="singleLevel"/>
    <w:tmpl w:val="6984E318"/>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4ZmU2ZDlhZDk4ZjJjZTk5ODcxYWNkNWNiN2Q4YmQ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2AF0896"/>
    <w:rsid w:val="22D34686"/>
    <w:rsid w:val="2333840E"/>
    <w:rsid w:val="23860B96"/>
    <w:rsid w:val="240371BF"/>
    <w:rsid w:val="257C638F"/>
    <w:rsid w:val="270E5159"/>
    <w:rsid w:val="278706A8"/>
    <w:rsid w:val="298F3407"/>
    <w:rsid w:val="29FD04D3"/>
    <w:rsid w:val="2BFF7BC6"/>
    <w:rsid w:val="2C8A61B5"/>
    <w:rsid w:val="2CD59C95"/>
    <w:rsid w:val="2DF04E50"/>
    <w:rsid w:val="2EC666B2"/>
    <w:rsid w:val="2EFD05E5"/>
    <w:rsid w:val="2F040D46"/>
    <w:rsid w:val="2F4F95CE"/>
    <w:rsid w:val="2FACAFDD"/>
    <w:rsid w:val="2FAE5751"/>
    <w:rsid w:val="2FB1A395"/>
    <w:rsid w:val="2FCF0B76"/>
    <w:rsid w:val="2FD9A7D8"/>
    <w:rsid w:val="319F7F4E"/>
    <w:rsid w:val="3304709D"/>
    <w:rsid w:val="331B704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9D7AE48"/>
    <w:rsid w:val="4A3F6C7E"/>
    <w:rsid w:val="4A627F82"/>
    <w:rsid w:val="4B0E749A"/>
    <w:rsid w:val="4B4F25DA"/>
    <w:rsid w:val="4BB072A9"/>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1D61932"/>
    <w:rsid w:val="627EE9EA"/>
    <w:rsid w:val="63B23AA5"/>
    <w:rsid w:val="647F5392"/>
    <w:rsid w:val="64E322C4"/>
    <w:rsid w:val="65FB93B9"/>
    <w:rsid w:val="6633C463"/>
    <w:rsid w:val="67D55B77"/>
    <w:rsid w:val="67EE7F84"/>
    <w:rsid w:val="686F5F53"/>
    <w:rsid w:val="687509F2"/>
    <w:rsid w:val="68C00F1D"/>
    <w:rsid w:val="695C63DE"/>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7F41780"/>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24"/>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3"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3"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K:\2023&#24180;&#20915;&#31639;\2023&#24180;&#37096;&#38376;&#20915;&#31639;&#20844;&#24320;&#32534;&#21046;&#35828;&#26126;-&#30465;&#26412;&#32423;&#65288;&#37096;&#38376;&#65289;%20(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K:\2023&#24180;&#20915;&#31639;\2023&#24180;&#37096;&#38376;&#20915;&#31639;&#20844;&#24320;&#32534;&#21046;&#35828;&#26126;-&#30465;&#26412;&#32423;&#65288;&#37096;&#38376;&#65289;%20(3).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K:\2023&#24180;&#20915;&#31639;\2023&#24180;&#37096;&#38376;&#20915;&#31639;&#20844;&#24320;&#32534;&#21046;&#35828;&#26126;-&#30465;&#26412;&#32423;&#65288;&#37096;&#38376;&#65289;%20(3).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3"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2023年收入支出（万元）</a:t>
            </a:r>
          </a:p>
          <a:p>
            <a:pPr defTabSz="914400">
              <a:defRPr lang="zh-CN" sz="1400" b="1" i="0" u="none" strike="noStrike" kern="1200" baseline="0">
                <a:solidFill>
                  <a:schemeClr val="tx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[工作簿3]Sheet1!$A$12:$A$15</c:f>
              <c:strCache>
                <c:ptCount val="4"/>
                <c:pt idx="0">
                  <c:v>收入全年预算数</c:v>
                </c:pt>
                <c:pt idx="1">
                  <c:v>支出全年预算数</c:v>
                </c:pt>
                <c:pt idx="2">
                  <c:v>收入决算数</c:v>
                </c:pt>
                <c:pt idx="3">
                  <c:v>支出决算数</c:v>
                </c:pt>
              </c:strCache>
            </c:strRef>
          </c:cat>
          <c:val>
            <c:numRef>
              <c:f>[工作簿3]Sheet1!$B$12:$B$15</c:f>
              <c:numCache>
                <c:formatCode>General</c:formatCode>
                <c:ptCount val="4"/>
                <c:pt idx="0">
                  <c:v>1186.07</c:v>
                </c:pt>
                <c:pt idx="1">
                  <c:v>1186.07</c:v>
                </c:pt>
                <c:pt idx="2">
                  <c:v>1233.16</c:v>
                </c:pt>
                <c:pt idx="3">
                  <c:v>1233.16</c:v>
                </c:pt>
              </c:numCache>
            </c:numRef>
          </c:val>
        </c:ser>
        <c:dLbls>
          <c:showLegendKey val="0"/>
          <c:showVal val="1"/>
          <c:showCatName val="0"/>
          <c:showSerName val="0"/>
          <c:showPercent val="0"/>
          <c:showBubbleSize val="0"/>
        </c:dLbls>
        <c:gapWidth val="246"/>
        <c:overlap val="-28"/>
        <c:axId val="250965788"/>
        <c:axId val="274071465"/>
      </c:barChart>
      <c:catAx>
        <c:axId val="2509657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071465"/>
        <c:crosses val="autoZero"/>
        <c:auto val="1"/>
        <c:lblAlgn val="ctr"/>
        <c:lblOffset val="100"/>
        <c:noMultiLvlLbl val="0"/>
      </c:catAx>
      <c:valAx>
        <c:axId val="27407146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0965788"/>
        <c:crosses val="autoZero"/>
        <c:crossBetween val="between"/>
      </c:valAx>
      <c:spPr>
        <a:noFill/>
        <a:ln>
          <a:noFill/>
        </a:ln>
        <a:effectLst/>
      </c:spPr>
    </c:plotArea>
    <c:plotVisOnly val="1"/>
    <c:dispBlanksAs val="gap"/>
    <c:showDLblsOverMax val="0"/>
    <c:extLst>
      <c:ext uri="{0b15fc19-7d7d-44ad-8c2d-2c3a37ce22c3}">
        <chartProps xmlns="https://web.wps.cn/et/2018/main" chartId="{873394f8-55ed-4aae-afe4-ac8a8c1cb5e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altLang="en-US"/>
              <a:t>年收入占比图</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[工作簿3]Sheet1!$A$1:$A$2</c:f>
              <c:strCache>
                <c:ptCount val="2"/>
                <c:pt idx="0">
                  <c:v>一般公共预算财政拨款收入</c:v>
                </c:pt>
                <c:pt idx="1">
                  <c:v>其他收入</c:v>
                </c:pt>
              </c:strCache>
            </c:strRef>
          </c:cat>
          <c:val>
            <c:numRef>
              <c:f>[工作簿3]Sheet1!$B$1:$B$2</c:f>
              <c:numCache>
                <c:formatCode>0.00%</c:formatCode>
                <c:ptCount val="2"/>
                <c:pt idx="0">
                  <c:v>0.9956</c:v>
                </c:pt>
                <c:pt idx="1">
                  <c:v>0.0044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e299cc-c281-4610-8466-79d9105b8e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2023年度支出情况图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771.04</a:t>
                    </a:r>
                    <a:r>
                      <a:rPr altLang="en-US"/>
                      <a:t>万元</a:t>
                    </a:r>
                    <a:endParaRPr altLang="en-US"/>
                  </a:p>
                  <a:p>
                    <a:pPr defTabSz="914400">
                      <a:defRPr lang="zh-CN" sz="1000" b="0" i="0" u="none" strike="noStrike" kern="1200" baseline="0">
                        <a:solidFill>
                          <a:schemeClr val="tx1">
                            <a:lumMod val="75000"/>
                            <a:lumOff val="25000"/>
                          </a:schemeClr>
                        </a:solidFill>
                        <a:latin typeface="+mn-lt"/>
                        <a:ea typeface="+mn-ea"/>
                        <a:cs typeface="+mn-cs"/>
                      </a:defRPr>
                    </a:pPr>
                    <a:r>
                      <a:t>65%</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415.04</a:t>
                    </a:r>
                    <a:r>
                      <a:rPr altLang="en-US"/>
                      <a:t>万元</a:t>
                    </a:r>
                    <a:endParaRPr altLang="en-US"/>
                  </a:p>
                  <a:p>
                    <a:pPr defTabSz="914400">
                      <a:defRPr lang="zh-CN" sz="1000" b="0" i="0" u="none" strike="noStrike" kern="1200" baseline="0">
                        <a:solidFill>
                          <a:schemeClr val="tx1">
                            <a:lumMod val="75000"/>
                            <a:lumOff val="25000"/>
                          </a:schemeClr>
                        </a:solidFill>
                        <a:latin typeface="+mn-lt"/>
                        <a:ea typeface="+mn-ea"/>
                        <a:cs typeface="+mn-cs"/>
                      </a:defRPr>
                    </a:pPr>
                    <a:r>
                      <a:t>35%</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'[2023年部门决算公开编制说明-省本级（部门） (3).xls]LH01 部门决算量化评价表'!$F$59:$F$64</c:f>
              <c:strCache>
                <c:ptCount val="6"/>
                <c:pt idx="0">
                  <c:v>2023年度支出情况</c:v>
                </c:pt>
                <c:pt idx="1">
                  <c:v>基本支出</c:v>
                </c:pt>
                <c:pt idx="2">
                  <c:v>项目支出</c:v>
                </c:pt>
                <c:pt idx="3">
                  <c:v>上缴上级支出</c:v>
                </c:pt>
                <c:pt idx="4">
                  <c:v>经营支出</c:v>
                </c:pt>
                <c:pt idx="5">
                  <c:v>对附属单位补助支出</c:v>
                </c:pt>
              </c:strCache>
            </c:strRef>
          </c:cat>
          <c:val>
            <c:numRef>
              <c:f>'[2023年部门决算公开编制说明-省本级（部门） (3).xls]LH01 部门决算量化评价表'!$G$59:$G$64</c:f>
              <c:numCache>
                <c:formatCode>General</c:formatCode>
                <c:ptCount val="6"/>
                <c:pt idx="1">
                  <c:v>771.04</c:v>
                </c:pt>
                <c:pt idx="2">
                  <c:v>415.04</c:v>
                </c:pt>
                <c:pt idx="3">
                  <c:v>0</c:v>
                </c:pt>
                <c:pt idx="4">
                  <c:v>0</c:v>
                </c:pt>
                <c:pt idx="5">
                  <c:v>0</c:v>
                </c:pt>
              </c:numCache>
            </c:numRef>
          </c:val>
        </c:ser>
        <c:ser>
          <c:idx val="1"/>
          <c:order val="1"/>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'[2023年部门决算公开编制说明-省本级（部门） (3).xls]LH01 部门决算量化评价表'!$F$59:$F$64</c:f>
              <c:strCache>
                <c:ptCount val="6"/>
                <c:pt idx="0">
                  <c:v>2023年度支出情况</c:v>
                </c:pt>
                <c:pt idx="1">
                  <c:v>基本支出</c:v>
                </c:pt>
                <c:pt idx="2">
                  <c:v>项目支出</c:v>
                </c:pt>
                <c:pt idx="3">
                  <c:v>上缴上级支出</c:v>
                </c:pt>
                <c:pt idx="4">
                  <c:v>经营支出</c:v>
                </c:pt>
                <c:pt idx="5">
                  <c:v>对附属单位补助支出</c:v>
                </c:pt>
              </c:strCache>
            </c:strRef>
          </c:cat>
          <c:val>
            <c:numRef>
              <c:f>'[2023年部门决算公开编制说明-省本级（部门） (3).xls]LH01 部门决算量化评价表'!$H$59:$H$64</c:f>
              <c:numCache>
                <c:formatCode>General</c:formatCode>
                <c:ptCount val="6"/>
                <c:pt idx="1" c:formatCode="0%">
                  <c:v>0.65</c:v>
                </c:pt>
                <c:pt idx="2" c:formatCode="0.00%">
                  <c:v>0.3499</c:v>
                </c:pt>
                <c:pt idx="3" c:formatCode="0%">
                  <c:v>0</c:v>
                </c:pt>
                <c:pt idx="4" c:formatCode="0%">
                  <c:v>0</c:v>
                </c:pt>
                <c:pt idx="5" c:formatCode="0%">
                  <c:v>0</c:v>
                </c:pt>
              </c:numCache>
            </c:numRef>
          </c:val>
        </c:ser>
        <c:dLbls>
          <c:showLegendKey val="0"/>
          <c:showVal val="0"/>
          <c:showCatName val="0"/>
          <c:showSerName val="0"/>
          <c:showPercent val="1"/>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8b8220-ef55-45a8-9805-9d342b55c6f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年度财政拨款收、支情况对比图（万元）</a:t>
            </a:r>
          </a:p>
        </c:rich>
      </c:tx>
      <c:layout>
        <c:manualLayout>
          <c:xMode val="edge"/>
          <c:yMode val="edge"/>
          <c:x val="0.327631578947368"/>
          <c:y val="0.024305555555555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'[2023年部门决算公开编制说明-省本级（部门） (3).xls]LH01 部门决算量化评价表'!$E$73:$E$74</c:f>
              <c:strCache>
                <c:ptCount val="2"/>
                <c:pt idx="0">
                  <c:v>2023年度财政拨款收、支</c:v>
                </c:pt>
                <c:pt idx="1">
                  <c:v>2022年度财政拨款收、支</c:v>
                </c:pt>
              </c:strCache>
            </c:strRef>
          </c:cat>
          <c:val>
            <c:numRef>
              <c:f>'[2023年部门决算公开编制说明-省本级（部门） (3).xls]LH01 部门决算量化评价表'!$F$73:$F$74</c:f>
              <c:numCache>
                <c:formatCode>General</c:formatCode>
                <c:ptCount val="2"/>
                <c:pt idx="0">
                  <c:v>1180.82</c:v>
                </c:pt>
                <c:pt idx="1">
                  <c:v>1109.19</c:v>
                </c:pt>
              </c:numCache>
            </c:numRef>
          </c:val>
        </c:ser>
        <c:dLbls>
          <c:showLegendKey val="0"/>
          <c:showVal val="1"/>
          <c:showCatName val="0"/>
          <c:showSerName val="0"/>
          <c:showPercent val="0"/>
          <c:showBubbleSize val="0"/>
        </c:dLbls>
        <c:gapWidth val="246"/>
        <c:overlap val="-28"/>
        <c:axId val="678301124"/>
        <c:axId val="39891589"/>
      </c:barChart>
      <c:catAx>
        <c:axId val="6783011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891589"/>
        <c:crosses val="autoZero"/>
        <c:auto val="1"/>
        <c:lblAlgn val="ctr"/>
        <c:lblOffset val="100"/>
        <c:noMultiLvlLbl val="0"/>
      </c:catAx>
      <c:valAx>
        <c:axId val="3989158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301124"/>
        <c:crosses val="autoZero"/>
        <c:crossBetween val="between"/>
      </c:valAx>
      <c:spPr>
        <a:noFill/>
        <a:ln>
          <a:noFill/>
        </a:ln>
        <a:effectLst/>
      </c:spPr>
    </c:plotArea>
    <c:plotVisOnly val="1"/>
    <c:dispBlanksAs val="gap"/>
    <c:showDLblsOverMax val="0"/>
    <c:extLst>
      <c:ext uri="{0b15fc19-7d7d-44ad-8c2d-2c3a37ce22c3}">
        <chartProps xmlns="https://web.wps.cn/et/2018/main" chartId="{e98deb29-0c66-4157-93e4-7f3caf11bb2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一般公共预算财政拨款支出对比图（万元）</a:t>
            </a:r>
          </a:p>
        </c:rich>
      </c:tx>
      <c:layout/>
      <c:overlay val="0"/>
      <c:spPr>
        <a:noFill/>
        <a:ln>
          <a:noFill/>
        </a:ln>
        <a:effectLst/>
      </c:spPr>
    </c:title>
    <c:autoTitleDeleted val="0"/>
    <c:plotArea>
      <c:layout/>
      <c:barChart>
        <c:barDir val="col"/>
        <c:grouping val="stacked"/>
        <c:varyColors val="0"/>
        <c:ser>
          <c:idx val="0"/>
          <c:order val="0"/>
          <c:spPr>
            <a:solidFill>
              <a:schemeClr val="accent1">
                <a:lumMod val="75000"/>
              </a:schemeClr>
            </a:solidFill>
            <a:ln>
              <a:solidFill>
                <a:schemeClr val="bg1"/>
              </a:solidFill>
            </a:ln>
            <a:effectLst/>
          </c:spPr>
          <c:invertIfNegative val="0"/>
          <c:dLbls>
            <c:delete val="1"/>
          </c:dLbls>
          <c:cat>
            <c:strRef>
              <c:f>'[2023年部门决算公开编制说明-省本级（部门） (3).xls]LH01 部门决算量化评价表'!$E$73:$E$74</c:f>
              <c:strCache>
                <c:ptCount val="2"/>
                <c:pt idx="0">
                  <c:v>2023年度一般公共预算财政拨款支出</c:v>
                </c:pt>
                <c:pt idx="1">
                  <c:v>2022年度一般公共预算财政拨款支出</c:v>
                </c:pt>
              </c:strCache>
            </c:strRef>
          </c:cat>
          <c:val>
            <c:numRef>
              <c:f>'[2023年部门决算公开编制说明-省本级（部门） (3).xls]LH01 部门决算量化评价表'!$F$73:$F$74</c:f>
              <c:numCache>
                <c:formatCode>General</c:formatCode>
                <c:ptCount val="2"/>
                <c:pt idx="0">
                  <c:v>1180.82</c:v>
                </c:pt>
                <c:pt idx="1">
                  <c:v>1109.19</c:v>
                </c:pt>
              </c:numCache>
            </c:numRef>
          </c:val>
        </c:ser>
        <c:dLbls>
          <c:showLegendKey val="0"/>
          <c:showVal val="0"/>
          <c:showCatName val="0"/>
          <c:showSerName val="0"/>
          <c:showPercent val="0"/>
          <c:showBubbleSize val="0"/>
        </c:dLbls>
        <c:gapWidth val="246"/>
        <c:overlap val="100"/>
        <c:axId val="492401894"/>
        <c:axId val="14613592"/>
      </c:barChart>
      <c:catAx>
        <c:axId val="4924018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13592"/>
        <c:crosses val="autoZero"/>
        <c:auto val="1"/>
        <c:lblAlgn val="ctr"/>
        <c:lblOffset val="100"/>
        <c:noMultiLvlLbl val="0"/>
      </c:catAx>
      <c:valAx>
        <c:axId val="1461359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2401894"/>
        <c:crosses val="autoZero"/>
        <c:crossBetween val="between"/>
      </c:valAx>
      <c:spPr>
        <a:noFill/>
        <a:ln>
          <a:noFill/>
        </a:ln>
        <a:effectLst/>
      </c:spPr>
    </c:plotArea>
    <c:plotVisOnly val="1"/>
    <c:dispBlanksAs val="gap"/>
    <c:showDLblsOverMax val="0"/>
    <c:extLst>
      <c:ext uri="{0b15fc19-7d7d-44ad-8c2d-2c3a37ce22c3}">
        <chartProps xmlns="https://web.wps.cn/et/2018/main" chartId="{b62250bd-4bbe-48e2-94d6-bd6e0e24b2d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支出占比</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Pt>
            <c:idx val="13"/>
            <c:bubble3D val="0"/>
            <c:spPr>
              <a:solidFill>
                <a:schemeClr val="accent2">
                  <a:lumMod val="80000"/>
                  <a:lumOff val="20000"/>
                </a:schemeClr>
              </a:solidFill>
              <a:ln>
                <a:solidFill>
                  <a:schemeClr val="bg1"/>
                </a:solidFill>
              </a:ln>
              <a:effectLst/>
            </c:spPr>
          </c:dPt>
          <c:dPt>
            <c:idx val="14"/>
            <c:bubble3D val="0"/>
            <c:spPr>
              <a:solidFill>
                <a:schemeClr val="accent3">
                  <a:lumMod val="80000"/>
                  <a:lumOff val="20000"/>
                </a:schemeClr>
              </a:solidFill>
              <a:ln>
                <a:solidFill>
                  <a:schemeClr val="bg1"/>
                </a:solidFill>
              </a:ln>
              <a:effectLst/>
            </c:spPr>
          </c:dPt>
          <c:dPt>
            <c:idx val="15"/>
            <c:bubble3D val="0"/>
            <c:spPr>
              <a:solidFill>
                <a:schemeClr val="accent4">
                  <a:lumMod val="80000"/>
                  <a:lumOff val="20000"/>
                </a:schemeClr>
              </a:solidFill>
              <a:ln>
                <a:solidFill>
                  <a:schemeClr val="bg1"/>
                </a:solidFill>
              </a:ln>
              <a:effectLst/>
            </c:spPr>
          </c:dPt>
          <c:dPt>
            <c:idx val="16"/>
            <c:bubble3D val="0"/>
            <c:spPr>
              <a:solidFill>
                <a:schemeClr val="accent5">
                  <a:lumMod val="80000"/>
                  <a:lumOff val="20000"/>
                </a:schemeClr>
              </a:solidFill>
              <a:ln>
                <a:solidFill>
                  <a:schemeClr val="bg1"/>
                </a:solidFill>
              </a:ln>
              <a:effectLst/>
            </c:spPr>
          </c:dPt>
          <c:dPt>
            <c:idx val="17"/>
            <c:bubble3D val="0"/>
            <c:spPr>
              <a:solidFill>
                <a:schemeClr val="accent6">
                  <a:lumMod val="80000"/>
                  <a:lumOff val="20000"/>
                </a:schemeClr>
              </a:solidFill>
              <a:ln>
                <a:solidFill>
                  <a:schemeClr val="bg1"/>
                </a:solidFill>
              </a:ln>
              <a:effectLst/>
            </c:spPr>
          </c:dPt>
          <c:dPt>
            <c:idx val="18"/>
            <c:bubble3D val="0"/>
            <c:spPr>
              <a:solidFill>
                <a:schemeClr val="accent1">
                  <a:lumMod val="80000"/>
                </a:schemeClr>
              </a:solidFill>
              <a:ln>
                <a:solidFill>
                  <a:schemeClr val="bg1"/>
                </a:solidFill>
              </a:ln>
              <a:effectLst/>
            </c:spPr>
          </c:dPt>
          <c:dLbls>
            <c:delete val="1"/>
          </c:dLbls>
          <c:cat>
            <c:strRef>
              <c:f>[工作簿3]Sheet1!$A$26:$B$44</c:f>
              <c:strCache>
                <c:ptCount val="19"/>
                <c:pt idx="0">
                  <c:v>一、一般公共服务支出</c:v>
                </c:pt>
                <c:pt idx="1">
                  <c:v>二、外交支出</c:v>
                </c:pt>
                <c:pt idx="2">
                  <c:v>三、国防支出</c:v>
                </c:pt>
                <c:pt idx="3">
                  <c:v>四、公共安全支出</c:v>
                </c:pt>
                <c:pt idx="4">
                  <c:v>五、教育支出</c:v>
                </c:pt>
                <c:pt idx="5">
                  <c:v>六、科学技术支出</c:v>
                </c:pt>
                <c:pt idx="6">
                  <c:v>七、文化旅游体育与传媒支出</c:v>
                </c:pt>
                <c:pt idx="7">
                  <c:v>八、社会保障和就业支出</c:v>
                </c:pt>
                <c:pt idx="8">
                  <c:v>九、卫生健康支出</c:v>
                </c:pt>
                <c:pt idx="9">
                  <c:v>十、节能环保支出</c:v>
                </c:pt>
                <c:pt idx="10">
                  <c:v>十一、城乡社区支出</c:v>
                </c:pt>
                <c:pt idx="11">
                  <c:v>十二、农林水支出</c:v>
                </c:pt>
                <c:pt idx="12">
                  <c:v>十三、交通运输支出</c:v>
                </c:pt>
                <c:pt idx="13">
                  <c:v>十四、资源勘探工业信息等支出</c:v>
                </c:pt>
                <c:pt idx="14">
                  <c:v>十五、商业服务业等支出</c:v>
                </c:pt>
                <c:pt idx="15">
                  <c:v>十六、金融支出</c:v>
                </c:pt>
                <c:pt idx="16">
                  <c:v>十七、援助其他地区支出</c:v>
                </c:pt>
                <c:pt idx="17">
                  <c:v>十八、自然资源海洋气象等支出</c:v>
                </c:pt>
                <c:pt idx="18">
                  <c:v>十九、住房保障支出</c:v>
                </c:pt>
              </c:strCache>
            </c:strRef>
          </c:cat>
          <c:val>
            <c:numRef>
              <c:f>[工作簿3]Sheet1!$C$26:$C$44</c:f>
              <c:numCache>
                <c:formatCode>0.00%</c:formatCode>
                <c:ptCount val="19"/>
                <c:pt idx="0">
                  <c:v>0.506335567583974</c:v>
                </c:pt>
                <c:pt idx="1">
                  <c:v>0</c:v>
                </c:pt>
                <c:pt idx="2">
                  <c:v>0.00143160663698907</c:v>
                </c:pt>
                <c:pt idx="3">
                  <c:v>0</c:v>
                </c:pt>
                <c:pt idx="4">
                  <c:v>0</c:v>
                </c:pt>
                <c:pt idx="5">
                  <c:v>0</c:v>
                </c:pt>
                <c:pt idx="6">
                  <c:v>0.0114326183731283</c:v>
                </c:pt>
                <c:pt idx="7">
                  <c:v>0.136009173917442</c:v>
                </c:pt>
                <c:pt idx="8">
                  <c:v>0.033865729124511</c:v>
                </c:pt>
                <c:pt idx="9">
                  <c:v>0.0272662889518414</c:v>
                </c:pt>
                <c:pt idx="10">
                  <c:v>0.00502495615810063</c:v>
                </c:pt>
                <c:pt idx="11">
                  <c:v>0.235231814042898</c:v>
                </c:pt>
                <c:pt idx="12">
                  <c:v>0</c:v>
                </c:pt>
                <c:pt idx="13">
                  <c:v>0</c:v>
                </c:pt>
                <c:pt idx="14">
                  <c:v>0</c:v>
                </c:pt>
                <c:pt idx="15">
                  <c:v>0</c:v>
                </c:pt>
                <c:pt idx="16">
                  <c:v>0</c:v>
                </c:pt>
                <c:pt idx="17">
                  <c:v>0</c:v>
                </c:pt>
                <c:pt idx="18">
                  <c:v>0.0433988432483475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6e043c-3182-41dd-a3c9-11a8c93430e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“三公”经费决算占比情况表（万元）</a:t>
            </a:r>
          </a:p>
          <a:p>
            <a:pPr defTabSz="914400">
              <a:defRPr lang="zh-CN" sz="1400" b="1" i="0" u="none" strike="noStrike" kern="1200" baseline="0">
                <a:solidFill>
                  <a:schemeClr val="tx1">
                    <a:lumMod val="75000"/>
                    <a:lumOff val="25000"/>
                  </a:schemeClr>
                </a:solidFill>
                <a:latin typeface="+mn-lt"/>
                <a:ea typeface="+mn-ea"/>
                <a:cs typeface="+mn-cs"/>
              </a:defRPr>
            </a:p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[工作簿3]Sheet1!$A$59:$C$61</c:f>
              <c:strCache>
                <c:ptCount val="3"/>
                <c:pt idx="0">
                  <c:v>因公出国（境）费</c:v>
                </c:pt>
                <c:pt idx="1">
                  <c:v>公务用车购置及运行维护费</c:v>
                </c:pt>
                <c:pt idx="2">
                  <c:v>公务接待费</c:v>
                </c:pt>
              </c:strCache>
            </c:strRef>
          </c:cat>
          <c:val>
            <c:numRef>
              <c:f>[工作簿3]Sheet1!$D$59:$D$61</c:f>
              <c:numCache>
                <c:formatCode>0.00%</c:formatCode>
                <c:ptCount val="3"/>
                <c:pt idx="0">
                  <c:v>0</c:v>
                </c:pt>
                <c:pt idx="1">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b33bd83-e5f4-4909-9cac-3b3e904eff4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1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99</Pages>
  <Words>542</Words>
  <Characters>567</Characters>
  <Lines>72</Lines>
  <Paragraphs>20</Paragraphs>
  <TotalTime>1</TotalTime>
  <ScaleCrop>false</ScaleCrop>
  <LinksUpToDate>false</LinksUpToDate>
  <CharactersWithSpaces>596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盒子精</cp:lastModifiedBy>
  <cp:lastPrinted>2023-08-03T10:35:00Z</cp:lastPrinted>
  <dcterms:modified xsi:type="dcterms:W3CDTF">2024-11-15T02:45:37Z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72DDE13CC7F54E05B39206392C3A37CB_13</vt:lpwstr>
  </property>
</Properties>
</file>