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0E2BFF">
      <w:pPr>
        <w:pStyle w:val="33"/>
        <w:spacing w:beforeAutospacing="0"/>
        <w:jc w:val="center"/>
        <w:rPr>
          <w:rFonts w:cs="宋体"/>
        </w:rPr>
      </w:pPr>
      <w:r>
        <w:rPr>
          <w:rFonts w:cs="宋体"/>
          <w:shd w:val="clear" w:color="auto" w:fill="FFFFFF"/>
        </w:rPr>
        <w:t xml:space="preserve"> </w:t>
      </w:r>
    </w:p>
    <w:p w14:paraId="239B750B">
      <w:pPr>
        <w:pStyle w:val="33"/>
        <w:spacing w:beforeAutospacing="0" w:afterLines="100" w:afterAutospacing="0" w:line="700" w:lineRule="exact"/>
        <w:jc w:val="center"/>
        <w:rPr>
          <w:rStyle w:val="31"/>
          <w:rFonts w:ascii="方正小标宋简体" w:hAnsi="方正小标宋简体" w:eastAsia="方正小标宋简体" w:cs="方正小标宋简体"/>
          <w:sz w:val="44"/>
          <w:szCs w:val="44"/>
          <w:shd w:val="clear" w:color="auto" w:fill="FFFFFF"/>
        </w:rPr>
      </w:pPr>
      <w:r>
        <w:rPr>
          <w:rStyle w:val="31"/>
          <w:rFonts w:hint="eastAsia" w:ascii="方正小标宋简体" w:hAnsi="方正小标宋简体" w:eastAsia="方正小标宋简体" w:cs="方正小标宋简体"/>
          <w:sz w:val="44"/>
          <w:szCs w:val="44"/>
          <w:shd w:val="clear" w:color="auto" w:fill="FFFFFF"/>
        </w:rPr>
        <w:t>阿坝州红原县供销合作社联合社</w:t>
      </w:r>
    </w:p>
    <w:p w14:paraId="04414732">
      <w:pPr>
        <w:pStyle w:val="33"/>
        <w:spacing w:beforeAutospacing="0" w:afterLines="100" w:afterAutospacing="0" w:line="700" w:lineRule="exact"/>
        <w:jc w:val="center"/>
        <w:rPr>
          <w:rStyle w:val="31"/>
          <w:rFonts w:ascii="方正小标宋简体" w:hAnsi="方正小标宋简体" w:eastAsia="方正小标宋简体" w:cs="方正小标宋简体"/>
          <w:sz w:val="44"/>
          <w:szCs w:val="44"/>
          <w:shd w:val="clear" w:color="auto" w:fill="FFFFFF"/>
        </w:rPr>
      </w:pPr>
      <w:r>
        <w:rPr>
          <w:rStyle w:val="31"/>
          <w:rFonts w:ascii="方正小标宋简体" w:hAnsi="方正小标宋简体" w:eastAsia="方正小标宋简体" w:cs="方正小标宋简体"/>
          <w:sz w:val="44"/>
          <w:szCs w:val="44"/>
          <w:shd w:val="clear" w:color="auto" w:fill="FFFFFF"/>
        </w:rPr>
        <w:t>2023</w:t>
      </w:r>
      <w:r>
        <w:rPr>
          <w:rStyle w:val="31"/>
          <w:rFonts w:hint="eastAsia" w:ascii="方正小标宋简体" w:hAnsi="方正小标宋简体" w:eastAsia="方正小标宋简体" w:cs="方正小标宋简体"/>
          <w:sz w:val="44"/>
          <w:szCs w:val="44"/>
          <w:shd w:val="clear" w:color="auto" w:fill="FFFFFF"/>
        </w:rPr>
        <w:t>年度部门决算分析报告</w:t>
      </w:r>
    </w:p>
    <w:p w14:paraId="4E46CE82">
      <w:pPr>
        <w:pStyle w:val="33"/>
        <w:spacing w:beforeAutospacing="0"/>
        <w:jc w:val="center"/>
        <w:rPr>
          <w:rFonts w:cs="宋体"/>
        </w:rPr>
      </w:pPr>
      <w:r>
        <w:rPr>
          <w:rFonts w:cs="宋体"/>
        </w:rPr>
        <w:t xml:space="preserve"> </w:t>
      </w:r>
    </w:p>
    <w:p w14:paraId="75D9C42C">
      <w:pPr>
        <w:pStyle w:val="33"/>
        <w:spacing w:beforeAutospacing="0" w:afterAutospacing="0" w:line="560" w:lineRule="exact"/>
        <w:rPr>
          <w:rFonts w:ascii="黑体" w:hAnsi="黑体" w:eastAsia="黑体" w:cs="黑体"/>
          <w:sz w:val="32"/>
          <w:szCs w:val="32"/>
          <w:shd w:val="clear" w:color="auto" w:fill="FFFFFF"/>
        </w:rPr>
      </w:pPr>
      <w:r>
        <w:rPr>
          <w:rFonts w:ascii="仿宋" w:hAnsi="仿宋" w:eastAsia="仿宋" w:cs="仿宋"/>
          <w:sz w:val="30"/>
          <w:szCs w:val="30"/>
          <w:shd w:val="clear" w:color="auto" w:fill="FFFFFF"/>
        </w:rPr>
        <w:t xml:space="preserve"> </w:t>
      </w:r>
      <w:r>
        <w:rPr>
          <w:rFonts w:hint="eastAsia" w:ascii="黑体" w:hAnsi="黑体" w:eastAsia="黑体" w:cs="黑体"/>
          <w:sz w:val="32"/>
          <w:szCs w:val="32"/>
          <w:shd w:val="clear" w:color="auto" w:fill="FFFFFF"/>
        </w:rPr>
        <w:t>一、单位情况</w:t>
      </w:r>
    </w:p>
    <w:p w14:paraId="7B794D0F">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（一）基本情况</w:t>
      </w:r>
    </w:p>
    <w:p w14:paraId="4AA7395E">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．主要职能</w:t>
      </w:r>
    </w:p>
    <w:p w14:paraId="31FFE717">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红原供销社作为县人民政府的直属参公事业单位，其主要职能和职责是；宣传贯彻党中央、国务院、省委、省政府、州委、州政府和县委、县政府有关农（牧）业、农村经济工作和社会发展的方针、政策；监督管理社有资产，确保社有资产的保值，增值、对直属企业行使出资人的职权，依法享有资产受益、重大决策和选择经营管理者等权利；负责农资和烟花爆竹市场的规范和管理工作；按照州供销社综合改革工作安排，扎实开展红原县供销合作社综合改革试点工作，承担县政府交办的其他事项。</w:t>
      </w:r>
    </w:p>
    <w:p w14:paraId="36386E9E">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本单位本年度纳入本套决算编制范围的独立编制机构数共</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个，比上年增加</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个，独立核算机构数共</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个，比上年增加</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个，无变动。</w:t>
      </w:r>
    </w:p>
    <w:p w14:paraId="22A6928E">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本单位本年度年末实有人数为</w:t>
      </w:r>
      <w:r>
        <w:rPr>
          <w:rFonts w:ascii="仿宋_GB2312" w:hAnsi="仿宋_GB2312" w:eastAsia="仿宋_GB2312" w:cs="仿宋_GB2312"/>
          <w:sz w:val="32"/>
          <w:szCs w:val="32"/>
          <w:shd w:val="clear" w:color="auto" w:fill="FFFFFF"/>
        </w:rPr>
        <w:t>7</w:t>
      </w:r>
      <w:r>
        <w:rPr>
          <w:rFonts w:hint="eastAsia" w:ascii="仿宋_GB2312" w:hAnsi="仿宋_GB2312" w:eastAsia="仿宋_GB2312" w:cs="仿宋_GB2312"/>
          <w:sz w:val="32"/>
          <w:szCs w:val="32"/>
          <w:shd w:val="clear" w:color="auto" w:fill="FFFFFF"/>
        </w:rPr>
        <w:t>人，比上年增加</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人；年末实有离退休人数为</w:t>
      </w:r>
      <w:r>
        <w:rPr>
          <w:rFonts w:ascii="仿宋_GB2312" w:hAnsi="仿宋_GB2312" w:eastAsia="仿宋_GB2312" w:cs="仿宋_GB2312"/>
          <w:sz w:val="32"/>
          <w:szCs w:val="32"/>
          <w:shd w:val="clear" w:color="auto" w:fill="FFFFFF"/>
        </w:rPr>
        <w:t>17</w:t>
      </w:r>
      <w:r>
        <w:rPr>
          <w:rFonts w:hint="eastAsia" w:ascii="仿宋_GB2312" w:hAnsi="仿宋_GB2312" w:eastAsia="仿宋_GB2312" w:cs="仿宋_GB2312"/>
          <w:sz w:val="32"/>
          <w:szCs w:val="32"/>
          <w:shd w:val="clear" w:color="auto" w:fill="FFFFFF"/>
        </w:rPr>
        <w:t>人，比上年减少</w:t>
      </w: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人；年末遗属人数为</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人，比上年增加</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人。</w:t>
      </w:r>
    </w:p>
    <w:p w14:paraId="74EFFE6F">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（二）当年取得的主要事业成效</w:t>
      </w:r>
    </w:p>
    <w:p w14:paraId="2F88533E">
      <w:pPr>
        <w:pStyle w:val="33"/>
        <w:spacing w:beforeAutospacing="0" w:afterAutospacing="0" w:line="560" w:lineRule="exact"/>
        <w:ind w:firstLine="643"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w:t>
      </w:r>
      <w:r>
        <w:rPr>
          <w:rFonts w:ascii="仿宋_GB2312" w:hAnsi="仿宋_GB2312" w:eastAsia="仿宋_GB2312" w:cs="仿宋_GB2312"/>
          <w:b/>
          <w:bCs/>
          <w:sz w:val="32"/>
          <w:szCs w:val="32"/>
          <w:shd w:val="clear" w:color="auto" w:fill="FFFFFF"/>
        </w:rPr>
        <w:t>1</w:t>
      </w:r>
      <w:r>
        <w:rPr>
          <w:rFonts w:hint="eastAsia" w:ascii="仿宋_GB2312" w:hAnsi="仿宋_GB2312" w:eastAsia="仿宋_GB2312" w:cs="仿宋_GB2312"/>
          <w:b/>
          <w:bCs/>
          <w:sz w:val="32"/>
          <w:szCs w:val="32"/>
          <w:shd w:val="clear" w:color="auto" w:fill="FFFFFF"/>
        </w:rPr>
        <w:t>）强化组织领导，确保落实目标任务</w:t>
      </w:r>
    </w:p>
    <w:p w14:paraId="3E72D3B2">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红原县供销社于年初及时召开全体干部职工会议，起草编制红原县三级供销体系建设五年实施规划，在未来</w:t>
      </w:r>
      <w:r>
        <w:rPr>
          <w:rFonts w:ascii="仿宋_GB2312" w:hAnsi="仿宋_GB2312" w:eastAsia="仿宋_GB2312" w:cs="仿宋_GB2312"/>
          <w:sz w:val="32"/>
          <w:szCs w:val="32"/>
          <w:shd w:val="clear" w:color="auto" w:fill="FFFFFF"/>
        </w:rPr>
        <w:t>3-5</w:t>
      </w:r>
      <w:r>
        <w:rPr>
          <w:rFonts w:hint="eastAsia" w:ascii="仿宋_GB2312" w:hAnsi="仿宋_GB2312" w:eastAsia="仿宋_GB2312" w:cs="仿宋_GB2312"/>
          <w:sz w:val="32"/>
          <w:szCs w:val="32"/>
          <w:shd w:val="clear" w:color="auto" w:fill="FFFFFF"/>
        </w:rPr>
        <w:t>年紧密围绕省供销社综合改革“两端”“两网”为农服务体系目标，落实主要领导直接抓，工作人员具体抓，持续推动党建、人才、资金、资产、投资“五个统一”改革，安排工作任务，强化履行职能职责，全面纵深推进工作落实。</w:t>
      </w:r>
    </w:p>
    <w:p w14:paraId="4D82ACF3">
      <w:pPr>
        <w:pStyle w:val="33"/>
        <w:spacing w:beforeAutospacing="0" w:afterAutospacing="0" w:line="560" w:lineRule="exact"/>
        <w:ind w:firstLine="643"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w:t>
      </w:r>
      <w:r>
        <w:rPr>
          <w:rFonts w:ascii="仿宋_GB2312" w:hAnsi="仿宋_GB2312" w:eastAsia="仿宋_GB2312" w:cs="仿宋_GB2312"/>
          <w:b/>
          <w:bCs/>
          <w:sz w:val="32"/>
          <w:szCs w:val="32"/>
          <w:shd w:val="clear" w:color="auto" w:fill="FFFFFF"/>
        </w:rPr>
        <w:t>2</w:t>
      </w:r>
      <w:r>
        <w:rPr>
          <w:rFonts w:hint="eastAsia" w:ascii="仿宋_GB2312" w:hAnsi="仿宋_GB2312" w:eastAsia="仿宋_GB2312" w:cs="仿宋_GB2312"/>
          <w:b/>
          <w:bCs/>
          <w:sz w:val="32"/>
          <w:szCs w:val="32"/>
          <w:shd w:val="clear" w:color="auto" w:fill="FFFFFF"/>
        </w:rPr>
        <w:t>）聚焦产业发展，促进乡村振兴战略</w:t>
      </w:r>
    </w:p>
    <w:p w14:paraId="08146945">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结合供销社实际，聚焦发展产业振兴，全面巩固拓展脱贫攻坚成果，筑牢乡村全面振兴的物质基础，实现乡村高质量发展。由县供销社实施红原县刷经寺气调库建设项目</w:t>
      </w:r>
      <w:r>
        <w:rPr>
          <w:rFonts w:hint="eastAsia" w:ascii="仿宋_GB2312" w:hAnsi="仿宋_GB2312" w:eastAsia="仿宋_GB2312" w:cs="仿宋_GB2312"/>
          <w:sz w:val="32"/>
          <w:szCs w:val="32"/>
          <w:shd w:val="clear" w:color="auto" w:fill="FFFFFF"/>
          <w:lang w:eastAsia="zh-CN"/>
        </w:rPr>
        <w:t>、红原县刷经寺镇高原无公害草莓产业发展项目</w:t>
      </w:r>
      <w:r>
        <w:rPr>
          <w:rFonts w:hint="eastAsia" w:ascii="仿宋_GB2312" w:hAnsi="仿宋_GB2312" w:eastAsia="仿宋_GB2312" w:cs="仿宋_GB2312"/>
          <w:sz w:val="32"/>
          <w:szCs w:val="32"/>
          <w:shd w:val="clear" w:color="auto" w:fill="FFFFFF"/>
          <w:lang w:val="en-US" w:eastAsia="zh-CN"/>
        </w:rPr>
        <w:t>及三社融合项目</w:t>
      </w:r>
      <w:r>
        <w:rPr>
          <w:rFonts w:hint="eastAsia" w:ascii="仿宋_GB2312" w:hAnsi="仿宋_GB2312" w:eastAsia="仿宋_GB2312" w:cs="仿宋_GB2312"/>
          <w:sz w:val="32"/>
          <w:szCs w:val="32"/>
          <w:shd w:val="clear" w:color="auto" w:fill="FFFFFF"/>
        </w:rPr>
        <w:t>，健全与群众利益联结机制，夯实了强县和富民基础，推动产业兴旺向产业振兴推进。</w:t>
      </w:r>
    </w:p>
    <w:p w14:paraId="3ABD1358">
      <w:pPr>
        <w:pStyle w:val="33"/>
        <w:spacing w:beforeAutospacing="0" w:afterAutospacing="0" w:line="560" w:lineRule="exact"/>
        <w:ind w:firstLine="643"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w:t>
      </w:r>
      <w:r>
        <w:rPr>
          <w:rFonts w:ascii="仿宋_GB2312" w:hAnsi="仿宋_GB2312" w:eastAsia="仿宋_GB2312" w:cs="仿宋_GB2312"/>
          <w:b/>
          <w:bCs/>
          <w:sz w:val="32"/>
          <w:szCs w:val="32"/>
          <w:shd w:val="clear" w:color="auto" w:fill="FFFFFF"/>
        </w:rPr>
        <w:t>3</w:t>
      </w:r>
      <w:r>
        <w:rPr>
          <w:rFonts w:hint="eastAsia" w:ascii="仿宋_GB2312" w:hAnsi="仿宋_GB2312" w:eastAsia="仿宋_GB2312" w:cs="仿宋_GB2312"/>
          <w:b/>
          <w:bCs/>
          <w:sz w:val="32"/>
          <w:szCs w:val="32"/>
          <w:shd w:val="clear" w:color="auto" w:fill="FFFFFF"/>
        </w:rPr>
        <w:t>）推进分类改造，提升基层社发展</w:t>
      </w:r>
      <w:bookmarkStart w:id="1" w:name="_GoBack"/>
      <w:bookmarkEnd w:id="1"/>
      <w:r>
        <w:rPr>
          <w:rFonts w:hint="eastAsia" w:ascii="仿宋_GB2312" w:hAnsi="仿宋_GB2312" w:eastAsia="仿宋_GB2312" w:cs="仿宋_GB2312"/>
          <w:b/>
          <w:bCs/>
          <w:sz w:val="32"/>
          <w:szCs w:val="32"/>
          <w:shd w:val="clear" w:color="auto" w:fill="FFFFFF"/>
        </w:rPr>
        <w:t>质量</w:t>
      </w:r>
    </w:p>
    <w:p w14:paraId="7BFB5E2A">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为进一步优化经营服务布局，保持经营服务体系稳定，我社根据镇村调整和区域发展规划，采取联合社帮扶、社有企业带动、基层党建带社建等多种方式，对相对薄弱的瓦切镇供销社进行改造提升。坚持对</w:t>
      </w:r>
      <w:r>
        <w:rPr>
          <w:rFonts w:ascii="仿宋_GB2312" w:hAnsi="仿宋_GB2312" w:eastAsia="仿宋_GB2312" w:cs="仿宋_GB2312"/>
          <w:sz w:val="32"/>
          <w:szCs w:val="32"/>
          <w:shd w:val="clear" w:color="auto" w:fill="FFFFFF"/>
        </w:rPr>
        <w:t>11</w:t>
      </w:r>
      <w:r>
        <w:rPr>
          <w:rFonts w:hint="eastAsia" w:ascii="仿宋_GB2312" w:hAnsi="仿宋_GB2312" w:eastAsia="仿宋_GB2312" w:cs="仿宋_GB2312"/>
          <w:sz w:val="32"/>
          <w:szCs w:val="32"/>
          <w:shd w:val="clear" w:color="auto" w:fill="FFFFFF"/>
        </w:rPr>
        <w:t>个基层社进行分类指导，不断增强为农服务能力与合作经济属性，持续发力推进基层组织建设。</w:t>
      </w:r>
    </w:p>
    <w:p w14:paraId="41434967">
      <w:pPr>
        <w:pStyle w:val="33"/>
        <w:spacing w:beforeAutospacing="0" w:afterAutospacing="0" w:line="560" w:lineRule="exact"/>
        <w:ind w:firstLine="643"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w:t>
      </w:r>
      <w:r>
        <w:rPr>
          <w:rFonts w:ascii="仿宋_GB2312" w:hAnsi="仿宋_GB2312" w:eastAsia="仿宋_GB2312" w:cs="仿宋_GB2312"/>
          <w:b/>
          <w:bCs/>
          <w:sz w:val="32"/>
          <w:szCs w:val="32"/>
          <w:shd w:val="clear" w:color="auto" w:fill="FFFFFF"/>
        </w:rPr>
        <w:t>4)</w:t>
      </w:r>
      <w:r>
        <w:rPr>
          <w:rFonts w:hint="eastAsia" w:ascii="仿宋_GB2312" w:hAnsi="仿宋_GB2312" w:eastAsia="仿宋_GB2312" w:cs="仿宋_GB2312"/>
          <w:b/>
          <w:bCs/>
          <w:sz w:val="32"/>
          <w:szCs w:val="32"/>
          <w:shd w:val="clear" w:color="auto" w:fill="FFFFFF"/>
        </w:rPr>
        <w:t>加强队伍建设，促进供销社高质量发展</w:t>
      </w:r>
    </w:p>
    <w:p w14:paraId="7DACC08A">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对供销社全体干部职工集中进行培训，宣讲“扁担精神”和“背篓精神”，讨论红原县基层社管理相关办法，对全县各基层社相关人员进行系统培训，以提高培训效果、增加实感，强化供销意识和责任担当，进一步加深了对新时代供销社地位作用的认识，开阔了眼界和视野，提高了业务知识，拓展了工作思路，为红原县基层供销社规范化建设起到了推动作用。</w:t>
      </w:r>
    </w:p>
    <w:p w14:paraId="2F4BC1F2">
      <w:pPr>
        <w:pStyle w:val="33"/>
        <w:spacing w:beforeAutospacing="0" w:afterAutospacing="0" w:line="560" w:lineRule="exact"/>
        <w:ind w:firstLine="643" w:firstLineChars="200"/>
        <w:rPr>
          <w:rFonts w:ascii="仿宋_GB2312" w:hAnsi="仿宋_GB2312" w:eastAsia="仿宋_GB2312" w:cs="仿宋_GB2312"/>
          <w:b/>
          <w:bCs/>
          <w:sz w:val="32"/>
          <w:szCs w:val="32"/>
          <w:shd w:val="clear" w:color="auto" w:fill="FFFFFF"/>
        </w:rPr>
      </w:pPr>
      <w:r>
        <w:rPr>
          <w:rFonts w:ascii="仿宋_GB2312" w:hAnsi="仿宋_GB2312" w:eastAsia="仿宋_GB2312" w:cs="仿宋_GB2312"/>
          <w:b/>
          <w:bCs/>
          <w:sz w:val="32"/>
          <w:szCs w:val="32"/>
          <w:shd w:val="clear" w:color="auto" w:fill="FFFFFF"/>
        </w:rPr>
        <w:t>(5)</w:t>
      </w:r>
      <w:r>
        <w:rPr>
          <w:rFonts w:hint="eastAsia" w:ascii="仿宋_GB2312" w:hAnsi="仿宋_GB2312" w:eastAsia="仿宋_GB2312" w:cs="仿宋_GB2312"/>
          <w:b/>
          <w:bCs/>
          <w:sz w:val="32"/>
          <w:szCs w:val="32"/>
          <w:shd w:val="clear" w:color="auto" w:fill="FFFFFF"/>
        </w:rPr>
        <w:t>加强外宣工作，切实提高供销社影响力</w:t>
      </w:r>
    </w:p>
    <w:p w14:paraId="3CC6AEF2">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为改变社会面对供销社边缘化单位、“躺平式”干部的印象，加大对供销工作宣传报道。</w:t>
      </w:r>
    </w:p>
    <w:p w14:paraId="4CC90BA1">
      <w:pPr>
        <w:pStyle w:val="33"/>
        <w:spacing w:beforeAutospacing="0" w:afterAutospacing="0" w:line="560" w:lineRule="exact"/>
        <w:rPr>
          <w:rFonts w:ascii="黑体" w:hAnsi="黑体" w:eastAsia="黑体" w:cs="黑体"/>
          <w:sz w:val="32"/>
          <w:szCs w:val="32"/>
          <w:shd w:val="clear" w:color="auto" w:fill="FFFFFF"/>
        </w:rPr>
      </w:pPr>
      <w:bookmarkStart w:id="0" w:name="YS060102"/>
      <w:r>
        <w:rPr>
          <w:rFonts w:hint="eastAsia" w:ascii="黑体" w:hAnsi="黑体" w:eastAsia="黑体" w:cs="黑体"/>
          <w:sz w:val="32"/>
          <w:szCs w:val="32"/>
          <w:shd w:val="clear" w:color="auto" w:fill="FFFFFF"/>
        </w:rPr>
        <w:t>二、收入支出预算执行情况分析</w:t>
      </w:r>
    </w:p>
    <w:bookmarkEnd w:id="0"/>
    <w:p w14:paraId="1F071B58">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（一）收入支出预算安排情况</w:t>
      </w:r>
    </w:p>
    <w:p w14:paraId="6E69DEB8">
      <w:pPr>
        <w:pStyle w:val="33"/>
        <w:spacing w:beforeAutospacing="0"/>
        <w:ind w:firstLine="640" w:firstLineChars="200"/>
        <w:jc w:val="both"/>
        <w:rPr>
          <w:rStyle w:val="31"/>
          <w:rFonts w:ascii="宋体" w:hAnsi="宋体" w:cs="宋体"/>
          <w:b w:val="0"/>
          <w:bCs/>
          <w:sz w:val="30"/>
          <w:szCs w:val="30"/>
          <w:shd w:val="clear" w:color="auto" w:fill="FFFFFF"/>
        </w:rPr>
      </w:pPr>
      <w:r>
        <w:rPr>
          <w:rFonts w:hint="eastAsia" w:ascii="仿宋_GB2312" w:hAnsi="仿宋_GB2312" w:eastAsia="仿宋_GB2312" w:cs="仿宋_GB2312"/>
          <w:sz w:val="32"/>
          <w:szCs w:val="32"/>
          <w:shd w:val="clear" w:color="auto" w:fill="FFFFFF"/>
        </w:rPr>
        <w:t>本单位本年度收入的年初预算数为</w:t>
      </w:r>
      <w:r>
        <w:rPr>
          <w:rFonts w:ascii="仿宋_GB2312" w:hAnsi="仿宋_GB2312" w:eastAsia="仿宋_GB2312" w:cs="仿宋_GB2312"/>
          <w:sz w:val="32"/>
          <w:szCs w:val="32"/>
          <w:shd w:val="clear" w:color="auto" w:fill="FFFFFF"/>
        </w:rPr>
        <w:t>205.94</w:t>
      </w:r>
      <w:r>
        <w:rPr>
          <w:rFonts w:hint="eastAsia" w:ascii="仿宋_GB2312" w:hAnsi="仿宋_GB2312" w:eastAsia="仿宋_GB2312" w:cs="仿宋_GB2312"/>
          <w:sz w:val="32"/>
          <w:szCs w:val="32"/>
          <w:shd w:val="clear" w:color="auto" w:fill="FFFFFF"/>
        </w:rPr>
        <w:t>万元，上年度收入的年初预算数为</w:t>
      </w:r>
      <w:r>
        <w:rPr>
          <w:rFonts w:ascii="仿宋_GB2312" w:hAnsi="仿宋_GB2312" w:eastAsia="仿宋_GB2312" w:cs="仿宋_GB2312"/>
          <w:sz w:val="32"/>
          <w:szCs w:val="32"/>
          <w:shd w:val="clear" w:color="auto" w:fill="FFFFFF"/>
        </w:rPr>
        <w:t>132.46</w:t>
      </w:r>
      <w:r>
        <w:rPr>
          <w:rFonts w:hint="eastAsia" w:ascii="仿宋_GB2312" w:hAnsi="仿宋_GB2312" w:eastAsia="仿宋_GB2312" w:cs="仿宋_GB2312"/>
          <w:sz w:val="32"/>
          <w:szCs w:val="32"/>
          <w:shd w:val="clear" w:color="auto" w:fill="FFFFFF"/>
        </w:rPr>
        <w:t>万元，差异为</w:t>
      </w:r>
      <w:r>
        <w:rPr>
          <w:rFonts w:ascii="仿宋_GB2312" w:hAnsi="仿宋_GB2312" w:eastAsia="仿宋_GB2312" w:cs="仿宋_GB2312"/>
          <w:sz w:val="32"/>
          <w:szCs w:val="32"/>
          <w:shd w:val="clear" w:color="auto" w:fill="FFFFFF"/>
        </w:rPr>
        <w:t>73.48</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主要原因为今年项目增加</w:t>
      </w:r>
      <w:r>
        <w:rPr>
          <w:rFonts w:hint="eastAsia" w:ascii="仿宋_GB2312" w:hAnsi="仿宋_GB2312" w:eastAsia="仿宋_GB2312" w:cs="仿宋_GB2312"/>
          <w:sz w:val="32"/>
          <w:szCs w:val="32"/>
          <w:shd w:val="clear" w:color="auto" w:fill="FFFFFF"/>
        </w:rPr>
        <w:t>。本年度支出的年初预算数为</w:t>
      </w:r>
      <w:r>
        <w:rPr>
          <w:rFonts w:ascii="仿宋_GB2312" w:hAnsi="仿宋_GB2312" w:eastAsia="仿宋_GB2312" w:cs="仿宋_GB2312"/>
          <w:sz w:val="32"/>
          <w:szCs w:val="32"/>
          <w:shd w:val="clear" w:color="auto" w:fill="FFFFFF"/>
        </w:rPr>
        <w:t>205.94</w:t>
      </w:r>
      <w:r>
        <w:rPr>
          <w:rFonts w:hint="eastAsia" w:ascii="仿宋_GB2312" w:hAnsi="仿宋_GB2312" w:eastAsia="仿宋_GB2312" w:cs="仿宋_GB2312"/>
          <w:sz w:val="32"/>
          <w:szCs w:val="32"/>
          <w:shd w:val="clear" w:color="auto" w:fill="FFFFFF"/>
        </w:rPr>
        <w:t>万元，上年度支出的年初预算数为</w:t>
      </w:r>
      <w:r>
        <w:rPr>
          <w:rFonts w:ascii="仿宋_GB2312" w:hAnsi="仿宋_GB2312" w:eastAsia="仿宋_GB2312" w:cs="仿宋_GB2312"/>
          <w:sz w:val="32"/>
          <w:szCs w:val="32"/>
          <w:shd w:val="clear" w:color="auto" w:fill="FFFFFF"/>
        </w:rPr>
        <w:t>132.46</w:t>
      </w:r>
      <w:r>
        <w:rPr>
          <w:rFonts w:hint="eastAsia" w:ascii="仿宋_GB2312" w:hAnsi="仿宋_GB2312" w:eastAsia="仿宋_GB2312" w:cs="仿宋_GB2312"/>
          <w:sz w:val="32"/>
          <w:szCs w:val="32"/>
          <w:shd w:val="clear" w:color="auto" w:fill="FFFFFF"/>
        </w:rPr>
        <w:t>万元，差异为</w:t>
      </w:r>
      <w:r>
        <w:rPr>
          <w:rFonts w:ascii="仿宋_GB2312" w:hAnsi="仿宋_GB2312" w:eastAsia="仿宋_GB2312" w:cs="仿宋_GB2312"/>
          <w:sz w:val="32"/>
          <w:szCs w:val="32"/>
          <w:shd w:val="clear" w:color="auto" w:fill="FFFFFF"/>
        </w:rPr>
        <w:t>73.48</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主要原因为今年项目增加。</w:t>
      </w:r>
    </w:p>
    <w:p w14:paraId="773809AC">
      <w:pPr>
        <w:pStyle w:val="33"/>
        <w:spacing w:beforeAutospacing="0"/>
        <w:ind w:firstLine="480" w:firstLineChars="200"/>
        <w:rPr>
          <w:rFonts w:cs="宋体"/>
          <w:b/>
          <w:sz w:val="30"/>
          <w:szCs w:val="30"/>
          <w:shd w:val="clear" w:color="auto" w:fill="FFFFFF"/>
        </w:rPr>
      </w:pPr>
      <w:r>
        <w:rPr>
          <w:rFonts w:cs="宋体"/>
        </w:rPr>
        <w:object>
          <v:shape id="_x0000_i1025" o:spt="75" type="#_x0000_t75" style="height:189.75pt;width:340.5pt;" o:ole="t" filled="f" o:preferrelative="t" stroked="f" coordsize="21600,21600">
            <v:path/>
            <v:fill on="f" focussize="0,0"/>
            <v:stroke on="f" joinstyle="miter"/>
            <v:imagedata r:id="rId5" o:title=""/>
            <o:lock v:ext="edit" aspectratio="f"/>
            <w10:wrap type="none"/>
            <w10:anchorlock/>
          </v:shape>
          <o:OLEObject Type="Embed" ProgID="Excel.Chart.8" ShapeID="_x0000_i1025" DrawAspect="Content" ObjectID="_1468075725" r:id="rId4">
            <o:LockedField>false</o:LockedField>
          </o:OLEObject>
        </w:object>
      </w:r>
    </w:p>
    <w:p w14:paraId="0472DFC6">
      <w:pPr>
        <w:pStyle w:val="33"/>
        <w:spacing w:beforeAutospacing="0"/>
        <w:ind w:firstLine="482" w:firstLineChars="200"/>
        <w:rPr>
          <w:rStyle w:val="31"/>
          <w:rFonts w:ascii="宋体" w:hAnsi="宋体" w:cs="宋体"/>
          <w:shd w:val="clear" w:color="auto" w:fill="FFFFFF"/>
        </w:rPr>
      </w:pPr>
      <w:r>
        <w:rPr>
          <w:rStyle w:val="31"/>
          <w:rFonts w:ascii="宋体" w:hAnsi="宋体" w:cs="宋体"/>
          <w:shd w:val="clear" w:color="auto" w:fill="FFFFFF"/>
        </w:rPr>
        <w:t xml:space="preserve"> </w:t>
      </w:r>
    </w:p>
    <w:p w14:paraId="4F2E71D8">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（二）收入支出预算执行情况</w:t>
      </w:r>
    </w:p>
    <w:p w14:paraId="143C2124">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本单位本年度收入调整预算数为</w:t>
      </w:r>
      <w:r>
        <w:rPr>
          <w:rFonts w:ascii="仿宋_GB2312" w:hAnsi="仿宋_GB2312" w:eastAsia="仿宋_GB2312" w:cs="仿宋_GB2312"/>
          <w:sz w:val="32"/>
          <w:szCs w:val="32"/>
          <w:shd w:val="clear" w:color="auto" w:fill="FFFFFF"/>
        </w:rPr>
        <w:t>1,030.59</w:t>
      </w:r>
      <w:r>
        <w:rPr>
          <w:rFonts w:hint="eastAsia" w:ascii="仿宋_GB2312" w:hAnsi="仿宋_GB2312" w:eastAsia="仿宋_GB2312" w:cs="仿宋_GB2312"/>
          <w:sz w:val="32"/>
          <w:szCs w:val="32"/>
          <w:shd w:val="clear" w:color="auto" w:fill="FFFFFF"/>
        </w:rPr>
        <w:t>万元，收入决算数为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63.76%</w:t>
      </w:r>
      <w:r>
        <w:rPr>
          <w:rFonts w:hint="eastAsia" w:ascii="仿宋_GB2312" w:hAnsi="仿宋_GB2312" w:eastAsia="仿宋_GB2312" w:cs="仿宋_GB2312"/>
          <w:sz w:val="32"/>
          <w:szCs w:val="32"/>
          <w:shd w:val="clear" w:color="auto" w:fill="FFFFFF"/>
        </w:rPr>
        <w:t>，上年度预算完成度为</w:t>
      </w:r>
      <w:r>
        <w:rPr>
          <w:rFonts w:ascii="仿宋_GB2312" w:hAnsi="仿宋_GB2312" w:eastAsia="仿宋_GB2312" w:cs="仿宋_GB2312"/>
          <w:sz w:val="32"/>
          <w:szCs w:val="32"/>
          <w:shd w:val="clear" w:color="auto" w:fill="FFFFFF"/>
        </w:rPr>
        <w:t>100.00%</w:t>
      </w:r>
      <w:r>
        <w:rPr>
          <w:rFonts w:hint="eastAsia" w:ascii="仿宋_GB2312" w:hAnsi="仿宋_GB2312" w:eastAsia="仿宋_GB2312" w:cs="仿宋_GB2312"/>
          <w:sz w:val="32"/>
          <w:szCs w:val="32"/>
          <w:shd w:val="clear" w:color="auto" w:fill="FFFFFF"/>
        </w:rPr>
        <w:t>。本年度支出调整预算数为</w:t>
      </w:r>
      <w:r>
        <w:rPr>
          <w:rFonts w:ascii="仿宋_GB2312" w:hAnsi="仿宋_GB2312" w:eastAsia="仿宋_GB2312" w:cs="仿宋_GB2312"/>
          <w:sz w:val="32"/>
          <w:szCs w:val="32"/>
          <w:shd w:val="clear" w:color="auto" w:fill="FFFFFF"/>
        </w:rPr>
        <w:t>1,030.59</w:t>
      </w:r>
      <w:r>
        <w:rPr>
          <w:rFonts w:hint="eastAsia" w:ascii="仿宋_GB2312" w:hAnsi="仿宋_GB2312" w:eastAsia="仿宋_GB2312" w:cs="仿宋_GB2312"/>
          <w:sz w:val="32"/>
          <w:szCs w:val="32"/>
          <w:shd w:val="clear" w:color="auto" w:fill="FFFFFF"/>
        </w:rPr>
        <w:t>万元，支出决算数为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63.76%</w:t>
      </w:r>
      <w:r>
        <w:rPr>
          <w:rFonts w:hint="eastAsia" w:ascii="仿宋_GB2312" w:hAnsi="仿宋_GB2312" w:eastAsia="仿宋_GB2312" w:cs="仿宋_GB2312"/>
          <w:sz w:val="32"/>
          <w:szCs w:val="32"/>
          <w:shd w:val="clear" w:color="auto" w:fill="FFFFFF"/>
        </w:rPr>
        <w:t>，上年度预算完成度为</w:t>
      </w:r>
      <w:r>
        <w:rPr>
          <w:rFonts w:ascii="仿宋_GB2312" w:hAnsi="仿宋_GB2312" w:eastAsia="仿宋_GB2312" w:cs="仿宋_GB2312"/>
          <w:sz w:val="32"/>
          <w:szCs w:val="32"/>
          <w:shd w:val="clear" w:color="auto" w:fill="FFFFFF"/>
        </w:rPr>
        <w:t>100%</w:t>
      </w:r>
      <w:r>
        <w:rPr>
          <w:rFonts w:hint="eastAsia" w:ascii="仿宋_GB2312" w:hAnsi="仿宋_GB2312" w:eastAsia="仿宋_GB2312" w:cs="仿宋_GB2312"/>
          <w:sz w:val="32"/>
          <w:szCs w:val="32"/>
          <w:shd w:val="clear" w:color="auto" w:fill="FFFFFF"/>
        </w:rPr>
        <w:t>。</w:t>
      </w:r>
    </w:p>
    <w:p w14:paraId="6321ED42">
      <w:pPr>
        <w:pStyle w:val="33"/>
        <w:spacing w:beforeAutospacing="0"/>
        <w:jc w:val="center"/>
        <w:rPr>
          <w:rFonts w:cs="宋体"/>
          <w:shd w:val="clear" w:color="auto" w:fill="FFFFFF"/>
        </w:rPr>
      </w:pPr>
      <w:r>
        <w:rPr>
          <w:rFonts w:cs="宋体"/>
        </w:rPr>
        <w:object>
          <v:shape id="_x0000_i1026" o:spt="75" type="#_x0000_t75" style="height:189.75pt;width:340.5pt;" o:ole="t" filled="f" o:preferrelative="t" stroked="f" coordsize="21600,21600">
            <v:path/>
            <v:fill on="f" focussize="0,0"/>
            <v:stroke on="f" joinstyle="miter"/>
            <v:imagedata r:id="rId7" o:title=""/>
            <o:lock v:ext="edit" aspectratio="f"/>
            <w10:wrap type="none"/>
            <w10:anchorlock/>
          </v:shape>
          <o:OLEObject Type="Embed" ProgID="Excel.Chart.8" ShapeID="_x0000_i1026" DrawAspect="Content" ObjectID="_1468075726" r:id="rId6">
            <o:LockedField>false</o:LockedField>
          </o:OLEObject>
        </w:object>
      </w:r>
    </w:p>
    <w:p w14:paraId="4F35D163">
      <w:pPr>
        <w:pStyle w:val="33"/>
        <w:spacing w:beforeAutospacing="0" w:afterAutospacing="0" w:line="560" w:lineRule="exact"/>
        <w:rPr>
          <w:rFonts w:ascii="仿宋" w:hAnsi="仿宋" w:eastAsia="仿宋" w:cs="仿宋"/>
          <w:sz w:val="30"/>
          <w:szCs w:val="30"/>
        </w:rPr>
      </w:pPr>
      <w:r>
        <w:rPr>
          <w:rFonts w:ascii="仿宋_GB2312" w:hAnsi="仿宋_GB2312" w:eastAsia="仿宋_GB2312" w:cs="仿宋_GB2312"/>
          <w:b/>
          <w:bCs/>
          <w:sz w:val="32"/>
          <w:szCs w:val="32"/>
          <w:shd w:val="clear" w:color="auto" w:fill="FFFFFF"/>
        </w:rPr>
        <w:t>1</w:t>
      </w:r>
      <w:r>
        <w:rPr>
          <w:rFonts w:hint="eastAsia" w:ascii="仿宋_GB2312" w:hAnsi="仿宋_GB2312" w:eastAsia="仿宋_GB2312" w:cs="仿宋_GB2312"/>
          <w:b/>
          <w:bCs/>
          <w:sz w:val="32"/>
          <w:szCs w:val="32"/>
          <w:shd w:val="clear" w:color="auto" w:fill="FFFFFF"/>
        </w:rPr>
        <w:t>．收入支出与预算对比分析</w:t>
      </w:r>
    </w:p>
    <w:p w14:paraId="47CAF525">
      <w:pPr>
        <w:pStyle w:val="33"/>
        <w:spacing w:beforeAutospacing="0" w:afterLines="100" w:afterAutospacing="0" w:line="560" w:lineRule="exact"/>
        <w:ind w:firstLine="640" w:firstLineChars="200"/>
        <w:jc w:val="both"/>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sz w:val="32"/>
          <w:szCs w:val="32"/>
          <w:shd w:val="clear" w:color="auto" w:fill="FFFFFF"/>
        </w:rPr>
        <w:t>本单位本年度收入年初预算数为</w:t>
      </w:r>
      <w:r>
        <w:rPr>
          <w:rFonts w:ascii="仿宋_GB2312" w:hAnsi="仿宋_GB2312" w:eastAsia="仿宋_GB2312" w:cs="仿宋_GB2312"/>
          <w:sz w:val="32"/>
          <w:szCs w:val="32"/>
          <w:shd w:val="clear" w:color="auto" w:fill="FFFFFF"/>
        </w:rPr>
        <w:t>205.94</w:t>
      </w:r>
      <w:r>
        <w:rPr>
          <w:rFonts w:hint="eastAsia" w:ascii="仿宋_GB2312" w:hAnsi="仿宋_GB2312" w:eastAsia="仿宋_GB2312" w:cs="仿宋_GB2312"/>
          <w:sz w:val="32"/>
          <w:szCs w:val="32"/>
          <w:shd w:val="clear" w:color="auto" w:fill="FFFFFF"/>
        </w:rPr>
        <w:t>万元，收入决算数为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万元，相差</w:t>
      </w:r>
      <w:r>
        <w:rPr>
          <w:rFonts w:ascii="仿宋_GB2312" w:hAnsi="仿宋_GB2312" w:eastAsia="仿宋_GB2312" w:cs="仿宋_GB2312"/>
          <w:sz w:val="32"/>
          <w:szCs w:val="32"/>
          <w:shd w:val="clear" w:color="auto" w:fill="FFFFFF"/>
        </w:rPr>
        <w:t>451.19</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b/>
          <w:bCs/>
          <w:sz w:val="32"/>
          <w:szCs w:val="32"/>
          <w:shd w:val="clear" w:color="auto" w:fill="FFFFFF"/>
        </w:rPr>
        <w:t>主要原因为今年项目增加</w:t>
      </w:r>
      <w:r>
        <w:rPr>
          <w:rFonts w:hint="eastAsia" w:ascii="仿宋_GB2312" w:hAnsi="仿宋_GB2312" w:eastAsia="仿宋_GB2312" w:cs="仿宋_GB2312"/>
          <w:sz w:val="32"/>
          <w:szCs w:val="32"/>
          <w:shd w:val="clear" w:color="auto" w:fill="FFFFFF"/>
        </w:rPr>
        <w:t>。本单位本年度支出年初预算数为</w:t>
      </w:r>
      <w:r>
        <w:rPr>
          <w:rFonts w:ascii="仿宋_GB2312" w:hAnsi="仿宋_GB2312" w:eastAsia="仿宋_GB2312" w:cs="仿宋_GB2312"/>
          <w:sz w:val="32"/>
          <w:szCs w:val="32"/>
          <w:shd w:val="clear" w:color="auto" w:fill="FFFFFF"/>
        </w:rPr>
        <w:t>205.94</w:t>
      </w:r>
      <w:r>
        <w:rPr>
          <w:rFonts w:hint="eastAsia" w:ascii="仿宋_GB2312" w:hAnsi="仿宋_GB2312" w:eastAsia="仿宋_GB2312" w:cs="仿宋_GB2312"/>
          <w:sz w:val="32"/>
          <w:szCs w:val="32"/>
          <w:shd w:val="clear" w:color="auto" w:fill="FFFFFF"/>
        </w:rPr>
        <w:t>万元，支出决算数为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万元，相差</w:t>
      </w:r>
      <w:r>
        <w:rPr>
          <w:rFonts w:ascii="仿宋_GB2312" w:hAnsi="仿宋_GB2312" w:eastAsia="仿宋_GB2312" w:cs="仿宋_GB2312"/>
          <w:sz w:val="32"/>
          <w:szCs w:val="32"/>
          <w:shd w:val="clear" w:color="auto" w:fill="FFFFFF"/>
        </w:rPr>
        <w:t>451.19</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b/>
          <w:bCs/>
          <w:sz w:val="32"/>
          <w:szCs w:val="32"/>
          <w:shd w:val="clear" w:color="auto" w:fill="FFFFFF"/>
        </w:rPr>
        <w:t>主要原因为今年项目增加。</w:t>
      </w:r>
    </w:p>
    <w:p w14:paraId="283F1341">
      <w:pPr>
        <w:jc w:val="center"/>
      </w:pPr>
      <w:r>
        <w:object>
          <v:shape id="_x0000_i1027" o:spt="75" type="#_x0000_t75" style="height:231.75pt;width:369pt;" o:ole="t" filled="f" o:preferrelative="t" stroked="f" coordsize="21600,21600">
            <v:path/>
            <v:fill on="f" focussize="0,0"/>
            <v:stroke on="f" joinstyle="miter"/>
            <v:imagedata r:id="rId9" cropbottom="-14f" o:title=""/>
            <o:lock v:ext="edit" aspectratio="f"/>
            <w10:wrap type="none"/>
            <w10:anchorlock/>
          </v:shape>
          <o:OLEObject Type="Embed" ProgID="Excel.Chart.8" ShapeID="_x0000_i1027" DrawAspect="Content" ObjectID="_1468075727" r:id="rId8">
            <o:LockedField>false</o:LockedField>
          </o:OLEObject>
        </w:object>
      </w:r>
    </w:p>
    <w:p w14:paraId="2EEF83B7">
      <w:pPr>
        <w:pStyle w:val="33"/>
        <w:spacing w:beforeLines="100" w:beforeAutospacing="0" w:afterAutospacing="0" w:line="560" w:lineRule="exact"/>
        <w:rPr>
          <w:rFonts w:ascii="仿宋_GB2312" w:hAnsi="仿宋_GB2312" w:eastAsia="仿宋_GB2312" w:cs="仿宋_GB2312"/>
          <w:b/>
          <w:bCs/>
          <w:sz w:val="32"/>
          <w:szCs w:val="32"/>
          <w:shd w:val="clear" w:color="auto" w:fill="FFFFFF"/>
        </w:rPr>
      </w:pPr>
      <w:r>
        <w:rPr>
          <w:rFonts w:ascii="仿宋_GB2312" w:hAnsi="仿宋_GB2312" w:eastAsia="仿宋_GB2312" w:cs="仿宋_GB2312"/>
          <w:b/>
          <w:bCs/>
          <w:sz w:val="32"/>
          <w:szCs w:val="32"/>
          <w:shd w:val="clear" w:color="auto" w:fill="FFFFFF"/>
        </w:rPr>
        <w:t>2</w:t>
      </w:r>
      <w:r>
        <w:rPr>
          <w:rFonts w:hint="eastAsia" w:ascii="仿宋_GB2312" w:hAnsi="仿宋_GB2312" w:eastAsia="仿宋_GB2312" w:cs="仿宋_GB2312"/>
          <w:b/>
          <w:bCs/>
          <w:sz w:val="32"/>
          <w:szCs w:val="32"/>
          <w:shd w:val="clear" w:color="auto" w:fill="FFFFFF"/>
        </w:rPr>
        <w:t>．收入支出结构分析</w:t>
      </w:r>
    </w:p>
    <w:p w14:paraId="684FCAB1">
      <w:pPr>
        <w:pStyle w:val="33"/>
        <w:spacing w:beforeAutospacing="0" w:line="560" w:lineRule="exact"/>
        <w:ind w:firstLine="640" w:firstLineChars="200"/>
        <w:rPr>
          <w:rFonts w:ascii="仿宋" w:hAnsi="仿宋" w:eastAsia="仿宋" w:cs="仿宋"/>
          <w:sz w:val="30"/>
          <w:szCs w:val="30"/>
          <w:shd w:val="clear" w:color="auto" w:fill="FFFFFF"/>
        </w:rPr>
      </w:pPr>
      <w:r>
        <w:rPr>
          <w:rFonts w:hint="eastAsia" w:ascii="仿宋_GB2312" w:hAnsi="仿宋_GB2312" w:eastAsia="仿宋_GB2312" w:cs="仿宋_GB2312"/>
          <w:sz w:val="32"/>
          <w:szCs w:val="32"/>
          <w:shd w:val="clear" w:color="auto" w:fill="FFFFFF"/>
        </w:rPr>
        <w:t>本单位本年度总收入为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万元。其中：一般公共预算财政拨款收入为</w:t>
      </w:r>
      <w:r>
        <w:rPr>
          <w:rFonts w:ascii="仿宋_GB2312" w:hAnsi="仿宋_GB2312" w:eastAsia="仿宋_GB2312" w:cs="仿宋_GB2312"/>
          <w:sz w:val="32"/>
          <w:szCs w:val="32"/>
          <w:shd w:val="clear" w:color="auto" w:fill="FFFFFF"/>
        </w:rPr>
        <w:t>628.41</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95.63%</w:t>
      </w:r>
      <w:r>
        <w:rPr>
          <w:rFonts w:hint="eastAsia" w:ascii="仿宋_GB2312" w:hAnsi="仿宋_GB2312" w:eastAsia="仿宋_GB2312" w:cs="仿宋_GB2312"/>
          <w:sz w:val="32"/>
          <w:szCs w:val="32"/>
          <w:shd w:val="clear" w:color="auto" w:fill="FFFFFF"/>
        </w:rPr>
        <w:t>。</w:t>
      </w:r>
    </w:p>
    <w:p w14:paraId="0174B64B">
      <w:pPr>
        <w:pStyle w:val="33"/>
        <w:spacing w:beforeLines="200" w:beforeAutospacing="0" w:afterAutospacing="0" w:line="560" w:lineRule="exact"/>
        <w:ind w:firstLine="480" w:firstLineChars="200"/>
        <w:rPr>
          <w:rFonts w:ascii="仿宋" w:hAnsi="仿宋" w:eastAsia="仿宋" w:cs="仿宋"/>
          <w:sz w:val="30"/>
          <w:szCs w:val="30"/>
          <w:shd w:val="clear" w:color="auto" w:fill="FFFFFF"/>
        </w:rPr>
      </w:pPr>
      <w:r>
        <w:pict>
          <v:shape id="图表 13" o:spid="_x0000_s1026" o:spt="75" type="#_x0000_t75" style="position:absolute;left:0pt;margin-left:66.3pt;margin-top:8.25pt;height:216.95pt;width:272.65pt;mso-wrap-distance-bottom:0pt;mso-wrap-distance-top:0pt;z-index:251659264;mso-width-relative:page;mso-height-relative:page;" filled="f" o:preferrelative="t" stroked="f" coordsize="21600,21600">
            <v:path/>
            <v:fill on="f" focussize="0,0"/>
            <v:stroke on="f" joinstyle="miter"/>
            <v:imagedata r:id="rId10" o:title=""/>
            <o:lock v:ext="edit" aspectratio="f"/>
            <w10:wrap type="topAndBottom"/>
          </v:shape>
        </w:pict>
      </w:r>
      <w:r>
        <w:rPr>
          <w:rFonts w:hint="eastAsia" w:ascii="仿宋_GB2312" w:hAnsi="仿宋_GB2312" w:eastAsia="仿宋_GB2312" w:cs="仿宋_GB2312"/>
          <w:sz w:val="32"/>
          <w:szCs w:val="32"/>
          <w:shd w:val="clear" w:color="auto" w:fill="FFFFFF"/>
        </w:rPr>
        <w:t>本年度总支出为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万元。其中：一般公共服务支出为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；文化旅游体育与传媒支出为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；社会保障和就业支出为</w:t>
      </w:r>
      <w:r>
        <w:rPr>
          <w:rFonts w:ascii="仿宋_GB2312" w:hAnsi="仿宋_GB2312" w:eastAsia="仿宋_GB2312" w:cs="仿宋_GB2312"/>
          <w:sz w:val="32"/>
          <w:szCs w:val="32"/>
          <w:shd w:val="clear" w:color="auto" w:fill="FFFFFF"/>
        </w:rPr>
        <w:t>24.54</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3.73%</w:t>
      </w:r>
      <w:r>
        <w:rPr>
          <w:rFonts w:hint="eastAsia" w:ascii="仿宋_GB2312" w:hAnsi="仿宋_GB2312" w:eastAsia="仿宋_GB2312" w:cs="仿宋_GB2312"/>
          <w:sz w:val="32"/>
          <w:szCs w:val="32"/>
          <w:shd w:val="clear" w:color="auto" w:fill="FFFFFF"/>
        </w:rPr>
        <w:t>；卫生健康支出为</w:t>
      </w:r>
      <w:r>
        <w:rPr>
          <w:rFonts w:ascii="仿宋_GB2312" w:hAnsi="仿宋_GB2312" w:eastAsia="仿宋_GB2312" w:cs="仿宋_GB2312"/>
          <w:sz w:val="32"/>
          <w:szCs w:val="32"/>
          <w:shd w:val="clear" w:color="auto" w:fill="FFFFFF"/>
        </w:rPr>
        <w:t>13.26</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rPr>
        <w:t>；节能环保支出为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；城乡社区支出为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；农林水支出为</w:t>
      </w:r>
      <w:r>
        <w:rPr>
          <w:rFonts w:ascii="仿宋_GB2312" w:hAnsi="仿宋_GB2312" w:eastAsia="仿宋_GB2312" w:cs="仿宋_GB2312"/>
          <w:sz w:val="32"/>
          <w:szCs w:val="32"/>
          <w:shd w:val="clear" w:color="auto" w:fill="FFFFFF"/>
        </w:rPr>
        <w:t>413.52</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62.93%</w:t>
      </w:r>
      <w:r>
        <w:rPr>
          <w:rFonts w:hint="eastAsia" w:ascii="仿宋_GB2312" w:hAnsi="仿宋_GB2312" w:eastAsia="仿宋_GB2312" w:cs="仿宋_GB2312"/>
          <w:sz w:val="32"/>
          <w:szCs w:val="32"/>
          <w:shd w:val="clear" w:color="auto" w:fill="FFFFFF"/>
        </w:rPr>
        <w:t>；住房保障支出为</w:t>
      </w:r>
      <w:r>
        <w:rPr>
          <w:rFonts w:ascii="仿宋_GB2312" w:hAnsi="仿宋_GB2312" w:eastAsia="仿宋_GB2312" w:cs="仿宋_GB2312"/>
          <w:sz w:val="32"/>
          <w:szCs w:val="32"/>
          <w:shd w:val="clear" w:color="auto" w:fill="FFFFFF"/>
        </w:rPr>
        <w:t>12.10</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1.84%</w:t>
      </w:r>
      <w:r>
        <w:rPr>
          <w:rFonts w:hint="eastAsia" w:ascii="仿宋_GB2312" w:hAnsi="仿宋_GB2312" w:eastAsia="仿宋_GB2312" w:cs="仿宋_GB2312"/>
          <w:sz w:val="32"/>
          <w:szCs w:val="32"/>
          <w:shd w:val="clear" w:color="auto" w:fill="FFFFFF"/>
        </w:rPr>
        <w:t>；商业服务业等支出为</w:t>
      </w:r>
      <w:r>
        <w:rPr>
          <w:rFonts w:ascii="仿宋_GB2312" w:hAnsi="仿宋_GB2312" w:eastAsia="仿宋_GB2312" w:cs="仿宋_GB2312"/>
          <w:sz w:val="32"/>
          <w:szCs w:val="32"/>
          <w:shd w:val="clear" w:color="auto" w:fill="FFFFFF"/>
        </w:rPr>
        <w:t>193.72</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29.48%</w:t>
      </w:r>
      <w:r>
        <w:rPr>
          <w:rFonts w:hint="eastAsia" w:ascii="仿宋_GB2312" w:hAnsi="仿宋_GB2312" w:eastAsia="仿宋_GB2312" w:cs="仿宋_GB2312"/>
          <w:sz w:val="32"/>
          <w:szCs w:val="32"/>
          <w:shd w:val="clear" w:color="auto" w:fill="FFFFFF"/>
        </w:rPr>
        <w:t>。</w:t>
      </w:r>
    </w:p>
    <w:p w14:paraId="2CC36178">
      <w:pPr>
        <w:pStyle w:val="33"/>
        <w:spacing w:beforeLines="200" w:beforeAutospacing="0" w:line="560" w:lineRule="exact"/>
        <w:ind w:firstLine="480" w:firstLineChars="200"/>
        <w:rPr>
          <w:rFonts w:ascii="仿宋" w:hAnsi="仿宋" w:eastAsia="仿宋" w:cs="仿宋"/>
          <w:sz w:val="30"/>
          <w:szCs w:val="30"/>
          <w:highlight w:val="yellow"/>
          <w:shd w:val="clear" w:color="auto" w:fill="FFFFFF"/>
        </w:rPr>
      </w:pPr>
      <w:r>
        <w:pict>
          <v:shape id="图表 6" o:spid="_x0000_s1027" o:spt="75" type="#_x0000_t75" style="position:absolute;left:0pt;margin-left:83.75pt;margin-top:17.7pt;height:266.9pt;width:309.1pt;mso-wrap-distance-bottom:0pt;mso-wrap-distance-top:0pt;z-index:251660288;mso-width-relative:page;mso-height-relative:page;" filled="f" o:preferrelative="t" stroked="f" coordsize="21600,21600">
            <v:path/>
            <v:fill on="f" focussize="0,0"/>
            <v:stroke on="f" joinstyle="miter"/>
            <v:imagedata r:id="rId11" o:title=""/>
            <o:lock v:ext="edit" aspectratio="f"/>
            <w10:wrap type="topAndBottom"/>
          </v:shape>
        </w:pict>
      </w:r>
      <w:r>
        <w:rPr>
          <w:rFonts w:hint="eastAsia" w:ascii="仿宋_GB2312" w:hAnsi="仿宋_GB2312" w:eastAsia="仿宋_GB2312" w:cs="仿宋_GB2312"/>
          <w:sz w:val="32"/>
          <w:szCs w:val="32"/>
          <w:shd w:val="clear" w:color="auto" w:fill="FFFFFF"/>
        </w:rPr>
        <w:t>本年度社会保障和就业支出相比上年度增加</w:t>
      </w:r>
      <w:r>
        <w:rPr>
          <w:rFonts w:ascii="仿宋_GB2312" w:hAnsi="仿宋_GB2312" w:eastAsia="仿宋_GB2312" w:cs="仿宋_GB2312"/>
          <w:sz w:val="32"/>
          <w:szCs w:val="32"/>
          <w:shd w:val="clear" w:color="auto" w:fill="FFFFFF"/>
        </w:rPr>
        <w:t>1.87</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主要原因为本年项目增加</w:t>
      </w:r>
      <w:r>
        <w:rPr>
          <w:rFonts w:hint="eastAsia" w:ascii="仿宋_GB2312" w:hAnsi="仿宋_GB2312" w:eastAsia="仿宋_GB2312" w:cs="仿宋_GB2312"/>
          <w:b/>
          <w:bCs/>
          <w:sz w:val="32"/>
          <w:szCs w:val="32"/>
          <w:shd w:val="clear" w:color="auto" w:fill="FFFFFF"/>
        </w:rPr>
        <w:t>；</w:t>
      </w:r>
      <w:r>
        <w:rPr>
          <w:rFonts w:hint="eastAsia" w:ascii="仿宋_GB2312" w:hAnsi="仿宋_GB2312" w:eastAsia="仿宋_GB2312" w:cs="仿宋_GB2312"/>
          <w:sz w:val="32"/>
          <w:szCs w:val="32"/>
          <w:shd w:val="clear" w:color="auto" w:fill="FFFFFF"/>
        </w:rPr>
        <w:t>卫生健康支出相比上年度增加</w:t>
      </w:r>
      <w:r>
        <w:rPr>
          <w:rFonts w:ascii="仿宋_GB2312" w:hAnsi="仿宋_GB2312" w:eastAsia="仿宋_GB2312" w:cs="仿宋_GB2312"/>
          <w:sz w:val="32"/>
          <w:szCs w:val="32"/>
          <w:shd w:val="clear" w:color="auto" w:fill="FFFFFF"/>
        </w:rPr>
        <w:t>0.64</w:t>
      </w:r>
      <w:r>
        <w:rPr>
          <w:rFonts w:hint="eastAsia" w:ascii="仿宋_GB2312" w:hAnsi="仿宋_GB2312" w:eastAsia="仿宋_GB2312" w:cs="仿宋_GB2312"/>
          <w:sz w:val="32"/>
          <w:szCs w:val="32"/>
          <w:shd w:val="clear" w:color="auto" w:fill="FFFFFF"/>
        </w:rPr>
        <w:t>万元，住房保障支出相比上年度增加</w:t>
      </w:r>
      <w:r>
        <w:rPr>
          <w:rFonts w:ascii="仿宋_GB2312" w:hAnsi="仿宋_GB2312" w:eastAsia="仿宋_GB2312" w:cs="仿宋_GB2312"/>
          <w:sz w:val="32"/>
          <w:szCs w:val="32"/>
          <w:shd w:val="clear" w:color="auto" w:fill="FFFFFF"/>
        </w:rPr>
        <w:t>0.25</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主要原因为本年人员经费增加；</w:t>
      </w:r>
      <w:r>
        <w:rPr>
          <w:rStyle w:val="31"/>
          <w:rFonts w:hint="eastAsia" w:ascii="仿宋_GB2312" w:hAnsi="仿宋_GB2312" w:eastAsia="仿宋_GB2312" w:cs="仿宋_GB2312"/>
          <w:b w:val="0"/>
          <w:bCs/>
          <w:sz w:val="32"/>
          <w:szCs w:val="32"/>
          <w:shd w:val="clear" w:color="auto" w:fill="FFFFFF"/>
        </w:rPr>
        <w:t>商业服务业等支出相比上年度减少</w:t>
      </w:r>
      <w:r>
        <w:rPr>
          <w:rStyle w:val="31"/>
          <w:rFonts w:ascii="仿宋_GB2312" w:hAnsi="仿宋_GB2312" w:eastAsia="仿宋_GB2312" w:cs="仿宋_GB2312"/>
          <w:b w:val="0"/>
          <w:bCs/>
          <w:sz w:val="32"/>
          <w:szCs w:val="32"/>
          <w:shd w:val="clear" w:color="auto" w:fill="FFFFFF"/>
        </w:rPr>
        <w:t>189.06</w:t>
      </w:r>
      <w:r>
        <w:rPr>
          <w:rStyle w:val="31"/>
          <w:rFonts w:hint="eastAsia" w:ascii="仿宋_GB2312" w:hAnsi="仿宋_GB2312" w:eastAsia="仿宋_GB2312" w:cs="仿宋_GB2312"/>
          <w:b w:val="0"/>
          <w:bCs/>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主要原因为本年项目增加</w:t>
      </w:r>
      <w:r>
        <w:rPr>
          <w:rStyle w:val="31"/>
          <w:rFonts w:hint="eastAsia" w:ascii="仿宋_GB2312" w:hAnsi="仿宋_GB2312" w:eastAsia="仿宋_GB2312" w:cs="仿宋_GB2312"/>
          <w:b w:val="0"/>
          <w:bCs/>
          <w:sz w:val="32"/>
          <w:szCs w:val="32"/>
          <w:shd w:val="clear" w:color="auto" w:fill="FFFFFF"/>
        </w:rPr>
        <w:t>；农林水支出相比上年度增加</w:t>
      </w:r>
      <w:r>
        <w:rPr>
          <w:rStyle w:val="31"/>
          <w:rFonts w:ascii="仿宋_GB2312" w:hAnsi="仿宋_GB2312" w:eastAsia="仿宋_GB2312" w:cs="仿宋_GB2312"/>
          <w:b w:val="0"/>
          <w:bCs/>
          <w:sz w:val="32"/>
          <w:szCs w:val="32"/>
          <w:shd w:val="clear" w:color="auto" w:fill="FFFFFF"/>
        </w:rPr>
        <w:t>413.52</w:t>
      </w:r>
      <w:r>
        <w:rPr>
          <w:rStyle w:val="31"/>
          <w:rFonts w:hint="eastAsia" w:ascii="仿宋_GB2312" w:hAnsi="仿宋_GB2312" w:eastAsia="仿宋_GB2312" w:cs="仿宋_GB2312"/>
          <w:b w:val="0"/>
          <w:bCs/>
          <w:sz w:val="32"/>
          <w:szCs w:val="32"/>
          <w:shd w:val="clear" w:color="auto" w:fill="FFFFFF"/>
        </w:rPr>
        <w:t>万元，</w:t>
      </w:r>
      <w:r>
        <w:rPr>
          <w:rStyle w:val="31"/>
          <w:rFonts w:hint="eastAsia" w:ascii="仿宋_GB2312" w:hAnsi="仿宋_GB2312" w:eastAsia="仿宋_GB2312" w:cs="仿宋_GB2312"/>
          <w:sz w:val="32"/>
          <w:szCs w:val="32"/>
          <w:shd w:val="clear" w:color="auto" w:fill="FFFFFF"/>
        </w:rPr>
        <w:t>主要原因为本年项目增加</w:t>
      </w:r>
      <w:r>
        <w:rPr>
          <w:rFonts w:hint="eastAsia" w:ascii="仿宋_GB2312" w:hAnsi="仿宋_GB2312" w:eastAsia="仿宋_GB2312" w:cs="仿宋_GB2312"/>
          <w:b/>
          <w:sz w:val="32"/>
          <w:szCs w:val="32"/>
          <w:shd w:val="clear" w:color="auto" w:fill="FFFFFF"/>
        </w:rPr>
        <w:t>。</w:t>
      </w:r>
    </w:p>
    <w:p w14:paraId="23AFC476">
      <w:pPr>
        <w:pStyle w:val="33"/>
        <w:spacing w:beforeAutospacing="0" w:afterAutospacing="0" w:line="560" w:lineRule="exact"/>
        <w:rPr>
          <w:rFonts w:ascii="仿宋_GB2312" w:hAnsi="仿宋_GB2312" w:eastAsia="仿宋_GB2312" w:cs="仿宋_GB2312"/>
          <w:b/>
          <w:bCs/>
          <w:sz w:val="32"/>
          <w:szCs w:val="32"/>
          <w:shd w:val="clear" w:color="auto" w:fill="FFFFFF"/>
        </w:rPr>
      </w:pPr>
      <w:r>
        <w:rPr>
          <w:rFonts w:ascii="仿宋_GB2312" w:hAnsi="仿宋_GB2312" w:eastAsia="仿宋_GB2312" w:cs="仿宋_GB2312"/>
          <w:b/>
          <w:bCs/>
          <w:sz w:val="32"/>
          <w:szCs w:val="32"/>
          <w:shd w:val="clear" w:color="auto" w:fill="FFFFFF"/>
        </w:rPr>
        <w:t>3</w:t>
      </w:r>
      <w:r>
        <w:rPr>
          <w:rFonts w:hint="eastAsia" w:ascii="仿宋_GB2312" w:hAnsi="仿宋_GB2312" w:eastAsia="仿宋_GB2312" w:cs="仿宋_GB2312"/>
          <w:b/>
          <w:bCs/>
          <w:sz w:val="32"/>
          <w:szCs w:val="32"/>
          <w:shd w:val="clear" w:color="auto" w:fill="FFFFFF"/>
        </w:rPr>
        <w:t>．支出按经济分类科目分析</w:t>
      </w:r>
    </w:p>
    <w:p w14:paraId="3D9409B7">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）“三公”经费支出情况：本单位本年度“三公”经费支出决算数为</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万元。其中</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因公出国（境）费支出决算数为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元，相比上年度增加</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w:t>
      </w:r>
    </w:p>
    <w:p w14:paraId="423CE9FC">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公务用车购置及运行维护费支出决算数为</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w:t>
      </w:r>
      <w:r>
        <w:rPr>
          <w:rStyle w:val="31"/>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公务接待费支出决算数为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b/>
          <w:bCs/>
          <w:sz w:val="32"/>
          <w:szCs w:val="32"/>
          <w:shd w:val="clear" w:color="auto" w:fill="FFFFFF"/>
        </w:rPr>
        <w:t>。</w:t>
      </w:r>
    </w:p>
    <w:p w14:paraId="68186401">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本年度“三公”经费支出预算数为</w:t>
      </w:r>
      <w:r>
        <w:rPr>
          <w:rFonts w:ascii="仿宋_GB2312" w:hAnsi="仿宋_GB2312" w:eastAsia="仿宋_GB2312" w:cs="仿宋_GB2312"/>
          <w:sz w:val="32"/>
          <w:szCs w:val="32"/>
          <w:shd w:val="clear" w:color="auto" w:fill="FFFFFF"/>
        </w:rPr>
        <w:t>2.76</w:t>
      </w:r>
      <w:r>
        <w:rPr>
          <w:rFonts w:hint="eastAsia" w:ascii="仿宋_GB2312" w:hAnsi="仿宋_GB2312" w:eastAsia="仿宋_GB2312" w:cs="仿宋_GB2312"/>
          <w:sz w:val="32"/>
          <w:szCs w:val="32"/>
          <w:shd w:val="clear" w:color="auto" w:fill="FFFFFF"/>
        </w:rPr>
        <w:t>万元，决算数为</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37.68%</w:t>
      </w:r>
      <w:r>
        <w:rPr>
          <w:rFonts w:hint="eastAsia" w:ascii="仿宋_GB2312" w:hAnsi="仿宋_GB2312" w:eastAsia="仿宋_GB2312" w:cs="仿宋_GB2312"/>
          <w:sz w:val="32"/>
          <w:szCs w:val="32"/>
          <w:shd w:val="clear" w:color="auto" w:fill="FFFFFF"/>
        </w:rPr>
        <w:t>。本年度因公出国（境）费人均支出为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万元，公务用车购置及运行维护费人均支出为</w:t>
      </w:r>
      <w:r>
        <w:rPr>
          <w:rFonts w:ascii="仿宋_GB2312" w:hAnsi="仿宋_GB2312" w:eastAsia="仿宋_GB2312" w:cs="仿宋_GB2312"/>
          <w:sz w:val="32"/>
          <w:szCs w:val="32"/>
          <w:shd w:val="clear" w:color="auto" w:fill="FFFFFF"/>
        </w:rPr>
        <w:t>1.04</w:t>
      </w:r>
      <w:r>
        <w:rPr>
          <w:rFonts w:hint="eastAsia" w:ascii="仿宋_GB2312" w:hAnsi="仿宋_GB2312" w:eastAsia="仿宋_GB2312" w:cs="仿宋_GB2312"/>
          <w:sz w:val="32"/>
          <w:szCs w:val="32"/>
          <w:shd w:val="clear" w:color="auto" w:fill="FFFFFF"/>
        </w:rPr>
        <w:t>万元，公务接待费人均支出为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w:t>
      </w:r>
    </w:p>
    <w:p w14:paraId="3BAFC958">
      <w:pPr>
        <w:pStyle w:val="33"/>
        <w:spacing w:beforeAutospacing="0"/>
        <w:jc w:val="center"/>
        <w:rPr>
          <w:rFonts w:ascii="仿宋" w:hAnsi="仿宋" w:eastAsia="仿宋" w:cs="仿宋"/>
          <w:sz w:val="30"/>
          <w:szCs w:val="30"/>
          <w:shd w:val="clear" w:color="auto" w:fill="FFFFFF"/>
        </w:rPr>
      </w:pPr>
      <w:r>
        <w:rPr>
          <w:rFonts w:cs="宋体"/>
        </w:rPr>
        <w:object>
          <v:shape id="_x0000_i1028" o:spt="75" type="#_x0000_t75" style="height:189.75pt;width:340.5pt;" o:ole="t" filled="f" o:preferrelative="t" stroked="f" coordsize="21600,21600">
            <v:path/>
            <v:fill on="f" focussize="0,0"/>
            <v:stroke on="f" joinstyle="miter"/>
            <v:imagedata r:id="rId13" o:title=""/>
            <o:lock v:ext="edit" aspectratio="f"/>
            <w10:wrap type="none"/>
            <w10:anchorlock/>
          </v:shape>
          <o:OLEObject Type="Embed" ProgID="Excel.Chart.8" ShapeID="_x0000_i1028" DrawAspect="Content" ObjectID="_1468075728" r:id="rId12">
            <o:LockedField>false</o:LockedField>
          </o:OLEObject>
        </w:object>
      </w:r>
    </w:p>
    <w:p w14:paraId="6D870AF1">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）会议费支出情况：本单位本年度会议费支出决算数为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万元，相比上年度减少</w:t>
      </w:r>
      <w:r>
        <w:rPr>
          <w:rFonts w:ascii="仿宋_GB2312" w:hAnsi="仿宋_GB2312" w:eastAsia="仿宋_GB2312" w:cs="仿宋_GB2312"/>
          <w:sz w:val="32"/>
          <w:szCs w:val="32"/>
          <w:shd w:val="clear" w:color="auto" w:fill="FFFFFF"/>
        </w:rPr>
        <w:t>0.11</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b/>
          <w:bCs/>
          <w:sz w:val="32"/>
          <w:szCs w:val="32"/>
          <w:shd w:val="clear" w:color="auto" w:fill="FFFFFF"/>
        </w:rPr>
        <w:t>主要原因为本年没有会议。</w:t>
      </w:r>
    </w:p>
    <w:p w14:paraId="7230079B">
      <w:pPr>
        <w:pStyle w:val="33"/>
        <w:spacing w:beforeAutospacing="0"/>
        <w:jc w:val="center"/>
        <w:rPr>
          <w:rFonts w:ascii="仿宋" w:hAnsi="仿宋" w:eastAsia="仿宋" w:cs="仿宋"/>
          <w:sz w:val="30"/>
          <w:szCs w:val="30"/>
        </w:rPr>
      </w:pPr>
      <w:r>
        <w:rPr>
          <w:rFonts w:cs="宋体"/>
        </w:rPr>
        <w:object>
          <v:shape id="_x0000_i1029" o:spt="75" type="#_x0000_t75" style="height:189.75pt;width:340.5pt;" o:ole="t" filled="f" o:preferrelative="t" stroked="f" coordsize="21600,21600">
            <v:path/>
            <v:fill on="f" focussize="0,0"/>
            <v:stroke on="f" joinstyle="miter"/>
            <v:imagedata r:id="rId15" o:title=""/>
            <o:lock v:ext="edit" aspectratio="f"/>
            <w10:wrap type="none"/>
            <w10:anchorlock/>
          </v:shape>
          <o:OLEObject Type="Embed" ProgID="Excel.Chart.8" ShapeID="_x0000_i1029" DrawAspect="Content" ObjectID="_1468075729" r:id="rId14">
            <o:LockedField>false</o:LockedField>
          </o:OLEObject>
        </w:object>
      </w:r>
    </w:p>
    <w:p w14:paraId="65B694FE">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）培训费支出情况：本单位本年度培训费支出决算数为</w:t>
      </w:r>
      <w:r>
        <w:rPr>
          <w:rFonts w:ascii="仿宋_GB2312" w:hAnsi="仿宋_GB2312" w:eastAsia="仿宋_GB2312" w:cs="仿宋_GB2312"/>
          <w:sz w:val="32"/>
          <w:szCs w:val="32"/>
          <w:shd w:val="clear" w:color="auto" w:fill="FFFFFF"/>
        </w:rPr>
        <w:t>1.18</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1.18</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b/>
          <w:bCs/>
          <w:sz w:val="32"/>
          <w:szCs w:val="32"/>
          <w:shd w:val="clear" w:color="auto" w:fill="FFFFFF"/>
        </w:rPr>
        <w:t>主要原因为本年工作内容增加，培训增加。</w:t>
      </w:r>
    </w:p>
    <w:p w14:paraId="55B7ED41">
      <w:pPr>
        <w:pStyle w:val="33"/>
        <w:spacing w:beforeAutospacing="0"/>
        <w:rPr>
          <w:rFonts w:cs="宋体"/>
          <w:shd w:val="clear" w:color="auto" w:fill="FFFFFF"/>
        </w:rPr>
      </w:pPr>
    </w:p>
    <w:p w14:paraId="0B291A2A">
      <w:pPr>
        <w:pStyle w:val="33"/>
        <w:spacing w:beforeAutospacing="0"/>
        <w:rPr>
          <w:rFonts w:cs="宋体"/>
          <w:shd w:val="clear" w:color="auto" w:fill="FFFFFF"/>
        </w:rPr>
      </w:pPr>
      <w:r>
        <w:rPr>
          <w:rFonts w:cs="宋体"/>
        </w:rPr>
        <w:object>
          <v:shape id="_x0000_i1030" o:spt="75" type="#_x0000_t75" style="height:189.75pt;width:340.5pt;" o:ole="t" filled="f" o:preferrelative="t" stroked="f" coordsize="21600,21600">
            <v:path/>
            <v:fill on="f" focussize="0,0"/>
            <v:stroke on="f" joinstyle="miter"/>
            <v:imagedata r:id="rId17" o:title=""/>
            <o:lock v:ext="edit" aspectratio="f"/>
            <w10:wrap type="none"/>
            <w10:anchorlock/>
          </v:shape>
          <o:OLEObject Type="Embed" ProgID="Excel.Chart.8" ShapeID="_x0000_i1030" DrawAspect="Content" ObjectID="_1468075730" r:id="rId16">
            <o:LockedField>false</o:LockedField>
          </o:OLEObject>
        </w:object>
      </w:r>
    </w:p>
    <w:p w14:paraId="5193A959">
      <w:pPr>
        <w:pStyle w:val="33"/>
        <w:spacing w:beforeAutospacing="0" w:afterAutospacing="0" w:line="560" w:lineRule="exact"/>
        <w:rPr>
          <w:rFonts w:ascii="仿宋" w:hAnsi="仿宋" w:eastAsia="仿宋" w:cs="仿宋"/>
          <w:sz w:val="30"/>
          <w:szCs w:val="30"/>
        </w:rPr>
      </w:pPr>
      <w:r>
        <w:rPr>
          <w:rFonts w:ascii="仿宋_GB2312" w:hAnsi="仿宋_GB2312" w:eastAsia="仿宋_GB2312" w:cs="仿宋_GB2312"/>
          <w:b/>
          <w:bCs/>
          <w:sz w:val="32"/>
          <w:szCs w:val="32"/>
          <w:shd w:val="clear" w:color="auto" w:fill="FFFFFF"/>
        </w:rPr>
        <w:t>4.</w:t>
      </w:r>
      <w:r>
        <w:rPr>
          <w:rFonts w:hint="eastAsia" w:ascii="仿宋_GB2312" w:hAnsi="仿宋_GB2312" w:eastAsia="仿宋_GB2312" w:cs="仿宋_GB2312"/>
          <w:b/>
          <w:bCs/>
          <w:sz w:val="32"/>
          <w:szCs w:val="32"/>
          <w:shd w:val="clear" w:color="auto" w:fill="FFFFFF"/>
        </w:rPr>
        <w:t>财政拨款收入、支出分析</w:t>
      </w:r>
    </w:p>
    <w:p w14:paraId="0247A3EA">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本单位本年度年初结转和结余</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万元，财政拨款收入</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万元，财政拨款支出为</w:t>
      </w:r>
      <w:r>
        <w:rPr>
          <w:rFonts w:ascii="仿宋_GB2312" w:hAnsi="仿宋_GB2312" w:eastAsia="仿宋_GB2312" w:cs="仿宋_GB2312"/>
          <w:sz w:val="32"/>
          <w:szCs w:val="32"/>
          <w:shd w:val="clear" w:color="auto" w:fill="FFFFFF"/>
        </w:rPr>
        <w:t>657.13</w:t>
      </w:r>
      <w:r>
        <w:rPr>
          <w:rFonts w:hint="eastAsia" w:ascii="仿宋_GB2312" w:hAnsi="仿宋_GB2312" w:eastAsia="仿宋_GB2312" w:cs="仿宋_GB2312"/>
          <w:sz w:val="32"/>
          <w:szCs w:val="32"/>
          <w:shd w:val="clear" w:color="auto" w:fill="FFFFFF"/>
        </w:rPr>
        <w:t>万元，其中：基本支出</w:t>
      </w:r>
      <w:r>
        <w:rPr>
          <w:rFonts w:ascii="仿宋_GB2312" w:hAnsi="仿宋_GB2312" w:eastAsia="仿宋_GB2312" w:cs="仿宋_GB2312"/>
          <w:sz w:val="32"/>
          <w:szCs w:val="32"/>
          <w:shd w:val="clear" w:color="auto" w:fill="FFFFFF"/>
        </w:rPr>
        <w:t>224.72</w:t>
      </w:r>
      <w:r>
        <w:rPr>
          <w:rFonts w:hint="eastAsia" w:ascii="仿宋_GB2312" w:hAnsi="仿宋_GB2312" w:eastAsia="仿宋_GB2312" w:cs="仿宋_GB2312"/>
          <w:sz w:val="32"/>
          <w:szCs w:val="32"/>
          <w:shd w:val="clear" w:color="auto" w:fill="FFFFFF"/>
        </w:rPr>
        <w:t>万元，人员经费支出为</w:t>
      </w:r>
      <w:r>
        <w:rPr>
          <w:rFonts w:ascii="仿宋_GB2312" w:hAnsi="仿宋_GB2312" w:eastAsia="仿宋_GB2312" w:cs="仿宋_GB2312"/>
          <w:sz w:val="32"/>
          <w:szCs w:val="32"/>
          <w:shd w:val="clear" w:color="auto" w:fill="FFFFFF"/>
        </w:rPr>
        <w:t>211.55</w:t>
      </w:r>
      <w:r>
        <w:rPr>
          <w:rFonts w:hint="eastAsia" w:ascii="仿宋_GB2312" w:hAnsi="仿宋_GB2312" w:eastAsia="仿宋_GB2312" w:cs="仿宋_GB2312"/>
          <w:sz w:val="32"/>
          <w:szCs w:val="32"/>
          <w:shd w:val="clear" w:color="auto" w:fill="FFFFFF"/>
        </w:rPr>
        <w:t>万元，公用经费支出为</w:t>
      </w:r>
      <w:r>
        <w:rPr>
          <w:rFonts w:ascii="仿宋_GB2312" w:hAnsi="仿宋_GB2312" w:eastAsia="仿宋_GB2312" w:cs="仿宋_GB2312"/>
          <w:sz w:val="32"/>
          <w:szCs w:val="32"/>
          <w:shd w:val="clear" w:color="auto" w:fill="FFFFFF"/>
        </w:rPr>
        <w:t>13.17</w:t>
      </w:r>
      <w:r>
        <w:rPr>
          <w:rFonts w:hint="eastAsia" w:ascii="仿宋_GB2312" w:hAnsi="仿宋_GB2312" w:eastAsia="仿宋_GB2312" w:cs="仿宋_GB2312"/>
          <w:sz w:val="32"/>
          <w:szCs w:val="32"/>
          <w:shd w:val="clear" w:color="auto" w:fill="FFFFFF"/>
        </w:rPr>
        <w:t>万元。项目支出</w:t>
      </w:r>
      <w:r>
        <w:rPr>
          <w:rFonts w:ascii="仿宋_GB2312" w:hAnsi="仿宋_GB2312" w:eastAsia="仿宋_GB2312" w:cs="仿宋_GB2312"/>
          <w:sz w:val="32"/>
          <w:szCs w:val="32"/>
          <w:shd w:val="clear" w:color="auto" w:fill="FFFFFF"/>
        </w:rPr>
        <w:t>432.41</w:t>
      </w:r>
      <w:r>
        <w:rPr>
          <w:rFonts w:hint="eastAsia" w:ascii="仿宋_GB2312" w:hAnsi="仿宋_GB2312" w:eastAsia="仿宋_GB2312" w:cs="仿宋_GB2312"/>
          <w:sz w:val="32"/>
          <w:szCs w:val="32"/>
          <w:shd w:val="clear" w:color="auto" w:fill="FFFFFF"/>
        </w:rPr>
        <w:t>万元，其中中基本建设类项目支出为</w:t>
      </w:r>
      <w:r>
        <w:rPr>
          <w:rFonts w:ascii="仿宋_GB2312" w:hAnsi="仿宋_GB2312" w:eastAsia="仿宋_GB2312" w:cs="仿宋_GB2312"/>
          <w:sz w:val="32"/>
          <w:szCs w:val="32"/>
          <w:shd w:val="clear" w:color="auto" w:fill="FFFFFF"/>
        </w:rPr>
        <w:t>281.59</w:t>
      </w:r>
      <w:r>
        <w:rPr>
          <w:rFonts w:hint="eastAsia" w:ascii="仿宋_GB2312" w:hAnsi="仿宋_GB2312" w:eastAsia="仿宋_GB2312" w:cs="仿宋_GB2312"/>
          <w:sz w:val="32"/>
          <w:szCs w:val="32"/>
          <w:shd w:val="clear" w:color="auto" w:fill="FFFFFF"/>
        </w:rPr>
        <w:t>万元。</w:t>
      </w:r>
    </w:p>
    <w:p w14:paraId="38B388E8">
      <w:pPr>
        <w:pStyle w:val="33"/>
        <w:spacing w:beforeAutospacing="0"/>
        <w:jc w:val="center"/>
        <w:rPr>
          <w:rFonts w:cs="宋体"/>
          <w:shd w:val="clear" w:color="auto" w:fill="FFFFFF"/>
        </w:rPr>
      </w:pPr>
      <w:r>
        <w:rPr>
          <w:rFonts w:cs="宋体"/>
          <w:shd w:val="clear" w:color="auto" w:fill="FFFFFF"/>
        </w:rPr>
        <w:object>
          <v:shape id="_x0000_i1031" o:spt="75" type="#_x0000_t75" style="height:263.25pt;width:401.25pt;" o:ole="t" filled="f" o:preferrelative="t" stroked="f" coordsize="21600,21600">
            <v:path/>
            <v:fill on="f" focussize="0,0"/>
            <v:stroke on="f" joinstyle="miter"/>
            <v:imagedata r:id="rId19" o:title=""/>
            <o:lock v:ext="edit" aspectratio="f"/>
            <w10:wrap type="none"/>
            <w10:anchorlock/>
          </v:shape>
          <o:OLEObject Type="Embed" ProgID="Excel.Chart.8" ShapeID="_x0000_i1031" DrawAspect="Content" ObjectID="_1468075731" r:id="rId18">
            <o:LockedField>false</o:LockedField>
          </o:OLEObject>
        </w:object>
      </w:r>
    </w:p>
    <w:p w14:paraId="5CCB764A">
      <w:pPr>
        <w:pStyle w:val="33"/>
        <w:spacing w:beforeLines="200" w:beforeAutospacing="0" w:afterAutospacing="0" w:line="560" w:lineRule="exact"/>
        <w:rPr>
          <w:rFonts w:ascii="仿宋" w:hAnsi="仿宋" w:eastAsia="仿宋" w:cs="仿宋"/>
          <w:sz w:val="30"/>
          <w:szCs w:val="30"/>
        </w:rPr>
      </w:pPr>
      <w:r>
        <w:rPr>
          <w:rStyle w:val="31"/>
          <w:rFonts w:hint="eastAsia" w:ascii="仿宋" w:hAnsi="仿宋" w:eastAsia="仿宋" w:cs="仿宋"/>
          <w:sz w:val="30"/>
          <w:szCs w:val="30"/>
          <w:shd w:val="clear" w:color="auto" w:fill="FFFFFF"/>
        </w:rPr>
        <w:t>（</w:t>
      </w:r>
      <w:r>
        <w:rPr>
          <w:rStyle w:val="31"/>
          <w:rFonts w:hint="eastAsia" w:ascii="楷体_GB2312" w:hAnsi="楷体_GB2312" w:eastAsia="楷体_GB2312" w:cs="楷体_GB2312"/>
          <w:sz w:val="32"/>
          <w:szCs w:val="32"/>
          <w:shd w:val="clear" w:color="auto" w:fill="FFFFFF"/>
        </w:rPr>
        <w:t>三）年末结转和结余情况</w:t>
      </w:r>
    </w:p>
    <w:p w14:paraId="5295AE51">
      <w:pPr>
        <w:pStyle w:val="33"/>
        <w:spacing w:beforeAutospacing="0" w:line="560" w:lineRule="exact"/>
        <w:ind w:firstLine="640" w:firstLineChars="200"/>
        <w:rPr>
          <w:rFonts w:ascii="仿宋" w:hAnsi="仿宋" w:eastAsia="仿宋" w:cs="仿宋"/>
          <w:sz w:val="32"/>
          <w:szCs w:val="32"/>
          <w:shd w:val="clear" w:color="auto" w:fill="FFFFFF"/>
        </w:rPr>
      </w:pPr>
      <w:r>
        <w:rPr>
          <w:rFonts w:hint="eastAsia" w:ascii="仿宋_GB2312" w:hAnsi="仿宋_GB2312" w:eastAsia="仿宋_GB2312" w:cs="仿宋_GB2312"/>
          <w:sz w:val="32"/>
          <w:szCs w:val="32"/>
          <w:shd w:val="clear" w:color="auto" w:fill="FFFFFF"/>
        </w:rPr>
        <w:t>本年末无结转结余资金。</w:t>
      </w:r>
    </w:p>
    <w:p w14:paraId="2ABF19CB">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（四）与预算支出相关的其他指标分析</w:t>
      </w:r>
    </w:p>
    <w:p w14:paraId="09B39BF4">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本年资产合计</w:t>
      </w:r>
      <w:r>
        <w:rPr>
          <w:rFonts w:ascii="仿宋_GB2312" w:hAnsi="仿宋_GB2312" w:eastAsia="仿宋_GB2312" w:cs="仿宋_GB2312"/>
          <w:sz w:val="32"/>
          <w:szCs w:val="32"/>
          <w:shd w:val="clear" w:color="auto" w:fill="FFFFFF"/>
        </w:rPr>
        <w:t>30.49</w:t>
      </w:r>
      <w:r>
        <w:rPr>
          <w:rFonts w:hint="eastAsia" w:ascii="仿宋_GB2312" w:hAnsi="仿宋_GB2312" w:eastAsia="仿宋_GB2312" w:cs="仿宋_GB2312"/>
          <w:sz w:val="32"/>
          <w:szCs w:val="32"/>
          <w:shd w:val="clear" w:color="auto" w:fill="FFFFFF"/>
        </w:rPr>
        <w:t>万元，其中银行存款</w:t>
      </w:r>
      <w:r>
        <w:rPr>
          <w:rFonts w:ascii="仿宋_GB2312" w:hAnsi="仿宋_GB2312" w:eastAsia="仿宋_GB2312" w:cs="仿宋_GB2312"/>
          <w:sz w:val="32"/>
          <w:szCs w:val="32"/>
          <w:shd w:val="clear" w:color="auto" w:fill="FFFFFF"/>
        </w:rPr>
        <w:t>6.25</w:t>
      </w:r>
      <w:r>
        <w:rPr>
          <w:rFonts w:hint="eastAsia" w:ascii="仿宋_GB2312" w:hAnsi="仿宋_GB2312" w:eastAsia="仿宋_GB2312" w:cs="仿宋_GB2312"/>
          <w:sz w:val="32"/>
          <w:szCs w:val="32"/>
          <w:shd w:val="clear" w:color="auto" w:fill="FFFFFF"/>
        </w:rPr>
        <w:t>万元，占总资产</w:t>
      </w:r>
      <w:r>
        <w:rPr>
          <w:rFonts w:ascii="仿宋_GB2312" w:hAnsi="仿宋_GB2312" w:eastAsia="仿宋_GB2312" w:cs="仿宋_GB2312"/>
          <w:sz w:val="32"/>
          <w:szCs w:val="32"/>
          <w:shd w:val="clear" w:color="auto" w:fill="FFFFFF"/>
        </w:rPr>
        <w:t>20.50%</w:t>
      </w:r>
      <w:r>
        <w:rPr>
          <w:rFonts w:hint="eastAsia" w:ascii="仿宋_GB2312" w:hAnsi="仿宋_GB2312" w:eastAsia="仿宋_GB2312" w:cs="仿宋_GB2312"/>
          <w:sz w:val="32"/>
          <w:szCs w:val="32"/>
          <w:shd w:val="clear" w:color="auto" w:fill="FFFFFF"/>
        </w:rPr>
        <w:t>，其他应收款</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万元，占总资产</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；固定资产资产净值</w:t>
      </w:r>
      <w:r>
        <w:rPr>
          <w:rFonts w:ascii="仿宋_GB2312" w:hAnsi="仿宋_GB2312" w:eastAsia="仿宋_GB2312" w:cs="仿宋_GB2312"/>
          <w:sz w:val="32"/>
          <w:szCs w:val="32"/>
          <w:shd w:val="clear" w:color="auto" w:fill="FFFFFF"/>
        </w:rPr>
        <w:t>24.24</w:t>
      </w:r>
      <w:r>
        <w:rPr>
          <w:rFonts w:hint="eastAsia" w:ascii="仿宋_GB2312" w:hAnsi="仿宋_GB2312" w:eastAsia="仿宋_GB2312" w:cs="仿宋_GB2312"/>
          <w:sz w:val="32"/>
          <w:szCs w:val="32"/>
          <w:shd w:val="clear" w:color="auto" w:fill="FFFFFF"/>
        </w:rPr>
        <w:t>万元，占总资产</w:t>
      </w:r>
      <w:r>
        <w:rPr>
          <w:rFonts w:ascii="仿宋_GB2312" w:hAnsi="仿宋_GB2312" w:eastAsia="仿宋_GB2312" w:cs="仿宋_GB2312"/>
          <w:sz w:val="32"/>
          <w:szCs w:val="32"/>
          <w:shd w:val="clear" w:color="auto" w:fill="FFFFFF"/>
        </w:rPr>
        <w:t>79.50%</w:t>
      </w:r>
      <w:r>
        <w:rPr>
          <w:rFonts w:hint="eastAsia" w:ascii="仿宋_GB2312" w:hAnsi="仿宋_GB2312" w:eastAsia="仿宋_GB2312" w:cs="仿宋_GB2312"/>
          <w:sz w:val="32"/>
          <w:szCs w:val="32"/>
          <w:shd w:val="clear" w:color="auto" w:fill="FFFFFF"/>
        </w:rPr>
        <w:t>，在建工程</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万元，占总资产</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w:t>
      </w:r>
    </w:p>
    <w:p w14:paraId="7FE9DFA3">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本年负债合计</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万元，其中应交财政款</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万元，其他应付款</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w:t>
      </w:r>
    </w:p>
    <w:p w14:paraId="7118C5A0">
      <w:pPr>
        <w:pStyle w:val="33"/>
        <w:spacing w:beforeAutospacing="0" w:afterAutospacing="0" w:line="560" w:lineRule="exact"/>
        <w:ind w:firstLine="640" w:firstLineChars="200"/>
        <w:rPr>
          <w:rFonts w:cs="宋体"/>
          <w:shd w:val="clear" w:color="auto" w:fill="FFFFFF"/>
        </w:rPr>
      </w:pPr>
      <w:r>
        <w:rPr>
          <w:rFonts w:hint="eastAsia" w:ascii="仿宋_GB2312" w:hAnsi="仿宋_GB2312" w:eastAsia="仿宋_GB2312" w:cs="仿宋_GB2312"/>
          <w:sz w:val="32"/>
          <w:szCs w:val="32"/>
          <w:shd w:val="clear" w:color="auto" w:fill="FFFFFF"/>
        </w:rPr>
        <w:t>本年度资产负债率为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，负债率较小。</w:t>
      </w:r>
    </w:p>
    <w:p w14:paraId="240AAA6A">
      <w:pPr>
        <w:pStyle w:val="33"/>
        <w:spacing w:beforeAutospacing="0"/>
        <w:ind w:firstLine="480" w:firstLineChars="200"/>
        <w:rPr>
          <w:rFonts w:cs="宋体"/>
          <w:shd w:val="clear" w:color="auto" w:fill="FFFFFF"/>
        </w:rPr>
      </w:pPr>
    </w:p>
    <w:p w14:paraId="779AE92D">
      <w:pPr>
        <w:pStyle w:val="33"/>
        <w:spacing w:beforeAutospacing="0"/>
        <w:ind w:firstLine="480" w:firstLineChars="200"/>
        <w:rPr>
          <w:rFonts w:cs="宋体"/>
          <w:shd w:val="clear" w:color="auto" w:fill="FFFFFF"/>
        </w:rPr>
      </w:pPr>
      <w:r>
        <w:rPr>
          <w:rFonts w:cs="宋体"/>
          <w:shd w:val="clear" w:color="auto" w:fill="FFFFFF"/>
        </w:rPr>
        <w:object>
          <v:shape id="_x0000_i1032" o:spt="75" type="#_x0000_t75" style="height:231.75pt;width:353.25pt;" o:ole="t" filled="f" o:preferrelative="t" stroked="f" coordsize="21600,21600">
            <v:path/>
            <v:fill on="f" focussize="0,0"/>
            <v:stroke on="f" joinstyle="miter"/>
            <v:imagedata r:id="rId21" o:title=""/>
            <o:lock v:ext="edit" aspectratio="f"/>
            <w10:wrap type="none"/>
            <w10:anchorlock/>
          </v:shape>
          <o:OLEObject Type="Embed" ProgID="Excel.Chart.8" ShapeID="_x0000_i1032" DrawAspect="Content" ObjectID="_1468075732" r:id="rId20">
            <o:LockedField>false</o:LockedField>
          </o:OLEObject>
        </w:object>
      </w:r>
    </w:p>
    <w:p w14:paraId="50916867">
      <w:pPr>
        <w:pStyle w:val="33"/>
        <w:spacing w:beforeAutospacing="0"/>
        <w:rPr>
          <w:rStyle w:val="31"/>
          <w:rFonts w:ascii="宋体" w:hAnsi="宋体" w:cs="宋体"/>
          <w:sz w:val="30"/>
          <w:szCs w:val="30"/>
          <w:shd w:val="clear" w:color="auto" w:fill="FFFFFF"/>
        </w:rPr>
      </w:pPr>
    </w:p>
    <w:p w14:paraId="608DEFAF">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（五）绩效目标完成情况</w:t>
      </w:r>
    </w:p>
    <w:p w14:paraId="2713B0FD">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本年及时完成本年的资金支付和项目开展进度有达到预期。</w:t>
      </w:r>
    </w:p>
    <w:p w14:paraId="07B920F2">
      <w:pPr>
        <w:pStyle w:val="33"/>
        <w:spacing w:beforeAutospacing="0" w:afterAutospacing="0" w:line="560" w:lineRule="exact"/>
        <w:rPr>
          <w:rStyle w:val="31"/>
          <w:rFonts w:ascii="楷体_GB2312" w:hAnsi="楷体_GB2312" w:eastAsia="楷体_GB2312" w:cs="楷体_GB2312"/>
          <w:sz w:val="32"/>
          <w:szCs w:val="32"/>
          <w:shd w:val="clear" w:color="auto" w:fill="FFFFFF"/>
        </w:rPr>
      </w:pPr>
      <w:r>
        <w:rPr>
          <w:rStyle w:val="31"/>
          <w:rFonts w:hint="eastAsia" w:ascii="楷体_GB2312" w:hAnsi="楷体_GB2312" w:eastAsia="楷体_GB2312" w:cs="楷体_GB2312"/>
          <w:sz w:val="32"/>
          <w:szCs w:val="32"/>
          <w:shd w:val="clear" w:color="auto" w:fill="FFFFFF"/>
        </w:rPr>
        <w:t>（六）当年预算执行及绩效管理中存在问题、原因及改进措施</w:t>
      </w:r>
    </w:p>
    <w:p w14:paraId="02E16A07">
      <w:pPr>
        <w:pStyle w:val="33"/>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本年预算执行及绩效管理中没有存在问题。</w:t>
      </w:r>
    </w:p>
    <w:p w14:paraId="406F117B">
      <w:pPr>
        <w:pStyle w:val="33"/>
        <w:spacing w:beforeLines="100" w:beforeAutospacing="0" w:afterAutospacing="0" w:line="560" w:lineRule="exact"/>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三、本年度部门决算等财务工作开展情况</w:t>
      </w:r>
    </w:p>
    <w:p w14:paraId="7CFE2FBC">
      <w:pPr>
        <w:pStyle w:val="33"/>
        <w:spacing w:beforeLines="100" w:beforeAutospacing="0" w:afterAutospacing="0" w:line="560" w:lineRule="exact"/>
        <w:ind w:firstLine="640" w:firstLineChars="200"/>
        <w:rPr>
          <w:rFonts w:cs="宋体"/>
          <w:sz w:val="30"/>
          <w:szCs w:val="30"/>
          <w:shd w:val="clear" w:color="auto" w:fill="FFFFFF"/>
        </w:rPr>
      </w:pPr>
      <w:r>
        <w:rPr>
          <w:rFonts w:ascii="仿宋_GB2312" w:hAnsi="仿宋_GB2312" w:eastAsia="仿宋_GB2312" w:cs="仿宋_GB2312"/>
          <w:sz w:val="32"/>
          <w:szCs w:val="32"/>
          <w:shd w:val="clear" w:color="auto" w:fill="FFFFFF"/>
        </w:rPr>
        <w:t>2023</w:t>
      </w:r>
      <w:r>
        <w:rPr>
          <w:rFonts w:hint="eastAsia" w:ascii="仿宋_GB2312" w:hAnsi="仿宋_GB2312" w:eastAsia="仿宋_GB2312" w:cs="仿宋_GB2312"/>
          <w:sz w:val="32"/>
          <w:szCs w:val="32"/>
          <w:shd w:val="clear" w:color="auto" w:fill="FFFFFF"/>
        </w:rPr>
        <w:t>年度，我单位按照勤俭节约原则和财务收支管理相关规定坚持以预算为中心，以节约为重点，以求真务实的工作作风，严格遵守改革新制《政府会计制度》，抓好单位财务管理，较好地完成了各项工作任务。</w:t>
      </w:r>
    </w:p>
    <w:p w14:paraId="28F94232">
      <w:pPr>
        <w:pStyle w:val="33"/>
        <w:spacing w:beforeAutospacing="0"/>
        <w:rPr>
          <w:rFonts w:cs="宋体"/>
          <w:sz w:val="30"/>
          <w:szCs w:val="30"/>
          <w:shd w:val="clear" w:color="auto" w:fill="FFFFFF"/>
        </w:rPr>
      </w:pPr>
    </w:p>
    <w:p w14:paraId="1217B37C">
      <w:pPr>
        <w:pStyle w:val="33"/>
        <w:spacing w:beforeAutospacing="0"/>
        <w:rPr>
          <w:rFonts w:cs="宋体"/>
          <w:sz w:val="30"/>
          <w:szCs w:val="30"/>
        </w:rPr>
      </w:pPr>
      <w:r>
        <w:rPr>
          <w:rFonts w:hint="eastAsia" w:cs="宋体"/>
          <w:sz w:val="30"/>
          <w:szCs w:val="30"/>
          <w:shd w:val="clear" w:color="auto" w:fill="FFFFFF"/>
        </w:rPr>
        <w:t>附：</w:t>
      </w:r>
    </w:p>
    <w:p w14:paraId="719F5FCD">
      <w:pPr>
        <w:pStyle w:val="33"/>
        <w:spacing w:beforeAutospacing="0"/>
        <w:jc w:val="center"/>
        <w:rPr>
          <w:rFonts w:cs="宋体"/>
          <w:sz w:val="30"/>
          <w:szCs w:val="30"/>
        </w:rPr>
      </w:pPr>
      <w:r>
        <w:rPr>
          <w:rFonts w:cs="宋体"/>
          <w:sz w:val="30"/>
          <w:szCs w:val="30"/>
          <w:shd w:val="clear" w:color="auto" w:fill="FFFFFF"/>
        </w:rPr>
        <w:t xml:space="preserve"> </w:t>
      </w:r>
    </w:p>
    <w:p w14:paraId="015B1CBE">
      <w:pPr>
        <w:pStyle w:val="33"/>
        <w:spacing w:beforeAutospacing="0" w:afterLines="100" w:afterAutospacing="0" w:line="700" w:lineRule="exact"/>
        <w:jc w:val="center"/>
        <w:rPr>
          <w:rStyle w:val="31"/>
          <w:rFonts w:ascii="方正小标宋简体" w:hAnsi="方正小标宋简体" w:eastAsia="方正小标宋简体" w:cs="方正小标宋简体"/>
          <w:sz w:val="44"/>
          <w:szCs w:val="44"/>
          <w:shd w:val="clear" w:color="auto" w:fill="FFFFFF"/>
        </w:rPr>
      </w:pPr>
      <w:r>
        <w:rPr>
          <w:rStyle w:val="31"/>
          <w:rFonts w:hint="eastAsia" w:ascii="方正小标宋简体" w:hAnsi="方正小标宋简体" w:eastAsia="方正小标宋简体" w:cs="方正小标宋简体"/>
          <w:sz w:val="44"/>
          <w:szCs w:val="44"/>
          <w:shd w:val="clear" w:color="auto" w:fill="FFFFFF"/>
        </w:rPr>
        <w:t>行政事业单位财务分析指标</w:t>
      </w:r>
    </w:p>
    <w:p w14:paraId="291403F3">
      <w:pPr>
        <w:pStyle w:val="33"/>
        <w:spacing w:beforeAutospacing="0"/>
        <w:rPr>
          <w:rFonts w:cs="宋体"/>
          <w:sz w:val="30"/>
          <w:szCs w:val="30"/>
        </w:rPr>
      </w:pPr>
      <w:r>
        <w:rPr>
          <w:rFonts w:cs="宋体"/>
          <w:sz w:val="30"/>
          <w:szCs w:val="30"/>
          <w:shd w:val="clear" w:color="auto" w:fill="FFFFFF"/>
        </w:rPr>
        <w:t xml:space="preserve"> </w:t>
      </w:r>
    </w:p>
    <w:p w14:paraId="3D060354">
      <w:pPr>
        <w:pStyle w:val="33"/>
        <w:spacing w:beforeLines="100" w:beforeAutospacing="0" w:afterLines="100" w:afterAutospacing="0" w:line="560" w:lineRule="exact"/>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一、行政单位财务分析指标</w:t>
      </w:r>
    </w:p>
    <w:p w14:paraId="6BF3DD2F">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支出增长率，衡量行政单位支出的增长水平。计算公式为：</w:t>
      </w:r>
    </w:p>
    <w:p w14:paraId="2477097D">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支出增长率＝</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本期支出总额÷上期支出总额</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100%=40.73%</w:t>
      </w:r>
    </w:p>
    <w:p w14:paraId="57EBC3E3">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当年预算支出完成率，衡量行政单位当年支出总预算及分项预算完成的程度。计算公式为：</w:t>
      </w:r>
    </w:p>
    <w:p w14:paraId="0EF0FEE9">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当年预算支出完成率＝年终执行数÷调整预算数×</w:t>
      </w:r>
      <w:r>
        <w:rPr>
          <w:rFonts w:ascii="仿宋_GB2312" w:hAnsi="仿宋_GB2312" w:eastAsia="仿宋_GB2312" w:cs="仿宋_GB2312"/>
          <w:sz w:val="32"/>
          <w:szCs w:val="32"/>
          <w:shd w:val="clear" w:color="auto" w:fill="FFFFFF"/>
        </w:rPr>
        <w:t>100%=63.76%</w:t>
      </w:r>
    </w:p>
    <w:p w14:paraId="704D51BC">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人均开支，衡量行政单位人均年消耗经费水平。计算公式为：</w:t>
      </w:r>
    </w:p>
    <w:p w14:paraId="44B72A90">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人均开支＝本期支出数÷本期平均在职人员数</w:t>
      </w:r>
      <w:r>
        <w:rPr>
          <w:rFonts w:ascii="仿宋_GB2312" w:hAnsi="仿宋_GB2312" w:eastAsia="仿宋_GB2312" w:cs="仿宋_GB2312"/>
          <w:sz w:val="32"/>
          <w:szCs w:val="32"/>
          <w:shd w:val="clear" w:color="auto" w:fill="FFFFFF"/>
        </w:rPr>
        <w:t>=32.10</w:t>
      </w:r>
    </w:p>
    <w:p w14:paraId="381BAB03">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项目支出占总支出的比率，衡量行政单位的支出结构。计算公式为：</w:t>
      </w:r>
    </w:p>
    <w:p w14:paraId="4F05426A">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项目支出比率</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本期项目支出数÷本期支出总数×</w:t>
      </w:r>
      <w:r>
        <w:rPr>
          <w:rFonts w:ascii="仿宋_GB2312" w:hAnsi="仿宋_GB2312" w:eastAsia="仿宋_GB2312" w:cs="仿宋_GB2312"/>
          <w:sz w:val="32"/>
          <w:szCs w:val="32"/>
          <w:shd w:val="clear" w:color="auto" w:fill="FFFFFF"/>
        </w:rPr>
        <w:t>100%=65.80%</w:t>
      </w:r>
    </w:p>
    <w:p w14:paraId="33E9F88D">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人员支出、公用支出占总支出的比率，衡量行政单位的支出结构。计算公式为：</w:t>
      </w:r>
    </w:p>
    <w:p w14:paraId="1D637A9D">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人员支出比率</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本期人员支出数÷本期支出总数×</w:t>
      </w:r>
      <w:r>
        <w:rPr>
          <w:rFonts w:ascii="仿宋_GB2312" w:hAnsi="仿宋_GB2312" w:eastAsia="仿宋_GB2312" w:cs="仿宋_GB2312"/>
          <w:sz w:val="32"/>
          <w:szCs w:val="32"/>
          <w:shd w:val="clear" w:color="auto" w:fill="FFFFFF"/>
        </w:rPr>
        <w:t>100%=32.19%</w:t>
      </w:r>
    </w:p>
    <w:p w14:paraId="13344694">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公用支出比率</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本期公用支出数÷本期支出总数×</w:t>
      </w:r>
      <w:r>
        <w:rPr>
          <w:rFonts w:ascii="仿宋_GB2312" w:hAnsi="仿宋_GB2312" w:eastAsia="仿宋_GB2312" w:cs="仿宋_GB2312"/>
          <w:sz w:val="32"/>
          <w:szCs w:val="32"/>
          <w:shd w:val="clear" w:color="auto" w:fill="FFFFFF"/>
        </w:rPr>
        <w:t>100%=2.00%</w:t>
      </w:r>
    </w:p>
    <w:p w14:paraId="09908E07">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shd w:val="clear" w:color="auto" w:fill="FFFFFF"/>
        </w:rPr>
        <w:t>人均办公使用面积，衡量行政单位办公用房配备情况。计算公式为：</w:t>
      </w:r>
    </w:p>
    <w:p w14:paraId="414B9B58">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人均办公使用面积</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本期末单位办公用房使用面积÷本期末在职人员数</w:t>
      </w:r>
      <w:r>
        <w:rPr>
          <w:rFonts w:ascii="仿宋_GB2312" w:hAnsi="仿宋_GB2312" w:eastAsia="仿宋_GB2312" w:cs="仿宋_GB2312"/>
          <w:sz w:val="32"/>
          <w:szCs w:val="32"/>
          <w:shd w:val="clear" w:color="auto" w:fill="FFFFFF"/>
        </w:rPr>
        <w:t>=0.00</w:t>
      </w:r>
    </w:p>
    <w:p w14:paraId="75A378E8">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7.</w:t>
      </w:r>
      <w:r>
        <w:rPr>
          <w:rFonts w:hint="eastAsia" w:ascii="仿宋_GB2312" w:hAnsi="仿宋_GB2312" w:eastAsia="仿宋_GB2312" w:cs="仿宋_GB2312"/>
          <w:sz w:val="32"/>
          <w:szCs w:val="32"/>
          <w:shd w:val="clear" w:color="auto" w:fill="FFFFFF"/>
        </w:rPr>
        <w:t>人车比例，衡量行政单位公务用车配备情况。计算公式为：</w:t>
      </w:r>
    </w:p>
    <w:p w14:paraId="33930E6D">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人车比例</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本期末在职人员数÷本期末公务用车实有数</w:t>
      </w:r>
      <w:r>
        <w:rPr>
          <w:rFonts w:ascii="仿宋_GB2312" w:hAnsi="仿宋_GB2312" w:eastAsia="仿宋_GB2312" w:cs="仿宋_GB2312"/>
          <w:sz w:val="32"/>
          <w:szCs w:val="32"/>
          <w:shd w:val="clear" w:color="auto" w:fill="FFFFFF"/>
        </w:rPr>
        <w:t>=0.00</w:t>
      </w:r>
    </w:p>
    <w:p w14:paraId="213403BA">
      <w:pPr>
        <w:pStyle w:val="33"/>
        <w:spacing w:beforeAutospacing="0"/>
        <w:rPr>
          <w:rFonts w:ascii="黑体" w:hAnsi="黑体" w:eastAsia="黑体" w:cs="黑体"/>
          <w:sz w:val="32"/>
          <w:szCs w:val="32"/>
          <w:shd w:val="clear" w:color="auto" w:fill="FFFFFF"/>
        </w:rPr>
      </w:pPr>
      <w:r>
        <w:rPr>
          <w:rFonts w:ascii="黑体" w:hAnsi="黑体" w:eastAsia="黑体" w:cs="黑体"/>
          <w:sz w:val="32"/>
          <w:szCs w:val="32"/>
          <w:shd w:val="clear" w:color="auto" w:fill="FFFFFF"/>
        </w:rPr>
        <w:t xml:space="preserve"> </w:t>
      </w:r>
      <w:r>
        <w:rPr>
          <w:rFonts w:hint="eastAsia" w:ascii="黑体" w:hAnsi="黑体" w:eastAsia="黑体" w:cs="黑体"/>
          <w:sz w:val="32"/>
          <w:szCs w:val="32"/>
          <w:shd w:val="clear" w:color="auto" w:fill="FFFFFF"/>
        </w:rPr>
        <w:t>二、事业单位财务分析指标</w:t>
      </w:r>
    </w:p>
    <w:p w14:paraId="678658F1">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预算收入和支出完成率，衡量事业单位收入和支出总预算及分项预算完成的程度。计算公式为：</w:t>
      </w:r>
    </w:p>
    <w:p w14:paraId="4DB30BB2">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预算收入完成率＝年终执行数÷调整预算数×</w:t>
      </w:r>
      <w:r>
        <w:rPr>
          <w:rFonts w:ascii="仿宋_GB2312" w:hAnsi="仿宋_GB2312" w:eastAsia="仿宋_GB2312" w:cs="仿宋_GB2312"/>
          <w:sz w:val="32"/>
          <w:szCs w:val="32"/>
          <w:shd w:val="clear" w:color="auto" w:fill="FFFFFF"/>
        </w:rPr>
        <w:t>100%=100%</w:t>
      </w:r>
    </w:p>
    <w:p w14:paraId="1D96F3D1">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预算支出完成率＝年终执行数÷调整预算数×</w:t>
      </w:r>
      <w:r>
        <w:rPr>
          <w:rFonts w:ascii="仿宋_GB2312" w:hAnsi="仿宋_GB2312" w:eastAsia="仿宋_GB2312" w:cs="仿宋_GB2312"/>
          <w:sz w:val="32"/>
          <w:szCs w:val="32"/>
          <w:shd w:val="clear" w:color="auto" w:fill="FFFFFF"/>
        </w:rPr>
        <w:t>100%=100%</w:t>
      </w:r>
    </w:p>
    <w:p w14:paraId="47831602">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人员支出、公用支出占事业支出的比率，衡量事业单位事业支出结构。计算公式为：</w:t>
      </w:r>
    </w:p>
    <w:p w14:paraId="6013EE35">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人员支出比率＝人员支出÷事业支出×</w:t>
      </w:r>
      <w:r>
        <w:rPr>
          <w:rFonts w:ascii="仿宋_GB2312" w:hAnsi="仿宋_GB2312" w:eastAsia="仿宋_GB2312" w:cs="仿宋_GB2312"/>
          <w:sz w:val="32"/>
          <w:szCs w:val="32"/>
          <w:shd w:val="clear" w:color="auto" w:fill="FFFFFF"/>
        </w:rPr>
        <w:t>100%=100%</w:t>
      </w:r>
    </w:p>
    <w:p w14:paraId="0A3E55D9">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公用支出比率＝公用支出÷事业支出×</w:t>
      </w:r>
      <w:r>
        <w:rPr>
          <w:rFonts w:ascii="仿宋_GB2312" w:hAnsi="仿宋_GB2312" w:eastAsia="仿宋_GB2312" w:cs="仿宋_GB2312"/>
          <w:sz w:val="32"/>
          <w:szCs w:val="32"/>
          <w:shd w:val="clear" w:color="auto" w:fill="FFFFFF"/>
        </w:rPr>
        <w:t>100%=100%</w:t>
      </w:r>
    </w:p>
    <w:p w14:paraId="40D2878C">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人均基本支出，衡量事业单位按照实际在编人数平均的基本支出水平。计算公式为：</w:t>
      </w:r>
    </w:p>
    <w:p w14:paraId="4CF50394">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人均基本支出＝（基本支出</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离退休人员支出）÷实际在编人数</w:t>
      </w:r>
      <w:r>
        <w:rPr>
          <w:rFonts w:ascii="仿宋_GB2312" w:hAnsi="仿宋_GB2312" w:eastAsia="仿宋_GB2312" w:cs="仿宋_GB2312"/>
          <w:sz w:val="32"/>
          <w:szCs w:val="32"/>
          <w:shd w:val="clear" w:color="auto" w:fill="FFFFFF"/>
        </w:rPr>
        <w:t>=0.00</w:t>
      </w:r>
    </w:p>
    <w:p w14:paraId="71990135">
      <w:pPr>
        <w:pStyle w:val="33"/>
        <w:spacing w:beforeAutospacing="0"/>
        <w:rPr>
          <w:rFonts w:ascii="仿宋_GB2312" w:hAnsi="仿宋_GB2312" w:eastAsia="仿宋_GB2312" w:cs="仿宋_GB2312"/>
          <w:sz w:val="32"/>
          <w:szCs w:val="32"/>
        </w:rPr>
      </w:pPr>
    </w:p>
    <w:p w14:paraId="65A09E41">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此外，行业事业单位还可根据相关财务制度规定和分析需要增加相关分析指标，如：</w:t>
      </w:r>
    </w:p>
    <w:p w14:paraId="2727184A">
      <w:pPr>
        <w:pStyle w:val="33"/>
        <w:spacing w:beforeAutospacing="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财政拨款依存度</w:t>
      </w: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衡量部门（单位）对财政拨款的依赖程度。</w:t>
      </w:r>
    </w:p>
    <w:p w14:paraId="5CEEFA77">
      <w:pPr>
        <w:pStyle w:val="33"/>
        <w:spacing w:beforeAutospacing="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财政拨款依存度＝财政拨款收入÷收入总额×</w:t>
      </w:r>
      <w:r>
        <w:rPr>
          <w:rFonts w:ascii="仿宋_GB2312" w:hAnsi="仿宋_GB2312" w:eastAsia="仿宋_GB2312" w:cs="仿宋_GB2312"/>
          <w:sz w:val="32"/>
          <w:szCs w:val="32"/>
          <w:shd w:val="clear" w:color="auto" w:fill="FFFFFF"/>
        </w:rPr>
        <w:t>100%=100.00%</w:t>
      </w:r>
    </w:p>
    <w:p w14:paraId="1511B288">
      <w:pPr>
        <w:pStyle w:val="33"/>
        <w:spacing w:beforeAutospacing="0"/>
        <w:rPr>
          <w:rFonts w:ascii="仿宋" w:hAnsi="仿宋" w:eastAsia="仿宋" w:cs="仿宋"/>
          <w:sz w:val="30"/>
          <w:szCs w:val="30"/>
        </w:rPr>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420"/>
  <w:drawingGridVerticalSpacing w:val="157"/>
  <w:noPunctuationKerning w:val="1"/>
  <w:characterSpacingControl w:val="doNotCompress"/>
  <w:noLineBreaksAfter w:lang="zh-CN" w:val="$([{£¥·‘“〈《「『【〔〖〝﹙﹛﹝＄（．［｛￡￥"/>
  <w:noLineBreaksBefore w:lang="zh-CN" w:val="!%),.:;&gt;?]}¢¨°·ˇˉ―‖’”…‰′″›℃∶、。〃〉》」』】〕〗〞︶︺︾﹀﹄﹚﹜﹞！＂％＇），．：；？］｀｜｝～￠"/>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M0OWJmYmFlM2RjZDJhNjllNGZjNTZhMmI5MGRkNTMifQ=="/>
  </w:docVars>
  <w:rsids>
    <w:rsidRoot w:val="006562CF"/>
    <w:rsid w:val="001D7D62"/>
    <w:rsid w:val="00201518"/>
    <w:rsid w:val="003577A2"/>
    <w:rsid w:val="005C566B"/>
    <w:rsid w:val="006562CF"/>
    <w:rsid w:val="00680159"/>
    <w:rsid w:val="00982ABB"/>
    <w:rsid w:val="009A38E3"/>
    <w:rsid w:val="00CF1993"/>
    <w:rsid w:val="00F91854"/>
    <w:rsid w:val="011E11E5"/>
    <w:rsid w:val="01E943A0"/>
    <w:rsid w:val="02775E4F"/>
    <w:rsid w:val="02E16CA8"/>
    <w:rsid w:val="030F10B7"/>
    <w:rsid w:val="04D1466B"/>
    <w:rsid w:val="05B055A6"/>
    <w:rsid w:val="06FE2F2D"/>
    <w:rsid w:val="07A96AEE"/>
    <w:rsid w:val="07B37C1F"/>
    <w:rsid w:val="08345D51"/>
    <w:rsid w:val="0874513E"/>
    <w:rsid w:val="08FA36D7"/>
    <w:rsid w:val="09AA6B0A"/>
    <w:rsid w:val="09CB4CD3"/>
    <w:rsid w:val="0A0338DA"/>
    <w:rsid w:val="0A3E30F2"/>
    <w:rsid w:val="0AE778EA"/>
    <w:rsid w:val="0B187AA4"/>
    <w:rsid w:val="0E9E1642"/>
    <w:rsid w:val="0ED541D7"/>
    <w:rsid w:val="11551A52"/>
    <w:rsid w:val="1235718D"/>
    <w:rsid w:val="127B5956"/>
    <w:rsid w:val="12CD42D0"/>
    <w:rsid w:val="133D4207"/>
    <w:rsid w:val="14D62EA9"/>
    <w:rsid w:val="15D67329"/>
    <w:rsid w:val="177B1AE6"/>
    <w:rsid w:val="17EF06F4"/>
    <w:rsid w:val="18F41B50"/>
    <w:rsid w:val="190E24E6"/>
    <w:rsid w:val="195066E0"/>
    <w:rsid w:val="19B7492C"/>
    <w:rsid w:val="19BD5EE0"/>
    <w:rsid w:val="19EA1203"/>
    <w:rsid w:val="1AF0162C"/>
    <w:rsid w:val="1B736FAF"/>
    <w:rsid w:val="1B7725A8"/>
    <w:rsid w:val="1BBC27E6"/>
    <w:rsid w:val="1BEF65FF"/>
    <w:rsid w:val="1C9553F8"/>
    <w:rsid w:val="1CEC12BA"/>
    <w:rsid w:val="1D4F79E5"/>
    <w:rsid w:val="1E677DFF"/>
    <w:rsid w:val="1E8C6387"/>
    <w:rsid w:val="1F8F34FB"/>
    <w:rsid w:val="1FE43FA1"/>
    <w:rsid w:val="203A2EFB"/>
    <w:rsid w:val="20827A42"/>
    <w:rsid w:val="215F7D83"/>
    <w:rsid w:val="22D16A5E"/>
    <w:rsid w:val="22DA3EDC"/>
    <w:rsid w:val="23B33488"/>
    <w:rsid w:val="263058CE"/>
    <w:rsid w:val="264F79AF"/>
    <w:rsid w:val="26832575"/>
    <w:rsid w:val="278B5211"/>
    <w:rsid w:val="287C563E"/>
    <w:rsid w:val="28AB1AFF"/>
    <w:rsid w:val="29B831BD"/>
    <w:rsid w:val="2A461AE0"/>
    <w:rsid w:val="2AE31A25"/>
    <w:rsid w:val="2CAF7D9B"/>
    <w:rsid w:val="2CCB019C"/>
    <w:rsid w:val="2D0E06C6"/>
    <w:rsid w:val="2D8477E3"/>
    <w:rsid w:val="2DCA7CF3"/>
    <w:rsid w:val="2E314855"/>
    <w:rsid w:val="2F603327"/>
    <w:rsid w:val="2F7D6357"/>
    <w:rsid w:val="3064495C"/>
    <w:rsid w:val="317F1D7B"/>
    <w:rsid w:val="325A3C70"/>
    <w:rsid w:val="33ED255F"/>
    <w:rsid w:val="343926B5"/>
    <w:rsid w:val="348558FB"/>
    <w:rsid w:val="34E41A9A"/>
    <w:rsid w:val="36C64A84"/>
    <w:rsid w:val="37652E67"/>
    <w:rsid w:val="37C643CA"/>
    <w:rsid w:val="383B4C4E"/>
    <w:rsid w:val="387C0DC3"/>
    <w:rsid w:val="389B56ED"/>
    <w:rsid w:val="38CA4224"/>
    <w:rsid w:val="399D7289"/>
    <w:rsid w:val="39F74BA5"/>
    <w:rsid w:val="3A706705"/>
    <w:rsid w:val="3AF15D07"/>
    <w:rsid w:val="3B086599"/>
    <w:rsid w:val="3B940D00"/>
    <w:rsid w:val="3CB1383A"/>
    <w:rsid w:val="3EE23DFF"/>
    <w:rsid w:val="3F035D9A"/>
    <w:rsid w:val="3F7607FD"/>
    <w:rsid w:val="3FB3156E"/>
    <w:rsid w:val="3FC92B3F"/>
    <w:rsid w:val="405B137D"/>
    <w:rsid w:val="407E54EA"/>
    <w:rsid w:val="42F55DE0"/>
    <w:rsid w:val="42FA5706"/>
    <w:rsid w:val="430B7913"/>
    <w:rsid w:val="438A0837"/>
    <w:rsid w:val="439F6C52"/>
    <w:rsid w:val="43D07B8B"/>
    <w:rsid w:val="44BA514C"/>
    <w:rsid w:val="44BC2C73"/>
    <w:rsid w:val="450255B5"/>
    <w:rsid w:val="45667082"/>
    <w:rsid w:val="458E4348"/>
    <w:rsid w:val="462D25CE"/>
    <w:rsid w:val="4832149E"/>
    <w:rsid w:val="486C726D"/>
    <w:rsid w:val="48757D08"/>
    <w:rsid w:val="497D499A"/>
    <w:rsid w:val="49F40337"/>
    <w:rsid w:val="49FB3008"/>
    <w:rsid w:val="4B024675"/>
    <w:rsid w:val="4BC468B1"/>
    <w:rsid w:val="4BE30E8C"/>
    <w:rsid w:val="4C725668"/>
    <w:rsid w:val="4C8A18A8"/>
    <w:rsid w:val="4CD86AB8"/>
    <w:rsid w:val="4D3006A2"/>
    <w:rsid w:val="4D6345A6"/>
    <w:rsid w:val="4E2B70BB"/>
    <w:rsid w:val="4E4C41CE"/>
    <w:rsid w:val="4EF86F9D"/>
    <w:rsid w:val="50FA0EA6"/>
    <w:rsid w:val="51542485"/>
    <w:rsid w:val="52CD28C8"/>
    <w:rsid w:val="52FB705C"/>
    <w:rsid w:val="55A87F2C"/>
    <w:rsid w:val="575C2093"/>
    <w:rsid w:val="5798756F"/>
    <w:rsid w:val="57D9322F"/>
    <w:rsid w:val="584E5E80"/>
    <w:rsid w:val="5876B902"/>
    <w:rsid w:val="58DF4D2A"/>
    <w:rsid w:val="58F42EAF"/>
    <w:rsid w:val="598C540C"/>
    <w:rsid w:val="59A55F2E"/>
    <w:rsid w:val="59AB20A1"/>
    <w:rsid w:val="5A3926B7"/>
    <w:rsid w:val="5A6A4AC7"/>
    <w:rsid w:val="5AA1498D"/>
    <w:rsid w:val="5B773940"/>
    <w:rsid w:val="5DE76D29"/>
    <w:rsid w:val="5E8E347A"/>
    <w:rsid w:val="5F5A2904"/>
    <w:rsid w:val="600357A2"/>
    <w:rsid w:val="60B42F40"/>
    <w:rsid w:val="61190980"/>
    <w:rsid w:val="616177F4"/>
    <w:rsid w:val="643D2F37"/>
    <w:rsid w:val="64547F6B"/>
    <w:rsid w:val="64855DC5"/>
    <w:rsid w:val="64EB5335"/>
    <w:rsid w:val="658C7FE7"/>
    <w:rsid w:val="665E1984"/>
    <w:rsid w:val="670D087B"/>
    <w:rsid w:val="675F3C06"/>
    <w:rsid w:val="67685E63"/>
    <w:rsid w:val="67FD341E"/>
    <w:rsid w:val="689618A9"/>
    <w:rsid w:val="694831A6"/>
    <w:rsid w:val="6A837C0B"/>
    <w:rsid w:val="6A95683A"/>
    <w:rsid w:val="6ACB5A74"/>
    <w:rsid w:val="6B741C4A"/>
    <w:rsid w:val="6B905DD2"/>
    <w:rsid w:val="6C3A69EF"/>
    <w:rsid w:val="6E250C27"/>
    <w:rsid w:val="6E731D44"/>
    <w:rsid w:val="6E946CD9"/>
    <w:rsid w:val="6EF235B1"/>
    <w:rsid w:val="702E23C7"/>
    <w:rsid w:val="70473489"/>
    <w:rsid w:val="70722C7F"/>
    <w:rsid w:val="70B36D70"/>
    <w:rsid w:val="735F6D3B"/>
    <w:rsid w:val="739A7D73"/>
    <w:rsid w:val="74007F76"/>
    <w:rsid w:val="75005A8A"/>
    <w:rsid w:val="757840E4"/>
    <w:rsid w:val="75EC1263"/>
    <w:rsid w:val="75F220E9"/>
    <w:rsid w:val="76BA1D3C"/>
    <w:rsid w:val="76E063E5"/>
    <w:rsid w:val="79420C91"/>
    <w:rsid w:val="79BD2A0E"/>
    <w:rsid w:val="79C0778B"/>
    <w:rsid w:val="7A431165"/>
    <w:rsid w:val="7A911ED0"/>
    <w:rsid w:val="7B0F6DF0"/>
    <w:rsid w:val="7B951E03"/>
    <w:rsid w:val="7E9B67B0"/>
    <w:rsid w:val="7ED303FC"/>
    <w:rsid w:val="FEDEB57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Times New Roman"/>
      <w:kern w:val="0"/>
      <w:sz w:val="24"/>
      <w:szCs w:val="24"/>
      <w:lang w:val="en-US" w:eastAsia="zh-CN" w:bidi="ar-SA"/>
    </w:rPr>
  </w:style>
  <w:style w:type="paragraph" w:styleId="4">
    <w:name w:val="heading 1"/>
    <w:basedOn w:val="1"/>
    <w:next w:val="1"/>
    <w:link w:val="18"/>
    <w:qFormat/>
    <w:uiPriority w:val="99"/>
    <w:pPr>
      <w:spacing w:beforeAutospacing="1" w:afterAutospacing="1"/>
      <w:outlineLvl w:val="0"/>
    </w:pPr>
    <w:rPr>
      <w:b/>
      <w:bCs/>
      <w:kern w:val="44"/>
      <w:sz w:val="48"/>
      <w:szCs w:val="48"/>
    </w:rPr>
  </w:style>
  <w:style w:type="paragraph" w:styleId="5">
    <w:name w:val="heading 2"/>
    <w:basedOn w:val="1"/>
    <w:next w:val="1"/>
    <w:link w:val="19"/>
    <w:qFormat/>
    <w:uiPriority w:val="99"/>
    <w:pPr>
      <w:spacing w:beforeAutospacing="1" w:afterAutospacing="1"/>
      <w:outlineLvl w:val="1"/>
    </w:pPr>
    <w:rPr>
      <w:b/>
      <w:bCs/>
      <w:sz w:val="36"/>
      <w:szCs w:val="36"/>
    </w:rPr>
  </w:style>
  <w:style w:type="paragraph" w:styleId="6">
    <w:name w:val="heading 3"/>
    <w:basedOn w:val="1"/>
    <w:next w:val="1"/>
    <w:link w:val="20"/>
    <w:qFormat/>
    <w:uiPriority w:val="99"/>
    <w:pPr>
      <w:spacing w:beforeAutospacing="1" w:afterAutospacing="1"/>
      <w:outlineLvl w:val="2"/>
    </w:pPr>
    <w:rPr>
      <w:b/>
      <w:bCs/>
      <w:sz w:val="27"/>
      <w:szCs w:val="27"/>
    </w:rPr>
  </w:style>
  <w:style w:type="paragraph" w:styleId="7">
    <w:name w:val="heading 4"/>
    <w:basedOn w:val="1"/>
    <w:next w:val="1"/>
    <w:link w:val="21"/>
    <w:qFormat/>
    <w:uiPriority w:val="99"/>
    <w:pPr>
      <w:spacing w:beforeAutospacing="1" w:afterAutospacing="1"/>
      <w:outlineLvl w:val="3"/>
    </w:pPr>
    <w:rPr>
      <w:b/>
      <w:bCs/>
    </w:rPr>
  </w:style>
  <w:style w:type="paragraph" w:styleId="8">
    <w:name w:val="heading 5"/>
    <w:basedOn w:val="1"/>
    <w:next w:val="1"/>
    <w:link w:val="22"/>
    <w:qFormat/>
    <w:uiPriority w:val="99"/>
    <w:pPr>
      <w:spacing w:beforeAutospacing="1" w:afterAutospacing="1"/>
      <w:outlineLvl w:val="4"/>
    </w:pPr>
    <w:rPr>
      <w:b/>
      <w:bCs/>
      <w:sz w:val="20"/>
      <w:szCs w:val="20"/>
    </w:rPr>
  </w:style>
  <w:style w:type="paragraph" w:styleId="9">
    <w:name w:val="heading 6"/>
    <w:basedOn w:val="1"/>
    <w:next w:val="1"/>
    <w:link w:val="23"/>
    <w:qFormat/>
    <w:uiPriority w:val="99"/>
    <w:pPr>
      <w:spacing w:beforeAutospacing="1" w:afterAutospacing="1"/>
      <w:outlineLvl w:val="5"/>
    </w:pPr>
    <w:rPr>
      <w:b/>
      <w:bCs/>
      <w:sz w:val="15"/>
      <w:szCs w:val="15"/>
    </w:rPr>
  </w:style>
  <w:style w:type="character" w:default="1" w:styleId="17">
    <w:name w:val="Default Paragraph Font"/>
    <w:semiHidden/>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uiPriority w:val="99"/>
    <w:pPr>
      <w:ind w:left="420" w:firstLine="420" w:firstLineChars="200"/>
    </w:pPr>
    <w:rPr>
      <w:rFonts w:hAnsi="Calibri"/>
      <w:sz w:val="21"/>
    </w:rPr>
  </w:style>
  <w:style w:type="paragraph" w:customStyle="1" w:styleId="3">
    <w:name w:val="BodyTextIndent"/>
    <w:basedOn w:val="1"/>
    <w:uiPriority w:val="99"/>
    <w:pPr>
      <w:spacing w:after="120"/>
      <w:ind w:left="200" w:leftChars="200"/>
      <w:jc w:val="both"/>
      <w:textAlignment w:val="baseline"/>
    </w:pPr>
  </w:style>
  <w:style w:type="paragraph" w:styleId="10">
    <w:name w:val="Body Text"/>
    <w:basedOn w:val="1"/>
    <w:link w:val="24"/>
    <w:uiPriority w:val="99"/>
    <w:pPr>
      <w:spacing w:beforeAutospacing="1" w:afterAutospacing="1"/>
    </w:pPr>
  </w:style>
  <w:style w:type="paragraph" w:styleId="11">
    <w:name w:val="Body Text Indent"/>
    <w:basedOn w:val="1"/>
    <w:next w:val="12"/>
    <w:link w:val="25"/>
    <w:uiPriority w:val="99"/>
    <w:pPr>
      <w:ind w:left="359"/>
    </w:pPr>
    <w:rPr>
      <w:rFonts w:ascii="Times New Roman" w:hAnsi="Times New Roman"/>
      <w:sz w:val="28"/>
      <w:szCs w:val="28"/>
    </w:rPr>
  </w:style>
  <w:style w:type="paragraph" w:styleId="12">
    <w:name w:val="Body Text First Indent 2"/>
    <w:basedOn w:val="11"/>
    <w:link w:val="26"/>
    <w:uiPriority w:val="99"/>
    <w:rPr>
      <w:rFonts w:ascii="Calibri" w:hAnsi="Calibri"/>
      <w:sz w:val="21"/>
      <w:szCs w:val="21"/>
    </w:rPr>
  </w:style>
  <w:style w:type="paragraph" w:styleId="13">
    <w:name w:val="footer"/>
    <w:basedOn w:val="1"/>
    <w:link w:val="27"/>
    <w:uiPriority w:val="99"/>
    <w:pPr>
      <w:snapToGrid w:val="0"/>
    </w:pPr>
    <w:rPr>
      <w:sz w:val="18"/>
      <w:szCs w:val="18"/>
    </w:rPr>
  </w:style>
  <w:style w:type="paragraph" w:styleId="14">
    <w:name w:val="HTML Preformatted"/>
    <w:basedOn w:val="1"/>
    <w:link w:val="28"/>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5">
    <w:name w:val="Normal (Web)"/>
    <w:basedOn w:val="1"/>
    <w:uiPriority w:val="99"/>
    <w:pPr>
      <w:spacing w:beforeAutospacing="1" w:afterAutospacing="1"/>
    </w:pPr>
  </w:style>
  <w:style w:type="character" w:customStyle="1" w:styleId="18">
    <w:name w:val="Heading 1 Char"/>
    <w:basedOn w:val="17"/>
    <w:link w:val="4"/>
    <w:uiPriority w:val="9"/>
    <w:rPr>
      <w:rFonts w:ascii="宋体" w:hAnsi="宋体"/>
      <w:b/>
      <w:bCs/>
      <w:kern w:val="44"/>
      <w:sz w:val="44"/>
      <w:szCs w:val="44"/>
    </w:rPr>
  </w:style>
  <w:style w:type="character" w:customStyle="1" w:styleId="19">
    <w:name w:val="Heading 2 Char"/>
    <w:basedOn w:val="17"/>
    <w:link w:val="5"/>
    <w:semiHidden/>
    <w:uiPriority w:val="9"/>
    <w:rPr>
      <w:rFonts w:asciiTheme="majorHAnsi" w:hAnsiTheme="majorHAnsi" w:eastAsiaTheme="majorEastAsia" w:cstheme="majorBidi"/>
      <w:b/>
      <w:bCs/>
      <w:kern w:val="0"/>
      <w:sz w:val="32"/>
      <w:szCs w:val="32"/>
    </w:rPr>
  </w:style>
  <w:style w:type="character" w:customStyle="1" w:styleId="20">
    <w:name w:val="Heading 3 Char"/>
    <w:basedOn w:val="17"/>
    <w:link w:val="6"/>
    <w:semiHidden/>
    <w:uiPriority w:val="9"/>
    <w:rPr>
      <w:rFonts w:ascii="宋体" w:hAnsi="宋体"/>
      <w:b/>
      <w:bCs/>
      <w:kern w:val="0"/>
      <w:sz w:val="32"/>
      <w:szCs w:val="32"/>
    </w:rPr>
  </w:style>
  <w:style w:type="character" w:customStyle="1" w:styleId="21">
    <w:name w:val="Heading 4 Char"/>
    <w:basedOn w:val="17"/>
    <w:link w:val="7"/>
    <w:semiHidden/>
    <w:uiPriority w:val="9"/>
    <w:rPr>
      <w:rFonts w:asciiTheme="majorHAnsi" w:hAnsiTheme="majorHAnsi" w:eastAsiaTheme="majorEastAsia" w:cstheme="majorBidi"/>
      <w:b/>
      <w:bCs/>
      <w:kern w:val="0"/>
      <w:sz w:val="28"/>
      <w:szCs w:val="28"/>
    </w:rPr>
  </w:style>
  <w:style w:type="character" w:customStyle="1" w:styleId="22">
    <w:name w:val="Heading 5 Char"/>
    <w:basedOn w:val="17"/>
    <w:link w:val="8"/>
    <w:semiHidden/>
    <w:uiPriority w:val="9"/>
    <w:rPr>
      <w:rFonts w:ascii="宋体" w:hAnsi="宋体"/>
      <w:b/>
      <w:bCs/>
      <w:kern w:val="0"/>
      <w:sz w:val="28"/>
      <w:szCs w:val="28"/>
    </w:rPr>
  </w:style>
  <w:style w:type="character" w:customStyle="1" w:styleId="23">
    <w:name w:val="Heading 6 Char"/>
    <w:basedOn w:val="17"/>
    <w:link w:val="9"/>
    <w:semiHidden/>
    <w:uiPriority w:val="9"/>
    <w:rPr>
      <w:rFonts w:asciiTheme="majorHAnsi" w:hAnsiTheme="majorHAnsi" w:eastAsiaTheme="majorEastAsia" w:cstheme="majorBidi"/>
      <w:b/>
      <w:bCs/>
      <w:kern w:val="0"/>
      <w:sz w:val="24"/>
      <w:szCs w:val="24"/>
    </w:rPr>
  </w:style>
  <w:style w:type="character" w:customStyle="1" w:styleId="24">
    <w:name w:val="Body Text Char"/>
    <w:basedOn w:val="17"/>
    <w:link w:val="10"/>
    <w:semiHidden/>
    <w:uiPriority w:val="99"/>
    <w:rPr>
      <w:rFonts w:ascii="宋体" w:hAnsi="宋体"/>
      <w:kern w:val="0"/>
      <w:sz w:val="24"/>
      <w:szCs w:val="24"/>
    </w:rPr>
  </w:style>
  <w:style w:type="character" w:customStyle="1" w:styleId="25">
    <w:name w:val="Body Text Indent Char"/>
    <w:basedOn w:val="17"/>
    <w:link w:val="11"/>
    <w:semiHidden/>
    <w:uiPriority w:val="99"/>
    <w:rPr>
      <w:rFonts w:ascii="宋体" w:hAnsi="宋体"/>
      <w:kern w:val="0"/>
      <w:sz w:val="24"/>
      <w:szCs w:val="24"/>
    </w:rPr>
  </w:style>
  <w:style w:type="character" w:customStyle="1" w:styleId="26">
    <w:name w:val="Body Text First Indent 2 Char"/>
    <w:basedOn w:val="25"/>
    <w:link w:val="12"/>
    <w:semiHidden/>
    <w:qFormat/>
    <w:uiPriority w:val="99"/>
  </w:style>
  <w:style w:type="character" w:customStyle="1" w:styleId="27">
    <w:name w:val="Footer Char"/>
    <w:basedOn w:val="17"/>
    <w:link w:val="13"/>
    <w:semiHidden/>
    <w:uiPriority w:val="99"/>
    <w:rPr>
      <w:rFonts w:ascii="宋体" w:hAnsi="宋体"/>
      <w:kern w:val="0"/>
      <w:sz w:val="18"/>
      <w:szCs w:val="18"/>
    </w:rPr>
  </w:style>
  <w:style w:type="character" w:customStyle="1" w:styleId="28">
    <w:name w:val="HTML Preformatted Char"/>
    <w:basedOn w:val="17"/>
    <w:link w:val="14"/>
    <w:semiHidden/>
    <w:uiPriority w:val="99"/>
    <w:rPr>
      <w:rFonts w:ascii="Courier New" w:hAnsi="Courier New" w:cs="Courier New"/>
      <w:kern w:val="0"/>
      <w:sz w:val="20"/>
      <w:szCs w:val="20"/>
    </w:rPr>
  </w:style>
  <w:style w:type="character" w:customStyle="1" w:styleId="29">
    <w:name w:val="16"/>
    <w:basedOn w:val="17"/>
    <w:uiPriority w:val="99"/>
    <w:rPr>
      <w:rFonts w:ascii="Times New Roman" w:hAnsi="Times New Roman" w:cs="Times New Roman"/>
      <w:b/>
    </w:rPr>
  </w:style>
  <w:style w:type="paragraph" w:customStyle="1" w:styleId="30">
    <w:name w:val="HTML 预设格式 Char"/>
    <w:basedOn w:va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31">
    <w:name w:val="15"/>
    <w:basedOn w:val="17"/>
    <w:uiPriority w:val="99"/>
    <w:rPr>
      <w:rFonts w:ascii="Times New Roman" w:hAnsi="Times New Roman" w:cs="Times New Roman"/>
      <w:b/>
    </w:rPr>
  </w:style>
  <w:style w:type="character" w:customStyle="1" w:styleId="32">
    <w:name w:val="10"/>
    <w:basedOn w:val="17"/>
    <w:qFormat/>
    <w:uiPriority w:val="99"/>
    <w:rPr>
      <w:rFonts w:ascii="Times New Roman" w:hAnsi="Times New Roman" w:cs="Times New Roman"/>
    </w:rPr>
  </w:style>
  <w:style w:type="paragraph" w:customStyle="1" w:styleId="33">
    <w:name w:val="普通(网站) Char"/>
    <w:basedOn w:val="1"/>
    <w:uiPriority w:val="99"/>
    <w:pPr>
      <w:spacing w:beforeAutospacing="1" w:afterAutospacing="1"/>
    </w:pPr>
  </w:style>
  <w:style w:type="character" w:customStyle="1" w:styleId="34">
    <w:name w:val="NormalCharacter"/>
    <w:link w:val="35"/>
    <w:locked/>
    <w:uiPriority w:val="99"/>
  </w:style>
  <w:style w:type="paragraph" w:customStyle="1" w:styleId="35">
    <w:name w:val="UserStyle_0"/>
    <w:basedOn w:val="1"/>
    <w:link w:val="34"/>
    <w:uiPriority w:val="99"/>
    <w:pPr>
      <w:spacing w:before="312" w:after="160" w:line="240" w:lineRule="exact"/>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oleObject" Target="embeddings/oleObject3.bin"/><Relationship Id="rId7" Type="http://schemas.openxmlformats.org/officeDocument/2006/relationships/image" Target="media/image2.png"/><Relationship Id="rId6" Type="http://schemas.openxmlformats.org/officeDocument/2006/relationships/oleObject" Target="embeddings/oleObject2.bin"/><Relationship Id="rId5" Type="http://schemas.openxmlformats.org/officeDocument/2006/relationships/image" Target="media/image1.png"/><Relationship Id="rId4" Type="http://schemas.openxmlformats.org/officeDocument/2006/relationships/oleObject" Target="embeddings/oleObject1.bin"/><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0.png"/><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oleObject" Target="embeddings/oleObject7.bin"/><Relationship Id="rId17" Type="http://schemas.openxmlformats.org/officeDocument/2006/relationships/image" Target="media/image8.png"/><Relationship Id="rId16" Type="http://schemas.openxmlformats.org/officeDocument/2006/relationships/oleObject" Target="embeddings/oleObject6.bin"/><Relationship Id="rId15" Type="http://schemas.openxmlformats.org/officeDocument/2006/relationships/image" Target="media/image7.png"/><Relationship Id="rId14" Type="http://schemas.openxmlformats.org/officeDocument/2006/relationships/oleObject" Target="embeddings/oleObject5.bin"/><Relationship Id="rId13" Type="http://schemas.openxmlformats.org/officeDocument/2006/relationships/image" Target="media/image6.png"/><Relationship Id="rId12" Type="http://schemas.openxmlformats.org/officeDocument/2006/relationships/oleObject" Target="embeddings/oleObject4.bin"/><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3388</Words>
  <Characters>3876</Characters>
  <Lines>0</Lines>
  <Paragraphs>0</Paragraphs>
  <TotalTime>2</TotalTime>
  <ScaleCrop>false</ScaleCrop>
  <LinksUpToDate>false</LinksUpToDate>
  <CharactersWithSpaces>3884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2024-11-15T03:27:00Z</dcterms:created>
  <dc:creator>Administrator</dc:creator>
  <cp:lastModifiedBy>贪狼星</cp:lastModifiedBy>
  <dcterms:modified xsi:type="dcterms:W3CDTF">2024-11-15T06:59:38Z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1023DB0070E448ABBCE819FAF3686D3B</vt:lpwstr>
  </property>
</Properties>
</file>