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06267"/>
      <w:bookmarkStart w:id="1" w:name="_Toc15377425"/>
      <w:bookmarkStart w:id="2" w:name="_Toc15378441"/>
      <w:bookmarkStart w:id="3" w:name="_Toc15377193"/>
      <w:bookmarkStart w:id="4" w:name="_Toc15396475"/>
      <w:bookmarkStart w:id="5" w:name="_Toc1539659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bookmarkEnd w:id="0"/>
    <w:bookmarkEnd w:id="1"/>
    <w:bookmarkEnd w:id="2"/>
    <w:bookmarkEnd w:id="3"/>
    <w:bookmarkEnd w:id="4"/>
    <w:bookmarkEnd w:id="5"/>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8"/>
          <w:rFonts w:hint="eastAsia" w:ascii="方正小标宋简体" w:hAnsi="方正小标宋简体" w:eastAsia="方正小标宋简体" w:cs="方正小标宋简体"/>
          <w:sz w:val="44"/>
          <w:szCs w:val="44"/>
          <w:shd w:val="clear" w:color="auto" w:fill="FFFFFF"/>
        </w:rPr>
        <w:t>202</w:t>
      </w:r>
      <w:r>
        <w:rPr>
          <w:rStyle w:val="18"/>
          <w:rFonts w:hint="eastAsia" w:ascii="方正小标宋简体" w:hAnsi="方正小标宋简体" w:eastAsia="方正小标宋简体" w:cs="方正小标宋简体"/>
          <w:sz w:val="44"/>
          <w:szCs w:val="44"/>
          <w:shd w:val="clear" w:color="auto" w:fill="FFFFFF"/>
          <w:lang w:val="en-US" w:eastAsia="zh-CN"/>
        </w:rPr>
        <w:t>3</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eastAsia="zh-CN"/>
        </w:rPr>
      </w:pPr>
      <w:r>
        <w:rPr>
          <w:rStyle w:val="18"/>
          <w:rFonts w:hint="eastAsia" w:ascii="方正小标宋简体" w:hAnsi="方正小标宋简体" w:eastAsia="方正小标宋简体" w:cs="方正小标宋简体"/>
          <w:sz w:val="44"/>
          <w:szCs w:val="44"/>
          <w:shd w:val="clear" w:color="auto" w:fill="FFFFFF"/>
        </w:rPr>
        <w:t>红原县人民</w:t>
      </w:r>
      <w:r>
        <w:rPr>
          <w:rStyle w:val="18"/>
          <w:rFonts w:hint="eastAsia" w:ascii="方正小标宋简体" w:hAnsi="方正小标宋简体" w:eastAsia="方正小标宋简体" w:cs="方正小标宋简体"/>
          <w:sz w:val="44"/>
          <w:szCs w:val="44"/>
          <w:shd w:val="clear" w:color="auto" w:fill="FFFFFF"/>
          <w:lang w:eastAsia="zh-CN"/>
        </w:rPr>
        <w:t>政府</w:t>
      </w:r>
      <w:r>
        <w:rPr>
          <w:rStyle w:val="18"/>
          <w:rFonts w:hint="eastAsia" w:ascii="方正小标宋简体" w:hAnsi="方正小标宋简体" w:eastAsia="方正小标宋简体" w:cs="方正小标宋简体"/>
          <w:sz w:val="44"/>
          <w:szCs w:val="44"/>
          <w:shd w:val="clear" w:color="auto" w:fill="FFFFFF"/>
        </w:rPr>
        <w:t>办公</w:t>
      </w:r>
      <w:r>
        <w:rPr>
          <w:rStyle w:val="18"/>
          <w:rFonts w:hint="eastAsia" w:ascii="方正小标宋简体" w:hAnsi="方正小标宋简体" w:eastAsia="方正小标宋简体" w:cs="方正小标宋简体"/>
          <w:sz w:val="44"/>
          <w:szCs w:val="44"/>
          <w:shd w:val="clear" w:color="auto" w:fill="FFFFFF"/>
          <w:lang w:eastAsia="zh-CN"/>
        </w:rPr>
        <w:t>室</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部门决算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7"/>
        <w:rPr>
          <w:rFonts w:ascii="方正小标宋简体" w:eastAsia="方正小标宋简体"/>
          <w:sz w:val="36"/>
          <w:szCs w:val="36"/>
        </w:rPr>
      </w:pPr>
    </w:p>
    <w:p>
      <w:pPr>
        <w:pStyle w:val="8"/>
        <w:rPr>
          <w:rFonts w:ascii="方正小标宋简体" w:eastAsia="方正小标宋简体"/>
          <w:sz w:val="36"/>
          <w:szCs w:val="36"/>
        </w:rPr>
      </w:pPr>
    </w:p>
    <w:p>
      <w:pPr>
        <w:pStyle w:val="8"/>
        <w:rPr>
          <w:rFonts w:ascii="方正小标宋简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15</w:t>
      </w:r>
      <w:r>
        <w:rPr>
          <w:rFonts w:hint="eastAsia"/>
        </w:rPr>
        <w:t>日</w:t>
      </w:r>
    </w:p>
    <w:p/>
    <w:sdt>
      <w:sdtPr>
        <w:rPr>
          <w:rFonts w:ascii="宋体" w:hAnsi="宋体" w:eastAsia="宋体" w:cs="Times New Roman"/>
          <w:kern w:val="2"/>
          <w:sz w:val="21"/>
          <w:szCs w:val="24"/>
          <w:lang w:val="en-US" w:eastAsia="zh-CN" w:bidi="ar-SA"/>
        </w:rPr>
        <w:id w:val="147451071"/>
        <w15:color w:val="DBDBDB"/>
        <w:docPartObj>
          <w:docPartGallery w:val="Table of Contents"/>
          <w:docPartUnique/>
        </w:docPartObj>
      </w:sdtPr>
      <w:sdtEndPr>
        <w:rPr>
          <w:rFonts w:hint="eastAsia" w:ascii="仿宋_GB2312" w:hAnsi="仿宋_GB2312" w:eastAsia="仿宋_GB2312" w:cs="仿宋_GB2312"/>
          <w:b/>
          <w:color w:val="auto"/>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6" w:name="_Toc15377196"/>
          <w:bookmarkStart w:id="7" w:name="_Toc15396599"/>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"1-2" \h \u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_Toc16019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第一部分 部门概况</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_Toc16019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 部门职责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_Toc13721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_Toc16164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第二部分 202</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年度部门决算情况说明</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_Toc16164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7</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_Toc7064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 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 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_Toc31432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_Toc31432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_Toc17525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_Toc17525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_Toc13941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_Toc4299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七、财政拨款“三公”经费支出决算情况说明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_Toc22646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_Toc22646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_Toc1631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九、 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_Toc4892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十、 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_Toc31207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第三部分 名词解释</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_Toc31207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21</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_Toc17629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第四部分 附件</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_Toc17629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23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_Toc20539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第五部分 附表</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_Toc20539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30</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_Toc7319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一、收</w:t>
          </w:r>
          <w:r>
            <w:rPr>
              <w:rFonts w:hint="eastAsia" w:ascii="仿宋_GB2312" w:hAnsi="仿宋_GB2312" w:eastAsia="仿宋_GB2312" w:cs="仿宋_GB2312"/>
              <w:bCs w:val="0"/>
              <w:sz w:val="28"/>
              <w:szCs w:val="28"/>
            </w:rPr>
            <w:t>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_Toc7319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二、收</w:t>
          </w:r>
          <w:r>
            <w:rPr>
              <w:rFonts w:hint="eastAsia" w:ascii="仿宋_GB2312" w:hAnsi="仿宋_GB2312" w:eastAsia="仿宋_GB2312" w:cs="仿宋_GB2312"/>
              <w:bCs w:val="0"/>
              <w:sz w:val="28"/>
              <w:szCs w:val="28"/>
            </w:rPr>
            <w:t>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三、</w:t>
          </w:r>
          <w:r>
            <w:rPr>
              <w:rFonts w:hint="eastAsia" w:ascii="仿宋_GB2312" w:hAnsi="仿宋_GB2312" w:eastAsia="仿宋_GB2312" w:cs="仿宋_GB2312"/>
              <w:sz w:val="28"/>
              <w:szCs w:val="28"/>
            </w:rPr>
            <w:t>支</w:t>
          </w:r>
          <w:r>
            <w:rPr>
              <w:rFonts w:hint="eastAsia" w:ascii="仿宋_GB2312" w:hAnsi="仿宋_GB2312" w:eastAsia="仿宋_GB2312" w:cs="仿宋_GB2312"/>
              <w:bCs w:val="0"/>
              <w:sz w:val="28"/>
              <w:szCs w:val="28"/>
            </w:rPr>
            <w:t>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_Toc24023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_Toc10976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四、</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五、</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六、</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_Toc32100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七、</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_Toc17350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八、</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_Toc17350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_Toc10434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九、</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_Toc10434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_Toc6168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w:t>
          </w:r>
          <w:r>
            <w:rPr>
              <w:rFonts w:hint="eastAsia" w:ascii="仿宋_GB2312" w:hAnsi="仿宋_GB2312" w:eastAsia="仿宋_GB2312" w:cs="仿宋_GB2312"/>
              <w:sz w:val="28"/>
              <w:szCs w:val="28"/>
            </w:rPr>
            <w:t>政</w:t>
          </w:r>
          <w:r>
            <w:rPr>
              <w:rFonts w:hint="eastAsia" w:ascii="仿宋_GB2312" w:hAnsi="仿宋_GB2312" w:eastAsia="仿宋_GB2312" w:cs="仿宋_GB2312"/>
              <w:bCs w:val="0"/>
              <w:sz w:val="28"/>
              <w:szCs w:val="28"/>
            </w:rPr>
            <w:t>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_Toc6168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_Toc23336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w:t>
          </w:r>
          <w:r>
            <w:rPr>
              <w:rFonts w:hint="eastAsia" w:ascii="仿宋_GB2312" w:hAnsi="仿宋_GB2312" w:eastAsia="仿宋_GB2312" w:cs="仿宋_GB2312"/>
              <w:sz w:val="28"/>
              <w:szCs w:val="28"/>
            </w:rPr>
            <w:t>国</w:t>
          </w:r>
          <w:r>
            <w:rPr>
              <w:rFonts w:hint="eastAsia" w:ascii="仿宋_GB2312" w:hAnsi="仿宋_GB2312" w:eastAsia="仿宋_GB2312" w:cs="仿宋_GB2312"/>
              <w:bCs w:val="0"/>
              <w:sz w:val="28"/>
              <w:szCs w:val="28"/>
            </w:rPr>
            <w:t>有资本经营预算财政拨款收入支出决算表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_Toc23336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_Toc23283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十二、国有资本经营预算财政拨款支出决算表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_Toc19470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十三、财政拨款“三公”经费支出决算表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_Toc19470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_Toc1273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十四、部门项目支出绩效目标表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end"/>
          </w:r>
        </w:p>
      </w:sdtContent>
    </w:sdt>
    <w:p>
      <w:pPr>
        <w:pStyle w:val="2"/>
        <w:jc w:val="center"/>
        <w:rPr>
          <w:rFonts w:hint="eastAsia" w:ascii="黑体" w:eastAsia="黑体"/>
          <w:b w:val="0"/>
        </w:rPr>
      </w:pPr>
      <w:bookmarkStart w:id="8" w:name="_Toc16019"/>
    </w:p>
    <w:p>
      <w:pPr>
        <w:pStyle w:val="2"/>
        <w:jc w:val="both"/>
        <w:rPr>
          <w:rFonts w:hint="eastAsia" w:ascii="黑体" w:eastAsia="黑体"/>
          <w:b w:val="0"/>
        </w:rPr>
      </w:pPr>
    </w:p>
    <w:p>
      <w:pPr>
        <w:rPr>
          <w:rFonts w:hint="eastAsia"/>
        </w:rPr>
      </w:pPr>
    </w:p>
    <w:p>
      <w:pPr>
        <w:pStyle w:val="2"/>
        <w:jc w:val="center"/>
        <w:rPr>
          <w:rFonts w:ascii="黑体" w:eastAsia="黑体"/>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6"/>
      <w:bookmarkEnd w:id="7"/>
      <w:bookmarkEnd w:id="8"/>
    </w:p>
    <w:p>
      <w:pPr>
        <w:pStyle w:val="3"/>
        <w:numPr>
          <w:ilvl w:val="0"/>
          <w:numId w:val="1"/>
        </w:numPr>
        <w:rPr>
          <w:rFonts w:hint="eastAsia" w:ascii="黑体" w:eastAsia="黑体"/>
          <w:b w:val="0"/>
          <w:bCs/>
        </w:rPr>
      </w:pPr>
      <w:bookmarkStart w:id="9" w:name="_Toc31358"/>
      <w:r>
        <w:rPr>
          <w:rFonts w:hint="eastAsia" w:ascii="黑体" w:eastAsia="黑体"/>
          <w:b w:val="0"/>
          <w:bCs/>
        </w:rPr>
        <w:t>部门职责</w:t>
      </w:r>
      <w:bookmarkEnd w:id="9"/>
    </w:p>
    <w:p>
      <w:pPr>
        <w:pStyle w:val="15"/>
        <w:keepNext w:val="0"/>
        <w:keepLines w:val="0"/>
        <w:pageBreakBefore w:val="0"/>
        <w:widowControl/>
        <w:numPr>
          <w:ilvl w:val="0"/>
          <w:numId w:val="2"/>
        </w:numPr>
        <w:suppressLineNumbers w:val="0"/>
        <w:kinsoku/>
        <w:wordWrap/>
        <w:overflowPunct/>
        <w:topLinePunct w:val="0"/>
        <w:autoSpaceDE/>
        <w:autoSpaceDN/>
        <w:bidi w:val="0"/>
        <w:adjustRightInd/>
        <w:snapToGrid/>
        <w:spacing w:line="576" w:lineRule="exact"/>
        <w:ind w:left="0" w:right="75"/>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ind w:firstLine="640" w:firstLineChars="200"/>
        <w:rPr>
          <w:rFonts w:ascii="仿宋_GB2312" w:hAnsi="宋体" w:eastAsia="仿宋_GB2312"/>
          <w:sz w:val="32"/>
          <w:szCs w:val="32"/>
        </w:rPr>
      </w:pPr>
      <w:r>
        <w:rPr>
          <w:rFonts w:hint="eastAsia" w:ascii="仿宋_GB2312" w:eastAsia="仿宋_GB2312"/>
          <w:sz w:val="32"/>
          <w:szCs w:val="32"/>
        </w:rPr>
        <w:t>协助县政府领导组织起草或审核以县政府、县政府办公室名义发布的公文。办理州政府、州政府办公室及各州直部门发送县政府的文电。指导全县行政机关公文处理工作。</w:t>
      </w:r>
    </w:p>
    <w:p>
      <w:pPr>
        <w:pStyle w:val="27"/>
        <w:ind w:left="-29" w:leftChars="-14" w:firstLine="0" w:firstLineChars="0"/>
        <w:rPr>
          <w:rFonts w:ascii="仿宋_GB2312" w:eastAsia="仿宋_GB2312"/>
          <w:sz w:val="32"/>
          <w:szCs w:val="32"/>
        </w:rPr>
      </w:pPr>
      <w:r>
        <w:rPr>
          <w:rFonts w:hint="eastAsia" w:ascii="仿宋_GB2312" w:eastAsia="仿宋_GB2312"/>
          <w:sz w:val="32"/>
          <w:szCs w:val="32"/>
        </w:rPr>
        <w:t>研究县政府各部门和各乡、镇人民政府请示县政府的事项，提出审核意见，报县政府领导审批。</w:t>
      </w:r>
    </w:p>
    <w:p>
      <w:pPr>
        <w:ind w:firstLine="640" w:firstLineChars="200"/>
        <w:rPr>
          <w:rFonts w:ascii="仿宋_GB2312" w:eastAsia="仿宋_GB2312"/>
          <w:sz w:val="32"/>
          <w:szCs w:val="32"/>
        </w:rPr>
      </w:pPr>
      <w:r>
        <w:rPr>
          <w:rFonts w:hint="eastAsia" w:ascii="仿宋_GB2312" w:eastAsia="仿宋_GB2312"/>
          <w:sz w:val="32"/>
          <w:szCs w:val="32"/>
        </w:rPr>
        <w:t>负责县政府会议的准备工作，协助县政府领导组织实施会议决定事项。根据县政府领导的指示，对县政府各部门和各乡、镇人民政府间争议问题提出处理意见和建议，报县政府领导决定。</w:t>
      </w:r>
    </w:p>
    <w:p>
      <w:pPr>
        <w:ind w:firstLine="640" w:firstLineChars="200"/>
        <w:rPr>
          <w:rFonts w:ascii="仿宋_GB2312" w:eastAsia="仿宋_GB2312"/>
          <w:sz w:val="32"/>
          <w:szCs w:val="32"/>
        </w:rPr>
      </w:pPr>
      <w:r>
        <w:rPr>
          <w:rFonts w:hint="eastAsia" w:ascii="仿宋_GB2312" w:eastAsia="仿宋_GB2312"/>
          <w:sz w:val="32"/>
          <w:szCs w:val="32"/>
        </w:rPr>
        <w:t>督促检查县政府各部门和各乡、镇人民政府对县政府决定事项及县政府领导指示的贯彻落实情况，及时向县政府领导报告。</w:t>
      </w:r>
    </w:p>
    <w:p>
      <w:pPr>
        <w:ind w:firstLine="640" w:firstLineChars="200"/>
        <w:rPr>
          <w:rFonts w:ascii="仿宋_GB2312" w:eastAsia="仿宋_GB2312"/>
          <w:sz w:val="32"/>
          <w:szCs w:val="32"/>
        </w:rPr>
      </w:pPr>
      <w:r>
        <w:rPr>
          <w:rFonts w:hint="eastAsia" w:ascii="仿宋_GB2312" w:eastAsia="仿宋_GB2312"/>
          <w:sz w:val="32"/>
          <w:szCs w:val="32"/>
        </w:rPr>
        <w:t>负责县政府值班工作，指导各乡、镇人民政府和全县政府各部门值班工作，及时报告重要情况。</w:t>
      </w:r>
    </w:p>
    <w:p>
      <w:pPr>
        <w:ind w:firstLine="640" w:firstLineChars="200"/>
        <w:rPr>
          <w:rFonts w:ascii="仿宋_GB2312" w:eastAsia="仿宋_GB2312"/>
          <w:sz w:val="32"/>
          <w:szCs w:val="32"/>
        </w:rPr>
      </w:pPr>
      <w:r>
        <w:rPr>
          <w:rFonts w:hint="eastAsia" w:ascii="仿宋_GB2312" w:eastAsia="仿宋_GB2312"/>
          <w:sz w:val="32"/>
          <w:szCs w:val="32"/>
        </w:rPr>
        <w:t>指导、监督全县政府信息公开工作和机关行政效能建设工作，指导、监督全县政府系统电子政务工作和政府网站建设。</w:t>
      </w:r>
    </w:p>
    <w:p>
      <w:pPr>
        <w:ind w:firstLine="640" w:firstLineChars="200"/>
        <w:rPr>
          <w:rFonts w:ascii="仿宋_GB2312" w:eastAsia="仿宋_GB2312"/>
          <w:sz w:val="32"/>
          <w:szCs w:val="32"/>
        </w:rPr>
      </w:pPr>
      <w:r>
        <w:rPr>
          <w:rFonts w:hint="eastAsia" w:ascii="仿宋_GB2312" w:eastAsia="仿宋_GB2312"/>
          <w:sz w:val="32"/>
          <w:szCs w:val="32"/>
        </w:rPr>
        <w:t>组织办理涉及县政府工作的人大代表议案、批评、建议和政协委员提案、建议案工作。</w:t>
      </w:r>
    </w:p>
    <w:p>
      <w:pPr>
        <w:ind w:firstLine="640" w:firstLineChars="200"/>
        <w:rPr>
          <w:rFonts w:ascii="仿宋_GB2312" w:eastAsia="仿宋_GB2312"/>
          <w:sz w:val="32"/>
          <w:szCs w:val="32"/>
        </w:rPr>
      </w:pPr>
      <w:r>
        <w:rPr>
          <w:rFonts w:hint="eastAsia" w:ascii="仿宋_GB2312" w:eastAsia="仿宋_GB2312"/>
          <w:sz w:val="32"/>
          <w:szCs w:val="32"/>
        </w:rPr>
        <w:t>指导全县应急管理工作，协助县政府领导做好需由县政府组织处理的突发事件的应急处置工作。</w:t>
      </w:r>
    </w:p>
    <w:p>
      <w:pPr>
        <w:rPr>
          <w:rFonts w:ascii="仿宋_GB2312" w:eastAsia="仿宋_GB2312"/>
          <w:sz w:val="32"/>
          <w:szCs w:val="32"/>
        </w:rPr>
      </w:pPr>
      <w:r>
        <w:rPr>
          <w:rFonts w:hint="eastAsia" w:ascii="仿宋_GB2312" w:eastAsia="仿宋_GB2312"/>
          <w:sz w:val="32"/>
          <w:szCs w:val="32"/>
        </w:rPr>
        <w:t>围绕县政府中心工作和县政府领导的指示，组织专题调查研究，及时反映情况，提出政策性建议。</w:t>
      </w:r>
    </w:p>
    <w:p>
      <w:pPr>
        <w:rPr>
          <w:rFonts w:ascii="仿宋_GB2312" w:eastAsia="仿宋_GB2312"/>
          <w:sz w:val="32"/>
          <w:szCs w:val="32"/>
        </w:rPr>
      </w:pPr>
      <w:r>
        <w:rPr>
          <w:rFonts w:hint="eastAsia" w:ascii="仿宋_GB2312" w:eastAsia="仿宋_GB2312"/>
          <w:sz w:val="32"/>
          <w:szCs w:val="32"/>
        </w:rPr>
        <w:t>指导全县政务服务中心建设，组织全县各部门集中开展行政审批和公共服务。</w:t>
      </w:r>
    </w:p>
    <w:p>
      <w:pPr>
        <w:ind w:firstLine="640" w:firstLineChars="200"/>
        <w:rPr>
          <w:rFonts w:ascii="仿宋_GB2312" w:eastAsia="仿宋_GB2312"/>
          <w:sz w:val="32"/>
          <w:szCs w:val="32"/>
        </w:rPr>
      </w:pPr>
      <w:r>
        <w:rPr>
          <w:rFonts w:hint="eastAsia" w:ascii="仿宋_GB2312" w:eastAsia="仿宋_GB2312"/>
          <w:sz w:val="32"/>
          <w:szCs w:val="32"/>
        </w:rPr>
        <w:t>负责县政府人民防空和民防工作，指导全县人民防空和民防工作。</w:t>
      </w:r>
    </w:p>
    <w:p>
      <w:pPr>
        <w:ind w:firstLine="640" w:firstLineChars="200"/>
        <w:rPr>
          <w:rFonts w:ascii="仿宋_GB2312" w:eastAsia="仿宋_GB2312"/>
          <w:sz w:val="32"/>
          <w:szCs w:val="32"/>
        </w:rPr>
      </w:pPr>
      <w:r>
        <w:rPr>
          <w:rFonts w:hint="eastAsia" w:ascii="仿宋_GB2312" w:eastAsia="仿宋_GB2312"/>
          <w:sz w:val="32"/>
          <w:szCs w:val="32"/>
        </w:rPr>
        <w:t>负责全县机关事业单位小汽车编制审核报批事项。</w:t>
      </w:r>
    </w:p>
    <w:p>
      <w:pPr>
        <w:rPr>
          <w:rFonts w:ascii="仿宋_GB2312" w:eastAsia="仿宋_GB2312"/>
          <w:sz w:val="32"/>
          <w:szCs w:val="32"/>
        </w:rPr>
      </w:pPr>
      <w:r>
        <w:rPr>
          <w:rFonts w:hint="eastAsia" w:ascii="仿宋_GB2312" w:eastAsia="仿宋_GB2312"/>
          <w:sz w:val="32"/>
          <w:szCs w:val="32"/>
        </w:rPr>
        <w:t>承办县政府和县政府领导交办的其他事项。</w:t>
      </w:r>
    </w:p>
    <w:p>
      <w:pPr>
        <w:widowControl/>
        <w:ind w:firstLine="640" w:firstLineChars="200"/>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年度部门决算编制范围二</w:t>
      </w:r>
      <w:r>
        <w:rPr>
          <w:rFonts w:hint="eastAsia" w:ascii="仿宋_GB2312" w:hAnsi="仿宋_GB2312" w:eastAsia="仿宋_GB2312" w:cs="仿宋_GB2312"/>
          <w:color w:val="000000"/>
          <w:sz w:val="32"/>
          <w:szCs w:val="32"/>
        </w:rPr>
        <w:t>个，第一为红原县人民政府办公室（行政），第二为红原县政府驻成都办事处（事业）。</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3</w:t>
      </w:r>
      <w:r>
        <w:rPr>
          <w:rFonts w:hint="eastAsia" w:ascii="楷体_GB2312" w:hAnsi="楷体_GB2312" w:eastAsia="楷体_GB2312" w:cs="楷体_GB2312"/>
          <w:b/>
          <w:bCs/>
          <w:sz w:val="32"/>
          <w:szCs w:val="32"/>
          <w:shd w:val="clear" w:color="auto" w:fill="FFFFFF"/>
        </w:rPr>
        <w:t>年重点工作完成情况。</w:t>
      </w:r>
    </w:p>
    <w:p>
      <w:pPr>
        <w:pStyle w:val="15"/>
        <w:widowControl/>
        <w:shd w:val="clear" w:color="auto" w:fill="FFFFFF"/>
        <w:spacing w:beforeAutospacing="0" w:afterAutospacing="0"/>
        <w:ind w:firstLine="642" w:firstLineChars="200"/>
        <w:rPr>
          <w:rFonts w:ascii="仿宋_GB2312" w:hAnsi="仿宋_GB2312" w:eastAsia="仿宋_GB2312" w:cs="仿宋_GB2312"/>
          <w:color w:val="333333"/>
          <w:sz w:val="32"/>
          <w:szCs w:val="32"/>
        </w:rPr>
      </w:pPr>
      <w:bookmarkStart w:id="10" w:name="_Toc15377200"/>
      <w:bookmarkStart w:id="11" w:name="_Toc15396601"/>
      <w:r>
        <w:rPr>
          <w:rFonts w:hint="eastAsia" w:ascii="楷体_GB2312" w:hAnsi="楷体_GB2312" w:eastAsia="楷体_GB2312" w:cs="楷体_GB2312"/>
          <w:b/>
          <w:bCs/>
          <w:color w:val="333333"/>
          <w:sz w:val="32"/>
          <w:szCs w:val="32"/>
          <w:shd w:val="clear" w:color="auto" w:fill="FFFFFF"/>
          <w:lang w:val="en-US" w:eastAsia="zh-CN"/>
        </w:rPr>
        <w:t>1、</w:t>
      </w:r>
      <w:r>
        <w:rPr>
          <w:rFonts w:hint="eastAsia" w:ascii="楷体_GB2312" w:hAnsi="楷体_GB2312" w:eastAsia="楷体_GB2312" w:cs="楷体_GB2312"/>
          <w:b/>
          <w:bCs/>
          <w:color w:val="333333"/>
          <w:sz w:val="32"/>
          <w:szCs w:val="32"/>
          <w:shd w:val="clear" w:color="auto" w:fill="FFFFFF"/>
        </w:rPr>
        <w:t>提高辅助决策水平，充分发挥参谋助手作用。</w:t>
      </w:r>
      <w:r>
        <w:rPr>
          <w:rFonts w:hint="eastAsia" w:ascii="仿宋_GB2312" w:hAnsi="仿宋_GB2312" w:eastAsia="仿宋_GB2312" w:cs="仿宋_GB2312"/>
          <w:b/>
          <w:bCs/>
          <w:color w:val="333333"/>
          <w:sz w:val="32"/>
          <w:szCs w:val="32"/>
          <w:shd w:val="clear" w:color="auto" w:fill="FFFFFF"/>
        </w:rPr>
        <w:t>办会工作突出精细化。</w:t>
      </w:r>
      <w:r>
        <w:rPr>
          <w:rFonts w:hint="eastAsia" w:ascii="仿宋_GB2312" w:hAnsi="仿宋_GB2312" w:eastAsia="仿宋_GB2312" w:cs="仿宋_GB2312"/>
          <w:color w:val="333333"/>
          <w:sz w:val="32"/>
          <w:szCs w:val="32"/>
          <w:shd w:val="clear" w:color="auto" w:fill="FFFFFF"/>
        </w:rPr>
        <w:t>严格规范各类会议的工作流程，做好政府办承办的各类会议筹备工作，做到会前准备精心，会中服务到位，会后落实及时。</w:t>
      </w:r>
      <w:r>
        <w:rPr>
          <w:rFonts w:hint="eastAsia" w:ascii="仿宋_GB2312" w:hAnsi="仿宋_GB2312" w:eastAsia="仿宋_GB2312" w:cs="仿宋_GB2312"/>
          <w:b/>
          <w:bCs/>
          <w:color w:val="333333"/>
          <w:sz w:val="32"/>
          <w:szCs w:val="32"/>
          <w:shd w:val="clear" w:color="auto" w:fill="FFFFFF"/>
        </w:rPr>
        <w:t>办文工作坚持零差错。</w:t>
      </w:r>
      <w:r>
        <w:rPr>
          <w:rFonts w:hint="eastAsia" w:ascii="仿宋_GB2312" w:hAnsi="仿宋_GB2312" w:eastAsia="仿宋_GB2312" w:cs="仿宋_GB2312"/>
          <w:color w:val="333333"/>
          <w:sz w:val="32"/>
          <w:szCs w:val="32"/>
          <w:shd w:val="clear" w:color="auto" w:fill="FFFFFF"/>
        </w:rPr>
        <w:t>严把文稿、精雕细琢，着力提高文字水平、提升以文辅政能力。积极探索新的管理方式，提高电子政务水平，大力推进政务信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息公开。</w:t>
      </w:r>
      <w:r>
        <w:rPr>
          <w:rFonts w:hint="eastAsia" w:ascii="仿宋_GB2312" w:hAnsi="仿宋_GB2312" w:eastAsia="仿宋_GB2312" w:cs="仿宋_GB2312"/>
          <w:b/>
          <w:bCs/>
          <w:color w:val="333333"/>
          <w:sz w:val="32"/>
          <w:szCs w:val="32"/>
          <w:shd w:val="clear" w:color="auto" w:fill="FFFFFF"/>
        </w:rPr>
        <w:t>信息工作取得新突破。</w:t>
      </w:r>
      <w:r>
        <w:rPr>
          <w:rFonts w:hint="eastAsia" w:ascii="仿宋_GB2312" w:hAnsi="仿宋_GB2312" w:eastAsia="仿宋_GB2312" w:cs="仿宋_GB2312"/>
          <w:color w:val="333333"/>
          <w:sz w:val="32"/>
          <w:szCs w:val="32"/>
          <w:shd w:val="clear" w:color="auto" w:fill="FFFFFF"/>
        </w:rPr>
        <w:t>进一步完善信息工作制度，突出业务培训和考核，加强专业队伍建设，不断提高报省、报州信息采用率和领导批示率。</w:t>
      </w:r>
    </w:p>
    <w:p>
      <w:pPr>
        <w:pStyle w:val="15"/>
        <w:widowControl/>
        <w:shd w:val="clear" w:color="auto" w:fill="FFFFFF"/>
        <w:spacing w:beforeAutospacing="0" w:afterAutospacing="0"/>
        <w:ind w:firstLine="642" w:firstLineChars="200"/>
        <w:rPr>
          <w:rFonts w:ascii="仿宋_GB2312" w:hAnsi="仿宋_GB2312" w:eastAsia="仿宋_GB2312" w:cs="仿宋_GB2312"/>
          <w:color w:val="333333"/>
          <w:sz w:val="32"/>
          <w:szCs w:val="32"/>
        </w:rPr>
      </w:pPr>
      <w:r>
        <w:rPr>
          <w:rFonts w:hint="eastAsia" w:ascii="楷体_GB2312" w:hAnsi="楷体_GB2312" w:eastAsia="楷体_GB2312" w:cs="楷体_GB2312"/>
          <w:b/>
          <w:bCs/>
          <w:color w:val="333333"/>
          <w:sz w:val="32"/>
          <w:szCs w:val="32"/>
          <w:shd w:val="clear" w:color="auto" w:fill="FFFFFF"/>
          <w:lang w:val="en-US" w:eastAsia="zh-CN"/>
        </w:rPr>
        <w:t>2、</w:t>
      </w:r>
      <w:r>
        <w:rPr>
          <w:rFonts w:hint="eastAsia" w:ascii="楷体_GB2312" w:hAnsi="楷体_GB2312" w:eastAsia="楷体_GB2312" w:cs="楷体_GB2312"/>
          <w:b/>
          <w:bCs/>
          <w:color w:val="333333"/>
          <w:sz w:val="32"/>
          <w:szCs w:val="32"/>
          <w:shd w:val="clear" w:color="auto" w:fill="FFFFFF"/>
        </w:rPr>
        <w:t>完善督查考核体系，推动决策部署落实到位。</w:t>
      </w:r>
      <w:r>
        <w:rPr>
          <w:rFonts w:hint="eastAsia" w:ascii="仿宋_GB2312" w:hAnsi="仿宋_GB2312" w:eastAsia="仿宋_GB2312" w:cs="仿宋_GB2312"/>
          <w:color w:val="333333"/>
          <w:sz w:val="32"/>
          <w:szCs w:val="32"/>
          <w:shd w:val="clear" w:color="auto" w:fill="FFFFFF"/>
        </w:rPr>
        <w:t>紧扣“五个关键”，实施“五个工程”，争创“五个示范”，建成“五个家园”，以政府重要文件和有关会议所作决定贯彻落实情况的督查、政府领导批办事项的督办、人大代表建议和政协委员提案的办理等为要点，形成“大督查”工作格局。对民生实事以及人大代表建议、政协委员提案、领导批示件等重点工作进行责任分解，明确责任分工，细化目标到人，建立健全相应的督查制度和工作流程。坚持定期督查与不定期督查相结合，书面督查与实地督查相结合，快办、快结、快反馈，加强时效性和实效性，确保全县重点工作落实到位。</w:t>
      </w:r>
    </w:p>
    <w:p>
      <w:pPr>
        <w:pStyle w:val="15"/>
        <w:widowControl/>
        <w:shd w:val="clear" w:color="auto" w:fill="FFFFFF"/>
        <w:spacing w:beforeAutospacing="0" w:afterAutospacing="0"/>
        <w:ind w:firstLine="642" w:firstLineChars="200"/>
        <w:rPr>
          <w:rFonts w:hint="eastAsia" w:ascii="楷体_GB2312" w:hAnsi="楷体_GB2312" w:eastAsia="楷体_GB2312" w:cs="楷体_GB2312"/>
          <w:b/>
          <w:bCs/>
          <w:color w:val="000000"/>
          <w:kern w:val="0"/>
          <w:sz w:val="32"/>
          <w:szCs w:val="32"/>
          <w:lang w:val="en-US" w:eastAsia="zh-CN" w:bidi="ar-SA"/>
        </w:rPr>
      </w:pPr>
      <w:r>
        <w:rPr>
          <w:rFonts w:hint="eastAsia" w:ascii="楷体_GB2312" w:hAnsi="楷体_GB2312" w:eastAsia="楷体_GB2312" w:cs="楷体_GB2312"/>
          <w:b/>
          <w:bCs/>
          <w:color w:val="333333"/>
          <w:sz w:val="32"/>
          <w:szCs w:val="32"/>
          <w:shd w:val="clear" w:color="auto" w:fill="FFFFFF"/>
          <w:lang w:val="en-US" w:eastAsia="zh-CN"/>
        </w:rPr>
        <w:t>3、</w:t>
      </w:r>
      <w:r>
        <w:rPr>
          <w:rFonts w:hint="eastAsia" w:ascii="楷体_GB2312" w:hAnsi="楷体_GB2312" w:eastAsia="楷体_GB2312" w:cs="楷体_GB2312"/>
          <w:b/>
          <w:bCs/>
          <w:color w:val="333333"/>
          <w:sz w:val="32"/>
          <w:szCs w:val="32"/>
          <w:shd w:val="clear" w:color="auto" w:fill="FFFFFF"/>
        </w:rPr>
        <w:t>创新事务管理机制，提高后勤服务保障水平。</w:t>
      </w:r>
      <w:r>
        <w:rPr>
          <w:rFonts w:hint="eastAsia" w:ascii="仿宋_GB2312" w:hAnsi="仿宋_GB2312" w:eastAsia="仿宋_GB2312" w:cs="仿宋_GB2312"/>
          <w:color w:val="333333"/>
          <w:sz w:val="32"/>
          <w:szCs w:val="32"/>
          <w:shd w:val="clear" w:color="auto" w:fill="FFFFFF"/>
        </w:rPr>
        <w:t>不断开拓新的工作思路，围绕工作重点，积极从会议保障、公务用车、后勤服务等窗口的“点创新”，延伸到抓后勤服务队伍的“线创新”，从而实现全面提升服务质量、全面提高满意率的“面创新”。抓好机关大楼的水电气暖检修报修、卫生外包等服务，不断提高服务质量。同时大力拓展服务内容，从领导、办公室和广大干部职工最关心的焦点、难点入手，克服困难，多办实事，努力把实事办好，把好事办实。</w:t>
      </w:r>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sz w:val="32"/>
          <w:szCs w:val="32"/>
          <w:lang w:eastAsia="zh-CN"/>
        </w:rPr>
      </w:pPr>
      <w:bookmarkStart w:id="12" w:name="_Toc13721"/>
      <w:r>
        <w:rPr>
          <w:rFonts w:hint="eastAsia" w:ascii="黑体" w:eastAsia="黑体"/>
          <w:b w:val="0"/>
          <w:bCs/>
        </w:rPr>
        <w:t>二、机</w:t>
      </w:r>
      <w:r>
        <w:rPr>
          <w:rStyle w:val="21"/>
          <w:rFonts w:hint="eastAsia" w:ascii="黑体" w:eastAsia="黑体"/>
          <w:b w:val="0"/>
          <w:bCs/>
        </w:rPr>
        <w:t>构设置</w:t>
      </w:r>
      <w:bookmarkEnd w:id="10"/>
      <w:bookmarkEnd w:id="11"/>
      <w:bookmarkEnd w:id="12"/>
    </w:p>
    <w:p>
      <w:pPr>
        <w:ind w:firstLine="800" w:firstLineChars="250"/>
        <w:rPr>
          <w:rFonts w:hint="eastAsia"/>
          <w:sz w:val="32"/>
          <w:szCs w:val="32"/>
        </w:rPr>
      </w:pPr>
      <w:r>
        <w:rPr>
          <w:rFonts w:hint="eastAsia" w:ascii="仿宋_GB2312" w:hAnsi="仿宋_GB2312" w:eastAsia="仿宋_GB2312" w:cs="仿宋_GB2312"/>
          <w:sz w:val="32"/>
          <w:szCs w:val="32"/>
          <w:lang w:eastAsia="zh-CN"/>
        </w:rPr>
        <w:t>红原县人民政府</w:t>
      </w:r>
      <w:r>
        <w:rPr>
          <w:rFonts w:hint="eastAsia" w:ascii="仿宋_GB2312" w:hAnsi="仿宋_GB2312" w:eastAsia="仿宋_GB2312" w:cs="仿宋_GB2312"/>
          <w:sz w:val="32"/>
          <w:szCs w:val="32"/>
        </w:rPr>
        <w:t>办公室下属二级预算单位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w:t>
      </w:r>
      <w:r>
        <w:rPr>
          <w:rFonts w:hint="eastAsia" w:ascii="仿宋_GB2312" w:hAnsi="仿宋_GB2312" w:eastAsia="仿宋_GB2312" w:cs="仿宋_GB2312"/>
          <w:sz w:val="32"/>
          <w:szCs w:val="32"/>
          <w:lang w:eastAsia="zh-CN"/>
        </w:rPr>
        <w:t>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（红原人民政府办公室本级）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红原县人民政府办公室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秘书股、政务、信息督查办股、行政财务股（人事股）。全额拨款股级</w:t>
      </w:r>
      <w:r>
        <w:rPr>
          <w:rFonts w:hint="eastAsia" w:ascii="仿宋_GB2312" w:hAnsi="仿宋_GB2312" w:eastAsia="仿宋_GB2312" w:cs="仿宋_GB2312"/>
          <w:sz w:val="32"/>
          <w:szCs w:val="32"/>
        </w:rPr>
        <w:t>事业</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（红原县驻容办、信息公开工作中心、国防动员事务中心）</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13人，同比去年减少1人，主要变动原因是人员调出</w:t>
      </w:r>
      <w:r>
        <w:rPr>
          <w:rFonts w:hint="eastAsia" w:ascii="仿宋_GB2312" w:hAnsi="仿宋_GB2312" w:eastAsia="仿宋_GB2312" w:cs="仿宋_GB2312"/>
          <w:sz w:val="32"/>
          <w:szCs w:val="32"/>
        </w:rPr>
        <w:t>。</w:t>
      </w:r>
    </w:p>
    <w:p>
      <w:pPr>
        <w:pStyle w:val="5"/>
        <w:adjustRightInd w:val="0"/>
        <w:snapToGrid w:val="0"/>
        <w:spacing w:beforeLines="0" w:line="600" w:lineRule="exact"/>
        <w:ind w:firstLine="668" w:firstLineChars="20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红原</w:t>
      </w:r>
      <w:r>
        <w:rPr>
          <w:rFonts w:hint="eastAsia" w:hAnsi="仿宋_GB2312" w:cs="仿宋_GB2312"/>
          <w:sz w:val="32"/>
          <w:szCs w:val="32"/>
          <w:lang w:eastAsia="zh-CN"/>
        </w:rPr>
        <w:t>人民政府</w:t>
      </w:r>
      <w:r>
        <w:rPr>
          <w:rFonts w:hint="eastAsia" w:ascii="仿宋_GB2312" w:hAnsi="仿宋_GB2312" w:eastAsia="仿宋_GB2312" w:cs="仿宋_GB2312"/>
          <w:sz w:val="32"/>
          <w:szCs w:val="32"/>
        </w:rPr>
        <w:t>办公室202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年度部门决算编制范围的二级预算单位包括：</w:t>
      </w:r>
    </w:p>
    <w:p>
      <w:pPr>
        <w:pStyle w:val="5"/>
        <w:numPr>
          <w:ilvl w:val="0"/>
          <w:numId w:val="0"/>
        </w:numPr>
        <w:adjustRightInd w:val="0"/>
        <w:snapToGrid w:val="0"/>
        <w:spacing w:beforeLines="0" w:line="600" w:lineRule="exact"/>
        <w:ind w:left="672" w:leftChars="0"/>
        <w:outlineLvl w:val="2"/>
        <w:rPr>
          <w:rFonts w:hint="eastAsia" w:ascii="仿宋_GB2312" w:hAnsi="仿宋_GB2312" w:eastAsia="仿宋_GB2312" w:cs="仿宋_GB2312"/>
          <w:sz w:val="32"/>
          <w:szCs w:val="32"/>
        </w:rPr>
      </w:pPr>
      <w:bookmarkStart w:id="13" w:name="_Toc15378449"/>
      <w:bookmarkStart w:id="14" w:name="_Toc15377433"/>
      <w:bookmarkStart w:id="15" w:name="_Toc15377202"/>
      <w:bookmarkStart w:id="16" w:name="_Toc15306276"/>
      <w:r>
        <w:rPr>
          <w:rFonts w:hint="eastAsia" w:hAnsi="仿宋_GB2312" w:cs="仿宋_GB2312"/>
          <w:sz w:val="32"/>
          <w:szCs w:val="32"/>
          <w:lang w:val="en-US" w:eastAsia="zh-CN"/>
        </w:rPr>
        <w:t>1.</w:t>
      </w:r>
      <w:r>
        <w:rPr>
          <w:rFonts w:hint="eastAsia" w:ascii="仿宋_GB2312" w:hAnsi="仿宋_GB2312" w:eastAsia="仿宋_GB2312" w:cs="仿宋_GB2312"/>
          <w:sz w:val="32"/>
          <w:szCs w:val="32"/>
          <w:lang w:eastAsia="zh-CN"/>
        </w:rPr>
        <w:t>红原县</w:t>
      </w:r>
      <w:r>
        <w:rPr>
          <w:rFonts w:hint="eastAsia" w:hAnsi="仿宋_GB2312" w:cs="仿宋_GB2312"/>
          <w:sz w:val="32"/>
          <w:szCs w:val="32"/>
          <w:lang w:eastAsia="zh-CN"/>
        </w:rPr>
        <w:t>人民政府</w:t>
      </w:r>
      <w:r>
        <w:rPr>
          <w:rFonts w:hint="eastAsia" w:ascii="仿宋_GB2312" w:hAnsi="仿宋_GB2312" w:eastAsia="仿宋_GB2312" w:cs="仿宋_GB2312"/>
          <w:sz w:val="32"/>
          <w:szCs w:val="32"/>
          <w:lang w:eastAsia="zh-CN"/>
        </w:rPr>
        <w:t>办公室本级</w:t>
      </w:r>
    </w:p>
    <w:bookmarkEnd w:id="13"/>
    <w:bookmarkEnd w:id="14"/>
    <w:bookmarkEnd w:id="15"/>
    <w:bookmarkEnd w:id="16"/>
    <w:p>
      <w:pPr>
        <w:widowControl/>
        <w:ind w:firstLine="640" w:firstLineChars="200"/>
        <w:jc w:val="left"/>
        <w:rPr>
          <w:rFonts w:ascii="仿宋" w:eastAsia="仿宋"/>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红原政府驻成都办事处</w:t>
      </w:r>
      <w:r>
        <w:rPr>
          <w:rFonts w:ascii="仿宋" w:eastAsia="仿宋"/>
          <w:sz w:val="32"/>
          <w:szCs w:val="32"/>
        </w:rPr>
        <w:br w:type="page"/>
      </w:r>
    </w:p>
    <w:p>
      <w:pPr>
        <w:pStyle w:val="2"/>
        <w:ind w:right="440"/>
        <w:jc w:val="center"/>
        <w:rPr>
          <w:rStyle w:val="20"/>
          <w:rFonts w:ascii="黑体" w:eastAsia="黑体"/>
          <w:b w:val="0"/>
          <w:bCs/>
        </w:rPr>
      </w:pPr>
      <w:bookmarkStart w:id="17" w:name="_Toc16164"/>
      <w:bookmarkStart w:id="18" w:name="_Toc15377204"/>
      <w:bookmarkStart w:id="19" w:name="_Toc15396602"/>
      <w:r>
        <w:rPr>
          <w:rFonts w:hint="eastAsia" w:ascii="黑体" w:eastAsia="黑体"/>
          <w:b w:val="0"/>
        </w:rPr>
        <w:t>第二部分 202</w:t>
      </w:r>
      <w:r>
        <w:rPr>
          <w:rFonts w:hint="eastAsia" w:ascii="黑体" w:eastAsia="黑体"/>
          <w:b w:val="0"/>
          <w:lang w:val="en-US" w:eastAsia="zh-CN"/>
        </w:rPr>
        <w:t>3</w:t>
      </w:r>
      <w:r>
        <w:rPr>
          <w:rFonts w:hint="eastAsia" w:ascii="黑体" w:eastAsia="黑体"/>
          <w:b w:val="0"/>
        </w:rPr>
        <w:t>年度</w:t>
      </w:r>
      <w:r>
        <w:rPr>
          <w:rStyle w:val="20"/>
          <w:rFonts w:hint="eastAsia" w:ascii="黑体" w:eastAsia="黑体"/>
          <w:b w:val="0"/>
          <w:bCs/>
        </w:rPr>
        <w:t>部门决算情况说明</w:t>
      </w:r>
      <w:bookmarkEnd w:id="17"/>
      <w:bookmarkEnd w:id="18"/>
      <w:bookmarkEnd w:id="19"/>
    </w:p>
    <w:p/>
    <w:p>
      <w:pPr>
        <w:pStyle w:val="27"/>
        <w:numPr>
          <w:ilvl w:val="0"/>
          <w:numId w:val="3"/>
        </w:numPr>
        <w:spacing w:line="600" w:lineRule="exact"/>
        <w:ind w:firstLineChars="0"/>
        <w:outlineLvl w:val="1"/>
        <w:rPr>
          <w:rStyle w:val="21"/>
          <w:rFonts w:ascii="黑体" w:eastAsia="黑体"/>
          <w:b w:val="0"/>
        </w:rPr>
      </w:pPr>
      <w:bookmarkStart w:id="20" w:name="_Toc15396603"/>
      <w:bookmarkStart w:id="21" w:name="_Toc15377205"/>
      <w:bookmarkStart w:id="22" w:name="_Toc7064"/>
      <w:r>
        <w:rPr>
          <w:rFonts w:hint="eastAsia" w:ascii="黑体" w:eastAsia="黑体"/>
          <w:sz w:val="32"/>
          <w:szCs w:val="32"/>
        </w:rPr>
        <w:t>收</w:t>
      </w:r>
      <w:r>
        <w:rPr>
          <w:rStyle w:val="21"/>
          <w:rFonts w:hint="eastAsia" w:ascii="黑体" w:eastAsia="黑体"/>
          <w:b w:val="0"/>
        </w:rPr>
        <w:t>入支出决算总体情况说明</w:t>
      </w:r>
      <w:bookmarkEnd w:id="20"/>
      <w:bookmarkEnd w:id="21"/>
      <w:bookmarkEnd w:id="22"/>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 xml:space="preserve">1726.26 </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1726.26</w:t>
      </w:r>
      <w:r>
        <w:rPr>
          <w:rFonts w:hint="eastAsia" w:ascii="仿宋_GB2312" w:hAnsi="仿宋_GB2312" w:eastAsia="仿宋_GB2312" w:cs="仿宋_GB2312"/>
          <w:sz w:val="32"/>
          <w:szCs w:val="32"/>
        </w:rPr>
        <w:t>万元。资金与20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198.99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352..65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2023年我办购买高速复核速印机一台28.74万元；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2023年我办周转房购买热水器、冰箱0.48万元</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新增驻容办代管资金12.35万元，2022年无该支出。</w:t>
      </w:r>
    </w:p>
    <w:p>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：艰边增发工资调整、人员变动22万元，新参加工作2人工资及保险。</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7"/>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157980" cy="2655570"/>
            <wp:effectExtent l="4445" t="4445" r="9525" b="698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7"/>
        <w:numPr>
          <w:ilvl w:val="0"/>
          <w:numId w:val="3"/>
        </w:numPr>
        <w:spacing w:line="600" w:lineRule="exact"/>
        <w:ind w:firstLineChars="0"/>
        <w:outlineLvl w:val="1"/>
        <w:rPr>
          <w:rStyle w:val="21"/>
          <w:rFonts w:ascii="黑体" w:eastAsia="黑体"/>
          <w:b w:val="0"/>
        </w:rPr>
      </w:pPr>
      <w:bookmarkStart w:id="23" w:name="_Toc24050"/>
      <w:bookmarkStart w:id="24" w:name="_Toc15377206"/>
      <w:bookmarkStart w:id="25" w:name="_Toc15396604"/>
      <w:r>
        <w:rPr>
          <w:rFonts w:hint="eastAsia" w:ascii="黑体" w:eastAsia="黑体"/>
          <w:sz w:val="32"/>
          <w:szCs w:val="32"/>
        </w:rPr>
        <w:t>收</w:t>
      </w:r>
      <w:r>
        <w:rPr>
          <w:rStyle w:val="21"/>
          <w:rFonts w:hint="eastAsia" w:ascii="黑体" w:eastAsia="黑体"/>
          <w:b w:val="0"/>
        </w:rPr>
        <w:t>入决算情况说明</w:t>
      </w:r>
      <w:bookmarkEnd w:id="23"/>
      <w:bookmarkEnd w:id="24"/>
      <w:bookmarkEnd w:id="25"/>
    </w:p>
    <w:p>
      <w:pPr>
        <w:pStyle w:val="15"/>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1726.26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1572.61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153.65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绵阳援建、浙江援建代管资金</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p>
    <w:p>
      <w:pPr>
        <w:spacing w:line="600" w:lineRule="exact"/>
        <w:ind w:firstLine="420" w:firstLineChars="200"/>
        <w:rPr>
          <w:rFonts w:hint="eastAsia" w:ascii="仿宋_GB2312" w:eastAsia="仿宋_GB2312"/>
          <w:sz w:val="32"/>
          <w:szCs w:val="32"/>
          <w:lang w:eastAsia="zh-CN"/>
        </w:rPr>
      </w:pPr>
      <w:r>
        <w:drawing>
          <wp:anchor distT="0" distB="0" distL="114300" distR="114300" simplePos="0" relativeHeight="251660288" behindDoc="1" locked="0" layoutInCell="1" allowOverlap="1">
            <wp:simplePos x="0" y="0"/>
            <wp:positionH relativeFrom="column">
              <wp:posOffset>372110</wp:posOffset>
            </wp:positionH>
            <wp:positionV relativeFrom="paragraph">
              <wp:posOffset>109855</wp:posOffset>
            </wp:positionV>
            <wp:extent cx="4572000" cy="2480310"/>
            <wp:effectExtent l="4445" t="4445" r="14605" b="67945"/>
            <wp:wrapTight wrapText="bothSides">
              <wp:wrapPolygon>
                <wp:start x="-21" y="-39"/>
                <wp:lineTo x="-21" y="21528"/>
                <wp:lineTo x="21579" y="21528"/>
                <wp:lineTo x="21579" y="-39"/>
                <wp:lineTo x="-21" y="-39"/>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8"/>
      </w:pPr>
    </w:p>
    <w:p>
      <w:pPr>
        <w:pStyle w:val="27"/>
        <w:numPr>
          <w:ilvl w:val="0"/>
          <w:numId w:val="3"/>
        </w:numPr>
        <w:spacing w:line="600" w:lineRule="exact"/>
        <w:ind w:firstLineChars="0"/>
        <w:outlineLvl w:val="1"/>
        <w:rPr>
          <w:rStyle w:val="21"/>
          <w:rFonts w:ascii="黑体" w:eastAsia="黑体"/>
          <w:b w:val="0"/>
        </w:rPr>
      </w:pPr>
      <w:bookmarkStart w:id="26" w:name="_Toc1784"/>
      <w:bookmarkStart w:id="27" w:name="_Toc15377207"/>
      <w:bookmarkStart w:id="28" w:name="_Toc15396605"/>
      <w:r>
        <w:rPr>
          <w:rFonts w:hint="eastAsia" w:ascii="黑体" w:eastAsia="黑体"/>
          <w:sz w:val="32"/>
          <w:szCs w:val="32"/>
        </w:rPr>
        <w:t>支</w:t>
      </w:r>
      <w:r>
        <w:rPr>
          <w:rStyle w:val="21"/>
          <w:rFonts w:hint="eastAsia" w:ascii="黑体" w:eastAsia="黑体"/>
          <w:b w:val="0"/>
        </w:rPr>
        <w:t>出决算情况说明</w:t>
      </w:r>
      <w:bookmarkEnd w:id="26"/>
      <w:bookmarkEnd w:id="27"/>
      <w:bookmarkEnd w:id="28"/>
    </w:p>
    <w:p>
      <w:pPr>
        <w:spacing w:line="600" w:lineRule="exact"/>
        <w:ind w:firstLine="640" w:firstLineChars="200"/>
        <w:outlineLvl w:val="1"/>
        <w:rPr>
          <w:rFonts w:hint="eastAsia" w:ascii="仿宋_GB2312" w:hAnsi="仿宋_GB2312" w:eastAsia="仿宋_GB2312" w:cs="仿宋_GB2312"/>
          <w:sz w:val="32"/>
          <w:szCs w:val="32"/>
          <w:lang w:eastAsia="zh-CN"/>
        </w:rPr>
      </w:pPr>
      <w:bookmarkStart w:id="29" w:name="_Toc5657"/>
      <w:bookmarkStart w:id="30" w:name="_Toc15375"/>
      <w:bookmarkStart w:id="31" w:name="_Toc7068"/>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1726.26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1279.71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446.56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eastAsia="zh-CN"/>
        </w:rPr>
        <w:t>等支出。</w:t>
      </w:r>
      <w:bookmarkEnd w:id="29"/>
      <w:bookmarkEnd w:id="30"/>
      <w:bookmarkEnd w:id="31"/>
    </w:p>
    <w:p>
      <w:pPr>
        <w:spacing w:line="600" w:lineRule="exact"/>
        <w:ind w:firstLine="640"/>
        <w:rPr>
          <w:rFonts w:hint="eastAsia" w:ascii="仿宋_GB2312" w:hAnsi="仿宋_GB2312" w:eastAsia="仿宋_GB2312" w:cs="仿宋_GB2312"/>
          <w:sz w:val="32"/>
          <w:szCs w:val="32"/>
          <w:shd w:val="pct10" w:color="auto" w:fill="FFFFFF"/>
        </w:rPr>
      </w:pP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（图3：支出决算结构图）（饼状图）</w:t>
      </w:r>
    </w:p>
    <w:p>
      <w:pPr>
        <w:pStyle w:val="7"/>
        <w:rPr>
          <w:rFonts w:ascii="仿宋_GB2312" w:eastAsia="仿宋_GB2312"/>
          <w:sz w:val="32"/>
          <w:szCs w:val="32"/>
        </w:rPr>
      </w:pPr>
      <w:r>
        <w:drawing>
          <wp:inline distT="0" distB="0" distL="114300" distR="114300">
            <wp:extent cx="4572000" cy="2287905"/>
            <wp:effectExtent l="4445" t="4445" r="14605" b="1270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8"/>
      </w:pPr>
    </w:p>
    <w:p>
      <w:pPr>
        <w:spacing w:line="600" w:lineRule="exact"/>
        <w:ind w:firstLine="640" w:firstLineChars="200"/>
        <w:outlineLvl w:val="1"/>
        <w:rPr>
          <w:rStyle w:val="21"/>
          <w:rFonts w:ascii="黑体" w:eastAsia="黑体"/>
          <w:b w:val="0"/>
        </w:rPr>
      </w:pPr>
      <w:bookmarkStart w:id="32" w:name="_Toc15396606"/>
      <w:bookmarkStart w:id="33" w:name="_Toc31432"/>
      <w:bookmarkStart w:id="34" w:name="_Toc15377208"/>
      <w:r>
        <w:rPr>
          <w:rFonts w:hint="eastAsia" w:ascii="黑体" w:eastAsia="黑体"/>
          <w:sz w:val="32"/>
          <w:szCs w:val="32"/>
        </w:rPr>
        <w:t>四、财</w:t>
      </w:r>
      <w:r>
        <w:rPr>
          <w:rStyle w:val="21"/>
          <w:rFonts w:hint="eastAsia" w:ascii="黑体" w:eastAsia="黑体"/>
          <w:b w:val="0"/>
        </w:rPr>
        <w:t>政拨款收入支出决算总体情况说明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 xml:space="preserve">1726.26 </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1726.26</w:t>
      </w:r>
      <w:r>
        <w:rPr>
          <w:rFonts w:hint="eastAsia" w:ascii="仿宋_GB2312" w:hAnsi="仿宋_GB2312" w:eastAsia="仿宋_GB2312" w:cs="仿宋_GB2312"/>
          <w:sz w:val="32"/>
          <w:szCs w:val="32"/>
        </w:rPr>
        <w:t>万元。资金与20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198.99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352..65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2023年我办购买高速复核速印机一台28.74万元；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2023年我办周转房购买热水器、冰箱0.48万元</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新增驻容办代管资金12.35万元，2022年无该支出。</w:t>
      </w:r>
    </w:p>
    <w:p>
      <w:pPr>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：艰边增发工资调整、人员变动22万元，新参加工作2人工资及保险。</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7"/>
        <w:rPr>
          <w:rFonts w:hint="eastAsia" w:ascii="仿宋" w:eastAsia="仿宋"/>
          <w:sz w:val="32"/>
          <w:szCs w:val="32"/>
        </w:rPr>
      </w:pPr>
    </w:p>
    <w:p>
      <w:pPr>
        <w:pStyle w:val="8"/>
        <w:rPr>
          <w:rFonts w:hint="eastAsia" w:eastAsia="仿宋"/>
          <w:lang w:eastAsia="zh-CN"/>
        </w:rPr>
      </w:pPr>
      <w:r>
        <w:rPr>
          <w:rFonts w:hint="eastAsia" w:eastAsia="仿宋"/>
          <w:lang w:eastAsia="zh-CN"/>
        </w:rPr>
        <w:drawing>
          <wp:inline distT="0" distB="0" distL="114300" distR="114300">
            <wp:extent cx="4979035" cy="2473325"/>
            <wp:effectExtent l="4445" t="4445" r="7620" b="177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5" w:name="_Toc17525"/>
      <w:bookmarkStart w:id="36" w:name="_Toc15396607"/>
      <w:bookmarkStart w:id="37" w:name="_Toc15377209"/>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5"/>
      <w:bookmarkEnd w:id="36"/>
      <w:bookmarkEnd w:id="37"/>
    </w:p>
    <w:p>
      <w:pPr>
        <w:spacing w:line="600" w:lineRule="exact"/>
        <w:ind w:firstLine="642" w:firstLineChars="200"/>
        <w:outlineLvl w:val="2"/>
        <w:rPr>
          <w:rFonts w:ascii="仿宋" w:eastAsia="仿宋"/>
          <w:b/>
          <w:sz w:val="32"/>
          <w:szCs w:val="32"/>
        </w:rPr>
      </w:pPr>
      <w:bookmarkStart w:id="38" w:name="_Toc15377210"/>
      <w:r>
        <w:rPr>
          <w:rFonts w:hint="eastAsia" w:ascii="仿宋" w:eastAsia="仿宋"/>
          <w:b/>
          <w:sz w:val="32"/>
          <w:szCs w:val="32"/>
        </w:rPr>
        <w:t>（一）一般公共预算财政拨款支出决算总体情况</w:t>
      </w:r>
      <w:bookmarkEnd w:id="38"/>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1572.61</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91.09</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年相比，一般公共预算财政拨款支出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198.99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p>
    <w:p>
      <w:pPr>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2023年我办购买高速复核速印机一台28.74万元；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2023年我办周转房购买热水器、冰箱0.48万元；</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新增驻容办代管资金12.35万元，2022年无该支出。</w:t>
      </w:r>
    </w:p>
    <w:p>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：艰边增发工资调整、人员变动22万元，新参加工作2人工资及保险。</w:t>
      </w:r>
    </w:p>
    <w:p>
      <w:pPr>
        <w:spacing w:line="600" w:lineRule="exact"/>
        <w:ind w:firstLine="640" w:firstLineChars="200"/>
        <w:rPr>
          <w:rFonts w:hint="eastAsia" w:ascii="仿宋_GB2312" w:hAnsi="仿宋_GB2312" w:eastAsia="仿宋_GB2312" w:cs="仿宋_GB2312"/>
          <w:sz w:val="32"/>
          <w:szCs w:val="32"/>
          <w:lang w:eastAsia="zh-CN"/>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pStyle w:val="7"/>
        <w:rPr>
          <w:rFonts w:hint="eastAsia" w:ascii="仿宋" w:eastAsia="仿宋"/>
          <w:sz w:val="32"/>
          <w:szCs w:val="32"/>
        </w:rPr>
      </w:pPr>
      <w:r>
        <w:rPr>
          <w:rFonts w:hint="eastAsia" w:eastAsia="仿宋"/>
          <w:lang w:eastAsia="zh-CN"/>
        </w:rPr>
        <w:drawing>
          <wp:inline distT="0" distB="0" distL="114300" distR="114300">
            <wp:extent cx="4685665" cy="2878455"/>
            <wp:effectExtent l="4445" t="4445" r="15240" b="1270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eastAsia="仿宋"/>
          <w:sz w:val="32"/>
          <w:szCs w:val="32"/>
        </w:rPr>
      </w:pPr>
    </w:p>
    <w:p>
      <w:pPr>
        <w:spacing w:line="600" w:lineRule="exact"/>
        <w:ind w:firstLine="642" w:firstLineChars="200"/>
        <w:outlineLvl w:val="2"/>
        <w:rPr>
          <w:rFonts w:ascii="仿宋" w:eastAsia="仿宋"/>
          <w:b/>
          <w:sz w:val="32"/>
          <w:szCs w:val="32"/>
        </w:rPr>
      </w:pPr>
      <w:bookmarkStart w:id="39" w:name="_Toc15377211"/>
      <w:r>
        <w:rPr>
          <w:rFonts w:hint="eastAsia" w:ascii="仿宋" w:eastAsia="仿宋"/>
          <w:b/>
          <w:sz w:val="32"/>
          <w:szCs w:val="32"/>
        </w:rPr>
        <w:t>（二）一般公共预算财政拨款支出决算结构情况</w:t>
      </w:r>
      <w:bookmarkEnd w:id="3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1726.26</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1442.18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83.54</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148.51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61.65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73.92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w:t>
      </w:r>
    </w:p>
    <w:p>
      <w:pPr>
        <w:pStyle w:val="7"/>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pPr>
        <w:pStyle w:val="8"/>
        <w:rPr>
          <w:rFonts w:hint="eastAsia"/>
          <w:lang w:eastAsia="zh-CN"/>
        </w:rPr>
      </w:pPr>
    </w:p>
    <w:p>
      <w:pPr>
        <w:pStyle w:val="8"/>
        <w:rPr>
          <w:rFonts w:hint="eastAsia"/>
          <w:lang w:eastAsia="zh-CN"/>
        </w:rPr>
      </w:pPr>
      <w:r>
        <w:rPr>
          <w:rFonts w:hint="eastAsia" w:ascii="仿宋" w:eastAsia="仿宋"/>
          <w:sz w:val="32"/>
          <w:szCs w:val="32"/>
          <w:lang w:eastAsia="zh-CN"/>
        </w:rPr>
        <w:drawing>
          <wp:anchor distT="0" distB="0" distL="114300" distR="114300" simplePos="0" relativeHeight="251659264" behindDoc="1" locked="0" layoutInCell="1" allowOverlap="1">
            <wp:simplePos x="0" y="0"/>
            <wp:positionH relativeFrom="column">
              <wp:posOffset>298450</wp:posOffset>
            </wp:positionH>
            <wp:positionV relativeFrom="paragraph">
              <wp:posOffset>128270</wp:posOffset>
            </wp:positionV>
            <wp:extent cx="4858385" cy="2411730"/>
            <wp:effectExtent l="4445" t="5080" r="13970" b="21590"/>
            <wp:wrapTight wrapText="bothSides">
              <wp:wrapPolygon>
                <wp:start x="-20" y="-45"/>
                <wp:lineTo x="-20" y="21452"/>
                <wp:lineTo x="21577" y="21452"/>
                <wp:lineTo x="21577" y="-45"/>
                <wp:lineTo x="-20" y="-45"/>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8"/>
        <w:rPr>
          <w:rFonts w:hint="eastAsia"/>
          <w:lang w:eastAsia="zh-CN"/>
        </w:rPr>
      </w:pPr>
    </w:p>
    <w:p>
      <w:pPr>
        <w:pStyle w:val="8"/>
        <w:rPr>
          <w:rFonts w:hint="eastAsia"/>
          <w:lang w:eastAsia="zh-CN"/>
        </w:rPr>
      </w:pPr>
    </w:p>
    <w:p>
      <w:pPr>
        <w:spacing w:line="600" w:lineRule="exact"/>
        <w:outlineLvl w:val="9"/>
        <w:rPr>
          <w:rFonts w:hint="eastAsia" w:ascii="仿宋" w:eastAsia="仿宋"/>
          <w:b/>
          <w:sz w:val="32"/>
          <w:szCs w:val="32"/>
        </w:rPr>
      </w:pPr>
      <w:bookmarkStart w:id="40" w:name="_Toc15377212"/>
    </w:p>
    <w:p>
      <w:pPr>
        <w:pStyle w:val="7"/>
        <w:rPr>
          <w:rFonts w:hint="eastAsia"/>
        </w:rPr>
      </w:pPr>
    </w:p>
    <w:p>
      <w:pPr>
        <w:spacing w:line="600" w:lineRule="exact"/>
        <w:ind w:firstLine="642"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40"/>
    </w:p>
    <w:p>
      <w:pPr>
        <w:spacing w:line="600" w:lineRule="exact"/>
        <w:ind w:firstLine="642" w:firstLineChars="200"/>
        <w:outlineLvl w:val="2"/>
        <w:rPr>
          <w:rFonts w:hint="eastAsia" w:ascii="仿宋_GB2312" w:hAnsi="仿宋_GB2312" w:eastAsia="仿宋_GB2312" w:cs="仿宋_GB2312"/>
          <w:sz w:val="32"/>
          <w:szCs w:val="32"/>
        </w:rPr>
      </w:pPr>
      <w:bookmarkStart w:id="41" w:name="_Toc15377444"/>
      <w:bookmarkStart w:id="42" w:name="_Toc15378460"/>
      <w:bookmarkStart w:id="43" w:name="_Toc15377213"/>
      <w:r>
        <w:rPr>
          <w:rFonts w:hint="eastAsia" w:ascii="仿宋_GB2312" w:hAnsi="仿宋_GB2312" w:eastAsia="仿宋_GB2312" w:cs="仿宋_GB2312"/>
          <w:b/>
          <w:sz w:val="32"/>
          <w:szCs w:val="32"/>
        </w:rPr>
        <w:t>202</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年一般公共预算支出决算数为</w:t>
      </w:r>
      <w:r>
        <w:rPr>
          <w:rFonts w:hint="eastAsia" w:ascii="仿宋_GB2312" w:hAnsi="仿宋_GB2312" w:eastAsia="仿宋_GB2312" w:cs="仿宋_GB2312"/>
          <w:b/>
          <w:sz w:val="32"/>
          <w:szCs w:val="32"/>
          <w:lang w:val="en-US" w:eastAsia="zh-CN"/>
        </w:rPr>
        <w:t>1572.61</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w:t>
      </w:r>
      <w:r>
        <w:rPr>
          <w:rStyle w:val="18"/>
          <w:rFonts w:hint="eastAsia" w:ascii="仿宋_GB2312" w:hAnsi="仿宋_GB2312" w:eastAsia="仿宋_GB2312" w:cs="仿宋_GB2312"/>
          <w:bCs/>
          <w:sz w:val="32"/>
          <w:szCs w:val="32"/>
          <w:lang w:val="en-US" w:eastAsia="zh-CN"/>
        </w:rPr>
        <w:t>100</w:t>
      </w:r>
      <w:r>
        <w:rPr>
          <w:rStyle w:val="18"/>
          <w:rFonts w:hint="eastAsia" w:ascii="仿宋_GB2312" w:hAnsi="仿宋_GB2312" w:eastAsia="仿宋_GB2312" w:cs="仿宋_GB2312"/>
          <w:bCs/>
          <w:sz w:val="32"/>
          <w:szCs w:val="32"/>
        </w:rPr>
        <w:t>%。其中：</w:t>
      </w:r>
      <w:bookmarkEnd w:id="41"/>
      <w:bookmarkEnd w:id="42"/>
      <w:bookmarkEnd w:id="43"/>
    </w:p>
    <w:p>
      <w:pPr>
        <w:numPr>
          <w:ilvl w:val="0"/>
          <w:numId w:val="4"/>
        </w:numPr>
        <w:spacing w:line="600" w:lineRule="exact"/>
        <w:ind w:firstLine="642" w:firstLineChars="200"/>
        <w:rPr>
          <w:rStyle w:val="18"/>
          <w:rFonts w:hint="eastAsia" w:ascii="仿宋_GB2312" w:hAnsi="仿宋_GB2312" w:eastAsia="仿宋_GB2312" w:cs="仿宋_GB2312"/>
          <w:b w:val="0"/>
          <w:bCs/>
          <w:sz w:val="32"/>
          <w:szCs w:val="32"/>
          <w:lang w:val="en-US" w:eastAsia="zh-CN"/>
        </w:rPr>
      </w:pPr>
      <w:r>
        <w:rPr>
          <w:rStyle w:val="18"/>
          <w:rFonts w:hint="eastAsia" w:ascii="仿宋_GB2312" w:hAnsi="仿宋_GB2312" w:eastAsia="仿宋_GB2312" w:cs="仿宋_GB2312"/>
          <w:bCs/>
          <w:sz w:val="32"/>
          <w:szCs w:val="32"/>
        </w:rPr>
        <w:t>一般公共服务</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2010</w:t>
      </w:r>
      <w:r>
        <w:rPr>
          <w:rStyle w:val="18"/>
          <w:rFonts w:hint="eastAsia" w:ascii="仿宋_GB2312" w:hAnsi="仿宋_GB2312" w:eastAsia="仿宋_GB2312" w:cs="仿宋_GB2312"/>
          <w:b w:val="0"/>
          <w:bCs/>
          <w:sz w:val="32"/>
          <w:szCs w:val="32"/>
          <w:lang w:val="en-US" w:eastAsia="zh-CN"/>
        </w:rPr>
        <w:t>3</w:t>
      </w:r>
      <w:r>
        <w:rPr>
          <w:rStyle w:val="18"/>
          <w:rFonts w:hint="eastAsia" w:ascii="仿宋_GB2312" w:hAnsi="仿宋_GB2312" w:eastAsia="仿宋_GB2312" w:cs="仿宋_GB2312"/>
          <w:b w:val="0"/>
          <w:bCs/>
          <w:sz w:val="32"/>
          <w:szCs w:val="32"/>
        </w:rPr>
        <w:t>01</w:t>
      </w:r>
      <w:r>
        <w:rPr>
          <w:rStyle w:val="18"/>
          <w:rFonts w:hint="eastAsia" w:ascii="仿宋_GB2312" w:hAnsi="仿宋_GB2312" w:eastAsia="仿宋_GB2312" w:cs="仿宋_GB2312"/>
          <w:b w:val="0"/>
          <w:bCs/>
          <w:sz w:val="32"/>
          <w:szCs w:val="32"/>
          <w:lang w:val="en-US" w:eastAsia="zh-CN"/>
        </w:rPr>
        <w:t>-行政运行</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769.3</w:t>
      </w:r>
      <w:r>
        <w:rPr>
          <w:rStyle w:val="18"/>
          <w:rFonts w:hint="eastAsia" w:ascii="仿宋_GB2312" w:hAnsi="仿宋_GB2312" w:eastAsia="仿宋_GB2312" w:cs="仿宋_GB2312"/>
          <w:b w:val="0"/>
          <w:bCs/>
          <w:sz w:val="32"/>
          <w:szCs w:val="32"/>
        </w:rPr>
        <w:t>万元，完</w:t>
      </w:r>
      <w:r>
        <w:rPr>
          <w:rStyle w:val="18"/>
          <w:rFonts w:hint="eastAsia" w:ascii="仿宋_GB2312" w:hAnsi="仿宋_GB2312" w:eastAsia="仿宋_GB2312" w:cs="仿宋_GB2312"/>
          <w:b w:val="0"/>
          <w:bCs/>
          <w:sz w:val="32"/>
          <w:szCs w:val="32"/>
          <w:lang w:val="en-US" w:eastAsia="zh-CN"/>
        </w:rPr>
        <w:t>成预算100%，主要用于开支日常公用经费及人员经费；2010302-一般行政管理事务支出决算为292.91万元，完成预算100%，主要用于专项公用经费；2010302</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一般行政管理事务292.91万元，完成预算100%，主要用于补助办公室日常工作运转支出相关印刷费，办公费、邮电费、公务用车运行维护费；2010350-事业运行226.33万元支出决算为226.33万元，完成预算100%，主要用于事业人员工资、保险、日常公用经费支出。2010399-其他办公厅（室）及相关机构事务支出，主要用于绵阳、浙江援建代管资金支出。</w:t>
      </w:r>
    </w:p>
    <w:p>
      <w:pPr>
        <w:numPr>
          <w:ilvl w:val="0"/>
          <w:numId w:val="0"/>
        </w:numPr>
        <w:spacing w:line="600" w:lineRule="exact"/>
        <w:ind w:firstLine="642" w:firstLineChars="200"/>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机关事业单位基本养老保险缴费支出决算为</w:t>
      </w:r>
      <w:r>
        <w:rPr>
          <w:rStyle w:val="18"/>
          <w:rFonts w:hint="eastAsia" w:ascii="仿宋_GB2312" w:hAnsi="仿宋_GB2312" w:eastAsia="仿宋_GB2312" w:cs="仿宋_GB2312"/>
          <w:b w:val="0"/>
          <w:bCs/>
          <w:color w:val="000000"/>
          <w:sz w:val="32"/>
          <w:szCs w:val="32"/>
          <w:lang w:val="en-US" w:eastAsia="zh-CN"/>
        </w:rPr>
        <w:t>99.01</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49.5</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0"/>
        </w:numPr>
        <w:spacing w:line="600" w:lineRule="exact"/>
        <w:ind w:firstLine="642" w:firstLineChars="200"/>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31.9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12.05</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9.68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2.52</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numPr>
          <w:ilvl w:val="0"/>
          <w:numId w:val="0"/>
        </w:numPr>
        <w:spacing w:line="600" w:lineRule="exact"/>
        <w:ind w:firstLine="642" w:firstLineChars="200"/>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
          <w:bCs w:val="0"/>
          <w:color w:val="000000"/>
          <w:sz w:val="32"/>
          <w:szCs w:val="32"/>
          <w:lang w:val="en-US" w:eastAsia="zh-CN"/>
        </w:rPr>
        <w:t>4.住房保障支出</w:t>
      </w:r>
      <w:r>
        <w:rPr>
          <w:rStyle w:val="18"/>
          <w:rFonts w:hint="eastAsia" w:ascii="仿宋_GB2312" w:hAnsi="仿宋_GB2312" w:eastAsia="仿宋_GB2312" w:cs="仿宋_GB2312"/>
          <w:b w:val="0"/>
          <w:bCs/>
          <w:color w:val="000000"/>
          <w:sz w:val="32"/>
          <w:szCs w:val="32"/>
          <w:lang w:val="en-US" w:eastAsia="zh-CN"/>
        </w:rPr>
        <w:t>：2210201-住房公积金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73.92</w:t>
      </w:r>
      <w:r>
        <w:rPr>
          <w:rStyle w:val="18"/>
          <w:rFonts w:hint="eastAsia" w:ascii="仿宋_GB2312" w:hAnsi="仿宋_GB2312" w:eastAsia="仿宋_GB2312" w:cs="仿宋_GB2312"/>
          <w:b w:val="0"/>
          <w:bCs/>
          <w:color w:val="000000"/>
          <w:sz w:val="32"/>
          <w:szCs w:val="32"/>
          <w:lang w:eastAsia="zh-CN"/>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spacing w:line="600" w:lineRule="exact"/>
        <w:rPr>
          <w:rFonts w:ascii="仿宋" w:eastAsia="仿宋"/>
          <w:b/>
          <w:sz w:val="32"/>
          <w:szCs w:val="32"/>
        </w:rPr>
      </w:pPr>
    </w:p>
    <w:p>
      <w:pPr>
        <w:tabs>
          <w:tab w:val="right" w:pos="8306"/>
        </w:tabs>
        <w:spacing w:line="600" w:lineRule="exact"/>
        <w:ind w:firstLine="640"/>
        <w:outlineLvl w:val="1"/>
        <w:rPr>
          <w:rStyle w:val="21"/>
        </w:rPr>
      </w:pPr>
      <w:bookmarkStart w:id="44" w:name="_Toc15396608"/>
      <w:bookmarkStart w:id="45" w:name="_Toc15377214"/>
      <w:bookmarkStart w:id="46" w:name="_Toc1394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4"/>
      <w:bookmarkEnd w:id="45"/>
      <w:bookmarkEnd w:id="46"/>
      <w:r>
        <w:rPr>
          <w:rStyle w:val="21"/>
          <w:rFonts w:ascii="黑体" w:eastAsia="黑体"/>
          <w:b w:val="0"/>
        </w:rPr>
        <w:tab/>
      </w:r>
    </w:p>
    <w:p>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1279.71</w:t>
      </w:r>
      <w:r>
        <w:rPr>
          <w:rFonts w:hint="eastAsia" w:ascii="仿宋_GB2312" w:hAnsi="仿宋_GB2312" w:eastAsia="仿宋_GB2312" w:cs="仿宋_GB2312"/>
          <w:sz w:val="32"/>
          <w:szCs w:val="32"/>
        </w:rPr>
        <w:t>万元，其中：</w:t>
      </w:r>
    </w:p>
    <w:p>
      <w:pPr>
        <w:spacing w:line="600" w:lineRule="exact"/>
        <w:ind w:firstLine="645"/>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1088.89</w:t>
      </w:r>
      <w:r>
        <w:rPr>
          <w:rFonts w:hint="eastAsia" w:ascii="仿宋_GB2312" w:hAnsi="仿宋_GB2312" w:eastAsia="仿宋_GB2312" w:cs="仿宋_GB2312"/>
          <w:sz w:val="32"/>
          <w:szCs w:val="32"/>
        </w:rPr>
        <w:t>万元，包括：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188.12万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301.16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271.15</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26.84万元、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99.01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49.5</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w:t>
      </w:r>
      <w:r>
        <w:rPr>
          <w:rFonts w:hint="eastAsia" w:ascii="仿宋_GB2312" w:hAnsi="仿宋_GB2312" w:eastAsia="仿宋_GB2312" w:cs="仿宋_GB2312"/>
          <w:color w:val="000000"/>
          <w:sz w:val="32"/>
          <w:szCs w:val="32"/>
          <w:lang w:val="en-US" w:eastAsia="zh-CN"/>
        </w:rPr>
        <w:t>49.45</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12.21</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79.92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生活补助9.97万元，医疗费5.14万元、医疗费补助0.22万元，奖励金0.04万元。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473.49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119.02</w:t>
      </w:r>
      <w:r>
        <w:rPr>
          <w:rFonts w:hint="eastAsia" w:ascii="仿宋_GB2312" w:hAnsi="仿宋_GB2312" w:eastAsia="仿宋_GB2312" w:cs="仿宋_GB2312"/>
          <w:color w:val="000000"/>
          <w:sz w:val="32"/>
          <w:szCs w:val="32"/>
          <w:lang w:eastAsia="zh-CN"/>
        </w:rPr>
        <w:t>万元、印刷费</w:t>
      </w:r>
      <w:r>
        <w:rPr>
          <w:rFonts w:hint="eastAsia" w:ascii="仿宋_GB2312" w:hAnsi="仿宋_GB2312" w:eastAsia="仿宋_GB2312" w:cs="仿宋_GB2312"/>
          <w:color w:val="000000"/>
          <w:sz w:val="32"/>
          <w:szCs w:val="32"/>
          <w:lang w:val="en-US" w:eastAsia="zh-CN"/>
        </w:rPr>
        <w:t>2.37万元、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0.84万元，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69.95</w:t>
      </w:r>
      <w:r>
        <w:rPr>
          <w:rFonts w:hint="eastAsia" w:ascii="仿宋_GB2312" w:hAnsi="仿宋_GB2312" w:eastAsia="仿宋_GB2312" w:cs="仿宋_GB2312"/>
          <w:color w:val="000000"/>
          <w:sz w:val="32"/>
          <w:szCs w:val="32"/>
          <w:lang w:eastAsia="zh-CN"/>
        </w:rPr>
        <w:t>万元、取暖费</w:t>
      </w:r>
      <w:r>
        <w:rPr>
          <w:rFonts w:hint="eastAsia" w:ascii="仿宋_GB2312" w:hAnsi="仿宋_GB2312" w:eastAsia="仿宋_GB2312" w:cs="仿宋_GB2312"/>
          <w:color w:val="000000"/>
          <w:sz w:val="32"/>
          <w:szCs w:val="32"/>
          <w:lang w:val="en-US" w:eastAsia="zh-CN"/>
        </w:rPr>
        <w:t>2.56万元、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115.27</w:t>
      </w:r>
      <w:r>
        <w:rPr>
          <w:rFonts w:hint="eastAsia" w:ascii="仿宋_GB2312" w:hAnsi="仿宋_GB2312" w:eastAsia="仿宋_GB2312" w:cs="仿宋_GB2312"/>
          <w:color w:val="000000"/>
          <w:sz w:val="32"/>
          <w:szCs w:val="32"/>
          <w:lang w:eastAsia="zh-CN"/>
        </w:rPr>
        <w:t>万元、培训费</w:t>
      </w:r>
      <w:r>
        <w:rPr>
          <w:rFonts w:hint="eastAsia" w:ascii="仿宋_GB2312" w:hAnsi="仿宋_GB2312" w:eastAsia="仿宋_GB2312" w:cs="仿宋_GB2312"/>
          <w:color w:val="000000"/>
          <w:sz w:val="32"/>
          <w:szCs w:val="32"/>
          <w:lang w:val="en-US" w:eastAsia="zh-CN"/>
        </w:rPr>
        <w:t>0.26万元、公务接待0.52万元、</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7.97万元、</w:t>
      </w:r>
      <w:r>
        <w:rPr>
          <w:rFonts w:hint="eastAsia" w:ascii="仿宋_GB2312" w:hAnsi="仿宋_GB2312" w:eastAsia="仿宋_GB2312" w:cs="仿宋_GB2312"/>
          <w:color w:val="000000"/>
          <w:sz w:val="32"/>
          <w:szCs w:val="32"/>
          <w:lang w:eastAsia="zh-CN"/>
        </w:rPr>
        <w:t>公务用车运行维护费</w:t>
      </w:r>
      <w:r>
        <w:rPr>
          <w:rFonts w:hint="eastAsia" w:ascii="仿宋_GB2312" w:hAnsi="仿宋_GB2312" w:eastAsia="仿宋_GB2312" w:cs="仿宋_GB2312"/>
          <w:color w:val="000000"/>
          <w:sz w:val="32"/>
          <w:szCs w:val="32"/>
          <w:lang w:val="en-US" w:eastAsia="zh-CN"/>
        </w:rPr>
        <w:t>154.71</w:t>
      </w:r>
      <w:r>
        <w:rPr>
          <w:rFonts w:hint="eastAsia" w:ascii="仿宋_GB2312" w:hAnsi="仿宋_GB2312" w:eastAsia="仿宋_GB2312" w:cs="仿宋_GB2312"/>
          <w:color w:val="000000"/>
          <w:sz w:val="32"/>
          <w:szCs w:val="32"/>
          <w:lang w:eastAsia="zh-CN"/>
        </w:rPr>
        <w:t>万元。</w:t>
      </w:r>
    </w:p>
    <w:p>
      <w:pPr>
        <w:spacing w:line="600" w:lineRule="exact"/>
        <w:ind w:firstLine="640"/>
        <w:outlineLvl w:val="1"/>
        <w:rPr>
          <w:rStyle w:val="21"/>
          <w:rFonts w:ascii="黑体" w:eastAsia="黑体"/>
          <w:b w:val="0"/>
        </w:rPr>
      </w:pPr>
      <w:bookmarkStart w:id="47" w:name="_Toc15396609"/>
      <w:bookmarkStart w:id="48" w:name="_Toc4299"/>
      <w:bookmarkStart w:id="49" w:name="_Toc15377215"/>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7"/>
      <w:bookmarkEnd w:id="48"/>
      <w:bookmarkEnd w:id="49"/>
    </w:p>
    <w:p>
      <w:pPr>
        <w:spacing w:line="600" w:lineRule="exact"/>
        <w:ind w:firstLine="640"/>
        <w:outlineLvl w:val="2"/>
        <w:rPr>
          <w:rFonts w:hint="eastAsia" w:ascii="仿宋_GB2312" w:hAnsi="仿宋_GB2312" w:eastAsia="仿宋_GB2312" w:cs="仿宋_GB2312"/>
          <w:b/>
          <w:sz w:val="32"/>
          <w:szCs w:val="32"/>
        </w:rPr>
      </w:pPr>
      <w:bookmarkStart w:id="50" w:name="_Toc15377216"/>
      <w:r>
        <w:rPr>
          <w:rFonts w:hint="eastAsia" w:ascii="仿宋_GB2312" w:hAnsi="仿宋_GB2312" w:eastAsia="仿宋_GB2312" w:cs="仿宋_GB2312"/>
          <w:b/>
          <w:sz w:val="32"/>
          <w:szCs w:val="32"/>
        </w:rPr>
        <w:t>（一）“三公”经费财政拨款支出决算总体情况说明</w:t>
      </w:r>
      <w:bookmarkEnd w:id="50"/>
    </w:p>
    <w:p>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155.23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增加原因：驻容办</w:t>
      </w:r>
      <w:r>
        <w:rPr>
          <w:rFonts w:hint="eastAsia" w:ascii="仿宋_GB2312" w:hAnsi="仿宋_GB2312" w:eastAsia="仿宋_GB2312" w:cs="仿宋_GB2312"/>
          <w:sz w:val="32"/>
          <w:szCs w:val="32"/>
          <w:lang w:val="en-US" w:eastAsia="zh-CN"/>
        </w:rPr>
        <w:t>2辆轿车</w:t>
      </w:r>
      <w:r>
        <w:rPr>
          <w:rFonts w:hint="eastAsia" w:ascii="仿宋_GB2312" w:hAnsi="仿宋_GB2312" w:eastAsia="仿宋_GB2312" w:cs="仿宋_GB2312"/>
          <w:sz w:val="32"/>
          <w:szCs w:val="32"/>
          <w:lang w:eastAsia="zh-CN"/>
        </w:rPr>
        <w:t>费用，之前年度在财政代管。</w:t>
      </w:r>
    </w:p>
    <w:p>
      <w:pPr>
        <w:spacing w:line="600" w:lineRule="exact"/>
        <w:ind w:firstLine="640"/>
        <w:outlineLvl w:val="2"/>
        <w:rPr>
          <w:rFonts w:hint="eastAsia" w:ascii="仿宋_GB2312" w:hAnsi="仿宋_GB2312" w:eastAsia="仿宋_GB2312" w:cs="仿宋_GB2312"/>
          <w:b/>
          <w:sz w:val="32"/>
          <w:szCs w:val="32"/>
        </w:rPr>
      </w:pPr>
      <w:bookmarkStart w:id="51" w:name="_Toc15377217"/>
      <w:r>
        <w:rPr>
          <w:rFonts w:hint="eastAsia" w:ascii="仿宋_GB2312" w:hAnsi="仿宋_GB2312" w:eastAsia="仿宋_GB2312" w:cs="仿宋_GB2312"/>
          <w:b/>
          <w:sz w:val="32"/>
          <w:szCs w:val="32"/>
        </w:rPr>
        <w:t>（二）“三公”经费财政拨款支出决算具体情况说明</w:t>
      </w:r>
      <w:bookmarkEnd w:id="51"/>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154.71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99.66</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%。具体情况如下：</w:t>
      </w:r>
    </w:p>
    <w:p>
      <w:pPr>
        <w:spacing w:line="600" w:lineRule="exact"/>
        <w:ind w:firstLine="640"/>
        <w:rPr>
          <w:rFonts w:hint="eastAsia" w:ascii="仿宋" w:eastAsia="仿宋"/>
          <w:sz w:val="32"/>
          <w:szCs w:val="32"/>
        </w:rPr>
      </w:pPr>
      <w:r>
        <w:rPr>
          <w:rFonts w:hint="eastAsia" w:ascii="仿宋_GB2312" w:hAnsi="仿宋_GB2312" w:eastAsia="仿宋_GB2312" w:cs="仿宋_GB2312"/>
          <w:sz w:val="32"/>
          <w:szCs w:val="32"/>
        </w:rPr>
        <w:t>（图7：“三公”经费财政拨款支出结构）（饼状</w:t>
      </w:r>
      <w:r>
        <w:rPr>
          <w:rFonts w:hint="eastAsia" w:ascii="仿宋" w:eastAsia="仿宋"/>
          <w:sz w:val="32"/>
          <w:szCs w:val="32"/>
        </w:rPr>
        <w:t>图）</w:t>
      </w:r>
    </w:p>
    <w:p>
      <w:pPr>
        <w:pStyle w:val="8"/>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817110" cy="2473325"/>
            <wp:effectExtent l="4445" t="4445" r="17145"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w:t>
      </w:r>
      <w:r>
        <w:rPr>
          <w:rFonts w:hint="eastAsia" w:ascii="仿宋_GB2312" w:hAnsi="仿宋_GB2312" w:eastAsia="仿宋_GB2312" w:cs="仿宋_GB2312"/>
          <w:sz w:val="32"/>
          <w:szCs w:val="32"/>
          <w:lang w:eastAsia="zh-CN"/>
        </w:rPr>
        <w:t>与上年持平，主要原因是两年均未有出国安排。</w:t>
      </w:r>
    </w:p>
    <w:p>
      <w:pPr>
        <w:spacing w:line="600" w:lineRule="exact"/>
        <w:ind w:firstLine="64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lang w:val="en-US" w:eastAsia="zh-CN"/>
        </w:rPr>
        <w:t>154.71</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新增驻容办车辆经费。</w:t>
      </w:r>
    </w:p>
    <w:p>
      <w:pPr>
        <w:spacing w:line="60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原因为</w:t>
      </w:r>
      <w:r>
        <w:rPr>
          <w:rFonts w:hint="eastAsia" w:ascii="仿宋_GB2312" w:hAnsi="仿宋_GB2312" w:eastAsia="仿宋_GB2312" w:cs="仿宋_GB2312"/>
          <w:sz w:val="32"/>
          <w:szCs w:val="32"/>
        </w:rPr>
        <w:t>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更新购置公务用车。</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154.71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主要用于办公室</w:t>
      </w:r>
      <w:r>
        <w:rPr>
          <w:rFonts w:hint="eastAsia" w:ascii="仿宋_GB2312" w:hAnsi="仿宋_GB2312" w:eastAsia="仿宋_GB2312" w:cs="仿宋_GB2312"/>
          <w:color w:val="000000"/>
          <w:sz w:val="32"/>
          <w:szCs w:val="32"/>
          <w:lang w:eastAsia="zh-CN"/>
        </w:rPr>
        <w:t>工作出差、开展脱贫攻坚工作下乡等所需的公务用车燃料费、维修费、过路过桥费、保险费等支出。</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b/>
          <w:sz w:val="32"/>
          <w:szCs w:val="32"/>
          <w:lang w:val="en-US" w:eastAsia="zh-CN"/>
        </w:rPr>
        <w:t>0.52</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2023年疫情放开相比于2022年接待活动增加。</w:t>
      </w:r>
      <w:r>
        <w:rPr>
          <w:rFonts w:hint="eastAsia" w:ascii="仿宋_GB2312" w:hAnsi="仿宋_GB2312" w:eastAsia="仿宋_GB2312" w:cs="仿宋_GB2312"/>
          <w:sz w:val="32"/>
          <w:szCs w:val="32"/>
        </w:rPr>
        <w:t>其中：</w:t>
      </w: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b/>
          <w:sz w:val="32"/>
          <w:szCs w:val="32"/>
          <w:lang w:val="en-US" w:eastAsia="zh-CN"/>
        </w:rPr>
        <w:t>0.52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主要用于接待上级部门及各县执行公务、开展业务活动、调研等开支的餐费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0.52</w:t>
      </w:r>
      <w:r>
        <w:rPr>
          <w:rFonts w:hint="eastAsia" w:ascii="仿宋_GB2312" w:hAnsi="仿宋_GB2312" w:eastAsia="仿宋_GB2312" w:cs="仿宋_GB2312"/>
          <w:sz w:val="32"/>
          <w:szCs w:val="32"/>
        </w:rPr>
        <w:t>万元，具体内容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接待浙江永嘉县眼科医生，西南民大来访、首都大学来访等考察生态畜牧业发展、红色教育，依法治县示范点建设及一三产业融合发展，长征沿线地区调研交流互鉴，代表联络站建设等工作。在考察调研过程中相互交流相关工作经验取长补短，让我县代表不出县的情况下开阔了眼界，同时学习了其他县先进工作经验，为我县进一步做好人大相关工作奠定了坚实的基础。</w:t>
      </w:r>
    </w:p>
    <w:p>
      <w:pPr>
        <w:spacing w:line="60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52" w:name="_Toc15396610"/>
      <w:bookmarkStart w:id="53" w:name="_Toc15377218"/>
    </w:p>
    <w:p>
      <w:pPr>
        <w:pStyle w:val="11"/>
        <w:rPr>
          <w:rFonts w:hint="eastAsia"/>
        </w:rPr>
      </w:pPr>
    </w:p>
    <w:p>
      <w:pPr>
        <w:spacing w:line="600" w:lineRule="exact"/>
        <w:ind w:firstLine="640"/>
        <w:outlineLvl w:val="1"/>
        <w:rPr>
          <w:rStyle w:val="21"/>
          <w:rFonts w:ascii="黑体" w:eastAsia="黑体"/>
        </w:rPr>
      </w:pPr>
      <w:bookmarkStart w:id="54" w:name="_Toc22646"/>
      <w:r>
        <w:rPr>
          <w:rFonts w:hint="eastAsia" w:ascii="黑体" w:eastAsia="黑体"/>
          <w:sz w:val="32"/>
          <w:szCs w:val="32"/>
        </w:rPr>
        <w:t>八、</w:t>
      </w:r>
      <w:r>
        <w:rPr>
          <w:rStyle w:val="21"/>
          <w:rFonts w:hint="eastAsia" w:ascii="黑体" w:eastAsia="黑体"/>
          <w:b w:val="0"/>
        </w:rPr>
        <w:t>政府性基金预算支出决算情况说明</w:t>
      </w:r>
      <w:bookmarkEnd w:id="52"/>
      <w:bookmarkEnd w:id="53"/>
      <w:bookmarkEnd w:id="5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rPr>
          <w:rFonts w:ascii="仿宋_GB2312" w:eastAsia="仿宋_GB2312"/>
          <w:sz w:val="32"/>
          <w:szCs w:val="32"/>
        </w:rPr>
      </w:pPr>
    </w:p>
    <w:p>
      <w:pPr>
        <w:numPr>
          <w:ilvl w:val="0"/>
          <w:numId w:val="5"/>
        </w:numPr>
        <w:spacing w:line="600" w:lineRule="exact"/>
        <w:ind w:firstLine="640"/>
        <w:outlineLvl w:val="1"/>
        <w:rPr>
          <w:rStyle w:val="21"/>
          <w:rFonts w:ascii="黑体" w:eastAsia="黑体"/>
          <w:b w:val="0"/>
        </w:rPr>
      </w:pPr>
      <w:bookmarkStart w:id="55" w:name="_Toc15377219"/>
      <w:bookmarkStart w:id="56" w:name="_Toc1631"/>
      <w:bookmarkStart w:id="57" w:name="_Toc15396611"/>
      <w:r>
        <w:rPr>
          <w:rStyle w:val="21"/>
          <w:rFonts w:hint="eastAsia" w:ascii="黑体" w:eastAsia="黑体"/>
          <w:b w:val="0"/>
        </w:rPr>
        <w:t>国有资本经营预算支出决算情况说明</w:t>
      </w:r>
      <w:bookmarkEnd w:id="55"/>
      <w:bookmarkEnd w:id="56"/>
      <w:bookmarkEnd w:id="5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5"/>
        </w:numPr>
        <w:spacing w:line="600" w:lineRule="exact"/>
        <w:ind w:firstLine="640"/>
        <w:outlineLvl w:val="1"/>
        <w:rPr>
          <w:rStyle w:val="21"/>
          <w:rFonts w:ascii="黑体" w:eastAsia="黑体"/>
          <w:b w:val="0"/>
        </w:rPr>
      </w:pPr>
      <w:bookmarkStart w:id="58" w:name="_Toc15377221"/>
      <w:bookmarkStart w:id="59" w:name="_Toc4892"/>
      <w:bookmarkStart w:id="60" w:name="_Toc15396612"/>
      <w:r>
        <w:rPr>
          <w:rStyle w:val="21"/>
          <w:rFonts w:hint="eastAsia" w:ascii="黑体" w:eastAsia="黑体"/>
          <w:b w:val="0"/>
        </w:rPr>
        <w:t>其他重要事项的情况说明</w:t>
      </w:r>
      <w:bookmarkEnd w:id="58"/>
      <w:bookmarkEnd w:id="59"/>
      <w:bookmarkEnd w:id="60"/>
    </w:p>
    <w:p>
      <w:pPr>
        <w:spacing w:line="600" w:lineRule="exact"/>
        <w:ind w:firstLine="642" w:firstLineChars="200"/>
        <w:outlineLvl w:val="2"/>
        <w:rPr>
          <w:rFonts w:ascii="仿宋" w:eastAsia="仿宋"/>
          <w:sz w:val="32"/>
          <w:szCs w:val="32"/>
        </w:rPr>
      </w:pPr>
      <w:bookmarkStart w:id="61" w:name="_Toc15377222"/>
      <w:r>
        <w:rPr>
          <w:rFonts w:hint="eastAsia" w:ascii="仿宋" w:eastAsia="仿宋"/>
          <w:b/>
          <w:sz w:val="32"/>
          <w:szCs w:val="32"/>
        </w:rPr>
        <w:t>（一）机关运行经费支出情况</w:t>
      </w:r>
      <w:bookmarkEnd w:id="6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红原县政府办</w:t>
      </w:r>
      <w:r>
        <w:rPr>
          <w:rFonts w:hint="eastAsia" w:ascii="仿宋_GB2312" w:eastAsia="仿宋_GB2312"/>
          <w:sz w:val="32"/>
          <w:szCs w:val="32"/>
        </w:rPr>
        <w:t>机关运行经费支出</w:t>
      </w:r>
      <w:r>
        <w:rPr>
          <w:rFonts w:hint="eastAsia" w:ascii="仿宋_GB2312" w:eastAsia="仿宋_GB2312"/>
          <w:sz w:val="32"/>
          <w:szCs w:val="32"/>
          <w:lang w:val="en-US" w:eastAsia="zh-CN"/>
        </w:rPr>
        <w:t>1088.89</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增加</w:t>
      </w:r>
      <w:r>
        <w:rPr>
          <w:rFonts w:hint="eastAsia" w:ascii="仿宋_GB2312" w:eastAsia="仿宋_GB2312"/>
          <w:sz w:val="32"/>
          <w:szCs w:val="32"/>
          <w:lang w:val="en-US" w:eastAsia="zh-CN"/>
        </w:rPr>
        <w:t>87.84</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8.77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增加</w:t>
      </w:r>
      <w:r>
        <w:rPr>
          <w:rFonts w:hint="eastAsia"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b/>
          <w:bCs/>
          <w:sz w:val="32"/>
          <w:szCs w:val="32"/>
          <w:lang w:eastAsia="zh-CN"/>
        </w:rPr>
        <w:t>一是</w:t>
      </w:r>
      <w:r>
        <w:rPr>
          <w:rFonts w:hint="eastAsia" w:ascii="仿宋_GB2312" w:eastAsia="仿宋_GB2312"/>
          <w:sz w:val="32"/>
          <w:szCs w:val="32"/>
          <w:lang w:val="en-US" w:eastAsia="zh-CN"/>
        </w:rPr>
        <w:t>2023年在机关运行经费报销的差旅费及办公费较2022年增加，</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2023年在职人员较2022年增加2人，导致人头经费增加</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eastAsia="仿宋"/>
          <w:b/>
          <w:sz w:val="32"/>
          <w:szCs w:val="32"/>
        </w:rPr>
      </w:pPr>
      <w:bookmarkStart w:id="62" w:name="_Toc15377223"/>
      <w:r>
        <w:rPr>
          <w:rFonts w:hint="eastAsia" w:ascii="仿宋" w:eastAsia="仿宋"/>
          <w:b/>
          <w:sz w:val="32"/>
          <w:szCs w:val="32"/>
        </w:rPr>
        <w:t>（二）政府采购支出情况</w:t>
      </w:r>
      <w:bookmarkEnd w:id="6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政府办</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eastAsia="仿宋"/>
          <w:b/>
          <w:sz w:val="32"/>
          <w:szCs w:val="32"/>
        </w:rPr>
      </w:pPr>
      <w:bookmarkStart w:id="63" w:name="_Toc15377224"/>
      <w:r>
        <w:rPr>
          <w:rFonts w:hint="eastAsia" w:ascii="仿宋" w:eastAsia="仿宋"/>
          <w:b/>
          <w:sz w:val="32"/>
          <w:szCs w:val="32"/>
        </w:rPr>
        <w:t>（三）国有资产占有使用情况</w:t>
      </w:r>
      <w:bookmarkEnd w:id="63"/>
    </w:p>
    <w:p>
      <w:pPr>
        <w:pStyle w:val="15"/>
        <w:keepNext w:val="0"/>
        <w:keepLines w:val="0"/>
        <w:widowControl/>
        <w:numPr>
          <w:ilvl w:val="0"/>
          <w:numId w:val="0"/>
        </w:numPr>
        <w:suppressLineNumbers w:val="0"/>
        <w:shd w:val="clear" w:color="auto" w:fill="auto"/>
        <w:ind w:leftChars="0" w:right="75" w:rightChars="0" w:firstLine="640" w:firstLineChars="200"/>
        <w:rPr>
          <w:rStyle w:val="18"/>
          <w:rFonts w:hint="eastAsia" w:ascii="仿宋_GB2312" w:hAnsi="仿宋_GB2312" w:eastAsia="仿宋_GB2312" w:cs="仿宋_GB2312"/>
          <w:sz w:val="32"/>
          <w:szCs w:val="32"/>
          <w:shd w:val="clear" w:color="auto" w:fill="FFFFFF"/>
          <w:lang w:val="en-US"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15</w:t>
      </w:r>
      <w:r>
        <w:rPr>
          <w:rFonts w:hint="eastAsia" w:ascii="仿宋_GB2312" w:eastAsia="仿宋_GB2312"/>
          <w:sz w:val="32"/>
          <w:szCs w:val="32"/>
        </w:rPr>
        <w:t>辆</w:t>
      </w:r>
      <w:r>
        <w:rPr>
          <w:rFonts w:hint="eastAsia" w:ascii="仿宋_GB2312" w:eastAsia="仿宋_GB2312"/>
          <w:sz w:val="32"/>
          <w:szCs w:val="32"/>
          <w:lang w:eastAsia="zh-CN"/>
        </w:rPr>
        <w:t>，全部为应急保障用车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_GB2312" w:eastAsia="仿宋_GB2312"/>
          <w:sz w:val="32"/>
          <w:szCs w:val="32"/>
          <w:lang w:eastAsia="zh-CN"/>
        </w:rPr>
        <w:t>截止年底</w:t>
      </w:r>
      <w:r>
        <w:rPr>
          <w:rFonts w:hint="eastAsia" w:ascii="仿宋_GB2312" w:eastAsia="仿宋_GB2312"/>
          <w:sz w:val="32"/>
          <w:szCs w:val="32"/>
        </w:rPr>
        <w:t>共有</w:t>
      </w:r>
      <w:r>
        <w:rPr>
          <w:rFonts w:hint="eastAsia" w:ascii="仿宋_GB2312" w:eastAsia="仿宋_GB2312"/>
          <w:sz w:val="32"/>
          <w:szCs w:val="32"/>
          <w:lang w:eastAsia="zh-CN"/>
        </w:rPr>
        <w:t>资产</w:t>
      </w:r>
      <w:r>
        <w:rPr>
          <w:rFonts w:hint="eastAsia" w:ascii="仿宋_GB2312" w:eastAsia="仿宋_GB2312"/>
          <w:sz w:val="32"/>
          <w:szCs w:val="32"/>
          <w:lang w:val="en-US" w:eastAsia="zh-CN"/>
        </w:rPr>
        <w:t>1564.3万元</w:t>
      </w:r>
      <w:r>
        <w:rPr>
          <w:rFonts w:hint="eastAsia" w:ascii="仿宋_GB2312" w:eastAsia="仿宋_GB2312"/>
          <w:color w:val="000000"/>
          <w:sz w:val="32"/>
          <w:szCs w:val="32"/>
        </w:rPr>
        <w:t>（账面原值，下同）</w:t>
      </w:r>
      <w:r>
        <w:rPr>
          <w:rFonts w:hint="eastAsia" w:ascii="仿宋_GB2312" w:eastAsia="仿宋_GB2312"/>
          <w:sz w:val="32"/>
          <w:szCs w:val="32"/>
          <w:lang w:val="en-US" w:eastAsia="zh-CN"/>
        </w:rPr>
        <w:t>，其中固定资产1463.4万元，占比93.54%，</w:t>
      </w:r>
      <w:r>
        <w:rPr>
          <w:rFonts w:hint="eastAsia" w:ascii="仿宋_GB2312" w:eastAsia="仿宋_GB2312"/>
          <w:color w:val="000000"/>
          <w:sz w:val="32"/>
          <w:szCs w:val="32"/>
        </w:rPr>
        <w:t>从资产类别分析，配置土地、房屋及构筑物</w:t>
      </w:r>
      <w:r>
        <w:rPr>
          <w:rFonts w:hint="eastAsia" w:ascii="仿宋_GB2312" w:eastAsia="仿宋_GB2312"/>
          <w:color w:val="000000"/>
          <w:sz w:val="32"/>
          <w:szCs w:val="32"/>
          <w:lang w:val="en-US" w:eastAsia="zh-CN"/>
        </w:rPr>
        <w:t>230.94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9.35</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1187.7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75.92</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44.8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w:t>
      </w:r>
    </w:p>
    <w:p>
      <w:pPr>
        <w:pStyle w:val="15"/>
        <w:keepNext w:val="0"/>
        <w:keepLines w:val="0"/>
        <w:widowControl/>
        <w:numPr>
          <w:ilvl w:val="0"/>
          <w:numId w:val="0"/>
        </w:numPr>
        <w:suppressLineNumbers w:val="0"/>
        <w:shd w:val="clear" w:color="auto" w:fill="auto"/>
        <w:ind w:left="420" w:leftChars="0" w:right="75" w:right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（四）由养老保险机构发放养老金的退休人员</w:t>
      </w:r>
    </w:p>
    <w:p>
      <w:pPr>
        <w:pStyle w:val="7"/>
        <w:numPr>
          <w:ilvl w:val="0"/>
          <w:numId w:val="0"/>
        </w:numPr>
        <w:ind w:firstLine="640" w:firstLineChars="200"/>
        <w:rPr>
          <w:rFonts w:ascii="仿宋_GB2312"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w:t>
      </w:r>
      <w:r>
        <w:rPr>
          <w:rFonts w:hint="eastAsia" w:eastAsia="仿宋_GB2312"/>
          <w:color w:val="000000"/>
          <w:sz w:val="32"/>
          <w:szCs w:val="32"/>
          <w:lang w:val="en-US" w:eastAsia="zh-CN"/>
        </w:rPr>
        <w:t>15</w:t>
      </w:r>
      <w:r>
        <w:rPr>
          <w:rFonts w:hint="eastAsia" w:ascii="仿宋_GB2312" w:eastAsia="仿宋_GB2312"/>
          <w:color w:val="000000"/>
          <w:sz w:val="32"/>
          <w:szCs w:val="32"/>
          <w:lang w:val="en-US" w:eastAsia="zh-CN"/>
        </w:rPr>
        <w:t>人，较上年新增</w:t>
      </w:r>
      <w:r>
        <w:rPr>
          <w:rFonts w:hint="eastAsia" w:eastAsia="仿宋_GB2312"/>
          <w:color w:val="000000"/>
          <w:sz w:val="32"/>
          <w:szCs w:val="32"/>
          <w:lang w:val="en-US" w:eastAsia="zh-CN"/>
        </w:rPr>
        <w:t>2</w:t>
      </w:r>
      <w:r>
        <w:rPr>
          <w:rFonts w:hint="eastAsia" w:ascii="仿宋_GB2312" w:eastAsia="仿宋_GB2312"/>
          <w:color w:val="000000"/>
          <w:sz w:val="32"/>
          <w:szCs w:val="32"/>
          <w:lang w:val="en-US" w:eastAsia="zh-CN"/>
        </w:rPr>
        <w:t>人。</w:t>
      </w:r>
    </w:p>
    <w:p>
      <w:pPr>
        <w:autoSpaceDE w:val="0"/>
        <w:autoSpaceDN w:val="0"/>
        <w:adjustRightInd w:val="0"/>
        <w:spacing w:line="600" w:lineRule="exact"/>
        <w:ind w:firstLine="642" w:firstLineChars="200"/>
        <w:jc w:val="left"/>
        <w:outlineLvl w:val="2"/>
        <w:rPr>
          <w:rFonts w:ascii="仿宋" w:eastAsia="仿宋"/>
          <w:b/>
          <w:sz w:val="32"/>
          <w:szCs w:val="32"/>
        </w:rPr>
      </w:pPr>
      <w:r>
        <w:rPr>
          <w:rFonts w:hint="eastAsia" w:ascii="仿宋" w:eastAsia="仿宋"/>
          <w:b/>
          <w:sz w:val="32"/>
          <w:szCs w:val="32"/>
        </w:rPr>
        <w:t>（</w:t>
      </w:r>
      <w:r>
        <w:rPr>
          <w:rFonts w:hint="eastAsia" w:ascii="仿宋" w:eastAsia="仿宋"/>
          <w:b/>
          <w:sz w:val="32"/>
          <w:szCs w:val="32"/>
          <w:lang w:eastAsia="zh-CN"/>
        </w:rPr>
        <w:t>五</w:t>
      </w:r>
      <w:r>
        <w:rPr>
          <w:rFonts w:hint="eastAsia" w:ascii="仿宋" w:eastAsia="仿宋"/>
          <w:b/>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电子政务外网运行服务费</w:t>
      </w:r>
      <w:r>
        <w:rPr>
          <w:rFonts w:hint="eastAsia" w:ascii="仿宋_GB2312" w:hAnsi="仿宋_GB2312" w:eastAsia="仿宋_GB2312" w:cs="仿宋_GB2312"/>
          <w:sz w:val="32"/>
          <w:szCs w:val="32"/>
          <w:lang w:val="en-US" w:eastAsia="zh-CN"/>
        </w:rPr>
        <w:t>专项预算</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eastAsia="zh-CN"/>
        </w:rPr>
        <w:t>这</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项目开展绩效监控，年终执行完毕后，对</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本单位该</w:t>
      </w:r>
      <w:r>
        <w:rPr>
          <w:rFonts w:hint="eastAsia" w:ascii="仿宋_GB2312" w:hAnsi="仿宋_GB2312" w:eastAsia="仿宋_GB2312" w:cs="仿宋_GB2312"/>
          <w:sz w:val="32"/>
          <w:szCs w:val="32"/>
          <w:lang w:val="en-US" w:eastAsia="zh-CN"/>
        </w:rPr>
        <w:t>项目完成情况良好，严格按照本单位制定的目标绩效管理制度来开展绩效管理工作，项目资金为专项经费的，全部用于专项2023年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0"/>
        </w:numPr>
        <w:spacing w:line="580" w:lineRule="exact"/>
        <w:ind w:firstLine="320" w:firstLineChars="100"/>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w:t>
      </w: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FF0000"/>
          <w:sz w:val="32"/>
          <w:szCs w:val="32"/>
          <w:highlight w:val="none"/>
        </w:rPr>
        <w:br w:type="textWrapping"/>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电子政务外网运行服务费项目绩效目标实际完成情况。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电子政务外网运行服务费</w:t>
      </w:r>
      <w:r>
        <w:rPr>
          <w:rFonts w:hint="eastAsia" w:ascii="仿宋_GB2312" w:hAnsi="仿宋_GB2312" w:eastAsia="仿宋_GB2312" w:cs="仿宋_GB2312"/>
          <w:color w:val="auto"/>
          <w:sz w:val="32"/>
          <w:szCs w:val="32"/>
          <w:highlight w:val="none"/>
        </w:rPr>
        <w:t>项目绩效目</w:t>
      </w:r>
      <w:r>
        <w:rPr>
          <w:rFonts w:hint="eastAsia" w:ascii="仿宋_GB2312" w:hAnsi="仿宋_GB2312" w:eastAsia="仿宋_GB2312" w:cs="仿宋_GB2312"/>
          <w:color w:val="auto"/>
          <w:sz w:val="32"/>
          <w:szCs w:val="32"/>
        </w:rPr>
        <w:t>标完成情况</w:t>
      </w:r>
      <w:r>
        <w:rPr>
          <w:rFonts w:hint="eastAsia" w:ascii="仿宋_GB2312" w:hAnsi="仿宋_GB2312" w:eastAsia="仿宋_GB2312" w:cs="仿宋_GB2312"/>
          <w:sz w:val="32"/>
          <w:szCs w:val="32"/>
        </w:rPr>
        <w:t>综述。项目全年预算数</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2023全县政务外网正常运行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2023年支出执行基础上，细化预算编制，提高了预算编制的精准性。</w:t>
      </w:r>
    </w:p>
    <w:p>
      <w:pPr>
        <w:numPr>
          <w:ilvl w:val="0"/>
          <w:numId w:val="0"/>
        </w:numPr>
        <w:spacing w:line="580" w:lineRule="exact"/>
        <w:ind w:firstLine="720" w:firstLineChars="200"/>
        <w:rPr>
          <w:rFonts w:hint="eastAsia" w:ascii="黑体" w:hAnsi="黑体" w:eastAsia="黑体" w:cs="宋体"/>
          <w:bCs/>
          <w:color w:val="000000"/>
          <w:kern w:val="0"/>
          <w:sz w:val="36"/>
          <w:szCs w:val="36"/>
          <w:lang w:bidi="ar"/>
        </w:rPr>
      </w:pPr>
    </w:p>
    <w:p>
      <w:pPr>
        <w:numPr>
          <w:ilvl w:val="0"/>
          <w:numId w:val="0"/>
        </w:numPr>
        <w:spacing w:line="580" w:lineRule="exact"/>
        <w:ind w:firstLine="720" w:firstLineChars="200"/>
        <w:rPr>
          <w:rFonts w:hint="eastAsia" w:ascii="黑体" w:hAnsi="黑体" w:eastAsia="黑体" w:cs="宋体"/>
          <w:bCs/>
          <w:color w:val="000000"/>
          <w:kern w:val="0"/>
          <w:sz w:val="36"/>
          <w:szCs w:val="36"/>
          <w:lang w:bidi="ar"/>
        </w:rPr>
      </w:pPr>
    </w:p>
    <w:p>
      <w:pPr>
        <w:numPr>
          <w:ilvl w:val="0"/>
          <w:numId w:val="0"/>
        </w:numPr>
        <w:spacing w:line="580" w:lineRule="exact"/>
        <w:ind w:firstLine="720" w:firstLineChars="200"/>
        <w:jc w:val="center"/>
        <w:rPr>
          <w:rFonts w:hint="eastAsia" w:ascii="仿宋_GB2312" w:hAnsi="仿宋_GB2312" w:eastAsia="仿宋_GB2312" w:cs="仿宋_GB2312"/>
          <w:sz w:val="32"/>
          <w:szCs w:val="32"/>
          <w:lang w:eastAsia="zh-CN"/>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电子政务外网运行服务费</w:t>
            </w:r>
          </w:p>
        </w:tc>
      </w:tr>
      <w:tr>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bookmarkStart w:id="184" w:name="_GoBack"/>
            <w:bookmarkEnd w:id="184"/>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26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保障了网络病毒及黑客攻击防范、修复等确保了政务外网安全、稳定、可靠运转。</w:t>
            </w:r>
          </w:p>
          <w:p>
            <w:pPr>
              <w:pStyle w:val="7"/>
              <w:widowControl/>
              <w:ind w:firstLine="0" w:firstLineChars="0"/>
              <w:jc w:val="center"/>
              <w:textAlignment w:val="center"/>
              <w:rPr>
                <w:rFonts w:ascii="宋体" w:hAnsi="宋体" w:cs="宋体"/>
                <w:color w:val="FF0000"/>
                <w:kern w:val="2"/>
                <w:sz w:val="24"/>
              </w:rPr>
            </w:pPr>
          </w:p>
          <w:p>
            <w:pPr>
              <w:widowControl/>
              <w:jc w:val="center"/>
              <w:textAlignment w:val="center"/>
              <w:rPr>
                <w:rFonts w:ascii="宋体" w:hAnsi="宋体" w:cs="宋体"/>
                <w:color w:val="FF0000"/>
                <w:sz w:val="24"/>
              </w:rPr>
            </w:pP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器运行托管费项目绩效目标完成情况综述。项目全年预算数49万元，执行数为49万元，完成预算的100%。通过项目实施，保障了全县电子政务外网升级改造链路和宽带、安全防护、公文交换系统、办公OA系统、电子公章的安全使用。</w:t>
            </w:r>
          </w:p>
          <w:p>
            <w:pPr>
              <w:widowControl/>
              <w:jc w:val="center"/>
              <w:textAlignment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完成全县政务外网安全使用</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保障了网络病毒及黑客攻击防范、修复等确保了政务外网安全、稳定、可靠运转。</w:t>
            </w:r>
          </w:p>
          <w:p>
            <w:pPr>
              <w:pStyle w:val="7"/>
              <w:widowControl/>
              <w:ind w:firstLine="0" w:firstLineChars="0"/>
              <w:jc w:val="center"/>
              <w:textAlignment w:val="center"/>
              <w:rPr>
                <w:rFonts w:ascii="宋体" w:hAnsi="宋体" w:cs="宋体"/>
                <w:kern w:val="2"/>
                <w:sz w:val="20"/>
                <w:szCs w:val="20"/>
              </w:rPr>
            </w:pPr>
          </w:p>
          <w:p>
            <w:pPr>
              <w:widowControl/>
              <w:jc w:val="center"/>
              <w:textAlignment w:val="center"/>
              <w:rPr>
                <w:rFonts w:ascii="宋体" w:hAnsi="宋体" w:cs="宋体"/>
                <w:sz w:val="20"/>
                <w:szCs w:val="20"/>
              </w:rPr>
            </w:pP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五年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sz w:val="20"/>
                <w:szCs w:val="20"/>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增强</w:t>
            </w:r>
          </w:p>
        </w:tc>
      </w:tr>
      <w:tr>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pStyle w:val="7"/>
              <w:widowControl/>
              <w:ind w:firstLine="0" w:firstLineChars="0"/>
              <w:jc w:val="center"/>
              <w:textAlignment w:val="center"/>
              <w:rPr>
                <w:rFonts w:ascii="宋体" w:hAnsi="宋体" w:cs="宋体"/>
                <w:color w:val="000000"/>
                <w:kern w:val="2"/>
                <w:sz w:val="20"/>
                <w:szCs w:val="20"/>
              </w:rPr>
            </w:pP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bl>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年部门整体支出绩效评价情况开展自评，整体支出情况良好</w:t>
      </w:r>
      <w:r>
        <w:rPr>
          <w:rFonts w:hint="eastAsia" w:eastAsia="仿宋_GB2312" w:cs="仿宋_GB2312" w:asciiTheme="minorHAnsi" w:hAnsiTheme="minorHAnsi"/>
          <w:sz w:val="32"/>
          <w:szCs w:val="32"/>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整体支出得分</w:t>
      </w:r>
      <w:r>
        <w:rPr>
          <w:rFonts w:hint="eastAsia" w:ascii="仿宋_GB2312" w:hAnsi="仿宋_GB2312" w:eastAsia="仿宋_GB2312" w:cs="仿宋_GB2312"/>
          <w:sz w:val="32"/>
          <w:szCs w:val="32"/>
          <w:lang w:val="en-US" w:eastAsia="zh-CN"/>
        </w:rPr>
        <w:t>95分，</w:t>
      </w:r>
      <w:r>
        <w:rPr>
          <w:rFonts w:hint="eastAsia" w:ascii="仿宋_GB2312" w:hAnsi="仿宋_GB2312" w:eastAsia="仿宋_GB2312" w:cs="仿宋_GB2312"/>
          <w:sz w:val="32"/>
          <w:szCs w:val="32"/>
          <w:lang w:eastAsia="zh-CN"/>
        </w:rPr>
        <w:t>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红原县人民政府办公室202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numPr>
          <w:ilvl w:val="0"/>
          <w:numId w:val="0"/>
        </w:numPr>
        <w:spacing w:line="600" w:lineRule="exact"/>
        <w:jc w:val="both"/>
        <w:outlineLvl w:val="0"/>
        <w:rPr>
          <w:rStyle w:val="20"/>
          <w:rFonts w:ascii="黑体" w:eastAsia="黑体"/>
          <w:b w:val="0"/>
        </w:rPr>
      </w:pPr>
      <w:bookmarkStart w:id="64" w:name="_Toc15377225"/>
      <w:bookmarkStart w:id="65" w:name="_Toc15396613"/>
      <w:bookmarkStart w:id="66" w:name="_Toc31207"/>
    </w:p>
    <w:p>
      <w:pPr>
        <w:numPr>
          <w:ilvl w:val="0"/>
          <w:numId w:val="6"/>
        </w:numPr>
        <w:spacing w:line="600" w:lineRule="exact"/>
        <w:ind w:firstLine="660" w:firstLineChars="150"/>
        <w:jc w:val="center"/>
        <w:outlineLvl w:val="0"/>
        <w:rPr>
          <w:rStyle w:val="20"/>
          <w:rFonts w:ascii="黑体" w:eastAsia="黑体"/>
          <w:b w:val="0"/>
        </w:rPr>
      </w:pPr>
      <w:r>
        <w:rPr>
          <w:rFonts w:hint="eastAsia" w:ascii="黑体" w:eastAsia="黑体"/>
          <w:sz w:val="44"/>
          <w:szCs w:val="44"/>
        </w:rPr>
        <w:t>名</w:t>
      </w:r>
      <w:r>
        <w:rPr>
          <w:rStyle w:val="20"/>
          <w:rFonts w:hint="eastAsia" w:ascii="黑体" w:eastAsia="黑体"/>
          <w:b w:val="0"/>
        </w:rPr>
        <w:t>词解释</w:t>
      </w:r>
      <w:bookmarkEnd w:id="64"/>
      <w:bookmarkEnd w:id="65"/>
      <w:bookmarkEnd w:id="66"/>
    </w:p>
    <w:p>
      <w:pPr>
        <w:spacing w:line="600" w:lineRule="exact"/>
        <w:jc w:val="left"/>
        <w:rPr>
          <w:rFonts w:ascii="宋体"/>
          <w:b/>
          <w:sz w:val="44"/>
          <w:szCs w:val="44"/>
        </w:rPr>
      </w:pPr>
    </w:p>
    <w:p>
      <w:pPr>
        <w:numPr>
          <w:ilvl w:val="0"/>
          <w:numId w:val="7"/>
        </w:numPr>
        <w:spacing w:line="600" w:lineRule="exact"/>
        <w:jc w:val="center"/>
        <w:outlineLvl w:val="0"/>
        <w:rPr>
          <w:rFonts w:hint="eastAsia" w:ascii="仿宋_GB2312" w:eastAsia="仿宋_GB2312"/>
          <w:color w:val="auto"/>
          <w:sz w:val="32"/>
          <w:szCs w:val="32"/>
        </w:rPr>
      </w:pPr>
      <w:bookmarkStart w:id="67" w:name="_Toc27947"/>
      <w:bookmarkStart w:id="68" w:name="_Toc27029"/>
      <w:bookmarkStart w:id="69" w:name="_Toc18803"/>
      <w:bookmarkStart w:id="70" w:name="_Toc15377226"/>
      <w:r>
        <w:rPr>
          <w:rFonts w:hint="eastAsia" w:ascii="仿宋_GB2312" w:eastAsia="仿宋_GB2312"/>
          <w:color w:val="auto"/>
          <w:sz w:val="32"/>
          <w:szCs w:val="32"/>
        </w:rPr>
        <w:t>财政拨款收入：指单位从同级财政部门取得的财政预算资</w:t>
      </w:r>
      <w:bookmarkEnd w:id="67"/>
      <w:bookmarkEnd w:id="68"/>
      <w:bookmarkEnd w:id="69"/>
    </w:p>
    <w:p>
      <w:pPr>
        <w:numPr>
          <w:ilvl w:val="0"/>
          <w:numId w:val="0"/>
        </w:numPr>
        <w:spacing w:line="600" w:lineRule="exact"/>
        <w:jc w:val="both"/>
        <w:outlineLvl w:val="0"/>
        <w:rPr>
          <w:rFonts w:hint="eastAsia" w:ascii="仿宋_GB2312" w:eastAsia="仿宋_GB2312"/>
          <w:color w:val="auto"/>
          <w:sz w:val="32"/>
          <w:szCs w:val="32"/>
        </w:rPr>
      </w:pPr>
      <w:bookmarkStart w:id="71" w:name="_Toc704"/>
      <w:bookmarkStart w:id="72" w:name="_Toc28771"/>
      <w:bookmarkStart w:id="73" w:name="_Toc21049"/>
      <w:r>
        <w:rPr>
          <w:rFonts w:hint="eastAsia" w:ascii="仿宋_GB2312" w:eastAsia="仿宋_GB2312"/>
          <w:color w:val="auto"/>
          <w:sz w:val="32"/>
          <w:szCs w:val="32"/>
        </w:rPr>
        <w:t>金。</w:t>
      </w:r>
      <w:bookmarkEnd w:id="71"/>
      <w:bookmarkEnd w:id="72"/>
      <w:bookmarkEnd w:id="73"/>
    </w:p>
    <w:p>
      <w:pPr>
        <w:spacing w:line="600" w:lineRule="exact"/>
        <w:jc w:val="both"/>
        <w:outlineLvl w:val="0"/>
        <w:rPr>
          <w:rFonts w:hint="eastAsia" w:ascii="仿宋_GB2312" w:eastAsia="仿宋_GB2312"/>
          <w:color w:val="auto"/>
          <w:sz w:val="32"/>
          <w:szCs w:val="32"/>
        </w:rPr>
      </w:pPr>
      <w:bookmarkStart w:id="74" w:name="_Toc5090"/>
      <w:bookmarkStart w:id="75" w:name="_Toc16486"/>
      <w:bookmarkStart w:id="76" w:name="_Toc24986"/>
      <w:r>
        <w:rPr>
          <w:rFonts w:hint="eastAsia" w:ascii="仿宋_GB2312" w:eastAsia="仿宋_GB2312"/>
          <w:color w:val="auto"/>
          <w:sz w:val="32"/>
          <w:szCs w:val="32"/>
        </w:rPr>
        <w:t>2.其他收入：指单位取得的除上述收入以外的各项收入。</w:t>
      </w:r>
      <w:bookmarkEnd w:id="74"/>
      <w:bookmarkEnd w:id="75"/>
      <w:bookmarkEnd w:id="76"/>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77" w:name="_Toc19661"/>
      <w:bookmarkStart w:id="78" w:name="_Toc5473"/>
      <w:bookmarkStart w:id="79" w:name="_Toc13744"/>
      <w:r>
        <w:rPr>
          <w:rFonts w:hint="eastAsia" w:ascii="仿宋_GB2312" w:eastAsia="仿宋_GB2312"/>
          <w:color w:val="auto"/>
          <w:sz w:val="32"/>
          <w:szCs w:val="32"/>
        </w:rPr>
        <w:t>3.年初结转和结余：指以前年度尚未完成、结转到本年按有</w:t>
      </w:r>
      <w:bookmarkEnd w:id="77"/>
      <w:bookmarkEnd w:id="78"/>
      <w:bookmarkEnd w:id="79"/>
    </w:p>
    <w:p>
      <w:pPr>
        <w:spacing w:line="600" w:lineRule="exact"/>
        <w:jc w:val="both"/>
        <w:outlineLvl w:val="0"/>
        <w:rPr>
          <w:rFonts w:hint="eastAsia" w:ascii="仿宋_GB2312" w:eastAsia="仿宋_GB2312"/>
          <w:color w:val="auto"/>
          <w:sz w:val="32"/>
          <w:szCs w:val="32"/>
        </w:rPr>
      </w:pPr>
      <w:bookmarkStart w:id="80" w:name="_Toc12956"/>
      <w:bookmarkStart w:id="81" w:name="_Toc11790"/>
      <w:bookmarkStart w:id="82" w:name="_Toc15327"/>
      <w:r>
        <w:rPr>
          <w:rFonts w:hint="eastAsia" w:ascii="仿宋_GB2312" w:eastAsia="仿宋_GB2312"/>
          <w:color w:val="auto"/>
          <w:sz w:val="32"/>
          <w:szCs w:val="32"/>
        </w:rPr>
        <w:t>关规定继续使用的资金。</w:t>
      </w:r>
      <w:bookmarkEnd w:id="80"/>
      <w:bookmarkEnd w:id="81"/>
      <w:bookmarkEnd w:id="82"/>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83" w:name="_Toc1206"/>
      <w:bookmarkStart w:id="84" w:name="_Toc21359"/>
      <w:bookmarkStart w:id="85" w:name="_Toc9882"/>
      <w:r>
        <w:rPr>
          <w:rFonts w:hint="eastAsia" w:ascii="仿宋_GB2312" w:eastAsia="仿宋_GB2312"/>
          <w:color w:val="auto"/>
          <w:sz w:val="32"/>
          <w:szCs w:val="32"/>
        </w:rPr>
        <w:t>4、年末结转和结余：指单位按有关规定结转到下年或以后</w:t>
      </w:r>
      <w:bookmarkEnd w:id="83"/>
      <w:bookmarkEnd w:id="84"/>
      <w:bookmarkEnd w:id="85"/>
    </w:p>
    <w:p>
      <w:pPr>
        <w:spacing w:line="600" w:lineRule="exact"/>
        <w:jc w:val="both"/>
        <w:outlineLvl w:val="0"/>
        <w:rPr>
          <w:rFonts w:hint="eastAsia" w:ascii="仿宋_GB2312" w:eastAsia="仿宋_GB2312"/>
          <w:color w:val="auto"/>
          <w:sz w:val="32"/>
          <w:szCs w:val="32"/>
        </w:rPr>
      </w:pPr>
      <w:bookmarkStart w:id="86" w:name="_Toc8387"/>
      <w:bookmarkStart w:id="87" w:name="_Toc9271"/>
      <w:bookmarkStart w:id="88" w:name="_Toc12873"/>
      <w:r>
        <w:rPr>
          <w:rFonts w:hint="eastAsia" w:ascii="仿宋_GB2312" w:eastAsia="仿宋_GB2312"/>
          <w:color w:val="auto"/>
          <w:sz w:val="32"/>
          <w:szCs w:val="32"/>
        </w:rPr>
        <w:t>年度继续使用的资金。</w:t>
      </w:r>
      <w:bookmarkEnd w:id="86"/>
      <w:bookmarkEnd w:id="87"/>
      <w:bookmarkEnd w:id="88"/>
    </w:p>
    <w:p>
      <w:pPr>
        <w:numPr>
          <w:ilvl w:val="0"/>
          <w:numId w:val="0"/>
        </w:numPr>
        <w:spacing w:line="600" w:lineRule="exact"/>
        <w:jc w:val="both"/>
        <w:outlineLvl w:val="0"/>
        <w:rPr>
          <w:rFonts w:hint="default" w:ascii="仿宋_GB2312" w:eastAsia="仿宋_GB2312"/>
          <w:color w:val="auto"/>
          <w:sz w:val="32"/>
          <w:szCs w:val="32"/>
          <w:lang w:val="en-US" w:eastAsia="zh-CN"/>
        </w:rPr>
      </w:pPr>
      <w:bookmarkStart w:id="89" w:name="_Toc7344"/>
      <w:bookmarkStart w:id="90" w:name="_Toc2744"/>
      <w:bookmarkStart w:id="91" w:name="_Toc31094"/>
      <w:r>
        <w:rPr>
          <w:rFonts w:hint="eastAsia" w:ascii="仿宋_GB2312" w:eastAsia="仿宋_GB2312"/>
          <w:color w:val="auto"/>
          <w:sz w:val="32"/>
          <w:szCs w:val="32"/>
        </w:rPr>
        <w:t>一般公共服务：2010101指</w:t>
      </w:r>
      <w:r>
        <w:rPr>
          <w:rFonts w:hint="eastAsia" w:ascii="仿宋_GB2312" w:eastAsia="仿宋_GB2312"/>
          <w:color w:val="auto"/>
          <w:sz w:val="32"/>
          <w:szCs w:val="32"/>
          <w:lang w:eastAsia="zh-CN"/>
        </w:rPr>
        <w:t>政府</w:t>
      </w:r>
      <w:r>
        <w:rPr>
          <w:rFonts w:hint="eastAsia" w:ascii="仿宋_GB2312" w:eastAsia="仿宋_GB2312"/>
          <w:color w:val="auto"/>
          <w:sz w:val="32"/>
          <w:szCs w:val="32"/>
        </w:rPr>
        <w:t>行政运行，反映人员经费与日常公用经费的支出。</w:t>
      </w:r>
      <w:bookmarkEnd w:id="89"/>
      <w:bookmarkEnd w:id="90"/>
      <w:bookmarkEnd w:id="91"/>
    </w:p>
    <w:p>
      <w:pPr>
        <w:spacing w:line="600" w:lineRule="exact"/>
        <w:jc w:val="center"/>
        <w:outlineLvl w:val="0"/>
        <w:rPr>
          <w:rFonts w:hint="eastAsia" w:ascii="仿宋_GB2312" w:eastAsia="仿宋_GB2312"/>
          <w:color w:val="auto"/>
          <w:sz w:val="32"/>
          <w:szCs w:val="32"/>
        </w:rPr>
      </w:pPr>
      <w:bookmarkStart w:id="92" w:name="_Toc25321"/>
      <w:bookmarkStart w:id="93" w:name="_Toc19703"/>
      <w:bookmarkStart w:id="94" w:name="_Toc22387"/>
      <w:r>
        <w:rPr>
          <w:rFonts w:hint="eastAsia" w:ascii="仿宋_GB2312" w:eastAsia="仿宋_GB2312"/>
          <w:color w:val="auto"/>
          <w:sz w:val="32"/>
          <w:szCs w:val="32"/>
        </w:rPr>
        <w:t>6.社会保障和就业：2080505指机关事业单位基本养老保险缴费支出。2080506指机关事业单位职业年金缴费支出。</w:t>
      </w:r>
      <w:bookmarkEnd w:id="92"/>
      <w:bookmarkEnd w:id="93"/>
      <w:bookmarkEnd w:id="94"/>
    </w:p>
    <w:p>
      <w:pPr>
        <w:spacing w:line="600" w:lineRule="exact"/>
        <w:jc w:val="both"/>
        <w:outlineLvl w:val="0"/>
        <w:rPr>
          <w:rFonts w:hint="default" w:ascii="仿宋_GB2312" w:eastAsia="仿宋_GB2312"/>
          <w:color w:val="auto"/>
          <w:sz w:val="32"/>
          <w:szCs w:val="32"/>
          <w:lang w:val="en-US" w:eastAsia="zh-CN"/>
        </w:rPr>
      </w:pPr>
      <w:bookmarkStart w:id="95" w:name="_Toc7898"/>
      <w:bookmarkStart w:id="96" w:name="_Toc11709"/>
      <w:bookmarkStart w:id="97" w:name="_Toc3261"/>
      <w:r>
        <w:rPr>
          <w:rFonts w:hint="eastAsia" w:ascii="仿宋_GB2312" w:eastAsia="仿宋_GB2312"/>
          <w:color w:val="auto"/>
          <w:sz w:val="32"/>
          <w:szCs w:val="32"/>
        </w:rPr>
        <w:t>7.医疗卫生与计划生育：2101101指行政单位医疗</w:t>
      </w:r>
      <w:r>
        <w:rPr>
          <w:rFonts w:hint="eastAsia" w:ascii="仿宋_GB2312" w:eastAsia="仿宋_GB2312"/>
          <w:color w:val="auto"/>
          <w:sz w:val="32"/>
          <w:szCs w:val="32"/>
          <w:lang w:eastAsia="zh-CN"/>
        </w:rPr>
        <w:t>保险</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2101102指事业单位医疗保险支出。</w:t>
      </w:r>
      <w:r>
        <w:rPr>
          <w:rFonts w:hint="eastAsia" w:ascii="仿宋_GB2312" w:eastAsia="仿宋_GB2312"/>
          <w:color w:val="auto"/>
          <w:sz w:val="32"/>
          <w:szCs w:val="32"/>
        </w:rPr>
        <w:t>2101103指公务员医疗补助。</w:t>
      </w:r>
      <w:r>
        <w:rPr>
          <w:rFonts w:hint="eastAsia" w:ascii="仿宋_GB2312" w:eastAsia="仿宋_GB2312"/>
          <w:color w:val="auto"/>
          <w:sz w:val="32"/>
          <w:szCs w:val="32"/>
          <w:lang w:val="en-US" w:eastAsia="zh-CN"/>
        </w:rPr>
        <w:t>2101199指其他行政事业单位医疗支出，反映事业单位职工补充医保。</w:t>
      </w:r>
      <w:bookmarkEnd w:id="95"/>
      <w:bookmarkEnd w:id="96"/>
      <w:bookmarkEnd w:id="97"/>
    </w:p>
    <w:p>
      <w:pPr>
        <w:spacing w:line="600" w:lineRule="exact"/>
        <w:jc w:val="both"/>
        <w:outlineLvl w:val="0"/>
        <w:rPr>
          <w:rFonts w:hint="eastAsia" w:ascii="仿宋_GB2312" w:eastAsia="仿宋_GB2312"/>
          <w:color w:val="auto"/>
          <w:sz w:val="32"/>
          <w:szCs w:val="32"/>
        </w:rPr>
      </w:pPr>
      <w:bookmarkStart w:id="98" w:name="_Toc17531"/>
      <w:bookmarkStart w:id="99" w:name="_Toc14400"/>
      <w:bookmarkStart w:id="100" w:name="_Toc27720"/>
      <w:r>
        <w:rPr>
          <w:rFonts w:hint="eastAsia" w:ascii="仿宋_GB2312" w:eastAsia="仿宋_GB2312"/>
          <w:color w:val="auto"/>
          <w:sz w:val="32"/>
          <w:szCs w:val="32"/>
        </w:rPr>
        <w:t>8.住房保障：2210201指住房公积金。</w:t>
      </w:r>
      <w:bookmarkEnd w:id="98"/>
      <w:bookmarkEnd w:id="99"/>
      <w:bookmarkEnd w:id="100"/>
    </w:p>
    <w:p>
      <w:pPr>
        <w:spacing w:line="600" w:lineRule="exact"/>
        <w:jc w:val="center"/>
        <w:outlineLvl w:val="0"/>
        <w:rPr>
          <w:rFonts w:hint="eastAsia" w:ascii="仿宋_GB2312" w:eastAsia="仿宋_GB2312"/>
          <w:color w:val="auto"/>
          <w:sz w:val="32"/>
          <w:szCs w:val="32"/>
        </w:rPr>
      </w:pPr>
      <w:bookmarkStart w:id="101" w:name="_Toc20801"/>
      <w:bookmarkStart w:id="102" w:name="_Toc969"/>
      <w:bookmarkStart w:id="103" w:name="_Toc15140"/>
      <w:r>
        <w:rPr>
          <w:rFonts w:hint="eastAsia" w:ascii="仿宋_GB2312" w:eastAsia="仿宋_GB2312"/>
          <w:color w:val="auto"/>
          <w:sz w:val="32"/>
          <w:szCs w:val="32"/>
        </w:rPr>
        <w:t>9.基本支出：指为保障机构正常运转、完成日常工作任务而</w:t>
      </w:r>
      <w:bookmarkEnd w:id="101"/>
      <w:bookmarkEnd w:id="102"/>
      <w:bookmarkEnd w:id="103"/>
    </w:p>
    <w:p>
      <w:pPr>
        <w:spacing w:line="600" w:lineRule="exact"/>
        <w:jc w:val="both"/>
        <w:outlineLvl w:val="0"/>
        <w:rPr>
          <w:rFonts w:hint="eastAsia" w:ascii="仿宋_GB2312" w:eastAsia="仿宋_GB2312"/>
          <w:color w:val="auto"/>
          <w:sz w:val="32"/>
          <w:szCs w:val="32"/>
        </w:rPr>
      </w:pPr>
      <w:bookmarkStart w:id="104" w:name="_Toc2623"/>
      <w:bookmarkStart w:id="105" w:name="_Toc1908"/>
      <w:bookmarkStart w:id="106" w:name="_Toc4186"/>
      <w:r>
        <w:rPr>
          <w:rFonts w:hint="eastAsia" w:ascii="仿宋_GB2312" w:eastAsia="仿宋_GB2312"/>
          <w:color w:val="auto"/>
          <w:sz w:val="32"/>
          <w:szCs w:val="32"/>
        </w:rPr>
        <w:t>发生的人员支出和公用支出。</w:t>
      </w:r>
      <w:bookmarkEnd w:id="104"/>
      <w:bookmarkEnd w:id="105"/>
      <w:bookmarkEnd w:id="106"/>
    </w:p>
    <w:p>
      <w:pPr>
        <w:spacing w:line="600" w:lineRule="exact"/>
        <w:jc w:val="center"/>
        <w:outlineLvl w:val="0"/>
        <w:rPr>
          <w:rFonts w:hint="eastAsia" w:ascii="仿宋_GB2312" w:eastAsia="仿宋_GB2312"/>
          <w:color w:val="auto"/>
          <w:sz w:val="32"/>
          <w:szCs w:val="32"/>
        </w:rPr>
      </w:pPr>
      <w:bookmarkStart w:id="107" w:name="_Toc27377"/>
      <w:bookmarkStart w:id="108" w:name="_Toc26501"/>
      <w:bookmarkStart w:id="109" w:name="_Toc9649"/>
      <w:r>
        <w:rPr>
          <w:rFonts w:hint="eastAsia" w:ascii="仿宋_GB2312" w:eastAsia="仿宋_GB2312"/>
          <w:color w:val="auto"/>
          <w:sz w:val="32"/>
          <w:szCs w:val="32"/>
        </w:rPr>
        <w:t>10.项目支出：指在基本支出之外为完成特定行政任务和事</w:t>
      </w:r>
      <w:bookmarkEnd w:id="107"/>
      <w:bookmarkEnd w:id="108"/>
      <w:bookmarkEnd w:id="109"/>
    </w:p>
    <w:p>
      <w:pPr>
        <w:spacing w:line="600" w:lineRule="exact"/>
        <w:jc w:val="both"/>
        <w:outlineLvl w:val="0"/>
        <w:rPr>
          <w:rFonts w:hint="eastAsia" w:ascii="仿宋_GB2312" w:eastAsia="仿宋_GB2312"/>
          <w:color w:val="auto"/>
          <w:sz w:val="32"/>
          <w:szCs w:val="32"/>
        </w:rPr>
      </w:pPr>
      <w:bookmarkStart w:id="110" w:name="_Toc19535"/>
      <w:bookmarkStart w:id="111" w:name="_Toc26892"/>
      <w:bookmarkStart w:id="112" w:name="_Toc30698"/>
      <w:r>
        <w:rPr>
          <w:rFonts w:hint="eastAsia" w:ascii="仿宋_GB2312" w:eastAsia="仿宋_GB2312"/>
          <w:color w:val="auto"/>
          <w:sz w:val="32"/>
          <w:szCs w:val="32"/>
        </w:rPr>
        <w:t>业发展目标所发生的支出。</w:t>
      </w:r>
      <w:bookmarkEnd w:id="110"/>
      <w:bookmarkEnd w:id="111"/>
      <w:bookmarkEnd w:id="112"/>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113" w:name="_Toc27678"/>
      <w:bookmarkStart w:id="114" w:name="_Toc21244"/>
      <w:bookmarkStart w:id="115" w:name="_Toc22739"/>
      <w:r>
        <w:rPr>
          <w:rFonts w:hint="eastAsia" w:ascii="仿宋_GB2312" w:eastAsia="仿宋_GB2312"/>
          <w:color w:val="auto"/>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113"/>
      <w:bookmarkEnd w:id="114"/>
      <w:bookmarkEnd w:id="115"/>
    </w:p>
    <w:p>
      <w:pPr>
        <w:spacing w:line="600" w:lineRule="exact"/>
        <w:jc w:val="both"/>
        <w:outlineLvl w:val="0"/>
        <w:rPr>
          <w:rFonts w:hint="eastAsia" w:ascii="仿宋_GB2312" w:eastAsia="仿宋_GB2312"/>
          <w:color w:val="auto"/>
          <w:sz w:val="32"/>
          <w:szCs w:val="32"/>
        </w:rPr>
      </w:pPr>
      <w:bookmarkStart w:id="116" w:name="_Toc11049"/>
      <w:bookmarkStart w:id="117" w:name="_Toc14809"/>
      <w:bookmarkStart w:id="118" w:name="_Toc1029"/>
      <w:r>
        <w:rPr>
          <w:rFonts w:hint="eastAsia" w:ascii="仿宋_GB2312" w:eastAsia="仿宋_GB2312"/>
          <w:color w:val="auto"/>
          <w:sz w:val="32"/>
          <w:szCs w:val="32"/>
        </w:rPr>
        <w:t>外宾接待）支出。</w:t>
      </w:r>
      <w:bookmarkEnd w:id="116"/>
      <w:bookmarkEnd w:id="117"/>
      <w:bookmarkEnd w:id="118"/>
    </w:p>
    <w:p>
      <w:pPr>
        <w:spacing w:line="600" w:lineRule="exact"/>
        <w:jc w:val="center"/>
        <w:outlineLvl w:val="0"/>
        <w:rPr>
          <w:rFonts w:hint="eastAsia" w:ascii="仿宋_GB2312" w:eastAsia="仿宋_GB2312"/>
          <w:color w:val="auto"/>
          <w:sz w:val="32"/>
          <w:szCs w:val="32"/>
        </w:rPr>
      </w:pPr>
      <w:bookmarkStart w:id="119" w:name="_Toc28505"/>
      <w:bookmarkStart w:id="120" w:name="_Toc13615"/>
      <w:bookmarkStart w:id="121" w:name="_Toc20693"/>
      <w:r>
        <w:rPr>
          <w:rFonts w:hint="eastAsia" w:ascii="仿宋_GB2312" w:eastAsia="仿宋_GB2312"/>
          <w:color w:val="auto"/>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19"/>
      <w:bookmarkEnd w:id="120"/>
      <w:bookmarkEnd w:id="121"/>
    </w:p>
    <w:p>
      <w:pPr>
        <w:spacing w:line="600" w:lineRule="exact"/>
        <w:jc w:val="both"/>
        <w:outlineLvl w:val="0"/>
        <w:rPr>
          <w:rFonts w:hint="eastAsia" w:ascii="仿宋_GB2312" w:eastAsia="仿宋_GB2312"/>
          <w:color w:val="auto"/>
          <w:sz w:val="32"/>
          <w:szCs w:val="32"/>
        </w:rPr>
      </w:pPr>
      <w:bookmarkStart w:id="122" w:name="_Toc20644"/>
      <w:bookmarkStart w:id="123" w:name="_Toc23183"/>
      <w:bookmarkStart w:id="124" w:name="_Toc19910"/>
      <w:r>
        <w:rPr>
          <w:rFonts w:hint="eastAsia" w:ascii="仿宋_GB2312" w:eastAsia="仿宋_GB2312"/>
          <w:color w:val="auto"/>
          <w:sz w:val="32"/>
          <w:szCs w:val="32"/>
        </w:rPr>
        <w:t>其他费用。</w:t>
      </w:r>
      <w:bookmarkEnd w:id="122"/>
      <w:bookmarkEnd w:id="123"/>
      <w:bookmarkEnd w:id="124"/>
    </w:p>
    <w:p>
      <w:pPr>
        <w:spacing w:line="600" w:lineRule="exact"/>
        <w:jc w:val="center"/>
        <w:outlineLvl w:val="0"/>
        <w:rPr>
          <w:rStyle w:val="20"/>
          <w:rFonts w:ascii="黑体" w:eastAsia="黑体"/>
          <w:b w:val="0"/>
        </w:rPr>
      </w:pPr>
      <w:r>
        <w:rPr>
          <w:rFonts w:ascii="宋体"/>
          <w:b/>
          <w:sz w:val="44"/>
          <w:szCs w:val="44"/>
        </w:rPr>
        <w:br w:type="page"/>
      </w:r>
      <w:bookmarkStart w:id="125" w:name="_Toc15396614"/>
      <w:bookmarkStart w:id="126" w:name="_Toc17629"/>
      <w:r>
        <w:rPr>
          <w:rFonts w:hint="eastAsia" w:ascii="黑体" w:eastAsia="黑体"/>
          <w:sz w:val="44"/>
          <w:szCs w:val="44"/>
        </w:rPr>
        <w:t>第</w:t>
      </w:r>
      <w:r>
        <w:rPr>
          <w:rStyle w:val="20"/>
          <w:rFonts w:hint="eastAsia" w:ascii="黑体" w:eastAsia="黑体"/>
          <w:b w:val="0"/>
        </w:rPr>
        <w:t>四部分 附件</w:t>
      </w:r>
      <w:bookmarkEnd w:id="125"/>
      <w:bookmarkEnd w:id="126"/>
    </w:p>
    <w:p>
      <w:pPr>
        <w:spacing w:line="572" w:lineRule="exact"/>
        <w:jc w:val="left"/>
        <w:outlineLvl w:val="0"/>
        <w:rPr>
          <w:rFonts w:ascii="方正小标宋简体" w:eastAsia="方正小标宋简体" w:cs="方正小标宋简体"/>
          <w:sz w:val="44"/>
          <w:szCs w:val="44"/>
        </w:rPr>
      </w:pPr>
      <w:bookmarkStart w:id="127" w:name="_Toc4715"/>
      <w:bookmarkStart w:id="128" w:name="_Toc31443"/>
      <w:r>
        <w:rPr>
          <w:rFonts w:hint="eastAsia" w:ascii="黑体" w:eastAsia="黑体" w:cs="黑体"/>
          <w:sz w:val="32"/>
          <w:szCs w:val="32"/>
        </w:rPr>
        <w:t>附件</w:t>
      </w:r>
      <w:bookmarkEnd w:id="127"/>
      <w:bookmarkEnd w:id="128"/>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红原县人民政府办公室</w:t>
      </w:r>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年部门</w:t>
      </w:r>
      <w:r>
        <w:rPr>
          <w:rFonts w:hint="eastAsia" w:ascii="方正小标宋简体" w:hAnsi="方正小标宋简体" w:eastAsia="方正小标宋简体" w:cs="方正小标宋简体"/>
          <w:sz w:val="44"/>
          <w:szCs w:val="44"/>
          <w:lang w:eastAsia="zh-CN"/>
        </w:rPr>
        <w:t>整体</w:t>
      </w:r>
      <w:r>
        <w:rPr>
          <w:rFonts w:hint="eastAsia" w:ascii="方正小标宋简体" w:hAnsi="方正小标宋简体" w:eastAsia="方正小标宋简体" w:cs="方正小标宋简体"/>
          <w:sz w:val="44"/>
          <w:szCs w:val="44"/>
        </w:rPr>
        <w:t>支出绩效报告</w:t>
      </w:r>
    </w:p>
    <w:p>
      <w:pPr>
        <w:widowControl/>
        <w:adjustRightInd w:val="0"/>
        <w:snapToGrid w:val="0"/>
        <w:spacing w:line="560" w:lineRule="exact"/>
        <w:contextualSpacing/>
        <w:jc w:val="left"/>
        <w:rPr>
          <w:rFonts w:hint="eastAsia" w:ascii="仿宋_GB2312" w:hAnsi="仿宋_GB2312" w:eastAsia="仿宋_GB2312" w:cs="仿宋_GB2312"/>
          <w:sz w:val="32"/>
          <w:szCs w:val="32"/>
          <w:lang w:val="en-US" w:eastAsia="zh-CN"/>
        </w:rPr>
      </w:pPr>
    </w:p>
    <w:p>
      <w:pPr>
        <w:widowControl/>
        <w:adjustRightInd w:val="0"/>
        <w:snapToGrid w:val="0"/>
        <w:spacing w:line="560" w:lineRule="exact"/>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rPr>
      </w:pPr>
      <w:r>
        <w:rPr>
          <w:rFonts w:hint="eastAsia" w:ascii="楷体_GB2312" w:hAnsi="楷体_GB2312" w:eastAsia="楷体_GB2312" w:cs="楷体_GB2312"/>
          <w:b w:val="0"/>
          <w:bCs w:val="0"/>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红原县人民政府办公室</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个，即：</w:t>
      </w:r>
      <w:r>
        <w:rPr>
          <w:rFonts w:hint="eastAsia" w:ascii="仿宋_GB2312" w:hAnsi="仿宋_GB2312" w:eastAsia="仿宋_GB2312" w:cs="仿宋_GB2312"/>
          <w:sz w:val="32"/>
          <w:szCs w:val="32"/>
          <w:lang w:eastAsia="zh-CN"/>
        </w:rPr>
        <w:t>综合股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秘书股、政务、信息督查办股、行政财务股（人事股）</w:t>
      </w:r>
      <w:r>
        <w:rPr>
          <w:rFonts w:hint="eastAsia" w:ascii="仿宋_GB2312" w:hAnsi="仿宋_GB2312" w:eastAsia="仿宋_GB2312" w:cs="仿宋_GB2312"/>
          <w:bCs/>
          <w:sz w:val="32"/>
          <w:szCs w:val="32"/>
          <w:lang w:eastAsia="zh-CN"/>
        </w:rPr>
        <w:t>综合办公室。</w:t>
      </w:r>
    </w:p>
    <w:p>
      <w:pPr>
        <w:ind w:firstLine="800" w:firstLineChars="250"/>
        <w:rPr>
          <w:rFonts w:hint="eastAsia" w:ascii="仿宋_GB2312" w:hAnsi="仿宋_GB2312" w:eastAsia="仿宋_GB2312" w:cs="仿宋_GB2312"/>
          <w:bCs/>
          <w:sz w:val="32"/>
          <w:szCs w:val="32"/>
          <w:lang w:eastAsia="zh-CN"/>
        </w:rPr>
      </w:pPr>
      <w:r>
        <w:rPr>
          <w:rFonts w:hint="eastAsia" w:ascii="仿宋" w:eastAsia="仿宋"/>
          <w:sz w:val="32"/>
          <w:szCs w:val="32"/>
        </w:rPr>
        <w:t>红原县人民政府办公室下属3个事业</w:t>
      </w:r>
      <w:r>
        <w:rPr>
          <w:rFonts w:hint="eastAsia" w:ascii="仿宋" w:eastAsia="仿宋"/>
          <w:sz w:val="32"/>
          <w:szCs w:val="32"/>
          <w:lang w:eastAsia="zh-CN"/>
        </w:rPr>
        <w:t>机构</w:t>
      </w:r>
      <w:r>
        <w:rPr>
          <w:rFonts w:hint="eastAsia" w:ascii="仿宋" w:eastAsia="仿宋"/>
          <w:sz w:val="32"/>
          <w:szCs w:val="32"/>
        </w:rPr>
        <w:t>，</w:t>
      </w:r>
      <w:r>
        <w:rPr>
          <w:rFonts w:hint="eastAsia" w:ascii="仿宋_GB2312" w:eastAsia="仿宋_GB2312"/>
          <w:sz w:val="32"/>
          <w:szCs w:val="32"/>
        </w:rPr>
        <w:t>分别是：红原县人民政府驻成都办事</w:t>
      </w:r>
      <w:r>
        <w:rPr>
          <w:rFonts w:hint="eastAsia" w:ascii="仿宋_GB2312" w:eastAsia="仿宋_GB2312"/>
          <w:sz w:val="32"/>
          <w:szCs w:val="32"/>
          <w:lang w:eastAsia="zh-CN"/>
        </w:rPr>
        <w:t>处</w:t>
      </w:r>
      <w:r>
        <w:rPr>
          <w:rFonts w:hint="eastAsia" w:ascii="仿宋_GB2312" w:eastAsia="仿宋_GB2312"/>
          <w:sz w:val="32"/>
          <w:szCs w:val="32"/>
        </w:rPr>
        <w:t>、</w:t>
      </w:r>
      <w:r>
        <w:rPr>
          <w:rFonts w:hint="eastAsia" w:ascii="仿宋_GB2312" w:eastAsia="仿宋_GB2312"/>
          <w:sz w:val="32"/>
          <w:szCs w:val="32"/>
          <w:lang w:eastAsia="zh-CN"/>
        </w:rPr>
        <w:t>国防动员事务中心</w:t>
      </w:r>
      <w:r>
        <w:rPr>
          <w:rFonts w:hint="eastAsia" w:ascii="仿宋_GB2312" w:eastAsia="仿宋_GB2312"/>
          <w:sz w:val="32"/>
          <w:szCs w:val="32"/>
        </w:rPr>
        <w:t>、信息公开工作中心</w:t>
      </w:r>
      <w:r>
        <w:rPr>
          <w:rFonts w:hint="eastAsia" w:ascii="仿宋_GB2312" w:hAnsi="仿宋_GB2312" w:eastAsia="仿宋_GB2312" w:cs="仿宋_GB2312"/>
          <w:bCs/>
          <w:sz w:val="32"/>
          <w:szCs w:val="32"/>
          <w:lang w:eastAsia="zh-CN"/>
        </w:rPr>
        <w:t>（股级事业单位）</w:t>
      </w:r>
      <w:r>
        <w:rPr>
          <w:rFonts w:hint="eastAsia" w:eastAsia="仿宋_GB2312" w:asciiTheme="minorHAnsi" w:hAnsiTheme="minorHAnsi"/>
          <w:sz w:val="32"/>
          <w:szCs w:val="32"/>
        </w:rPr>
        <w:t>。</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bCs/>
          <w:sz w:val="32"/>
          <w:szCs w:val="32"/>
          <w:lang w:val="zh-CN" w:eastAsia="zh-CN"/>
        </w:rPr>
      </w:pPr>
      <w:r>
        <w:rPr>
          <w:rFonts w:hint="eastAsia" w:ascii="楷体_GB2312" w:hAnsi="楷体_GB2312" w:eastAsia="楷体_GB2312" w:cs="楷体_GB2312"/>
          <w:b w:val="0"/>
          <w:bCs w:val="0"/>
          <w:color w:val="000000"/>
          <w:kern w:val="0"/>
          <w:sz w:val="32"/>
          <w:szCs w:val="32"/>
          <w:lang w:val="zh-CN"/>
        </w:rPr>
        <w:t>（二）机构职能。</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1、</w:t>
      </w:r>
      <w:r>
        <w:rPr>
          <w:rFonts w:hint="eastAsia" w:ascii="楷体_GB2312" w:hAnsi="楷体_GB2312" w:eastAsia="楷体_GB2312"/>
          <w:b/>
          <w:spacing w:val="0"/>
          <w:sz w:val="32"/>
          <w:szCs w:val="32"/>
        </w:rPr>
        <w:t>综合股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办理文电收发、运转，县政府和县政府办公室印鉴管理，公文印制、文字校对，机关保密、机要、值班、内外联络；负责机关档案立卷归档、管理和利用；协助办公室领导组织协助机关日常工作；负责县政府全体会议、常务会议、县长办公会议和县长专题会议的会务工作；负责县政府各类活动的服务工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2、</w:t>
      </w:r>
      <w:r>
        <w:rPr>
          <w:rFonts w:hint="eastAsia" w:ascii="楷体_GB2312" w:hAnsi="楷体_GB2312" w:eastAsia="楷体_GB2312"/>
          <w:b/>
          <w:spacing w:val="0"/>
          <w:sz w:val="32"/>
          <w:szCs w:val="32"/>
        </w:rPr>
        <w:t>秘书股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起草县政府及办公室的综合性文稿；协助县政府领导搞好调查研究，起草讲话稿、调查报告和文、电、函;组织、协调、督促、办理涉及政府工作的人大代表议案、建议、批评和政协委员提案、建议案；负责县政府志、年鉴的编辑工作；搞好县政府领导服务工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3、</w:t>
      </w:r>
      <w:r>
        <w:rPr>
          <w:rFonts w:hint="eastAsia" w:ascii="楷体_GB2312" w:hAnsi="楷体_GB2312" w:eastAsia="楷体_GB2312"/>
          <w:b/>
          <w:spacing w:val="0"/>
          <w:sz w:val="32"/>
          <w:szCs w:val="32"/>
        </w:rPr>
        <w:t>政务、信息督查督办股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政务督察督办工作；负责县政府及办公室的目标管理工作；协调、指导全县政府系统目标管理工作；指导全县政府系统政务信息工作，负责全县政务信息的收集、整理、编辑，向州政府办公室报送信息；负责推进、指导、协调、监督全县政府信息公开工作；指导、监督全县政府系统电子政务工作和政府网站建设；负责县政府机关电子政务的规划、建设、技术与安全保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4、</w:t>
      </w:r>
      <w:r>
        <w:rPr>
          <w:rFonts w:hint="eastAsia" w:ascii="楷体_GB2312" w:hAnsi="楷体_GB2312" w:eastAsia="楷体_GB2312"/>
          <w:b/>
          <w:spacing w:val="0"/>
          <w:sz w:val="32"/>
          <w:szCs w:val="32"/>
        </w:rPr>
        <w:t>行政财务股（人事股）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机关、直属机构的人事管理、机构编制和教育培训工作；负责机关和直属机构离退休人员工作；负责县政府领导的服务事务和机关后勤管理工作；负责机关和直属单位财务管理工作；负责县政府办公室固定资产管理工作。</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（三）人员概况。</w:t>
      </w:r>
    </w:p>
    <w:p>
      <w:pPr>
        <w:ind w:firstLine="800" w:firstLineChars="250"/>
        <w:rPr>
          <w:rFonts w:hint="eastAsia"/>
          <w:sz w:val="32"/>
          <w:szCs w:val="32"/>
        </w:rPr>
      </w:pPr>
      <w:r>
        <w:rPr>
          <w:rFonts w:hint="eastAsia" w:ascii="仿宋_GB2312" w:hAnsi="仿宋_GB2312" w:eastAsia="仿宋_GB2312" w:cs="仿宋_GB2312"/>
          <w:bCs/>
          <w:sz w:val="32"/>
          <w:szCs w:val="32"/>
          <w:lang w:val="zh-CN" w:eastAsia="zh-CN"/>
        </w:rPr>
        <w:t>本单位截止</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13人，同比去年减少1人，主要变动原因是人员调出</w:t>
      </w:r>
      <w:r>
        <w:rPr>
          <w:rFonts w:hint="eastAsia" w:ascii="仿宋_GB2312" w:hAnsi="仿宋_GB2312" w:eastAsia="仿宋_GB2312" w:cs="仿宋_GB2312"/>
          <w:sz w:val="32"/>
          <w:szCs w:val="32"/>
        </w:rPr>
        <w:t>。</w:t>
      </w:r>
    </w:p>
    <w:p>
      <w:pPr>
        <w:widowControl/>
        <w:adjustRightInd w:val="0"/>
        <w:snapToGrid w:val="0"/>
        <w:spacing w:line="560" w:lineRule="exact"/>
        <w:contextualSpacing/>
        <w:jc w:val="left"/>
        <w:rPr>
          <w:rFonts w:hint="eastAsia" w:ascii="黑体" w:hAnsi="宋体" w:eastAsia="黑体" w:cs="宋体"/>
          <w:color w:val="000000"/>
          <w:kern w:val="0"/>
          <w:sz w:val="32"/>
          <w:szCs w:val="32"/>
          <w:shd w:val="clear" w:color="auto" w:fill="FFFFFF"/>
          <w:lang w:eastAsia="zh-CN"/>
        </w:rPr>
      </w:pPr>
      <w:r>
        <w:rPr>
          <w:rFonts w:hint="eastAsia" w:ascii="黑体" w:hAnsi="宋体" w:eastAsia="黑体" w:cs="宋体"/>
          <w:color w:val="000000"/>
          <w:kern w:val="0"/>
          <w:sz w:val="32"/>
          <w:szCs w:val="32"/>
          <w:shd w:val="clear" w:color="auto" w:fill="FFFFFF"/>
          <w:lang w:eastAsia="zh-CN"/>
        </w:rPr>
        <w:t>二、部门财政资金收支情况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（一）部门财政资金收入情况</w:t>
      </w:r>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1726.27万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一般公共服务支出1442.18万元，主要为人员工资、体检费、工伤失业保险、会议费、差旅费、印刷费、培训费、公务用车运行维护费等；社会保障和就业支出148.51万元，主要为单位部分各项保险；医疗卫生与计划生育支出61.65万元，全部为单位部分医疗保险、公务员医疗补助；住房保障支出73.92万元，全部为单位部分住房公积金）。</w:t>
      </w:r>
      <w:r>
        <w:rPr>
          <w:rFonts w:hint="eastAsia" w:ascii="仿宋_GB2312" w:hAnsi="仿宋_GB2312" w:eastAsia="仿宋_GB2312" w:cs="仿宋_GB2312"/>
          <w:bCs/>
          <w:sz w:val="32"/>
          <w:szCs w:val="32"/>
          <w:lang w:eastAsia="zh-CN"/>
        </w:rPr>
        <w:t>与20</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lang w:eastAsia="zh-CN"/>
        </w:rPr>
        <w:t>年相比，收入增加了</w:t>
      </w:r>
      <w:r>
        <w:rPr>
          <w:rFonts w:hint="eastAsia" w:ascii="仿宋_GB2312" w:hAnsi="仿宋_GB2312" w:eastAsia="仿宋_GB2312" w:cs="仿宋_GB2312"/>
          <w:bCs/>
          <w:sz w:val="32"/>
          <w:szCs w:val="32"/>
          <w:lang w:val="en-US" w:eastAsia="zh-CN"/>
        </w:rPr>
        <w:t>198.99</w:t>
      </w:r>
      <w:r>
        <w:rPr>
          <w:rFonts w:hint="eastAsia" w:ascii="仿宋_GB2312" w:hAnsi="仿宋_GB2312" w:eastAsia="仿宋_GB2312" w:cs="仿宋_GB2312"/>
          <w:bCs/>
          <w:sz w:val="32"/>
          <w:szCs w:val="32"/>
          <w:lang w:eastAsia="zh-CN"/>
        </w:rPr>
        <w:t>万元，增加了</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lang w:eastAsia="zh-CN"/>
        </w:rPr>
        <w:t>，主要变动原因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2023年我办购买高速复核速印机一台28.74万元；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2023年我办周转房购买热水器、冰箱0.48万元</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新增驻容办代管资金12.35万元，2022年无该支出。</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：艰边增发工资调整、人员变动22万元，新参加工作2人工资及保险。</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（二）部门财政资金支出情况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年度财政拨款支出</w:t>
      </w:r>
      <w:r>
        <w:rPr>
          <w:rFonts w:hint="eastAsia" w:ascii="仿宋_GB2312" w:hAnsi="仿宋_GB2312" w:eastAsia="仿宋_GB2312" w:cs="仿宋_GB2312"/>
          <w:bCs/>
          <w:sz w:val="32"/>
          <w:szCs w:val="32"/>
          <w:lang w:val="en-US" w:eastAsia="zh-CN"/>
        </w:rPr>
        <w:t>1726.27万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与20</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lang w:eastAsia="zh-CN"/>
        </w:rPr>
        <w:t>年相比，支出增加了</w:t>
      </w:r>
      <w:r>
        <w:rPr>
          <w:rFonts w:hint="eastAsia" w:ascii="仿宋_GB2312" w:hAnsi="仿宋_GB2312" w:eastAsia="仿宋_GB2312" w:cs="仿宋_GB2312"/>
          <w:bCs/>
          <w:sz w:val="32"/>
          <w:szCs w:val="32"/>
          <w:lang w:val="en-US" w:eastAsia="zh-CN"/>
        </w:rPr>
        <w:t>198.99</w:t>
      </w:r>
      <w:r>
        <w:rPr>
          <w:rFonts w:hint="eastAsia" w:ascii="仿宋_GB2312" w:hAnsi="仿宋_GB2312" w:eastAsia="仿宋_GB2312" w:cs="仿宋_GB2312"/>
          <w:bCs/>
          <w:sz w:val="32"/>
          <w:szCs w:val="32"/>
          <w:lang w:eastAsia="zh-CN"/>
        </w:rPr>
        <w:t>万元，增加了</w:t>
      </w:r>
      <w:r>
        <w:rPr>
          <w:rFonts w:hint="eastAsia" w:ascii="仿宋_GB2312" w:hAnsi="仿宋_GB2312" w:eastAsia="仿宋_GB2312" w:cs="仿宋_GB2312"/>
          <w:bCs/>
          <w:sz w:val="32"/>
          <w:szCs w:val="32"/>
          <w:lang w:val="en-US" w:eastAsia="zh-CN"/>
        </w:rPr>
        <w:t>6.47%</w:t>
      </w:r>
      <w:r>
        <w:rPr>
          <w:rFonts w:hint="eastAsia" w:ascii="仿宋_GB2312" w:hAnsi="仿宋_GB2312" w:eastAsia="仿宋_GB2312" w:cs="仿宋_GB2312"/>
          <w:bCs/>
          <w:sz w:val="32"/>
          <w:szCs w:val="32"/>
          <w:lang w:eastAsia="zh-CN"/>
        </w:rPr>
        <w:t>，主要变动原因新购资产、人员变动、代管驻容办资金、代管绵阳、浙江援建资金。</w:t>
      </w:r>
      <w:r>
        <w:rPr>
          <w:rFonts w:hint="eastAsia" w:ascii="仿宋_GB2312" w:hAnsi="仿宋_GB2312" w:eastAsia="仿宋_GB2312" w:cs="仿宋_GB2312"/>
          <w:bCs/>
          <w:sz w:val="32"/>
          <w:szCs w:val="32"/>
          <w:lang w:val="en-US" w:eastAsia="zh-CN"/>
        </w:rPr>
        <w:t>其中：一般公共服务支出1442.18万元，主要为人员工资、体检费、工伤失业保险、会议费、差旅费、印刷费、培训费、公务用车运行维护费等；社会保障和就业支出148.51万元，主要为单位部分各项保险；医疗卫生与计划生育支出61.65万元，全部为单位部分医疗保险、公务员医疗补助；住房保障支出73.92万元，全部为单位部分住房公积金</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红原县人民政府办公室预算编制严格按照《预算法》相关规定，结合全县预算编制口径，结合我单位实际情况编制，主要用于保障我单位正常运转、完成日常工作任务以及红原县依法治县发展等相关工作而编制，预算编制目标明确。其中根据我单位职能职责编制三项专项部门预算，一是政府专项办公费预算，主要用于补充我单位开展日常工作产生的办公费、差旅费、油费等，</w:t>
      </w:r>
      <w:r>
        <w:rPr>
          <w:rFonts w:hint="eastAsia" w:ascii="仿宋_GB2312" w:hAnsi="仿宋_GB2312" w:eastAsia="仿宋_GB2312" w:cs="仿宋_GB2312"/>
          <w:bCs/>
          <w:sz w:val="32"/>
          <w:szCs w:val="32"/>
          <w:lang w:val="en-US" w:eastAsia="zh-CN"/>
        </w:rPr>
        <w:t>2023年初预算244.9万元，年底执行243.15万元，执行率98.9%；</w:t>
      </w:r>
      <w:r>
        <w:rPr>
          <w:rFonts w:hint="eastAsia" w:ascii="仿宋_GB2312" w:hAnsi="仿宋_GB2312" w:eastAsia="仿宋_GB2312" w:cs="仿宋_GB2312"/>
          <w:bCs/>
          <w:sz w:val="32"/>
          <w:szCs w:val="32"/>
          <w:lang w:val="zh-CN" w:eastAsia="zh-CN"/>
        </w:rPr>
        <w:t>二是全县政务外网运行维护费，主要用于我县政务外网的正常运行</w:t>
      </w:r>
      <w:r>
        <w:rPr>
          <w:rFonts w:hint="eastAsia" w:ascii="仿宋_GB2312" w:hAnsi="仿宋_GB2312" w:eastAsia="仿宋_GB2312" w:cs="仿宋_GB2312"/>
          <w:bCs/>
          <w:sz w:val="32"/>
          <w:szCs w:val="32"/>
          <w:lang w:val="en-US" w:eastAsia="zh-CN"/>
        </w:rPr>
        <w:t>2023年初预算49万元，年底执行49万元，执行率100%。三是驻容办公用经费，主要用于驻容办的日常工作运转经费开支的差旅费，办公费及公务用车运行维护费等开支</w:t>
      </w: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2023年初预算12.35万元，中途调剂9.71万元，年底执行12.27万元，执行率99.35%。该三项经费</w:t>
      </w:r>
      <w:r>
        <w:rPr>
          <w:rFonts w:hint="eastAsia" w:ascii="仿宋_GB2312" w:hAnsi="仿宋_GB2312" w:eastAsia="仿宋_GB2312" w:cs="仿宋_GB2312"/>
          <w:bCs/>
          <w:sz w:val="32"/>
          <w:szCs w:val="32"/>
          <w:lang w:val="zh-CN" w:eastAsia="zh-CN"/>
        </w:rPr>
        <w:t>我办均严格按照专项经费开支范围审核拨付资金。</w:t>
      </w:r>
      <w:r>
        <w:rPr>
          <w:rFonts w:hint="eastAsia" w:ascii="仿宋_GB2312" w:hAnsi="仿宋_GB2312" w:eastAsia="仿宋_GB2312" w:cs="仿宋_GB2312"/>
          <w:bCs/>
          <w:sz w:val="32"/>
          <w:szCs w:val="32"/>
          <w:lang w:val="en-US" w:eastAsia="zh-CN"/>
        </w:rPr>
        <w:t>2023年我办预算支出无违规记录。</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zh-CN" w:eastAsia="zh-CN"/>
        </w:rPr>
        <w:t>年绩效目标执行率</w:t>
      </w:r>
      <w:r>
        <w:rPr>
          <w:rFonts w:hint="eastAsia" w:ascii="仿宋_GB2312" w:hAnsi="仿宋_GB2312" w:eastAsia="仿宋_GB2312" w:cs="仿宋_GB2312"/>
          <w:bCs/>
          <w:sz w:val="32"/>
          <w:szCs w:val="32"/>
          <w:lang w:val="en-US" w:eastAsia="zh-CN"/>
        </w:rPr>
        <w:t>均达88</w:t>
      </w:r>
      <w:r>
        <w:rPr>
          <w:rFonts w:hint="eastAsia" w:ascii="仿宋_GB2312" w:hAnsi="仿宋_GB2312" w:eastAsia="仿宋_GB2312" w:cs="仿宋_GB2312"/>
          <w:bCs/>
          <w:sz w:val="32"/>
          <w:szCs w:val="32"/>
          <w:lang w:val="zh-CN" w:eastAsia="zh-CN"/>
        </w:rPr>
        <w:t>%及以上完成度较好，202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zh-CN" w:eastAsia="zh-CN"/>
        </w:rPr>
        <w:t>年我单位及时公开部门预算，绩效报告等，对预算编制进一步细化。</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（二）三公经费执行管理情况。</w:t>
      </w:r>
      <w:r>
        <w:rPr>
          <w:rFonts w:hint="eastAsia" w:ascii="楷体_GB2312" w:hAnsi="楷体_GB2312" w:eastAsia="楷体_GB2312" w:cs="楷体_GB2312"/>
          <w:b w:val="0"/>
          <w:bCs w:val="0"/>
          <w:color w:val="000000"/>
          <w:kern w:val="0"/>
          <w:sz w:val="32"/>
          <w:szCs w:val="32"/>
          <w:lang w:val="zh-CN" w:eastAsia="zh-CN"/>
        </w:rPr>
        <w:tab/>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1.因公出国(境)经费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年因公出国(境)费</w:t>
      </w:r>
      <w:r>
        <w:rPr>
          <w:rFonts w:hint="eastAsia" w:ascii="仿宋_GB2312" w:hAnsi="仿宋_GB2312" w:eastAsia="仿宋_GB2312" w:cs="仿宋_GB2312"/>
          <w:bCs/>
          <w:sz w:val="32"/>
          <w:szCs w:val="32"/>
          <w:lang w:val="en-US" w:eastAsia="zh-CN"/>
        </w:rPr>
        <w:t>0.00</w:t>
      </w:r>
      <w:r>
        <w:rPr>
          <w:rFonts w:hint="eastAsia" w:ascii="仿宋_GB2312" w:hAnsi="仿宋_GB2312" w:eastAsia="仿宋_GB2312" w:cs="仿宋_GB2312"/>
          <w:bCs/>
          <w:sz w:val="32"/>
          <w:szCs w:val="32"/>
          <w:lang w:eastAsia="zh-CN"/>
        </w:rPr>
        <w:t xml:space="preserve">元，因公出国(境) </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人，与上年持平。</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2.公务接待费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年公务接待费</w:t>
      </w:r>
      <w:r>
        <w:rPr>
          <w:rFonts w:hint="eastAsia" w:ascii="仿宋_GB2312" w:hAnsi="仿宋_GB2312" w:eastAsia="仿宋_GB2312" w:cs="仿宋_GB2312"/>
          <w:bCs/>
          <w:sz w:val="32"/>
          <w:szCs w:val="32"/>
          <w:lang w:val="en-US" w:eastAsia="zh-CN"/>
        </w:rPr>
        <w:t>0.52万</w:t>
      </w:r>
      <w:r>
        <w:rPr>
          <w:rFonts w:hint="eastAsia" w:ascii="仿宋_GB2312" w:hAnsi="仿宋_GB2312" w:eastAsia="仿宋_GB2312" w:cs="仿宋_GB2312"/>
          <w:bCs/>
          <w:sz w:val="32"/>
          <w:szCs w:val="32"/>
          <w:lang w:eastAsia="zh-CN"/>
        </w:rPr>
        <w:t>元。公务接待费支出决算比</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年决算增加</w:t>
      </w:r>
      <w:r>
        <w:rPr>
          <w:rFonts w:hint="eastAsia" w:ascii="仿宋_GB2312" w:hAnsi="仿宋_GB2312" w:eastAsia="仿宋_GB2312" w:cs="仿宋_GB2312"/>
          <w:bCs/>
          <w:sz w:val="32"/>
          <w:szCs w:val="32"/>
          <w:lang w:val="en-US" w:eastAsia="zh-CN"/>
        </w:rPr>
        <w:t>0.14</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主要原因为22年厉性节约及疫情静态等影响减少了县与县之间的交流调研，2023年疫情放开县与县之间交流学习增加。后续年度我们将严格执行“八项规定、六项禁令”，结合年度工作需要，减少不必要的开支，严格审批管理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3.公务用车购置及运行维护费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年公务用车购置及运行维护费</w:t>
      </w:r>
      <w:r>
        <w:rPr>
          <w:rFonts w:hint="eastAsia" w:ascii="仿宋_GB2312" w:hAnsi="仿宋_GB2312" w:eastAsia="仿宋_GB2312" w:cs="仿宋_GB2312"/>
          <w:bCs/>
          <w:sz w:val="32"/>
          <w:szCs w:val="32"/>
          <w:lang w:val="en-US" w:eastAsia="zh-CN"/>
        </w:rPr>
        <w:t>154.71万</w:t>
      </w:r>
      <w:r>
        <w:rPr>
          <w:rFonts w:hint="eastAsia" w:ascii="仿宋_GB2312" w:hAnsi="仿宋_GB2312" w:eastAsia="仿宋_GB2312" w:cs="仿宋_GB2312"/>
          <w:bCs/>
          <w:sz w:val="32"/>
          <w:szCs w:val="32"/>
          <w:lang w:eastAsia="zh-CN"/>
        </w:rPr>
        <w:t>元。其中：</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公务用车购置支出</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元（含税）。</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公务用车运行维护费支出</w:t>
      </w:r>
      <w:r>
        <w:rPr>
          <w:rFonts w:hint="eastAsia" w:ascii="仿宋_GB2312" w:hAnsi="仿宋_GB2312" w:eastAsia="仿宋_GB2312" w:cs="仿宋_GB2312"/>
          <w:bCs/>
          <w:sz w:val="32"/>
          <w:szCs w:val="32"/>
          <w:lang w:val="en-US" w:eastAsia="zh-CN"/>
        </w:rPr>
        <w:t>154.71万</w:t>
      </w:r>
      <w:r>
        <w:rPr>
          <w:rFonts w:hint="eastAsia" w:ascii="仿宋_GB2312" w:hAnsi="仿宋_GB2312" w:eastAsia="仿宋_GB2312" w:cs="仿宋_GB2312"/>
          <w:bCs/>
          <w:sz w:val="32"/>
          <w:szCs w:val="32"/>
          <w:lang w:eastAsia="zh-CN"/>
        </w:rPr>
        <w:t>元。主要用于政府机关因公出差、下乡调研等所需的公务用车燃料费、维修费、过路过桥费、保险费等支出。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公务用车购置及运行维护费支出</w:t>
      </w:r>
      <w:r>
        <w:rPr>
          <w:rFonts w:hint="eastAsia" w:ascii="仿宋_GB2312" w:hAnsi="仿宋_GB2312" w:eastAsia="仿宋_GB2312" w:cs="仿宋_GB2312"/>
          <w:bCs/>
          <w:sz w:val="32"/>
          <w:szCs w:val="32"/>
          <w:lang w:val="en-US" w:eastAsia="zh-CN"/>
        </w:rPr>
        <w:t>154.71</w:t>
      </w:r>
      <w:r>
        <w:rPr>
          <w:rFonts w:hint="eastAsia" w:ascii="仿宋_GB2312" w:hAnsi="仿宋_GB2312" w:eastAsia="仿宋_GB2312" w:cs="仿宋_GB2312"/>
          <w:bCs/>
          <w:sz w:val="32"/>
          <w:szCs w:val="32"/>
          <w:lang w:eastAsia="zh-CN"/>
        </w:rPr>
        <w:t>万元,完成预算</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eastAsia="zh-CN"/>
        </w:rPr>
        <w:t>%。公务用车购置及运行维护费支出决算比</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年增加</w:t>
      </w:r>
      <w:r>
        <w:rPr>
          <w:rFonts w:hint="eastAsia" w:ascii="仿宋_GB2312" w:hAnsi="仿宋_GB2312" w:eastAsia="仿宋_GB2312" w:cs="仿宋_GB2312"/>
          <w:bCs/>
          <w:sz w:val="32"/>
          <w:szCs w:val="32"/>
          <w:lang w:val="en-US" w:eastAsia="zh-CN"/>
        </w:rPr>
        <w:t>4.48</w:t>
      </w:r>
      <w:r>
        <w:rPr>
          <w:rFonts w:hint="eastAsia" w:ascii="仿宋_GB2312" w:hAnsi="仿宋_GB2312" w:eastAsia="仿宋_GB2312" w:cs="仿宋_GB2312"/>
          <w:bCs/>
          <w:sz w:val="32"/>
          <w:szCs w:val="32"/>
          <w:lang w:eastAsia="zh-CN"/>
        </w:rPr>
        <w:t>万元，增加</w:t>
      </w:r>
      <w:r>
        <w:rPr>
          <w:rFonts w:hint="eastAsia" w:ascii="仿宋_GB2312" w:hAnsi="仿宋_GB2312" w:eastAsia="仿宋_GB2312" w:cs="仿宋_GB2312"/>
          <w:bCs/>
          <w:sz w:val="32"/>
          <w:szCs w:val="32"/>
          <w:lang w:val="en-US" w:eastAsia="zh-CN"/>
        </w:rPr>
        <w:t>2.98%</w:t>
      </w:r>
      <w:r>
        <w:rPr>
          <w:rFonts w:hint="eastAsia" w:ascii="仿宋_GB2312" w:hAnsi="仿宋_GB2312" w:eastAsia="仿宋_GB2312" w:cs="仿宋_GB2312"/>
          <w:bCs/>
          <w:sz w:val="32"/>
          <w:szCs w:val="32"/>
          <w:lang w:eastAsia="zh-CN"/>
        </w:rPr>
        <w:t>。主要原因是</w:t>
      </w:r>
      <w:r>
        <w:rPr>
          <w:rFonts w:hint="eastAsia" w:ascii="仿宋_GB2312" w:hAnsi="仿宋_GB2312" w:eastAsia="仿宋_GB2312" w:cs="仿宋_GB2312"/>
          <w:bCs/>
          <w:sz w:val="32"/>
          <w:szCs w:val="32"/>
          <w:lang w:val="en-US" w:eastAsia="zh-CN"/>
        </w:rPr>
        <w:t>新增驻驻容办的轿车开支。</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（三）综合管理情况。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会计法》、《新预算法》、《行政事业单位政府会计制度》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资产管理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单位内控管理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在财务管理过程中逐步建立健全财务管理制度、财务核算制度、财务报销制度等，严格按照</w:t>
      </w:r>
      <w:r>
        <w:rPr>
          <w:rFonts w:hint="eastAsia" w:ascii="仿宋_GB2312" w:hAnsi="仿宋_GB2312" w:eastAsia="仿宋_GB2312" w:cs="仿宋_GB2312"/>
          <w:bCs/>
          <w:sz w:val="32"/>
          <w:szCs w:val="32"/>
          <w:lang w:val="en-US" w:eastAsia="zh-CN"/>
        </w:rPr>
        <w:t>《行政事业单位政府会计制度》</w:t>
      </w:r>
      <w:r>
        <w:rPr>
          <w:rFonts w:hint="eastAsia" w:ascii="仿宋_GB2312" w:hAnsi="仿宋_GB2312" w:eastAsia="仿宋_GB2312" w:cs="仿宋_GB2312"/>
          <w:bCs/>
          <w:sz w:val="32"/>
          <w:szCs w:val="32"/>
          <w:lang w:eastAsia="zh-CN"/>
        </w:rPr>
        <w:t>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绩效管理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（2）严格执行支出预算，“三公经费”本着节约、高效的原则严格控制支出。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（四）整体绩效。</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通过整体绩效自评，反映本部门能按照人大相关职责要求有效履行职责，圆满完成了人大各项工作任务，绩效评价结果为优，各级人大代表及相关部门等对县人大办的各项工作满意度较高。</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（五）结果应用情况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2023年我单位从收支执行，三公经费管理，预算管理，绩效管理等方面进行了详尽</w:t>
      </w:r>
      <w:r>
        <w:rPr>
          <w:rFonts w:hint="eastAsia" w:ascii="仿宋_GB2312" w:hAnsi="仿宋_GB2312" w:eastAsia="仿宋_GB2312" w:cs="仿宋_GB2312"/>
          <w:bCs/>
          <w:sz w:val="32"/>
          <w:szCs w:val="32"/>
          <w:lang w:val="zh-CN" w:eastAsia="zh-CN"/>
        </w:rPr>
        <w:t>部门自评、</w:t>
      </w:r>
      <w:r>
        <w:rPr>
          <w:rFonts w:hint="eastAsia" w:ascii="仿宋_GB2312" w:hAnsi="仿宋_GB2312" w:eastAsia="仿宋_GB2312" w:cs="仿宋_GB2312"/>
          <w:bCs/>
          <w:sz w:val="32"/>
          <w:szCs w:val="32"/>
          <w:lang w:val="en-US" w:eastAsia="zh-CN"/>
        </w:rPr>
        <w:t>2023年预算绩效目标，项目预算绩效目标等均进行了公开，评价结果较好，对部门预算编制不够精准细化的问题将在后续工作中将逐步改进。</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根据《红原县部门支出绩效评价指标体系》自查得分95分，总体评价较好。</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存在的问题:在平时工作推进过程中，还应加强绩效管理，进一步细化管理，预算编制还需更加精准。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改进建议。</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2.规范账务处理，提高财务信息质量。</w:t>
      </w:r>
    </w:p>
    <w:p>
      <w:pPr>
        <w:widowControl/>
        <w:jc w:val="left"/>
        <w:rPr>
          <w:rStyle w:val="20"/>
          <w:rFonts w:ascii="黑体" w:eastAsia="黑体"/>
          <w:b w:val="0"/>
        </w:rPr>
      </w:pPr>
      <w:r>
        <w:rPr>
          <w:rStyle w:val="20"/>
          <w:rFonts w:ascii="黑体" w:eastAsia="黑体"/>
          <w:b w:val="0"/>
        </w:rPr>
        <w:br w:type="page"/>
      </w:r>
    </w:p>
    <w:p>
      <w:pPr>
        <w:spacing w:line="600" w:lineRule="exact"/>
        <w:jc w:val="center"/>
        <w:outlineLvl w:val="0"/>
        <w:rPr>
          <w:rFonts w:ascii="仿宋" w:eastAsia="仿宋"/>
        </w:rPr>
      </w:pPr>
      <w:bookmarkStart w:id="129" w:name="_Toc20539"/>
      <w:bookmarkStart w:id="130" w:name="_Toc15396618"/>
      <w:r>
        <w:rPr>
          <w:rFonts w:hint="eastAsia" w:ascii="黑体" w:eastAsia="黑体"/>
          <w:sz w:val="44"/>
          <w:szCs w:val="44"/>
        </w:rPr>
        <w:t>第</w:t>
      </w:r>
      <w:r>
        <w:rPr>
          <w:rStyle w:val="20"/>
          <w:rFonts w:hint="eastAsia" w:ascii="黑体" w:eastAsia="黑体"/>
          <w:b w:val="0"/>
        </w:rPr>
        <w:t>五部分 附表</w:t>
      </w:r>
      <w:bookmarkEnd w:id="70"/>
      <w:bookmarkEnd w:id="129"/>
      <w:bookmarkEnd w:id="130"/>
      <w:bookmarkStart w:id="131" w:name="_Toc15396619"/>
    </w:p>
    <w:p>
      <w:pPr>
        <w:pStyle w:val="3"/>
        <w:rPr>
          <w:rFonts w:ascii="仿宋" w:eastAsia="仿宋"/>
        </w:rPr>
      </w:pPr>
      <w:bookmarkStart w:id="132" w:name="_Toc7114"/>
      <w:bookmarkStart w:id="133" w:name="_Toc9836"/>
      <w:bookmarkStart w:id="134" w:name="_Toc7319"/>
      <w:r>
        <w:rPr>
          <w:rFonts w:hint="eastAsia" w:ascii="仿宋" w:eastAsia="仿宋"/>
          <w:b w:val="0"/>
        </w:rPr>
        <w:t>一、收</w:t>
      </w:r>
      <w:r>
        <w:rPr>
          <w:rStyle w:val="21"/>
          <w:rFonts w:hint="eastAsia" w:ascii="仿宋" w:eastAsia="仿宋"/>
          <w:b w:val="0"/>
          <w:bCs w:val="0"/>
        </w:rPr>
        <w:t>入支出决算总表</w:t>
      </w:r>
      <w:bookmarkEnd w:id="131"/>
      <w:bookmarkEnd w:id="132"/>
      <w:bookmarkEnd w:id="133"/>
      <w:bookmarkEnd w:id="134"/>
    </w:p>
    <w:p>
      <w:pPr>
        <w:pStyle w:val="3"/>
        <w:rPr>
          <w:rFonts w:ascii="仿宋" w:eastAsia="仿宋"/>
        </w:rPr>
      </w:pPr>
      <w:bookmarkStart w:id="135" w:name="_Toc15396620"/>
      <w:bookmarkStart w:id="136" w:name="_Toc31850"/>
      <w:bookmarkStart w:id="137" w:name="_Toc5275"/>
      <w:bookmarkStart w:id="138" w:name="_Toc31354"/>
      <w:r>
        <w:rPr>
          <w:rFonts w:hint="eastAsia" w:ascii="仿宋" w:eastAsia="仿宋"/>
          <w:b w:val="0"/>
        </w:rPr>
        <w:t>二、收</w:t>
      </w:r>
      <w:r>
        <w:rPr>
          <w:rStyle w:val="21"/>
          <w:rFonts w:hint="eastAsia" w:ascii="仿宋" w:eastAsia="仿宋"/>
          <w:b w:val="0"/>
          <w:bCs w:val="0"/>
        </w:rPr>
        <w:t>入决算表</w:t>
      </w:r>
      <w:bookmarkEnd w:id="135"/>
      <w:bookmarkEnd w:id="136"/>
      <w:bookmarkEnd w:id="137"/>
      <w:bookmarkEnd w:id="138"/>
    </w:p>
    <w:p>
      <w:pPr>
        <w:pStyle w:val="3"/>
        <w:rPr>
          <w:rFonts w:ascii="仿宋" w:eastAsia="仿宋"/>
        </w:rPr>
      </w:pPr>
      <w:bookmarkStart w:id="139" w:name="_Toc24023"/>
      <w:bookmarkStart w:id="140" w:name="_Toc15012"/>
      <w:bookmarkStart w:id="141" w:name="_Toc22743"/>
      <w:bookmarkStart w:id="142"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139"/>
      <w:bookmarkEnd w:id="140"/>
      <w:bookmarkEnd w:id="141"/>
      <w:bookmarkEnd w:id="142"/>
    </w:p>
    <w:p>
      <w:pPr>
        <w:pStyle w:val="3"/>
        <w:rPr>
          <w:rFonts w:ascii="仿宋" w:eastAsia="仿宋"/>
          <w:b w:val="0"/>
        </w:rPr>
      </w:pPr>
      <w:bookmarkStart w:id="143" w:name="_Toc10976"/>
      <w:bookmarkStart w:id="144" w:name="_Toc3319"/>
      <w:bookmarkStart w:id="145" w:name="_Toc15396622"/>
      <w:bookmarkStart w:id="146" w:name="_Toc2325"/>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143"/>
      <w:bookmarkEnd w:id="144"/>
      <w:bookmarkEnd w:id="145"/>
      <w:bookmarkEnd w:id="146"/>
    </w:p>
    <w:p>
      <w:pPr>
        <w:pStyle w:val="3"/>
        <w:rPr>
          <w:rStyle w:val="21"/>
          <w:rFonts w:ascii="仿宋" w:eastAsia="仿宋"/>
          <w:b w:val="0"/>
          <w:bCs w:val="0"/>
        </w:rPr>
      </w:pPr>
      <w:bookmarkStart w:id="147" w:name="_Toc17946"/>
      <w:bookmarkStart w:id="148" w:name="_Toc9871"/>
      <w:bookmarkStart w:id="149" w:name="_Toc15396623"/>
      <w:bookmarkStart w:id="150" w:name="_Toc21466"/>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47"/>
      <w:bookmarkEnd w:id="148"/>
      <w:bookmarkEnd w:id="149"/>
      <w:bookmarkEnd w:id="150"/>
      <w:bookmarkStart w:id="151" w:name="_Toc15396624"/>
    </w:p>
    <w:p>
      <w:pPr>
        <w:pStyle w:val="3"/>
        <w:rPr>
          <w:rFonts w:ascii="仿宋" w:eastAsia="仿宋"/>
        </w:rPr>
      </w:pPr>
      <w:bookmarkStart w:id="152" w:name="_Toc20117"/>
      <w:bookmarkStart w:id="153" w:name="_Toc2143"/>
      <w:bookmarkStart w:id="154" w:name="_Toc2800"/>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51"/>
      <w:bookmarkEnd w:id="152"/>
      <w:bookmarkEnd w:id="153"/>
      <w:bookmarkEnd w:id="154"/>
    </w:p>
    <w:p>
      <w:pPr>
        <w:pStyle w:val="3"/>
        <w:rPr>
          <w:rFonts w:ascii="仿宋" w:eastAsia="仿宋"/>
        </w:rPr>
      </w:pPr>
      <w:bookmarkStart w:id="155" w:name="_Toc15396625"/>
      <w:bookmarkStart w:id="156" w:name="_Toc32100"/>
      <w:bookmarkStart w:id="157" w:name="_Toc29704"/>
      <w:bookmarkStart w:id="158" w:name="_Toc10733"/>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55"/>
      <w:bookmarkEnd w:id="156"/>
      <w:bookmarkEnd w:id="157"/>
      <w:bookmarkEnd w:id="158"/>
    </w:p>
    <w:p>
      <w:pPr>
        <w:pStyle w:val="3"/>
        <w:rPr>
          <w:rFonts w:ascii="仿宋" w:eastAsia="仿宋"/>
        </w:rPr>
      </w:pPr>
      <w:bookmarkStart w:id="159" w:name="_Toc15396626"/>
      <w:bookmarkStart w:id="160" w:name="_Toc30543"/>
      <w:bookmarkStart w:id="161" w:name="_Toc17350"/>
      <w:bookmarkStart w:id="162" w:name="_Toc8432"/>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59"/>
      <w:bookmarkEnd w:id="160"/>
      <w:bookmarkEnd w:id="161"/>
      <w:bookmarkEnd w:id="162"/>
    </w:p>
    <w:p>
      <w:pPr>
        <w:pStyle w:val="3"/>
        <w:rPr>
          <w:rFonts w:ascii="仿宋" w:eastAsia="仿宋"/>
        </w:rPr>
      </w:pPr>
      <w:bookmarkStart w:id="163" w:name="_Toc28168"/>
      <w:bookmarkStart w:id="164" w:name="_Toc10434"/>
      <w:bookmarkStart w:id="165" w:name="_Toc10916"/>
      <w:bookmarkStart w:id="166" w:name="_Toc15396627"/>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63"/>
      <w:bookmarkEnd w:id="164"/>
      <w:bookmarkEnd w:id="165"/>
      <w:bookmarkEnd w:id="166"/>
    </w:p>
    <w:p>
      <w:pPr>
        <w:pStyle w:val="3"/>
        <w:rPr>
          <w:rFonts w:ascii="仿宋" w:eastAsia="仿宋"/>
        </w:rPr>
      </w:pPr>
      <w:bookmarkStart w:id="167" w:name="_Toc15396628"/>
      <w:bookmarkStart w:id="168" w:name="_Toc6168"/>
      <w:bookmarkStart w:id="169" w:name="_Toc16699"/>
      <w:bookmarkStart w:id="170" w:name="_Toc13791"/>
      <w:r>
        <w:rPr>
          <w:rStyle w:val="21"/>
          <w:rFonts w:hint="eastAsia" w:ascii="仿宋" w:eastAsia="仿宋"/>
          <w:b w:val="0"/>
          <w:bCs w:val="0"/>
        </w:rPr>
        <w:t>十、</w:t>
      </w:r>
      <w:bookmarkEnd w:id="167"/>
      <w:r>
        <w:rPr>
          <w:rFonts w:hint="eastAsia" w:ascii="仿宋" w:eastAsia="仿宋"/>
          <w:b w:val="0"/>
        </w:rPr>
        <w:t>政</w:t>
      </w:r>
      <w:r>
        <w:rPr>
          <w:rStyle w:val="21"/>
          <w:rFonts w:hint="eastAsia" w:ascii="仿宋" w:eastAsia="仿宋"/>
          <w:b w:val="0"/>
          <w:bCs w:val="0"/>
        </w:rPr>
        <w:t>府性基金预算财政拨款收入支出决算表</w:t>
      </w:r>
      <w:bookmarkEnd w:id="168"/>
      <w:bookmarkEnd w:id="169"/>
      <w:bookmarkEnd w:id="170"/>
    </w:p>
    <w:p>
      <w:pPr>
        <w:pStyle w:val="3"/>
        <w:rPr>
          <w:rFonts w:ascii="仿宋" w:eastAsia="仿宋"/>
        </w:rPr>
      </w:pPr>
      <w:bookmarkStart w:id="171" w:name="_Toc15396629"/>
      <w:bookmarkStart w:id="172" w:name="_Toc8848"/>
      <w:bookmarkStart w:id="173" w:name="_Toc4423"/>
      <w:bookmarkStart w:id="174" w:name="_Toc23336"/>
      <w:r>
        <w:rPr>
          <w:rStyle w:val="21"/>
          <w:rFonts w:hint="eastAsia" w:ascii="仿宋" w:eastAsia="仿宋"/>
          <w:b w:val="0"/>
          <w:bCs w:val="0"/>
        </w:rPr>
        <w:t>十一、</w:t>
      </w:r>
      <w:bookmarkEnd w:id="171"/>
      <w:r>
        <w:rPr>
          <w:rFonts w:hint="eastAsia" w:ascii="仿宋" w:eastAsia="仿宋"/>
          <w:b w:val="0"/>
        </w:rPr>
        <w:t>国</w:t>
      </w:r>
      <w:r>
        <w:rPr>
          <w:rStyle w:val="21"/>
          <w:rFonts w:hint="eastAsia" w:ascii="仿宋" w:eastAsia="仿宋"/>
          <w:b w:val="0"/>
          <w:bCs w:val="0"/>
        </w:rPr>
        <w:t>有资本经营预算财政拨款收入支出决算表</w:t>
      </w:r>
      <w:bookmarkEnd w:id="172"/>
      <w:bookmarkEnd w:id="173"/>
      <w:bookmarkEnd w:id="174"/>
    </w:p>
    <w:p>
      <w:pPr>
        <w:pStyle w:val="3"/>
        <w:rPr>
          <w:rFonts w:ascii="仿宋" w:eastAsia="仿宋"/>
        </w:rPr>
      </w:pPr>
      <w:bookmarkStart w:id="175" w:name="_Toc15396630"/>
      <w:bookmarkStart w:id="176" w:name="_Toc3767"/>
      <w:bookmarkStart w:id="177" w:name="_Toc23283"/>
      <w:bookmarkStart w:id="178" w:name="_Toc375"/>
      <w:r>
        <w:rPr>
          <w:rStyle w:val="21"/>
          <w:rFonts w:hint="eastAsia" w:ascii="仿宋" w:eastAsia="仿宋"/>
          <w:b w:val="0"/>
          <w:bCs w:val="0"/>
        </w:rPr>
        <w:t>十二、</w:t>
      </w:r>
      <w:bookmarkEnd w:id="175"/>
      <w:r>
        <w:rPr>
          <w:rStyle w:val="21"/>
          <w:rFonts w:hint="eastAsia" w:ascii="仿宋" w:eastAsia="仿宋"/>
          <w:b w:val="0"/>
          <w:bCs w:val="0"/>
        </w:rPr>
        <w:t>国有资本经营预算财政拨款支出决算表</w:t>
      </w:r>
      <w:bookmarkEnd w:id="176"/>
      <w:bookmarkEnd w:id="177"/>
      <w:bookmarkEnd w:id="178"/>
    </w:p>
    <w:p>
      <w:pPr>
        <w:pStyle w:val="3"/>
        <w:rPr>
          <w:rStyle w:val="21"/>
          <w:rFonts w:hint="eastAsia" w:ascii="仿宋" w:eastAsia="仿宋"/>
          <w:b w:val="0"/>
          <w:bCs w:val="0"/>
        </w:rPr>
      </w:pPr>
      <w:bookmarkStart w:id="179" w:name="_Toc15396631"/>
      <w:bookmarkStart w:id="180" w:name="_Toc19470"/>
      <w:bookmarkStart w:id="181" w:name="_Toc23427"/>
      <w:bookmarkStart w:id="182" w:name="_Toc6173"/>
      <w:r>
        <w:rPr>
          <w:rStyle w:val="21"/>
          <w:rFonts w:hint="eastAsia" w:ascii="仿宋" w:eastAsia="仿宋"/>
          <w:b w:val="0"/>
          <w:bCs w:val="0"/>
        </w:rPr>
        <w:t>十三、</w:t>
      </w:r>
      <w:bookmarkEnd w:id="179"/>
      <w:r>
        <w:rPr>
          <w:rStyle w:val="21"/>
          <w:rFonts w:hint="eastAsia" w:ascii="仿宋" w:eastAsia="仿宋"/>
          <w:b w:val="0"/>
          <w:bCs w:val="0"/>
        </w:rPr>
        <w:t>财政拨款“三公”经费支出决算表</w:t>
      </w:r>
      <w:bookmarkEnd w:id="180"/>
      <w:bookmarkEnd w:id="181"/>
      <w:bookmarkEnd w:id="182"/>
    </w:p>
    <w:p>
      <w:bookmarkStart w:id="183" w:name="_Toc1273"/>
      <w:r>
        <w:rPr>
          <w:rStyle w:val="21"/>
          <w:rFonts w:hint="eastAsia" w:ascii="仿宋" w:eastAsia="仿宋"/>
          <w:b w:val="0"/>
          <w:bCs w:val="0"/>
        </w:rPr>
        <w:t>十四、部门项目支出绩效目标表</w:t>
      </w:r>
      <w:bookmarkEnd w:id="18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47E0C"/>
    <w:multiLevelType w:val="singleLevel"/>
    <w:tmpl w:val="8B847E0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E6B5C037"/>
    <w:multiLevelType w:val="singleLevel"/>
    <w:tmpl w:val="E6B5C037"/>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355685C0"/>
    <w:multiLevelType w:val="singleLevel"/>
    <w:tmpl w:val="355685C0"/>
    <w:lvl w:ilvl="0" w:tentative="0">
      <w:start w:val="1"/>
      <w:numFmt w:val="chineseCounting"/>
      <w:suff w:val="nothing"/>
      <w:lvlText w:val="（%1）"/>
      <w:lvlJc w:val="left"/>
      <w:rPr>
        <w:rFonts w:hint="eastAsia"/>
      </w:rPr>
    </w:lvl>
  </w:abstractNum>
  <w:abstractNum w:abstractNumId="6">
    <w:nsid w:val="4B5E5050"/>
    <w:multiLevelType w:val="singleLevel"/>
    <w:tmpl w:val="4B5E5050"/>
    <w:lvl w:ilvl="0" w:tentative="0">
      <w:start w:val="1"/>
      <w:numFmt w:val="chineseCounting"/>
      <w:suff w:val="nothing"/>
      <w:lvlText w:val="%1、"/>
      <w:lvlJc w:val="left"/>
      <w:rPr>
        <w:rFonts w:hint="eastAsia"/>
      </w:rPr>
    </w:lvl>
  </w:abstractNum>
  <w:num w:numId="1">
    <w:abstractNumId w:val="6"/>
  </w:num>
  <w:num w:numId="2">
    <w:abstractNumId w:val="5"/>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OTk2ZmQzNDNlN2E1NDg0OTRkMWFlZDllZTFkYzEifQ=="/>
  </w:docVars>
  <w:rsids>
    <w:rsidRoot w:val="005346C9"/>
    <w:rsid w:val="00225378"/>
    <w:rsid w:val="002C1B69"/>
    <w:rsid w:val="005346C9"/>
    <w:rsid w:val="007C6D18"/>
    <w:rsid w:val="008A6D2B"/>
    <w:rsid w:val="00EB7E60"/>
    <w:rsid w:val="00F1191B"/>
    <w:rsid w:val="019329D2"/>
    <w:rsid w:val="01E70628"/>
    <w:rsid w:val="021F6013"/>
    <w:rsid w:val="024B7594"/>
    <w:rsid w:val="02810A7C"/>
    <w:rsid w:val="02A824AD"/>
    <w:rsid w:val="02C16A01"/>
    <w:rsid w:val="02E96621"/>
    <w:rsid w:val="02F072F1"/>
    <w:rsid w:val="03045209"/>
    <w:rsid w:val="0305345B"/>
    <w:rsid w:val="03166E4C"/>
    <w:rsid w:val="033B50CF"/>
    <w:rsid w:val="03BE185C"/>
    <w:rsid w:val="04421544"/>
    <w:rsid w:val="0442248D"/>
    <w:rsid w:val="04522421"/>
    <w:rsid w:val="045A1585"/>
    <w:rsid w:val="04966BE4"/>
    <w:rsid w:val="04AB0032"/>
    <w:rsid w:val="05253F5F"/>
    <w:rsid w:val="053C0C8A"/>
    <w:rsid w:val="05595CE0"/>
    <w:rsid w:val="058D7738"/>
    <w:rsid w:val="05FA7D44"/>
    <w:rsid w:val="06112117"/>
    <w:rsid w:val="06BC02D5"/>
    <w:rsid w:val="07CD206E"/>
    <w:rsid w:val="081128A2"/>
    <w:rsid w:val="08253C58"/>
    <w:rsid w:val="08B0361C"/>
    <w:rsid w:val="08BC0A60"/>
    <w:rsid w:val="08E07D65"/>
    <w:rsid w:val="090F2C0D"/>
    <w:rsid w:val="09C13E54"/>
    <w:rsid w:val="0A281ACE"/>
    <w:rsid w:val="0AEF5D5B"/>
    <w:rsid w:val="0B071D3B"/>
    <w:rsid w:val="0B81081E"/>
    <w:rsid w:val="0BCD3D94"/>
    <w:rsid w:val="0BD100F8"/>
    <w:rsid w:val="0C0A5B78"/>
    <w:rsid w:val="0C272694"/>
    <w:rsid w:val="0CA912FB"/>
    <w:rsid w:val="0CCC323C"/>
    <w:rsid w:val="0CE71E24"/>
    <w:rsid w:val="0CF602B9"/>
    <w:rsid w:val="0D661C0C"/>
    <w:rsid w:val="0DA6726B"/>
    <w:rsid w:val="0E1E54C4"/>
    <w:rsid w:val="0E4D5CB6"/>
    <w:rsid w:val="0E632100"/>
    <w:rsid w:val="0EAA135B"/>
    <w:rsid w:val="0EAF54E9"/>
    <w:rsid w:val="0F2033CB"/>
    <w:rsid w:val="0F9C5147"/>
    <w:rsid w:val="10305890"/>
    <w:rsid w:val="106B4B1A"/>
    <w:rsid w:val="106D2640"/>
    <w:rsid w:val="107B5BE0"/>
    <w:rsid w:val="10900A00"/>
    <w:rsid w:val="109202F8"/>
    <w:rsid w:val="114E0781"/>
    <w:rsid w:val="11576D6C"/>
    <w:rsid w:val="116352D6"/>
    <w:rsid w:val="116E3A5D"/>
    <w:rsid w:val="11B36B4A"/>
    <w:rsid w:val="122A4C8C"/>
    <w:rsid w:val="12A6008B"/>
    <w:rsid w:val="12EA7589"/>
    <w:rsid w:val="133E02C4"/>
    <w:rsid w:val="13595D0D"/>
    <w:rsid w:val="13C44C6D"/>
    <w:rsid w:val="144E60BD"/>
    <w:rsid w:val="14956609"/>
    <w:rsid w:val="149B0E8A"/>
    <w:rsid w:val="15121A08"/>
    <w:rsid w:val="1618304E"/>
    <w:rsid w:val="16495B3E"/>
    <w:rsid w:val="16B94831"/>
    <w:rsid w:val="16C62AAA"/>
    <w:rsid w:val="17740758"/>
    <w:rsid w:val="177E5132"/>
    <w:rsid w:val="18194E5B"/>
    <w:rsid w:val="19151713"/>
    <w:rsid w:val="196F1358"/>
    <w:rsid w:val="1A0758B3"/>
    <w:rsid w:val="1B1A2B1A"/>
    <w:rsid w:val="1B6F4B1B"/>
    <w:rsid w:val="1BA61858"/>
    <w:rsid w:val="1BD16179"/>
    <w:rsid w:val="1BF965F2"/>
    <w:rsid w:val="1C3A1F70"/>
    <w:rsid w:val="1C3B5CE8"/>
    <w:rsid w:val="1C6012AB"/>
    <w:rsid w:val="1CD51C99"/>
    <w:rsid w:val="1D0C6A66"/>
    <w:rsid w:val="1D234B0A"/>
    <w:rsid w:val="1DC1221D"/>
    <w:rsid w:val="1DFF2C4B"/>
    <w:rsid w:val="1E22594E"/>
    <w:rsid w:val="1E2F362A"/>
    <w:rsid w:val="1ECB3486"/>
    <w:rsid w:val="1EEE287B"/>
    <w:rsid w:val="1EFA1543"/>
    <w:rsid w:val="1EFFA4F3"/>
    <w:rsid w:val="1F185C1B"/>
    <w:rsid w:val="1F2D7B6A"/>
    <w:rsid w:val="20476A09"/>
    <w:rsid w:val="20614532"/>
    <w:rsid w:val="207F70B2"/>
    <w:rsid w:val="20801F1B"/>
    <w:rsid w:val="20B836E6"/>
    <w:rsid w:val="217F6677"/>
    <w:rsid w:val="21B856E5"/>
    <w:rsid w:val="21BF6A73"/>
    <w:rsid w:val="223C144D"/>
    <w:rsid w:val="223D4010"/>
    <w:rsid w:val="230A5F68"/>
    <w:rsid w:val="23702B48"/>
    <w:rsid w:val="243E6375"/>
    <w:rsid w:val="24813D24"/>
    <w:rsid w:val="25693679"/>
    <w:rsid w:val="259756BC"/>
    <w:rsid w:val="25FB1098"/>
    <w:rsid w:val="260C30F7"/>
    <w:rsid w:val="27764078"/>
    <w:rsid w:val="27B54BA0"/>
    <w:rsid w:val="289E3886"/>
    <w:rsid w:val="29565B6D"/>
    <w:rsid w:val="2A104310"/>
    <w:rsid w:val="2A92703F"/>
    <w:rsid w:val="2AA077A9"/>
    <w:rsid w:val="2AA809EC"/>
    <w:rsid w:val="2AFA0B1C"/>
    <w:rsid w:val="2B694756"/>
    <w:rsid w:val="2B8266EC"/>
    <w:rsid w:val="2B9164A3"/>
    <w:rsid w:val="2B98057D"/>
    <w:rsid w:val="2BA56CDA"/>
    <w:rsid w:val="2BF233C5"/>
    <w:rsid w:val="2BFB4ED7"/>
    <w:rsid w:val="2C025EDA"/>
    <w:rsid w:val="2C204AC9"/>
    <w:rsid w:val="2C351E0C"/>
    <w:rsid w:val="2C3F4B36"/>
    <w:rsid w:val="2C8608B9"/>
    <w:rsid w:val="2D855015"/>
    <w:rsid w:val="2E293BF2"/>
    <w:rsid w:val="2E9420B6"/>
    <w:rsid w:val="2EF73CF0"/>
    <w:rsid w:val="2F0B5447"/>
    <w:rsid w:val="2F2F348A"/>
    <w:rsid w:val="2FB219C5"/>
    <w:rsid w:val="2FC11C09"/>
    <w:rsid w:val="2FEC353D"/>
    <w:rsid w:val="30BD4AC6"/>
    <w:rsid w:val="30C85944"/>
    <w:rsid w:val="31CD6F8B"/>
    <w:rsid w:val="31D16A7B"/>
    <w:rsid w:val="31DC0F7C"/>
    <w:rsid w:val="31F40390"/>
    <w:rsid w:val="32015C68"/>
    <w:rsid w:val="322875D1"/>
    <w:rsid w:val="32A44717"/>
    <w:rsid w:val="32F0738F"/>
    <w:rsid w:val="33920C6F"/>
    <w:rsid w:val="33A31D51"/>
    <w:rsid w:val="33BB353F"/>
    <w:rsid w:val="346C2A8B"/>
    <w:rsid w:val="349C065E"/>
    <w:rsid w:val="34C9541A"/>
    <w:rsid w:val="35037A49"/>
    <w:rsid w:val="35B430FE"/>
    <w:rsid w:val="35BA15D4"/>
    <w:rsid w:val="35CB1A33"/>
    <w:rsid w:val="35E31F79"/>
    <w:rsid w:val="369F2781"/>
    <w:rsid w:val="36A22794"/>
    <w:rsid w:val="36C56482"/>
    <w:rsid w:val="36E93C13"/>
    <w:rsid w:val="370D7188"/>
    <w:rsid w:val="37203D70"/>
    <w:rsid w:val="37321D6A"/>
    <w:rsid w:val="37557806"/>
    <w:rsid w:val="37A62A66"/>
    <w:rsid w:val="37CB2491"/>
    <w:rsid w:val="38417D8A"/>
    <w:rsid w:val="384229D7"/>
    <w:rsid w:val="38896E55"/>
    <w:rsid w:val="38A40870"/>
    <w:rsid w:val="38EE3768"/>
    <w:rsid w:val="38F452F3"/>
    <w:rsid w:val="391A3141"/>
    <w:rsid w:val="39B27192"/>
    <w:rsid w:val="39DB3B32"/>
    <w:rsid w:val="3A72247D"/>
    <w:rsid w:val="3ABB3E24"/>
    <w:rsid w:val="3AEC456D"/>
    <w:rsid w:val="3AF17846"/>
    <w:rsid w:val="3B313DD8"/>
    <w:rsid w:val="3BD72A99"/>
    <w:rsid w:val="3C1D667F"/>
    <w:rsid w:val="3CA32E35"/>
    <w:rsid w:val="3CF211DC"/>
    <w:rsid w:val="3CF96E86"/>
    <w:rsid w:val="3E91626C"/>
    <w:rsid w:val="3EEA117C"/>
    <w:rsid w:val="3F1A6CC0"/>
    <w:rsid w:val="3F1E2BD3"/>
    <w:rsid w:val="3F23344A"/>
    <w:rsid w:val="404137B4"/>
    <w:rsid w:val="40464190"/>
    <w:rsid w:val="40CF3AE1"/>
    <w:rsid w:val="41C94730"/>
    <w:rsid w:val="41CA7043"/>
    <w:rsid w:val="41FD0E53"/>
    <w:rsid w:val="42122365"/>
    <w:rsid w:val="42A74A51"/>
    <w:rsid w:val="42B850ED"/>
    <w:rsid w:val="42D863FB"/>
    <w:rsid w:val="42DE0FF8"/>
    <w:rsid w:val="42FE4D96"/>
    <w:rsid w:val="433C7ACC"/>
    <w:rsid w:val="439F7ECC"/>
    <w:rsid w:val="43DD305D"/>
    <w:rsid w:val="44911445"/>
    <w:rsid w:val="45326705"/>
    <w:rsid w:val="45523641"/>
    <w:rsid w:val="455B692F"/>
    <w:rsid w:val="45D313B0"/>
    <w:rsid w:val="45EC57D9"/>
    <w:rsid w:val="4645313C"/>
    <w:rsid w:val="46733559"/>
    <w:rsid w:val="467B63B8"/>
    <w:rsid w:val="468C691A"/>
    <w:rsid w:val="46996820"/>
    <w:rsid w:val="46FA2178"/>
    <w:rsid w:val="470E79D1"/>
    <w:rsid w:val="471F0B67"/>
    <w:rsid w:val="477932D9"/>
    <w:rsid w:val="47F46BC7"/>
    <w:rsid w:val="480916A9"/>
    <w:rsid w:val="48157B15"/>
    <w:rsid w:val="48A57EC2"/>
    <w:rsid w:val="49634005"/>
    <w:rsid w:val="49DF11B1"/>
    <w:rsid w:val="4A1A51E7"/>
    <w:rsid w:val="4AC00FE3"/>
    <w:rsid w:val="4ACA3C0F"/>
    <w:rsid w:val="4B7A73E4"/>
    <w:rsid w:val="4BA601D9"/>
    <w:rsid w:val="4BE24953"/>
    <w:rsid w:val="4BF91DDB"/>
    <w:rsid w:val="4C3103EA"/>
    <w:rsid w:val="4C5D11DF"/>
    <w:rsid w:val="4CDF1BF4"/>
    <w:rsid w:val="4D1A3604"/>
    <w:rsid w:val="4D7F6F33"/>
    <w:rsid w:val="4E4837C9"/>
    <w:rsid w:val="4EA053B3"/>
    <w:rsid w:val="4ECC5CC5"/>
    <w:rsid w:val="4EF433CA"/>
    <w:rsid w:val="4F457D08"/>
    <w:rsid w:val="4F9F38BD"/>
    <w:rsid w:val="4FB9F5A9"/>
    <w:rsid w:val="50A54F03"/>
    <w:rsid w:val="50B0566A"/>
    <w:rsid w:val="50CA7228"/>
    <w:rsid w:val="514C1822"/>
    <w:rsid w:val="51874608"/>
    <w:rsid w:val="51B7313F"/>
    <w:rsid w:val="523A5B1F"/>
    <w:rsid w:val="52666914"/>
    <w:rsid w:val="526D1A50"/>
    <w:rsid w:val="53095C1D"/>
    <w:rsid w:val="535F4698"/>
    <w:rsid w:val="53C66AC7"/>
    <w:rsid w:val="53CF5879"/>
    <w:rsid w:val="53D845EF"/>
    <w:rsid w:val="53E07CA7"/>
    <w:rsid w:val="544B0D60"/>
    <w:rsid w:val="54524DC7"/>
    <w:rsid w:val="54C33BA9"/>
    <w:rsid w:val="54F9581D"/>
    <w:rsid w:val="5527753F"/>
    <w:rsid w:val="55E95CE9"/>
    <w:rsid w:val="575E5BD0"/>
    <w:rsid w:val="57AE25BB"/>
    <w:rsid w:val="57CD55D6"/>
    <w:rsid w:val="580F5357"/>
    <w:rsid w:val="58140E42"/>
    <w:rsid w:val="58577395"/>
    <w:rsid w:val="58B81A21"/>
    <w:rsid w:val="595349E6"/>
    <w:rsid w:val="59D32AE1"/>
    <w:rsid w:val="5A09375D"/>
    <w:rsid w:val="5A0A6F9A"/>
    <w:rsid w:val="5A3A17F8"/>
    <w:rsid w:val="5A5654C0"/>
    <w:rsid w:val="5A5D684E"/>
    <w:rsid w:val="5A673AE1"/>
    <w:rsid w:val="5A9D6525"/>
    <w:rsid w:val="5A9D6C4B"/>
    <w:rsid w:val="5ADA7E9F"/>
    <w:rsid w:val="5AFC4F25"/>
    <w:rsid w:val="5B490B80"/>
    <w:rsid w:val="5B5D7173"/>
    <w:rsid w:val="5B6F3FE4"/>
    <w:rsid w:val="5B77068B"/>
    <w:rsid w:val="5BA65138"/>
    <w:rsid w:val="5BB701E0"/>
    <w:rsid w:val="5C0D1BAE"/>
    <w:rsid w:val="5C2C7C7B"/>
    <w:rsid w:val="5CD94CAE"/>
    <w:rsid w:val="5CEE34C1"/>
    <w:rsid w:val="5CFA65D6"/>
    <w:rsid w:val="5D5F6439"/>
    <w:rsid w:val="5E136863"/>
    <w:rsid w:val="5EA7022C"/>
    <w:rsid w:val="5EC92704"/>
    <w:rsid w:val="5EE27322"/>
    <w:rsid w:val="5F357D99"/>
    <w:rsid w:val="5F597F1C"/>
    <w:rsid w:val="602816AC"/>
    <w:rsid w:val="6075099A"/>
    <w:rsid w:val="619012B7"/>
    <w:rsid w:val="61954B1F"/>
    <w:rsid w:val="619A0388"/>
    <w:rsid w:val="62314848"/>
    <w:rsid w:val="624731C8"/>
    <w:rsid w:val="62593D9F"/>
    <w:rsid w:val="62634C1E"/>
    <w:rsid w:val="62E0626E"/>
    <w:rsid w:val="631E66D7"/>
    <w:rsid w:val="637A5DE0"/>
    <w:rsid w:val="639B6977"/>
    <w:rsid w:val="63A3408B"/>
    <w:rsid w:val="63C10E3C"/>
    <w:rsid w:val="63CFD99C"/>
    <w:rsid w:val="643F0D73"/>
    <w:rsid w:val="64CD3547"/>
    <w:rsid w:val="650773BA"/>
    <w:rsid w:val="657F5D22"/>
    <w:rsid w:val="65B61F12"/>
    <w:rsid w:val="662D3578"/>
    <w:rsid w:val="66853989"/>
    <w:rsid w:val="66E2751B"/>
    <w:rsid w:val="67343515"/>
    <w:rsid w:val="676F652F"/>
    <w:rsid w:val="677A27ED"/>
    <w:rsid w:val="679B45AC"/>
    <w:rsid w:val="681542C4"/>
    <w:rsid w:val="691049E1"/>
    <w:rsid w:val="695452C0"/>
    <w:rsid w:val="69AA5C34"/>
    <w:rsid w:val="6A4E02C8"/>
    <w:rsid w:val="6A76A473"/>
    <w:rsid w:val="6ABD5F60"/>
    <w:rsid w:val="6AE10832"/>
    <w:rsid w:val="6B6A0DCB"/>
    <w:rsid w:val="6BE7241B"/>
    <w:rsid w:val="6CEF6A2B"/>
    <w:rsid w:val="6D1504AB"/>
    <w:rsid w:val="6D81111B"/>
    <w:rsid w:val="6DCB5EE1"/>
    <w:rsid w:val="6DE36C13"/>
    <w:rsid w:val="6DE85FD7"/>
    <w:rsid w:val="6E166FE8"/>
    <w:rsid w:val="6E1A4B6F"/>
    <w:rsid w:val="6E5354E0"/>
    <w:rsid w:val="6E612268"/>
    <w:rsid w:val="6E7C509D"/>
    <w:rsid w:val="6E940BEF"/>
    <w:rsid w:val="6F324855"/>
    <w:rsid w:val="6F681F38"/>
    <w:rsid w:val="6F7F65AE"/>
    <w:rsid w:val="6FB24AEE"/>
    <w:rsid w:val="6FC7611F"/>
    <w:rsid w:val="70C858DB"/>
    <w:rsid w:val="70F829D5"/>
    <w:rsid w:val="718A7AD1"/>
    <w:rsid w:val="7194581F"/>
    <w:rsid w:val="71E73B2D"/>
    <w:rsid w:val="72B15531"/>
    <w:rsid w:val="72CB65F3"/>
    <w:rsid w:val="72D00747"/>
    <w:rsid w:val="73055389"/>
    <w:rsid w:val="734F0FD2"/>
    <w:rsid w:val="736B3932"/>
    <w:rsid w:val="736C0702"/>
    <w:rsid w:val="73843460"/>
    <w:rsid w:val="73EC25BF"/>
    <w:rsid w:val="73FF3A42"/>
    <w:rsid w:val="73FF3F4E"/>
    <w:rsid w:val="7416389E"/>
    <w:rsid w:val="74DB737D"/>
    <w:rsid w:val="752E4BC6"/>
    <w:rsid w:val="75BA294F"/>
    <w:rsid w:val="75BA7A8F"/>
    <w:rsid w:val="766528BB"/>
    <w:rsid w:val="76982FF6"/>
    <w:rsid w:val="77976AA4"/>
    <w:rsid w:val="780F5FBF"/>
    <w:rsid w:val="78280044"/>
    <w:rsid w:val="785250C1"/>
    <w:rsid w:val="787F19EA"/>
    <w:rsid w:val="78AC0D2E"/>
    <w:rsid w:val="78D67AA0"/>
    <w:rsid w:val="78F543CA"/>
    <w:rsid w:val="795B3AF3"/>
    <w:rsid w:val="79780B57"/>
    <w:rsid w:val="7981755F"/>
    <w:rsid w:val="7A6C19E9"/>
    <w:rsid w:val="7A85352B"/>
    <w:rsid w:val="7AB7745D"/>
    <w:rsid w:val="7ADB75EF"/>
    <w:rsid w:val="7B570946"/>
    <w:rsid w:val="7C1F52BA"/>
    <w:rsid w:val="7CC145C3"/>
    <w:rsid w:val="7CCD4D16"/>
    <w:rsid w:val="7D380D29"/>
    <w:rsid w:val="7D71005D"/>
    <w:rsid w:val="7D853AE4"/>
    <w:rsid w:val="7DBFE2DE"/>
    <w:rsid w:val="7DEA37BD"/>
    <w:rsid w:val="7DF32EA2"/>
    <w:rsid w:val="7E4C077A"/>
    <w:rsid w:val="7E775881"/>
    <w:rsid w:val="7F1070E3"/>
    <w:rsid w:val="7F887631"/>
    <w:rsid w:val="7FFDB9D9"/>
    <w:rsid w:val="7FFF4CA7"/>
    <w:rsid w:val="9FB79737"/>
    <w:rsid w:val="9FF2DC05"/>
    <w:rsid w:val="A6DF04E5"/>
    <w:rsid w:val="BFF4FF55"/>
    <w:rsid w:val="E79FEF1D"/>
    <w:rsid w:val="EDD4957D"/>
    <w:rsid w:val="EF7EA183"/>
    <w:rsid w:val="EFBE5F94"/>
    <w:rsid w:val="F7FDE860"/>
    <w:rsid w:val="F8FF1273"/>
    <w:rsid w:val="F9DF5C39"/>
    <w:rsid w:val="FF7FE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hAnsi="仿宋_GB2312"/>
      <w:szCs w:val="32"/>
    </w:rPr>
  </w:style>
  <w:style w:type="paragraph" w:styleId="7">
    <w:name w:val="Body Text First Indent 2"/>
    <w:basedOn w:val="6"/>
    <w:next w:val="8"/>
    <w:qFormat/>
    <w:uiPriority w:val="0"/>
    <w:pPr>
      <w:ind w:firstLine="200" w:firstLineChars="200"/>
    </w:pPr>
  </w:style>
  <w:style w:type="paragraph" w:styleId="8">
    <w:name w:val="Plain Text"/>
    <w:basedOn w:val="1"/>
    <w:unhideWhenUsed/>
    <w:qFormat/>
    <w:uiPriority w:val="99"/>
    <w:rPr>
      <w:rFonts w:ascii="宋体" w:hAnsi="Courier New"/>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3"/>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收支上下年变动情况表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2022年</c:v>
                </c:pt>
              </c:strCache>
            </c:strRef>
          </c:tx>
          <c:spPr>
            <a:solidFill>
              <a:schemeClr val="accent1"/>
            </a:solidFill>
            <a:ln>
              <a:noFill/>
            </a:ln>
            <a:effectLst/>
          </c:spPr>
          <c:invertIfNegative val="false"/>
          <c:dLbls>
            <c:delete val="true"/>
          </c:dLbls>
          <c:cat>
            <c:strRef>
              <c:f>Sheet1!$A$2:$A$3</c:f>
              <c:strCache>
                <c:ptCount val="2"/>
                <c:pt idx="0">
                  <c:v>收入</c:v>
                </c:pt>
                <c:pt idx="1">
                  <c:v>支出</c:v>
                </c:pt>
              </c:strCache>
            </c:strRef>
          </c:cat>
          <c:val>
            <c:numRef>
              <c:f>Sheet1!$B$2:$B$3</c:f>
              <c:numCache>
                <c:formatCode>General</c:formatCode>
                <c:ptCount val="2"/>
                <c:pt idx="0">
                  <c:v>1373.62</c:v>
                </c:pt>
                <c:pt idx="1">
                  <c:v>1373.62</c:v>
                </c:pt>
              </c:numCache>
            </c:numRef>
          </c:val>
        </c:ser>
        <c:ser>
          <c:idx val="1"/>
          <c:order val="1"/>
          <c:tx>
            <c:strRef>
              <c:f>Sheet1!$C$1</c:f>
              <c:strCache>
                <c:ptCount val="1"/>
                <c:pt idx="0">
                  <c:v>2023年</c:v>
                </c:pt>
              </c:strCache>
            </c:strRef>
          </c:tx>
          <c:spPr>
            <a:solidFill>
              <a:schemeClr val="accent2"/>
            </a:solidFill>
            <a:ln>
              <a:noFill/>
            </a:ln>
            <a:effectLst/>
          </c:spPr>
          <c:invertIfNegative val="false"/>
          <c:dLbls>
            <c:delete val="true"/>
          </c:dLbls>
          <c:cat>
            <c:strRef>
              <c:f>Sheet1!$A$2:$A$3</c:f>
              <c:strCache>
                <c:ptCount val="2"/>
                <c:pt idx="0">
                  <c:v>收入</c:v>
                </c:pt>
                <c:pt idx="1">
                  <c:v>支出</c:v>
                </c:pt>
              </c:strCache>
            </c:strRef>
          </c:cat>
          <c:val>
            <c:numRef>
              <c:f>Sheet1!$C$2:$C$3</c:f>
              <c:numCache>
                <c:formatCode>General</c:formatCode>
                <c:ptCount val="2"/>
                <c:pt idx="0">
                  <c:v>1572.61</c:v>
                </c:pt>
                <c:pt idx="1">
                  <c:v>1726.27</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579008237"/>
        <c:axId val="400394024"/>
      </c:barChart>
      <c:catAx>
        <c:axId val="57900823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00394024"/>
        <c:crosses val="autoZero"/>
        <c:auto val="true"/>
        <c:lblAlgn val="ctr"/>
        <c:lblOffset val="100"/>
        <c:noMultiLvlLbl val="false"/>
      </c:catAx>
      <c:valAx>
        <c:axId val="40039402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9008237"/>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收入组成图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'[新建 XLS 工作表.xls]Sheet1'!$A$1:$A$2</c:f>
              <c:strCache>
                <c:ptCount val="2"/>
                <c:pt idx="0">
                  <c:v>一般公共财政拨款收入</c:v>
                </c:pt>
                <c:pt idx="1">
                  <c:v>其他收入</c:v>
                </c:pt>
              </c:strCache>
            </c:strRef>
          </c:cat>
          <c:val>
            <c:numRef>
              <c:f>'[新建 XLS 工作表.xls]Sheet1'!$B$1:$B$2</c:f>
              <c:numCache>
                <c:formatCode>General</c:formatCode>
                <c:ptCount val="2"/>
                <c:pt idx="0">
                  <c:v>943.55</c:v>
                </c:pt>
                <c:pt idx="1">
                  <c:v>1.61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'[新建 XLS 工作表.xls]Sheet1'!$A$1:$A$2</c:f>
              <c:strCache>
                <c:ptCount val="2"/>
                <c:pt idx="0">
                  <c:v>基本支出</c:v>
                </c:pt>
                <c:pt idx="1">
                  <c:v>项目支出</c:v>
                </c:pt>
              </c:strCache>
            </c:strRef>
          </c:cat>
          <c:val>
            <c:numRef>
              <c:f>'[新建 XLS 工作表.xls]Sheet1'!$B$1:$B$2</c:f>
              <c:numCache>
                <c:formatCode>General</c:formatCode>
                <c:ptCount val="2"/>
                <c:pt idx="0">
                  <c:v>817.61</c:v>
                </c:pt>
                <c:pt idx="1">
                  <c:v>127.55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财政拨款收支上下年变动图</a:t>
            </a:r>
          </a:p>
        </c:rich>
      </c:tx>
      <c:layout/>
      <c:overlay val="false"/>
      <c:spPr>
        <a:noFill/>
        <a:ln>
          <a:noFill/>
        </a:ln>
        <a:effectLst/>
      </c:spPr>
    </c:title>
    <c:autoTitleDeleted val="false"/>
    <c:plotArea>
      <c:layout>
        <c:manualLayout>
          <c:layoutTarget val="inner"/>
          <c:xMode val="edge"/>
          <c:yMode val="edge"/>
          <c:x val="0.028575"/>
          <c:y val="0.121666666666667"/>
          <c:w val="0.927925"/>
          <c:h val="0.716566666666667"/>
        </c:manualLayout>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delete val="true"/>
          </c:dLbls>
          <c:cat>
            <c:strRef>
              <c:f>Sheet1!$A$2:$A$3</c:f>
              <c:strCache>
                <c:ptCount val="2"/>
                <c:pt idx="0">
                  <c:v>财政拨款收入</c:v>
                </c:pt>
                <c:pt idx="1">
                  <c:v>财政拨款支出</c:v>
                </c:pt>
              </c:strCache>
            </c:strRef>
          </c:cat>
          <c:val>
            <c:numRef>
              <c:f>Sheet1!$B$2:$B$3</c:f>
              <c:numCache>
                <c:formatCode>General</c:formatCode>
                <c:ptCount val="2"/>
                <c:pt idx="0">
                  <c:v>1572.61</c:v>
                </c:pt>
                <c:pt idx="1">
                  <c:v>1572.61</c:v>
                </c:pt>
              </c:numCache>
            </c:numRef>
          </c:val>
        </c:ser>
        <c:ser>
          <c:idx val="1"/>
          <c:order val="1"/>
          <c:tx>
            <c:strRef>
              <c:f>Sheet1!$C$1</c:f>
              <c:strCache>
                <c:ptCount val="1"/>
                <c:pt idx="0">
                  <c:v>2022年</c:v>
                </c:pt>
              </c:strCache>
            </c:strRef>
          </c:tx>
          <c:spPr>
            <a:solidFill>
              <a:schemeClr val="accent2"/>
            </a:solidFill>
            <a:ln>
              <a:noFill/>
            </a:ln>
            <a:effectLst/>
          </c:spPr>
          <c:invertIfNegative val="false"/>
          <c:dLbls>
            <c:delete val="true"/>
          </c:dLbls>
          <c:cat>
            <c:strRef>
              <c:f>Sheet1!$A$2:$A$3</c:f>
              <c:strCache>
                <c:ptCount val="2"/>
                <c:pt idx="0">
                  <c:v>财政拨款收入</c:v>
                </c:pt>
                <c:pt idx="1">
                  <c:v>财政拨款支出</c:v>
                </c:pt>
              </c:strCache>
            </c:strRef>
          </c:cat>
          <c:val>
            <c:numRef>
              <c:f>Sheet1!$C$2:$C$3</c:f>
              <c:numCache>
                <c:formatCode>General</c:formatCode>
                <c:ptCount val="2"/>
                <c:pt idx="0">
                  <c:v>1373.62</c:v>
                </c:pt>
                <c:pt idx="1">
                  <c:v>1373.62</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573380026"/>
        <c:axId val="60706055"/>
      </c:barChart>
      <c:catAx>
        <c:axId val="57338002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true"/>
        <c:lblAlgn val="ctr"/>
        <c:lblOffset val="100"/>
        <c:noMultiLvlLbl val="false"/>
      </c:catAx>
      <c:valAx>
        <c:axId val="6070605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true"/>
      </c:legendEntry>
      <c:layout>
        <c:manualLayout>
          <c:xMode val="edge"/>
          <c:yMode val="edge"/>
          <c:x val="0.3541875"/>
          <c:y val="0.9215"/>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一般公共预算财政拨款支出上下年变动图</a:t>
            </a:r>
          </a:p>
        </c:rich>
      </c:tx>
      <c:layout/>
      <c:overlay val="false"/>
      <c:spPr>
        <a:noFill/>
        <a:ln>
          <a:noFill/>
        </a:ln>
        <a:effectLst/>
      </c:spPr>
    </c:title>
    <c:autoTitleDeleted val="false"/>
    <c:plotArea>
      <c:layout>
        <c:manualLayout>
          <c:layoutTarget val="inner"/>
          <c:xMode val="edge"/>
          <c:yMode val="edge"/>
          <c:x val="0.028575"/>
          <c:y val="0.121666666666667"/>
          <c:w val="0.927925"/>
          <c:h val="0.716566666666667"/>
        </c:manualLayout>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delete val="true"/>
          </c:dLbls>
          <c:cat>
            <c:strRef>
              <c:f>Sheet1!$A$2</c:f>
              <c:strCache>
                <c:ptCount val="1"/>
                <c:pt idx="0">
                  <c:v>一般公共预算财政拨款支出</c:v>
                </c:pt>
              </c:strCache>
            </c:strRef>
          </c:cat>
          <c:val>
            <c:numRef>
              <c:f>Sheet1!$B$2</c:f>
              <c:numCache>
                <c:formatCode>General</c:formatCode>
                <c:ptCount val="1"/>
                <c:pt idx="0">
                  <c:v>1572.61</c:v>
                </c:pt>
              </c:numCache>
            </c:numRef>
          </c:val>
        </c:ser>
        <c:ser>
          <c:idx val="1"/>
          <c:order val="1"/>
          <c:tx>
            <c:strRef>
              <c:f>Sheet1!$C$1</c:f>
              <c:strCache>
                <c:ptCount val="1"/>
                <c:pt idx="0">
                  <c:v>2022年</c:v>
                </c:pt>
              </c:strCache>
            </c:strRef>
          </c:tx>
          <c:spPr>
            <a:solidFill>
              <a:schemeClr val="accent2"/>
            </a:solidFill>
            <a:ln>
              <a:noFill/>
            </a:ln>
            <a:effectLst/>
          </c:spPr>
          <c:invertIfNegative val="false"/>
          <c:dLbls>
            <c:delete val="true"/>
          </c:dLbls>
          <c:cat>
            <c:strRef>
              <c:f>Sheet1!$A$2</c:f>
              <c:strCache>
                <c:ptCount val="1"/>
                <c:pt idx="0">
                  <c:v>一般公共预算财政拨款支出</c:v>
                </c:pt>
              </c:strCache>
            </c:strRef>
          </c:cat>
          <c:val>
            <c:numRef>
              <c:f>Sheet1!$C$2</c:f>
              <c:numCache>
                <c:formatCode>General</c:formatCode>
                <c:ptCount val="1"/>
                <c:pt idx="0">
                  <c:v>1207.56</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573380026"/>
        <c:axId val="60706055"/>
      </c:barChart>
      <c:catAx>
        <c:axId val="57338002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true"/>
        <c:lblAlgn val="ctr"/>
        <c:lblOffset val="100"/>
        <c:noMultiLvlLbl val="false"/>
      </c:catAx>
      <c:valAx>
        <c:axId val="6070605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true"/>
      </c:legendEntry>
      <c:layout>
        <c:manualLayout>
          <c:xMode val="edge"/>
          <c:yMode val="edge"/>
          <c:x val="0.3541875"/>
          <c:y val="0.9215"/>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一般公共预算财政拨款支出构成图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1442.18</c:v>
                </c:pt>
                <c:pt idx="1">
                  <c:v>148.51</c:v>
                </c:pt>
                <c:pt idx="2">
                  <c:v>73.92</c:v>
                </c:pt>
                <c:pt idx="3">
                  <c:v>48.41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7901397310836"/>
          <c:y val="0.030808729139923"/>
        </c:manualLayout>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财政拨款“三公经费”支出构成图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elete val="true"/>
          </c:dLbls>
          <c:cat>
            <c:strRef>
              <c:f>Sheet1!$A$2:$A$4</c:f>
              <c:strCache>
                <c:ptCount val="3"/>
                <c:pt idx="0">
                  <c:v>因公出国</c:v>
                </c:pt>
                <c:pt idx="1">
                  <c:v>公务用车购置及运行维护费支出</c:v>
                </c:pt>
                <c:pt idx="2">
                  <c:v>公务接待</c:v>
                </c:pt>
              </c:strCache>
            </c:strRef>
          </c:cat>
          <c:val>
            <c:numRef>
              <c:f>Sheet1!$B$2:$B$4</c:f>
              <c:numCache>
                <c:formatCode>General</c:formatCode>
                <c:ptCount val="3"/>
                <c:pt idx="0">
                  <c:v>0</c:v>
                </c:pt>
                <c:pt idx="1">
                  <c:v>154.71</c:v>
                </c:pt>
                <c:pt idx="2">
                  <c:v>0.52</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11853</Words>
  <Characters>13047</Characters>
  <Lines>58</Lines>
  <Paragraphs>16</Paragraphs>
  <TotalTime>70</TotalTime>
  <ScaleCrop>false</ScaleCrop>
  <LinksUpToDate>false</LinksUpToDate>
  <CharactersWithSpaces>13202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2024-11-15T16:39:00Z</cp:lastPrinted>
  <dcterms:modified xsi:type="dcterms:W3CDTF">2024-11-18T11:45:24Z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6600F2622B92415DAF6C5479456068FE_13</vt:lpwstr>
  </property>
</Properties>
</file>