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6" w:type="dxa"/>
        <w:tblCellSpacing w:w="0" w:type="dxa"/>
        <w:tblInd w:w="0" w:type="dxa"/>
        <w:shd w:val="clear" w:color="auto" w:fill="auto"/>
        <w:tblLayout w:type="fixed"/>
        <w:tblCellMar>
          <w:top w:w="0" w:type="dxa"/>
          <w:left w:w="0" w:type="dxa"/>
          <w:bottom w:w="0" w:type="dxa"/>
          <w:right w:w="0" w:type="dxa"/>
        </w:tblCellMar>
      </w:tblPr>
      <w:tblGrid>
        <w:gridCol w:w="6"/>
      </w:tblGrid>
      <w:tr w14:paraId="54D05177">
        <w:tblPrEx>
          <w:shd w:val="clear" w:color="auto" w:fill="auto"/>
          <w:tblCellMar>
            <w:top w:w="0" w:type="dxa"/>
            <w:left w:w="0" w:type="dxa"/>
            <w:bottom w:w="0" w:type="dxa"/>
            <w:right w:w="0" w:type="dxa"/>
          </w:tblCellMar>
        </w:tblPrEx>
        <w:trPr>
          <w:trHeight w:val="225" w:hRule="atLeast"/>
          <w:tblCellSpacing w:w="0" w:type="dxa"/>
        </w:trPr>
        <w:tc>
          <w:tcPr>
            <w:tcW w:w="6" w:type="dxa"/>
            <w:shd w:val="clear" w:color="auto" w:fill="auto"/>
            <w:vAlign w:val="center"/>
          </w:tcPr>
          <w:p w14:paraId="3E035822">
            <w:pPr>
              <w:pageBreakBefore w:val="0"/>
              <w:kinsoku/>
              <w:wordWrap/>
              <w:overflowPunct/>
              <w:topLinePunct w:val="0"/>
              <w:bidi w:val="0"/>
              <w:snapToGrid/>
              <w:spacing w:afterAutospacing="0" w:line="576" w:lineRule="exact"/>
              <w:ind w:firstLine="640" w:firstLineChars="200"/>
              <w:textAlignment w:val="auto"/>
              <w:rPr>
                <w:rFonts w:hint="eastAsia" w:ascii="仿宋_GB2312" w:hAnsi="仿宋_GB2312" w:eastAsia="仿宋_GB2312" w:cs="仿宋_GB2312"/>
                <w:sz w:val="32"/>
                <w:szCs w:val="32"/>
              </w:rPr>
            </w:pPr>
          </w:p>
        </w:tc>
      </w:tr>
    </w:tbl>
    <w:p w14:paraId="613CC4B9">
      <w:pPr>
        <w:pStyle w:val="4"/>
        <w:pageBreakBefore w:val="0"/>
        <w:kinsoku/>
        <w:wordWrap/>
        <w:overflowPunct/>
        <w:topLinePunct w:val="0"/>
        <w:bidi w:val="0"/>
        <w:snapToGrid/>
        <w:spacing w:before="0" w:after="0" w:afterAutospacing="0" w:line="576" w:lineRule="exact"/>
        <w:ind w:firstLine="880" w:firstLineChars="200"/>
        <w:jc w:val="center"/>
        <w:textAlignment w:val="auto"/>
        <w:rPr>
          <w:rFonts w:hint="eastAsia" w:ascii="方正小标宋_GBK" w:hAnsi="方正小标宋_GBK" w:eastAsia="方正小标宋_GBK" w:cs="方正小标宋_GBK"/>
          <w:b w:val="0"/>
          <w:bCs w:val="0"/>
          <w:sz w:val="44"/>
          <w:szCs w:val="44"/>
        </w:rPr>
      </w:pPr>
      <w:bookmarkStart w:id="0" w:name="_Toc4148"/>
      <w:bookmarkStart w:id="1" w:name="_Toc25043"/>
      <w:bookmarkStart w:id="2" w:name="_Toc22058"/>
      <w:bookmarkStart w:id="3" w:name="_Toc15378442"/>
      <w:bookmarkStart w:id="4" w:name="_Toc15377426"/>
      <w:bookmarkStart w:id="5" w:name="_Toc26985"/>
      <w:bookmarkStart w:id="6" w:name="_Toc19735"/>
      <w:bookmarkStart w:id="7" w:name="_Toc9431"/>
      <w:bookmarkStart w:id="8" w:name="_Toc15377194"/>
      <w:bookmarkStart w:id="9" w:name="_Toc15396598"/>
      <w:bookmarkStart w:id="10" w:name="_Toc29418"/>
      <w:bookmarkStart w:id="11" w:name="_Toc15396476"/>
      <w:r>
        <w:rPr>
          <w:rFonts w:hint="eastAsia" w:ascii="方正小标宋_GBK" w:hAnsi="方正小标宋_GBK" w:eastAsia="方正小标宋_GBK" w:cs="方正小标宋_GBK"/>
          <w:b w:val="0"/>
          <w:bCs w:val="0"/>
          <w:sz w:val="44"/>
          <w:szCs w:val="44"/>
          <w:lang w:eastAsia="zh-CN"/>
        </w:rPr>
        <w:t>红原县</w:t>
      </w:r>
      <w:bookmarkStart w:id="12" w:name="_Toc15306268"/>
      <w:r>
        <w:rPr>
          <w:rFonts w:hint="eastAsia" w:ascii="方正小标宋_GBK" w:hAnsi="方正小标宋_GBK" w:eastAsia="方正小标宋_GBK" w:cs="方正小标宋_GBK"/>
          <w:b w:val="0"/>
          <w:bCs w:val="0"/>
          <w:sz w:val="44"/>
          <w:szCs w:val="44"/>
          <w:lang w:val="en-US" w:eastAsia="zh-CN"/>
        </w:rPr>
        <w:t>融媒体</w:t>
      </w:r>
      <w:r>
        <w:rPr>
          <w:rFonts w:hint="eastAsia" w:ascii="方正小标宋_GBK" w:hAnsi="方正小标宋_GBK" w:eastAsia="方正小标宋_GBK" w:cs="方正小标宋_GBK"/>
          <w:b w:val="0"/>
          <w:bCs w:val="0"/>
          <w:sz w:val="44"/>
          <w:szCs w:val="44"/>
          <w:lang w:eastAsia="zh-CN"/>
        </w:rPr>
        <w:t>中心</w:t>
      </w:r>
      <w:bookmarkStart w:id="13" w:name="_Toc11291"/>
      <w:bookmarkStart w:id="14" w:name="_Toc983"/>
      <w:bookmarkStart w:id="15" w:name="_Toc15396475"/>
      <w:bookmarkStart w:id="16" w:name="_Toc15377193"/>
      <w:bookmarkStart w:id="17" w:name="_Toc10857"/>
      <w:bookmarkStart w:id="18" w:name="_Toc15396597"/>
      <w:bookmarkStart w:id="19" w:name="_Toc8329"/>
      <w:bookmarkStart w:id="20" w:name="_Toc26514"/>
      <w:bookmarkStart w:id="21" w:name="_Toc15377425"/>
      <w:bookmarkStart w:id="22" w:name="_Toc15378441"/>
      <w:r>
        <w:rPr>
          <w:rFonts w:hint="eastAsia" w:ascii="方正小标宋_GBK" w:hAnsi="方正小标宋_GBK" w:eastAsia="方正小标宋_GBK" w:cs="方正小标宋_GBK"/>
          <w:b w:val="0"/>
          <w:bCs w:val="0"/>
          <w:sz w:val="44"/>
          <w:szCs w:val="44"/>
        </w:rPr>
        <w:t>20</w:t>
      </w:r>
      <w:r>
        <w:rPr>
          <w:rFonts w:hint="eastAsia" w:ascii="方正小标宋_GBK" w:hAnsi="方正小标宋_GBK" w:eastAsia="方正小标宋_GBK" w:cs="方正小标宋_GBK"/>
          <w:b w:val="0"/>
          <w:bCs w:val="0"/>
          <w:sz w:val="44"/>
          <w:szCs w:val="44"/>
          <w:lang w:val="en-US" w:eastAsia="zh-CN"/>
        </w:rPr>
        <w:t>23</w:t>
      </w:r>
      <w:r>
        <w:rPr>
          <w:rFonts w:hint="eastAsia" w:ascii="方正小标宋_GBK" w:hAnsi="方正小标宋_GBK" w:eastAsia="方正小标宋_GBK" w:cs="方正小标宋_GBK"/>
          <w:b w:val="0"/>
          <w:bCs w:val="0"/>
          <w:sz w:val="44"/>
          <w:szCs w:val="44"/>
        </w:rPr>
        <w:t>年</w:t>
      </w:r>
      <w:bookmarkEnd w:id="13"/>
      <w:bookmarkEnd w:id="14"/>
      <w:bookmarkEnd w:id="15"/>
      <w:bookmarkEnd w:id="16"/>
      <w:bookmarkEnd w:id="17"/>
      <w:bookmarkEnd w:id="18"/>
      <w:bookmarkEnd w:id="19"/>
      <w:bookmarkEnd w:id="20"/>
      <w:bookmarkEnd w:id="21"/>
      <w:bookmarkEnd w:id="22"/>
      <w:bookmarkStart w:id="169" w:name="_GoBack"/>
      <w:bookmarkEnd w:id="169"/>
      <w:r>
        <w:rPr>
          <w:rFonts w:hint="eastAsia" w:ascii="方正小标宋_GBK" w:hAnsi="方正小标宋_GBK" w:eastAsia="方正小标宋_GBK" w:cs="方正小标宋_GBK"/>
          <w:b w:val="0"/>
          <w:bCs w:val="0"/>
          <w:sz w:val="44"/>
          <w:szCs w:val="44"/>
          <w:lang w:val="en-US" w:eastAsia="zh-CN"/>
        </w:rPr>
        <w:t>部门</w:t>
      </w:r>
      <w:r>
        <w:rPr>
          <w:rFonts w:hint="eastAsia" w:ascii="方正小标宋_GBK" w:hAnsi="方正小标宋_GBK" w:eastAsia="方正小标宋_GBK" w:cs="方正小标宋_GBK"/>
          <w:b w:val="0"/>
          <w:bCs w:val="0"/>
          <w:sz w:val="44"/>
          <w:szCs w:val="44"/>
        </w:rPr>
        <w:t>决算</w:t>
      </w:r>
      <w:bookmarkEnd w:id="0"/>
      <w:bookmarkEnd w:id="1"/>
      <w:bookmarkEnd w:id="2"/>
      <w:bookmarkEnd w:id="3"/>
      <w:bookmarkEnd w:id="4"/>
      <w:bookmarkEnd w:id="5"/>
      <w:bookmarkEnd w:id="6"/>
      <w:bookmarkEnd w:id="7"/>
      <w:bookmarkEnd w:id="8"/>
      <w:bookmarkEnd w:id="9"/>
      <w:bookmarkEnd w:id="10"/>
      <w:bookmarkEnd w:id="11"/>
      <w:bookmarkEnd w:id="12"/>
    </w:p>
    <w:p w14:paraId="30F3A3E6">
      <w:pPr>
        <w:pageBreakBefore w:val="0"/>
        <w:kinsoku/>
        <w:wordWrap/>
        <w:overflowPunct/>
        <w:topLinePunct w:val="0"/>
        <w:bidi w:val="0"/>
        <w:snapToGrid/>
        <w:spacing w:afterAutospacing="0" w:line="576" w:lineRule="exact"/>
        <w:ind w:firstLine="720" w:firstLineChars="200"/>
        <w:jc w:val="left"/>
        <w:textAlignment w:val="auto"/>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 xml:space="preserve">          </w:t>
      </w:r>
    </w:p>
    <w:p w14:paraId="797ACD4F">
      <w:pPr>
        <w:pageBreakBefore w:val="0"/>
        <w:kinsoku/>
        <w:wordWrap/>
        <w:overflowPunct/>
        <w:topLinePunct w:val="0"/>
        <w:bidi w:val="0"/>
        <w:snapToGrid/>
        <w:spacing w:afterAutospacing="0" w:line="576" w:lineRule="exact"/>
        <w:ind w:firstLine="720" w:firstLineChars="200"/>
        <w:jc w:val="left"/>
        <w:textAlignment w:val="auto"/>
        <w:rPr>
          <w:rFonts w:hint="eastAsia" w:ascii="黑体" w:hAnsi="黑体" w:eastAsia="黑体" w:cs="黑体"/>
          <w:sz w:val="36"/>
          <w:szCs w:val="36"/>
          <w:lang w:val="en-US" w:eastAsia="zh-CN"/>
        </w:rPr>
      </w:pPr>
    </w:p>
    <w:p w14:paraId="2E7DA120">
      <w:pPr>
        <w:pageBreakBefore w:val="0"/>
        <w:kinsoku/>
        <w:wordWrap/>
        <w:overflowPunct/>
        <w:topLinePunct w:val="0"/>
        <w:bidi w:val="0"/>
        <w:snapToGrid/>
        <w:spacing w:afterAutospacing="0" w:line="576" w:lineRule="exact"/>
        <w:ind w:firstLine="720" w:firstLineChars="200"/>
        <w:jc w:val="left"/>
        <w:textAlignment w:val="auto"/>
        <w:rPr>
          <w:rFonts w:hint="eastAsia" w:ascii="黑体" w:hAnsi="黑体" w:eastAsia="黑体" w:cs="黑体"/>
          <w:sz w:val="36"/>
          <w:szCs w:val="36"/>
          <w:lang w:val="en-US" w:eastAsia="zh-CN"/>
        </w:rPr>
      </w:pPr>
    </w:p>
    <w:p w14:paraId="79D222E6">
      <w:pPr>
        <w:pStyle w:val="2"/>
        <w:pageBreakBefore w:val="0"/>
        <w:kinsoku/>
        <w:wordWrap/>
        <w:topLinePunct w:val="0"/>
        <w:bidi w:val="0"/>
        <w:spacing w:after="0" w:afterAutospacing="0" w:line="576" w:lineRule="exact"/>
        <w:ind w:firstLine="720" w:firstLineChars="200"/>
        <w:rPr>
          <w:rFonts w:hint="eastAsia" w:ascii="黑体" w:hAnsi="黑体" w:eastAsia="黑体" w:cs="黑体"/>
          <w:sz w:val="36"/>
          <w:szCs w:val="36"/>
          <w:lang w:val="en-US" w:eastAsia="zh-CN"/>
        </w:rPr>
      </w:pPr>
    </w:p>
    <w:p w14:paraId="1E2AB286">
      <w:pPr>
        <w:pStyle w:val="3"/>
        <w:pageBreakBefore w:val="0"/>
        <w:kinsoku/>
        <w:wordWrap/>
        <w:topLinePunct w:val="0"/>
        <w:bidi w:val="0"/>
        <w:spacing w:after="0" w:afterAutospacing="0" w:line="576" w:lineRule="exact"/>
        <w:ind w:firstLine="720" w:firstLineChars="200"/>
        <w:rPr>
          <w:rFonts w:hint="eastAsia" w:ascii="黑体" w:hAnsi="黑体" w:eastAsia="黑体" w:cs="黑体"/>
          <w:sz w:val="36"/>
          <w:szCs w:val="36"/>
          <w:lang w:val="en-US" w:eastAsia="zh-CN"/>
        </w:rPr>
      </w:pPr>
    </w:p>
    <w:p w14:paraId="1CCBFBCC">
      <w:pPr>
        <w:pStyle w:val="3"/>
        <w:pageBreakBefore w:val="0"/>
        <w:kinsoku/>
        <w:wordWrap/>
        <w:topLinePunct w:val="0"/>
        <w:bidi w:val="0"/>
        <w:spacing w:after="0" w:afterAutospacing="0" w:line="576" w:lineRule="exact"/>
        <w:ind w:firstLine="720" w:firstLineChars="200"/>
        <w:rPr>
          <w:rFonts w:hint="eastAsia" w:ascii="黑体" w:hAnsi="黑体" w:eastAsia="黑体" w:cs="黑体"/>
          <w:sz w:val="36"/>
          <w:szCs w:val="36"/>
          <w:lang w:val="en-US" w:eastAsia="zh-CN"/>
        </w:rPr>
      </w:pPr>
    </w:p>
    <w:p w14:paraId="33FBCCB0">
      <w:pPr>
        <w:pageBreakBefore w:val="0"/>
        <w:kinsoku/>
        <w:wordWrap/>
        <w:overflowPunct/>
        <w:topLinePunct w:val="0"/>
        <w:bidi w:val="0"/>
        <w:snapToGrid/>
        <w:spacing w:afterAutospacing="0" w:line="576" w:lineRule="exact"/>
        <w:ind w:firstLine="720" w:firstLineChars="200"/>
        <w:jc w:val="left"/>
        <w:textAlignment w:val="auto"/>
        <w:rPr>
          <w:rFonts w:hint="default" w:ascii="黑体" w:hAnsi="黑体" w:eastAsia="黑体" w:cs="黑体"/>
          <w:sz w:val="36"/>
          <w:szCs w:val="36"/>
          <w:lang w:val="en-US" w:eastAsia="zh-CN"/>
        </w:rPr>
      </w:pPr>
    </w:p>
    <w:p w14:paraId="795D4DA1">
      <w:pPr>
        <w:pageBreakBefore w:val="0"/>
        <w:kinsoku/>
        <w:wordWrap/>
        <w:overflowPunct/>
        <w:topLinePunct w:val="0"/>
        <w:autoSpaceDE w:val="0"/>
        <w:autoSpaceDN w:val="0"/>
        <w:bidi w:val="0"/>
        <w:adjustRightInd w:val="0"/>
        <w:snapToGrid/>
        <w:spacing w:afterAutospacing="0" w:line="576" w:lineRule="exact"/>
        <w:ind w:firstLine="640" w:firstLineChars="200"/>
        <w:jc w:val="center"/>
        <w:textAlignment w:val="auto"/>
        <w:rPr>
          <w:rFonts w:eastAsia="仿宋_GB2312"/>
          <w:sz w:val="32"/>
          <w:szCs w:val="32"/>
        </w:rPr>
      </w:pPr>
      <w:r>
        <w:rPr>
          <w:rFonts w:hint="eastAsia" w:ascii="仿宋_GB2312" w:hAnsi="Calibri" w:eastAsia="仿宋_GB2312" w:cs="仿宋_GB2312"/>
          <w:sz w:val="32"/>
          <w:szCs w:val="32"/>
        </w:rPr>
        <w:t>保密审查情况：已审查，内容审定</w:t>
      </w:r>
    </w:p>
    <w:p w14:paraId="079CCCAF">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lang w:val="en-US" w:eastAsia="zh-CN"/>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w:t>
      </w:r>
      <w:r>
        <w:rPr>
          <w:rFonts w:hint="eastAsia" w:ascii="仿宋_GB2312" w:hAnsi="Calibri" w:eastAsia="仿宋_GB2312" w:cs="仿宋_GB2312"/>
          <w:sz w:val="32"/>
          <w:szCs w:val="32"/>
          <w:lang w:val="en-US" w:eastAsia="zh-CN"/>
        </w:rPr>
        <w:t>开</w:t>
      </w:r>
    </w:p>
    <w:p w14:paraId="596B7303">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lang w:val="en-US" w:eastAsia="zh-CN"/>
        </w:rPr>
      </w:pPr>
    </w:p>
    <w:p w14:paraId="52DE8DEC">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lang w:val="en-US" w:eastAsia="zh-CN"/>
        </w:rPr>
      </w:pPr>
    </w:p>
    <w:p w14:paraId="6B15F631">
      <w:pPr>
        <w:pageBreakBefore w:val="0"/>
        <w:widowControl/>
        <w:kinsoku/>
        <w:wordWrap/>
        <w:overflowPunct/>
        <w:topLinePunct w:val="0"/>
        <w:bidi w:val="0"/>
        <w:snapToGrid/>
        <w:spacing w:afterAutospacing="0" w:line="576" w:lineRule="exact"/>
        <w:ind w:firstLine="640" w:firstLineChars="200"/>
        <w:jc w:val="center"/>
        <w:textAlignment w:val="auto"/>
        <w:rPr>
          <w:rFonts w:hint="default"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公开时间：2024年11月7日</w:t>
      </w:r>
    </w:p>
    <w:p w14:paraId="7A178DF8">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5749DEDE">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7F25E325">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1DACB9A9">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675CCB3C">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4F4DA9B7">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3A035759">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0FFF2FEF">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07E8575F">
      <w:pPr>
        <w:pageBreakBefore w:val="0"/>
        <w:widowControl/>
        <w:kinsoku/>
        <w:wordWrap/>
        <w:overflowPunct/>
        <w:topLinePunct w:val="0"/>
        <w:bidi w:val="0"/>
        <w:snapToGrid/>
        <w:spacing w:afterAutospacing="0" w:line="576" w:lineRule="exact"/>
        <w:ind w:firstLine="640" w:firstLineChars="200"/>
        <w:jc w:val="center"/>
        <w:textAlignment w:val="auto"/>
        <w:rPr>
          <w:rFonts w:hint="eastAsia" w:ascii="仿宋_GB2312" w:hAnsi="Calibri" w:eastAsia="仿宋_GB2312" w:cs="仿宋_GB2312"/>
          <w:sz w:val="32"/>
          <w:szCs w:val="32"/>
        </w:rPr>
      </w:pPr>
    </w:p>
    <w:p w14:paraId="455791B7">
      <w:pPr>
        <w:pageBreakBefore w:val="0"/>
        <w:widowControl/>
        <w:kinsoku/>
        <w:wordWrap/>
        <w:overflowPunct/>
        <w:topLinePunct w:val="0"/>
        <w:bidi w:val="0"/>
        <w:snapToGrid/>
        <w:spacing w:afterAutospacing="0" w:line="576" w:lineRule="exact"/>
        <w:ind w:firstLine="420" w:firstLineChars="200"/>
        <w:jc w:val="both"/>
        <w:textAlignment w:val="auto"/>
        <w:rPr>
          <w:rFonts w:hint="eastAsia" w:ascii="仿宋_GB2312" w:hAnsi="Calibri" w:eastAsia="仿宋_GB2312" w:cs="仿宋_GB2312"/>
          <w:kern w:val="2"/>
          <w:sz w:val="21"/>
          <w:szCs w:val="32"/>
          <w:lang w:val="en-US" w:eastAsia="zh-CN" w:bidi="ar-SA"/>
        </w:rPr>
        <w:sectPr>
          <w:pgSz w:w="11906" w:h="16838"/>
          <w:pgMar w:top="1440" w:right="1800" w:bottom="1440" w:left="1800" w:header="851" w:footer="992" w:gutter="0"/>
          <w:pgNumType w:fmt="decimal" w:start="1"/>
          <w:cols w:space="425" w:num="1"/>
          <w:titlePg/>
          <w:docGrid w:type="lines" w:linePitch="312" w:charSpace="0"/>
        </w:sectPr>
      </w:pPr>
    </w:p>
    <w:sdt>
      <w:sdtPr>
        <w:rPr>
          <w:rFonts w:ascii="宋体" w:hAnsi="宋体" w:eastAsia="宋体" w:cstheme="minorBidi"/>
          <w:kern w:val="2"/>
          <w:sz w:val="21"/>
          <w:szCs w:val="24"/>
          <w:lang w:val="en-US" w:eastAsia="zh-CN" w:bidi="ar-SA"/>
        </w:rPr>
        <w:id w:val="147467408"/>
        <w15:color w:val="DBDBDB"/>
        <w:docPartObj>
          <w:docPartGallery w:val="Table of Contents"/>
          <w:docPartUnique/>
        </w:docPartObj>
      </w:sdtPr>
      <w:sdtEndPr>
        <w:rPr>
          <w:rFonts w:hint="eastAsia" w:ascii="仿宋_GB2312" w:hAnsi="Calibri" w:eastAsia="仿宋_GB2312" w:cs="仿宋_GB2312"/>
          <w:b/>
          <w:kern w:val="2"/>
          <w:sz w:val="21"/>
          <w:szCs w:val="32"/>
          <w:lang w:val="en-US" w:eastAsia="zh-CN" w:bidi="ar-SA"/>
        </w:rPr>
      </w:sdtEndPr>
      <w:sdtContent>
        <w:p w14:paraId="26497553">
          <w:pPr>
            <w:pageBreakBefore w:val="0"/>
            <w:kinsoku/>
            <w:wordWrap/>
            <w:topLinePunct w:val="0"/>
            <w:bidi w:val="0"/>
            <w:spacing w:afterAutospacing="0" w:line="576" w:lineRule="exact"/>
            <w:ind w:left="0" w:leftChars="0" w:right="0" w:rightChars="0" w:firstLine="420" w:firstLineChars="200"/>
            <w:jc w:val="center"/>
          </w:pPr>
          <w:r>
            <w:rPr>
              <w:rFonts w:ascii="宋体" w:hAnsi="宋体" w:eastAsia="宋体"/>
              <w:sz w:val="21"/>
            </w:rPr>
            <w:t>目录</w:t>
          </w:r>
        </w:p>
        <w:p w14:paraId="4BA8AA90">
          <w:pPr>
            <w:pStyle w:val="11"/>
            <w:pageBreakBefore w:val="0"/>
            <w:tabs>
              <w:tab w:val="right" w:leader="dot" w:pos="8306"/>
            </w:tabs>
            <w:kinsoku/>
            <w:wordWrap/>
            <w:topLinePunct w:val="0"/>
            <w:bidi w:val="0"/>
            <w:spacing w:afterAutospacing="0" w:line="576" w:lineRule="exact"/>
            <w:ind w:firstLine="420" w:firstLineChars="200"/>
          </w:pPr>
          <w:r>
            <w:rPr>
              <w:rFonts w:hint="eastAsia" w:ascii="仿宋_GB2312" w:hAnsi="Calibri" w:eastAsia="仿宋_GB2312" w:cs="仿宋_GB2312"/>
              <w:kern w:val="2"/>
              <w:sz w:val="21"/>
              <w:szCs w:val="32"/>
              <w:lang w:val="en-US" w:eastAsia="zh-CN" w:bidi="ar-SA"/>
            </w:rPr>
            <w:fldChar w:fldCharType="begin"/>
          </w:r>
          <w:r>
            <w:rPr>
              <w:rFonts w:hint="eastAsia" w:ascii="仿宋_GB2312" w:hAnsi="Calibri" w:eastAsia="仿宋_GB2312" w:cs="仿宋_GB2312"/>
              <w:kern w:val="2"/>
              <w:sz w:val="21"/>
              <w:szCs w:val="32"/>
              <w:lang w:val="en-US" w:eastAsia="zh-CN" w:bidi="ar-SA"/>
            </w:rPr>
            <w:instrText xml:space="preserve">TOC \o "1-2" \h \u </w:instrText>
          </w:r>
          <w:r>
            <w:rPr>
              <w:rFonts w:hint="eastAsia" w:ascii="仿宋_GB2312" w:hAnsi="Calibri" w:eastAsia="仿宋_GB2312" w:cs="仿宋_GB2312"/>
              <w:kern w:val="2"/>
              <w:sz w:val="21"/>
              <w:szCs w:val="32"/>
              <w:lang w:val="en-US" w:eastAsia="zh-CN" w:bidi="ar-SA"/>
            </w:rPr>
            <w:fldChar w:fldCharType="separate"/>
          </w: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_Toc4148 </w:instrText>
          </w:r>
          <w:r>
            <w:rPr>
              <w:rFonts w:hint="eastAsia" w:ascii="仿宋_GB2312" w:hAnsi="Calibri" w:eastAsia="仿宋_GB2312" w:cs="仿宋_GB2312"/>
              <w:kern w:val="2"/>
              <w:szCs w:val="32"/>
              <w:lang w:val="en-US" w:eastAsia="zh-CN" w:bidi="ar-SA"/>
            </w:rPr>
            <w:fldChar w:fldCharType="separate"/>
          </w:r>
          <w:r>
            <w:rPr>
              <w:rFonts w:hint="eastAsia" w:ascii="方正小标宋_GBK" w:hAnsi="方正小标宋_GBK" w:eastAsia="方正小标宋_GBK" w:cs="方正小标宋_GBK"/>
              <w:bCs w:val="0"/>
              <w:szCs w:val="44"/>
            </w:rPr>
            <w:t>20</w:t>
          </w:r>
          <w:r>
            <w:rPr>
              <w:rFonts w:hint="eastAsia" w:ascii="方正小标宋_GBK" w:hAnsi="方正小标宋_GBK" w:eastAsia="方正小标宋_GBK" w:cs="方正小标宋_GBK"/>
              <w:bCs w:val="0"/>
              <w:szCs w:val="44"/>
              <w:lang w:val="en-US" w:eastAsia="zh-CN"/>
            </w:rPr>
            <w:t>23</w:t>
          </w:r>
          <w:r>
            <w:rPr>
              <w:rFonts w:hint="eastAsia" w:ascii="方正小标宋_GBK" w:hAnsi="方正小标宋_GBK" w:eastAsia="方正小标宋_GBK" w:cs="方正小标宋_GBK"/>
              <w:bCs w:val="0"/>
              <w:szCs w:val="44"/>
            </w:rPr>
            <w:t>年度</w:t>
          </w:r>
          <w:r>
            <w:rPr>
              <w:rFonts w:hint="eastAsia" w:ascii="方正小标宋_GBK" w:hAnsi="方正小标宋_GBK" w:eastAsia="方正小标宋_GBK" w:cs="方正小标宋_GBK"/>
              <w:bCs w:val="0"/>
              <w:szCs w:val="44"/>
              <w:lang w:eastAsia="zh-CN"/>
            </w:rPr>
            <w:t>红原县</w:t>
          </w:r>
          <w:r>
            <w:rPr>
              <w:rFonts w:hint="eastAsia" w:ascii="方正小标宋_GBK" w:hAnsi="方正小标宋_GBK" w:eastAsia="方正小标宋_GBK" w:cs="方正小标宋_GBK"/>
              <w:bCs w:val="0"/>
              <w:szCs w:val="44"/>
              <w:lang w:val="en-US" w:eastAsia="zh-CN"/>
            </w:rPr>
            <w:t>融媒体</w:t>
          </w:r>
          <w:r>
            <w:rPr>
              <w:rFonts w:hint="eastAsia" w:ascii="方正小标宋_GBK" w:hAnsi="方正小标宋_GBK" w:eastAsia="方正小标宋_GBK" w:cs="方正小标宋_GBK"/>
              <w:bCs w:val="0"/>
              <w:szCs w:val="44"/>
              <w:lang w:eastAsia="zh-CN"/>
            </w:rPr>
            <w:t>中心</w:t>
          </w:r>
          <w:r>
            <w:rPr>
              <w:rFonts w:hint="eastAsia" w:ascii="方正小标宋_GBK" w:hAnsi="方正小标宋_GBK" w:eastAsia="方正小标宋_GBK" w:cs="方正小标宋_GBK"/>
              <w:bCs w:val="0"/>
              <w:szCs w:val="44"/>
              <w:lang w:val="en-US" w:eastAsia="zh-CN"/>
            </w:rPr>
            <w:t>部门</w:t>
          </w:r>
          <w:r>
            <w:rPr>
              <w:rFonts w:hint="eastAsia" w:ascii="方正小标宋_GBK" w:hAnsi="方正小标宋_GBK" w:eastAsia="方正小标宋_GBK" w:cs="方正小标宋_GBK"/>
              <w:bCs w:val="0"/>
              <w:szCs w:val="44"/>
            </w:rPr>
            <w:t>决算</w:t>
          </w:r>
          <w:r>
            <w:tab/>
          </w:r>
          <w:r>
            <w:fldChar w:fldCharType="begin"/>
          </w:r>
          <w:r>
            <w:instrText xml:space="preserve"> PAGEREF _Toc4148 \h </w:instrText>
          </w:r>
          <w:r>
            <w:fldChar w:fldCharType="separate"/>
          </w:r>
          <w:r>
            <w:t>1</w:t>
          </w:r>
          <w:r>
            <w:fldChar w:fldCharType="end"/>
          </w:r>
          <w:r>
            <w:rPr>
              <w:rFonts w:hint="eastAsia" w:ascii="仿宋_GB2312" w:hAnsi="Calibri" w:eastAsia="仿宋_GB2312" w:cs="仿宋_GB2312"/>
              <w:kern w:val="2"/>
              <w:szCs w:val="32"/>
              <w:lang w:val="en-US" w:eastAsia="zh-CN" w:bidi="ar-SA"/>
            </w:rPr>
            <w:fldChar w:fldCharType="end"/>
          </w:r>
        </w:p>
        <w:p w14:paraId="2D1D17E5">
          <w:pPr>
            <w:pStyle w:val="11"/>
            <w:pageBreakBefore w:val="0"/>
            <w:tabs>
              <w:tab w:val="right" w:leader="dot" w:pos="8306"/>
            </w:tabs>
            <w:kinsoku/>
            <w:wordWrap/>
            <w:topLinePunct w:val="0"/>
            <w:bidi w:val="0"/>
            <w:spacing w:afterAutospacing="0" w:line="576" w:lineRule="exact"/>
            <w:ind w:firstLine="42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_Toc17142 </w:instrText>
          </w:r>
          <w:r>
            <w:rPr>
              <w:rFonts w:hint="eastAsia" w:ascii="仿宋_GB2312" w:hAnsi="Calibri" w:eastAsia="仿宋_GB2312" w:cs="仿宋_GB2312"/>
              <w:kern w:val="2"/>
              <w:szCs w:val="32"/>
              <w:lang w:val="en-US" w:eastAsia="zh-CN" w:bidi="ar-SA"/>
            </w:rPr>
            <w:fldChar w:fldCharType="separate"/>
          </w:r>
          <w:r>
            <w:rPr>
              <w:rFonts w:hint="eastAsia"/>
            </w:rPr>
            <w:t>第一部分 部门概况</w:t>
          </w:r>
          <w:r>
            <w:tab/>
          </w:r>
          <w:r>
            <w:fldChar w:fldCharType="begin"/>
          </w:r>
          <w:r>
            <w:instrText xml:space="preserve"> PAGEREF _Toc17142 \h </w:instrText>
          </w:r>
          <w:r>
            <w:fldChar w:fldCharType="separate"/>
          </w:r>
          <w:r>
            <w:t>1</w:t>
          </w:r>
          <w:r>
            <w:fldChar w:fldCharType="end"/>
          </w:r>
          <w:r>
            <w:rPr>
              <w:rFonts w:hint="eastAsia" w:ascii="仿宋_GB2312" w:hAnsi="Calibri" w:eastAsia="仿宋_GB2312" w:cs="仿宋_GB2312"/>
              <w:kern w:val="2"/>
              <w:szCs w:val="32"/>
              <w:lang w:val="en-US" w:eastAsia="zh-CN" w:bidi="ar-SA"/>
            </w:rPr>
            <w:fldChar w:fldCharType="end"/>
          </w:r>
        </w:p>
        <w:p w14:paraId="39EB9F7D">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_Toc25197 </w:instrText>
          </w:r>
          <w:r>
            <w:rPr>
              <w:rFonts w:hint="eastAsia" w:ascii="仿宋_GB2312" w:hAnsi="Calibri" w:eastAsia="仿宋_GB2312" w:cs="仿宋_GB2312"/>
              <w:kern w:val="2"/>
              <w:szCs w:val="32"/>
              <w:lang w:val="en-US" w:eastAsia="zh-CN" w:bidi="ar-SA"/>
            </w:rPr>
            <w:fldChar w:fldCharType="separate"/>
          </w:r>
          <w:r>
            <w:rPr>
              <w:rFonts w:hint="eastAsia"/>
            </w:rPr>
            <w:t> </w:t>
          </w:r>
          <w:r>
            <w:t>一、基本职能及主要工作</w:t>
          </w:r>
          <w:r>
            <w:tab/>
          </w:r>
          <w:r>
            <w:fldChar w:fldCharType="begin"/>
          </w:r>
          <w:r>
            <w:instrText xml:space="preserve"> PAGEREF _Toc25197 \h </w:instrText>
          </w:r>
          <w:r>
            <w:fldChar w:fldCharType="separate"/>
          </w:r>
          <w:r>
            <w:t>1</w:t>
          </w:r>
          <w:r>
            <w:fldChar w:fldCharType="end"/>
          </w:r>
          <w:r>
            <w:rPr>
              <w:rFonts w:hint="eastAsia" w:ascii="仿宋_GB2312" w:hAnsi="Calibri" w:eastAsia="仿宋_GB2312" w:cs="仿宋_GB2312"/>
              <w:kern w:val="2"/>
              <w:szCs w:val="32"/>
              <w:lang w:val="en-US" w:eastAsia="zh-CN" w:bidi="ar-SA"/>
            </w:rPr>
            <w:fldChar w:fldCharType="end"/>
          </w:r>
        </w:p>
        <w:p w14:paraId="22C7E6DD">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_Toc11008 </w:instrText>
          </w:r>
          <w:r>
            <w:rPr>
              <w:rFonts w:hint="eastAsia" w:ascii="仿宋_GB2312" w:hAnsi="Calibri" w:eastAsia="仿宋_GB2312" w:cs="仿宋_GB2312"/>
              <w:kern w:val="2"/>
              <w:szCs w:val="32"/>
              <w:lang w:val="en-US" w:eastAsia="zh-CN" w:bidi="ar-SA"/>
            </w:rPr>
            <w:fldChar w:fldCharType="separate"/>
          </w:r>
          <w:r>
            <w:t>（一）主要职能。</w:t>
          </w:r>
          <w:r>
            <w:tab/>
          </w:r>
          <w:r>
            <w:fldChar w:fldCharType="begin"/>
          </w:r>
          <w:r>
            <w:instrText xml:space="preserve"> PAGEREF _Toc11008 \h </w:instrText>
          </w:r>
          <w:r>
            <w:fldChar w:fldCharType="separate"/>
          </w:r>
          <w:r>
            <w:t>1</w:t>
          </w:r>
          <w:r>
            <w:fldChar w:fldCharType="end"/>
          </w:r>
          <w:r>
            <w:rPr>
              <w:rFonts w:hint="eastAsia" w:ascii="仿宋_GB2312" w:hAnsi="Calibri" w:eastAsia="仿宋_GB2312" w:cs="仿宋_GB2312"/>
              <w:kern w:val="2"/>
              <w:szCs w:val="32"/>
              <w:lang w:val="en-US" w:eastAsia="zh-CN" w:bidi="ar-SA"/>
            </w:rPr>
            <w:fldChar w:fldCharType="end"/>
          </w:r>
        </w:p>
        <w:p w14:paraId="4D1BB117">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_Toc12756 </w:instrText>
          </w:r>
          <w:r>
            <w:rPr>
              <w:rFonts w:hint="eastAsia" w:ascii="仿宋_GB2312" w:hAnsi="Calibri" w:eastAsia="仿宋_GB2312" w:cs="仿宋_GB2312"/>
              <w:kern w:val="2"/>
              <w:szCs w:val="32"/>
              <w:lang w:val="en-US" w:eastAsia="zh-CN" w:bidi="ar-SA"/>
            </w:rPr>
            <w:fldChar w:fldCharType="separate"/>
          </w:r>
          <w:r>
            <w:rPr>
              <w:rFonts w:hint="eastAsia"/>
            </w:rPr>
            <w:t>（二）202</w:t>
          </w:r>
          <w:r>
            <w:rPr>
              <w:rFonts w:hint="eastAsia"/>
              <w:lang w:val="en-US" w:eastAsia="zh-CN"/>
            </w:rPr>
            <w:t>3</w:t>
          </w:r>
          <w:r>
            <w:rPr>
              <w:rFonts w:hint="eastAsia"/>
            </w:rPr>
            <w:t>年重点工作完成情况。</w:t>
          </w:r>
          <w:r>
            <w:tab/>
          </w:r>
          <w:r>
            <w:fldChar w:fldCharType="begin"/>
          </w:r>
          <w:r>
            <w:instrText xml:space="preserve"> PAGEREF _Toc12756 \h </w:instrText>
          </w:r>
          <w:r>
            <w:fldChar w:fldCharType="separate"/>
          </w:r>
          <w:r>
            <w:t>2</w:t>
          </w:r>
          <w:r>
            <w:fldChar w:fldCharType="end"/>
          </w:r>
          <w:r>
            <w:rPr>
              <w:rFonts w:hint="eastAsia" w:ascii="仿宋_GB2312" w:hAnsi="Calibri" w:eastAsia="仿宋_GB2312" w:cs="仿宋_GB2312"/>
              <w:kern w:val="2"/>
              <w:szCs w:val="32"/>
              <w:lang w:val="en-US" w:eastAsia="zh-CN" w:bidi="ar-SA"/>
            </w:rPr>
            <w:fldChar w:fldCharType="end"/>
          </w:r>
        </w:p>
        <w:p w14:paraId="7F491D97">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_Toc28638 </w:instrText>
          </w:r>
          <w:r>
            <w:rPr>
              <w:rFonts w:hint="eastAsia" w:ascii="仿宋_GB2312" w:hAnsi="Calibri" w:eastAsia="仿宋_GB2312" w:cs="仿宋_GB2312"/>
              <w:kern w:val="2"/>
              <w:szCs w:val="32"/>
              <w:lang w:val="en-US" w:eastAsia="zh-CN" w:bidi="ar-SA"/>
            </w:rPr>
            <w:fldChar w:fldCharType="separate"/>
          </w:r>
          <w:r>
            <w:rPr>
              <w:rFonts w:hint="eastAsia"/>
            </w:rPr>
            <w:t>二、机构设置</w:t>
          </w:r>
          <w:r>
            <w:tab/>
          </w:r>
          <w:r>
            <w:fldChar w:fldCharType="begin"/>
          </w:r>
          <w:r>
            <w:instrText xml:space="preserve"> PAGEREF _Toc28638 \h </w:instrText>
          </w:r>
          <w:r>
            <w:fldChar w:fldCharType="separate"/>
          </w:r>
          <w:r>
            <w:t>5</w:t>
          </w:r>
          <w:r>
            <w:fldChar w:fldCharType="end"/>
          </w:r>
          <w:r>
            <w:rPr>
              <w:rFonts w:hint="eastAsia" w:ascii="仿宋_GB2312" w:hAnsi="Calibri" w:eastAsia="仿宋_GB2312" w:cs="仿宋_GB2312"/>
              <w:kern w:val="2"/>
              <w:szCs w:val="32"/>
              <w:lang w:val="en-US" w:eastAsia="zh-CN" w:bidi="ar-SA"/>
            </w:rPr>
            <w:fldChar w:fldCharType="end"/>
          </w:r>
        </w:p>
        <w:p w14:paraId="325D52A8">
          <w:pPr>
            <w:pStyle w:val="11"/>
            <w:pageBreakBefore w:val="0"/>
            <w:tabs>
              <w:tab w:val="right" w:leader="dot" w:pos="8306"/>
            </w:tabs>
            <w:kinsoku/>
            <w:wordWrap/>
            <w:topLinePunct w:val="0"/>
            <w:bidi w:val="0"/>
            <w:spacing w:afterAutospacing="0" w:line="576" w:lineRule="exact"/>
            <w:ind w:firstLine="42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_Toc7923 </w:instrText>
          </w:r>
          <w:r>
            <w:rPr>
              <w:rFonts w:hint="eastAsia" w:ascii="仿宋_GB2312" w:hAnsi="Calibri" w:eastAsia="仿宋_GB2312" w:cs="仿宋_GB2312"/>
              <w:kern w:val="2"/>
              <w:szCs w:val="32"/>
              <w:lang w:val="en-US" w:eastAsia="zh-CN" w:bidi="ar-SA"/>
            </w:rPr>
            <w:fldChar w:fldCharType="separate"/>
          </w:r>
          <w:r>
            <w:rPr>
              <w:rFonts w:hint="eastAsia"/>
              <w:lang w:eastAsia="zh-CN"/>
            </w:rPr>
            <w:t xml:space="preserve">第二部分 </w:t>
          </w:r>
          <w:r>
            <w:rPr>
              <w:rFonts w:hint="eastAsia"/>
            </w:rPr>
            <w:t>20</w:t>
          </w:r>
          <w:r>
            <w:rPr>
              <w:rFonts w:hint="eastAsia"/>
              <w:lang w:val="en-US" w:eastAsia="zh-CN"/>
            </w:rPr>
            <w:t>23</w:t>
          </w:r>
          <w:r>
            <w:rPr>
              <w:rFonts w:hint="eastAsia"/>
            </w:rPr>
            <w:t>年度部门决算情况说明</w:t>
          </w:r>
          <w:r>
            <w:tab/>
          </w:r>
          <w:r>
            <w:fldChar w:fldCharType="begin"/>
          </w:r>
          <w:r>
            <w:instrText xml:space="preserve"> PAGEREF _Toc7923 \h </w:instrText>
          </w:r>
          <w:r>
            <w:fldChar w:fldCharType="separate"/>
          </w:r>
          <w:r>
            <w:t>5</w:t>
          </w:r>
          <w:r>
            <w:fldChar w:fldCharType="end"/>
          </w:r>
          <w:r>
            <w:rPr>
              <w:rFonts w:hint="eastAsia" w:ascii="仿宋_GB2312" w:hAnsi="Calibri" w:eastAsia="仿宋_GB2312" w:cs="仿宋_GB2312"/>
              <w:kern w:val="2"/>
              <w:szCs w:val="32"/>
              <w:lang w:val="en-US" w:eastAsia="zh-CN" w:bidi="ar-SA"/>
            </w:rPr>
            <w:fldChar w:fldCharType="end"/>
          </w:r>
        </w:p>
        <w:p w14:paraId="6F30123D">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_Toc11799 </w:instrText>
          </w:r>
          <w:r>
            <w:rPr>
              <w:rFonts w:hint="eastAsia" w:ascii="仿宋_GB2312" w:hAnsi="Calibri" w:eastAsia="仿宋_GB2312" w:cs="仿宋_GB2312"/>
              <w:kern w:val="2"/>
              <w:szCs w:val="32"/>
              <w:lang w:val="en-US" w:eastAsia="zh-CN" w:bidi="ar-SA"/>
            </w:rPr>
            <w:fldChar w:fldCharType="separate"/>
          </w:r>
          <w:r>
            <w:rPr>
              <w:rFonts w:hint="default"/>
              <w:lang w:val="en-US" w:eastAsia="zh-CN"/>
            </w:rPr>
            <w:t>一、收入支出决算总体情况说明</w:t>
          </w:r>
          <w:r>
            <w:tab/>
          </w:r>
          <w:r>
            <w:fldChar w:fldCharType="begin"/>
          </w:r>
          <w:r>
            <w:instrText xml:space="preserve"> PAGEREF _Toc11799 \h </w:instrText>
          </w:r>
          <w:r>
            <w:fldChar w:fldCharType="separate"/>
          </w:r>
          <w:r>
            <w:t>5</w:t>
          </w:r>
          <w:r>
            <w:fldChar w:fldCharType="end"/>
          </w:r>
          <w:r>
            <w:rPr>
              <w:rFonts w:hint="eastAsia" w:ascii="仿宋_GB2312" w:hAnsi="Calibri" w:eastAsia="仿宋_GB2312" w:cs="仿宋_GB2312"/>
              <w:kern w:val="2"/>
              <w:szCs w:val="32"/>
              <w:lang w:val="en-US" w:eastAsia="zh-CN" w:bidi="ar-SA"/>
            </w:rPr>
            <w:fldChar w:fldCharType="end"/>
          </w:r>
        </w:p>
        <w:p w14:paraId="6F0FC18D">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_Toc30581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二、收入决算情况说明</w:t>
          </w:r>
          <w:r>
            <w:tab/>
          </w:r>
          <w:r>
            <w:fldChar w:fldCharType="begin"/>
          </w:r>
          <w:r>
            <w:instrText xml:space="preserve"> PAGEREF _Toc30581 \h </w:instrText>
          </w:r>
          <w:r>
            <w:fldChar w:fldCharType="separate"/>
          </w:r>
          <w:r>
            <w:t>6</w:t>
          </w:r>
          <w:r>
            <w:fldChar w:fldCharType="end"/>
          </w:r>
          <w:r>
            <w:rPr>
              <w:rFonts w:hint="eastAsia" w:ascii="仿宋_GB2312" w:hAnsi="Calibri" w:eastAsia="仿宋_GB2312" w:cs="仿宋_GB2312"/>
              <w:kern w:val="2"/>
              <w:szCs w:val="32"/>
              <w:lang w:val="en-US" w:eastAsia="zh-CN" w:bidi="ar-SA"/>
            </w:rPr>
            <w:fldChar w:fldCharType="end"/>
          </w:r>
        </w:p>
        <w:p w14:paraId="5C850922">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_Toc4910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三、支出决算情况说明</w:t>
          </w:r>
          <w:r>
            <w:tab/>
          </w:r>
          <w:r>
            <w:fldChar w:fldCharType="begin"/>
          </w:r>
          <w:r>
            <w:instrText xml:space="preserve"> PAGEREF _Toc4910 \h </w:instrText>
          </w:r>
          <w:r>
            <w:fldChar w:fldCharType="separate"/>
          </w:r>
          <w:r>
            <w:t>6</w:t>
          </w:r>
          <w:r>
            <w:fldChar w:fldCharType="end"/>
          </w:r>
          <w:r>
            <w:rPr>
              <w:rFonts w:hint="eastAsia" w:ascii="仿宋_GB2312" w:hAnsi="Calibri" w:eastAsia="仿宋_GB2312" w:cs="仿宋_GB2312"/>
              <w:kern w:val="2"/>
              <w:szCs w:val="32"/>
              <w:lang w:val="en-US" w:eastAsia="zh-CN" w:bidi="ar-SA"/>
            </w:rPr>
            <w:fldChar w:fldCharType="end"/>
          </w:r>
        </w:p>
        <w:p w14:paraId="7F1B1951">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_Toc1014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四、财政拨款收入支出决算总体情况说明</w:t>
          </w:r>
          <w:r>
            <w:tab/>
          </w:r>
          <w:r>
            <w:fldChar w:fldCharType="begin"/>
          </w:r>
          <w:r>
            <w:instrText xml:space="preserve"> PAGEREF _Toc1014 \h </w:instrText>
          </w:r>
          <w:r>
            <w:fldChar w:fldCharType="separate"/>
          </w:r>
          <w:r>
            <w:t>7</w:t>
          </w:r>
          <w:r>
            <w:fldChar w:fldCharType="end"/>
          </w:r>
          <w:r>
            <w:rPr>
              <w:rFonts w:hint="eastAsia" w:ascii="仿宋_GB2312" w:hAnsi="Calibri" w:eastAsia="仿宋_GB2312" w:cs="仿宋_GB2312"/>
              <w:kern w:val="2"/>
              <w:szCs w:val="32"/>
              <w:lang w:val="en-US" w:eastAsia="zh-CN" w:bidi="ar-SA"/>
            </w:rPr>
            <w:fldChar w:fldCharType="end"/>
          </w:r>
        </w:p>
        <w:p w14:paraId="3839FC12">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_Toc9075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五、一般公共预算财政拨款支出决算情况说明</w:t>
          </w:r>
          <w:r>
            <w:tab/>
          </w:r>
          <w:r>
            <w:fldChar w:fldCharType="begin"/>
          </w:r>
          <w:r>
            <w:instrText xml:space="preserve"> PAGEREF _Toc9075 \h </w:instrText>
          </w:r>
          <w:r>
            <w:fldChar w:fldCharType="separate"/>
          </w:r>
          <w:r>
            <w:t>8</w:t>
          </w:r>
          <w:r>
            <w:fldChar w:fldCharType="end"/>
          </w:r>
          <w:r>
            <w:rPr>
              <w:rFonts w:hint="eastAsia" w:ascii="仿宋_GB2312" w:hAnsi="Calibri" w:eastAsia="仿宋_GB2312" w:cs="仿宋_GB2312"/>
              <w:kern w:val="2"/>
              <w:szCs w:val="32"/>
              <w:lang w:val="en-US" w:eastAsia="zh-CN" w:bidi="ar-SA"/>
            </w:rPr>
            <w:fldChar w:fldCharType="end"/>
          </w:r>
        </w:p>
        <w:p w14:paraId="0CB2F720">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_Toc30318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六、一般公共预算财政拨款基本支出决算情况说明   </w:t>
          </w:r>
          <w:r>
            <w:tab/>
          </w:r>
          <w:r>
            <w:fldChar w:fldCharType="begin"/>
          </w:r>
          <w:r>
            <w:instrText xml:space="preserve"> PAGEREF _Toc30318 \h </w:instrText>
          </w:r>
          <w:r>
            <w:fldChar w:fldCharType="separate"/>
          </w:r>
          <w:r>
            <w:t>10</w:t>
          </w:r>
          <w:r>
            <w:fldChar w:fldCharType="end"/>
          </w:r>
          <w:r>
            <w:rPr>
              <w:rFonts w:hint="eastAsia" w:ascii="仿宋_GB2312" w:hAnsi="Calibri" w:eastAsia="仿宋_GB2312" w:cs="仿宋_GB2312"/>
              <w:kern w:val="2"/>
              <w:szCs w:val="32"/>
              <w:lang w:val="en-US" w:eastAsia="zh-CN" w:bidi="ar-SA"/>
            </w:rPr>
            <w:fldChar w:fldCharType="end"/>
          </w:r>
        </w:p>
        <w:p w14:paraId="0A9F6CBA">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_Toc5210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七、“三公”经费财政拨款支出决算情况说明</w:t>
          </w:r>
          <w:r>
            <w:tab/>
          </w:r>
          <w:r>
            <w:fldChar w:fldCharType="begin"/>
          </w:r>
          <w:r>
            <w:instrText xml:space="preserve"> PAGEREF _Toc5210 \h </w:instrText>
          </w:r>
          <w:r>
            <w:fldChar w:fldCharType="separate"/>
          </w:r>
          <w:r>
            <w:t>11</w:t>
          </w:r>
          <w:r>
            <w:fldChar w:fldCharType="end"/>
          </w:r>
          <w:r>
            <w:rPr>
              <w:rFonts w:hint="eastAsia" w:ascii="仿宋_GB2312" w:hAnsi="Calibri" w:eastAsia="仿宋_GB2312" w:cs="仿宋_GB2312"/>
              <w:kern w:val="2"/>
              <w:szCs w:val="32"/>
              <w:lang w:val="en-US" w:eastAsia="zh-CN" w:bidi="ar-SA"/>
            </w:rPr>
            <w:fldChar w:fldCharType="end"/>
          </w:r>
        </w:p>
        <w:p w14:paraId="750F9625">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_Toc13423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七</w:t>
          </w:r>
          <w:r>
            <w:rPr>
              <w:rFonts w:hint="eastAsia"/>
            </w:rPr>
            <w:t>、政府性基金预算支出决算情况说明</w:t>
          </w:r>
          <w:r>
            <w:tab/>
          </w:r>
          <w:r>
            <w:fldChar w:fldCharType="begin"/>
          </w:r>
          <w:r>
            <w:instrText xml:space="preserve"> PAGEREF _Toc13423 \h </w:instrText>
          </w:r>
          <w:r>
            <w:fldChar w:fldCharType="separate"/>
          </w:r>
          <w:r>
            <w:t>13</w:t>
          </w:r>
          <w:r>
            <w:fldChar w:fldCharType="end"/>
          </w:r>
          <w:r>
            <w:rPr>
              <w:rFonts w:hint="eastAsia" w:ascii="仿宋_GB2312" w:hAnsi="Calibri" w:eastAsia="仿宋_GB2312" w:cs="仿宋_GB2312"/>
              <w:kern w:val="2"/>
              <w:szCs w:val="32"/>
              <w:lang w:val="en-US" w:eastAsia="zh-CN" w:bidi="ar-SA"/>
            </w:rPr>
            <w:fldChar w:fldCharType="end"/>
          </w:r>
        </w:p>
        <w:p w14:paraId="5C13D376">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_Toc27474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八、</w:t>
          </w:r>
          <w:r>
            <w:rPr>
              <w:rFonts w:hint="eastAsia"/>
            </w:rPr>
            <w:t>国有资本经营预算支出决算情况说明</w:t>
          </w:r>
          <w:r>
            <w:tab/>
          </w:r>
          <w:r>
            <w:fldChar w:fldCharType="begin"/>
          </w:r>
          <w:r>
            <w:instrText xml:space="preserve"> PAGEREF _Toc27474 \h </w:instrText>
          </w:r>
          <w:r>
            <w:fldChar w:fldCharType="separate"/>
          </w:r>
          <w:r>
            <w:t>13</w:t>
          </w:r>
          <w:r>
            <w:fldChar w:fldCharType="end"/>
          </w:r>
          <w:r>
            <w:rPr>
              <w:rFonts w:hint="eastAsia" w:ascii="仿宋_GB2312" w:hAnsi="Calibri" w:eastAsia="仿宋_GB2312" w:cs="仿宋_GB2312"/>
              <w:kern w:val="2"/>
              <w:szCs w:val="32"/>
              <w:lang w:val="en-US" w:eastAsia="zh-CN" w:bidi="ar-SA"/>
            </w:rPr>
            <w:fldChar w:fldCharType="end"/>
          </w:r>
        </w:p>
        <w:p w14:paraId="4F5F55C8">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_Toc13102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九、</w:t>
          </w:r>
          <w:r>
            <w:rPr>
              <w:rFonts w:hint="eastAsia"/>
            </w:rPr>
            <w:t>其他重要事项的情况说明</w:t>
          </w:r>
          <w:r>
            <w:tab/>
          </w:r>
          <w:r>
            <w:fldChar w:fldCharType="begin"/>
          </w:r>
          <w:r>
            <w:instrText xml:space="preserve"> PAGEREF _Toc13102 \h </w:instrText>
          </w:r>
          <w:r>
            <w:fldChar w:fldCharType="separate"/>
          </w:r>
          <w:r>
            <w:t>13</w:t>
          </w:r>
          <w:r>
            <w:fldChar w:fldCharType="end"/>
          </w:r>
          <w:r>
            <w:rPr>
              <w:rFonts w:hint="eastAsia" w:ascii="仿宋_GB2312" w:hAnsi="Calibri" w:eastAsia="仿宋_GB2312" w:cs="仿宋_GB2312"/>
              <w:kern w:val="2"/>
              <w:szCs w:val="32"/>
              <w:lang w:val="en-US" w:eastAsia="zh-CN" w:bidi="ar-SA"/>
            </w:rPr>
            <w:fldChar w:fldCharType="end"/>
          </w:r>
        </w:p>
        <w:p w14:paraId="042F5425">
          <w:pPr>
            <w:pStyle w:val="11"/>
            <w:pageBreakBefore w:val="0"/>
            <w:tabs>
              <w:tab w:val="right" w:leader="dot" w:pos="8306"/>
            </w:tabs>
            <w:kinsoku/>
            <w:wordWrap/>
            <w:topLinePunct w:val="0"/>
            <w:bidi w:val="0"/>
            <w:spacing w:afterAutospacing="0" w:line="576" w:lineRule="exact"/>
            <w:ind w:firstLine="42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_Toc16444 </w:instrText>
          </w:r>
          <w:r>
            <w:rPr>
              <w:rFonts w:hint="eastAsia" w:ascii="仿宋_GB2312" w:hAnsi="Calibri" w:eastAsia="仿宋_GB2312" w:cs="仿宋_GB2312"/>
              <w:kern w:val="2"/>
              <w:szCs w:val="32"/>
              <w:lang w:val="en-US" w:eastAsia="zh-CN" w:bidi="ar-SA"/>
            </w:rPr>
            <w:fldChar w:fldCharType="separate"/>
          </w:r>
          <w:r>
            <w:rPr>
              <w:rFonts w:hint="eastAsia"/>
            </w:rPr>
            <w:t>第三部分 名词解释</w:t>
          </w:r>
          <w:r>
            <w:tab/>
          </w:r>
          <w:r>
            <w:fldChar w:fldCharType="begin"/>
          </w:r>
          <w:r>
            <w:instrText xml:space="preserve"> PAGEREF _Toc16444 \h </w:instrText>
          </w:r>
          <w:r>
            <w:fldChar w:fldCharType="separate"/>
          </w:r>
          <w:r>
            <w:t>15</w:t>
          </w:r>
          <w:r>
            <w:fldChar w:fldCharType="end"/>
          </w:r>
          <w:r>
            <w:rPr>
              <w:rFonts w:hint="eastAsia" w:ascii="仿宋_GB2312" w:hAnsi="Calibri" w:eastAsia="仿宋_GB2312" w:cs="仿宋_GB2312"/>
              <w:kern w:val="2"/>
              <w:szCs w:val="32"/>
              <w:lang w:val="en-US" w:eastAsia="zh-CN" w:bidi="ar-SA"/>
            </w:rPr>
            <w:fldChar w:fldCharType="end"/>
          </w:r>
        </w:p>
        <w:p w14:paraId="07170082">
          <w:pPr>
            <w:pStyle w:val="11"/>
            <w:pageBreakBefore w:val="0"/>
            <w:tabs>
              <w:tab w:val="right" w:leader="dot" w:pos="8306"/>
            </w:tabs>
            <w:kinsoku/>
            <w:wordWrap/>
            <w:topLinePunct w:val="0"/>
            <w:bidi w:val="0"/>
            <w:spacing w:afterAutospacing="0" w:line="576" w:lineRule="exact"/>
            <w:ind w:firstLine="42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_Toc10371 </w:instrText>
          </w:r>
          <w:r>
            <w:rPr>
              <w:rFonts w:hint="eastAsia" w:ascii="仿宋_GB2312" w:hAnsi="Calibri" w:eastAsia="仿宋_GB2312" w:cs="仿宋_GB2312"/>
              <w:kern w:val="2"/>
              <w:szCs w:val="32"/>
              <w:lang w:val="en-US" w:eastAsia="zh-CN" w:bidi="ar-SA"/>
            </w:rPr>
            <w:fldChar w:fldCharType="separate"/>
          </w:r>
          <w:r>
            <w:rPr>
              <w:rFonts w:hint="eastAsia"/>
            </w:rPr>
            <w:t>第四部分 附件</w:t>
          </w:r>
          <w:r>
            <w:tab/>
          </w:r>
          <w:r>
            <w:fldChar w:fldCharType="begin"/>
          </w:r>
          <w:r>
            <w:instrText xml:space="preserve"> PAGEREF _Toc10371 \h </w:instrText>
          </w:r>
          <w:r>
            <w:fldChar w:fldCharType="separate"/>
          </w:r>
          <w:r>
            <w:t>18</w:t>
          </w:r>
          <w:r>
            <w:fldChar w:fldCharType="end"/>
          </w:r>
          <w:r>
            <w:rPr>
              <w:rFonts w:hint="eastAsia" w:ascii="仿宋_GB2312" w:hAnsi="Calibri" w:eastAsia="仿宋_GB2312" w:cs="仿宋_GB2312"/>
              <w:kern w:val="2"/>
              <w:szCs w:val="32"/>
              <w:lang w:val="en-US" w:eastAsia="zh-CN" w:bidi="ar-SA"/>
            </w:rPr>
            <w:fldChar w:fldCharType="end"/>
          </w:r>
        </w:p>
        <w:p w14:paraId="0716370E">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_Toc16028 </w:instrText>
          </w:r>
          <w:r>
            <w:rPr>
              <w:rFonts w:hint="eastAsia" w:ascii="仿宋_GB2312" w:hAnsi="Calibri" w:eastAsia="仿宋_GB2312" w:cs="仿宋_GB2312"/>
              <w:kern w:val="2"/>
              <w:szCs w:val="32"/>
              <w:lang w:val="en-US" w:eastAsia="zh-CN" w:bidi="ar-SA"/>
            </w:rPr>
            <w:fldChar w:fldCharType="separate"/>
          </w:r>
          <w:r>
            <w:rPr>
              <w:rFonts w:hint="default"/>
            </w:rPr>
            <w:t>附件1</w:t>
          </w:r>
          <w:r>
            <w:tab/>
          </w:r>
          <w:r>
            <w:fldChar w:fldCharType="begin"/>
          </w:r>
          <w:r>
            <w:instrText xml:space="preserve"> PAGEREF _Toc16028 \h </w:instrText>
          </w:r>
          <w:r>
            <w:fldChar w:fldCharType="separate"/>
          </w:r>
          <w:r>
            <w:t>18</w:t>
          </w:r>
          <w:r>
            <w:fldChar w:fldCharType="end"/>
          </w:r>
          <w:r>
            <w:rPr>
              <w:rFonts w:hint="eastAsia" w:ascii="仿宋_GB2312" w:hAnsi="Calibri" w:eastAsia="仿宋_GB2312" w:cs="仿宋_GB2312"/>
              <w:kern w:val="2"/>
              <w:szCs w:val="32"/>
              <w:lang w:val="en-US" w:eastAsia="zh-CN" w:bidi="ar-SA"/>
            </w:rPr>
            <w:fldChar w:fldCharType="end"/>
          </w:r>
        </w:p>
        <w:p w14:paraId="6F359172">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_Toc14386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红原县融媒体中心2023年</w:t>
          </w:r>
          <w:r>
            <w:rPr>
              <w:rFonts w:hint="default"/>
              <w:lang w:val="en-US" w:eastAsia="zh-CN"/>
            </w:rPr>
            <w:t>预算绩效</w:t>
          </w:r>
          <w:r>
            <w:rPr>
              <w:rFonts w:hint="eastAsia"/>
              <w:lang w:val="en-US" w:eastAsia="zh-CN"/>
            </w:rPr>
            <w:t>评价</w:t>
          </w:r>
          <w:r>
            <w:rPr>
              <w:rFonts w:hint="default"/>
              <w:lang w:val="en-US" w:eastAsia="zh-CN"/>
            </w:rPr>
            <w:t>报告</w:t>
          </w:r>
          <w:r>
            <w:tab/>
          </w:r>
          <w:r>
            <w:fldChar w:fldCharType="begin"/>
          </w:r>
          <w:r>
            <w:instrText xml:space="preserve"> PAGEREF _Toc14386 \h </w:instrText>
          </w:r>
          <w:r>
            <w:fldChar w:fldCharType="separate"/>
          </w:r>
          <w:r>
            <w:t>18</w:t>
          </w:r>
          <w:r>
            <w:fldChar w:fldCharType="end"/>
          </w:r>
          <w:r>
            <w:rPr>
              <w:rFonts w:hint="eastAsia" w:ascii="仿宋_GB2312" w:hAnsi="Calibri" w:eastAsia="仿宋_GB2312" w:cs="仿宋_GB2312"/>
              <w:kern w:val="2"/>
              <w:szCs w:val="32"/>
              <w:lang w:val="en-US" w:eastAsia="zh-CN" w:bidi="ar-SA"/>
            </w:rPr>
            <w:fldChar w:fldCharType="end"/>
          </w:r>
        </w:p>
        <w:p w14:paraId="757D771D">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_Toc19514 </w:instrText>
          </w:r>
          <w:r>
            <w:rPr>
              <w:rFonts w:hint="eastAsia" w:ascii="仿宋_GB2312" w:hAnsi="Calibri" w:eastAsia="仿宋_GB2312" w:cs="仿宋_GB2312"/>
              <w:kern w:val="2"/>
              <w:szCs w:val="32"/>
              <w:lang w:val="en-US" w:eastAsia="zh-CN" w:bidi="ar-SA"/>
            </w:rPr>
            <w:fldChar w:fldCharType="separate"/>
          </w:r>
          <w:r>
            <w:rPr>
              <w:rFonts w:hint="eastAsia"/>
              <w:lang w:val="zh-CN"/>
            </w:rPr>
            <w:t>一、</w:t>
          </w:r>
          <w:r>
            <w:rPr>
              <w:rFonts w:hint="default"/>
              <w:lang w:val="zh-CN"/>
            </w:rPr>
            <w:t>部门（单位）基本情况</w:t>
          </w:r>
          <w:r>
            <w:tab/>
          </w:r>
          <w:r>
            <w:fldChar w:fldCharType="begin"/>
          </w:r>
          <w:r>
            <w:instrText xml:space="preserve"> PAGEREF _Toc19514 \h </w:instrText>
          </w:r>
          <w:r>
            <w:fldChar w:fldCharType="separate"/>
          </w:r>
          <w:r>
            <w:t>18</w:t>
          </w:r>
          <w:r>
            <w:fldChar w:fldCharType="end"/>
          </w:r>
          <w:r>
            <w:rPr>
              <w:rFonts w:hint="eastAsia" w:ascii="仿宋_GB2312" w:hAnsi="Calibri" w:eastAsia="仿宋_GB2312" w:cs="仿宋_GB2312"/>
              <w:kern w:val="2"/>
              <w:szCs w:val="32"/>
              <w:lang w:val="en-US" w:eastAsia="zh-CN" w:bidi="ar-SA"/>
            </w:rPr>
            <w:fldChar w:fldCharType="end"/>
          </w:r>
        </w:p>
        <w:p w14:paraId="2A646629">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_Toc12409 </w:instrText>
          </w:r>
          <w:r>
            <w:rPr>
              <w:rFonts w:hint="eastAsia" w:ascii="仿宋_GB2312" w:hAnsi="Calibri" w:eastAsia="仿宋_GB2312" w:cs="仿宋_GB2312"/>
              <w:kern w:val="2"/>
              <w:szCs w:val="32"/>
              <w:lang w:val="en-US" w:eastAsia="zh-CN" w:bidi="ar-SA"/>
            </w:rPr>
            <w:fldChar w:fldCharType="separate"/>
          </w:r>
          <w:r>
            <w:rPr>
              <w:rFonts w:hint="default"/>
              <w:lang w:val="zh-CN"/>
            </w:rPr>
            <w:t>二、</w:t>
          </w:r>
          <w:r>
            <w:rPr>
              <w:rFonts w:hint="default"/>
              <w:lang w:val="zh-CN" w:eastAsia="zh-CN"/>
            </w:rPr>
            <w:t>部门</w:t>
          </w:r>
          <w:r>
            <w:rPr>
              <w:rFonts w:hint="default"/>
              <w:lang w:val="zh-CN"/>
            </w:rPr>
            <w:t>资金收支情况</w:t>
          </w:r>
          <w:r>
            <w:tab/>
          </w:r>
          <w:r>
            <w:fldChar w:fldCharType="begin"/>
          </w:r>
          <w:r>
            <w:instrText xml:space="preserve"> PAGEREF _Toc12409 \h </w:instrText>
          </w:r>
          <w:r>
            <w:fldChar w:fldCharType="separate"/>
          </w:r>
          <w:r>
            <w:t>20</w:t>
          </w:r>
          <w:r>
            <w:fldChar w:fldCharType="end"/>
          </w:r>
          <w:r>
            <w:rPr>
              <w:rFonts w:hint="eastAsia" w:ascii="仿宋_GB2312" w:hAnsi="Calibri" w:eastAsia="仿宋_GB2312" w:cs="仿宋_GB2312"/>
              <w:kern w:val="2"/>
              <w:szCs w:val="32"/>
              <w:lang w:val="en-US" w:eastAsia="zh-CN" w:bidi="ar-SA"/>
            </w:rPr>
            <w:fldChar w:fldCharType="end"/>
          </w:r>
        </w:p>
        <w:p w14:paraId="7224A89A">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_Toc31403 </w:instrText>
          </w:r>
          <w:r>
            <w:rPr>
              <w:rFonts w:hint="eastAsia" w:ascii="仿宋_GB2312" w:hAnsi="Calibri" w:eastAsia="仿宋_GB2312" w:cs="仿宋_GB2312"/>
              <w:kern w:val="2"/>
              <w:szCs w:val="32"/>
              <w:lang w:val="en-US" w:eastAsia="zh-CN" w:bidi="ar-SA"/>
            </w:rPr>
            <w:fldChar w:fldCharType="separate"/>
          </w:r>
          <w:r>
            <w:rPr>
              <w:rFonts w:hint="default"/>
              <w:lang w:val="zh-CN"/>
            </w:rPr>
            <w:t>三、部门</w:t>
          </w:r>
          <w:r>
            <w:rPr>
              <w:rFonts w:hint="default"/>
              <w:lang w:val="zh-CN" w:eastAsia="zh-CN"/>
            </w:rPr>
            <w:t>预算</w:t>
          </w:r>
          <w:r>
            <w:rPr>
              <w:rFonts w:hint="default"/>
              <w:lang w:val="zh-CN"/>
            </w:rPr>
            <w:t>绩效</w:t>
          </w:r>
          <w:r>
            <w:rPr>
              <w:rFonts w:hint="default"/>
              <w:lang w:val="zh-CN" w:eastAsia="zh-CN"/>
            </w:rPr>
            <w:t>分析</w:t>
          </w:r>
          <w:r>
            <w:tab/>
          </w:r>
          <w:r>
            <w:fldChar w:fldCharType="begin"/>
          </w:r>
          <w:r>
            <w:instrText xml:space="preserve"> PAGEREF _Toc31403 \h </w:instrText>
          </w:r>
          <w:r>
            <w:fldChar w:fldCharType="separate"/>
          </w:r>
          <w:r>
            <w:t>21</w:t>
          </w:r>
          <w:r>
            <w:fldChar w:fldCharType="end"/>
          </w:r>
          <w:r>
            <w:rPr>
              <w:rFonts w:hint="eastAsia" w:ascii="仿宋_GB2312" w:hAnsi="Calibri" w:eastAsia="仿宋_GB2312" w:cs="仿宋_GB2312"/>
              <w:kern w:val="2"/>
              <w:szCs w:val="32"/>
              <w:lang w:val="en-US" w:eastAsia="zh-CN" w:bidi="ar-SA"/>
            </w:rPr>
            <w:fldChar w:fldCharType="end"/>
          </w:r>
        </w:p>
        <w:p w14:paraId="38233A1A">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_Toc28533 </w:instrText>
          </w:r>
          <w:r>
            <w:rPr>
              <w:rFonts w:hint="eastAsia" w:ascii="仿宋_GB2312" w:hAnsi="Calibri" w:eastAsia="仿宋_GB2312" w:cs="仿宋_GB2312"/>
              <w:kern w:val="2"/>
              <w:szCs w:val="32"/>
              <w:lang w:val="en-US" w:eastAsia="zh-CN" w:bidi="ar-SA"/>
            </w:rPr>
            <w:fldChar w:fldCharType="separate"/>
          </w:r>
          <w:r>
            <w:rPr>
              <w:rFonts w:hint="default"/>
              <w:lang w:val="zh-CN" w:eastAsia="zh-CN"/>
            </w:rPr>
            <w:t>四、</w:t>
          </w:r>
          <w:r>
            <w:rPr>
              <w:rFonts w:hint="default"/>
              <w:lang w:val="zh-CN"/>
            </w:rPr>
            <w:t>评价结论及建议</w:t>
          </w:r>
          <w:r>
            <w:tab/>
          </w:r>
          <w:r>
            <w:fldChar w:fldCharType="begin"/>
          </w:r>
          <w:r>
            <w:instrText xml:space="preserve"> PAGEREF _Toc28533 \h </w:instrText>
          </w:r>
          <w:r>
            <w:fldChar w:fldCharType="separate"/>
          </w:r>
          <w:r>
            <w:t>26</w:t>
          </w:r>
          <w:r>
            <w:fldChar w:fldCharType="end"/>
          </w:r>
          <w:r>
            <w:rPr>
              <w:rFonts w:hint="eastAsia" w:ascii="仿宋_GB2312" w:hAnsi="Calibri" w:eastAsia="仿宋_GB2312" w:cs="仿宋_GB2312"/>
              <w:kern w:val="2"/>
              <w:szCs w:val="32"/>
              <w:lang w:val="en-US" w:eastAsia="zh-CN" w:bidi="ar-SA"/>
            </w:rPr>
            <w:fldChar w:fldCharType="end"/>
          </w:r>
        </w:p>
        <w:p w14:paraId="2DBE1693">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_Toc4931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附件2</w:t>
          </w:r>
          <w:r>
            <w:tab/>
          </w:r>
          <w:r>
            <w:fldChar w:fldCharType="begin"/>
          </w:r>
          <w:r>
            <w:instrText xml:space="preserve"> PAGEREF _Toc4931 \h </w:instrText>
          </w:r>
          <w:r>
            <w:fldChar w:fldCharType="separate"/>
          </w:r>
          <w:r>
            <w:t>27</w:t>
          </w:r>
          <w:r>
            <w:fldChar w:fldCharType="end"/>
          </w:r>
          <w:r>
            <w:rPr>
              <w:rFonts w:hint="eastAsia" w:ascii="仿宋_GB2312" w:hAnsi="Calibri" w:eastAsia="仿宋_GB2312" w:cs="仿宋_GB2312"/>
              <w:kern w:val="2"/>
              <w:szCs w:val="32"/>
              <w:lang w:val="en-US" w:eastAsia="zh-CN" w:bidi="ar-SA"/>
            </w:rPr>
            <w:fldChar w:fldCharType="end"/>
          </w:r>
        </w:p>
        <w:p w14:paraId="7497811F">
          <w:pPr>
            <w:pStyle w:val="12"/>
            <w:pageBreakBefore w:val="0"/>
            <w:tabs>
              <w:tab w:val="right" w:leader="dot" w:pos="8306"/>
            </w:tabs>
            <w:kinsoku/>
            <w:wordWrap/>
            <w:topLinePunct w:val="0"/>
            <w:bidi w:val="0"/>
            <w:spacing w:afterAutospacing="0" w:line="576" w:lineRule="exact"/>
            <w:ind w:left="0" w:leftChars="0" w:firstLine="400" w:firstLineChars="200"/>
          </w:pPr>
          <w:r>
            <w:rPr>
              <w:rFonts w:hint="eastAsia"/>
              <w:lang w:val="en-US" w:eastAsia="zh-CN"/>
            </w:rPr>
            <w:t>红原县融媒体中心</w:t>
          </w: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_Toc4774 </w:instrText>
          </w:r>
          <w:r>
            <w:rPr>
              <w:rFonts w:hint="eastAsia" w:ascii="仿宋_GB2312" w:hAnsi="Calibri" w:eastAsia="仿宋_GB2312" w:cs="仿宋_GB2312"/>
              <w:kern w:val="2"/>
              <w:szCs w:val="32"/>
              <w:lang w:val="en-US" w:eastAsia="zh-CN" w:bidi="ar-SA"/>
            </w:rPr>
            <w:fldChar w:fldCharType="separate"/>
          </w:r>
          <w:r>
            <w:rPr>
              <w:rFonts w:hint="eastAsia"/>
              <w:lang w:val="en-US" w:eastAsia="zh-CN"/>
            </w:rPr>
            <w:t>2023年专项预算项目绩效评价报告</w:t>
          </w:r>
          <w:r>
            <w:tab/>
          </w:r>
          <w:r>
            <w:fldChar w:fldCharType="begin"/>
          </w:r>
          <w:r>
            <w:instrText xml:space="preserve"> PAGEREF _Toc4774 \h </w:instrText>
          </w:r>
          <w:r>
            <w:fldChar w:fldCharType="separate"/>
          </w:r>
          <w:r>
            <w:t>27</w:t>
          </w:r>
          <w:r>
            <w:fldChar w:fldCharType="end"/>
          </w:r>
          <w:r>
            <w:rPr>
              <w:rFonts w:hint="eastAsia" w:ascii="仿宋_GB2312" w:hAnsi="Calibri" w:eastAsia="仿宋_GB2312" w:cs="仿宋_GB2312"/>
              <w:kern w:val="2"/>
              <w:szCs w:val="32"/>
              <w:lang w:val="en-US" w:eastAsia="zh-CN" w:bidi="ar-SA"/>
            </w:rPr>
            <w:fldChar w:fldCharType="end"/>
          </w:r>
        </w:p>
        <w:p w14:paraId="62785C10">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_Toc17173 </w:instrText>
          </w:r>
          <w:r>
            <w:rPr>
              <w:rFonts w:hint="eastAsia" w:ascii="仿宋_GB2312" w:hAnsi="Calibri" w:eastAsia="仿宋_GB2312" w:cs="仿宋_GB2312"/>
              <w:kern w:val="2"/>
              <w:szCs w:val="32"/>
              <w:lang w:val="en-US" w:eastAsia="zh-CN" w:bidi="ar-SA"/>
            </w:rPr>
            <w:fldChar w:fldCharType="separate"/>
          </w:r>
          <w:r>
            <w:rPr>
              <w:rFonts w:hint="eastAsia"/>
            </w:rPr>
            <w:t>一、</w:t>
          </w:r>
          <w:r>
            <w:rPr>
              <w:rFonts w:hint="eastAsia"/>
              <w:lang w:val="zh-CN"/>
            </w:rPr>
            <w:t>项目概况</w:t>
          </w:r>
          <w:r>
            <w:tab/>
          </w:r>
          <w:r>
            <w:fldChar w:fldCharType="begin"/>
          </w:r>
          <w:r>
            <w:instrText xml:space="preserve"> PAGEREF _Toc17173 \h </w:instrText>
          </w:r>
          <w:r>
            <w:fldChar w:fldCharType="separate"/>
          </w:r>
          <w:r>
            <w:t>27</w:t>
          </w:r>
          <w:r>
            <w:fldChar w:fldCharType="end"/>
          </w:r>
          <w:r>
            <w:rPr>
              <w:rFonts w:hint="eastAsia" w:ascii="仿宋_GB2312" w:hAnsi="Calibri" w:eastAsia="仿宋_GB2312" w:cs="仿宋_GB2312"/>
              <w:kern w:val="2"/>
              <w:szCs w:val="32"/>
              <w:lang w:val="en-US" w:eastAsia="zh-CN" w:bidi="ar-SA"/>
            </w:rPr>
            <w:fldChar w:fldCharType="end"/>
          </w:r>
        </w:p>
        <w:p w14:paraId="3E99117F">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_Toc24511 </w:instrText>
          </w:r>
          <w:r>
            <w:rPr>
              <w:rFonts w:hint="eastAsia" w:ascii="仿宋_GB2312" w:hAnsi="Calibri" w:eastAsia="仿宋_GB2312" w:cs="仿宋_GB2312"/>
              <w:kern w:val="2"/>
              <w:szCs w:val="32"/>
              <w:lang w:val="en-US" w:eastAsia="zh-CN" w:bidi="ar-SA"/>
            </w:rPr>
            <w:fldChar w:fldCharType="separate"/>
          </w:r>
          <w:r>
            <w:rPr>
              <w:rFonts w:hint="eastAsia"/>
            </w:rPr>
            <w:t>二、</w:t>
          </w:r>
          <w:r>
            <w:rPr>
              <w:rFonts w:hint="eastAsia"/>
              <w:lang w:eastAsia="zh-CN"/>
            </w:rPr>
            <w:t>评价实施</w:t>
          </w:r>
          <w:r>
            <w:tab/>
          </w:r>
          <w:r>
            <w:fldChar w:fldCharType="begin"/>
          </w:r>
          <w:r>
            <w:instrText xml:space="preserve"> PAGEREF _Toc24511 \h </w:instrText>
          </w:r>
          <w:r>
            <w:fldChar w:fldCharType="separate"/>
          </w:r>
          <w:r>
            <w:t>32</w:t>
          </w:r>
          <w:r>
            <w:fldChar w:fldCharType="end"/>
          </w:r>
          <w:r>
            <w:rPr>
              <w:rFonts w:hint="eastAsia" w:ascii="仿宋_GB2312" w:hAnsi="Calibri" w:eastAsia="仿宋_GB2312" w:cs="仿宋_GB2312"/>
              <w:kern w:val="2"/>
              <w:szCs w:val="32"/>
              <w:lang w:val="en-US" w:eastAsia="zh-CN" w:bidi="ar-SA"/>
            </w:rPr>
            <w:fldChar w:fldCharType="end"/>
          </w:r>
        </w:p>
        <w:p w14:paraId="382BC1E7">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_Toc15823 </w:instrText>
          </w:r>
          <w:r>
            <w:rPr>
              <w:rFonts w:hint="eastAsia" w:ascii="仿宋_GB2312" w:hAnsi="Calibri" w:eastAsia="仿宋_GB2312" w:cs="仿宋_GB2312"/>
              <w:kern w:val="2"/>
              <w:szCs w:val="32"/>
              <w:lang w:val="en-US" w:eastAsia="zh-CN" w:bidi="ar-SA"/>
            </w:rPr>
            <w:fldChar w:fldCharType="separate"/>
          </w:r>
          <w:r>
            <w:rPr>
              <w:rFonts w:hint="eastAsia"/>
            </w:rPr>
            <w:t>三、</w:t>
          </w:r>
          <w:r>
            <w:rPr>
              <w:rFonts w:hint="eastAsia"/>
              <w:lang w:eastAsia="zh-CN"/>
            </w:rPr>
            <w:t>绩效分析</w:t>
          </w:r>
          <w:r>
            <w:tab/>
          </w:r>
          <w:r>
            <w:fldChar w:fldCharType="begin"/>
          </w:r>
          <w:r>
            <w:instrText xml:space="preserve"> PAGEREF _Toc15823 \h </w:instrText>
          </w:r>
          <w:r>
            <w:fldChar w:fldCharType="separate"/>
          </w:r>
          <w:r>
            <w:t>33</w:t>
          </w:r>
          <w:r>
            <w:fldChar w:fldCharType="end"/>
          </w:r>
          <w:r>
            <w:rPr>
              <w:rFonts w:hint="eastAsia" w:ascii="仿宋_GB2312" w:hAnsi="Calibri" w:eastAsia="仿宋_GB2312" w:cs="仿宋_GB2312"/>
              <w:kern w:val="2"/>
              <w:szCs w:val="32"/>
              <w:lang w:val="en-US" w:eastAsia="zh-CN" w:bidi="ar-SA"/>
            </w:rPr>
            <w:fldChar w:fldCharType="end"/>
          </w:r>
        </w:p>
        <w:p w14:paraId="23591605">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_Toc3498 </w:instrText>
          </w:r>
          <w:r>
            <w:rPr>
              <w:rFonts w:hint="eastAsia" w:ascii="仿宋_GB2312" w:hAnsi="Calibri" w:eastAsia="仿宋_GB2312" w:cs="仿宋_GB2312"/>
              <w:kern w:val="2"/>
              <w:szCs w:val="32"/>
              <w:lang w:val="en-US" w:eastAsia="zh-CN" w:bidi="ar-SA"/>
            </w:rPr>
            <w:fldChar w:fldCharType="separate"/>
          </w:r>
          <w:r>
            <w:rPr>
              <w:rFonts w:hint="eastAsia"/>
              <w:lang w:eastAsia="zh-CN"/>
            </w:rPr>
            <w:t>四</w:t>
          </w:r>
          <w:r>
            <w:rPr>
              <w:rFonts w:hint="eastAsia"/>
            </w:rPr>
            <w:t>、评价结论</w:t>
          </w:r>
          <w:r>
            <w:tab/>
          </w:r>
          <w:r>
            <w:fldChar w:fldCharType="begin"/>
          </w:r>
          <w:r>
            <w:instrText xml:space="preserve"> PAGEREF _Toc3498 \h </w:instrText>
          </w:r>
          <w:r>
            <w:fldChar w:fldCharType="separate"/>
          </w:r>
          <w:r>
            <w:t>36</w:t>
          </w:r>
          <w:r>
            <w:fldChar w:fldCharType="end"/>
          </w:r>
          <w:r>
            <w:rPr>
              <w:rFonts w:hint="eastAsia" w:ascii="仿宋_GB2312" w:hAnsi="Calibri" w:eastAsia="仿宋_GB2312" w:cs="仿宋_GB2312"/>
              <w:kern w:val="2"/>
              <w:szCs w:val="32"/>
              <w:lang w:val="en-US" w:eastAsia="zh-CN" w:bidi="ar-SA"/>
            </w:rPr>
            <w:fldChar w:fldCharType="end"/>
          </w:r>
        </w:p>
        <w:p w14:paraId="208C9AB2">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_Toc3427 </w:instrText>
          </w:r>
          <w:r>
            <w:rPr>
              <w:rFonts w:hint="eastAsia" w:ascii="仿宋_GB2312" w:hAnsi="Calibri" w:eastAsia="仿宋_GB2312" w:cs="仿宋_GB2312"/>
              <w:kern w:val="2"/>
              <w:szCs w:val="32"/>
              <w:lang w:val="en-US" w:eastAsia="zh-CN" w:bidi="ar-SA"/>
            </w:rPr>
            <w:fldChar w:fldCharType="separate"/>
          </w:r>
          <w:r>
            <w:rPr>
              <w:rFonts w:hint="eastAsia"/>
              <w:lang w:eastAsia="zh-CN"/>
            </w:rPr>
            <w:t>五、存在主要问题</w:t>
          </w:r>
          <w:r>
            <w:tab/>
          </w:r>
          <w:r>
            <w:fldChar w:fldCharType="begin"/>
          </w:r>
          <w:r>
            <w:instrText xml:space="preserve"> PAGEREF _Toc3427 \h </w:instrText>
          </w:r>
          <w:r>
            <w:fldChar w:fldCharType="separate"/>
          </w:r>
          <w:r>
            <w:t>36</w:t>
          </w:r>
          <w:r>
            <w:fldChar w:fldCharType="end"/>
          </w:r>
          <w:r>
            <w:rPr>
              <w:rFonts w:hint="eastAsia" w:ascii="仿宋_GB2312" w:hAnsi="Calibri" w:eastAsia="仿宋_GB2312" w:cs="仿宋_GB2312"/>
              <w:kern w:val="2"/>
              <w:szCs w:val="32"/>
              <w:lang w:val="en-US" w:eastAsia="zh-CN" w:bidi="ar-SA"/>
            </w:rPr>
            <w:fldChar w:fldCharType="end"/>
          </w:r>
        </w:p>
        <w:p w14:paraId="58DF4C91">
          <w:pPr>
            <w:pStyle w:val="12"/>
            <w:pageBreakBefore w:val="0"/>
            <w:tabs>
              <w:tab w:val="right" w:leader="dot" w:pos="8306"/>
            </w:tabs>
            <w:kinsoku/>
            <w:wordWrap/>
            <w:topLinePunct w:val="0"/>
            <w:bidi w:val="0"/>
            <w:spacing w:afterAutospacing="0" w:line="576" w:lineRule="exact"/>
            <w:ind w:firstLine="400" w:firstLineChars="200"/>
          </w:pPr>
          <w:r>
            <w:rPr>
              <w:rFonts w:hint="eastAsia" w:ascii="仿宋_GB2312" w:hAnsi="Calibri" w:eastAsia="仿宋_GB2312" w:cs="仿宋_GB2312"/>
              <w:kern w:val="2"/>
              <w:szCs w:val="32"/>
              <w:lang w:val="en-US" w:eastAsia="zh-CN" w:bidi="ar-SA"/>
            </w:rPr>
            <w:fldChar w:fldCharType="begin"/>
          </w:r>
          <w:r>
            <w:rPr>
              <w:rFonts w:hint="eastAsia" w:ascii="仿宋_GB2312" w:hAnsi="Calibri" w:eastAsia="仿宋_GB2312" w:cs="仿宋_GB2312"/>
              <w:kern w:val="2"/>
              <w:szCs w:val="32"/>
              <w:lang w:val="en-US" w:eastAsia="zh-CN" w:bidi="ar-SA"/>
            </w:rPr>
            <w:instrText xml:space="preserve"> HYPERLINK \l _Toc30730 </w:instrText>
          </w:r>
          <w:r>
            <w:rPr>
              <w:rFonts w:hint="eastAsia" w:ascii="仿宋_GB2312" w:hAnsi="Calibri" w:eastAsia="仿宋_GB2312" w:cs="仿宋_GB2312"/>
              <w:kern w:val="2"/>
              <w:szCs w:val="32"/>
              <w:lang w:val="en-US" w:eastAsia="zh-CN" w:bidi="ar-SA"/>
            </w:rPr>
            <w:fldChar w:fldCharType="separate"/>
          </w:r>
          <w:r>
            <w:rPr>
              <w:rFonts w:hint="eastAsia"/>
              <w:lang w:val="zh-CN" w:eastAsia="zh-CN"/>
            </w:rPr>
            <w:t>六、改进建议</w:t>
          </w:r>
          <w:r>
            <w:tab/>
          </w:r>
          <w:r>
            <w:fldChar w:fldCharType="begin"/>
          </w:r>
          <w:r>
            <w:instrText xml:space="preserve"> PAGEREF _Toc30730 \h </w:instrText>
          </w:r>
          <w:r>
            <w:fldChar w:fldCharType="separate"/>
          </w:r>
          <w:r>
            <w:t>37</w:t>
          </w:r>
          <w:r>
            <w:fldChar w:fldCharType="end"/>
          </w:r>
          <w:r>
            <w:rPr>
              <w:rFonts w:hint="eastAsia" w:ascii="仿宋_GB2312" w:hAnsi="Calibri" w:eastAsia="仿宋_GB2312" w:cs="仿宋_GB2312"/>
              <w:kern w:val="2"/>
              <w:szCs w:val="32"/>
              <w:lang w:val="en-US" w:eastAsia="zh-CN" w:bidi="ar-SA"/>
            </w:rPr>
            <w:fldChar w:fldCharType="end"/>
          </w:r>
        </w:p>
        <w:p w14:paraId="03DA9347">
          <w:pPr>
            <w:pageBreakBefore w:val="0"/>
            <w:widowControl/>
            <w:kinsoku/>
            <w:wordWrap/>
            <w:overflowPunct/>
            <w:topLinePunct w:val="0"/>
            <w:bidi w:val="0"/>
            <w:snapToGrid/>
            <w:spacing w:afterAutospacing="0" w:line="576" w:lineRule="exact"/>
            <w:ind w:firstLine="420" w:firstLineChars="200"/>
            <w:jc w:val="both"/>
            <w:textAlignment w:val="auto"/>
            <w:rPr>
              <w:rFonts w:hint="eastAsia"/>
              <w:lang w:val="en-US" w:eastAsia="zh-CN"/>
            </w:rPr>
            <w:sectPr>
              <w:pgSz w:w="11906" w:h="16838"/>
              <w:pgMar w:top="1440" w:right="1800" w:bottom="1440" w:left="1800" w:header="851" w:footer="992" w:gutter="0"/>
              <w:pgNumType w:fmt="decimal" w:start="1"/>
              <w:cols w:space="425" w:num="1"/>
              <w:titlePg/>
              <w:docGrid w:type="lines" w:linePitch="312" w:charSpace="0"/>
            </w:sectPr>
          </w:pPr>
          <w:r>
            <w:rPr>
              <w:rFonts w:hint="eastAsia" w:ascii="仿宋_GB2312" w:hAnsi="Calibri" w:eastAsia="仿宋_GB2312" w:cs="仿宋_GB2312"/>
              <w:kern w:val="2"/>
              <w:szCs w:val="32"/>
              <w:lang w:val="en-US" w:eastAsia="zh-CN" w:bidi="ar-SA"/>
            </w:rPr>
            <w:fldChar w:fldCharType="end"/>
          </w:r>
        </w:p>
      </w:sdtContent>
    </w:sdt>
    <w:p w14:paraId="7A1CDF08">
      <w:pPr>
        <w:pStyle w:val="4"/>
        <w:pageBreakBefore w:val="0"/>
        <w:kinsoku/>
        <w:wordWrap/>
        <w:overflowPunct/>
        <w:topLinePunct w:val="0"/>
        <w:bidi w:val="0"/>
        <w:snapToGrid/>
        <w:spacing w:before="0" w:after="0" w:afterAutospacing="0" w:line="576" w:lineRule="exact"/>
        <w:ind w:firstLine="883" w:firstLineChars="200"/>
        <w:jc w:val="center"/>
        <w:textAlignment w:val="auto"/>
        <w:rPr>
          <w:rFonts w:hint="eastAsia" w:ascii="仿宋_GB2312" w:hAnsi="Calibri" w:eastAsia="仿宋_GB2312" w:cs="仿宋_GB2312"/>
          <w:sz w:val="32"/>
          <w:szCs w:val="32"/>
        </w:rPr>
      </w:pPr>
      <w:bookmarkStart w:id="23" w:name="_Toc9554"/>
      <w:bookmarkStart w:id="24" w:name="_Toc20510"/>
      <w:bookmarkStart w:id="25" w:name="_Toc17959"/>
      <w:bookmarkStart w:id="26" w:name="_Toc9581"/>
      <w:bookmarkStart w:id="27" w:name="_Toc17142"/>
      <w:r>
        <w:rPr>
          <w:rFonts w:hint="eastAsia"/>
        </w:rPr>
        <w:t>第一部分 部门概况</w:t>
      </w:r>
      <w:bookmarkEnd w:id="23"/>
      <w:bookmarkEnd w:id="24"/>
      <w:bookmarkEnd w:id="25"/>
      <w:bookmarkEnd w:id="26"/>
      <w:bookmarkEnd w:id="27"/>
    </w:p>
    <w:p w14:paraId="6E1E3BC3">
      <w:pPr>
        <w:pStyle w:val="5"/>
        <w:keepNext/>
        <w:keepLines/>
        <w:pageBreakBefore w:val="0"/>
        <w:widowControl w:val="0"/>
        <w:kinsoku/>
        <w:wordWrap/>
        <w:overflowPunct/>
        <w:topLinePunct w:val="0"/>
        <w:autoSpaceDE/>
        <w:autoSpaceDN/>
        <w:bidi w:val="0"/>
        <w:adjustRightInd/>
        <w:snapToGrid/>
        <w:spacing w:before="0" w:after="0" w:afterAutospacing="0" w:line="576" w:lineRule="exact"/>
        <w:ind w:firstLine="643" w:firstLineChars="200"/>
        <w:textAlignment w:val="auto"/>
      </w:pPr>
      <w:bookmarkStart w:id="28" w:name="_Toc7994"/>
      <w:bookmarkStart w:id="29" w:name="_Toc5922"/>
      <w:bookmarkStart w:id="30" w:name="_Toc25197"/>
      <w:r>
        <w:rPr>
          <w:rFonts w:hint="eastAsia"/>
        </w:rPr>
        <w:t> </w:t>
      </w:r>
      <w:bookmarkStart w:id="31" w:name="_Toc1868"/>
      <w:bookmarkStart w:id="32" w:name="_Toc30256"/>
      <w:bookmarkStart w:id="33" w:name="_Toc15779"/>
      <w:bookmarkStart w:id="34" w:name="_Toc13922"/>
      <w:bookmarkStart w:id="35" w:name="_Toc23669"/>
      <w:r>
        <w:t>一、基本职能及主要工作</w:t>
      </w:r>
      <w:bookmarkEnd w:id="28"/>
      <w:bookmarkEnd w:id="29"/>
      <w:bookmarkEnd w:id="30"/>
      <w:bookmarkEnd w:id="31"/>
      <w:bookmarkStart w:id="36" w:name="_Toc4430"/>
      <w:bookmarkStart w:id="37" w:name="_Toc18803"/>
    </w:p>
    <w:p w14:paraId="01F68A53">
      <w:pPr>
        <w:pStyle w:val="5"/>
        <w:keepNext/>
        <w:keepLines/>
        <w:pageBreakBefore w:val="0"/>
        <w:widowControl w:val="0"/>
        <w:kinsoku/>
        <w:wordWrap/>
        <w:overflowPunct/>
        <w:topLinePunct w:val="0"/>
        <w:autoSpaceDE/>
        <w:autoSpaceDN/>
        <w:bidi w:val="0"/>
        <w:adjustRightInd/>
        <w:snapToGrid/>
        <w:spacing w:before="0" w:after="0" w:afterAutospacing="0" w:line="576" w:lineRule="exact"/>
        <w:ind w:firstLine="643" w:firstLineChars="200"/>
        <w:textAlignment w:val="auto"/>
      </w:pPr>
      <w:bookmarkStart w:id="38" w:name="_Toc11008"/>
      <w:r>
        <w:t>（一）主要职能。</w:t>
      </w:r>
      <w:bookmarkEnd w:id="36"/>
      <w:bookmarkEnd w:id="37"/>
      <w:bookmarkEnd w:id="38"/>
    </w:p>
    <w:p w14:paraId="3F4EEAC4">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ascii="仿宋_GB2312" w:eastAsia="仿宋_GB2312" w:cs="仿宋_GB2312"/>
          <w:color w:val="000000"/>
          <w:sz w:val="32"/>
          <w:szCs w:val="32"/>
        </w:rPr>
        <w:t>（1）负责贯彻落实党的新闻宣传方针政策，宣传党的理论、路线和各项方针政策，把握新闻宣传基调，坚持正面宣传，为全县经济社会发展提供舆论支持。</w:t>
      </w:r>
    </w:p>
    <w:p w14:paraId="58622156">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（2）负责围绕县委、县政府中心工作，积极开展对内对外新闻宣传报道，落实全县新闻报道计划，完成宣传任务。</w:t>
      </w:r>
    </w:p>
    <w:p w14:paraId="00F40ABD">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（3）负责全县电视、网站以及“两微一端”等新媒体新闻宣传报道的策划、采集、编辑、审核、播出工作。</w:t>
      </w:r>
    </w:p>
    <w:p w14:paraId="65370D2E">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（4）负责全县各单位（网站、网页、上传稿件等）对外宣传新闻稿件审核工作。</w:t>
      </w:r>
    </w:p>
    <w:p w14:paraId="6A907676">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（5）负责县委县政府交办的各类宣传片、专题片、汇报片的策划、拍摄、制作、推广工作。</w:t>
      </w:r>
    </w:p>
    <w:p w14:paraId="4B496A5E">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（6）负责全县新闻业务管理指导和对外通联工作，协助配合衔接上级媒体和新闻单位来县采访及其他协调服务工作。</w:t>
      </w:r>
    </w:p>
    <w:p w14:paraId="473EEE67">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（7）负责全县新闻通讯员业务技能培训，协助抓好全县新闻人才队伍建设。</w:t>
      </w:r>
    </w:p>
    <w:p w14:paraId="5EFF5A7C">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（8）负责会同有关部门做好新媒体推广工作。</w:t>
      </w:r>
    </w:p>
    <w:p w14:paraId="1EAD0B72">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（9）负责全县民族语言文字的藏汉翻译、藏语配音工作。</w:t>
      </w:r>
    </w:p>
    <w:p w14:paraId="68C3A3A0">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（10）负责参与编制全县广播电视事业发展规划、项目申报并组织实施。</w:t>
      </w:r>
    </w:p>
    <w:p w14:paraId="3C516B17">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pPr>
      <w:r>
        <w:rPr>
          <w:rFonts w:hint="default" w:ascii="仿宋_GB2312" w:eastAsia="仿宋_GB2312" w:cs="仿宋_GB2312"/>
          <w:color w:val="000000"/>
          <w:sz w:val="32"/>
          <w:szCs w:val="32"/>
        </w:rPr>
        <w:t>（11）负责全县广播和有线电视传输网络调试、巡查、维修、维护等工作，确保电视广播网络安全运行，节目安全播出。</w:t>
      </w:r>
    </w:p>
    <w:p w14:paraId="406AAB09">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firstLine="640" w:firstLineChars="200"/>
        <w:jc w:val="both"/>
        <w:textAlignment w:val="auto"/>
        <w:outlineLvl w:val="3"/>
        <w:rPr>
          <w:rFonts w:hint="default" w:ascii="仿宋_GB2312" w:eastAsia="仿宋_GB2312" w:cs="仿宋_GB2312"/>
          <w:color w:val="000000"/>
          <w:sz w:val="32"/>
          <w:szCs w:val="32"/>
        </w:rPr>
      </w:pPr>
      <w:r>
        <w:rPr>
          <w:rFonts w:hint="default" w:ascii="仿宋_GB2312" w:eastAsia="仿宋_GB2312" w:cs="仿宋_GB2312"/>
          <w:color w:val="000000"/>
          <w:sz w:val="32"/>
          <w:szCs w:val="32"/>
        </w:rPr>
        <w:t>（12）完成县委、县政府、县委宣传部交办的其他工作。</w:t>
      </w:r>
    </w:p>
    <w:p w14:paraId="0D327B0B">
      <w:pPr>
        <w:pStyle w:val="5"/>
        <w:keepNext/>
        <w:keepLines/>
        <w:pageBreakBefore w:val="0"/>
        <w:widowControl w:val="0"/>
        <w:kinsoku/>
        <w:wordWrap/>
        <w:overflowPunct/>
        <w:topLinePunct w:val="0"/>
        <w:autoSpaceDE/>
        <w:autoSpaceDN/>
        <w:bidi w:val="0"/>
        <w:adjustRightInd/>
        <w:snapToGrid/>
        <w:spacing w:before="0" w:after="0" w:afterAutospacing="0" w:line="576" w:lineRule="exact"/>
        <w:ind w:firstLine="643" w:firstLineChars="200"/>
        <w:textAlignment w:val="auto"/>
        <w:rPr>
          <w:rFonts w:hint="eastAsia"/>
        </w:rPr>
      </w:pPr>
      <w:bookmarkStart w:id="39" w:name="_Toc5017"/>
      <w:bookmarkStart w:id="40" w:name="_Toc13288"/>
      <w:bookmarkStart w:id="41" w:name="_Toc12756"/>
      <w:r>
        <w:rPr>
          <w:rFonts w:hint="eastAsia"/>
        </w:rPr>
        <w:t>（二）202</w:t>
      </w:r>
      <w:r>
        <w:rPr>
          <w:rFonts w:hint="eastAsia"/>
          <w:lang w:val="en-US" w:eastAsia="zh-CN"/>
        </w:rPr>
        <w:t>3</w:t>
      </w:r>
      <w:r>
        <w:rPr>
          <w:rFonts w:hint="eastAsia"/>
        </w:rPr>
        <w:t>年重点工作完成情况。</w:t>
      </w:r>
      <w:bookmarkEnd w:id="39"/>
      <w:bookmarkEnd w:id="40"/>
      <w:bookmarkEnd w:id="41"/>
    </w:p>
    <w:p w14:paraId="730454DC">
      <w:pPr>
        <w:keepNext w:val="0"/>
        <w:keepLines w:val="0"/>
        <w:pageBreakBefore w:val="0"/>
        <w:numPr>
          <w:ilvl w:val="0"/>
          <w:numId w:val="0"/>
        </w:numPr>
        <w:kinsoku/>
        <w:wordWrap/>
        <w:overflowPunct/>
        <w:topLinePunct w:val="0"/>
        <w:autoSpaceDE/>
        <w:autoSpaceDN/>
        <w:bidi w:val="0"/>
        <w:adjustRightInd/>
        <w:snapToGrid/>
        <w:spacing w:afterAutospacing="0" w:line="576" w:lineRule="exact"/>
        <w:ind w:firstLine="643" w:firstLineChars="200"/>
        <w:textAlignment w:val="auto"/>
        <w:rPr>
          <w:rFonts w:hint="eastAsia" w:ascii="仿宋_GB2312" w:hAnsi="仿宋_GB2312" w:eastAsia="仿宋_GB2312" w:cs="仿宋_GB2312"/>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1</w:t>
      </w:r>
      <w:r>
        <w:rPr>
          <w:rFonts w:hint="eastAsia" w:ascii="楷体" w:hAnsi="楷体" w:eastAsia="楷体" w:cs="楷体"/>
          <w:b/>
          <w:bCs/>
          <w:sz w:val="32"/>
          <w:szCs w:val="32"/>
        </w:rPr>
        <w:t>）</w:t>
      </w:r>
      <w:r>
        <w:rPr>
          <w:rFonts w:hint="eastAsia" w:ascii="楷体" w:hAnsi="楷体" w:eastAsia="楷体" w:cs="楷体"/>
          <w:b/>
          <w:bCs/>
          <w:sz w:val="32"/>
          <w:szCs w:val="32"/>
          <w:lang w:eastAsia="zh-CN"/>
        </w:rPr>
        <w:t>找准</w:t>
      </w:r>
      <w:r>
        <w:rPr>
          <w:rFonts w:hint="eastAsia" w:ascii="楷体" w:hAnsi="楷体" w:eastAsia="楷体" w:cs="楷体"/>
          <w:b/>
          <w:bCs/>
          <w:sz w:val="32"/>
          <w:szCs w:val="32"/>
        </w:rPr>
        <w:t>定位、科学规划</w:t>
      </w:r>
    </w:p>
    <w:p w14:paraId="4B90DCAE">
      <w:pPr>
        <w:keepNext w:val="0"/>
        <w:keepLines w:val="0"/>
        <w:pageBreakBefore w:val="0"/>
        <w:kinsoku/>
        <w:wordWrap/>
        <w:overflowPunct/>
        <w:topLinePunct w:val="0"/>
        <w:autoSpaceDE/>
        <w:autoSpaceDN/>
        <w:bidi w:val="0"/>
        <w:adjustRightInd/>
        <w:snapToGrid/>
        <w:spacing w:afterAutospacing="0" w:line="576"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今年</w:t>
      </w:r>
      <w:r>
        <w:rPr>
          <w:rFonts w:hint="eastAsia" w:ascii="仿宋_GB2312" w:hAnsi="仿宋_GB2312" w:eastAsia="仿宋_GB2312" w:cs="仿宋_GB2312"/>
          <w:sz w:val="32"/>
          <w:szCs w:val="32"/>
        </w:rPr>
        <w:t>以来，</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对各项工作作了深入的调研和分析，明确</w:t>
      </w:r>
      <w:r>
        <w:rPr>
          <w:rFonts w:hint="eastAsia" w:ascii="仿宋_GB2312" w:hAnsi="仿宋_GB2312" w:eastAsia="仿宋_GB2312" w:cs="仿宋_GB2312"/>
          <w:sz w:val="32"/>
          <w:szCs w:val="32"/>
          <w:lang w:eastAsia="zh-CN"/>
        </w:rPr>
        <w:t>县融媒体中心</w:t>
      </w:r>
      <w:r>
        <w:rPr>
          <w:rFonts w:hint="eastAsia" w:ascii="仿宋_GB2312" w:hAnsi="仿宋_GB2312" w:eastAsia="仿宋_GB2312" w:cs="仿宋_GB2312"/>
          <w:sz w:val="32"/>
          <w:szCs w:val="32"/>
        </w:rPr>
        <w:t>宣传工作的发展要紧紧围绕重构</w:t>
      </w:r>
      <w:r>
        <w:rPr>
          <w:rFonts w:hint="eastAsia" w:ascii="仿宋_GB2312" w:hAnsi="仿宋_GB2312" w:eastAsia="仿宋_GB2312" w:cs="仿宋_GB2312"/>
          <w:sz w:val="32"/>
          <w:szCs w:val="32"/>
          <w:lang w:eastAsia="zh-CN"/>
        </w:rPr>
        <w:t>综合宣传平台，</w:t>
      </w:r>
      <w:r>
        <w:rPr>
          <w:rFonts w:hint="eastAsia" w:ascii="仿宋_GB2312" w:hAnsi="仿宋_GB2312" w:eastAsia="仿宋_GB2312" w:cs="仿宋_GB2312"/>
          <w:sz w:val="32"/>
          <w:szCs w:val="32"/>
        </w:rPr>
        <w:t>推进媒体深度融合，着力内部体制机制改革，拓宽传播载体，推动传统媒体和新兴媒体尽快从相“加”迈向相“融”这一目标，紧扣“提高</w:t>
      </w:r>
      <w:r>
        <w:rPr>
          <w:rFonts w:hint="eastAsia" w:ascii="仿宋_GB2312" w:hAnsi="仿宋_GB2312" w:eastAsia="仿宋_GB2312" w:cs="仿宋_GB2312"/>
          <w:sz w:val="32"/>
          <w:szCs w:val="32"/>
          <w:lang w:eastAsia="zh-CN"/>
        </w:rPr>
        <w:t>红原</w:t>
      </w:r>
      <w:r>
        <w:rPr>
          <w:rFonts w:hint="eastAsia" w:ascii="仿宋_GB2312" w:hAnsi="仿宋_GB2312" w:eastAsia="仿宋_GB2312" w:cs="仿宋_GB2312"/>
          <w:sz w:val="32"/>
          <w:szCs w:val="32"/>
        </w:rPr>
        <w:t>知名度和影响力”这个中心，构建“内宣</w:t>
      </w:r>
      <w:r>
        <w:rPr>
          <w:rFonts w:hint="eastAsia" w:ascii="仿宋_GB2312" w:hAnsi="仿宋_GB2312" w:eastAsia="仿宋_GB2312" w:cs="仿宋_GB2312"/>
          <w:sz w:val="32"/>
          <w:szCs w:val="32"/>
          <w:lang w:eastAsia="zh-CN"/>
        </w:rPr>
        <w:t>有影响</w:t>
      </w:r>
      <w:r>
        <w:rPr>
          <w:rFonts w:hint="eastAsia" w:ascii="仿宋_GB2312" w:hAnsi="仿宋_GB2312" w:eastAsia="仿宋_GB2312" w:cs="仿宋_GB2312"/>
          <w:sz w:val="32"/>
          <w:szCs w:val="32"/>
        </w:rPr>
        <w:t>、外宣</w:t>
      </w:r>
      <w:r>
        <w:rPr>
          <w:rFonts w:hint="eastAsia" w:ascii="仿宋_GB2312" w:hAnsi="仿宋_GB2312" w:eastAsia="仿宋_GB2312" w:cs="仿宋_GB2312"/>
          <w:sz w:val="32"/>
          <w:szCs w:val="32"/>
          <w:lang w:eastAsia="zh-CN"/>
        </w:rPr>
        <w:t>争一流</w:t>
      </w:r>
      <w:r>
        <w:rPr>
          <w:rFonts w:hint="eastAsia" w:ascii="仿宋_GB2312" w:hAnsi="仿宋_GB2312" w:eastAsia="仿宋_GB2312" w:cs="仿宋_GB2312"/>
          <w:sz w:val="32"/>
          <w:szCs w:val="32"/>
        </w:rPr>
        <w:t>、创优</w:t>
      </w:r>
      <w:r>
        <w:rPr>
          <w:rFonts w:hint="eastAsia" w:ascii="仿宋_GB2312" w:hAnsi="仿宋_GB2312" w:eastAsia="仿宋_GB2312" w:cs="仿宋_GB2312"/>
          <w:sz w:val="32"/>
          <w:szCs w:val="32"/>
          <w:lang w:eastAsia="zh-CN"/>
        </w:rPr>
        <w:t>推品质</w:t>
      </w:r>
      <w:r>
        <w:rPr>
          <w:rFonts w:hint="eastAsia" w:ascii="仿宋_GB2312" w:hAnsi="仿宋_GB2312" w:eastAsia="仿宋_GB2312" w:cs="仿宋_GB2312"/>
          <w:sz w:val="32"/>
          <w:szCs w:val="32"/>
        </w:rPr>
        <w:t>”的工作格局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p>
    <w:p w14:paraId="14A84B29">
      <w:pPr>
        <w:keepNext w:val="0"/>
        <w:keepLines w:val="0"/>
        <w:pageBreakBefore w:val="0"/>
        <w:kinsoku/>
        <w:wordWrap/>
        <w:overflowPunct/>
        <w:topLinePunct w:val="0"/>
        <w:autoSpaceDE/>
        <w:autoSpaceDN/>
        <w:bidi w:val="0"/>
        <w:adjustRightInd/>
        <w:snapToGrid/>
        <w:spacing w:afterAutospacing="0" w:line="576" w:lineRule="exact"/>
        <w:ind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2</w:t>
      </w:r>
      <w:r>
        <w:rPr>
          <w:rFonts w:hint="eastAsia" w:ascii="楷体" w:hAnsi="楷体" w:eastAsia="楷体" w:cs="楷体"/>
          <w:b/>
          <w:bCs/>
          <w:sz w:val="32"/>
          <w:szCs w:val="32"/>
        </w:rPr>
        <w:t>）管理到位、运行有序</w:t>
      </w:r>
    </w:p>
    <w:p w14:paraId="16C6A38D">
      <w:pPr>
        <w:keepNext w:val="0"/>
        <w:keepLines w:val="0"/>
        <w:pageBreakBefore w:val="0"/>
        <w:widowControl w:val="0"/>
        <w:numPr>
          <w:ilvl w:val="0"/>
          <w:numId w:val="0"/>
        </w:numPr>
        <w:kinsoku/>
        <w:wordWrap/>
        <w:overflowPunct/>
        <w:topLinePunct w:val="0"/>
        <w:autoSpaceDE/>
        <w:autoSpaceDN/>
        <w:bidi w:val="0"/>
        <w:adjustRightInd/>
        <w:snapToGrid/>
        <w:spacing w:afterAutospacing="0" w:line="576" w:lineRule="exact"/>
        <w:ind w:firstLine="640"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持续开展</w:t>
      </w:r>
      <w:r>
        <w:rPr>
          <w:rFonts w:hint="eastAsia" w:ascii="仿宋_GB2312" w:hAnsi="仿宋_GB2312" w:eastAsia="仿宋_GB2312" w:cs="仿宋_GB2312"/>
          <w:sz w:val="32"/>
          <w:szCs w:val="32"/>
          <w:lang w:eastAsia="zh-CN"/>
        </w:rPr>
        <w:t>“加强学习、提升能力、服务大局</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专题活动，</w:t>
      </w:r>
      <w:r>
        <w:rPr>
          <w:rFonts w:hint="eastAsia" w:ascii="仿宋_GB2312" w:hAnsi="仿宋_GB2312" w:eastAsia="仿宋_GB2312" w:cs="仿宋_GB2312"/>
          <w:color w:val="auto"/>
          <w:sz w:val="32"/>
          <w:szCs w:val="32"/>
          <w:lang w:val="en-US" w:eastAsia="zh-CN"/>
        </w:rPr>
        <w:t>严格要求全体干部职工遵守党章党规党纪及单位的各项规章制度；自觉执行《红原县干部职工日常管理规定（试行）》《红原县转任科级非领导职务干部管理办法（试行)》和《中国共产党重大事项请示报告条例》，通过</w:t>
      </w:r>
      <w:r>
        <w:rPr>
          <w:rStyle w:val="16"/>
          <w:rFonts w:ascii="仿宋_GB2312" w:hAnsi="仿宋_GB2312" w:eastAsia="仿宋_GB2312" w:cs="仿宋_GB2312"/>
          <w:color w:val="000000"/>
          <w:sz w:val="32"/>
          <w:szCs w:val="32"/>
        </w:rPr>
        <w:t>召开专题民主生活会，</w:t>
      </w:r>
      <w:r>
        <w:rPr>
          <w:rFonts w:hint="eastAsia" w:ascii="仿宋_GB2312" w:hAnsi="仿宋_GB2312" w:eastAsia="仿宋_GB2312" w:cs="仿宋_GB2312"/>
          <w:color w:val="auto"/>
          <w:sz w:val="32"/>
          <w:szCs w:val="32"/>
          <w:lang w:val="en-US" w:eastAsia="zh-CN"/>
        </w:rPr>
        <w:t>制定了我中心《红原县融媒体中心干部队伍作风教育整顿工作实施方案》，</w:t>
      </w:r>
      <w:r>
        <w:rPr>
          <w:rStyle w:val="16"/>
          <w:rFonts w:hint="eastAsia" w:ascii="仿宋_GB2312" w:hAnsi="仿宋_GB2312" w:eastAsia="仿宋_GB2312" w:cs="仿宋_GB2312"/>
          <w:color w:val="000000"/>
          <w:sz w:val="32"/>
          <w:szCs w:val="32"/>
          <w:lang w:eastAsia="zh-CN"/>
        </w:rPr>
        <w:t>形成班子</w:t>
      </w:r>
      <w:r>
        <w:rPr>
          <w:rStyle w:val="16"/>
          <w:rFonts w:ascii="仿宋_GB2312" w:hAnsi="仿宋_GB2312" w:eastAsia="仿宋_GB2312" w:cs="仿宋_GB2312"/>
          <w:color w:val="000000"/>
          <w:sz w:val="32"/>
          <w:szCs w:val="32"/>
        </w:rPr>
        <w:t>自查</w:t>
      </w:r>
      <w:r>
        <w:rPr>
          <w:rStyle w:val="16"/>
          <w:rFonts w:hint="eastAsia" w:ascii="仿宋_GB2312" w:hAnsi="仿宋_GB2312" w:eastAsia="仿宋_GB2312" w:cs="仿宋_GB2312"/>
          <w:color w:val="000000"/>
          <w:sz w:val="32"/>
          <w:szCs w:val="32"/>
          <w:lang w:eastAsia="zh-CN"/>
        </w:rPr>
        <w:t>报告</w:t>
      </w:r>
      <w:r>
        <w:rPr>
          <w:rStyle w:val="16"/>
          <w:rFonts w:ascii="仿宋_GB2312" w:hAnsi="仿宋_GB2312" w:eastAsia="仿宋_GB2312" w:cs="仿宋_GB2312"/>
          <w:color w:val="000000"/>
          <w:sz w:val="32"/>
          <w:szCs w:val="32"/>
        </w:rPr>
        <w:t>和整顿措施的专题报告</w:t>
      </w:r>
      <w:r>
        <w:rPr>
          <w:rStyle w:val="16"/>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auto"/>
          <w:sz w:val="32"/>
          <w:szCs w:val="32"/>
          <w:lang w:val="en-US" w:eastAsia="zh-CN"/>
        </w:rPr>
        <w:t>不断加强了中心干部职工改正自身工作纪律，作风不实、纪律执行不严、主观认识空洞等问题，</w:t>
      </w:r>
      <w:r>
        <w:rPr>
          <w:rFonts w:hint="eastAsia" w:ascii="仿宋_GB2312" w:hAnsi="仿宋_GB2312" w:eastAsia="仿宋_GB2312" w:cs="仿宋_GB2312"/>
          <w:b w:val="0"/>
          <w:bCs w:val="0"/>
          <w:color w:val="auto"/>
          <w:sz w:val="32"/>
          <w:szCs w:val="32"/>
        </w:rPr>
        <w:t>全</w:t>
      </w:r>
      <w:r>
        <w:rPr>
          <w:rFonts w:hint="eastAsia" w:ascii="仿宋_GB2312" w:hAnsi="仿宋_GB2312" w:eastAsia="仿宋_GB2312" w:cs="仿宋_GB2312"/>
          <w:b w:val="0"/>
          <w:bCs w:val="0"/>
          <w:color w:val="auto"/>
          <w:sz w:val="32"/>
          <w:szCs w:val="32"/>
          <w:lang w:eastAsia="zh-CN"/>
        </w:rPr>
        <w:t>中心</w:t>
      </w:r>
      <w:r>
        <w:rPr>
          <w:rFonts w:hint="eastAsia" w:ascii="仿宋_GB2312" w:hAnsi="仿宋_GB2312" w:eastAsia="仿宋_GB2312" w:cs="仿宋_GB2312"/>
          <w:b w:val="0"/>
          <w:bCs w:val="0"/>
          <w:color w:val="auto"/>
          <w:sz w:val="32"/>
          <w:szCs w:val="32"/>
        </w:rPr>
        <w:t>未出现违反“八项规定”和新闻职业道德的违规违纪行为。开展新闻从业人员职业道德</w:t>
      </w:r>
      <w:r>
        <w:rPr>
          <w:rFonts w:hint="eastAsia" w:ascii="仿宋_GB2312" w:hAnsi="仿宋_GB2312" w:eastAsia="仿宋_GB2312" w:cs="仿宋_GB2312"/>
          <w:b w:val="0"/>
          <w:bCs w:val="0"/>
          <w:color w:val="auto"/>
          <w:sz w:val="32"/>
          <w:szCs w:val="32"/>
          <w:lang w:eastAsia="zh-CN"/>
        </w:rPr>
        <w:t>教育</w:t>
      </w:r>
      <w:r>
        <w:rPr>
          <w:rFonts w:hint="eastAsia" w:ascii="仿宋_GB2312" w:hAnsi="仿宋_GB2312" w:eastAsia="仿宋_GB2312" w:cs="仿宋_GB2312"/>
          <w:b w:val="0"/>
          <w:bCs w:val="0"/>
          <w:color w:val="auto"/>
          <w:sz w:val="32"/>
          <w:szCs w:val="32"/>
        </w:rPr>
        <w:t>，增强自身思想政治、职业道德修养和文明礼貌修养，自觉维护</w:t>
      </w:r>
      <w:r>
        <w:rPr>
          <w:rFonts w:hint="eastAsia" w:ascii="仿宋_GB2312" w:hAnsi="仿宋_GB2312" w:eastAsia="仿宋_GB2312" w:cs="仿宋_GB2312"/>
          <w:b w:val="0"/>
          <w:bCs w:val="0"/>
          <w:color w:val="auto"/>
          <w:sz w:val="32"/>
          <w:szCs w:val="32"/>
          <w:lang w:eastAsia="zh-CN"/>
        </w:rPr>
        <w:t>融媒体</w:t>
      </w:r>
      <w:r>
        <w:rPr>
          <w:rFonts w:hint="eastAsia" w:ascii="仿宋_GB2312" w:hAnsi="仿宋_GB2312" w:eastAsia="仿宋_GB2312" w:cs="仿宋_GB2312"/>
          <w:b w:val="0"/>
          <w:bCs w:val="0"/>
          <w:color w:val="auto"/>
          <w:sz w:val="32"/>
          <w:szCs w:val="32"/>
        </w:rPr>
        <w:t>整体形象。</w:t>
      </w:r>
    </w:p>
    <w:p w14:paraId="2F30B0AD">
      <w:pPr>
        <w:keepNext w:val="0"/>
        <w:keepLines w:val="0"/>
        <w:pageBreakBefore w:val="0"/>
        <w:numPr>
          <w:ilvl w:val="0"/>
          <w:numId w:val="0"/>
        </w:numPr>
        <w:kinsoku/>
        <w:wordWrap/>
        <w:overflowPunct/>
        <w:topLinePunct w:val="0"/>
        <w:autoSpaceDE/>
        <w:autoSpaceDN/>
        <w:bidi w:val="0"/>
        <w:adjustRightInd/>
        <w:snapToGrid/>
        <w:spacing w:afterAutospacing="0" w:line="576" w:lineRule="exact"/>
        <w:ind w:left="0" w:leftChars="0" w:firstLine="643"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3</w:t>
      </w:r>
      <w:r>
        <w:rPr>
          <w:rFonts w:hint="eastAsia" w:ascii="楷体" w:hAnsi="楷体" w:eastAsia="楷体" w:cs="楷体"/>
          <w:b/>
          <w:bCs/>
          <w:sz w:val="32"/>
          <w:szCs w:val="32"/>
          <w:lang w:eastAsia="zh-CN"/>
        </w:rPr>
        <w:t>）</w:t>
      </w:r>
      <w:r>
        <w:rPr>
          <w:rFonts w:hint="eastAsia" w:ascii="楷体" w:hAnsi="楷体" w:eastAsia="楷体" w:cs="楷体"/>
          <w:b/>
          <w:bCs/>
          <w:sz w:val="32"/>
          <w:szCs w:val="32"/>
        </w:rPr>
        <w:t>宣传全面、</w:t>
      </w:r>
      <w:r>
        <w:rPr>
          <w:rFonts w:hint="eastAsia" w:ascii="楷体" w:hAnsi="楷体" w:eastAsia="楷体" w:cs="楷体"/>
          <w:b/>
          <w:bCs/>
          <w:sz w:val="32"/>
          <w:szCs w:val="32"/>
          <w:lang w:eastAsia="zh-CN"/>
        </w:rPr>
        <w:t>融和发展</w:t>
      </w:r>
    </w:p>
    <w:p w14:paraId="480C31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0" w:firstLineChars="200"/>
        <w:textAlignment w:val="auto"/>
        <w:rPr>
          <w:rFonts w:hint="default" w:ascii="仿宋_GB2312" w:hAnsi="仿宋_GB2312" w:eastAsia="仿宋_GB2312" w:cs="仿宋_GB2312"/>
          <w:b w:val="0"/>
          <w:bCs w:val="0"/>
          <w:color w:val="auto"/>
          <w:kern w:val="2"/>
          <w:sz w:val="32"/>
          <w:szCs w:val="32"/>
          <w:lang w:val="en-US" w:eastAsia="zh-CN" w:bidi="ar-SA"/>
        </w:rPr>
      </w:pPr>
      <w:bookmarkStart w:id="42" w:name="_Toc8482"/>
      <w:bookmarkStart w:id="43" w:name="_Toc15202"/>
      <w:bookmarkStart w:id="44" w:name="_Toc24071"/>
      <w:bookmarkStart w:id="45" w:name="_Toc9122"/>
      <w:bookmarkStart w:id="46" w:name="_Toc3422"/>
      <w:bookmarkStart w:id="47" w:name="_Toc20336"/>
      <w:r>
        <w:rPr>
          <w:rFonts w:hint="default" w:ascii="仿宋_GB2312" w:hAnsi="仿宋_GB2312" w:eastAsia="仿宋_GB2312" w:cs="仿宋_GB2312"/>
          <w:b w:val="0"/>
          <w:bCs w:val="0"/>
          <w:color w:val="auto"/>
          <w:kern w:val="2"/>
          <w:sz w:val="32"/>
          <w:szCs w:val="32"/>
          <w:lang w:val="en-US" w:eastAsia="zh-CN" w:bidi="ar-SA"/>
        </w:rPr>
        <w:t>紧紧围绕县委、县政府工作安排部署，中心不断加强选题策划，提升报道质量，加大推介力度，深入挖掘生态保护、经济发展、乡村振兴、民生福祉、文旅发展等各方面成果，讲好红原故事，全面展示新时代红原发展好势头新气象。通过国家级媒体平台推出《受寒潮影响 四川红原草原普降春雪》《四川-县城春雪过后成梦幻小城》新闻稿件</w:t>
      </w:r>
      <w:r>
        <w:rPr>
          <w:rFonts w:hint="eastAsia" w:ascii="仿宋_GB2312" w:hAnsi="仿宋_GB2312" w:eastAsia="仿宋_GB2312" w:cs="仿宋_GB2312"/>
          <w:b w:val="0"/>
          <w:bCs w:val="0"/>
          <w:color w:val="auto"/>
          <w:kern w:val="2"/>
          <w:sz w:val="32"/>
          <w:szCs w:val="32"/>
          <w:lang w:val="en-US" w:eastAsia="zh-CN" w:bidi="ar-SA"/>
        </w:rPr>
        <w:t>4</w:t>
      </w:r>
      <w:r>
        <w:rPr>
          <w:rFonts w:hint="default" w:ascii="仿宋_GB2312" w:hAnsi="仿宋_GB2312" w:eastAsia="仿宋_GB2312" w:cs="仿宋_GB2312"/>
          <w:b w:val="0"/>
          <w:bCs w:val="0"/>
          <w:color w:val="auto"/>
          <w:kern w:val="2"/>
          <w:sz w:val="32"/>
          <w:szCs w:val="32"/>
          <w:lang w:val="en-US" w:eastAsia="zh-CN" w:bidi="ar-SA"/>
        </w:rPr>
        <w:t>条；在省级媒体平台川观新闻、四川观察、四川卫视、学习强国、四川民族教育、香巴拉资讯等推出新闻稿件</w:t>
      </w:r>
      <w:r>
        <w:rPr>
          <w:rFonts w:hint="eastAsia" w:ascii="仿宋_GB2312" w:hAnsi="仿宋_GB2312" w:eastAsia="仿宋_GB2312" w:cs="仿宋_GB2312"/>
          <w:b w:val="0"/>
          <w:bCs w:val="0"/>
          <w:color w:val="auto"/>
          <w:kern w:val="2"/>
          <w:sz w:val="32"/>
          <w:szCs w:val="32"/>
          <w:lang w:val="en-US" w:eastAsia="zh-CN" w:bidi="ar-SA"/>
        </w:rPr>
        <w:t>100余</w:t>
      </w:r>
      <w:r>
        <w:rPr>
          <w:rFonts w:hint="default" w:ascii="仿宋_GB2312" w:hAnsi="仿宋_GB2312" w:eastAsia="仿宋_GB2312" w:cs="仿宋_GB2312"/>
          <w:b w:val="0"/>
          <w:bCs w:val="0"/>
          <w:color w:val="auto"/>
          <w:kern w:val="2"/>
          <w:sz w:val="32"/>
          <w:szCs w:val="32"/>
          <w:lang w:val="en-US" w:eastAsia="zh-CN" w:bidi="ar-SA"/>
        </w:rPr>
        <w:t>条，通过阿坝日报、阿坝电视台、美丽阿坝、微阿坝、阿坝鼓声等州级媒体平台推出新闻稿件</w:t>
      </w:r>
      <w:r>
        <w:rPr>
          <w:rFonts w:hint="eastAsia" w:ascii="仿宋_GB2312" w:hAnsi="仿宋_GB2312" w:eastAsia="仿宋_GB2312" w:cs="仿宋_GB2312"/>
          <w:b w:val="0"/>
          <w:bCs w:val="0"/>
          <w:color w:val="auto"/>
          <w:kern w:val="2"/>
          <w:sz w:val="32"/>
          <w:szCs w:val="32"/>
          <w:lang w:val="en-US" w:eastAsia="zh-CN" w:bidi="ar-SA"/>
        </w:rPr>
        <w:t>800余</w:t>
      </w:r>
      <w:r>
        <w:rPr>
          <w:rFonts w:hint="default" w:ascii="仿宋_GB2312" w:hAnsi="仿宋_GB2312" w:eastAsia="仿宋_GB2312" w:cs="仿宋_GB2312"/>
          <w:b w:val="0"/>
          <w:bCs w:val="0"/>
          <w:color w:val="auto"/>
          <w:kern w:val="2"/>
          <w:sz w:val="32"/>
          <w:szCs w:val="32"/>
          <w:lang w:val="en-US" w:eastAsia="zh-CN" w:bidi="ar-SA"/>
        </w:rPr>
        <w:t>条。内宣工作</w:t>
      </w:r>
      <w:r>
        <w:rPr>
          <w:rFonts w:hint="eastAsia" w:ascii="仿宋_GB2312" w:hAnsi="仿宋_GB2312" w:eastAsia="仿宋_GB2312" w:cs="仿宋_GB2312"/>
          <w:b w:val="0"/>
          <w:bCs w:val="0"/>
          <w:color w:val="auto"/>
          <w:kern w:val="2"/>
          <w:sz w:val="32"/>
          <w:szCs w:val="32"/>
          <w:lang w:val="en-US" w:eastAsia="zh-CN" w:bidi="ar-SA"/>
        </w:rPr>
        <w:t>方面，</w:t>
      </w:r>
      <w:r>
        <w:rPr>
          <w:rFonts w:hint="default" w:ascii="仿宋_GB2312" w:hAnsi="仿宋_GB2312" w:eastAsia="仿宋_GB2312" w:cs="仿宋_GB2312"/>
          <w:b w:val="0"/>
          <w:bCs w:val="0"/>
          <w:color w:val="auto"/>
          <w:kern w:val="2"/>
          <w:sz w:val="32"/>
          <w:szCs w:val="32"/>
          <w:lang w:val="en-US" w:eastAsia="zh-CN" w:bidi="ar-SA"/>
        </w:rPr>
        <w:t>围绕县委、县政府中心工作，组织策划，使其内容更加丰富，形式更加多样化，在原有的图文消息的基础上，增加H5、长图、</w:t>
      </w:r>
      <w:r>
        <w:rPr>
          <w:rFonts w:hint="eastAsia" w:ascii="仿宋_GB2312" w:hAnsi="仿宋_GB2312" w:eastAsia="仿宋_GB2312" w:cs="仿宋_GB2312"/>
          <w:b w:val="0"/>
          <w:bCs w:val="0"/>
          <w:color w:val="auto"/>
          <w:kern w:val="2"/>
          <w:sz w:val="32"/>
          <w:szCs w:val="32"/>
          <w:lang w:val="en-US" w:eastAsia="zh-CN" w:bidi="ar-SA"/>
        </w:rPr>
        <w:t>短</w:t>
      </w:r>
      <w:r>
        <w:rPr>
          <w:rFonts w:hint="default" w:ascii="仿宋_GB2312" w:hAnsi="仿宋_GB2312" w:eastAsia="仿宋_GB2312" w:cs="仿宋_GB2312"/>
          <w:b w:val="0"/>
          <w:bCs w:val="0"/>
          <w:color w:val="auto"/>
          <w:kern w:val="2"/>
          <w:sz w:val="32"/>
          <w:szCs w:val="32"/>
          <w:lang w:val="en-US" w:eastAsia="zh-CN" w:bidi="ar-SA"/>
        </w:rPr>
        <w:t>视频等更适合移动端发布的形式，增加可读性，传播效果提升。</w:t>
      </w:r>
      <w:r>
        <w:rPr>
          <w:rFonts w:hint="eastAsia" w:ascii="仿宋_GB2312" w:hAnsi="仿宋_GB2312" w:eastAsia="仿宋_GB2312" w:cs="仿宋_GB2312"/>
          <w:b w:val="0"/>
          <w:bCs w:val="0"/>
          <w:color w:val="auto"/>
          <w:kern w:val="2"/>
          <w:sz w:val="32"/>
          <w:szCs w:val="32"/>
          <w:lang w:val="en-US" w:eastAsia="zh-CN" w:bidi="ar-SA"/>
        </w:rPr>
        <w:t>在大美红原APP、微红原、红原微博、大美红原抖音号以及微红原视频等平台</w:t>
      </w:r>
      <w:r>
        <w:rPr>
          <w:rFonts w:hint="default" w:ascii="仿宋_GB2312" w:hAnsi="仿宋_GB2312" w:eastAsia="仿宋_GB2312" w:cs="仿宋_GB2312"/>
          <w:b w:val="0"/>
          <w:bCs w:val="0"/>
          <w:color w:val="auto"/>
          <w:kern w:val="2"/>
          <w:sz w:val="32"/>
          <w:szCs w:val="32"/>
          <w:lang w:val="en-US" w:eastAsia="zh-CN" w:bidi="ar-SA"/>
        </w:rPr>
        <w:t>先后开辟了《党的二十大</w:t>
      </w:r>
      <w:r>
        <w:rPr>
          <w:rFonts w:hint="eastAsia" w:ascii="仿宋_GB2312" w:hAnsi="仿宋_GB2312" w:eastAsia="仿宋_GB2312" w:cs="仿宋_GB2312"/>
          <w:b w:val="0"/>
          <w:bCs w:val="0"/>
          <w:color w:val="auto"/>
          <w:kern w:val="2"/>
          <w:sz w:val="32"/>
          <w:szCs w:val="32"/>
          <w:lang w:val="en-US" w:eastAsia="zh-CN" w:bidi="ar-SA"/>
        </w:rPr>
        <w:t>精神</w:t>
      </w:r>
      <w:r>
        <w:rPr>
          <w:rFonts w:hint="default" w:ascii="仿宋_GB2312" w:hAnsi="仿宋_GB2312" w:eastAsia="仿宋_GB2312" w:cs="仿宋_GB2312"/>
          <w:b w:val="0"/>
          <w:bCs w:val="0"/>
          <w:color w:val="auto"/>
          <w:kern w:val="2"/>
          <w:sz w:val="32"/>
          <w:szCs w:val="32"/>
          <w:lang w:val="en-US" w:eastAsia="zh-CN" w:bidi="ar-SA"/>
        </w:rPr>
        <w:t>》《森林草原防灭火》《</w:t>
      </w:r>
      <w:r>
        <w:rPr>
          <w:rFonts w:hint="eastAsia" w:ascii="仿宋_GB2312" w:hAnsi="仿宋_GB2312" w:eastAsia="仿宋_GB2312" w:cs="仿宋_GB2312"/>
          <w:b w:val="0"/>
          <w:bCs w:val="0"/>
          <w:color w:val="auto"/>
          <w:kern w:val="2"/>
          <w:sz w:val="32"/>
          <w:szCs w:val="32"/>
          <w:lang w:val="en-US" w:eastAsia="zh-CN" w:bidi="ar-SA"/>
        </w:rPr>
        <w:t>项目建设</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《防灾减灾》《文明实践》</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精彩雅克</w:t>
      </w:r>
      <w:r>
        <w:rPr>
          <w:rFonts w:hint="default" w:ascii="仿宋_GB2312" w:hAnsi="仿宋_GB2312" w:eastAsia="仿宋_GB2312" w:cs="仿宋_GB2312"/>
          <w:b w:val="0"/>
          <w:bCs w:val="0"/>
          <w:color w:val="auto"/>
          <w:kern w:val="2"/>
          <w:sz w:val="32"/>
          <w:szCs w:val="32"/>
          <w:lang w:val="en-US" w:eastAsia="zh-CN" w:bidi="ar-SA"/>
        </w:rPr>
        <w:t>》</w:t>
      </w:r>
      <w:r>
        <w:rPr>
          <w:rFonts w:hint="eastAsia" w:ascii="仿宋_GB2312" w:hAnsi="仿宋_GB2312" w:eastAsia="仿宋_GB2312" w:cs="仿宋_GB2312"/>
          <w:b w:val="0"/>
          <w:bCs w:val="0"/>
          <w:color w:val="auto"/>
          <w:kern w:val="2"/>
          <w:sz w:val="32"/>
          <w:szCs w:val="32"/>
          <w:lang w:val="en-US" w:eastAsia="zh-CN" w:bidi="ar-SA"/>
        </w:rPr>
        <w:t>《壮丽辉煌七十年 感恩奋进新阿坝》</w:t>
      </w:r>
      <w:r>
        <w:rPr>
          <w:rFonts w:hint="default" w:ascii="仿宋_GB2312" w:hAnsi="仿宋_GB2312" w:eastAsia="仿宋_GB2312" w:cs="仿宋_GB2312"/>
          <w:b w:val="0"/>
          <w:bCs w:val="0"/>
          <w:color w:val="auto"/>
          <w:kern w:val="2"/>
          <w:sz w:val="32"/>
          <w:szCs w:val="32"/>
          <w:lang w:val="en-US" w:eastAsia="zh-CN" w:bidi="ar-SA"/>
        </w:rPr>
        <w:t>等专题栏目。</w:t>
      </w:r>
      <w:r>
        <w:rPr>
          <w:rFonts w:hint="eastAsia" w:ascii="仿宋_GB2312" w:hAnsi="仿宋_GB2312" w:eastAsia="仿宋_GB2312" w:cs="仿宋_GB2312"/>
          <w:b w:val="0"/>
          <w:bCs w:val="0"/>
          <w:color w:val="auto"/>
          <w:kern w:val="2"/>
          <w:sz w:val="32"/>
          <w:szCs w:val="32"/>
          <w:lang w:val="en-US" w:eastAsia="zh-CN" w:bidi="ar-SA"/>
        </w:rPr>
        <w:t>开展</w:t>
      </w:r>
      <w:r>
        <w:rPr>
          <w:rFonts w:hint="default" w:ascii="仿宋_GB2312" w:hAnsi="仿宋_GB2312" w:eastAsia="仿宋_GB2312" w:cs="仿宋_GB2312"/>
          <w:b w:val="0"/>
          <w:bCs w:val="0"/>
          <w:color w:val="auto"/>
          <w:kern w:val="2"/>
          <w:sz w:val="32"/>
          <w:szCs w:val="32"/>
          <w:lang w:val="en-US" w:eastAsia="zh-CN" w:bidi="ar-SA"/>
        </w:rPr>
        <w:t>《聚焦两会》《2023年第一课》线上专访。</w:t>
      </w:r>
      <w:r>
        <w:rPr>
          <w:rFonts w:hint="eastAsia" w:ascii="仿宋_GB2312" w:hAnsi="仿宋_GB2312" w:eastAsia="仿宋_GB2312" w:cs="仿宋_GB2312"/>
          <w:b w:val="0"/>
          <w:bCs w:val="0"/>
          <w:color w:val="auto"/>
          <w:kern w:val="2"/>
          <w:sz w:val="32"/>
          <w:szCs w:val="32"/>
          <w:lang w:val="en-US" w:eastAsia="zh-CN" w:bidi="ar-SA"/>
        </w:rPr>
        <w:t>截止目前</w:t>
      </w:r>
      <w:r>
        <w:rPr>
          <w:rFonts w:hint="default" w:ascii="仿宋_GB2312" w:hAnsi="仿宋_GB2312" w:eastAsia="仿宋_GB2312" w:cs="仿宋_GB2312"/>
          <w:b w:val="0"/>
          <w:bCs w:val="0"/>
          <w:color w:val="auto"/>
          <w:kern w:val="2"/>
          <w:sz w:val="32"/>
          <w:szCs w:val="32"/>
          <w:lang w:val="en-US" w:eastAsia="zh-CN" w:bidi="ar-SA"/>
        </w:rPr>
        <w:t>，微红原编发</w:t>
      </w:r>
      <w:r>
        <w:rPr>
          <w:rFonts w:hint="eastAsia" w:ascii="仿宋_GB2312" w:hAnsi="仿宋_GB2312" w:eastAsia="仿宋_GB2312" w:cs="仿宋_GB2312"/>
          <w:b w:val="0"/>
          <w:bCs w:val="0"/>
          <w:color w:val="auto"/>
          <w:kern w:val="2"/>
          <w:sz w:val="32"/>
          <w:szCs w:val="32"/>
          <w:lang w:val="en-US" w:eastAsia="zh-CN" w:bidi="ar-SA"/>
        </w:rPr>
        <w:t>280余</w:t>
      </w:r>
      <w:r>
        <w:rPr>
          <w:rFonts w:hint="default" w:ascii="仿宋_GB2312" w:hAnsi="仿宋_GB2312" w:eastAsia="仿宋_GB2312" w:cs="仿宋_GB2312"/>
          <w:b w:val="0"/>
          <w:bCs w:val="0"/>
          <w:color w:val="auto"/>
          <w:kern w:val="2"/>
          <w:sz w:val="32"/>
          <w:szCs w:val="32"/>
          <w:lang w:val="en-US" w:eastAsia="zh-CN" w:bidi="ar-SA"/>
        </w:rPr>
        <w:t>期，</w:t>
      </w:r>
      <w:r>
        <w:rPr>
          <w:rFonts w:hint="eastAsia" w:ascii="仿宋_GB2312" w:hAnsi="仿宋_GB2312" w:eastAsia="仿宋_GB2312" w:cs="仿宋_GB2312"/>
          <w:b w:val="0"/>
          <w:bCs w:val="0"/>
          <w:color w:val="auto"/>
          <w:kern w:val="2"/>
          <w:sz w:val="32"/>
          <w:szCs w:val="32"/>
          <w:lang w:val="en-US" w:eastAsia="zh-CN" w:bidi="ar-SA"/>
        </w:rPr>
        <w:t>发布各类稿件超过2000余</w:t>
      </w:r>
      <w:r>
        <w:rPr>
          <w:rFonts w:hint="default" w:ascii="仿宋_GB2312" w:hAnsi="仿宋_GB2312" w:eastAsia="仿宋_GB2312" w:cs="仿宋_GB2312"/>
          <w:b w:val="0"/>
          <w:bCs w:val="0"/>
          <w:color w:val="auto"/>
          <w:kern w:val="2"/>
          <w:sz w:val="32"/>
          <w:szCs w:val="32"/>
          <w:lang w:val="en-US" w:eastAsia="zh-CN" w:bidi="ar-SA"/>
        </w:rPr>
        <w:t>条；大美红原APP编发</w:t>
      </w:r>
      <w:r>
        <w:rPr>
          <w:rFonts w:hint="eastAsia" w:ascii="仿宋_GB2312" w:hAnsi="仿宋_GB2312" w:eastAsia="仿宋_GB2312" w:cs="仿宋_GB2312"/>
          <w:b w:val="0"/>
          <w:bCs w:val="0"/>
          <w:color w:val="auto"/>
          <w:kern w:val="2"/>
          <w:sz w:val="32"/>
          <w:szCs w:val="32"/>
          <w:lang w:val="en-US" w:eastAsia="zh-CN" w:bidi="ar-SA"/>
        </w:rPr>
        <w:t>280</w:t>
      </w:r>
      <w:r>
        <w:rPr>
          <w:rFonts w:hint="default" w:ascii="仿宋_GB2312" w:hAnsi="仿宋_GB2312" w:eastAsia="仿宋_GB2312" w:cs="仿宋_GB2312"/>
          <w:b w:val="0"/>
          <w:bCs w:val="0"/>
          <w:color w:val="auto"/>
          <w:kern w:val="2"/>
          <w:sz w:val="32"/>
          <w:szCs w:val="32"/>
          <w:lang w:val="en-US" w:eastAsia="zh-CN" w:bidi="ar-SA"/>
        </w:rPr>
        <w:t>期，</w:t>
      </w:r>
      <w:r>
        <w:rPr>
          <w:rFonts w:hint="eastAsia" w:ascii="仿宋_GB2312" w:hAnsi="仿宋_GB2312" w:eastAsia="仿宋_GB2312" w:cs="仿宋_GB2312"/>
          <w:b w:val="0"/>
          <w:bCs w:val="0"/>
          <w:color w:val="auto"/>
          <w:kern w:val="2"/>
          <w:sz w:val="32"/>
          <w:szCs w:val="32"/>
          <w:lang w:val="en-US" w:eastAsia="zh-CN" w:bidi="ar-SA"/>
        </w:rPr>
        <w:t>发布各类稿件超过3000余条</w:t>
      </w:r>
      <w:r>
        <w:rPr>
          <w:rFonts w:hint="default" w:ascii="仿宋_GB2312" w:hAnsi="仿宋_GB2312" w:eastAsia="仿宋_GB2312" w:cs="仿宋_GB2312"/>
          <w:b w:val="0"/>
          <w:bCs w:val="0"/>
          <w:color w:val="auto"/>
          <w:kern w:val="2"/>
          <w:sz w:val="32"/>
          <w:szCs w:val="32"/>
          <w:lang w:val="en-US" w:eastAsia="zh-CN" w:bidi="ar-SA"/>
        </w:rPr>
        <w:t>；红原县融媒体中心抖音账号编发原创</w:t>
      </w:r>
      <w:r>
        <w:rPr>
          <w:rFonts w:hint="eastAsia" w:ascii="仿宋_GB2312" w:hAnsi="仿宋_GB2312" w:eastAsia="仿宋_GB2312" w:cs="仿宋_GB2312"/>
          <w:b w:val="0"/>
          <w:bCs w:val="0"/>
          <w:color w:val="auto"/>
          <w:kern w:val="2"/>
          <w:sz w:val="32"/>
          <w:szCs w:val="32"/>
          <w:lang w:val="en-US" w:eastAsia="zh-CN" w:bidi="ar-SA"/>
        </w:rPr>
        <w:t>短视频26</w:t>
      </w:r>
      <w:r>
        <w:rPr>
          <w:rFonts w:hint="default"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val="en-US" w:eastAsia="zh-CN" w:bidi="ar-SA"/>
        </w:rPr>
        <w:t>余</w:t>
      </w:r>
      <w:r>
        <w:rPr>
          <w:rFonts w:hint="default" w:ascii="仿宋_GB2312" w:hAnsi="仿宋_GB2312" w:eastAsia="仿宋_GB2312" w:cs="仿宋_GB2312"/>
          <w:b w:val="0"/>
          <w:bCs w:val="0"/>
          <w:color w:val="auto"/>
          <w:kern w:val="2"/>
          <w:sz w:val="32"/>
          <w:szCs w:val="32"/>
          <w:lang w:val="en-US" w:eastAsia="zh-CN" w:bidi="ar-SA"/>
        </w:rPr>
        <w:t>条，</w:t>
      </w:r>
      <w:r>
        <w:rPr>
          <w:rFonts w:hint="eastAsia" w:ascii="仿宋_GB2312" w:hAnsi="仿宋_GB2312" w:eastAsia="仿宋_GB2312" w:cs="仿宋_GB2312"/>
          <w:b w:val="0"/>
          <w:bCs w:val="0"/>
          <w:color w:val="auto"/>
          <w:kern w:val="2"/>
          <w:sz w:val="32"/>
          <w:szCs w:val="32"/>
          <w:lang w:val="en-US" w:eastAsia="zh-CN" w:bidi="ar-SA"/>
        </w:rPr>
        <w:t>其中单条点击量最高超过39万人次，点击量10+的有5条，粉丝人数从</w:t>
      </w:r>
      <w:r>
        <w:rPr>
          <w:rFonts w:hint="default" w:ascii="仿宋_GB2312" w:hAnsi="仿宋_GB2312" w:eastAsia="仿宋_GB2312" w:cs="仿宋_GB2312"/>
          <w:b w:val="0"/>
          <w:bCs w:val="0"/>
          <w:color w:val="auto"/>
          <w:kern w:val="2"/>
          <w:sz w:val="32"/>
          <w:szCs w:val="32"/>
          <w:lang w:val="en-US" w:eastAsia="zh-CN" w:bidi="ar-SA"/>
        </w:rPr>
        <w:t>3.4万人</w:t>
      </w:r>
      <w:r>
        <w:rPr>
          <w:rFonts w:hint="eastAsia" w:ascii="仿宋_GB2312" w:hAnsi="仿宋_GB2312" w:eastAsia="仿宋_GB2312" w:cs="仿宋_GB2312"/>
          <w:b w:val="0"/>
          <w:bCs w:val="0"/>
          <w:color w:val="auto"/>
          <w:kern w:val="2"/>
          <w:sz w:val="32"/>
          <w:szCs w:val="32"/>
          <w:lang w:val="en-US" w:eastAsia="zh-CN" w:bidi="ar-SA"/>
        </w:rPr>
        <w:t>增加到现在的4.2万。</w:t>
      </w:r>
      <w:r>
        <w:rPr>
          <w:rFonts w:hint="default" w:ascii="仿宋_GB2312" w:hAnsi="仿宋_GB2312" w:eastAsia="仿宋_GB2312" w:cs="仿宋_GB2312"/>
          <w:b w:val="0"/>
          <w:bCs w:val="0"/>
          <w:color w:val="auto"/>
          <w:kern w:val="2"/>
          <w:sz w:val="32"/>
          <w:szCs w:val="32"/>
          <w:lang w:val="en-US" w:eastAsia="zh-CN" w:bidi="ar-SA"/>
        </w:rPr>
        <w:t>红原汉语新闻制播</w:t>
      </w:r>
      <w:r>
        <w:rPr>
          <w:rFonts w:hint="eastAsia" w:ascii="仿宋_GB2312" w:hAnsi="仿宋_GB2312" w:eastAsia="仿宋_GB2312" w:cs="仿宋_GB2312"/>
          <w:b w:val="0"/>
          <w:bCs w:val="0"/>
          <w:color w:val="auto"/>
          <w:kern w:val="2"/>
          <w:sz w:val="32"/>
          <w:szCs w:val="32"/>
          <w:lang w:val="en-US" w:eastAsia="zh-CN" w:bidi="ar-SA"/>
        </w:rPr>
        <w:t>100</w:t>
      </w:r>
      <w:r>
        <w:rPr>
          <w:rFonts w:hint="default" w:ascii="仿宋_GB2312" w:hAnsi="仿宋_GB2312" w:eastAsia="仿宋_GB2312" w:cs="仿宋_GB2312"/>
          <w:b w:val="0"/>
          <w:bCs w:val="0"/>
          <w:color w:val="auto"/>
          <w:kern w:val="2"/>
          <w:sz w:val="32"/>
          <w:szCs w:val="32"/>
          <w:lang w:val="en-US" w:eastAsia="zh-CN" w:bidi="ar-SA"/>
        </w:rPr>
        <w:t>期，红原新闻藏语新闻制播</w:t>
      </w:r>
      <w:r>
        <w:rPr>
          <w:rFonts w:hint="eastAsia" w:ascii="仿宋_GB2312" w:hAnsi="仿宋_GB2312" w:eastAsia="仿宋_GB2312" w:cs="仿宋_GB2312"/>
          <w:b w:val="0"/>
          <w:bCs w:val="0"/>
          <w:color w:val="auto"/>
          <w:kern w:val="2"/>
          <w:sz w:val="32"/>
          <w:szCs w:val="32"/>
          <w:lang w:val="en-US" w:eastAsia="zh-CN" w:bidi="ar-SA"/>
        </w:rPr>
        <w:t>100</w:t>
      </w:r>
      <w:r>
        <w:rPr>
          <w:rFonts w:hint="default" w:ascii="仿宋_GB2312" w:hAnsi="仿宋_GB2312" w:eastAsia="仿宋_GB2312" w:cs="仿宋_GB2312"/>
          <w:b w:val="0"/>
          <w:bCs w:val="0"/>
          <w:color w:val="auto"/>
          <w:kern w:val="2"/>
          <w:sz w:val="32"/>
          <w:szCs w:val="32"/>
          <w:lang w:val="en-US" w:eastAsia="zh-CN" w:bidi="ar-SA"/>
        </w:rPr>
        <w:t>期。</w:t>
      </w:r>
      <w:r>
        <w:rPr>
          <w:rFonts w:hint="eastAsia" w:ascii="仿宋_GB2312" w:hAnsi="仿宋_GB2312" w:eastAsia="仿宋_GB2312" w:cs="仿宋_GB2312"/>
          <w:b w:val="0"/>
          <w:bCs w:val="0"/>
          <w:color w:val="auto"/>
          <w:kern w:val="2"/>
          <w:sz w:val="32"/>
          <w:szCs w:val="32"/>
          <w:lang w:val="en-US" w:eastAsia="zh-CN" w:bidi="ar-SA"/>
        </w:rPr>
        <w:t>通过抖音和视频号两个官方账号开展网络直播50场次，全网观看超过400万人次，单场点赞最高超过160万。同时，</w:t>
      </w:r>
      <w:r>
        <w:rPr>
          <w:rFonts w:hint="default" w:ascii="仿宋_GB2312" w:hAnsi="仿宋_GB2312" w:eastAsia="仿宋_GB2312" w:cs="仿宋_GB2312"/>
          <w:b w:val="0"/>
          <w:bCs w:val="0"/>
          <w:color w:val="auto"/>
          <w:kern w:val="2"/>
          <w:sz w:val="32"/>
          <w:szCs w:val="32"/>
          <w:lang w:val="en-US" w:eastAsia="zh-CN" w:bidi="ar-SA"/>
        </w:rPr>
        <w:t>全力宣传好中央、省委、州委和县委县政府关于政治经济社会发展的总体要求、主要任务和政策措施。</w:t>
      </w:r>
      <w:bookmarkEnd w:id="42"/>
      <w:bookmarkEnd w:id="43"/>
      <w:bookmarkEnd w:id="44"/>
      <w:bookmarkEnd w:id="45"/>
      <w:bookmarkEnd w:id="46"/>
      <w:bookmarkEnd w:id="47"/>
    </w:p>
    <w:p w14:paraId="3B6E7FA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0" w:right="0" w:firstLine="643" w:firstLineChars="200"/>
        <w:textAlignment w:val="auto"/>
        <w:rPr>
          <w:rFonts w:hint="eastAsia" w:ascii="楷体" w:hAnsi="楷体" w:eastAsia="楷体" w:cs="楷体"/>
          <w:b/>
          <w:bCs/>
          <w:sz w:val="32"/>
          <w:szCs w:val="32"/>
        </w:rPr>
      </w:pPr>
      <w:bookmarkStart w:id="48" w:name="_Toc7409"/>
      <w:bookmarkStart w:id="49" w:name="_Toc7017"/>
      <w:bookmarkStart w:id="50" w:name="_Toc3781"/>
      <w:bookmarkStart w:id="51" w:name="_Toc11139"/>
      <w:bookmarkStart w:id="52" w:name="_Toc17799"/>
      <w:bookmarkStart w:id="53" w:name="_Toc25877"/>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4</w:t>
      </w:r>
      <w:r>
        <w:rPr>
          <w:rFonts w:hint="eastAsia" w:ascii="楷体" w:hAnsi="楷体" w:eastAsia="楷体" w:cs="楷体"/>
          <w:b/>
          <w:bCs/>
          <w:sz w:val="32"/>
          <w:szCs w:val="32"/>
          <w:lang w:eastAsia="zh-CN"/>
        </w:rPr>
        <w:t>）</w:t>
      </w:r>
      <w:r>
        <w:rPr>
          <w:rFonts w:hint="eastAsia" w:ascii="楷体" w:hAnsi="楷体" w:eastAsia="楷体" w:cs="楷体"/>
          <w:b/>
          <w:bCs/>
          <w:sz w:val="32"/>
          <w:szCs w:val="32"/>
        </w:rPr>
        <w:t>加强作风建设，以党建促业务</w:t>
      </w:r>
      <w:bookmarkEnd w:id="48"/>
      <w:bookmarkEnd w:id="49"/>
      <w:bookmarkEnd w:id="50"/>
      <w:bookmarkEnd w:id="51"/>
      <w:bookmarkEnd w:id="52"/>
      <w:bookmarkEnd w:id="53"/>
    </w:p>
    <w:p w14:paraId="190D43C0">
      <w:pPr>
        <w:keepNext w:val="0"/>
        <w:keepLines w:val="0"/>
        <w:pageBreakBefore w:val="0"/>
        <w:kinsoku/>
        <w:wordWrap/>
        <w:overflowPunct/>
        <w:topLinePunct w:val="0"/>
        <w:autoSpaceDE/>
        <w:autoSpaceDN/>
        <w:bidi w:val="0"/>
        <w:adjustRightInd/>
        <w:snapToGrid/>
        <w:spacing w:afterAutospacing="0"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始终坚定不移的以习近平新时代中国特色社会主义思想武装头脑，全面宣传报道党的二十大精神，深入贯彻落实中央、省、州、县决策部署，落实意识形态工作责任制，</w:t>
      </w:r>
      <w:r>
        <w:rPr>
          <w:rFonts w:hint="eastAsia" w:ascii="仿宋_GB2312" w:hAnsi="仿宋_GB2312" w:eastAsia="仿宋_GB2312" w:cs="仿宋_GB2312"/>
          <w:sz w:val="32"/>
          <w:szCs w:val="32"/>
        </w:rPr>
        <w:t>建立学习激励与检查机制、落实首问负责制、完善工作制度、严格规范工作人员言行举止、</w:t>
      </w:r>
      <w:r>
        <w:rPr>
          <w:rFonts w:hint="eastAsia" w:ascii="仿宋_GB2312" w:eastAsia="仿宋_GB2312"/>
          <w:color w:val="auto"/>
          <w:sz w:val="32"/>
          <w:szCs w:val="32"/>
          <w:lang w:eastAsia="zh-CN"/>
        </w:rPr>
        <w:t>全面</w:t>
      </w:r>
      <w:r>
        <w:rPr>
          <w:rFonts w:hint="eastAsia" w:ascii="仿宋_GB2312" w:eastAsia="仿宋_GB2312"/>
          <w:color w:val="auto"/>
          <w:sz w:val="32"/>
          <w:szCs w:val="32"/>
        </w:rPr>
        <w:t>加强党的政治建设</w:t>
      </w:r>
      <w:r>
        <w:rPr>
          <w:rFonts w:hint="eastAsia" w:ascii="仿宋_GB2312" w:eastAsia="仿宋_GB2312"/>
          <w:color w:val="auto"/>
          <w:sz w:val="32"/>
          <w:szCs w:val="32"/>
          <w:lang w:eastAsia="zh-CN"/>
        </w:rPr>
        <w:t>，健全“不忘初心、牢记使命”长效机制，狠抓</w:t>
      </w:r>
      <w:r>
        <w:rPr>
          <w:rFonts w:hint="eastAsia" w:ascii="仿宋_GB2312" w:hAnsi="仿宋_GB2312" w:eastAsia="仿宋_GB2312" w:cs="仿宋_GB2312"/>
          <w:b w:val="0"/>
          <w:bCs/>
          <w:color w:val="auto"/>
          <w:kern w:val="0"/>
          <w:sz w:val="32"/>
          <w:szCs w:val="22"/>
          <w:lang w:val="en-US" w:eastAsia="zh-CN" w:bidi="ar-SA"/>
        </w:rPr>
        <w:t>党史学习教育，</w:t>
      </w:r>
      <w:r>
        <w:rPr>
          <w:rFonts w:hint="eastAsia" w:ascii="仿宋_GB2312" w:hAnsi="仿宋_GB2312" w:eastAsia="仿宋_GB2312" w:cs="仿宋_GB2312"/>
          <w:color w:val="auto"/>
          <w:sz w:val="32"/>
          <w:szCs w:val="32"/>
          <w:lang w:eastAsia="zh-CN"/>
        </w:rPr>
        <w:t>采取传统媒体与新兴媒体相结合、集中宣传与常规宣传相结合的方式，开设</w:t>
      </w:r>
      <w:r>
        <w:rPr>
          <w:rFonts w:hint="eastAsia" w:ascii="仿宋_GB2312" w:eastAsia="仿宋_GB2312"/>
          <w:color w:val="auto"/>
          <w:sz w:val="32"/>
          <w:szCs w:val="32"/>
          <w:lang w:eastAsia="zh-CN"/>
        </w:rPr>
        <w:t>学习</w:t>
      </w:r>
      <w:r>
        <w:rPr>
          <w:rFonts w:hint="eastAsia" w:ascii="仿宋_GB2312" w:hAnsi="仿宋_GB2312" w:eastAsia="仿宋_GB2312" w:cs="仿宋_GB2312"/>
          <w:color w:val="auto"/>
          <w:sz w:val="32"/>
          <w:szCs w:val="32"/>
          <w:lang w:eastAsia="zh-CN"/>
        </w:rPr>
        <w:t>贯彻</w:t>
      </w:r>
      <w:r>
        <w:rPr>
          <w:rFonts w:hint="eastAsia" w:ascii="仿宋_GB2312" w:eastAsia="仿宋_GB2312"/>
          <w:color w:val="auto"/>
          <w:sz w:val="32"/>
          <w:szCs w:val="32"/>
          <w:lang w:eastAsia="zh-CN"/>
        </w:rPr>
        <w:t>“党的二十大精神”</w:t>
      </w:r>
      <w:r>
        <w:rPr>
          <w:rFonts w:hint="eastAsia" w:ascii="仿宋_GB2312" w:hAnsi="仿宋_GB2312" w:eastAsia="仿宋_GB2312" w:cs="仿宋_GB2312"/>
          <w:color w:val="auto"/>
          <w:sz w:val="32"/>
          <w:szCs w:val="32"/>
          <w:lang w:eastAsia="zh-CN"/>
        </w:rPr>
        <w:t>、“辉煌</w:t>
      </w:r>
      <w:r>
        <w:rPr>
          <w:rFonts w:hint="eastAsia" w:ascii="仿宋_GB2312" w:hAnsi="仿宋_GB2312" w:eastAsia="仿宋_GB2312" w:cs="仿宋_GB2312"/>
          <w:b w:val="0"/>
          <w:bCs w:val="0"/>
          <w:color w:val="auto"/>
          <w:sz w:val="32"/>
          <w:szCs w:val="32"/>
          <w:lang w:eastAsia="zh-CN"/>
        </w:rPr>
        <w:t>七十载</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建功新征程”</w:t>
      </w:r>
      <w:r>
        <w:rPr>
          <w:rFonts w:hint="eastAsia" w:ascii="仿宋_GB2312" w:hAnsi="仿宋_GB2312" w:eastAsia="仿宋_GB2312" w:cs="仿宋_GB2312"/>
          <w:color w:val="auto"/>
          <w:sz w:val="32"/>
          <w:szCs w:val="32"/>
          <w:lang w:eastAsia="zh-CN"/>
        </w:rPr>
        <w:t>专题专栏。</w:t>
      </w:r>
      <w:r>
        <w:rPr>
          <w:rFonts w:hint="eastAsia" w:ascii="仿宋_GB2312" w:eastAsia="仿宋_GB2312"/>
          <w:color w:val="auto"/>
          <w:sz w:val="32"/>
          <w:szCs w:val="32"/>
        </w:rPr>
        <w:t>全面落实党建工作目标管理责任制</w:t>
      </w:r>
      <w:r>
        <w:rPr>
          <w:rFonts w:hint="eastAsia" w:ascii="仿宋_GB2312" w:eastAsia="仿宋_GB2312"/>
          <w:color w:val="auto"/>
          <w:sz w:val="32"/>
          <w:szCs w:val="32"/>
          <w:lang w:eastAsia="zh-CN"/>
        </w:rPr>
        <w:t>，</w:t>
      </w:r>
      <w:r>
        <w:rPr>
          <w:rFonts w:hint="eastAsia" w:ascii="仿宋_GB2312" w:eastAsia="仿宋_GB2312"/>
          <w:color w:val="auto"/>
          <w:sz w:val="32"/>
          <w:szCs w:val="32"/>
        </w:rPr>
        <w:t>做到了党建工作与业务工作同安排、同</w:t>
      </w:r>
      <w:r>
        <w:rPr>
          <w:rFonts w:hint="eastAsia" w:ascii="仿宋_GB2312" w:eastAsia="仿宋_GB2312"/>
          <w:color w:val="auto"/>
          <w:sz w:val="32"/>
          <w:szCs w:val="32"/>
          <w:lang w:eastAsia="zh-CN"/>
        </w:rPr>
        <w:t>部署</w:t>
      </w:r>
      <w:r>
        <w:rPr>
          <w:rFonts w:hint="eastAsia" w:ascii="仿宋_GB2312" w:eastAsia="仿宋_GB2312"/>
          <w:color w:val="auto"/>
          <w:sz w:val="32"/>
          <w:szCs w:val="32"/>
        </w:rPr>
        <w:t>，同考核，确保了党建工作任务全面落实。党员“三会一课”等各项制度进一步完善，</w:t>
      </w:r>
      <w:r>
        <w:rPr>
          <w:rFonts w:hint="eastAsia" w:ascii="仿宋_GB2312" w:eastAsia="仿宋_GB2312"/>
          <w:color w:val="auto"/>
          <w:sz w:val="32"/>
          <w:szCs w:val="32"/>
          <w:lang w:eastAsia="zh-CN"/>
        </w:rPr>
        <w:t>积极</w:t>
      </w:r>
      <w:r>
        <w:rPr>
          <w:rFonts w:hint="eastAsia" w:ascii="仿宋_GB2312" w:eastAsia="仿宋_GB2312"/>
          <w:color w:val="auto"/>
          <w:sz w:val="32"/>
          <w:szCs w:val="32"/>
        </w:rPr>
        <w:t>做好了党费收缴工作</w:t>
      </w:r>
      <w:r>
        <w:rPr>
          <w:rFonts w:hint="eastAsia" w:ascii="仿宋_GB2312" w:eastAsia="仿宋_GB2312"/>
          <w:color w:val="auto"/>
          <w:sz w:val="32"/>
          <w:szCs w:val="32"/>
          <w:lang w:eastAsia="zh-CN"/>
        </w:rPr>
        <w:t>，</w:t>
      </w:r>
      <w:r>
        <w:rPr>
          <w:rFonts w:hint="eastAsia" w:ascii="仿宋_GB2312" w:eastAsia="仿宋_GB2312"/>
          <w:color w:val="auto"/>
          <w:sz w:val="32"/>
          <w:szCs w:val="32"/>
        </w:rPr>
        <w:t>主题“党日”、组织生活和民主生活会制度</w:t>
      </w:r>
      <w:r>
        <w:rPr>
          <w:rFonts w:hint="eastAsia" w:ascii="仿宋_GB2312" w:eastAsia="仿宋_GB2312"/>
          <w:color w:val="auto"/>
          <w:sz w:val="32"/>
          <w:szCs w:val="32"/>
          <w:lang w:eastAsia="zh-CN"/>
        </w:rPr>
        <w:t>进一步</w:t>
      </w:r>
      <w:r>
        <w:rPr>
          <w:rFonts w:hint="eastAsia" w:ascii="仿宋_GB2312" w:eastAsia="仿宋_GB2312"/>
          <w:color w:val="auto"/>
          <w:sz w:val="32"/>
          <w:szCs w:val="32"/>
        </w:rPr>
        <w:t>规范</w:t>
      </w:r>
      <w:r>
        <w:rPr>
          <w:rFonts w:hint="eastAsia" w:ascii="仿宋_GB2312" w:eastAsia="仿宋_GB2312"/>
          <w:color w:val="auto"/>
          <w:sz w:val="32"/>
          <w:szCs w:val="32"/>
          <w:lang w:eastAsia="zh-CN"/>
        </w:rPr>
        <w:t>，今年，</w:t>
      </w:r>
      <w:r>
        <w:rPr>
          <w:rFonts w:hint="eastAsia" w:ascii="仿宋_GB2312" w:eastAsia="仿宋_GB2312"/>
          <w:color w:val="auto"/>
          <w:sz w:val="32"/>
          <w:szCs w:val="32"/>
        </w:rPr>
        <w:t>培养</w:t>
      </w:r>
      <w:r>
        <w:rPr>
          <w:rFonts w:hint="eastAsia" w:ascii="仿宋_GB2312" w:eastAsia="仿宋_GB2312"/>
          <w:color w:val="auto"/>
          <w:sz w:val="32"/>
          <w:szCs w:val="32"/>
          <w:lang w:eastAsia="zh-CN"/>
        </w:rPr>
        <w:t>党员</w:t>
      </w:r>
      <w:r>
        <w:rPr>
          <w:rFonts w:hint="eastAsia" w:ascii="仿宋_GB2312" w:eastAsia="仿宋_GB2312"/>
          <w:color w:val="auto"/>
          <w:sz w:val="32"/>
          <w:szCs w:val="32"/>
          <w:lang w:val="en-US" w:eastAsia="zh-CN"/>
        </w:rPr>
        <w:t>2</w:t>
      </w:r>
      <w:r>
        <w:rPr>
          <w:rFonts w:hint="eastAsia" w:ascii="仿宋_GB2312" w:eastAsia="仿宋_GB2312"/>
          <w:color w:val="auto"/>
          <w:sz w:val="32"/>
          <w:szCs w:val="32"/>
        </w:rPr>
        <w:t>名</w:t>
      </w:r>
      <w:r>
        <w:rPr>
          <w:rFonts w:hint="eastAsia" w:ascii="仿宋_GB2312" w:eastAsia="仿宋_GB2312"/>
          <w:color w:val="auto"/>
          <w:sz w:val="32"/>
          <w:szCs w:val="32"/>
          <w:lang w:eastAsia="zh-CN"/>
        </w:rPr>
        <w:t>。</w:t>
      </w:r>
      <w:r>
        <w:rPr>
          <w:rFonts w:hint="eastAsia" w:ascii="仿宋_GB2312" w:eastAsia="仿宋_GB2312"/>
          <w:color w:val="auto"/>
          <w:sz w:val="32"/>
          <w:szCs w:val="32"/>
        </w:rPr>
        <w:t>领导班子成员党性强，作风过硬，清政廉洁，未有以权谋私贪污受贿等腐败、违法违纪行为。班子团结一致，工作中既明确分工，又相互协调，共同为搞好工作积极努力。</w:t>
      </w:r>
      <w:bookmarkStart w:id="54" w:name="_Toc2098"/>
      <w:bookmarkStart w:id="55" w:name="_Toc19747"/>
      <w:bookmarkStart w:id="56" w:name="_Toc1838"/>
      <w:bookmarkStart w:id="57" w:name="_Toc25846"/>
      <w:bookmarkStart w:id="58" w:name="_Toc2728"/>
      <w:bookmarkStart w:id="59" w:name="_Toc32141"/>
      <w:bookmarkStart w:id="60" w:name="_Toc28523"/>
    </w:p>
    <w:p w14:paraId="7890F971">
      <w:pPr>
        <w:pStyle w:val="5"/>
        <w:keepNext/>
        <w:keepLines/>
        <w:pageBreakBefore w:val="0"/>
        <w:widowControl w:val="0"/>
        <w:kinsoku/>
        <w:wordWrap/>
        <w:overflowPunct/>
        <w:topLinePunct w:val="0"/>
        <w:autoSpaceDE/>
        <w:autoSpaceDN/>
        <w:bidi w:val="0"/>
        <w:adjustRightInd/>
        <w:snapToGrid/>
        <w:spacing w:before="0" w:after="0" w:afterAutospacing="0" w:line="576" w:lineRule="exact"/>
        <w:ind w:firstLine="643" w:firstLineChars="200"/>
        <w:textAlignment w:val="auto"/>
        <w:rPr>
          <w:rFonts w:hint="eastAsia"/>
        </w:rPr>
      </w:pPr>
      <w:bookmarkStart w:id="61" w:name="_Toc28638"/>
      <w:r>
        <w:rPr>
          <w:rFonts w:hint="eastAsia"/>
        </w:rPr>
        <w:t>二、</w:t>
      </w:r>
      <w:bookmarkEnd w:id="54"/>
      <w:bookmarkEnd w:id="55"/>
      <w:bookmarkStart w:id="62" w:name="_Toc13325"/>
      <w:bookmarkStart w:id="63" w:name="_Toc32297"/>
      <w:bookmarkStart w:id="64" w:name="_Toc4209"/>
      <w:bookmarkStart w:id="65" w:name="_Toc21543"/>
      <w:bookmarkStart w:id="66" w:name="_Toc23890"/>
      <w:bookmarkStart w:id="67" w:name="_Toc11685"/>
      <w:bookmarkStart w:id="68" w:name="_Toc19921"/>
      <w:bookmarkStart w:id="69" w:name="_Toc24643"/>
      <w:bookmarkStart w:id="70" w:name="_Toc4997"/>
      <w:bookmarkStart w:id="71" w:name="_Toc26232"/>
      <w:bookmarkStart w:id="72" w:name="_Toc6874"/>
      <w:bookmarkStart w:id="73" w:name="_Toc23910"/>
      <w:bookmarkStart w:id="74" w:name="_Toc18077"/>
      <w:r>
        <w:rPr>
          <w:rFonts w:hint="eastAsia"/>
        </w:rPr>
        <w:t>机构设置</w:t>
      </w:r>
      <w:bookmarkEnd w:id="56"/>
      <w:bookmarkEnd w:id="61"/>
      <w:bookmarkEnd w:id="62"/>
    </w:p>
    <w:p w14:paraId="35FAA37F">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napToGrid/>
        <w:spacing w:before="0" w:beforeAutospacing="0" w:after="0" w:afterAutospacing="0" w:line="576" w:lineRule="exact"/>
        <w:ind w:left="0" w:firstLine="640" w:firstLineChars="200"/>
        <w:jc w:val="both"/>
        <w:textAlignment w:val="auto"/>
        <w:rPr>
          <w:rFonts w:hint="default" w:ascii="仿宋_GB2312" w:eastAsia="仿宋_GB2312" w:cs="仿宋_GB2312"/>
          <w:color w:val="000000"/>
          <w:sz w:val="32"/>
          <w:szCs w:val="32"/>
        </w:rPr>
      </w:pPr>
      <w:r>
        <w:rPr>
          <w:rFonts w:hint="default" w:ascii="仿宋_GB2312" w:eastAsia="仿宋_GB2312" w:cs="仿宋_GB2312"/>
          <w:color w:val="000000"/>
          <w:sz w:val="32"/>
          <w:szCs w:val="32"/>
        </w:rPr>
        <w:t>我单位为财政补助拨款的事业单位，下属二级单位0个，其中行政单位0个，参照公务员法管理的事业单位0个，其他事业单位0个。截止20</w:t>
      </w:r>
      <w:r>
        <w:rPr>
          <w:rFonts w:hint="eastAsia" w:ascii="仿宋_GB2312" w:eastAsia="仿宋_GB2312" w:cs="仿宋_GB2312"/>
          <w:color w:val="000000"/>
          <w:sz w:val="32"/>
          <w:szCs w:val="32"/>
          <w:lang w:val="en-US" w:eastAsia="zh-CN"/>
        </w:rPr>
        <w:t>23</w:t>
      </w:r>
      <w:r>
        <w:rPr>
          <w:rFonts w:hint="default" w:ascii="仿宋_GB2312" w:eastAsia="仿宋_GB2312" w:cs="仿宋_GB2312"/>
          <w:color w:val="000000"/>
          <w:sz w:val="32"/>
          <w:szCs w:val="32"/>
        </w:rPr>
        <w:t>年底事业编制3</w:t>
      </w:r>
      <w:r>
        <w:rPr>
          <w:rFonts w:hint="eastAsia" w:ascii="仿宋_GB2312" w:eastAsia="仿宋_GB2312" w:cs="仿宋_GB2312"/>
          <w:color w:val="000000"/>
          <w:sz w:val="32"/>
          <w:szCs w:val="32"/>
          <w:lang w:val="en-US" w:eastAsia="zh-CN"/>
        </w:rPr>
        <w:t>2</w:t>
      </w:r>
      <w:r>
        <w:rPr>
          <w:rFonts w:hint="default" w:ascii="仿宋_GB2312" w:eastAsia="仿宋_GB2312" w:cs="仿宋_GB2312"/>
          <w:color w:val="000000"/>
          <w:sz w:val="32"/>
          <w:szCs w:val="32"/>
        </w:rPr>
        <w:t>名，其中，主任1名，副主任2名（分别兼任新闻采集中心、新闻信息编辑中心负责人）；股级领导职数7名。</w:t>
      </w:r>
      <w:bookmarkEnd w:id="32"/>
      <w:bookmarkEnd w:id="33"/>
      <w:bookmarkEnd w:id="34"/>
      <w:bookmarkEnd w:id="35"/>
      <w:bookmarkEnd w:id="57"/>
      <w:bookmarkEnd w:id="58"/>
      <w:bookmarkEnd w:id="59"/>
      <w:bookmarkEnd w:id="60"/>
      <w:bookmarkEnd w:id="63"/>
      <w:bookmarkEnd w:id="64"/>
      <w:bookmarkEnd w:id="65"/>
      <w:bookmarkEnd w:id="66"/>
      <w:bookmarkEnd w:id="67"/>
      <w:bookmarkEnd w:id="68"/>
      <w:bookmarkEnd w:id="69"/>
      <w:bookmarkEnd w:id="70"/>
      <w:bookmarkEnd w:id="71"/>
      <w:bookmarkEnd w:id="72"/>
      <w:bookmarkEnd w:id="73"/>
      <w:bookmarkEnd w:id="74"/>
    </w:p>
    <w:p w14:paraId="0C985362">
      <w:pPr>
        <w:pStyle w:val="4"/>
        <w:keepNext/>
        <w:keepLines/>
        <w:pageBreakBefore w:val="0"/>
        <w:widowControl w:val="0"/>
        <w:numPr>
          <w:ilvl w:val="0"/>
          <w:numId w:val="1"/>
        </w:numPr>
        <w:kinsoku/>
        <w:wordWrap/>
        <w:overflowPunct/>
        <w:topLinePunct w:val="0"/>
        <w:autoSpaceDE/>
        <w:autoSpaceDN/>
        <w:bidi w:val="0"/>
        <w:adjustRightInd/>
        <w:snapToGrid/>
        <w:spacing w:before="0" w:after="0" w:afterAutospacing="0" w:line="576" w:lineRule="exact"/>
        <w:ind w:firstLine="883" w:firstLineChars="200"/>
        <w:textAlignment w:val="auto"/>
        <w:rPr>
          <w:rFonts w:hint="eastAsia"/>
          <w:lang w:eastAsia="zh-CN"/>
        </w:rPr>
      </w:pPr>
      <w:bookmarkStart w:id="75" w:name="_Toc2372"/>
      <w:bookmarkStart w:id="76" w:name="_Toc30249"/>
      <w:bookmarkStart w:id="77" w:name="_Toc7923"/>
      <w:bookmarkStart w:id="78" w:name="_Toc639"/>
      <w:bookmarkStart w:id="79" w:name="_Toc15377204"/>
      <w:bookmarkStart w:id="80" w:name="_Toc22540"/>
      <w:bookmarkStart w:id="81" w:name="_Toc18632"/>
      <w:bookmarkStart w:id="82" w:name="_Toc15396602"/>
      <w:r>
        <w:rPr>
          <w:rFonts w:hint="eastAsia"/>
        </w:rPr>
        <w:t>20</w:t>
      </w:r>
      <w:r>
        <w:rPr>
          <w:rFonts w:hint="eastAsia"/>
          <w:lang w:val="en-US" w:eastAsia="zh-CN"/>
        </w:rPr>
        <w:t>23</w:t>
      </w:r>
      <w:r>
        <w:rPr>
          <w:rFonts w:hint="eastAsia"/>
        </w:rPr>
        <w:t>年度部门决算情况说明</w:t>
      </w:r>
      <w:bookmarkEnd w:id="75"/>
      <w:bookmarkEnd w:id="76"/>
      <w:bookmarkEnd w:id="77"/>
      <w:bookmarkEnd w:id="78"/>
      <w:bookmarkEnd w:id="79"/>
      <w:bookmarkEnd w:id="80"/>
      <w:bookmarkEnd w:id="81"/>
      <w:bookmarkEnd w:id="82"/>
    </w:p>
    <w:p w14:paraId="46DE56E9">
      <w:pPr>
        <w:pStyle w:val="5"/>
        <w:keepNext/>
        <w:keepLines/>
        <w:pageBreakBefore w:val="0"/>
        <w:widowControl w:val="0"/>
        <w:kinsoku/>
        <w:wordWrap/>
        <w:overflowPunct/>
        <w:topLinePunct w:val="0"/>
        <w:autoSpaceDE/>
        <w:autoSpaceDN/>
        <w:bidi w:val="0"/>
        <w:adjustRightInd/>
        <w:snapToGrid/>
        <w:spacing w:before="0" w:after="0" w:afterAutospacing="0" w:line="576" w:lineRule="exact"/>
        <w:ind w:firstLine="643" w:firstLineChars="200"/>
        <w:textAlignment w:val="auto"/>
        <w:rPr>
          <w:rFonts w:hint="default"/>
          <w:lang w:val="en-US" w:eastAsia="zh-CN"/>
        </w:rPr>
      </w:pPr>
      <w:bookmarkStart w:id="83" w:name="_Toc1298_WPSOffice_Level2"/>
      <w:bookmarkStart w:id="84" w:name="_Toc11799"/>
      <w:r>
        <w:rPr>
          <w:rFonts w:hint="default"/>
          <w:lang w:val="en-US" w:eastAsia="zh-CN"/>
        </w:rPr>
        <w:t>一、收入支出决算总体情况说明</w:t>
      </w:r>
      <w:bookmarkEnd w:id="83"/>
      <w:bookmarkEnd w:id="84"/>
    </w:p>
    <w:p w14:paraId="43D814D9">
      <w:pPr>
        <w:keepNext w:val="0"/>
        <w:keepLines w:val="0"/>
        <w:pageBreakBefore w:val="0"/>
        <w:widowControl w:val="0"/>
        <w:suppressLineNumbers w:val="0"/>
        <w:kinsoku/>
        <w:wordWrap/>
        <w:topLinePunct w:val="0"/>
        <w:bidi w:val="0"/>
        <w:spacing w:afterAutospacing="0" w:line="576" w:lineRule="exact"/>
        <w:ind w:left="0" w:firstLine="640" w:firstLineChars="200"/>
        <w:jc w:val="both"/>
        <w:rPr>
          <w:rFonts w:hint="default" w:ascii="仿宋_GB2312" w:hAnsi="宋体" w:eastAsia="仿宋_GB2312" w:cs="仿宋_GB2312"/>
          <w:kern w:val="2"/>
          <w:sz w:val="32"/>
          <w:szCs w:val="32"/>
        </w:rPr>
      </w:pPr>
      <w:r>
        <w:rPr>
          <w:rFonts w:hint="eastAsia" w:ascii="仿宋_GB2312" w:hAnsi="仿宋_GB2312" w:eastAsia="仿宋_GB2312" w:cs="仿宋_GB2312"/>
          <w:sz w:val="32"/>
          <w:szCs w:val="32"/>
          <w:shd w:val="clear" w:fill="FFFFFF"/>
        </w:rPr>
        <w:t>本单位</w:t>
      </w:r>
      <w:r>
        <w:rPr>
          <w:rFonts w:hint="eastAsia" w:ascii="仿宋_GB2312" w:hAnsi="仿宋_GB2312" w:eastAsia="仿宋_GB2312" w:cs="仿宋_GB2312"/>
          <w:sz w:val="32"/>
          <w:szCs w:val="32"/>
          <w:shd w:val="clear" w:fill="FFFFFF"/>
          <w:lang w:val="en-US" w:eastAsia="zh-CN"/>
        </w:rPr>
        <w:t>2023</w:t>
      </w:r>
      <w:r>
        <w:rPr>
          <w:rFonts w:hint="eastAsia" w:ascii="仿宋_GB2312" w:hAnsi="仿宋_GB2312" w:eastAsia="仿宋_GB2312" w:cs="仿宋_GB2312"/>
          <w:sz w:val="32"/>
          <w:szCs w:val="32"/>
          <w:shd w:val="clear" w:fill="FFFFFF"/>
        </w:rPr>
        <w:t>年度实际收到的一般公共预算财政拨款收入</w:t>
      </w:r>
      <w:r>
        <w:rPr>
          <w:rFonts w:hint="eastAsia" w:ascii="仿宋_GB2312" w:hAnsi="仿宋_GB2312" w:eastAsia="仿宋_GB2312" w:cs="仿宋_GB2312"/>
          <w:sz w:val="32"/>
          <w:szCs w:val="32"/>
          <w:shd w:val="clear" w:fill="FFFFFF"/>
          <w:lang w:val="en-US" w:eastAsia="zh-CN"/>
        </w:rPr>
        <w:t>867.5</w:t>
      </w:r>
      <w:r>
        <w:rPr>
          <w:rFonts w:hint="eastAsia" w:ascii="仿宋_GB2312" w:hAnsi="仿宋_GB2312" w:eastAsia="仿宋_GB2312" w:cs="仿宋_GB2312"/>
          <w:sz w:val="32"/>
          <w:szCs w:val="32"/>
          <w:shd w:val="clear" w:fill="FFFFFF"/>
        </w:rPr>
        <w:t>万元，财政部门拨款对账单</w:t>
      </w:r>
      <w:r>
        <w:rPr>
          <w:rFonts w:hint="eastAsia" w:ascii="仿宋_GB2312" w:hAnsi="仿宋_GB2312" w:eastAsia="仿宋_GB2312" w:cs="仿宋_GB2312"/>
          <w:sz w:val="32"/>
          <w:szCs w:val="32"/>
          <w:shd w:val="clear" w:fill="FFFFFF"/>
          <w:lang w:val="en-US" w:eastAsia="zh-CN"/>
        </w:rPr>
        <w:t>867.5</w:t>
      </w:r>
      <w:r>
        <w:rPr>
          <w:rFonts w:hint="eastAsia" w:ascii="仿宋_GB2312" w:hAnsi="仿宋_GB2312" w:eastAsia="仿宋_GB2312" w:cs="仿宋_GB2312"/>
          <w:sz w:val="32"/>
          <w:szCs w:val="32"/>
          <w:shd w:val="clear" w:fill="FFFFFF"/>
        </w:rPr>
        <w:t>万元，差额0.00万元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2022年度为：</w:t>
      </w:r>
      <w:r>
        <w:rPr>
          <w:rFonts w:hint="eastAsia" w:ascii="仿宋" w:hAnsi="仿宋" w:eastAsia="仿宋"/>
          <w:color w:val="auto"/>
          <w:sz w:val="32"/>
          <w:szCs w:val="32"/>
          <w:lang w:val="en-US" w:eastAsia="zh-CN"/>
        </w:rPr>
        <w:t>774.95万元，本年度与2022年度向比较增加了92.55万元，</w:t>
      </w:r>
      <w:r>
        <w:rPr>
          <w:rFonts w:hint="default" w:ascii="仿宋_GB2312" w:hAnsi="宋体" w:eastAsia="仿宋_GB2312" w:cs="仿宋_GB2312"/>
          <w:kern w:val="2"/>
          <w:sz w:val="32"/>
          <w:szCs w:val="32"/>
        </w:rPr>
        <w:t>主要变动原因是项目经费增加，新增人员薪资调整。</w:t>
      </w:r>
    </w:p>
    <w:p w14:paraId="5DEE4F8D">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r>
        <w:rPr>
          <w:rFonts w:hint="eastAsia" w:ascii="仿宋" w:hAnsi="仿宋" w:eastAsia="仿宋"/>
          <w:color w:val="000000"/>
          <w:sz w:val="32"/>
          <w:szCs w:val="32"/>
          <w:lang w:val="en-US" w:eastAsia="zh-CN"/>
        </w:rPr>
        <w:t>)</w:t>
      </w:r>
    </w:p>
    <w:p w14:paraId="539D49CD">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480" w:firstLineChars="200"/>
        <w:jc w:val="left"/>
        <w:textAlignment w:val="auto"/>
        <w:rPr>
          <w:rFonts w:hint="eastAsia" w:ascii="仿宋" w:hAnsi="仿宋" w:eastAsia="仿宋"/>
          <w:color w:val="auto"/>
          <w:sz w:val="32"/>
          <w:szCs w:val="32"/>
          <w:lang w:val="en-US" w:eastAsia="zh-CN"/>
        </w:rPr>
      </w:pPr>
      <w:r>
        <w:drawing>
          <wp:anchor distT="0" distB="0" distL="114300" distR="114300" simplePos="0" relativeHeight="251659264" behindDoc="1" locked="0" layoutInCell="1" allowOverlap="1">
            <wp:simplePos x="0" y="0"/>
            <wp:positionH relativeFrom="column">
              <wp:posOffset>547370</wp:posOffset>
            </wp:positionH>
            <wp:positionV relativeFrom="paragraph">
              <wp:posOffset>134620</wp:posOffset>
            </wp:positionV>
            <wp:extent cx="4730115" cy="2353310"/>
            <wp:effectExtent l="4445" t="5080" r="8890" b="22860"/>
            <wp:wrapNone/>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6DB056FA">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640" w:firstLineChars="200"/>
        <w:jc w:val="left"/>
        <w:textAlignment w:val="auto"/>
        <w:rPr>
          <w:rFonts w:hint="eastAsia" w:ascii="仿宋" w:hAnsi="仿宋" w:eastAsia="仿宋"/>
          <w:color w:val="auto"/>
          <w:sz w:val="32"/>
          <w:szCs w:val="32"/>
          <w:lang w:val="en-US" w:eastAsia="zh-CN"/>
        </w:rPr>
      </w:pPr>
    </w:p>
    <w:p w14:paraId="629877C1">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640" w:firstLineChars="200"/>
        <w:jc w:val="left"/>
        <w:textAlignment w:val="auto"/>
        <w:rPr>
          <w:rFonts w:hint="eastAsia" w:ascii="仿宋" w:hAnsi="仿宋" w:eastAsia="仿宋"/>
          <w:color w:val="auto"/>
          <w:sz w:val="32"/>
          <w:szCs w:val="32"/>
          <w:lang w:val="en-US" w:eastAsia="zh-CN"/>
        </w:rPr>
      </w:pPr>
    </w:p>
    <w:p w14:paraId="4C7632F2">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640" w:firstLineChars="200"/>
        <w:jc w:val="left"/>
        <w:textAlignment w:val="auto"/>
        <w:rPr>
          <w:rFonts w:hint="eastAsia" w:ascii="仿宋" w:hAnsi="仿宋" w:eastAsia="仿宋"/>
          <w:color w:val="auto"/>
          <w:sz w:val="32"/>
          <w:szCs w:val="32"/>
          <w:lang w:val="en-US" w:eastAsia="zh-CN"/>
        </w:rPr>
      </w:pPr>
    </w:p>
    <w:p w14:paraId="5E595D4C">
      <w:pPr>
        <w:pStyle w:val="5"/>
        <w:pageBreakBefore w:val="0"/>
        <w:kinsoku/>
        <w:wordWrap/>
        <w:topLinePunct w:val="0"/>
        <w:bidi w:val="0"/>
        <w:spacing w:before="0" w:after="0" w:afterAutospacing="0" w:line="576" w:lineRule="exact"/>
        <w:ind w:firstLine="643" w:firstLineChars="200"/>
        <w:rPr>
          <w:rFonts w:hint="eastAsia"/>
          <w:lang w:val="en-US" w:eastAsia="zh-CN"/>
        </w:rPr>
      </w:pPr>
      <w:bookmarkStart w:id="85" w:name="_Toc30581"/>
    </w:p>
    <w:p w14:paraId="0145D701">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3ADEDB1A">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7A3545C5">
      <w:pPr>
        <w:pStyle w:val="5"/>
        <w:pageBreakBefore w:val="0"/>
        <w:kinsoku/>
        <w:wordWrap/>
        <w:topLinePunct w:val="0"/>
        <w:bidi w:val="0"/>
        <w:spacing w:before="0" w:after="0" w:afterAutospacing="0" w:line="576" w:lineRule="exact"/>
        <w:ind w:firstLine="643" w:firstLineChars="200"/>
        <w:rPr>
          <w:rFonts w:hint="eastAsia"/>
          <w:lang w:val="en-US" w:eastAsia="zh-CN"/>
        </w:rPr>
      </w:pPr>
      <w:r>
        <w:rPr>
          <w:rFonts w:hint="eastAsia"/>
          <w:lang w:val="en-US" w:eastAsia="zh-CN"/>
        </w:rPr>
        <w:t>二、收入决算情况说明</w:t>
      </w:r>
      <w:bookmarkEnd w:id="85"/>
    </w:p>
    <w:p w14:paraId="20492B1E">
      <w:pPr>
        <w:pageBreakBefore w:val="0"/>
        <w:kinsoku/>
        <w:wordWrap/>
        <w:overflowPunct/>
        <w:topLinePunct w:val="0"/>
        <w:bidi w:val="0"/>
        <w:snapToGrid/>
        <w:spacing w:afterAutospacing="0" w:line="576" w:lineRule="exact"/>
        <w:ind w:firstLine="640" w:firstLineChars="200"/>
        <w:textAlignment w:val="auto"/>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867.5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867.5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14:paraId="1E0B89C6">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0432ABDB">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480" w:firstLineChars="200"/>
        <w:jc w:val="left"/>
        <w:textAlignment w:val="auto"/>
        <w:rPr>
          <w:rFonts w:hint="eastAsia"/>
          <w:lang w:val="en-US" w:eastAsia="zh-CN"/>
        </w:rPr>
      </w:pPr>
      <w:bookmarkStart w:id="86" w:name="_Toc17165"/>
      <w:bookmarkStart w:id="87" w:name="_Toc15396605"/>
      <w:bookmarkStart w:id="88" w:name="_Toc15377207"/>
      <w:bookmarkStart w:id="89" w:name="_Toc20672"/>
      <w:r>
        <w:drawing>
          <wp:anchor distT="0" distB="0" distL="114300" distR="114300" simplePos="0" relativeHeight="251660288" behindDoc="1" locked="0" layoutInCell="1" allowOverlap="1">
            <wp:simplePos x="0" y="0"/>
            <wp:positionH relativeFrom="column">
              <wp:posOffset>290830</wp:posOffset>
            </wp:positionH>
            <wp:positionV relativeFrom="paragraph">
              <wp:posOffset>135255</wp:posOffset>
            </wp:positionV>
            <wp:extent cx="4728845" cy="3219450"/>
            <wp:effectExtent l="4445" t="4445" r="67310" b="14605"/>
            <wp:wrapTight wrapText="bothSides">
              <wp:wrapPolygon>
                <wp:start x="-20" y="-30"/>
                <wp:lineTo x="-20" y="21570"/>
                <wp:lineTo x="21559" y="21570"/>
                <wp:lineTo x="21559" y="-30"/>
                <wp:lineTo x="-20" y="-30"/>
              </wp:wrapPolygon>
            </wp:wrapTight>
            <wp:docPr id="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02272D21">
      <w:pPr>
        <w:pStyle w:val="5"/>
        <w:pageBreakBefore w:val="0"/>
        <w:kinsoku/>
        <w:wordWrap/>
        <w:overflowPunct/>
        <w:topLinePunct w:val="0"/>
        <w:bidi w:val="0"/>
        <w:snapToGrid/>
        <w:spacing w:before="0" w:after="0" w:afterAutospacing="0" w:line="576" w:lineRule="exact"/>
        <w:ind w:firstLine="643" w:firstLineChars="200"/>
        <w:textAlignment w:val="auto"/>
        <w:outlineLvl w:val="9"/>
        <w:rPr>
          <w:rFonts w:hint="eastAsia"/>
          <w:lang w:val="en-US" w:eastAsia="zh-CN"/>
        </w:rPr>
      </w:pPr>
    </w:p>
    <w:p w14:paraId="5F43DBD1">
      <w:pPr>
        <w:pStyle w:val="5"/>
        <w:pageBreakBefore w:val="0"/>
        <w:kinsoku/>
        <w:wordWrap/>
        <w:overflowPunct/>
        <w:topLinePunct w:val="0"/>
        <w:bidi w:val="0"/>
        <w:snapToGrid/>
        <w:spacing w:before="0" w:after="0" w:afterAutospacing="0" w:line="576" w:lineRule="exact"/>
        <w:ind w:firstLine="643" w:firstLineChars="200"/>
        <w:textAlignment w:val="auto"/>
        <w:outlineLvl w:val="9"/>
        <w:rPr>
          <w:rFonts w:hint="eastAsia"/>
          <w:lang w:val="en-US" w:eastAsia="zh-CN"/>
        </w:rPr>
      </w:pPr>
    </w:p>
    <w:p w14:paraId="359A1D5B">
      <w:pPr>
        <w:pStyle w:val="5"/>
        <w:pageBreakBefore w:val="0"/>
        <w:kinsoku/>
        <w:wordWrap/>
        <w:overflowPunct/>
        <w:topLinePunct w:val="0"/>
        <w:bidi w:val="0"/>
        <w:snapToGrid/>
        <w:spacing w:before="0" w:after="0" w:afterAutospacing="0" w:line="576" w:lineRule="exact"/>
        <w:ind w:firstLine="643" w:firstLineChars="200"/>
        <w:textAlignment w:val="auto"/>
        <w:outlineLvl w:val="9"/>
        <w:rPr>
          <w:rFonts w:hint="eastAsia"/>
          <w:lang w:val="en-US" w:eastAsia="zh-CN"/>
        </w:rPr>
      </w:pPr>
    </w:p>
    <w:p w14:paraId="2B28C5F9">
      <w:pPr>
        <w:pStyle w:val="5"/>
        <w:pageBreakBefore w:val="0"/>
        <w:kinsoku/>
        <w:wordWrap/>
        <w:topLinePunct w:val="0"/>
        <w:bidi w:val="0"/>
        <w:spacing w:before="0" w:after="0" w:afterAutospacing="0" w:line="576" w:lineRule="exact"/>
        <w:ind w:firstLine="643" w:firstLineChars="200"/>
        <w:rPr>
          <w:rFonts w:hint="eastAsia"/>
          <w:lang w:val="en-US" w:eastAsia="zh-CN"/>
        </w:rPr>
      </w:pPr>
      <w:bookmarkStart w:id="90" w:name="_Toc4910"/>
    </w:p>
    <w:p w14:paraId="454B5F39">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1A6AD45D">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73F1CC91">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6029292E">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066D1F6A">
      <w:pPr>
        <w:pStyle w:val="5"/>
        <w:pageBreakBefore w:val="0"/>
        <w:kinsoku/>
        <w:wordWrap/>
        <w:topLinePunct w:val="0"/>
        <w:bidi w:val="0"/>
        <w:spacing w:before="0" w:after="0" w:afterAutospacing="0" w:line="576" w:lineRule="exact"/>
        <w:ind w:firstLine="643" w:firstLineChars="200"/>
        <w:rPr>
          <w:rFonts w:hint="eastAsia"/>
          <w:lang w:val="en-US" w:eastAsia="zh-CN"/>
        </w:rPr>
      </w:pPr>
    </w:p>
    <w:p w14:paraId="2253CF2D">
      <w:pPr>
        <w:pStyle w:val="5"/>
        <w:pageBreakBefore w:val="0"/>
        <w:kinsoku/>
        <w:wordWrap/>
        <w:topLinePunct w:val="0"/>
        <w:bidi w:val="0"/>
        <w:spacing w:before="0" w:after="0" w:afterAutospacing="0" w:line="576" w:lineRule="exact"/>
        <w:ind w:firstLine="643" w:firstLineChars="200"/>
        <w:rPr>
          <w:rFonts w:hint="eastAsia"/>
          <w:lang w:val="en-US" w:eastAsia="zh-CN"/>
        </w:rPr>
      </w:pPr>
      <w:r>
        <w:rPr>
          <w:rFonts w:hint="eastAsia"/>
          <w:lang w:val="en-US" w:eastAsia="zh-CN"/>
        </w:rPr>
        <w:t>三、支出决算情况说明</w:t>
      </w:r>
      <w:bookmarkEnd w:id="86"/>
      <w:bookmarkEnd w:id="87"/>
      <w:bookmarkEnd w:id="88"/>
      <w:bookmarkEnd w:id="89"/>
      <w:bookmarkEnd w:id="90"/>
    </w:p>
    <w:p w14:paraId="57404D3B">
      <w:pPr>
        <w:pageBreakBefore w:val="0"/>
        <w:kinsoku/>
        <w:wordWrap/>
        <w:overflowPunct/>
        <w:topLinePunct w:val="0"/>
        <w:bidi w:val="0"/>
        <w:snapToGrid/>
        <w:spacing w:afterAutospacing="0" w:line="576" w:lineRule="exact"/>
        <w:ind w:firstLine="640" w:firstLineChars="200"/>
        <w:textAlignment w:val="auto"/>
        <w:rPr>
          <w:rFonts w:hint="eastAsia" w:ascii="仿宋_GB2312" w:eastAsia="仿宋_GB2312"/>
          <w:sz w:val="32"/>
          <w:szCs w:val="32"/>
        </w:rPr>
      </w:pP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年本年支出合计</w:t>
      </w:r>
      <w:r>
        <w:rPr>
          <w:rFonts w:hint="eastAsia" w:ascii="仿宋_GB2312" w:eastAsia="仿宋_GB2312"/>
          <w:sz w:val="32"/>
          <w:szCs w:val="32"/>
          <w:lang w:val="en-US" w:eastAsia="zh-CN"/>
        </w:rPr>
        <w:t>867.5</w:t>
      </w:r>
      <w:r>
        <w:rPr>
          <w:rFonts w:hint="eastAsia" w:ascii="仿宋_GB2312" w:eastAsia="仿宋_GB2312"/>
          <w:sz w:val="32"/>
          <w:szCs w:val="32"/>
        </w:rPr>
        <w:t>万元，其中：基本支出</w:t>
      </w:r>
      <w:r>
        <w:rPr>
          <w:rFonts w:hint="eastAsia" w:ascii="仿宋_GB2312" w:eastAsia="仿宋_GB2312"/>
          <w:sz w:val="32"/>
          <w:szCs w:val="32"/>
          <w:lang w:val="en-US" w:eastAsia="zh-CN"/>
        </w:rPr>
        <w:t>661.64</w:t>
      </w:r>
      <w:r>
        <w:rPr>
          <w:rFonts w:hint="eastAsia" w:ascii="仿宋_GB2312" w:eastAsia="仿宋_GB2312"/>
          <w:sz w:val="32"/>
          <w:szCs w:val="32"/>
        </w:rPr>
        <w:t>万元，占</w:t>
      </w:r>
      <w:r>
        <w:rPr>
          <w:rFonts w:hint="eastAsia" w:ascii="仿宋_GB2312" w:eastAsia="仿宋_GB2312"/>
          <w:sz w:val="32"/>
          <w:szCs w:val="32"/>
          <w:lang w:val="en-US" w:eastAsia="zh-CN"/>
        </w:rPr>
        <w:t>76.27</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205.85</w:t>
      </w:r>
      <w:r>
        <w:rPr>
          <w:rFonts w:hint="eastAsia" w:ascii="仿宋_GB2312" w:eastAsia="仿宋_GB2312"/>
          <w:sz w:val="32"/>
          <w:szCs w:val="32"/>
        </w:rPr>
        <w:t>万元，占</w:t>
      </w:r>
      <w:r>
        <w:rPr>
          <w:rFonts w:hint="eastAsia" w:ascii="仿宋_GB2312" w:eastAsia="仿宋_GB2312"/>
          <w:sz w:val="32"/>
          <w:szCs w:val="32"/>
          <w:lang w:val="en-US" w:eastAsia="zh-CN"/>
        </w:rPr>
        <w:t>23.73</w:t>
      </w:r>
      <w:r>
        <w:rPr>
          <w:rFonts w:ascii="仿宋_GB2312" w:eastAsia="仿宋_GB2312"/>
          <w:sz w:val="32"/>
          <w:szCs w:val="32"/>
        </w:rPr>
        <w:t>%</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；经营支出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万元，占</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14:paraId="6F71E57B">
      <w:pPr>
        <w:pageBreakBefore w:val="0"/>
        <w:kinsoku/>
        <w:wordWrap/>
        <w:overflowPunct/>
        <w:topLinePunct w:val="0"/>
        <w:bidi w:val="0"/>
        <w:snapToGrid/>
        <w:spacing w:afterAutospacing="0" w:line="576" w:lineRule="exact"/>
        <w:ind w:firstLine="640" w:firstLineChars="200"/>
        <w:textAlignment w:val="auto"/>
        <w:rPr>
          <w:rFonts w:hint="eastAsia" w:ascii="仿宋_GB2312" w:eastAsia="仿宋_GB2312"/>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63212958">
      <w:pPr>
        <w:pStyle w:val="5"/>
        <w:pageBreakBefore w:val="0"/>
        <w:kinsoku/>
        <w:wordWrap/>
        <w:topLinePunct w:val="0"/>
        <w:bidi w:val="0"/>
        <w:spacing w:before="0" w:after="0" w:afterAutospacing="0" w:line="576" w:lineRule="exact"/>
        <w:ind w:firstLine="643" w:firstLineChars="200"/>
        <w:rPr>
          <w:rFonts w:hint="eastAsia"/>
          <w:lang w:val="en-US" w:eastAsia="zh-CN"/>
        </w:rPr>
      </w:pPr>
      <w:r>
        <w:rPr>
          <w:rFonts w:hint="eastAsia"/>
          <w:lang w:val="en-US" w:eastAsia="zh-CN"/>
        </w:rPr>
        <w:drawing>
          <wp:anchor distT="0" distB="0" distL="114300" distR="114300" simplePos="0" relativeHeight="251661312" behindDoc="1" locked="0" layoutInCell="1" allowOverlap="1">
            <wp:simplePos x="0" y="0"/>
            <wp:positionH relativeFrom="column">
              <wp:posOffset>229870</wp:posOffset>
            </wp:positionH>
            <wp:positionV relativeFrom="paragraph">
              <wp:posOffset>25400</wp:posOffset>
            </wp:positionV>
            <wp:extent cx="5216525" cy="2476500"/>
            <wp:effectExtent l="4445" t="4445" r="17780" b="71755"/>
            <wp:wrapTight wrapText="bothSides">
              <wp:wrapPolygon>
                <wp:start x="-18" y="-39"/>
                <wp:lineTo x="-18" y="21561"/>
                <wp:lineTo x="21516" y="21561"/>
                <wp:lineTo x="21516" y="-39"/>
                <wp:lineTo x="-18" y="-39"/>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91" w:name="_Toc17806"/>
      <w:bookmarkStart w:id="92" w:name="_Toc20830"/>
      <w:bookmarkStart w:id="93" w:name="_Toc1014"/>
      <w:r>
        <w:rPr>
          <w:rFonts w:hint="eastAsia"/>
          <w:lang w:val="en-US" w:eastAsia="zh-CN"/>
        </w:rPr>
        <w:t xml:space="preserve"> 四、财政拨款收入支出决算总体情况说明</w:t>
      </w:r>
      <w:bookmarkEnd w:id="91"/>
      <w:bookmarkEnd w:id="92"/>
      <w:bookmarkEnd w:id="93"/>
    </w:p>
    <w:p w14:paraId="57FE2739">
      <w:pPr>
        <w:keepNext w:val="0"/>
        <w:keepLines w:val="0"/>
        <w:pageBreakBefore w:val="0"/>
        <w:widowControl w:val="0"/>
        <w:suppressLineNumbers w:val="0"/>
        <w:kinsoku/>
        <w:wordWrap/>
        <w:topLinePunct w:val="0"/>
        <w:bidi w:val="0"/>
        <w:spacing w:afterAutospacing="0" w:line="576" w:lineRule="exact"/>
        <w:ind w:left="0" w:firstLine="640" w:firstLineChars="200"/>
        <w:jc w:val="both"/>
        <w:rPr>
          <w:rFonts w:hint="default" w:ascii="仿宋_GB2312" w:hAnsi="宋体" w:eastAsia="仿宋_GB2312" w:cs="仿宋_GB2312"/>
          <w:kern w:val="2"/>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_GB2312" w:eastAsia="仿宋_GB2312"/>
          <w:sz w:val="32"/>
          <w:szCs w:val="32"/>
          <w:lang w:val="en-US" w:eastAsia="zh-CN"/>
        </w:rPr>
        <w:t>867.5</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，支出总计</w:t>
      </w:r>
      <w:r>
        <w:rPr>
          <w:rFonts w:hint="eastAsia" w:ascii="仿宋_GB2312" w:eastAsia="仿宋_GB2312"/>
          <w:sz w:val="32"/>
          <w:szCs w:val="32"/>
          <w:lang w:val="en-US" w:eastAsia="zh-CN"/>
        </w:rPr>
        <w:t>867.5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。与</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年相比，</w:t>
      </w:r>
      <w:r>
        <w:rPr>
          <w:rFonts w:hint="default" w:ascii="仿宋_GB2312" w:hAnsi="Times New Roman" w:eastAsia="仿宋_GB2312" w:cs="仿宋_GB2312"/>
          <w:spacing w:val="0"/>
          <w:kern w:val="2"/>
          <w:sz w:val="32"/>
          <w:szCs w:val="32"/>
        </w:rPr>
        <w:t>财政拨款收入、支出总计各增加</w:t>
      </w:r>
      <w:r>
        <w:rPr>
          <w:rFonts w:hint="eastAsia" w:ascii="仿宋_GB2312" w:hAnsi="Times New Roman" w:eastAsia="仿宋_GB2312" w:cs="仿宋_GB2312"/>
          <w:spacing w:val="0"/>
          <w:kern w:val="2"/>
          <w:sz w:val="32"/>
          <w:szCs w:val="32"/>
          <w:lang w:val="en-US" w:eastAsia="zh-CN"/>
        </w:rPr>
        <w:t>92.55</w:t>
      </w:r>
      <w:r>
        <w:rPr>
          <w:rFonts w:hint="default" w:ascii="仿宋_GB2312" w:hAnsi="Times New Roman" w:eastAsia="仿宋_GB2312" w:cs="仿宋_GB2312"/>
          <w:spacing w:val="0"/>
          <w:kern w:val="2"/>
          <w:sz w:val="32"/>
          <w:szCs w:val="32"/>
        </w:rPr>
        <w:t>万元，增长</w:t>
      </w:r>
      <w:r>
        <w:rPr>
          <w:rFonts w:hint="eastAsia" w:ascii="仿宋_GB2312" w:hAnsi="Times New Roman" w:eastAsia="仿宋_GB2312" w:cs="仿宋_GB2312"/>
          <w:spacing w:val="0"/>
          <w:kern w:val="2"/>
          <w:sz w:val="32"/>
          <w:szCs w:val="32"/>
          <w:lang w:val="en-US" w:eastAsia="zh-CN"/>
        </w:rPr>
        <w:t>11.94</w:t>
      </w:r>
      <w:r>
        <w:rPr>
          <w:rFonts w:hint="default" w:ascii="仿宋_GB2312" w:hAnsi="Times New Roman" w:eastAsia="仿宋_GB2312" w:cs="仿宋_GB2312"/>
          <w:spacing w:val="0"/>
          <w:kern w:val="2"/>
          <w:sz w:val="32"/>
          <w:szCs w:val="32"/>
        </w:rPr>
        <w:t>%。</w:t>
      </w:r>
      <w:r>
        <w:rPr>
          <w:rFonts w:hint="default" w:ascii="仿宋_GB2312" w:hAnsi="宋体" w:eastAsia="仿宋_GB2312" w:cs="仿宋_GB2312"/>
          <w:kern w:val="2"/>
          <w:sz w:val="32"/>
          <w:szCs w:val="32"/>
        </w:rPr>
        <w:t>主要变动原因是项目经费增加，新增人员薪资调整。</w:t>
      </w:r>
    </w:p>
    <w:p w14:paraId="1F5EE281">
      <w:pPr>
        <w:pageBreakBefore w:val="0"/>
        <w:kinsoku/>
        <w:wordWrap/>
        <w:overflowPunct/>
        <w:topLinePunct w:val="0"/>
        <w:bidi w:val="0"/>
        <w:snapToGrid/>
        <w:spacing w:afterAutospacing="0" w:line="576" w:lineRule="exact"/>
        <w:ind w:firstLine="640" w:firstLineChars="200"/>
        <w:textAlignment w:val="auto"/>
        <w:rPr>
          <w:rFonts w:hint="eastAsia" w:eastAsiaTheme="minorEastAsia"/>
          <w:lang w:eastAsia="zh-CN"/>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14:paraId="23511A89">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480" w:firstLineChars="200"/>
        <w:jc w:val="left"/>
        <w:textAlignment w:val="auto"/>
        <w:rPr>
          <w:rFonts w:hint="eastAsia" w:eastAsiaTheme="minorEastAsia"/>
          <w:lang w:eastAsia="zh-CN"/>
        </w:rPr>
      </w:pPr>
      <w:r>
        <w:drawing>
          <wp:anchor distT="0" distB="0" distL="114300" distR="114300" simplePos="0" relativeHeight="251662336" behindDoc="1" locked="0" layoutInCell="1" allowOverlap="1">
            <wp:simplePos x="0" y="0"/>
            <wp:positionH relativeFrom="column">
              <wp:posOffset>13970</wp:posOffset>
            </wp:positionH>
            <wp:positionV relativeFrom="paragraph">
              <wp:posOffset>342265</wp:posOffset>
            </wp:positionV>
            <wp:extent cx="5662930" cy="2733040"/>
            <wp:effectExtent l="4445" t="4445" r="9525" b="5715"/>
            <wp:wrapTight wrapText="bothSides">
              <wp:wrapPolygon>
                <wp:start x="-17" y="-35"/>
                <wp:lineTo x="-17" y="21495"/>
                <wp:lineTo x="21564" y="21495"/>
                <wp:lineTo x="21564" y="-35"/>
                <wp:lineTo x="-17" y="-35"/>
              </wp:wrapPolygon>
            </wp:wrapTight>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285A87C0">
      <w:pPr>
        <w:pStyle w:val="5"/>
        <w:pageBreakBefore w:val="0"/>
        <w:kinsoku/>
        <w:wordWrap/>
        <w:topLinePunct w:val="0"/>
        <w:bidi w:val="0"/>
        <w:spacing w:before="0" w:after="0" w:afterAutospacing="0" w:line="576" w:lineRule="exact"/>
        <w:ind w:firstLine="643" w:firstLineChars="200"/>
        <w:rPr>
          <w:rFonts w:hint="eastAsia"/>
          <w:lang w:val="en-US" w:eastAsia="zh-CN"/>
        </w:rPr>
      </w:pPr>
      <w:bookmarkStart w:id="94" w:name="_Toc9075"/>
      <w:bookmarkStart w:id="95" w:name="_Toc15396607"/>
      <w:bookmarkStart w:id="96" w:name="_Toc5986"/>
      <w:bookmarkStart w:id="97" w:name="_Toc19127"/>
      <w:bookmarkStart w:id="98" w:name="_Toc15377209"/>
      <w:r>
        <w:rPr>
          <w:rFonts w:hint="eastAsia"/>
          <w:lang w:val="en-US" w:eastAsia="zh-CN"/>
        </w:rPr>
        <w:t>五、一般公共预算财政拨款支出决算情况说明</w:t>
      </w:r>
      <w:bookmarkEnd w:id="94"/>
      <w:bookmarkEnd w:id="95"/>
      <w:bookmarkEnd w:id="96"/>
      <w:bookmarkEnd w:id="97"/>
      <w:bookmarkEnd w:id="98"/>
    </w:p>
    <w:p w14:paraId="4AA551B4">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lang w:eastAsia="zh-CN"/>
        </w:rPr>
        <w:t>年一般公共预算财政拨款支出</w:t>
      </w:r>
      <w:r>
        <w:rPr>
          <w:rFonts w:hint="eastAsia" w:ascii="仿宋" w:hAnsi="仿宋" w:eastAsia="仿宋"/>
          <w:color w:val="000000"/>
          <w:sz w:val="32"/>
          <w:szCs w:val="32"/>
          <w:lang w:val="en-US" w:eastAsia="zh-CN"/>
        </w:rPr>
        <w:t>867.5</w:t>
      </w:r>
      <w:r>
        <w:rPr>
          <w:rFonts w:hint="eastAsia" w:ascii="仿宋" w:hAnsi="仿宋" w:eastAsia="仿宋"/>
          <w:color w:val="000000"/>
          <w:sz w:val="32"/>
          <w:szCs w:val="32"/>
          <w:lang w:eastAsia="zh-CN"/>
        </w:rPr>
        <w:t>万元，主要用于以下方面:</w:t>
      </w:r>
      <w:r>
        <w:rPr>
          <w:rFonts w:hint="eastAsia" w:ascii="仿宋" w:hAnsi="仿宋" w:eastAsia="仿宋"/>
          <w:color w:val="000000"/>
          <w:sz w:val="32"/>
          <w:szCs w:val="32"/>
          <w:lang w:val="en-US" w:eastAsia="zh-CN"/>
        </w:rPr>
        <w:t>一般公共服务支出505.23</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58.24</w:t>
      </w:r>
      <w:r>
        <w:rPr>
          <w:rFonts w:hint="eastAsia" w:ascii="仿宋" w:hAnsi="仿宋" w:eastAsia="仿宋"/>
          <w:color w:val="000000"/>
          <w:sz w:val="32"/>
          <w:szCs w:val="32"/>
          <w:lang w:eastAsia="zh-CN"/>
        </w:rPr>
        <w:t>%；社会保障和就业（类）支出</w:t>
      </w:r>
      <w:r>
        <w:rPr>
          <w:rFonts w:hint="eastAsia" w:ascii="仿宋" w:hAnsi="仿宋" w:eastAsia="仿宋"/>
          <w:color w:val="000000"/>
          <w:sz w:val="32"/>
          <w:szCs w:val="32"/>
          <w:lang w:val="en-US" w:eastAsia="zh-CN"/>
        </w:rPr>
        <w:t>86.01</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9.91</w:t>
      </w:r>
      <w:r>
        <w:rPr>
          <w:rFonts w:hint="eastAsia" w:ascii="仿宋" w:hAnsi="仿宋" w:eastAsia="仿宋"/>
          <w:color w:val="000000"/>
          <w:sz w:val="32"/>
          <w:szCs w:val="32"/>
          <w:lang w:eastAsia="zh-CN"/>
        </w:rPr>
        <w:t>%；卫生健康支出</w:t>
      </w:r>
      <w:r>
        <w:rPr>
          <w:rFonts w:hint="eastAsia" w:ascii="仿宋" w:hAnsi="仿宋" w:eastAsia="仿宋"/>
          <w:color w:val="000000"/>
          <w:sz w:val="32"/>
          <w:szCs w:val="32"/>
          <w:lang w:val="en-US" w:eastAsia="zh-CN"/>
        </w:rPr>
        <w:t>38.63</w:t>
      </w:r>
      <w:r>
        <w:rPr>
          <w:rFonts w:hint="eastAsia" w:ascii="仿宋" w:hAnsi="仿宋" w:eastAsia="仿宋"/>
          <w:color w:val="000000"/>
          <w:sz w:val="32"/>
          <w:szCs w:val="32"/>
          <w:lang w:eastAsia="zh-CN"/>
        </w:rPr>
        <w:t>万元，占</w:t>
      </w:r>
      <w:r>
        <w:rPr>
          <w:rFonts w:hint="eastAsia" w:ascii="仿宋" w:hAnsi="仿宋" w:eastAsia="仿宋"/>
          <w:color w:val="000000"/>
          <w:sz w:val="32"/>
          <w:szCs w:val="32"/>
          <w:lang w:val="en-US" w:eastAsia="zh-CN"/>
        </w:rPr>
        <w:t>4.45</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住</w:t>
      </w:r>
      <w:r>
        <w:rPr>
          <w:rFonts w:hint="eastAsia" w:ascii="仿宋" w:hAnsi="仿宋" w:eastAsia="仿宋"/>
          <w:color w:val="000000"/>
          <w:sz w:val="32"/>
          <w:szCs w:val="32"/>
          <w:lang w:eastAsia="zh-CN"/>
        </w:rPr>
        <w:t>房保障支出</w:t>
      </w:r>
      <w:r>
        <w:rPr>
          <w:rFonts w:hint="eastAsia" w:ascii="仿宋" w:hAnsi="仿宋" w:eastAsia="仿宋"/>
          <w:color w:val="000000"/>
          <w:sz w:val="32"/>
          <w:szCs w:val="32"/>
          <w:lang w:val="en-US" w:eastAsia="zh-CN"/>
        </w:rPr>
        <w:t>43.17</w:t>
      </w:r>
      <w:r>
        <w:rPr>
          <w:rFonts w:hint="eastAsia" w:ascii="仿宋" w:hAnsi="仿宋" w:eastAsia="仿宋"/>
          <w:color w:val="000000"/>
          <w:sz w:val="32"/>
          <w:szCs w:val="32"/>
          <w:lang w:eastAsia="zh-CN"/>
        </w:rPr>
        <w:t>万元，</w:t>
      </w:r>
      <w:r>
        <w:rPr>
          <w:rFonts w:hint="eastAsia" w:ascii="仿宋" w:hAnsi="仿宋" w:eastAsia="仿宋"/>
          <w:color w:val="000000"/>
          <w:sz w:val="32"/>
          <w:szCs w:val="32"/>
          <w:lang w:val="en-US" w:eastAsia="zh-CN"/>
        </w:rPr>
        <w:t>占4.98%。文化旅游体育与传媒支出194.45万元，占22.42%;</w:t>
      </w:r>
      <w:r>
        <w:rPr>
          <w:rFonts w:hint="eastAsia" w:ascii="仿宋" w:hAnsi="仿宋" w:eastAsia="仿宋"/>
          <w:color w:val="000000"/>
          <w:sz w:val="32"/>
          <w:szCs w:val="32"/>
        </w:rPr>
        <w:t>（图</w:t>
      </w:r>
      <w:r>
        <w:rPr>
          <w:rFonts w:hint="eastAsia" w:ascii="仿宋" w:hAnsi="仿宋" w:eastAsia="仿宋"/>
          <w:color w:val="000000"/>
          <w:sz w:val="32"/>
          <w:szCs w:val="32"/>
          <w:lang w:val="en-US" w:eastAsia="zh-CN"/>
        </w:rPr>
        <w:t>5</w:t>
      </w:r>
      <w:r>
        <w:rPr>
          <w:rFonts w:hint="eastAsia" w:ascii="仿宋" w:hAnsi="仿宋" w:eastAsia="仿宋"/>
          <w:color w:val="000000"/>
          <w:sz w:val="32"/>
          <w:szCs w:val="32"/>
        </w:rPr>
        <w:t>：一般公共预算财政拨款支出决算结构）（饼状图）</w:t>
      </w:r>
    </w:p>
    <w:p w14:paraId="61C460D8">
      <w:pPr>
        <w:pStyle w:val="13"/>
        <w:keepNext w:val="0"/>
        <w:keepLines w:val="0"/>
        <w:pageBreakBefore w:val="0"/>
        <w:widowControl/>
        <w:suppressLineNumbers w:val="0"/>
        <w:kinsoku/>
        <w:wordWrap/>
        <w:overflowPunct/>
        <w:topLinePunct w:val="0"/>
        <w:bidi w:val="0"/>
        <w:snapToGrid/>
        <w:spacing w:before="0" w:beforeAutospacing="0" w:after="0" w:afterAutospacing="0" w:line="576" w:lineRule="exact"/>
        <w:ind w:left="0" w:right="0" w:firstLine="640" w:firstLineChars="200"/>
        <w:jc w:val="left"/>
        <w:textAlignment w:val="auto"/>
        <w:rPr>
          <w:rFonts w:hint="eastAsia" w:eastAsiaTheme="minorEastAsia"/>
          <w:lang w:eastAsia="zh-CN"/>
        </w:rPr>
      </w:pPr>
      <w:r>
        <w:rPr>
          <w:rFonts w:hint="eastAsia" w:ascii="仿宋" w:hAnsi="仿宋" w:eastAsia="仿宋"/>
          <w:color w:val="000000"/>
          <w:sz w:val="32"/>
          <w:szCs w:val="32"/>
          <w:lang w:eastAsia="zh-CN"/>
        </w:rPr>
        <w:drawing>
          <wp:anchor distT="0" distB="0" distL="114300" distR="114300" simplePos="0" relativeHeight="251663360" behindDoc="1" locked="0" layoutInCell="1" allowOverlap="1">
            <wp:simplePos x="0" y="0"/>
            <wp:positionH relativeFrom="column">
              <wp:posOffset>233045</wp:posOffset>
            </wp:positionH>
            <wp:positionV relativeFrom="paragraph">
              <wp:posOffset>97790</wp:posOffset>
            </wp:positionV>
            <wp:extent cx="4826000" cy="2743200"/>
            <wp:effectExtent l="4445" t="4445" r="8255" b="14605"/>
            <wp:wrapTight wrapText="bothSides">
              <wp:wrapPolygon>
                <wp:start x="-20" y="-35"/>
                <wp:lineTo x="-20" y="21565"/>
                <wp:lineTo x="21552" y="21565"/>
                <wp:lineTo x="21552" y="-35"/>
                <wp:lineTo x="-20" y="-35"/>
              </wp:wrapPolygon>
            </wp:wrapTight>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5E8AF19">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bookmarkStart w:id="99" w:name="_Toc18179"/>
      <w:bookmarkStart w:id="100" w:name="_Toc9371"/>
      <w:bookmarkStart w:id="101" w:name="_Toc15377444"/>
      <w:bookmarkStart w:id="102" w:name="_Toc20553"/>
      <w:bookmarkStart w:id="103" w:name="_Toc27803"/>
      <w:bookmarkStart w:id="104" w:name="_Toc15377213"/>
      <w:bookmarkStart w:id="105" w:name="_Toc15378460"/>
    </w:p>
    <w:p w14:paraId="34094836">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p>
    <w:p w14:paraId="3386C5D2">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p>
    <w:p w14:paraId="35F15EF8">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p>
    <w:p w14:paraId="4CCDAC1B">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p>
    <w:p w14:paraId="2E64FE92">
      <w:pPr>
        <w:pageBreakBefore w:val="0"/>
        <w:kinsoku/>
        <w:wordWrap/>
        <w:overflowPunct/>
        <w:topLinePunct w:val="0"/>
        <w:bidi w:val="0"/>
        <w:snapToGrid/>
        <w:spacing w:afterAutospacing="0" w:line="576" w:lineRule="exact"/>
        <w:ind w:firstLine="643" w:firstLineChars="200"/>
        <w:textAlignment w:val="auto"/>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2023年一般公共预算支出决算数为867.5万元，完成预算100%。其中：</w:t>
      </w:r>
      <w:bookmarkEnd w:id="99"/>
      <w:bookmarkEnd w:id="100"/>
      <w:bookmarkEnd w:id="101"/>
      <w:bookmarkEnd w:id="102"/>
      <w:bookmarkEnd w:id="103"/>
      <w:bookmarkEnd w:id="104"/>
      <w:bookmarkEnd w:id="105"/>
    </w:p>
    <w:p w14:paraId="0F337EFD">
      <w:pPr>
        <w:pageBreakBefore w:val="0"/>
        <w:kinsoku/>
        <w:wordWrap/>
        <w:overflowPunct/>
        <w:topLinePunct w:val="0"/>
        <w:bidi w:val="0"/>
        <w:snapToGrid/>
        <w:spacing w:afterAutospacing="0" w:line="576" w:lineRule="exact"/>
        <w:ind w:firstLine="643" w:firstLineChars="200"/>
        <w:textAlignment w:val="auto"/>
        <w:rPr>
          <w:rFonts w:hint="eastAsia"/>
          <w:lang w:val="en-US" w:eastAsia="zh-CN"/>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一般公共服务支出</w:t>
      </w:r>
      <w:r>
        <w:rPr>
          <w:rFonts w:hint="eastAsia" w:ascii="仿宋" w:hAnsi="仿宋" w:eastAsia="仿宋"/>
          <w:b/>
          <w:bCs/>
          <w:color w:val="000000"/>
          <w:sz w:val="32"/>
          <w:szCs w:val="32"/>
          <w:lang w:val="en-US" w:eastAsia="zh-CN"/>
        </w:rPr>
        <w:t>201：支出决算为</w:t>
      </w:r>
      <w:r>
        <w:rPr>
          <w:rFonts w:hint="eastAsia" w:ascii="仿宋" w:hAnsi="仿宋" w:eastAsia="仿宋"/>
          <w:color w:val="000000" w:themeColor="text1"/>
          <w:sz w:val="32"/>
          <w:szCs w:val="32"/>
          <w:lang w:val="en-US" w:eastAsia="zh-CN"/>
          <w14:textFill>
            <w14:solidFill>
              <w14:schemeClr w14:val="tx1"/>
            </w14:solidFill>
          </w14:textFill>
        </w:rPr>
        <w:t>505.23</w:t>
      </w:r>
      <w:r>
        <w:rPr>
          <w:rFonts w:hint="eastAsia" w:ascii="仿宋" w:hAnsi="仿宋" w:eastAsia="仿宋"/>
          <w:b/>
          <w:bCs/>
          <w:color w:val="000000"/>
          <w:sz w:val="32"/>
          <w:szCs w:val="32"/>
          <w:lang w:val="en-US" w:eastAsia="zh-CN"/>
        </w:rPr>
        <w:t>万元，完成预算100%。</w:t>
      </w:r>
      <w:r>
        <w:rPr>
          <w:rStyle w:val="19"/>
          <w:rFonts w:hint="default" w:ascii="仿宋_GB2312" w:hAnsi="Times New Roman" w:eastAsia="仿宋_GB2312" w:cs="仿宋_GB2312"/>
          <w:b w:val="0"/>
          <w:bCs w:val="0"/>
          <w:color w:val="000000"/>
          <w:sz w:val="32"/>
          <w:szCs w:val="32"/>
        </w:rPr>
        <w:t>其中：201</w:t>
      </w:r>
      <w:r>
        <w:rPr>
          <w:rStyle w:val="19"/>
          <w:rFonts w:hint="eastAsia" w:ascii="仿宋_GB2312" w:hAnsi="Times New Roman" w:eastAsia="仿宋_GB2312" w:cs="仿宋_GB2312"/>
          <w:b w:val="0"/>
          <w:bCs w:val="0"/>
          <w:color w:val="000000"/>
          <w:sz w:val="32"/>
          <w:szCs w:val="32"/>
          <w:lang w:val="en-US" w:eastAsia="zh-CN"/>
        </w:rPr>
        <w:t>32组织事务5</w:t>
      </w:r>
      <w:r>
        <w:rPr>
          <w:rStyle w:val="19"/>
          <w:rFonts w:hint="default" w:ascii="仿宋_GB2312" w:hAnsi="Times New Roman" w:eastAsia="仿宋_GB2312" w:cs="仿宋_GB2312"/>
          <w:b w:val="0"/>
          <w:bCs w:val="0"/>
          <w:color w:val="000000"/>
          <w:sz w:val="32"/>
          <w:szCs w:val="32"/>
        </w:rPr>
        <w:t>万元，完成预算100%。</w:t>
      </w:r>
      <w:r>
        <w:rPr>
          <w:rStyle w:val="19"/>
          <w:rFonts w:hint="eastAsia" w:ascii="仿宋_GB2312" w:hAnsi="Times New Roman" w:eastAsia="仿宋_GB2312" w:cs="仿宋_GB2312"/>
          <w:b w:val="0"/>
          <w:bCs w:val="0"/>
          <w:color w:val="000000"/>
          <w:sz w:val="32"/>
          <w:szCs w:val="32"/>
          <w:lang w:val="en-US" w:eastAsia="zh-CN"/>
        </w:rPr>
        <w:t>20133宣传事务500.2</w:t>
      </w:r>
      <w:r>
        <w:rPr>
          <w:rStyle w:val="19"/>
          <w:rFonts w:hint="default" w:ascii="仿宋_GB2312" w:hAnsi="Times New Roman" w:eastAsia="仿宋_GB2312" w:cs="仿宋_GB2312"/>
          <w:b w:val="0"/>
          <w:bCs w:val="0"/>
          <w:color w:val="000000"/>
          <w:sz w:val="32"/>
          <w:szCs w:val="32"/>
        </w:rPr>
        <w:t>3万元</w:t>
      </w:r>
      <w:r>
        <w:rPr>
          <w:rStyle w:val="19"/>
          <w:rFonts w:hint="eastAsia" w:ascii="仿宋_GB2312" w:hAnsi="Times New Roman" w:eastAsia="仿宋_GB2312" w:cs="仿宋_GB2312"/>
          <w:b w:val="0"/>
          <w:bCs w:val="0"/>
          <w:color w:val="000000"/>
          <w:sz w:val="32"/>
          <w:szCs w:val="32"/>
          <w:lang w:val="en-US" w:eastAsia="zh-CN"/>
        </w:rPr>
        <w:t>,</w:t>
      </w:r>
      <w:r>
        <w:rPr>
          <w:rStyle w:val="19"/>
          <w:rFonts w:hint="default" w:ascii="仿宋_GB2312" w:hAnsi="Times New Roman" w:eastAsia="仿宋_GB2312" w:cs="仿宋_GB2312"/>
          <w:b w:val="0"/>
          <w:bCs w:val="0"/>
          <w:color w:val="000000"/>
          <w:sz w:val="32"/>
          <w:szCs w:val="32"/>
        </w:rPr>
        <w:t>完成预算100%。</w:t>
      </w:r>
    </w:p>
    <w:p w14:paraId="785C1BE2">
      <w:pPr>
        <w:pageBreakBefore w:val="0"/>
        <w:kinsoku/>
        <w:wordWrap/>
        <w:overflowPunct/>
        <w:topLinePunct w:val="0"/>
        <w:bidi w:val="0"/>
        <w:snapToGrid/>
        <w:spacing w:afterAutospacing="0" w:line="576" w:lineRule="exact"/>
        <w:ind w:firstLine="643"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2.社会保障和就业支出208：支出决算为86.01万元，完成预算100%。</w:t>
      </w:r>
    </w:p>
    <w:p w14:paraId="4B8AFC02">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）社会保障和就业支出</w:t>
      </w:r>
      <w:r>
        <w:rPr>
          <w:rFonts w:hint="eastAsia" w:ascii="仿宋" w:hAnsi="仿宋" w:eastAsia="仿宋"/>
          <w:color w:val="000000"/>
          <w:sz w:val="32"/>
          <w:szCs w:val="32"/>
          <w:lang w:val="en-US" w:eastAsia="zh-CN"/>
        </w:rPr>
        <w:t xml:space="preserve"> 行机关事业单位基本养老保险缴费支出2080505：支出决算为：57.48万元，完成预算100%。</w:t>
      </w:r>
    </w:p>
    <w:p w14:paraId="43D8EF7E">
      <w:pPr>
        <w:pageBreakBefore w:val="0"/>
        <w:kinsoku/>
        <w:wordWrap/>
        <w:overflowPunct/>
        <w:topLinePunct w:val="0"/>
        <w:bidi w:val="0"/>
        <w:snapToGrid/>
        <w:spacing w:afterAutospacing="0" w:line="576" w:lineRule="exact"/>
        <w:ind w:firstLine="640" w:firstLineChars="200"/>
        <w:textAlignment w:val="auto"/>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机关事业单位职业年金缴费支出2080506：支出决算为28.53万元，完成预算100%。</w:t>
      </w:r>
    </w:p>
    <w:p w14:paraId="172575AE">
      <w:pPr>
        <w:pageBreakBefore w:val="0"/>
        <w:kinsoku/>
        <w:wordWrap/>
        <w:overflowPunct/>
        <w:topLinePunct w:val="0"/>
        <w:bidi w:val="0"/>
        <w:snapToGrid/>
        <w:spacing w:afterAutospacing="0" w:line="576" w:lineRule="exact"/>
        <w:ind w:firstLine="643"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3.卫生健康支出210：支出决算为38.63万元，完成预算100%。</w:t>
      </w:r>
    </w:p>
    <w:p w14:paraId="636A95BE">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（1）卫生健康支出 行政单位医疗2101101：支出决算为2.18万元，完成预算100%。</w:t>
      </w:r>
    </w:p>
    <w:p w14:paraId="58CEA5C9">
      <w:pPr>
        <w:pageBreakBefore w:val="0"/>
        <w:kinsoku/>
        <w:wordWrap/>
        <w:overflowPunct/>
        <w:topLinePunct w:val="0"/>
        <w:bidi w:val="0"/>
        <w:snapToGrid/>
        <w:spacing w:afterAutospacing="0" w:line="576"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color w:val="000000"/>
          <w:sz w:val="32"/>
          <w:szCs w:val="32"/>
          <w:lang w:val="en-US" w:eastAsia="zh-CN"/>
        </w:rPr>
        <w:t>（2）卫生健康支出</w:t>
      </w:r>
      <w:r>
        <w:rPr>
          <w:rFonts w:hint="eastAsia" w:ascii="仿宋" w:hAnsi="仿宋" w:eastAsia="仿宋" w:cs="仿宋"/>
          <w:sz w:val="32"/>
          <w:szCs w:val="32"/>
          <w:lang w:val="en-US" w:eastAsia="zh-CN"/>
        </w:rPr>
        <w:t>事业单位医疗支出2101102:</w:t>
      </w:r>
      <w:r>
        <w:rPr>
          <w:rFonts w:hint="eastAsia" w:ascii="仿宋" w:hAnsi="仿宋" w:eastAsia="仿宋"/>
          <w:color w:val="000000"/>
          <w:sz w:val="32"/>
          <w:szCs w:val="32"/>
          <w:lang w:val="en-US" w:eastAsia="zh-CN"/>
        </w:rPr>
        <w:t>支出决算为27.68万元，完成预算100%。</w:t>
      </w:r>
    </w:p>
    <w:p w14:paraId="1D56ECAD">
      <w:pPr>
        <w:pageBreakBefore w:val="0"/>
        <w:numPr>
          <w:ilvl w:val="0"/>
          <w:numId w:val="2"/>
        </w:numPr>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卫生健康支出公务员医疗补助2101103：支出决算为0.48万元，完成预算100%。</w:t>
      </w:r>
    </w:p>
    <w:p w14:paraId="40C9CC39">
      <w:pPr>
        <w:pageBreakBefore w:val="0"/>
        <w:numPr>
          <w:ilvl w:val="0"/>
          <w:numId w:val="0"/>
        </w:numPr>
        <w:kinsoku/>
        <w:wordWrap/>
        <w:overflowPunct/>
        <w:topLinePunct w:val="0"/>
        <w:bidi w:val="0"/>
        <w:snapToGrid/>
        <w:spacing w:afterAutospacing="0" w:line="576" w:lineRule="exact"/>
        <w:ind w:firstLine="640" w:firstLineChars="200"/>
        <w:textAlignment w:val="auto"/>
        <w:rPr>
          <w:rFonts w:hint="default"/>
          <w:lang w:val="en-US" w:eastAsia="zh-CN"/>
        </w:rPr>
      </w:pPr>
      <w:r>
        <w:rPr>
          <w:rFonts w:hint="eastAsia" w:ascii="仿宋" w:hAnsi="仿宋" w:eastAsia="仿宋"/>
          <w:color w:val="000000"/>
          <w:sz w:val="32"/>
          <w:szCs w:val="32"/>
          <w:lang w:val="en-US" w:eastAsia="zh-CN"/>
        </w:rPr>
        <w:t>（4）卫生健康支出其他行政事业单位医疗支出2101199：支出决算为8.29万元，完成预算100%。</w:t>
      </w:r>
    </w:p>
    <w:p w14:paraId="3A832C36">
      <w:pPr>
        <w:pageBreakBefore w:val="0"/>
        <w:kinsoku/>
        <w:wordWrap/>
        <w:overflowPunct/>
        <w:topLinePunct w:val="0"/>
        <w:bidi w:val="0"/>
        <w:snapToGrid/>
        <w:spacing w:afterAutospacing="0" w:line="576" w:lineRule="exact"/>
        <w:ind w:firstLine="643" w:firstLineChars="200"/>
        <w:textAlignment w:val="auto"/>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4.住房保障支出221：支出决算为</w:t>
      </w:r>
      <w:r>
        <w:rPr>
          <w:rFonts w:hint="eastAsia" w:ascii="仿宋" w:hAnsi="仿宋" w:eastAsia="仿宋"/>
          <w:color w:val="000000" w:themeColor="text1"/>
          <w:sz w:val="32"/>
          <w:szCs w:val="32"/>
          <w:lang w:val="en-US" w:eastAsia="zh-CN"/>
          <w14:textFill>
            <w14:solidFill>
              <w14:schemeClr w14:val="tx1"/>
            </w14:solidFill>
          </w14:textFill>
        </w:rPr>
        <w:t>43.17</w:t>
      </w:r>
      <w:r>
        <w:rPr>
          <w:rFonts w:hint="eastAsia" w:ascii="仿宋" w:hAnsi="仿宋" w:eastAsia="仿宋"/>
          <w:b/>
          <w:bCs/>
          <w:color w:val="000000"/>
          <w:sz w:val="32"/>
          <w:szCs w:val="32"/>
          <w:lang w:val="en-US" w:eastAsia="zh-CN"/>
        </w:rPr>
        <w:t>万元，完成预算100%。</w:t>
      </w:r>
    </w:p>
    <w:p w14:paraId="1AC913DA">
      <w:pPr>
        <w:pageBreakBefore w:val="0"/>
        <w:kinsoku/>
        <w:wordWrap/>
        <w:overflowPunct/>
        <w:topLinePunct w:val="0"/>
        <w:bidi w:val="0"/>
        <w:snapToGrid/>
        <w:spacing w:afterAutospacing="0" w:line="576" w:lineRule="exact"/>
        <w:ind w:firstLine="640" w:firstLineChars="200"/>
        <w:textAlignment w:val="auto"/>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住房改革支出住房公积金2210201：支出决算为</w:t>
      </w:r>
      <w:r>
        <w:rPr>
          <w:rFonts w:hint="eastAsia" w:ascii="仿宋" w:hAnsi="仿宋" w:eastAsia="仿宋"/>
          <w:color w:val="000000" w:themeColor="text1"/>
          <w:sz w:val="32"/>
          <w:szCs w:val="32"/>
          <w:lang w:val="en-US" w:eastAsia="zh-CN"/>
          <w14:textFill>
            <w14:solidFill>
              <w14:schemeClr w14:val="tx1"/>
            </w14:solidFill>
          </w14:textFill>
        </w:rPr>
        <w:t>43.17</w:t>
      </w:r>
      <w:r>
        <w:rPr>
          <w:rFonts w:hint="eastAsia" w:ascii="仿宋" w:hAnsi="仿宋" w:eastAsia="仿宋"/>
          <w:color w:val="000000"/>
          <w:sz w:val="32"/>
          <w:szCs w:val="32"/>
          <w:lang w:val="en-US" w:eastAsia="zh-CN"/>
        </w:rPr>
        <w:t>万元，完成预算100%。</w:t>
      </w:r>
    </w:p>
    <w:p w14:paraId="2B585206">
      <w:pPr>
        <w:pageBreakBefore w:val="0"/>
        <w:kinsoku/>
        <w:wordWrap/>
        <w:overflowPunct/>
        <w:topLinePunct w:val="0"/>
        <w:bidi w:val="0"/>
        <w:snapToGrid/>
        <w:spacing w:afterAutospacing="0" w:line="576" w:lineRule="exact"/>
        <w:ind w:firstLine="640" w:firstLineChars="200"/>
        <w:textAlignment w:val="auto"/>
        <w:rPr>
          <w:rStyle w:val="17"/>
          <w:rFonts w:hint="eastAsia" w:ascii="仿宋_GB2312" w:hAnsi="仿宋_GB2312" w:eastAsia="仿宋_GB2312" w:cs="仿宋_GB2312"/>
          <w:sz w:val="32"/>
          <w:szCs w:val="32"/>
          <w:shd w:val="clear" w:fill="FFFFFF"/>
          <w:lang w:eastAsia="zh-CN"/>
        </w:rPr>
      </w:pPr>
      <w:r>
        <w:rPr>
          <w:rFonts w:hint="eastAsia" w:ascii="仿宋_GB2312" w:eastAsia="仿宋_GB2312" w:hAnsiTheme="minorEastAsia" w:cstheme="minorEastAsia"/>
          <w:b w:val="0"/>
          <w:vanish w:val="0"/>
          <w:kern w:val="0"/>
          <w:sz w:val="32"/>
          <w:szCs w:val="32"/>
          <w:lang w:val="en-US" w:eastAsia="zh-CN" w:bidi="ar"/>
        </w:rPr>
        <w:t>（注：数据来源于财决01-1表和财决08表，仅罗列本部门涉及的全部功能分类科目，至项级。上述“预算”口径为调整预算数。增减变动原因为决算数和调整预算数比较，与预算数持平可以不写原因。）</w:t>
      </w:r>
    </w:p>
    <w:p w14:paraId="0FF660B2">
      <w:pPr>
        <w:pStyle w:val="5"/>
        <w:pageBreakBefore w:val="0"/>
        <w:kinsoku/>
        <w:wordWrap/>
        <w:topLinePunct w:val="0"/>
        <w:bidi w:val="0"/>
        <w:spacing w:before="0" w:after="0" w:afterAutospacing="0" w:line="576" w:lineRule="exact"/>
        <w:ind w:firstLine="643" w:firstLineChars="200"/>
        <w:rPr>
          <w:rFonts w:hint="eastAsia" w:ascii="仿宋_GB2312" w:eastAsia="仿宋_GB2312" w:hAnsiTheme="minorEastAsia" w:cstheme="minorEastAsia"/>
          <w:b w:val="0"/>
          <w:vanish w:val="0"/>
          <w:kern w:val="0"/>
          <w:szCs w:val="32"/>
          <w:lang w:val="en-US" w:eastAsia="zh-CN" w:bidi="ar"/>
        </w:rPr>
      </w:pPr>
      <w:bookmarkStart w:id="106" w:name="_Toc30318"/>
      <w:bookmarkStart w:id="107" w:name="_Toc18577"/>
      <w:r>
        <w:rPr>
          <w:rFonts w:hint="eastAsia"/>
          <w:lang w:val="en-US" w:eastAsia="zh-CN"/>
        </w:rPr>
        <w:t>六、一般公共预算财政拨款基本支出决算情况说明   </w:t>
      </w:r>
      <w:bookmarkEnd w:id="106"/>
    </w:p>
    <w:p w14:paraId="6C224F11">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eastAsia="仿宋_GB2312" w:hAnsiTheme="minorEastAsia" w:cstheme="minorEastAsia"/>
          <w:b w:val="0"/>
          <w:vanish w:val="0"/>
          <w:kern w:val="0"/>
          <w:sz w:val="32"/>
          <w:szCs w:val="32"/>
          <w:lang w:val="en-US" w:eastAsia="zh-CN" w:bidi="ar"/>
        </w:rPr>
      </w:pPr>
      <w:r>
        <w:rPr>
          <w:rFonts w:hint="eastAsia" w:ascii="仿宋_GB2312" w:eastAsia="仿宋_GB2312" w:hAnsiTheme="minorEastAsia" w:cstheme="minorEastAsia"/>
          <w:b w:val="0"/>
          <w:vanish w:val="0"/>
          <w:kern w:val="0"/>
          <w:sz w:val="32"/>
          <w:szCs w:val="32"/>
          <w:lang w:val="en-US" w:eastAsia="zh-CN" w:bidi="ar"/>
        </w:rPr>
        <w:t>2023年一般公共预算财政拨款基本支出661.64万元，其中：</w:t>
      </w:r>
    </w:p>
    <w:p w14:paraId="776A0715">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eastAsia="仿宋_GB2312" w:hAnsiTheme="minorEastAsia" w:cstheme="minorEastAsia"/>
          <w:b w:val="0"/>
          <w:vanish w:val="0"/>
          <w:kern w:val="0"/>
          <w:sz w:val="32"/>
          <w:szCs w:val="32"/>
          <w:lang w:val="en-US" w:eastAsia="zh-CN" w:bidi="ar"/>
        </w:rPr>
      </w:pPr>
      <w:r>
        <w:rPr>
          <w:rFonts w:hint="eastAsia" w:ascii="仿宋_GB2312" w:eastAsia="仿宋_GB2312" w:hAnsiTheme="minorEastAsia" w:cstheme="minorEastAsia"/>
          <w:b w:val="0"/>
          <w:vanish w:val="0"/>
          <w:kern w:val="0"/>
          <w:sz w:val="32"/>
          <w:szCs w:val="32"/>
          <w:lang w:val="en-US" w:eastAsia="zh-CN" w:bidi="ar"/>
        </w:rPr>
        <w:t>人员经费623.44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419750A">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eastAsia="仿宋_GB2312" w:hAnsiTheme="minorEastAsia" w:cstheme="minorEastAsia"/>
          <w:b w:val="0"/>
          <w:vanish w:val="0"/>
          <w:kern w:val="0"/>
          <w:sz w:val="32"/>
          <w:szCs w:val="32"/>
          <w:lang w:val="en-US" w:eastAsia="zh-CN" w:bidi="ar"/>
        </w:rPr>
      </w:pPr>
      <w:r>
        <w:rPr>
          <w:rFonts w:hint="eastAsia" w:ascii="仿宋_GB2312" w:eastAsia="仿宋_GB2312" w:hAnsiTheme="minorEastAsia" w:cstheme="minorEastAsia"/>
          <w:b w:val="0"/>
          <w:vanish w:val="0"/>
          <w:kern w:val="0"/>
          <w:sz w:val="32"/>
          <w:szCs w:val="32"/>
          <w:lang w:val="en-US" w:eastAsia="zh-CN" w:bidi="ar"/>
        </w:rPr>
        <w:t>　　公用经费38.21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C451A95">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Calibri" w:eastAsia="仿宋_GB2312" w:cs="仿宋_GB2312"/>
          <w:b/>
          <w:bCs/>
          <w:spacing w:val="0"/>
          <w:kern w:val="2"/>
          <w:sz w:val="32"/>
          <w:szCs w:val="32"/>
          <w:lang w:val="en-US" w:eastAsia="zh-CN"/>
        </w:rPr>
      </w:pPr>
      <w:r>
        <w:rPr>
          <w:rFonts w:hint="eastAsia" w:ascii="仿宋_GB2312" w:eastAsia="仿宋_GB2312" w:hAnsiTheme="minorEastAsia" w:cstheme="minorEastAsia"/>
          <w:b w:val="0"/>
          <w:vanish w:val="0"/>
          <w:kern w:val="0"/>
          <w:sz w:val="32"/>
          <w:szCs w:val="32"/>
          <w:lang w:val="en-US" w:eastAsia="zh-CN" w:bidi="ar"/>
        </w:rPr>
        <w:t>（注：数据来源于财决07表和财决08-1表，仅罗列本部门实际支出涉及的经济分类科目。）</w:t>
      </w:r>
    </w:p>
    <w:p w14:paraId="3AE50435">
      <w:pPr>
        <w:pStyle w:val="5"/>
        <w:pageBreakBefore w:val="0"/>
        <w:kinsoku/>
        <w:wordWrap/>
        <w:topLinePunct w:val="0"/>
        <w:bidi w:val="0"/>
        <w:spacing w:before="0" w:after="0" w:afterAutospacing="0" w:line="576" w:lineRule="exact"/>
        <w:ind w:firstLine="643" w:firstLineChars="200"/>
        <w:rPr>
          <w:rFonts w:hint="eastAsia"/>
          <w:lang w:val="en-US" w:eastAsia="zh-CN"/>
        </w:rPr>
      </w:pPr>
      <w:bookmarkStart w:id="108" w:name="_Toc5210"/>
      <w:r>
        <w:rPr>
          <w:rFonts w:hint="eastAsia"/>
          <w:lang w:val="en-US" w:eastAsia="zh-CN"/>
        </w:rPr>
        <w:t>七、“三公”经费财政拨款支出决算情况说明</w:t>
      </w:r>
      <w:bookmarkEnd w:id="107"/>
      <w:bookmarkEnd w:id="108"/>
    </w:p>
    <w:p w14:paraId="1B2A57E2">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pPr>
      <w:bookmarkStart w:id="109" w:name="_Toc15377216"/>
      <w:bookmarkStart w:id="110" w:name="_Toc28032"/>
      <w:bookmarkStart w:id="111" w:name="_Toc28224"/>
      <w:r>
        <w:rPr>
          <w:rFonts w:hint="eastAsia"/>
        </w:rPr>
        <w:t>（一）“三公”经费财政拨款支出决算总体情况说明</w:t>
      </w:r>
      <w:bookmarkEnd w:id="109"/>
      <w:bookmarkEnd w:id="110"/>
      <w:bookmarkEnd w:id="111"/>
    </w:p>
    <w:p w14:paraId="4EAE50A2">
      <w:pPr>
        <w:pageBreakBefore w:val="0"/>
        <w:kinsoku/>
        <w:wordWrap/>
        <w:overflowPunct/>
        <w:topLinePunct w:val="0"/>
        <w:bidi w:val="0"/>
        <w:snapToGrid/>
        <w:spacing w:afterAutospacing="0"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val="en-US" w:eastAsia="zh-CN"/>
        </w:rPr>
        <w:t>2023</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2.76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14:paraId="17F795D8">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pPr>
      <w:bookmarkStart w:id="112" w:name="_Toc12589"/>
      <w:bookmarkStart w:id="113" w:name="_Toc15377217"/>
      <w:bookmarkStart w:id="114" w:name="_Toc3536"/>
      <w:r>
        <w:rPr>
          <w:rFonts w:hint="eastAsia"/>
        </w:rPr>
        <w:t>（二）“三公”经费财政拨款支出决算具体情况说明</w:t>
      </w:r>
      <w:bookmarkEnd w:id="112"/>
      <w:bookmarkEnd w:id="113"/>
      <w:bookmarkEnd w:id="114"/>
    </w:p>
    <w:p w14:paraId="69FD6EFC">
      <w:pPr>
        <w:pageBreakBefore w:val="0"/>
        <w:kinsoku/>
        <w:wordWrap/>
        <w:overflowPunct/>
        <w:topLinePunct w:val="0"/>
        <w:bidi w:val="0"/>
        <w:snapToGrid/>
        <w:spacing w:afterAutospacing="0" w:line="576" w:lineRule="exact"/>
        <w:ind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2.76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4F2A94F5">
      <w:pPr>
        <w:pageBreakBefore w:val="0"/>
        <w:numPr>
          <w:ilvl w:val="0"/>
          <w:numId w:val="3"/>
        </w:numPr>
        <w:kinsoku/>
        <w:wordWrap/>
        <w:overflowPunct/>
        <w:topLinePunct w:val="0"/>
        <w:bidi w:val="0"/>
        <w:snapToGrid/>
        <w:spacing w:afterAutospacing="0" w:line="576" w:lineRule="exact"/>
        <w:ind w:firstLine="643" w:firstLineChars="200"/>
        <w:textAlignment w:val="auto"/>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14:paraId="61749315">
      <w:pPr>
        <w:pageBreakBefore w:val="0"/>
        <w:kinsoku/>
        <w:wordWrap/>
        <w:overflowPunct/>
        <w:topLinePunct w:val="0"/>
        <w:bidi w:val="0"/>
        <w:snapToGrid/>
        <w:spacing w:afterAutospacing="0" w:line="576" w:lineRule="exact"/>
        <w:ind w:firstLine="643" w:firstLineChars="200"/>
        <w:textAlignment w:val="auto"/>
        <w:rPr>
          <w:rFonts w:hint="default" w:ascii="仿宋_GB2312" w:eastAsia="仿宋_GB2312"/>
          <w:b/>
          <w:color w:val="000000"/>
          <w:sz w:val="32"/>
          <w:szCs w:val="32"/>
          <w:lang w:val="en-US"/>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b/>
          <w:color w:val="000000"/>
          <w:sz w:val="32"/>
          <w:szCs w:val="32"/>
          <w:lang w:val="en-US" w:eastAsia="zh-CN"/>
        </w:rPr>
        <w:t>2.76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减少。原因：</w:t>
      </w:r>
      <w:r>
        <w:rPr>
          <w:rFonts w:ascii="仿宋_GB2312" w:hAnsi="宋体" w:eastAsia="仿宋_GB2312" w:cs="仿宋_GB2312"/>
          <w:color w:val="000000"/>
          <w:sz w:val="32"/>
          <w:szCs w:val="32"/>
        </w:rPr>
        <w:t>节约开支减少支出。</w:t>
      </w:r>
    </w:p>
    <w:p w14:paraId="3EFE8D98">
      <w:pPr>
        <w:pageBreakBefore w:val="0"/>
        <w:kinsoku/>
        <w:wordWrap/>
        <w:overflowPunct/>
        <w:topLinePunct w:val="0"/>
        <w:bidi w:val="0"/>
        <w:snapToGrid/>
        <w:spacing w:afterAutospacing="0" w:line="576" w:lineRule="exact"/>
        <w:ind w:firstLine="640" w:firstLineChars="200"/>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03B07734">
      <w:pPr>
        <w:pageBreakBefore w:val="0"/>
        <w:kinsoku/>
        <w:wordWrap/>
        <w:overflowPunct/>
        <w:topLinePunct w:val="0"/>
        <w:bidi w:val="0"/>
        <w:snapToGrid/>
        <w:spacing w:afterAutospacing="0" w:line="576" w:lineRule="exact"/>
        <w:ind w:firstLine="643" w:firstLineChars="200"/>
        <w:textAlignment w:val="auto"/>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2.76</w:t>
      </w:r>
      <w:r>
        <w:rPr>
          <w:rFonts w:hint="eastAsia" w:ascii="仿宋_GB2312" w:eastAsia="仿宋_GB2312"/>
          <w:color w:val="000000"/>
          <w:sz w:val="32"/>
          <w:szCs w:val="32"/>
        </w:rPr>
        <w:t>万元。主要用于主要用于到</w:t>
      </w:r>
      <w:r>
        <w:rPr>
          <w:rFonts w:hint="eastAsia" w:ascii="仿宋_GB2312" w:eastAsia="仿宋_GB2312"/>
          <w:color w:val="000000"/>
          <w:sz w:val="32"/>
          <w:szCs w:val="32"/>
          <w:lang w:val="en-US" w:eastAsia="zh-CN"/>
        </w:rPr>
        <w:t>各乡镇和县城周边采访</w:t>
      </w:r>
      <w:r>
        <w:rPr>
          <w:rFonts w:hint="eastAsia" w:ascii="仿宋_GB2312" w:eastAsia="仿宋_GB2312"/>
          <w:color w:val="000000"/>
          <w:sz w:val="32"/>
          <w:szCs w:val="32"/>
        </w:rPr>
        <w:t>、办事等所需的公务用车燃料费、维修费、保险费等支出。</w:t>
      </w:r>
    </w:p>
    <w:p w14:paraId="77D1361F">
      <w:pPr>
        <w:pageBreakBefore w:val="0"/>
        <w:kinsoku/>
        <w:wordWrap/>
        <w:overflowPunct/>
        <w:topLinePunct w:val="0"/>
        <w:bidi w:val="0"/>
        <w:snapToGrid/>
        <w:spacing w:afterAutospacing="0" w:line="576" w:lineRule="exact"/>
        <w:ind w:firstLine="643" w:firstLineChars="200"/>
        <w:textAlignment w:val="auto"/>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与2022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持平。</w:t>
      </w:r>
    </w:p>
    <w:p w14:paraId="0401C074">
      <w:pPr>
        <w:pageBreakBefore w:val="0"/>
        <w:kinsoku/>
        <w:wordWrap/>
        <w:overflowPunct/>
        <w:topLinePunct w:val="0"/>
        <w:bidi w:val="0"/>
        <w:snapToGrid/>
        <w:spacing w:afterAutospacing="0" w:line="576" w:lineRule="exact"/>
        <w:ind w:firstLine="643" w:firstLineChars="200"/>
        <w:textAlignment w:val="auto"/>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人次（包括陪同人员）。</w:t>
      </w:r>
    </w:p>
    <w:p w14:paraId="5F4356F7">
      <w:pPr>
        <w:pageBreakBefore w:val="0"/>
        <w:kinsoku/>
        <w:wordWrap/>
        <w:overflowPunct/>
        <w:topLinePunct w:val="0"/>
        <w:bidi w:val="0"/>
        <w:snapToGrid/>
        <w:spacing w:afterAutospacing="0" w:line="576" w:lineRule="exact"/>
        <w:ind w:firstLine="643" w:firstLineChars="200"/>
        <w:textAlignment w:val="auto"/>
        <w:rPr>
          <w:rFonts w:hint="eastAsia" w:ascii="仿宋_GB2312" w:eastAsia="仿宋_GB2312"/>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lang w:val="en-US" w:eastAsia="zh-CN"/>
        </w:rPr>
        <w:t>元</w:t>
      </w:r>
      <w:r>
        <w:rPr>
          <w:rFonts w:hint="eastAsia" w:ascii="仿宋_GB2312" w:eastAsia="仿宋_GB2312"/>
          <w:color w:val="000000"/>
          <w:sz w:val="32"/>
          <w:szCs w:val="32"/>
        </w:rPr>
        <w:t>。</w:t>
      </w:r>
    </w:p>
    <w:p w14:paraId="34F08478">
      <w:pPr>
        <w:pStyle w:val="2"/>
        <w:rPr>
          <w:rFonts w:hint="eastAsia" w:ascii="仿宋_GB2312" w:eastAsia="仿宋_GB2312"/>
          <w:color w:val="000000"/>
          <w:sz w:val="32"/>
          <w:szCs w:val="32"/>
        </w:rPr>
      </w:pPr>
    </w:p>
    <w:p w14:paraId="5FCA214D">
      <w:pPr>
        <w:pStyle w:val="3"/>
        <w:rPr>
          <w:rFonts w:hint="eastAsia" w:ascii="仿宋_GB2312" w:eastAsia="仿宋_GB2312"/>
          <w:color w:val="000000"/>
          <w:sz w:val="32"/>
          <w:szCs w:val="32"/>
        </w:rPr>
      </w:pPr>
      <w:r>
        <w:rPr>
          <w:rFonts w:hint="eastAsia" w:eastAsiaTheme="minorEastAsia"/>
          <w:lang w:eastAsia="zh-CN"/>
        </w:rPr>
        <w:drawing>
          <wp:anchor distT="0" distB="0" distL="114300" distR="114300" simplePos="0" relativeHeight="251664384" behindDoc="1" locked="0" layoutInCell="1" allowOverlap="1">
            <wp:simplePos x="0" y="0"/>
            <wp:positionH relativeFrom="column">
              <wp:posOffset>33020</wp:posOffset>
            </wp:positionH>
            <wp:positionV relativeFrom="paragraph">
              <wp:posOffset>148590</wp:posOffset>
            </wp:positionV>
            <wp:extent cx="5123815" cy="2269490"/>
            <wp:effectExtent l="4445" t="4445" r="72390" b="50165"/>
            <wp:wrapTight wrapText="bothSides">
              <wp:wrapPolygon>
                <wp:start x="-19" y="-42"/>
                <wp:lineTo x="-19" y="21534"/>
                <wp:lineTo x="21504" y="21534"/>
                <wp:lineTo x="21504" y="-42"/>
                <wp:lineTo x="-19" y="-42"/>
              </wp:wrapPolygon>
            </wp:wrapTight>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18E3A69">
      <w:pPr>
        <w:pStyle w:val="3"/>
        <w:rPr>
          <w:rFonts w:hint="eastAsia" w:ascii="仿宋_GB2312" w:eastAsia="仿宋_GB2312"/>
          <w:color w:val="000000"/>
          <w:sz w:val="32"/>
          <w:szCs w:val="32"/>
        </w:rPr>
      </w:pPr>
    </w:p>
    <w:p w14:paraId="58135A89">
      <w:pPr>
        <w:pStyle w:val="3"/>
        <w:rPr>
          <w:rFonts w:hint="eastAsia" w:ascii="仿宋_GB2312" w:eastAsia="仿宋_GB2312"/>
          <w:color w:val="000000"/>
          <w:sz w:val="32"/>
          <w:szCs w:val="32"/>
        </w:rPr>
      </w:pPr>
    </w:p>
    <w:p w14:paraId="5DD891B8">
      <w:pPr>
        <w:pStyle w:val="3"/>
        <w:rPr>
          <w:rFonts w:hint="eastAsia" w:ascii="仿宋_GB2312" w:eastAsia="仿宋_GB2312"/>
          <w:color w:val="000000"/>
          <w:sz w:val="32"/>
          <w:szCs w:val="32"/>
        </w:rPr>
      </w:pPr>
    </w:p>
    <w:p w14:paraId="0A28FAA5">
      <w:pPr>
        <w:pStyle w:val="3"/>
        <w:rPr>
          <w:rFonts w:hint="eastAsia" w:ascii="仿宋_GB2312" w:eastAsia="仿宋_GB2312"/>
          <w:color w:val="000000"/>
          <w:sz w:val="32"/>
          <w:szCs w:val="32"/>
        </w:rPr>
      </w:pPr>
    </w:p>
    <w:p w14:paraId="63D82459">
      <w:pPr>
        <w:pStyle w:val="14"/>
        <w:pageBreakBefore w:val="0"/>
        <w:kinsoku/>
        <w:wordWrap/>
        <w:overflowPunct/>
        <w:topLinePunct w:val="0"/>
        <w:bidi w:val="0"/>
        <w:snapToGrid/>
        <w:spacing w:before="0" w:after="0" w:afterAutospacing="0" w:line="576" w:lineRule="exact"/>
        <w:ind w:left="0" w:leftChars="0" w:firstLine="420" w:firstLineChars="200"/>
        <w:textAlignment w:val="auto"/>
        <w:rPr>
          <w:rFonts w:hint="eastAsia" w:eastAsiaTheme="minorEastAsia"/>
          <w:lang w:eastAsia="zh-CN"/>
        </w:rPr>
      </w:pPr>
    </w:p>
    <w:p w14:paraId="3D2E7FDC">
      <w:pPr>
        <w:pStyle w:val="5"/>
        <w:pageBreakBefore w:val="0"/>
        <w:kinsoku/>
        <w:wordWrap/>
        <w:overflowPunct/>
        <w:topLinePunct w:val="0"/>
        <w:bidi w:val="0"/>
        <w:snapToGrid/>
        <w:spacing w:before="0" w:after="0" w:afterAutospacing="0" w:line="576" w:lineRule="exact"/>
        <w:ind w:firstLine="643" w:firstLineChars="200"/>
        <w:textAlignment w:val="auto"/>
        <w:rPr>
          <w:rFonts w:hint="eastAsia"/>
          <w:lang w:val="en-US" w:eastAsia="zh-CN"/>
        </w:rPr>
      </w:pPr>
      <w:bookmarkStart w:id="115" w:name="_Toc13423"/>
      <w:bookmarkStart w:id="116" w:name="_Toc18695"/>
      <w:bookmarkStart w:id="117" w:name="_Toc30699"/>
      <w:bookmarkStart w:id="118" w:name="_Toc21201"/>
    </w:p>
    <w:p w14:paraId="4D5F5B29">
      <w:pPr>
        <w:pStyle w:val="5"/>
        <w:pageBreakBefore w:val="0"/>
        <w:kinsoku/>
        <w:wordWrap/>
        <w:overflowPunct/>
        <w:topLinePunct w:val="0"/>
        <w:bidi w:val="0"/>
        <w:snapToGrid/>
        <w:spacing w:before="0" w:after="0" w:afterAutospacing="0" w:line="576" w:lineRule="exact"/>
        <w:ind w:firstLine="643" w:firstLineChars="200"/>
        <w:textAlignment w:val="auto"/>
        <w:rPr>
          <w:rFonts w:hint="eastAsia"/>
          <w:lang w:val="en-US" w:eastAsia="zh-CN"/>
        </w:rPr>
      </w:pPr>
    </w:p>
    <w:p w14:paraId="43E07590">
      <w:pPr>
        <w:pStyle w:val="5"/>
        <w:pageBreakBefore w:val="0"/>
        <w:kinsoku/>
        <w:wordWrap/>
        <w:overflowPunct/>
        <w:topLinePunct w:val="0"/>
        <w:bidi w:val="0"/>
        <w:snapToGrid/>
        <w:spacing w:before="0" w:after="0" w:afterAutospacing="0" w:line="576" w:lineRule="exact"/>
        <w:ind w:firstLine="643" w:firstLineChars="200"/>
        <w:textAlignment w:val="auto"/>
        <w:rPr>
          <w:rStyle w:val="20"/>
          <w:rFonts w:ascii="黑体" w:hAnsi="黑体" w:eastAsia="黑体"/>
          <w:b/>
          <w:bCs/>
        </w:rPr>
      </w:pPr>
      <w:r>
        <w:rPr>
          <w:rFonts w:hint="eastAsia"/>
          <w:lang w:val="en-US" w:eastAsia="zh-CN"/>
        </w:rPr>
        <w:t>七</w:t>
      </w:r>
      <w:r>
        <w:rPr>
          <w:rFonts w:hint="eastAsia"/>
        </w:rPr>
        <w:t>、政府性基金预算支出决算情况说明</w:t>
      </w:r>
      <w:bookmarkEnd w:id="115"/>
      <w:bookmarkEnd w:id="116"/>
      <w:bookmarkEnd w:id="117"/>
      <w:bookmarkEnd w:id="118"/>
    </w:p>
    <w:p w14:paraId="155AE0E1">
      <w:pPr>
        <w:pageBreakBefore w:val="0"/>
        <w:kinsoku/>
        <w:wordWrap/>
        <w:overflowPunct/>
        <w:topLinePunct w:val="0"/>
        <w:bidi w:val="0"/>
        <w:snapToGrid/>
        <w:spacing w:afterAutospacing="0"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42CDF09C">
      <w:pPr>
        <w:pStyle w:val="5"/>
        <w:pageBreakBefore w:val="0"/>
        <w:kinsoku/>
        <w:wordWrap/>
        <w:overflowPunct/>
        <w:topLinePunct w:val="0"/>
        <w:bidi w:val="0"/>
        <w:snapToGrid/>
        <w:spacing w:before="0" w:after="0" w:afterAutospacing="0" w:line="576" w:lineRule="exact"/>
        <w:ind w:firstLine="643" w:firstLineChars="200"/>
        <w:textAlignment w:val="auto"/>
      </w:pPr>
      <w:bookmarkStart w:id="119" w:name="_Toc13007"/>
      <w:bookmarkStart w:id="120" w:name="_Toc8211"/>
      <w:bookmarkStart w:id="121" w:name="_Toc10029"/>
      <w:bookmarkStart w:id="122" w:name="_Toc27474"/>
      <w:bookmarkStart w:id="123" w:name="_Toc15377219"/>
      <w:bookmarkStart w:id="124" w:name="_Toc15396611"/>
      <w:r>
        <w:rPr>
          <w:rFonts w:hint="eastAsia"/>
          <w:lang w:val="en-US" w:eastAsia="zh-CN"/>
        </w:rPr>
        <w:t>八、</w:t>
      </w:r>
      <w:r>
        <w:rPr>
          <w:rFonts w:hint="eastAsia"/>
        </w:rPr>
        <w:t>国有资本经营预算支出决算情况说明</w:t>
      </w:r>
      <w:bookmarkEnd w:id="119"/>
      <w:bookmarkEnd w:id="120"/>
      <w:bookmarkEnd w:id="121"/>
      <w:bookmarkEnd w:id="122"/>
      <w:bookmarkEnd w:id="123"/>
      <w:bookmarkEnd w:id="124"/>
    </w:p>
    <w:p w14:paraId="5004321D">
      <w:pPr>
        <w:pageBreakBefore w:val="0"/>
        <w:kinsoku/>
        <w:wordWrap/>
        <w:overflowPunct/>
        <w:topLinePunct w:val="0"/>
        <w:bidi w:val="0"/>
        <w:snapToGrid/>
        <w:spacing w:afterAutospacing="0" w:line="576" w:lineRule="exact"/>
        <w:ind w:firstLine="640" w:firstLineChars="200"/>
        <w:textAlignment w:val="auto"/>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5EF982D1">
      <w:pPr>
        <w:pStyle w:val="5"/>
        <w:pageBreakBefore w:val="0"/>
        <w:kinsoku/>
        <w:wordWrap/>
        <w:overflowPunct/>
        <w:topLinePunct w:val="0"/>
        <w:bidi w:val="0"/>
        <w:snapToGrid/>
        <w:spacing w:before="0" w:after="0" w:afterAutospacing="0" w:line="576" w:lineRule="exact"/>
        <w:ind w:firstLine="643" w:firstLineChars="200"/>
        <w:textAlignment w:val="auto"/>
        <w:rPr>
          <w:rStyle w:val="20"/>
          <w:rFonts w:ascii="黑体" w:hAnsi="黑体" w:eastAsia="黑体"/>
          <w:b/>
          <w:bCs/>
        </w:rPr>
      </w:pPr>
      <w:bookmarkStart w:id="125" w:name="_Toc15377221"/>
      <w:bookmarkStart w:id="126" w:name="_Toc18299"/>
      <w:bookmarkStart w:id="127" w:name="_Toc23219"/>
      <w:bookmarkStart w:id="128" w:name="_Toc21681"/>
      <w:bookmarkStart w:id="129" w:name="_Toc15396612"/>
      <w:bookmarkStart w:id="130" w:name="_Toc13102"/>
      <w:r>
        <w:rPr>
          <w:rFonts w:hint="eastAsia"/>
          <w:lang w:val="en-US" w:eastAsia="zh-CN"/>
        </w:rPr>
        <w:t>九、</w:t>
      </w:r>
      <w:r>
        <w:rPr>
          <w:rFonts w:hint="eastAsia"/>
        </w:rPr>
        <w:t>其他重要事项的情况说明</w:t>
      </w:r>
      <w:bookmarkEnd w:id="125"/>
      <w:bookmarkEnd w:id="126"/>
      <w:bookmarkEnd w:id="127"/>
      <w:bookmarkEnd w:id="128"/>
      <w:bookmarkEnd w:id="129"/>
      <w:bookmarkEnd w:id="130"/>
    </w:p>
    <w:p w14:paraId="654BD81A">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pPr>
      <w:bookmarkStart w:id="131" w:name="_Toc15377222"/>
      <w:bookmarkStart w:id="132" w:name="_Toc8541"/>
      <w:bookmarkStart w:id="133" w:name="_Toc20046"/>
      <w:r>
        <w:rPr>
          <w:rFonts w:hint="eastAsia"/>
        </w:rPr>
        <w:t>（一）机关运行经费支出情况</w:t>
      </w:r>
      <w:bookmarkEnd w:id="131"/>
      <w:bookmarkEnd w:id="132"/>
      <w:bookmarkEnd w:id="133"/>
    </w:p>
    <w:p w14:paraId="29D28F63">
      <w:pPr>
        <w:pStyle w:val="21"/>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both"/>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红原县融媒体中心会</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6.28</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hAnsiTheme="minorEastAsia" w:cstheme="minorEastAsia"/>
          <w:b w:val="0"/>
          <w:vanish w:val="0"/>
          <w:kern w:val="0"/>
          <w:sz w:val="32"/>
          <w:szCs w:val="32"/>
          <w:lang w:val="en-US" w:eastAsia="zh-CN" w:bidi="ar"/>
        </w:rPr>
        <w:t>比2022年增加3.95万元，增长170.15%，</w:t>
      </w:r>
      <w:r>
        <w:rPr>
          <w:rFonts w:hint="default" w:ascii="仿宋_GB2312" w:hAnsi="宋体" w:eastAsia="仿宋_GB2312" w:cs="仿宋_GB2312"/>
          <w:kern w:val="2"/>
          <w:sz w:val="32"/>
          <w:szCs w:val="32"/>
        </w:rPr>
        <w:t>主要原因是202</w:t>
      </w:r>
      <w:r>
        <w:rPr>
          <w:rFonts w:hint="eastAsia" w:ascii="仿宋_GB2312" w:eastAsia="仿宋_GB2312" w:cs="仿宋_GB2312"/>
          <w:kern w:val="2"/>
          <w:sz w:val="32"/>
          <w:szCs w:val="32"/>
          <w:lang w:val="en-US" w:eastAsia="zh-CN"/>
        </w:rPr>
        <w:t>3</w:t>
      </w:r>
      <w:r>
        <w:rPr>
          <w:rFonts w:hint="default" w:ascii="仿宋_GB2312" w:hAnsi="宋体" w:eastAsia="仿宋_GB2312" w:cs="仿宋_GB2312"/>
          <w:kern w:val="2"/>
          <w:sz w:val="32"/>
          <w:szCs w:val="32"/>
        </w:rPr>
        <w:t>年有新增人员。</w:t>
      </w:r>
    </w:p>
    <w:p w14:paraId="26B15A86">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pPr>
      <w:bookmarkStart w:id="134" w:name="_Toc5421"/>
      <w:bookmarkStart w:id="135" w:name="_Toc15377223"/>
      <w:bookmarkStart w:id="136" w:name="_Toc21560"/>
      <w:r>
        <w:rPr>
          <w:rFonts w:hint="eastAsia"/>
        </w:rPr>
        <w:t>（二）政府采购支出情况</w:t>
      </w:r>
      <w:bookmarkEnd w:id="134"/>
      <w:bookmarkEnd w:id="135"/>
      <w:bookmarkEnd w:id="136"/>
    </w:p>
    <w:p w14:paraId="59B796EB">
      <w:pPr>
        <w:pageBreakBefore w:val="0"/>
        <w:kinsoku/>
        <w:wordWrap/>
        <w:overflowPunct/>
        <w:topLinePunct w:val="0"/>
        <w:bidi w:val="0"/>
        <w:snapToGrid/>
        <w:spacing w:afterAutospacing="0" w:line="576"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红原县融媒体中心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14:paraId="3CA6E2EE">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pPr>
      <w:bookmarkStart w:id="137" w:name="_Toc15377224"/>
      <w:bookmarkStart w:id="138" w:name="_Toc8590"/>
      <w:bookmarkStart w:id="139" w:name="_Toc14047"/>
      <w:r>
        <w:rPr>
          <w:rFonts w:hint="eastAsia"/>
        </w:rPr>
        <w:t>（三）国有资产占有使用情况</w:t>
      </w:r>
      <w:bookmarkEnd w:id="137"/>
      <w:bookmarkEnd w:id="138"/>
      <w:bookmarkEnd w:id="139"/>
    </w:p>
    <w:p w14:paraId="0E03E924">
      <w:pPr>
        <w:pageBreakBefore w:val="0"/>
        <w:kinsoku/>
        <w:wordWrap/>
        <w:overflowPunct/>
        <w:topLinePunct w:val="0"/>
        <w:autoSpaceDE w:val="0"/>
        <w:autoSpaceDN w:val="0"/>
        <w:bidi w:val="0"/>
        <w:adjustRightInd w:val="0"/>
        <w:snapToGrid/>
        <w:spacing w:afterAutospacing="0" w:line="576" w:lineRule="exact"/>
        <w:ind w:firstLine="640" w:firstLineChars="200"/>
        <w:jc w:val="left"/>
        <w:textAlignment w:val="auto"/>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红原县融媒体中心</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w:t>
      </w:r>
      <w:r>
        <w:rPr>
          <w:rFonts w:hint="eastAsia" w:ascii="仿宋_GB2312" w:eastAsia="仿宋_GB2312"/>
          <w:color w:val="000000" w:themeColor="text1"/>
          <w:sz w:val="32"/>
          <w:szCs w:val="32"/>
          <w:lang w:val="en-US" w:eastAsia="zh-CN"/>
          <w14:textFill>
            <w14:solidFill>
              <w14:schemeClr w14:val="tx1"/>
            </w14:solidFill>
          </w14:textFill>
        </w:rPr>
        <w:t>采访和出差使用</w:t>
      </w:r>
      <w:r>
        <w:rPr>
          <w:rFonts w:hint="eastAsia" w:ascii="仿宋_GB2312" w:eastAsia="仿宋_GB2312"/>
          <w:color w:val="000000" w:themeColor="text1"/>
          <w:sz w:val="32"/>
          <w:szCs w:val="32"/>
          <w:lang w:eastAsia="zh-CN"/>
          <w14:textFill>
            <w14:solidFill>
              <w14:schemeClr w14:val="tx1"/>
            </w14:solidFill>
          </w14:textFill>
        </w:rPr>
        <w:t>。</w:t>
      </w:r>
    </w:p>
    <w:p w14:paraId="4D4A7F17">
      <w:pPr>
        <w:pStyle w:val="6"/>
        <w:pageBreakBefore w:val="0"/>
        <w:kinsoku/>
        <w:wordWrap/>
        <w:overflowPunct/>
        <w:topLinePunct w:val="0"/>
        <w:bidi w:val="0"/>
        <w:snapToGrid/>
        <w:spacing w:before="0" w:beforeLines="0" w:after="0" w:afterLines="0" w:afterAutospacing="0" w:line="576" w:lineRule="exact"/>
        <w:ind w:firstLine="643" w:firstLineChars="200"/>
        <w:textAlignment w:val="auto"/>
        <w:rPr>
          <w:rFonts w:hint="eastAsia"/>
        </w:rPr>
      </w:pPr>
      <w:bookmarkStart w:id="140" w:name="_Toc31371"/>
      <w:bookmarkStart w:id="141" w:name="_Toc20873"/>
      <w:r>
        <w:rPr>
          <w:rFonts w:hint="eastAsia"/>
        </w:rPr>
        <w:t>（四）预算绩效管理情况。</w:t>
      </w:r>
      <w:bookmarkEnd w:id="140"/>
      <w:bookmarkEnd w:id="141"/>
    </w:p>
    <w:p w14:paraId="498EEC85">
      <w:pPr>
        <w:pageBreakBefore w:val="0"/>
        <w:kinsoku/>
        <w:wordWrap/>
        <w:overflowPunct/>
        <w:topLinePunct w:val="0"/>
        <w:bidi w:val="0"/>
        <w:snapToGrid/>
        <w:spacing w:afterAutospacing="0"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eastAsia="zh-CN"/>
        </w:rPr>
        <w:t>光彩事业及考察调研培训经费等</w:t>
      </w:r>
      <w:r>
        <w:rPr>
          <w:rFonts w:hint="eastAsia" w:ascii="仿宋_GB2312" w:hAnsi="仿宋_GB2312" w:eastAsia="仿宋_GB2312" w:cs="仿宋_GB2312"/>
          <w:sz w:val="32"/>
          <w:szCs w:val="32"/>
        </w:rPr>
        <w:t>开展了预算事前绩效评估，预算执行过程中，选取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个项目开展了绩效目标完成情况自评。</w:t>
      </w:r>
    </w:p>
    <w:p w14:paraId="6F63F923">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eastAsia="仿宋_GB2312" w:hAnsiTheme="minorEastAsia" w:cstheme="minorEastAsia"/>
          <w:b w:val="0"/>
          <w:vanish w:val="0"/>
          <w:kern w:val="0"/>
          <w:sz w:val="32"/>
          <w:szCs w:val="32"/>
          <w:lang w:val="en-US" w:eastAsia="zh-CN" w:bidi="ar"/>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严格按照年初预算进行部门整体支出，预算资金覆盖我</w:t>
      </w:r>
      <w:r>
        <w:rPr>
          <w:rFonts w:hint="eastAsia" w:ascii="仿宋_GB2312" w:hAnsi="仿宋_GB2312" w:eastAsia="仿宋_GB2312" w:cs="仿宋_GB2312"/>
          <w:bCs/>
          <w:kern w:val="2"/>
          <w:sz w:val="32"/>
          <w:szCs w:val="32"/>
          <w:lang w:val="en-US" w:eastAsia="zh-CN" w:bidi="ar-SA"/>
        </w:rPr>
        <w:t>单位</w:t>
      </w:r>
      <w:r>
        <w:rPr>
          <w:rFonts w:hint="eastAsia" w:ascii="仿宋_GB2312" w:hAnsi="仿宋_GB2312" w:eastAsia="仿宋_GB2312" w:cs="仿宋_GB2312"/>
          <w:bCs/>
          <w:kern w:val="2"/>
          <w:sz w:val="32"/>
          <w:szCs w:val="32"/>
          <w:lang w:val="zh-CN" w:eastAsia="zh-CN" w:bidi="ar-SA"/>
        </w:rPr>
        <w:t>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eastAsia="仿宋_GB2312" w:hAnsiTheme="minorEastAsia" w:cstheme="minorEastAsia"/>
          <w:b w:val="0"/>
          <w:vanish w:val="0"/>
          <w:kern w:val="0"/>
          <w:sz w:val="32"/>
          <w:szCs w:val="32"/>
          <w:lang w:val="en-US" w:eastAsia="zh-CN" w:bidi="ar"/>
        </w:rPr>
        <w:t>同时，本部门对2023年部门整体开展绩效自评，《2023年红原县融媒体中心部门整体绩效评价报告》见附件（第四部分）。</w:t>
      </w:r>
    </w:p>
    <w:p w14:paraId="3D34EFA0">
      <w:pPr>
        <w:pStyle w:val="4"/>
        <w:pageBreakBefore w:val="0"/>
        <w:numPr>
          <w:ilvl w:val="0"/>
          <w:numId w:val="1"/>
        </w:numPr>
        <w:kinsoku/>
        <w:wordWrap/>
        <w:topLinePunct w:val="0"/>
        <w:bidi w:val="0"/>
        <w:spacing w:before="0" w:after="0" w:afterAutospacing="0" w:line="576" w:lineRule="exact"/>
        <w:ind w:firstLine="883" w:firstLineChars="200"/>
        <w:jc w:val="center"/>
        <w:rPr>
          <w:rFonts w:hint="eastAsia"/>
        </w:rPr>
      </w:pPr>
      <w:bookmarkStart w:id="142" w:name="_Toc16444"/>
      <w:bookmarkStart w:id="143" w:name="_Toc23703"/>
      <w:bookmarkStart w:id="144" w:name="_Toc21038"/>
      <w:r>
        <w:rPr>
          <w:rFonts w:hint="eastAsia"/>
        </w:rPr>
        <w:t>名词解释</w:t>
      </w:r>
      <w:bookmarkEnd w:id="142"/>
      <w:bookmarkEnd w:id="143"/>
      <w:bookmarkEnd w:id="144"/>
    </w:p>
    <w:p w14:paraId="7AC89B70">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outlineLvl w:val="1"/>
        <w:rPr>
          <w:rFonts w:hint="eastAsia" w:ascii="仿宋_GB2312" w:hAnsi="仿宋_GB2312" w:eastAsia="仿宋_GB2312" w:cs="仿宋_GB2312"/>
          <w:bCs/>
          <w:kern w:val="2"/>
          <w:sz w:val="32"/>
          <w:szCs w:val="32"/>
          <w:lang w:val="en-US" w:eastAsia="zh-CN" w:bidi="ar-SA"/>
        </w:rPr>
      </w:pPr>
      <w:bookmarkStart w:id="145" w:name="_Toc10403"/>
      <w:bookmarkStart w:id="146" w:name="_Toc11423"/>
      <w:r>
        <w:rPr>
          <w:rFonts w:hint="eastAsia" w:ascii="仿宋_GB2312" w:hAnsi="仿宋_GB2312" w:eastAsia="仿宋_GB2312" w:cs="仿宋_GB2312"/>
          <w:bCs/>
          <w:kern w:val="2"/>
          <w:sz w:val="32"/>
          <w:szCs w:val="32"/>
          <w:lang w:val="en-US" w:eastAsia="zh-CN" w:bidi="ar-SA"/>
        </w:rPr>
        <w:t>1.财政拨款收入：指单位从同级财政部门取得的财政预算资金。</w:t>
      </w:r>
      <w:bookmarkEnd w:id="145"/>
      <w:bookmarkEnd w:id="146"/>
    </w:p>
    <w:p w14:paraId="3D6B8636">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2.事业收入：指事业单位开展专业业务活动及辅助活动取得的收入。如…（二级预算单位事业收入情况）等。</w:t>
      </w:r>
    </w:p>
    <w:p w14:paraId="723AE5BA">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3.经营收入：指事业单位在专业业务活动及其辅助活动之外开展非独立核算经营活动取得的收入。如…（二级预算单位经营收入情况）等。</w:t>
      </w:r>
    </w:p>
    <w:p w14:paraId="60CF4834">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4.其他收入：指单位取得的除上述收入以外的各项收入。主要是…（收入类型）等。</w:t>
      </w:r>
    </w:p>
    <w:p w14:paraId="1FDB5251">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5.使用非财政拨款结余：指事业单位使用以前年度积累的非财政拨款结余弥补当年收支差额的金额。</w:t>
      </w:r>
    </w:p>
    <w:p w14:paraId="4B2D3445">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6.年初结转和结余：指以前年度尚未完成、结转到本年按有关规定继续使用的资金。</w:t>
      </w:r>
    </w:p>
    <w:p w14:paraId="2503FF35">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7.结余分配：指事业单位按照会计制度规定缴纳的所得税、提取的专用结余以及转入非财政拨款结余的金额等。</w:t>
      </w:r>
    </w:p>
    <w:p w14:paraId="3CFE927D">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8、年末结转和结余：指单位按有关规定结转到下年或以后年度继续使用的资金。</w:t>
      </w:r>
    </w:p>
    <w:p w14:paraId="6F98DE63">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en-US" w:eastAsia="zh-CN" w:bidi="ar-SA"/>
        </w:rPr>
      </w:pPr>
      <w:r>
        <w:rPr>
          <w:rFonts w:hint="default" w:ascii="仿宋_GB2312" w:hAnsi="仿宋_GB2312" w:eastAsia="仿宋_GB2312" w:cs="仿宋_GB2312"/>
          <w:bCs/>
          <w:kern w:val="2"/>
          <w:sz w:val="32"/>
          <w:szCs w:val="32"/>
          <w:lang w:val="zh-CN" w:eastAsia="zh-CN" w:bidi="ar-SA"/>
        </w:rPr>
        <w:t>9.一般公共服务</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：201类</w:t>
      </w:r>
      <w:r>
        <w:rPr>
          <w:rFonts w:hint="eastAsia" w:ascii="仿宋_GB2312" w:hAnsi="仿宋_GB2312" w:eastAsia="仿宋_GB2312" w:cs="仿宋_GB2312"/>
          <w:bCs/>
          <w:kern w:val="2"/>
          <w:sz w:val="32"/>
          <w:szCs w:val="32"/>
          <w:lang w:val="en-US" w:eastAsia="zh-CN" w:bidi="ar-SA"/>
        </w:rPr>
        <w:t>20132款组织</w:t>
      </w:r>
      <w:r>
        <w:rPr>
          <w:rFonts w:hint="default" w:ascii="仿宋_GB2312" w:hAnsi="仿宋_GB2312" w:eastAsia="仿宋_GB2312" w:cs="仿宋_GB2312"/>
          <w:bCs/>
          <w:kern w:val="2"/>
          <w:sz w:val="32"/>
          <w:szCs w:val="32"/>
          <w:lang w:val="zh-CN" w:eastAsia="zh-CN" w:bidi="ar-SA"/>
        </w:rPr>
        <w:t>事务，</w:t>
      </w:r>
      <w:r>
        <w:rPr>
          <w:rFonts w:hint="eastAsia" w:ascii="仿宋_GB2312" w:hAnsi="仿宋_GB2312" w:eastAsia="仿宋_GB2312" w:cs="仿宋_GB2312"/>
          <w:bCs/>
          <w:kern w:val="2"/>
          <w:sz w:val="32"/>
          <w:szCs w:val="32"/>
          <w:lang w:val="en-US" w:eastAsia="zh-CN" w:bidi="ar-SA"/>
        </w:rPr>
        <w:t>2013299项指其它组织事务支出</w:t>
      </w:r>
      <w:r>
        <w:rPr>
          <w:rFonts w:hint="eastAsia"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201类20133款宣传事务，2013310项指行政运行、2013350项指事业运行、2013399项指其他宣传事务支出。</w:t>
      </w:r>
    </w:p>
    <w:p w14:paraId="1D1D8A19">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en-US" w:eastAsia="zh-CN" w:bidi="ar-SA"/>
        </w:rPr>
      </w:pPr>
      <w:r>
        <w:rPr>
          <w:rFonts w:hint="default" w:ascii="仿宋_GB2312" w:hAnsi="仿宋_GB2312" w:eastAsia="仿宋_GB2312" w:cs="仿宋_GB2312"/>
          <w:bCs/>
          <w:kern w:val="2"/>
          <w:sz w:val="32"/>
          <w:szCs w:val="32"/>
          <w:lang w:val="zh-CN" w:eastAsia="zh-CN" w:bidi="ar-SA"/>
        </w:rPr>
        <w:t>10.</w:t>
      </w:r>
      <w:r>
        <w:rPr>
          <w:rFonts w:hint="eastAsia" w:ascii="仿宋_GB2312" w:hAnsi="仿宋_GB2312" w:eastAsia="仿宋_GB2312" w:cs="仿宋_GB2312"/>
          <w:bCs/>
          <w:kern w:val="2"/>
          <w:sz w:val="32"/>
          <w:szCs w:val="32"/>
          <w:lang w:val="en-US" w:eastAsia="zh-CN" w:bidi="ar-SA"/>
        </w:rPr>
        <w:t>文化旅游体育与传媒支出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w:t>
      </w:r>
      <w:r>
        <w:rPr>
          <w:rFonts w:hint="default" w:ascii="仿宋_GB2312" w:hAnsi="仿宋_GB2312" w:eastAsia="仿宋_GB2312" w:cs="仿宋_GB2312"/>
          <w:bCs/>
          <w:kern w:val="2"/>
          <w:sz w:val="32"/>
          <w:szCs w:val="32"/>
          <w:lang w:val="zh-CN" w:eastAsia="zh-CN" w:bidi="ar-SA"/>
        </w:rPr>
        <w:t>类20</w:t>
      </w:r>
      <w:r>
        <w:rPr>
          <w:rFonts w:hint="eastAsia" w:ascii="仿宋_GB2312" w:hAnsi="仿宋_GB2312" w:eastAsia="仿宋_GB2312" w:cs="仿宋_GB2312"/>
          <w:bCs/>
          <w:kern w:val="2"/>
          <w:sz w:val="32"/>
          <w:szCs w:val="32"/>
          <w:lang w:val="en-US" w:eastAsia="zh-CN" w:bidi="ar-SA"/>
        </w:rPr>
        <w:t>708</w:t>
      </w:r>
      <w:r>
        <w:rPr>
          <w:rFonts w:hint="default" w:ascii="仿宋_GB2312" w:hAnsi="仿宋_GB2312" w:eastAsia="仿宋_GB2312" w:cs="仿宋_GB2312"/>
          <w:bCs/>
          <w:kern w:val="2"/>
          <w:sz w:val="32"/>
          <w:szCs w:val="32"/>
          <w:lang w:val="zh-CN" w:eastAsia="zh-CN" w:bidi="ar-SA"/>
        </w:rPr>
        <w:t>款20</w:t>
      </w:r>
      <w:r>
        <w:rPr>
          <w:rFonts w:hint="eastAsia" w:ascii="仿宋_GB2312" w:hAnsi="仿宋_GB2312" w:eastAsia="仿宋_GB2312" w:cs="仿宋_GB2312"/>
          <w:bCs/>
          <w:kern w:val="2"/>
          <w:sz w:val="32"/>
          <w:szCs w:val="32"/>
          <w:lang w:val="en-US" w:eastAsia="zh-CN" w:bidi="ar-SA"/>
        </w:rPr>
        <w:t>70802项指一般行政管理事务支出</w:t>
      </w:r>
      <w:r>
        <w:rPr>
          <w:rFonts w:hint="default" w:ascii="仿宋_GB2312" w:hAnsi="仿宋_GB2312" w:eastAsia="仿宋_GB2312" w:cs="仿宋_GB2312"/>
          <w:bCs/>
          <w:kern w:val="2"/>
          <w:sz w:val="32"/>
          <w:szCs w:val="32"/>
          <w:lang w:val="zh-CN" w:eastAsia="zh-CN" w:bidi="ar-SA"/>
        </w:rPr>
        <w:t>，20</w:t>
      </w:r>
      <w:r>
        <w:rPr>
          <w:rFonts w:hint="eastAsia" w:ascii="仿宋_GB2312" w:hAnsi="仿宋_GB2312" w:eastAsia="仿宋_GB2312" w:cs="仿宋_GB2312"/>
          <w:bCs/>
          <w:kern w:val="2"/>
          <w:sz w:val="32"/>
          <w:szCs w:val="32"/>
          <w:lang w:val="en-US" w:eastAsia="zh-CN" w:bidi="ar-SA"/>
        </w:rPr>
        <w:t>70899项指其他广播电视支出。</w:t>
      </w:r>
    </w:p>
    <w:p w14:paraId="5814B404">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11.</w:t>
      </w:r>
      <w:r>
        <w:rPr>
          <w:rFonts w:hint="eastAsia" w:ascii="仿宋_GB2312" w:hAnsi="仿宋_GB2312" w:eastAsia="仿宋_GB2312" w:cs="仿宋_GB2312"/>
          <w:bCs/>
          <w:kern w:val="2"/>
          <w:sz w:val="32"/>
          <w:szCs w:val="32"/>
          <w:lang w:val="en-US" w:eastAsia="zh-CN" w:bidi="ar-SA"/>
        </w:rPr>
        <w:t>社会保障和就业支出</w:t>
      </w:r>
      <w:r>
        <w:rPr>
          <w:rFonts w:hint="default" w:ascii="仿宋_GB2312" w:hAnsi="仿宋_GB2312" w:eastAsia="仿宋_GB2312" w:cs="仿宋_GB2312"/>
          <w:bCs/>
          <w:kern w:val="2"/>
          <w:sz w:val="32"/>
          <w:szCs w:val="32"/>
          <w:lang w:val="zh-CN" w:eastAsia="zh-CN" w:bidi="ar-SA"/>
        </w:rPr>
        <w:t>：2</w:t>
      </w:r>
      <w:r>
        <w:rPr>
          <w:rFonts w:hint="eastAsia" w:ascii="仿宋_GB2312" w:hAnsi="仿宋_GB2312" w:eastAsia="仿宋_GB2312" w:cs="仿宋_GB2312"/>
          <w:bCs/>
          <w:kern w:val="2"/>
          <w:sz w:val="32"/>
          <w:szCs w:val="32"/>
          <w:lang w:val="en-US" w:eastAsia="zh-CN" w:bidi="ar-SA"/>
        </w:rPr>
        <w:t>08</w:t>
      </w:r>
      <w:r>
        <w:rPr>
          <w:rFonts w:hint="default" w:ascii="仿宋_GB2312" w:hAnsi="仿宋_GB2312" w:eastAsia="仿宋_GB2312" w:cs="仿宋_GB2312"/>
          <w:bCs/>
          <w:kern w:val="2"/>
          <w:sz w:val="32"/>
          <w:szCs w:val="32"/>
          <w:lang w:val="zh-CN" w:eastAsia="zh-CN" w:bidi="ar-SA"/>
        </w:rPr>
        <w:t>类</w:t>
      </w:r>
      <w:r>
        <w:rPr>
          <w:rFonts w:hint="eastAsia" w:ascii="仿宋_GB2312" w:hAnsi="仿宋_GB2312" w:eastAsia="仿宋_GB2312" w:cs="仿宋_GB2312"/>
          <w:bCs/>
          <w:kern w:val="2"/>
          <w:sz w:val="32"/>
          <w:szCs w:val="32"/>
          <w:lang w:val="en-US" w:eastAsia="zh-CN" w:bidi="ar-SA"/>
        </w:rPr>
        <w:t>20805</w:t>
      </w:r>
      <w:r>
        <w:rPr>
          <w:rFonts w:hint="default" w:ascii="仿宋_GB2312" w:hAnsi="仿宋_GB2312" w:eastAsia="仿宋_GB2312" w:cs="仿宋_GB2312"/>
          <w:bCs/>
          <w:kern w:val="2"/>
          <w:sz w:val="32"/>
          <w:szCs w:val="32"/>
          <w:lang w:val="zh-CN" w:eastAsia="zh-CN" w:bidi="ar-SA"/>
        </w:rPr>
        <w:t>款</w:t>
      </w:r>
      <w:r>
        <w:rPr>
          <w:rFonts w:hint="eastAsia" w:ascii="仿宋_GB2312" w:hAnsi="仿宋_GB2312" w:eastAsia="仿宋_GB2312" w:cs="仿宋_GB2312"/>
          <w:bCs/>
          <w:kern w:val="2"/>
          <w:sz w:val="32"/>
          <w:szCs w:val="32"/>
          <w:lang w:val="en-US" w:eastAsia="zh-CN" w:bidi="ar-SA"/>
        </w:rPr>
        <w:t>2080505项指机关事业单位基本养老保险缴费支出</w:t>
      </w:r>
      <w:r>
        <w:rPr>
          <w:rFonts w:hint="default" w:ascii="仿宋_GB2312" w:hAnsi="仿宋_GB2312" w:eastAsia="仿宋_GB2312" w:cs="仿宋_GB2312"/>
          <w:bCs/>
          <w:kern w:val="2"/>
          <w:sz w:val="32"/>
          <w:szCs w:val="32"/>
          <w:lang w:val="zh-CN" w:eastAsia="zh-CN" w:bidi="ar-SA"/>
        </w:rPr>
        <w:t>、</w:t>
      </w:r>
      <w:r>
        <w:rPr>
          <w:rFonts w:hint="eastAsia" w:ascii="仿宋_GB2312" w:hAnsi="仿宋_GB2312" w:eastAsia="仿宋_GB2312" w:cs="仿宋_GB2312"/>
          <w:bCs/>
          <w:kern w:val="2"/>
          <w:sz w:val="32"/>
          <w:szCs w:val="32"/>
          <w:lang w:val="en-US" w:eastAsia="zh-CN" w:bidi="ar-SA"/>
        </w:rPr>
        <w:t>2080506</w:t>
      </w:r>
      <w:r>
        <w:rPr>
          <w:rFonts w:hint="default" w:ascii="仿宋_GB2312" w:hAnsi="仿宋_GB2312" w:eastAsia="仿宋_GB2312" w:cs="仿宋_GB2312"/>
          <w:bCs/>
          <w:kern w:val="2"/>
          <w:sz w:val="32"/>
          <w:szCs w:val="32"/>
          <w:lang w:val="zh-CN" w:eastAsia="zh-CN" w:bidi="ar-SA"/>
        </w:rPr>
        <w:t>项指</w:t>
      </w:r>
      <w:r>
        <w:rPr>
          <w:rFonts w:hint="eastAsia" w:ascii="仿宋_GB2312" w:hAnsi="仿宋_GB2312" w:eastAsia="仿宋_GB2312" w:cs="仿宋_GB2312"/>
          <w:bCs/>
          <w:kern w:val="2"/>
          <w:sz w:val="32"/>
          <w:szCs w:val="32"/>
          <w:lang w:val="en-US" w:eastAsia="zh-CN" w:bidi="ar-SA"/>
        </w:rPr>
        <w:t>机关</w:t>
      </w:r>
      <w:r>
        <w:rPr>
          <w:rFonts w:hint="default" w:ascii="仿宋_GB2312" w:hAnsi="仿宋_GB2312" w:eastAsia="仿宋_GB2312" w:cs="仿宋_GB2312"/>
          <w:bCs/>
          <w:kern w:val="2"/>
          <w:sz w:val="32"/>
          <w:szCs w:val="32"/>
          <w:lang w:val="zh-CN" w:eastAsia="zh-CN" w:bidi="ar-SA"/>
        </w:rPr>
        <w:t>事业单位</w:t>
      </w:r>
      <w:r>
        <w:rPr>
          <w:rFonts w:hint="eastAsia" w:ascii="仿宋_GB2312" w:hAnsi="仿宋_GB2312" w:eastAsia="仿宋_GB2312" w:cs="仿宋_GB2312"/>
          <w:bCs/>
          <w:kern w:val="2"/>
          <w:sz w:val="32"/>
          <w:szCs w:val="32"/>
          <w:lang w:val="en-US" w:eastAsia="zh-CN" w:bidi="ar-SA"/>
        </w:rPr>
        <w:t>职业年金缴费支出</w:t>
      </w:r>
      <w:r>
        <w:rPr>
          <w:rFonts w:hint="default" w:ascii="仿宋_GB2312" w:hAnsi="仿宋_GB2312" w:eastAsia="仿宋_GB2312" w:cs="仿宋_GB2312"/>
          <w:bCs/>
          <w:kern w:val="2"/>
          <w:sz w:val="32"/>
          <w:szCs w:val="32"/>
          <w:lang w:val="zh-CN" w:eastAsia="zh-CN" w:bidi="ar-SA"/>
        </w:rPr>
        <w:t>。</w:t>
      </w:r>
    </w:p>
    <w:p w14:paraId="323CF2C4">
      <w:pPr>
        <w:pStyle w:val="2"/>
        <w:pageBreakBefore w:val="0"/>
        <w:kinsoku/>
        <w:wordWrap/>
        <w:topLinePunct w:val="0"/>
        <w:bidi w:val="0"/>
        <w:spacing w:after="0" w:afterAutospacing="0" w:line="576" w:lineRule="exact"/>
        <w:ind w:firstLine="640" w:firstLineChars="200"/>
        <w:rPr>
          <w:rFonts w:hint="default"/>
          <w:lang w:val="en-US" w:eastAsia="zh-CN"/>
        </w:rPr>
      </w:pPr>
      <w:r>
        <w:rPr>
          <w:rFonts w:hint="eastAsia" w:ascii="仿宋_GB2312" w:hAnsi="仿宋_GB2312" w:eastAsia="仿宋_GB2312" w:cs="仿宋_GB2312"/>
          <w:bCs/>
          <w:kern w:val="2"/>
          <w:sz w:val="32"/>
          <w:szCs w:val="32"/>
          <w:lang w:val="en-US" w:eastAsia="zh-CN" w:bidi="ar-SA"/>
        </w:rPr>
        <w:t xml:space="preserve">    12.卫生健康支出：210类21011款2101101项指行政单位医疗、2101102项指事业单位医疗、2101103项指公务员医疗补助、2101199项指其他行政事业单位医疗支出。</w:t>
      </w:r>
    </w:p>
    <w:p w14:paraId="514FEFE8">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w:t>
      </w:r>
      <w:r>
        <w:rPr>
          <w:rFonts w:hint="eastAsia" w:ascii="仿宋_GB2312" w:hAnsi="仿宋_GB2312" w:eastAsia="仿宋_GB2312" w:cs="仿宋_GB2312"/>
          <w:bCs/>
          <w:kern w:val="2"/>
          <w:sz w:val="32"/>
          <w:szCs w:val="32"/>
          <w:lang w:val="en-US" w:eastAsia="zh-CN" w:bidi="ar-SA"/>
        </w:rPr>
        <w:t>3</w:t>
      </w:r>
      <w:r>
        <w:rPr>
          <w:rFonts w:hint="default" w:ascii="仿宋_GB2312" w:hAnsi="仿宋_GB2312" w:eastAsia="仿宋_GB2312" w:cs="仿宋_GB2312"/>
          <w:bCs/>
          <w:kern w:val="2"/>
          <w:sz w:val="32"/>
          <w:szCs w:val="32"/>
          <w:lang w:val="zh-CN" w:eastAsia="zh-CN" w:bidi="ar-SA"/>
        </w:rPr>
        <w:t>.住房保障</w:t>
      </w:r>
      <w:r>
        <w:rPr>
          <w:rFonts w:hint="eastAsia" w:ascii="仿宋_GB2312" w:hAnsi="仿宋_GB2312" w:eastAsia="仿宋_GB2312" w:cs="仿宋_GB2312"/>
          <w:bCs/>
          <w:kern w:val="2"/>
          <w:sz w:val="32"/>
          <w:szCs w:val="32"/>
          <w:lang w:val="en-US" w:eastAsia="zh-CN" w:bidi="ar-SA"/>
        </w:rPr>
        <w:t>支出</w:t>
      </w:r>
      <w:r>
        <w:rPr>
          <w:rFonts w:hint="default" w:ascii="仿宋_GB2312" w:hAnsi="仿宋_GB2312" w:eastAsia="仿宋_GB2312" w:cs="仿宋_GB2312"/>
          <w:bCs/>
          <w:kern w:val="2"/>
          <w:sz w:val="32"/>
          <w:szCs w:val="32"/>
          <w:lang w:val="zh-CN" w:eastAsia="zh-CN" w:bidi="ar-SA"/>
        </w:rPr>
        <w:t>：221类22102款2210201项指住房公积金。</w:t>
      </w:r>
    </w:p>
    <w:p w14:paraId="1B601CF4">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14.基本支出：指为保障机构正常运转、完成日常工作任务而发生的人员支出和公用支出。</w:t>
      </w:r>
    </w:p>
    <w:p w14:paraId="5E4B2CB8">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15.项目支出：指在基本支出之外为完成特定行政任务和事业发展目标所发生的支出。</w:t>
      </w:r>
    </w:p>
    <w:p w14:paraId="54281A82">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16.经营支出：指事业单位在专业业务活动及其辅助活动之外开展非独立核算经营活动发生的支出。</w:t>
      </w:r>
    </w:p>
    <w:p w14:paraId="5755ABDD">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17.</w:t>
      </w:r>
      <w:r>
        <w:rPr>
          <w:rFonts w:hint="eastAsia" w:ascii="仿宋_GB2312" w:hAnsi="仿宋_GB2312" w:eastAsia="仿宋_GB2312" w:cs="仿宋_GB2312"/>
          <w:bCs/>
          <w:kern w:val="2"/>
          <w:sz w:val="32"/>
          <w:szCs w:val="32"/>
          <w:lang w:val="zh-CN" w:eastAsia="zh-CN" w:bidi="ar-SA"/>
        </w:rPr>
        <w:t>“</w:t>
      </w:r>
      <w:r>
        <w:rPr>
          <w:rFonts w:hint="default" w:ascii="仿宋_GB2312" w:hAnsi="仿宋_GB2312" w:eastAsia="仿宋_GB2312" w:cs="仿宋_GB2312"/>
          <w:bCs/>
          <w:kern w:val="2"/>
          <w:sz w:val="32"/>
          <w:szCs w:val="32"/>
          <w:lang w:val="zh-CN" w:eastAsia="zh-CN" w:bidi="ar-SA"/>
        </w:rPr>
        <w:t>三公</w:t>
      </w:r>
      <w:r>
        <w:rPr>
          <w:rFonts w:hint="eastAsia" w:ascii="仿宋_GB2312" w:hAnsi="仿宋_GB2312" w:eastAsia="仿宋_GB2312" w:cs="仿宋_GB2312"/>
          <w:bCs/>
          <w:kern w:val="2"/>
          <w:sz w:val="32"/>
          <w:szCs w:val="32"/>
          <w:lang w:val="zh-CN" w:eastAsia="zh-CN" w:bidi="ar-SA"/>
        </w:rPr>
        <w:t>”</w:t>
      </w:r>
      <w:r>
        <w:rPr>
          <w:rFonts w:hint="default" w:ascii="仿宋_GB2312" w:hAnsi="仿宋_GB2312" w:eastAsia="仿宋_GB2312" w:cs="仿宋_GB2312"/>
          <w:bCs/>
          <w:kern w:val="2"/>
          <w:sz w:val="32"/>
          <w:szCs w:val="32"/>
          <w:lang w:val="zh-CN"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883B7C2">
      <w:pPr>
        <w:pStyle w:val="13"/>
        <w:keepNext w:val="0"/>
        <w:keepLines w:val="0"/>
        <w:pageBreakBefore w:val="0"/>
        <w:widowControl/>
        <w:suppressLineNumbers w:val="0"/>
        <w:kinsoku/>
        <w:wordWrap/>
        <w:topLinePunct w:val="0"/>
        <w:bidi w:val="0"/>
        <w:spacing w:before="0" w:beforeAutospacing="0" w:after="0" w:afterAutospacing="0" w:line="576" w:lineRule="exact"/>
        <w:ind w:left="0" w:firstLine="640" w:firstLineChars="200"/>
        <w:jc w:val="left"/>
        <w:rPr>
          <w:rFonts w:hint="default" w:ascii="仿宋_GB2312" w:hAnsi="仿宋_GB2312" w:eastAsia="仿宋_GB2312" w:cs="仿宋_GB2312"/>
          <w:bCs/>
          <w:kern w:val="2"/>
          <w:sz w:val="32"/>
          <w:szCs w:val="32"/>
          <w:lang w:val="zh-CN" w:eastAsia="zh-CN" w:bidi="ar-SA"/>
        </w:rPr>
      </w:pPr>
      <w:r>
        <w:rPr>
          <w:rFonts w:hint="default" w:ascii="仿宋_GB2312" w:hAnsi="仿宋_GB2312" w:eastAsia="仿宋_GB2312" w:cs="仿宋_GB2312"/>
          <w:bCs/>
          <w:kern w:val="2"/>
          <w:sz w:val="32"/>
          <w:szCs w:val="32"/>
          <w:lang w:val="zh-CN" w:eastAsia="zh-CN" w:bidi="ar-SA"/>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55922F6">
      <w:pPr>
        <w:pStyle w:val="4"/>
        <w:pageBreakBefore w:val="0"/>
        <w:numPr>
          <w:ilvl w:val="0"/>
          <w:numId w:val="1"/>
        </w:numPr>
        <w:kinsoku/>
        <w:wordWrap/>
        <w:topLinePunct w:val="0"/>
        <w:bidi w:val="0"/>
        <w:spacing w:before="0" w:after="0" w:afterAutospacing="0" w:line="576" w:lineRule="exact"/>
        <w:ind w:firstLine="883" w:firstLineChars="200"/>
        <w:jc w:val="center"/>
        <w:rPr>
          <w:rFonts w:hint="eastAsia"/>
        </w:rPr>
      </w:pPr>
      <w:r>
        <w:rPr>
          <w:rFonts w:hint="eastAsia"/>
        </w:rPr>
        <w:t xml:space="preserve"> </w:t>
      </w:r>
      <w:bookmarkStart w:id="147" w:name="_Toc7527"/>
      <w:bookmarkStart w:id="148" w:name="_Toc10371"/>
      <w:bookmarkStart w:id="149" w:name="_Toc19580"/>
      <w:r>
        <w:rPr>
          <w:rFonts w:hint="eastAsia"/>
        </w:rPr>
        <w:t>附件</w:t>
      </w:r>
      <w:bookmarkEnd w:id="147"/>
      <w:bookmarkEnd w:id="148"/>
      <w:bookmarkEnd w:id="149"/>
    </w:p>
    <w:p w14:paraId="0A8267D4">
      <w:pPr>
        <w:pStyle w:val="5"/>
        <w:pageBreakBefore w:val="0"/>
        <w:kinsoku/>
        <w:wordWrap/>
        <w:topLinePunct w:val="0"/>
        <w:bidi w:val="0"/>
        <w:spacing w:before="0" w:after="0" w:afterAutospacing="0" w:line="576" w:lineRule="exact"/>
        <w:ind w:firstLine="643" w:firstLineChars="200"/>
        <w:rPr>
          <w:rFonts w:hint="default"/>
        </w:rPr>
      </w:pPr>
      <w:bookmarkStart w:id="150" w:name="_Toc24159"/>
      <w:bookmarkStart w:id="151" w:name="_Toc16028"/>
      <w:r>
        <w:rPr>
          <w:rFonts w:hint="default"/>
        </w:rPr>
        <w:t>附件1</w:t>
      </w:r>
      <w:bookmarkEnd w:id="150"/>
      <w:bookmarkEnd w:id="151"/>
    </w:p>
    <w:p w14:paraId="193D99DD">
      <w:pPr>
        <w:pStyle w:val="5"/>
        <w:pageBreakBefore w:val="0"/>
        <w:widowControl w:val="0"/>
        <w:kinsoku/>
        <w:wordWrap/>
        <w:overflowPunct/>
        <w:topLinePunct w:val="0"/>
        <w:autoSpaceDE/>
        <w:autoSpaceDN/>
        <w:bidi w:val="0"/>
        <w:spacing w:before="0" w:after="0" w:afterAutospacing="0" w:line="576" w:lineRule="exact"/>
        <w:ind w:firstLine="643" w:firstLineChars="200"/>
        <w:jc w:val="center"/>
        <w:textAlignment w:val="auto"/>
        <w:rPr>
          <w:rFonts w:hint="default" w:ascii="方正小标宋简体" w:hAnsi="方正小标宋简体" w:eastAsia="方正小标宋简体" w:cs="方正小标宋简体"/>
          <w:kern w:val="2"/>
          <w:szCs w:val="44"/>
          <w:lang w:bidi="ar"/>
        </w:rPr>
      </w:pPr>
      <w:bookmarkStart w:id="152" w:name="_Toc14386"/>
      <w:r>
        <w:rPr>
          <w:rFonts w:hint="eastAsia"/>
          <w:lang w:val="en-US" w:eastAsia="zh-CN"/>
        </w:rPr>
        <w:t>红原县融媒体中心2023年部门整体</w:t>
      </w:r>
      <w:r>
        <w:rPr>
          <w:rFonts w:hint="default"/>
          <w:lang w:val="en-US" w:eastAsia="zh-CN"/>
        </w:rPr>
        <w:t>绩效</w:t>
      </w:r>
      <w:r>
        <w:rPr>
          <w:rFonts w:hint="eastAsia"/>
          <w:lang w:val="en-US" w:eastAsia="zh-CN"/>
        </w:rPr>
        <w:t>评价</w:t>
      </w:r>
      <w:r>
        <w:rPr>
          <w:rFonts w:hint="default"/>
          <w:lang w:val="en-US" w:eastAsia="zh-CN"/>
        </w:rPr>
        <w:t>报告</w:t>
      </w:r>
      <w:bookmarkEnd w:id="152"/>
    </w:p>
    <w:p w14:paraId="74A65E08">
      <w:pPr>
        <w:pStyle w:val="6"/>
        <w:pageBreakBefore w:val="0"/>
        <w:widowControl w:val="0"/>
        <w:kinsoku/>
        <w:wordWrap/>
        <w:overflowPunct/>
        <w:topLinePunct w:val="0"/>
        <w:autoSpaceDE/>
        <w:autoSpaceDN/>
        <w:bidi w:val="0"/>
        <w:spacing w:before="0" w:beforeLines="0" w:after="0" w:afterLines="0" w:afterAutospacing="0" w:line="576" w:lineRule="exact"/>
        <w:ind w:firstLine="643" w:firstLineChars="200"/>
        <w:textAlignment w:val="auto"/>
        <w:outlineLvl w:val="1"/>
        <w:rPr>
          <w:rFonts w:hint="default"/>
        </w:rPr>
      </w:pPr>
      <w:bookmarkStart w:id="153" w:name="_Toc19514"/>
      <w:r>
        <w:rPr>
          <w:rFonts w:hint="eastAsia"/>
          <w:lang w:val="zh-CN"/>
        </w:rPr>
        <w:t>一、</w:t>
      </w:r>
      <w:r>
        <w:rPr>
          <w:rFonts w:hint="default"/>
          <w:lang w:val="zh-CN"/>
        </w:rPr>
        <w:t>部门（单位）基本情况</w:t>
      </w:r>
      <w:bookmarkEnd w:id="153"/>
    </w:p>
    <w:p w14:paraId="00FC50CD">
      <w:pPr>
        <w:pStyle w:val="7"/>
        <w:pageBreakBefore w:val="0"/>
        <w:widowControl w:val="0"/>
        <w:kinsoku/>
        <w:wordWrap/>
        <w:overflowPunct/>
        <w:topLinePunct w:val="0"/>
        <w:autoSpaceDE/>
        <w:autoSpaceDN/>
        <w:bidi w:val="0"/>
        <w:spacing w:before="0" w:beforeLines="0" w:after="0" w:afterLines="0" w:afterAutospacing="0" w:line="576" w:lineRule="exact"/>
        <w:ind w:firstLine="562" w:firstLineChars="200"/>
        <w:textAlignment w:val="auto"/>
        <w:rPr>
          <w:rFonts w:hint="eastAsia"/>
          <w:lang w:val="zh-CN"/>
        </w:rPr>
      </w:pPr>
      <w:r>
        <w:rPr>
          <w:rFonts w:hint="eastAsia"/>
          <w:lang w:val="zh-CN"/>
        </w:rPr>
        <w:t>（一）机构组成。</w:t>
      </w:r>
    </w:p>
    <w:p w14:paraId="5CAC4961">
      <w:pPr>
        <w:pStyle w:val="2"/>
        <w:keepNext w:val="0"/>
        <w:keepLines w:val="0"/>
        <w:pageBreakBefore w:val="0"/>
        <w:widowControl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Cs/>
          <w:sz w:val="32"/>
          <w:szCs w:val="32"/>
          <w:lang w:eastAsia="zh-CN" w:bidi="ar-SA"/>
        </w:rPr>
        <w:t>红原县</w:t>
      </w:r>
      <w:r>
        <w:rPr>
          <w:rFonts w:hint="eastAsia" w:ascii="仿宋_GB2312" w:hAnsi="仿宋_GB2312" w:eastAsia="仿宋_GB2312" w:cs="仿宋_GB2312"/>
          <w:bCs/>
          <w:sz w:val="32"/>
          <w:szCs w:val="32"/>
          <w:lang w:val="en-US" w:eastAsia="zh-CN" w:bidi="ar-SA"/>
        </w:rPr>
        <w:t>融媒体中心</w:t>
      </w:r>
      <w:r>
        <w:rPr>
          <w:rFonts w:hint="eastAsia" w:ascii="仿宋_GB2312" w:hAnsi="仿宋_GB2312" w:eastAsia="仿宋_GB2312" w:cs="仿宋_GB2312"/>
          <w:bCs/>
          <w:sz w:val="32"/>
          <w:szCs w:val="32"/>
          <w:lang w:bidi="ar-SA"/>
        </w:rPr>
        <w:t>为独立核算全额拨款</w:t>
      </w:r>
      <w:r>
        <w:rPr>
          <w:rFonts w:hint="eastAsia" w:ascii="仿宋_GB2312" w:hAnsi="仿宋_GB2312" w:eastAsia="仿宋_GB2312" w:cs="仿宋_GB2312"/>
          <w:bCs/>
          <w:sz w:val="32"/>
          <w:szCs w:val="32"/>
          <w:lang w:val="en-US" w:eastAsia="zh-CN" w:bidi="ar-SA"/>
        </w:rPr>
        <w:t>事业</w:t>
      </w:r>
      <w:r>
        <w:rPr>
          <w:rFonts w:hint="eastAsia" w:ascii="仿宋_GB2312" w:hAnsi="仿宋_GB2312" w:eastAsia="仿宋_GB2312" w:cs="仿宋_GB2312"/>
          <w:bCs/>
          <w:sz w:val="32"/>
          <w:szCs w:val="32"/>
          <w:lang w:bidi="ar-SA"/>
        </w:rPr>
        <w:t>单位，</w:t>
      </w:r>
      <w:r>
        <w:rPr>
          <w:rFonts w:hint="eastAsia" w:ascii="仿宋_GB2312" w:hAnsi="仿宋_GB2312" w:eastAsia="仿宋_GB2312" w:cs="仿宋_GB2312"/>
          <w:sz w:val="32"/>
          <w:szCs w:val="32"/>
          <w:lang w:eastAsia="zh-CN"/>
        </w:rPr>
        <w:t>下设</w:t>
      </w:r>
      <w:r>
        <w:rPr>
          <w:rFonts w:hint="eastAsia" w:ascii="仿宋_GB2312" w:hAnsi="仿宋_GB2312" w:eastAsia="仿宋_GB2312" w:cs="仿宋_GB2312"/>
          <w:sz w:val="32"/>
          <w:szCs w:val="32"/>
          <w:lang w:val="en-US" w:eastAsia="zh-CN"/>
        </w:rPr>
        <w:t>9个</w:t>
      </w:r>
      <w:r>
        <w:rPr>
          <w:rFonts w:hint="eastAsia" w:ascii="仿宋_GB2312" w:hAnsi="仿宋_GB2312" w:eastAsia="仿宋_GB2312" w:cs="仿宋_GB2312"/>
          <w:sz w:val="32"/>
          <w:szCs w:val="32"/>
          <w:lang w:eastAsia="zh-CN"/>
        </w:rPr>
        <w:t>股室：</w:t>
      </w:r>
      <w:r>
        <w:rPr>
          <w:rFonts w:hint="eastAsia" w:ascii="仿宋_GB2312" w:hAnsi="仿宋_GB2312" w:eastAsia="仿宋_GB2312" w:cs="仿宋_GB2312"/>
          <w:sz w:val="32"/>
          <w:szCs w:val="32"/>
          <w:lang w:val="en-US" w:eastAsia="zh-CN"/>
        </w:rPr>
        <w:t>办公室、总编室、</w:t>
      </w:r>
      <w:r>
        <w:rPr>
          <w:rFonts w:hint="eastAsia" w:ascii="仿宋_GB2312" w:hAnsi="仿宋_GB2312" w:eastAsia="仿宋_GB2312" w:cs="仿宋_GB2312"/>
          <w:sz w:val="32"/>
          <w:szCs w:val="32"/>
        </w:rPr>
        <w:t>新闻采集中心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信息编辑中心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通联股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新媒体股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编译股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广播电视股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技术保障股</w:t>
      </w:r>
      <w:r>
        <w:rPr>
          <w:rFonts w:hint="eastAsia" w:ascii="仿宋_GB2312" w:hAnsi="仿宋_GB2312" w:eastAsia="仿宋_GB2312" w:cs="仿宋_GB2312"/>
          <w:sz w:val="32"/>
          <w:szCs w:val="32"/>
          <w:lang w:eastAsia="zh-CN"/>
        </w:rPr>
        <w:t>。</w:t>
      </w:r>
    </w:p>
    <w:p w14:paraId="64488324">
      <w:pPr>
        <w:pStyle w:val="2"/>
        <w:keepNext w:val="0"/>
        <w:keepLines w:val="0"/>
        <w:pageBreakBefore w:val="0"/>
        <w:widowControl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Fonts w:hint="eastAsia" w:ascii="Arial" w:hAnsi="Arial" w:eastAsia="黑体" w:cstheme="minorBidi"/>
          <w:b/>
          <w:kern w:val="2"/>
          <w:sz w:val="28"/>
          <w:szCs w:val="24"/>
          <w:lang w:val="zh-CN" w:eastAsia="zh-CN" w:bidi="ar-SA"/>
        </w:rPr>
      </w:pPr>
      <w:r>
        <w:rPr>
          <w:rFonts w:hint="eastAsia" w:ascii="Arial" w:hAnsi="Arial" w:eastAsia="黑体" w:cstheme="minorBidi"/>
          <w:b/>
          <w:kern w:val="2"/>
          <w:sz w:val="28"/>
          <w:szCs w:val="24"/>
          <w:lang w:val="zh-CN" w:eastAsia="zh-CN" w:bidi="ar-SA"/>
        </w:rPr>
        <w:t>（二）机构职能。</w:t>
      </w:r>
    </w:p>
    <w:p w14:paraId="6520AC3D">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w:t>
      </w:r>
      <w:r>
        <w:rPr>
          <w:rFonts w:hint="eastAsia" w:ascii="仿宋_GB2312" w:hAnsi="仿宋_GB2312" w:eastAsia="仿宋_GB2312" w:cs="仿宋_GB2312"/>
          <w:color w:val="000000"/>
          <w:sz w:val="32"/>
          <w:szCs w:val="32"/>
        </w:rPr>
        <w:t>负责贯彻落实党的新闻宣传方针政策，宣传党的理论、路线和各项方针政策，把握新闻宣传基调，坚持正面宣传，为全县经济社会发展提供舆论支持。</w:t>
      </w:r>
    </w:p>
    <w:p w14:paraId="280901B9">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（2）</w:t>
      </w:r>
      <w:r>
        <w:rPr>
          <w:rFonts w:hint="eastAsia" w:ascii="仿宋_GB2312" w:hAnsi="仿宋_GB2312" w:eastAsia="仿宋_GB2312" w:cs="仿宋_GB2312"/>
          <w:color w:val="000000"/>
          <w:sz w:val="32"/>
          <w:szCs w:val="32"/>
        </w:rPr>
        <w:t>负责围绕县委、县政府中心工作，积极开展对内对外新闻宣传报道，落实全县新闻报道计划，完成宣传任务。</w:t>
      </w:r>
    </w:p>
    <w:p w14:paraId="052715E2">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（3）</w:t>
      </w:r>
      <w:r>
        <w:rPr>
          <w:rFonts w:hint="eastAsia" w:ascii="仿宋_GB2312" w:hAnsi="仿宋_GB2312" w:eastAsia="仿宋_GB2312" w:cs="仿宋_GB2312"/>
          <w:color w:val="000000"/>
          <w:sz w:val="32"/>
          <w:szCs w:val="32"/>
        </w:rPr>
        <w:t>负责全县电视、网站以及“两微一端”等新媒体新闻宣传报道的策划、采集、编辑、审核、播出工作。</w:t>
      </w:r>
    </w:p>
    <w:p w14:paraId="6C8146D9">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（4）</w:t>
      </w:r>
      <w:r>
        <w:rPr>
          <w:rFonts w:hint="eastAsia" w:ascii="仿宋_GB2312" w:hAnsi="仿宋_GB2312" w:eastAsia="仿宋_GB2312" w:cs="仿宋_GB2312"/>
          <w:color w:val="000000"/>
          <w:sz w:val="32"/>
          <w:szCs w:val="32"/>
        </w:rPr>
        <w:t>负责全县各单位（网站、网页、上传稿件等）对外宣传新闻稿件审核工作。</w:t>
      </w:r>
    </w:p>
    <w:p w14:paraId="2544088A">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（5）</w:t>
      </w:r>
      <w:r>
        <w:rPr>
          <w:rFonts w:hint="eastAsia" w:ascii="仿宋_GB2312" w:hAnsi="仿宋_GB2312" w:eastAsia="仿宋_GB2312" w:cs="仿宋_GB2312"/>
          <w:color w:val="000000"/>
          <w:sz w:val="32"/>
          <w:szCs w:val="32"/>
        </w:rPr>
        <w:t>负责县委县政府交办的各类宣传片、专题片、汇报片的策划、拍摄、制作、推广工作。</w:t>
      </w:r>
    </w:p>
    <w:p w14:paraId="5F8F7BE4">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（6）</w:t>
      </w:r>
      <w:r>
        <w:rPr>
          <w:rFonts w:hint="eastAsia" w:ascii="仿宋_GB2312" w:hAnsi="仿宋_GB2312" w:eastAsia="仿宋_GB2312" w:cs="仿宋_GB2312"/>
          <w:color w:val="000000"/>
          <w:sz w:val="32"/>
          <w:szCs w:val="32"/>
        </w:rPr>
        <w:t>负责全县新闻业务管理指导和对外通联工作，协助配合衔接上级媒体和新闻单位来县采访及其他协调服务工作。</w:t>
      </w:r>
    </w:p>
    <w:p w14:paraId="733B8614">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（7）</w:t>
      </w:r>
      <w:r>
        <w:rPr>
          <w:rFonts w:hint="eastAsia" w:ascii="仿宋_GB2312" w:hAnsi="仿宋_GB2312" w:eastAsia="仿宋_GB2312" w:cs="仿宋_GB2312"/>
          <w:color w:val="000000"/>
          <w:sz w:val="32"/>
          <w:szCs w:val="32"/>
        </w:rPr>
        <w:t>负责全县新闻通讯员业务技能培训，协助抓好全县新闻人才队伍建设。</w:t>
      </w:r>
    </w:p>
    <w:p w14:paraId="1FAA8341">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（8）</w:t>
      </w:r>
      <w:r>
        <w:rPr>
          <w:rFonts w:hint="eastAsia" w:ascii="仿宋_GB2312" w:hAnsi="仿宋_GB2312" w:eastAsia="仿宋_GB2312" w:cs="仿宋_GB2312"/>
          <w:color w:val="000000"/>
          <w:sz w:val="32"/>
          <w:szCs w:val="32"/>
        </w:rPr>
        <w:t>负责会同有关部门做好新媒体推广工作。</w:t>
      </w:r>
    </w:p>
    <w:p w14:paraId="733AE7CA">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（9）</w:t>
      </w:r>
      <w:r>
        <w:rPr>
          <w:rFonts w:hint="eastAsia" w:ascii="仿宋_GB2312" w:hAnsi="仿宋_GB2312" w:eastAsia="仿宋_GB2312" w:cs="仿宋_GB2312"/>
          <w:color w:val="000000"/>
          <w:sz w:val="32"/>
          <w:szCs w:val="32"/>
        </w:rPr>
        <w:t>负责全县民族语言文字的藏汉翻译、藏语配音工作。</w:t>
      </w:r>
    </w:p>
    <w:p w14:paraId="41CDB71A">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（10）</w:t>
      </w:r>
      <w:r>
        <w:rPr>
          <w:rFonts w:hint="eastAsia" w:ascii="仿宋_GB2312" w:hAnsi="仿宋_GB2312" w:eastAsia="仿宋_GB2312" w:cs="仿宋_GB2312"/>
          <w:color w:val="000000"/>
          <w:sz w:val="32"/>
          <w:szCs w:val="32"/>
        </w:rPr>
        <w:t>负责参与编制全县广播电视事业发展规划、项目申报并组织实施。</w:t>
      </w:r>
    </w:p>
    <w:p w14:paraId="7D6CDBEC">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left="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rPr>
        <w:t>（11）</w:t>
      </w:r>
      <w:r>
        <w:rPr>
          <w:rFonts w:hint="eastAsia" w:ascii="仿宋_GB2312" w:hAnsi="仿宋_GB2312" w:eastAsia="仿宋_GB2312" w:cs="仿宋_GB2312"/>
          <w:color w:val="000000"/>
          <w:sz w:val="32"/>
          <w:szCs w:val="32"/>
        </w:rPr>
        <w:t>负责全县广播和有线电视传输网络调试、巡查、维修、维护等工作，确保电视广播网络安全运行，节目安全播出。</w:t>
      </w:r>
    </w:p>
    <w:p w14:paraId="6218A0BA">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napToGrid/>
        <w:spacing w:before="0" w:beforeAutospacing="0" w:after="0" w:afterAutospacing="0" w:line="576" w:lineRule="exact"/>
        <w:ind w:firstLine="643" w:firstLineChars="200"/>
        <w:jc w:val="both"/>
        <w:textAlignment w:val="auto"/>
        <w:rPr>
          <w:rFonts w:hint="eastAsia" w:ascii="仿宋_GB2312" w:hAnsi="仿宋_GB2312" w:eastAsia="仿宋_GB2312" w:cs="仿宋_GB2312"/>
          <w:b/>
          <w:bCs/>
          <w:color w:val="000000"/>
          <w:kern w:val="0"/>
          <w:sz w:val="32"/>
          <w:szCs w:val="32"/>
          <w:highlight w:val="none"/>
          <w:shd w:val="clear" w:color="auto" w:fill="FFFFFF"/>
          <w:lang w:val="zh-CN"/>
        </w:rPr>
      </w:pPr>
      <w:r>
        <w:rPr>
          <w:rFonts w:hint="eastAsia" w:ascii="仿宋_GB2312" w:hAnsi="仿宋_GB2312" w:eastAsia="仿宋_GB2312" w:cs="仿宋_GB2312"/>
          <w:b/>
          <w:bCs/>
          <w:color w:val="000000"/>
          <w:sz w:val="32"/>
          <w:szCs w:val="32"/>
        </w:rPr>
        <w:t>（12）</w:t>
      </w:r>
      <w:r>
        <w:rPr>
          <w:rFonts w:hint="eastAsia" w:ascii="仿宋_GB2312" w:hAnsi="仿宋_GB2312" w:eastAsia="仿宋_GB2312" w:cs="仿宋_GB2312"/>
          <w:color w:val="000000"/>
          <w:sz w:val="32"/>
          <w:szCs w:val="32"/>
        </w:rPr>
        <w:t>完成县委、县政府、县委宣传部交办的其他工作。</w:t>
      </w:r>
    </w:p>
    <w:p w14:paraId="08678E57">
      <w:pPr>
        <w:pStyle w:val="7"/>
        <w:pageBreakBefore w:val="0"/>
        <w:kinsoku/>
        <w:wordWrap/>
        <w:topLinePunct w:val="0"/>
        <w:bidi w:val="0"/>
        <w:spacing w:before="0" w:beforeLines="0" w:after="0" w:afterLines="0" w:afterAutospacing="0" w:line="576" w:lineRule="exact"/>
        <w:ind w:firstLine="562" w:firstLineChars="200"/>
        <w:rPr>
          <w:rFonts w:hint="eastAsia"/>
          <w:lang w:val="zh-CN"/>
        </w:rPr>
      </w:pPr>
      <w:r>
        <w:rPr>
          <w:rFonts w:hint="eastAsia"/>
          <w:lang w:val="zh-CN"/>
        </w:rPr>
        <w:t>（三）人员概况。</w:t>
      </w:r>
    </w:p>
    <w:p w14:paraId="5D093F5B">
      <w:pPr>
        <w:keepNext w:val="0"/>
        <w:keepLines w:val="0"/>
        <w:pageBreakBefore w:val="0"/>
        <w:numPr>
          <w:ilvl w:val="0"/>
          <w:numId w:val="0"/>
        </w:numPr>
        <w:kinsoku/>
        <w:wordWrap/>
        <w:overflowPunct w:val="0"/>
        <w:topLinePunct w:val="0"/>
        <w:autoSpaceDE/>
        <w:autoSpaceDN/>
        <w:bidi w:val="0"/>
        <w:spacing w:afterAutospacing="0" w:line="576" w:lineRule="exact"/>
        <w:ind w:firstLine="640" w:firstLineChars="200"/>
        <w:jc w:val="left"/>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kern w:val="2"/>
          <w:sz w:val="32"/>
          <w:szCs w:val="32"/>
          <w:lang w:val="en-US" w:eastAsia="zh-CN" w:bidi="ar-SA"/>
        </w:rPr>
        <w:t>截至2023年底我单位共有编制32个，管理岗12个（包含2个参公），专业技术岗18个，工勤岗2个。在职28人，管理岗9人（包含参公2人），专业技术岗18人，工勤1人。</w:t>
      </w:r>
    </w:p>
    <w:p w14:paraId="39D5D552">
      <w:pPr>
        <w:pStyle w:val="10"/>
        <w:keepNext w:val="0"/>
        <w:keepLines w:val="0"/>
        <w:pageBreakBefore w:val="0"/>
        <w:numPr>
          <w:ilvl w:val="0"/>
          <w:numId w:val="0"/>
        </w:numPr>
        <w:kinsoku/>
        <w:wordWrap/>
        <w:topLinePunct w:val="0"/>
        <w:autoSpaceDE/>
        <w:autoSpaceDN/>
        <w:bidi w:val="0"/>
        <w:spacing w:afterAutospacing="0" w:line="576" w:lineRule="exact"/>
        <w:ind w:firstLine="360" w:firstLineChars="200"/>
        <w:textAlignment w:val="auto"/>
        <w:rPr>
          <w:rFonts w:hint="default"/>
        </w:rPr>
      </w:pPr>
    </w:p>
    <w:p w14:paraId="4CE95B63">
      <w:pPr>
        <w:pStyle w:val="6"/>
        <w:pageBreakBefore w:val="0"/>
        <w:kinsoku/>
        <w:wordWrap/>
        <w:topLinePunct w:val="0"/>
        <w:bidi w:val="0"/>
        <w:spacing w:before="0" w:beforeLines="0" w:after="0" w:afterLines="0" w:afterAutospacing="0" w:line="576" w:lineRule="exact"/>
        <w:ind w:firstLine="643" w:firstLineChars="200"/>
        <w:outlineLvl w:val="1"/>
        <w:rPr>
          <w:rFonts w:hint="default"/>
          <w:lang w:val="zh-CN"/>
        </w:rPr>
      </w:pPr>
      <w:bookmarkStart w:id="154" w:name="_Toc12409"/>
      <w:r>
        <w:rPr>
          <w:rFonts w:hint="default"/>
          <w:lang w:val="zh-CN"/>
        </w:rPr>
        <w:t>二、</w:t>
      </w:r>
      <w:r>
        <w:rPr>
          <w:rFonts w:hint="default"/>
          <w:lang w:val="zh-CN" w:eastAsia="zh-CN"/>
        </w:rPr>
        <w:t>部门</w:t>
      </w:r>
      <w:r>
        <w:rPr>
          <w:rFonts w:hint="default"/>
          <w:lang w:val="zh-CN"/>
        </w:rPr>
        <w:t>资金收支情况</w:t>
      </w:r>
      <w:bookmarkEnd w:id="154"/>
    </w:p>
    <w:p w14:paraId="5545609E">
      <w:pPr>
        <w:pStyle w:val="7"/>
        <w:pageBreakBefore w:val="0"/>
        <w:kinsoku/>
        <w:wordWrap/>
        <w:topLinePunct w:val="0"/>
        <w:bidi w:val="0"/>
        <w:spacing w:before="0" w:beforeLines="0" w:after="0" w:afterLines="0" w:afterAutospacing="0" w:line="576" w:lineRule="exact"/>
        <w:ind w:firstLine="562" w:firstLineChars="200"/>
        <w:rPr>
          <w:rFonts w:hint="default"/>
          <w:lang w:val="zh-CN" w:eastAsia="zh-CN"/>
        </w:rPr>
      </w:pPr>
      <w:r>
        <w:rPr>
          <w:rFonts w:hint="default"/>
          <w:lang w:val="zh-CN" w:eastAsia="zh-CN"/>
        </w:rPr>
        <w:t>（一）</w:t>
      </w:r>
      <w:r>
        <w:rPr>
          <w:rFonts w:hint="eastAsia"/>
          <w:lang w:val="zh-CN" w:eastAsia="zh-CN"/>
        </w:rPr>
        <w:t>收入情况</w:t>
      </w:r>
      <w:r>
        <w:rPr>
          <w:rFonts w:hint="default"/>
          <w:lang w:val="zh-CN" w:eastAsia="zh-CN"/>
        </w:rPr>
        <w:t>。</w:t>
      </w:r>
    </w:p>
    <w:p w14:paraId="1D7367E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bCs/>
          <w:color w:val="000000"/>
          <w:kern w:val="0"/>
          <w:sz w:val="32"/>
          <w:szCs w:val="32"/>
          <w:highlight w:val="none"/>
          <w:shd w:val="clear" w:color="auto" w:fill="FFFFFF"/>
          <w:lang w:val="en-US"/>
        </w:rPr>
      </w:pP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2023年本年收入合计</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8674950.01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元，其中：一般公共预算基本支出拨款收入</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6616423.57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元，占</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76.27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%；项目支出拨款收入</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2058526.44元，占23.73%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p>
    <w:p w14:paraId="30BCFF68">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支出情况</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w:t>
      </w:r>
    </w:p>
    <w:p w14:paraId="588E5F4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2023年本年收入合计</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8674950.01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元，其中：一般公共预算基本支出拨款收入</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6616423.57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元，占</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76.27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%；项目支出拨款收入</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2058526.44元，占23.73%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p>
    <w:p w14:paraId="3B34BA00">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2023年度一般公共预算财政拨款基本支出</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6616423.57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元，其中：人员经费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6234363.99</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元，包括：基本工资</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973297</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元、津贴补贴</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1251170</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元、奖金</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1556694.2</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元、绩效工资</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591706.5元、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机关事业单位基本养老保险缴费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574753.28</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元、职业年金缴费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285345.84</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元、职工基本医疗保险缴费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298595.85元、公务员医疗补助缴费87724.08元、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其他社会保障缴费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76344.72元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、医疗费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28250.2</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元、住房公积金</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431674</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生活补助69808.32元、医疗费补助9000元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。公用经费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382059.58</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元，包括：办公费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82491.23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电费5000元、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差旅费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229731.5</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工会经费37219.59、</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公务用车运行维护费</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27617.26</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w:t>
      </w:r>
    </w:p>
    <w:p w14:paraId="75452B1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bCs/>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2023年度一般公共预算财政拨款项目支出</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2058526.44</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包括：电费156424.56元、维修（护）费221481.44</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劳务费107500.44</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委托业务费64000</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元、</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奖励金50000元、专用设备购置1447240元、大型修缮11880元。</w:t>
      </w:r>
    </w:p>
    <w:p w14:paraId="0C28534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default" w:ascii="仿宋_GB2312" w:hAnsi="仿宋_GB2312" w:eastAsia="仿宋_GB2312" w:cs="仿宋_GB2312"/>
          <w:b w:val="0"/>
          <w:bCs w:val="0"/>
          <w:color w:val="000000"/>
          <w:kern w:val="0"/>
          <w:sz w:val="32"/>
          <w:szCs w:val="32"/>
          <w:highlight w:val="none"/>
          <w:shd w:val="clear" w:color="auto" w:fill="FFFFFF"/>
          <w:lang w:val="zh-CN" w:eastAsia="zh-CN"/>
        </w:rPr>
        <w:t>结余分配和结转结余情况</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p>
    <w:p w14:paraId="1C228D7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2023年末无结转结余情况</w:t>
      </w:r>
    </w:p>
    <w:p w14:paraId="2FD2A646">
      <w:pPr>
        <w:pStyle w:val="6"/>
        <w:pageBreakBefore w:val="0"/>
        <w:kinsoku/>
        <w:wordWrap/>
        <w:topLinePunct w:val="0"/>
        <w:bidi w:val="0"/>
        <w:spacing w:before="0" w:beforeLines="0" w:after="0" w:afterLines="0" w:afterAutospacing="0" w:line="576" w:lineRule="exact"/>
        <w:ind w:firstLine="643" w:firstLineChars="200"/>
        <w:outlineLvl w:val="1"/>
        <w:rPr>
          <w:rFonts w:hint="default"/>
          <w:lang w:val="zh-CN"/>
        </w:rPr>
      </w:pPr>
      <w:bookmarkStart w:id="155" w:name="_Toc31403"/>
      <w:r>
        <w:rPr>
          <w:rFonts w:hint="default"/>
          <w:lang w:val="zh-CN"/>
        </w:rPr>
        <w:t>三、部门</w:t>
      </w:r>
      <w:r>
        <w:rPr>
          <w:rFonts w:hint="default"/>
          <w:lang w:val="zh-CN" w:eastAsia="zh-CN"/>
        </w:rPr>
        <w:t>预算</w:t>
      </w:r>
      <w:r>
        <w:rPr>
          <w:rFonts w:hint="default"/>
          <w:lang w:val="zh-CN"/>
        </w:rPr>
        <w:t>绩效</w:t>
      </w:r>
      <w:r>
        <w:rPr>
          <w:rFonts w:hint="default"/>
          <w:lang w:val="zh-CN" w:eastAsia="zh-CN"/>
        </w:rPr>
        <w:t>分析</w:t>
      </w:r>
      <w:bookmarkEnd w:id="155"/>
    </w:p>
    <w:p w14:paraId="0FA3CFC0">
      <w:pPr>
        <w:pStyle w:val="7"/>
        <w:pageBreakBefore w:val="0"/>
        <w:kinsoku/>
        <w:wordWrap/>
        <w:topLinePunct w:val="0"/>
        <w:bidi w:val="0"/>
        <w:spacing w:before="0" w:beforeLines="0" w:after="0" w:afterLines="0" w:afterAutospacing="0" w:line="576" w:lineRule="exact"/>
        <w:ind w:firstLine="562" w:firstLineChars="200"/>
        <w:rPr>
          <w:rFonts w:hint="default"/>
          <w:lang w:val="zh-CN" w:eastAsia="zh-CN"/>
        </w:rPr>
      </w:pPr>
      <w:r>
        <w:rPr>
          <w:rFonts w:hint="default"/>
          <w:lang w:val="zh-CN" w:eastAsia="zh-CN"/>
        </w:rPr>
        <w:t>（一）</w:t>
      </w:r>
      <w:r>
        <w:rPr>
          <w:rFonts w:hint="eastAsia"/>
          <w:lang w:val="zh-CN" w:eastAsia="zh-CN"/>
        </w:rPr>
        <w:t>部门预算</w:t>
      </w:r>
      <w:r>
        <w:rPr>
          <w:rFonts w:hint="default"/>
          <w:lang w:val="zh-CN" w:eastAsia="zh-CN"/>
        </w:rPr>
        <w:t>总体绩效分析。</w:t>
      </w:r>
    </w:p>
    <w:p w14:paraId="2554197C">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bCs/>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bCs/>
          <w:color w:val="000000"/>
          <w:kern w:val="0"/>
          <w:sz w:val="32"/>
          <w:szCs w:val="32"/>
          <w:highlight w:val="none"/>
          <w:shd w:val="clear" w:color="auto" w:fill="FFFFFF"/>
          <w:lang w:val="zh-CN" w:eastAsia="zh-CN"/>
        </w:rPr>
        <w:t>履职效能。</w:t>
      </w:r>
    </w:p>
    <w:p w14:paraId="02C696F0">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项目名称1：专用设备购置</w:t>
      </w:r>
    </w:p>
    <w:p w14:paraId="4764961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质量指标：可以进一步加大对重大主题活动的宣传，可以更好的宣传红原声音，讲好红原故事。已完成2023年任务。</w:t>
      </w:r>
    </w:p>
    <w:p w14:paraId="5B16A2E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成本指标：专用设备购置资金全年预计完成指标值150万元，已完成值145万元。</w:t>
      </w:r>
    </w:p>
    <w:p w14:paraId="1983A03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满意度指标：预计完成服务对象满意度率达到97%以上，已完成2023年任务。</w:t>
      </w:r>
    </w:p>
    <w:p w14:paraId="28088323">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项目名称2：大美红原APP运维费</w:t>
      </w:r>
    </w:p>
    <w:p w14:paraId="0CD6753F">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质量指标：系统运行与维护，已完成2023年任务。</w:t>
      </w:r>
    </w:p>
    <w:p w14:paraId="04F2EC3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成本指标：大美红原APP运维费资金全年预计完成指标值6.4万元，已完成值200.85万元。</w:t>
      </w:r>
    </w:p>
    <w:p w14:paraId="5AA3382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满意度指标：预计完成服务对象满意度率达到100%以上，已完成2023年任务。</w:t>
      </w:r>
    </w:p>
    <w:p w14:paraId="236D4284">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项目名称3：红原县广播电视台院内综合治理项目质保金</w:t>
      </w:r>
    </w:p>
    <w:p w14:paraId="78E1AC88">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质量指标：院内综合治理，已完成2023年任务。</w:t>
      </w:r>
    </w:p>
    <w:p w14:paraId="417FA0B4">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成本指标：红原县广播电视台院内综合治理项目质保金全年预计完成指标值1.19万元，已完成值1.19万元。</w:t>
      </w:r>
    </w:p>
    <w:p w14:paraId="55507C05">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满意度指标：预计完成服务对象满意度率达到100%以上，已完成2023年任务。</w:t>
      </w:r>
    </w:p>
    <w:p w14:paraId="607087B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项目名称4：关于下达2022年中央和省级公共文化服务体系建设（广播电视重点项目）资金补助</w:t>
      </w:r>
    </w:p>
    <w:p w14:paraId="792896D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质量指标：公共文化服务体系建设，已完成2023年任务。</w:t>
      </w:r>
    </w:p>
    <w:p w14:paraId="79242BCF">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成本指标：关于下达2022年中央和省级公共文化服务体系建设（广播电视重点项目）资金补助全年预计完成指标值13.53万元，已完成值13.53万元。</w:t>
      </w:r>
    </w:p>
    <w:p w14:paraId="31F831D1">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满意度指标：预计完成服务对象满意度率达到100%以上，已完成2023年任务。</w:t>
      </w:r>
    </w:p>
    <w:p w14:paraId="6A56ABE6">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项目名称5：2022年中央少数民族地区和边疆地区文化安全（广播电视）补助资金</w:t>
      </w:r>
    </w:p>
    <w:p w14:paraId="7D493306">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质量指标：央少数民族地区和边疆地区文化安全，已完成2023年任务。</w:t>
      </w:r>
    </w:p>
    <w:p w14:paraId="319BB69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成本指标：2022年中央少数民族地区和边疆地区文化安全（广播电视）补助资金全年预计完成指标值35.01万元，已完成值35.01万元。</w:t>
      </w:r>
    </w:p>
    <w:p w14:paraId="41DABD4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满意度指标：预计完成服务对象满意度率达到100%以上，已完成2023年任务。</w:t>
      </w:r>
    </w:p>
    <w:p w14:paraId="09496981">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2.</w:t>
      </w:r>
      <w:r>
        <w:rPr>
          <w:rFonts w:hint="default" w:ascii="仿宋_GB2312" w:hAnsi="仿宋_GB2312" w:eastAsia="仿宋_GB2312" w:cs="仿宋_GB2312"/>
          <w:b/>
          <w:bCs/>
          <w:color w:val="000000"/>
          <w:kern w:val="0"/>
          <w:sz w:val="32"/>
          <w:szCs w:val="32"/>
          <w:highlight w:val="none"/>
          <w:shd w:val="clear" w:color="auto" w:fill="FFFFFF"/>
          <w:lang w:val="zh-CN" w:eastAsia="zh-CN"/>
        </w:rPr>
        <w:t>预算管理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根据《中华人民共和国预算法》及县财政局印发的《关于编制 2023年部门预算的通知》要求，结合本单位实际，按照增收节支、保障重点、优化结构、厉行节约、绩效优化的原则，严控“三公”经费管理，从严从紧编制预算。</w:t>
      </w:r>
    </w:p>
    <w:p w14:paraId="5FAD63B0">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3.</w:t>
      </w:r>
      <w:r>
        <w:rPr>
          <w:rFonts w:hint="default" w:ascii="仿宋_GB2312" w:hAnsi="仿宋_GB2312" w:eastAsia="仿宋_GB2312" w:cs="仿宋_GB2312"/>
          <w:b/>
          <w:bCs/>
          <w:color w:val="000000"/>
          <w:kern w:val="0"/>
          <w:sz w:val="32"/>
          <w:szCs w:val="32"/>
          <w:highlight w:val="none"/>
          <w:shd w:val="clear" w:color="auto" w:fill="FFFFFF"/>
          <w:lang w:val="zh-CN" w:eastAsia="zh-CN"/>
        </w:rPr>
        <w:t>财务管理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在财务管理过程中建立健全财务核算制度、严格执行国家相关财经法规，加强了会计基础工作、逐渐规范了财务管理行为。严格按照《政府会计制度》和《行政单位财务规则》的规定设置会计科目，建立了科学有效的会计核算方式，均真实、合法、准确的反映各项收支活动；建立健全了内控制度，加强和完善了经费收支和财务管理，积极配合各级财政部门开展相关经费的考评工作；我局在资金使用过程中，合理使用各项资金，严格执行各项经费开支范围和标准。对中央转移支付资金的使用全部用于与</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中心</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业务直接相关的业务及</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设备</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支出，并确保专款专用；在账务报销过程中贯彻执行国家颁布的有关财务制度，严格按照《预算法》《会计法》规定以完整、合法的原始凭证及财务报销手续进行报账、核算，做到了手续齐备、内容真实、数据准确、账目清晰，认真及时的填报了各项年度统计报表；在整个财务收支管理中做到了会计核算与财政收支账一致，实现了会计电算化。</w:t>
      </w:r>
    </w:p>
    <w:p w14:paraId="5FDE713B">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4.</w:t>
      </w:r>
      <w:r>
        <w:rPr>
          <w:rFonts w:hint="default" w:ascii="仿宋_GB2312" w:hAnsi="仿宋_GB2312" w:eastAsia="仿宋_GB2312" w:cs="仿宋_GB2312"/>
          <w:b/>
          <w:bCs/>
          <w:color w:val="000000"/>
          <w:kern w:val="0"/>
          <w:sz w:val="32"/>
          <w:szCs w:val="32"/>
          <w:highlight w:val="none"/>
          <w:shd w:val="clear" w:color="auto" w:fill="FFFFFF"/>
          <w:lang w:val="zh-CN" w:eastAsia="zh-CN"/>
        </w:rPr>
        <w:t>资产管理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资产利用率：通过清查我单位无未充分利用的国有资产，造成国有资产闲置的情况，资产利用率为</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100%</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p>
    <w:p w14:paraId="042F88C6">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5.</w:t>
      </w:r>
      <w:r>
        <w:rPr>
          <w:rFonts w:hint="default" w:ascii="仿宋_GB2312" w:hAnsi="仿宋_GB2312" w:eastAsia="仿宋_GB2312" w:cs="仿宋_GB2312"/>
          <w:b/>
          <w:bCs/>
          <w:color w:val="000000"/>
          <w:kern w:val="0"/>
          <w:sz w:val="32"/>
          <w:szCs w:val="32"/>
          <w:highlight w:val="none"/>
          <w:shd w:val="clear" w:color="auto" w:fill="FFFFFF"/>
          <w:lang w:val="zh-CN" w:eastAsia="zh-CN"/>
        </w:rPr>
        <w:t>采购管理</w:t>
      </w:r>
      <w:r>
        <w:rPr>
          <w:rFonts w:hint="eastAsia" w:ascii="仿宋_GB2312" w:hAnsi="仿宋_GB2312" w:eastAsia="仿宋_GB2312" w:cs="仿宋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在采购资金支出时手续齐备，采购的固定资产及时登记并入账；严格落实中央“八项规定”“六项禁令”的相关规定，进一步规范了“三公经费”的管理，并严格控制了“三公经费”的支出。</w:t>
      </w:r>
    </w:p>
    <w:p w14:paraId="06653022">
      <w:pPr>
        <w:pStyle w:val="7"/>
        <w:pageBreakBefore w:val="0"/>
        <w:kinsoku/>
        <w:wordWrap/>
        <w:topLinePunct w:val="0"/>
        <w:bidi w:val="0"/>
        <w:spacing w:before="0" w:beforeLines="0" w:after="0" w:afterLines="0" w:afterAutospacing="0" w:line="576" w:lineRule="exact"/>
        <w:ind w:firstLine="562" w:firstLineChars="200"/>
        <w:rPr>
          <w:rFonts w:hint="default"/>
          <w:lang w:val="zh-CN" w:eastAsia="zh-CN"/>
        </w:rPr>
      </w:pPr>
      <w:r>
        <w:rPr>
          <w:rFonts w:hint="default"/>
          <w:lang w:val="zh-CN" w:eastAsia="zh-CN"/>
        </w:rPr>
        <w:t>（二）部门预算项目绩效分析。</w:t>
      </w:r>
    </w:p>
    <w:p w14:paraId="6C6CE72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项目名称1：</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专用设备购置</w:t>
      </w:r>
    </w:p>
    <w:p w14:paraId="60626BD8">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bCs/>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项目决策。</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专用设备更新，</w:t>
      </w:r>
    </w:p>
    <w:p w14:paraId="7D9C6D2C">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2.项目执行</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专用设备购置资金全年预计完成指标值150万元，2023年已完成值145万元。</w:t>
      </w:r>
    </w:p>
    <w:p w14:paraId="52046904">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rPr>
        <w:t>目标实现。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提升宣传质量，摄影摄像画质提升。</w:t>
      </w:r>
    </w:p>
    <w:p w14:paraId="6E015FAB">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项目名称2：</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大美红原APP运维费</w:t>
      </w:r>
    </w:p>
    <w:p w14:paraId="1191B8E7">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项目决策。</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系统维护</w:t>
      </w:r>
    </w:p>
    <w:p w14:paraId="7C85098C">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2.项目执行</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大美红原APP运维费资金全年预计完成指标值6.4万元，2023年已完成值6.4万元。</w:t>
      </w:r>
    </w:p>
    <w:p w14:paraId="6AC130A3">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目标实现。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为了更好的宣传红原。</w:t>
      </w:r>
    </w:p>
    <w:p w14:paraId="508E995E">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项目名称3：</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红原县广播电视台院内综合治理项目质保金</w:t>
      </w:r>
    </w:p>
    <w:p w14:paraId="490D198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项目决策。</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院内综合治理</w:t>
      </w:r>
    </w:p>
    <w:p w14:paraId="4E40C7B7">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2.项目执行</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大红原县广播电视台院内综合治理项目质保金全年预计完成指标值1.19万元，2023年已完成值1.19万元。</w:t>
      </w:r>
    </w:p>
    <w:p w14:paraId="4447650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目标实现。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为了更好的宣传红原。</w:t>
      </w:r>
    </w:p>
    <w:p w14:paraId="7528074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项目名称4：</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关于下达2022年中央和省级公共文化服务体系建设（广播电视重点项目）资金补助</w:t>
      </w:r>
    </w:p>
    <w:p w14:paraId="5A7C7F8A">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zh-CN"/>
        </w:rPr>
        <w:t>项目决策。</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公共文化服务体系建设</w:t>
      </w:r>
    </w:p>
    <w:p w14:paraId="41D66996">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2.项目执行</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关于下达2022年中央和省级公共文化服务体系建设（广播电视重点项目）资金补助全年预计完成指标值13.53万元，2023年已完成值13.53万元。</w:t>
      </w:r>
    </w:p>
    <w:p w14:paraId="66869F3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目标实现。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为了更好的宣传红原。</w:t>
      </w:r>
    </w:p>
    <w:p w14:paraId="1881B008">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项目名称5：</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2022年中央少数民族地区和边疆地区文化安全（广播电视）补助资金</w:t>
      </w:r>
    </w:p>
    <w:p w14:paraId="74F2945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项目决策。</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少数民族地区和边疆地区文化安全播出</w:t>
      </w:r>
    </w:p>
    <w:p w14:paraId="4B1AAA18">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2.项目执行</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2022年中央少数民族地区和边疆地区文化安全（广播电视）补助资金全年预计完成指标值35.01万元，2023年已完成值35.01万元。</w:t>
      </w:r>
    </w:p>
    <w:p w14:paraId="2FC675D9">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目标实现。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保障县域覆盖足够有线电视用户，满足藏区群众观看电视需求。</w:t>
      </w:r>
    </w:p>
    <w:p w14:paraId="1EF1F2C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eastAsia="zh-CN"/>
        </w:rPr>
      </w:pPr>
      <w:r>
        <w:rPr>
          <w:rFonts w:hint="default" w:ascii="仿宋_GB2312" w:hAnsi="仿宋_GB2312" w:eastAsia="仿宋_GB2312" w:cs="仿宋_GB2312"/>
          <w:b w:val="0"/>
          <w:bCs w:val="0"/>
          <w:color w:val="000000"/>
          <w:kern w:val="0"/>
          <w:sz w:val="32"/>
          <w:szCs w:val="32"/>
          <w:highlight w:val="none"/>
          <w:shd w:val="clear" w:color="auto" w:fill="FFFFFF"/>
          <w:lang w:val="en-US" w:eastAsia="zh-CN"/>
        </w:rPr>
        <w:t>常年项目绩效分析。</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该类项目总数</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5</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个，涉及预算总金额</w:t>
      </w:r>
      <w:r>
        <w:rPr>
          <w:rFonts w:hint="default" w:ascii="仿宋_GB2312" w:hAnsi="仿宋_GB2312" w:eastAsia="仿宋_GB2312" w:cs="仿宋_GB2312"/>
          <w:b w:val="0"/>
          <w:bCs w:val="0"/>
          <w:color w:val="000000"/>
          <w:kern w:val="0"/>
          <w:sz w:val="32"/>
          <w:szCs w:val="32"/>
          <w:highlight w:val="none"/>
          <w:shd w:val="clear" w:color="auto" w:fill="FFFFFF"/>
          <w:lang w:val="en-US" w:eastAsia="zh-CN"/>
        </w:rPr>
        <w:t xml:space="preserve">   </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200.85</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万元，1</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1</w:t>
      </w:r>
      <w:r>
        <w:rPr>
          <w:rFonts w:hint="default" w:ascii="仿宋_GB2312" w:hAnsi="仿宋_GB2312" w:eastAsia="仿宋_GB2312" w:cs="仿宋_GB2312"/>
          <w:b w:val="0"/>
          <w:bCs w:val="0"/>
          <w:color w:val="000000"/>
          <w:kern w:val="0"/>
          <w:sz w:val="32"/>
          <w:szCs w:val="32"/>
          <w:highlight w:val="none"/>
          <w:shd w:val="clear" w:color="auto" w:fill="FFFFFF"/>
          <w:lang w:val="en-US" w:eastAsia="zh-CN"/>
        </w:rPr>
        <w:t>2</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月预算执行总体进度为</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97</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w:t>
      </w:r>
    </w:p>
    <w:p w14:paraId="5ABF8C09">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en-US" w:eastAsia="zh-CN"/>
        </w:rPr>
      </w:pPr>
      <w:r>
        <w:rPr>
          <w:rStyle w:val="24"/>
          <w:rFonts w:hint="default"/>
          <w:lang w:val="zh-CN" w:eastAsia="zh-CN"/>
        </w:rPr>
        <w:t>（</w:t>
      </w:r>
      <w:r>
        <w:rPr>
          <w:rStyle w:val="24"/>
          <w:rFonts w:hint="eastAsia"/>
          <w:lang w:val="zh-CN" w:eastAsia="zh-CN"/>
        </w:rPr>
        <w:t>三</w:t>
      </w:r>
      <w:r>
        <w:rPr>
          <w:rStyle w:val="24"/>
          <w:rFonts w:hint="default"/>
          <w:lang w:val="zh-CN" w:eastAsia="zh-CN"/>
        </w:rPr>
        <w:t>）重点领域绩效分析。</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州</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级部门</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2023年度</w:t>
      </w:r>
      <w:r>
        <w:rPr>
          <w:rFonts w:hint="default" w:ascii="仿宋_GB2312" w:hAnsi="仿宋_GB2312" w:eastAsia="仿宋_GB2312" w:cs="仿宋_GB2312"/>
          <w:b w:val="0"/>
          <w:bCs w:val="0"/>
          <w:color w:val="000000"/>
          <w:kern w:val="0"/>
          <w:sz w:val="32"/>
          <w:szCs w:val="32"/>
          <w:highlight w:val="none"/>
          <w:shd w:val="clear" w:color="auto" w:fill="FFFFFF"/>
          <w:lang w:val="zh-CN" w:eastAsia="zh-CN"/>
        </w:rPr>
        <w:t>若涉及国有资本、行政事业性国有资产、债券资金、政府采购和政府购买服务等重点领域的，应在部门预算绩效自评报告中对完成情况进行梳理阐述</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p>
    <w:p w14:paraId="45686F01">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Fonts w:hint="default" w:ascii="仿宋_GB2312" w:hAnsi="仿宋_GB2312" w:eastAsia="仿宋_GB2312" w:cs="仿宋_GB2312"/>
          <w:b w:val="0"/>
          <w:bCs w:val="0"/>
          <w:color w:val="000000"/>
          <w:kern w:val="0"/>
          <w:sz w:val="32"/>
          <w:szCs w:val="32"/>
          <w:highlight w:val="none"/>
          <w:shd w:val="clear" w:color="auto" w:fill="FFFFFF"/>
          <w:lang w:val="zh-CN" w:eastAsia="zh-CN"/>
        </w:rPr>
      </w:pPr>
      <w:r>
        <w:rPr>
          <w:rStyle w:val="24"/>
          <w:rFonts w:hint="default"/>
          <w:lang w:val="zh-CN" w:eastAsia="zh-CN"/>
        </w:rPr>
        <w:t>（四）绩效结果应用情况</w:t>
      </w:r>
      <w:r>
        <w:rPr>
          <w:rFonts w:hint="eastAsia" w:ascii="楷体_GB2312" w:hAnsi="楷体_GB2312" w:eastAsia="楷体_GB2312" w:cs="楷体_GB2312"/>
          <w:b/>
          <w:bCs/>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2023年我单位从收支执行，三公经费管理，预算管理，绩效管理等方面进行了详尽</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自评、</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23年预算绩效目标，项目预算绩效目标等均进行了公开，评价结果较好，对部门预算编制不够精准细化的问题将在后续工作中逐步改进。</w:t>
      </w:r>
    </w:p>
    <w:p w14:paraId="13149105">
      <w:pPr>
        <w:pStyle w:val="6"/>
        <w:pageBreakBefore w:val="0"/>
        <w:kinsoku/>
        <w:wordWrap/>
        <w:topLinePunct w:val="0"/>
        <w:bidi w:val="0"/>
        <w:spacing w:before="0" w:beforeLines="0" w:after="0" w:afterLines="0" w:afterAutospacing="0" w:line="576" w:lineRule="exact"/>
        <w:ind w:firstLine="643" w:firstLineChars="200"/>
        <w:outlineLvl w:val="1"/>
        <w:rPr>
          <w:rFonts w:hint="default"/>
          <w:lang w:val="zh-CN"/>
        </w:rPr>
      </w:pPr>
      <w:bookmarkStart w:id="156" w:name="_Toc28533"/>
      <w:r>
        <w:rPr>
          <w:rFonts w:hint="default"/>
          <w:lang w:val="zh-CN" w:eastAsia="zh-CN"/>
        </w:rPr>
        <w:t>四、</w:t>
      </w:r>
      <w:r>
        <w:rPr>
          <w:rFonts w:hint="default"/>
          <w:lang w:val="zh-CN"/>
        </w:rPr>
        <w:t>评价结论及建议</w:t>
      </w:r>
      <w:bookmarkEnd w:id="156"/>
    </w:p>
    <w:p w14:paraId="294D6B35">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rPr>
      </w:pPr>
      <w:r>
        <w:rPr>
          <w:rStyle w:val="24"/>
          <w:rFonts w:hint="default"/>
          <w:lang w:val="zh-CN" w:eastAsia="zh-CN"/>
        </w:rPr>
        <w:t>（一）评价结论。</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根据《2023年红原县部门整体支出绩效评价指标体系》（自评表）评分得分9</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分，部门整体支出绩效为“好”。</w:t>
      </w:r>
    </w:p>
    <w:p w14:paraId="587F1F95">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Style w:val="24"/>
          <w:rFonts w:hint="default" w:cs="Times New Roman"/>
          <w:b/>
          <w:lang w:val="zh-CN" w:eastAsia="zh-CN"/>
        </w:rPr>
        <w:t>（二）存在问题。</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在平时工作推进过程中，缺乏专业人员进行专业指导及培训，工作推进存在一定困难，预算编制还需更加精准。</w:t>
      </w:r>
    </w:p>
    <w:p w14:paraId="5187F842">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562" w:firstLineChars="200"/>
        <w:textAlignment w:val="auto"/>
        <w:rPr>
          <w:rStyle w:val="24"/>
          <w:rFonts w:hint="default" w:cs="Times New Roman"/>
          <w:b/>
          <w:lang w:val="zh-CN" w:eastAsia="zh-CN"/>
        </w:rPr>
      </w:pPr>
      <w:r>
        <w:rPr>
          <w:rStyle w:val="24"/>
          <w:rFonts w:hint="default" w:cs="Times New Roman"/>
          <w:b/>
          <w:lang w:val="zh-CN" w:eastAsia="zh-CN"/>
        </w:rPr>
        <w:t>（三）改进建议。</w:t>
      </w:r>
      <w:bookmarkStart w:id="157" w:name="_Hlk110546638"/>
    </w:p>
    <w:p w14:paraId="4DC0B30B">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1.</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通过各种途径加强绩效管理学习，科学合理编制预算，严格执行预算。</w:t>
      </w:r>
    </w:p>
    <w:p w14:paraId="5140AE45">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2.</w:t>
      </w:r>
      <w:r>
        <w:rPr>
          <w:rFonts w:hint="eastAsia" w:ascii="仿宋_GB2312" w:hAnsi="仿宋_GB2312" w:eastAsia="仿宋_GB2312" w:cs="仿宋_GB2312"/>
          <w:b w:val="0"/>
          <w:bCs w:val="0"/>
          <w:color w:val="000000"/>
          <w:kern w:val="0"/>
          <w:sz w:val="32"/>
          <w:szCs w:val="32"/>
          <w:highlight w:val="none"/>
          <w:shd w:val="clear" w:color="auto" w:fill="FFFFFF"/>
          <w:lang w:val="en-US" w:eastAsia="zh-CN"/>
        </w:rPr>
        <w:t>规范账务处理，提高财务信息质量。</w:t>
      </w:r>
    </w:p>
    <w:p w14:paraId="32B0263D">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3"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zh-CN"/>
        </w:rPr>
      </w:pPr>
      <w:r>
        <w:rPr>
          <w:rFonts w:hint="eastAsia" w:ascii="仿宋_GB2312" w:hAnsi="仿宋_GB2312" w:eastAsia="仿宋_GB2312" w:cs="仿宋_GB2312"/>
          <w:b/>
          <w:bCs/>
          <w:color w:val="000000"/>
          <w:kern w:val="0"/>
          <w:sz w:val="32"/>
          <w:szCs w:val="32"/>
          <w:highlight w:val="none"/>
          <w:shd w:val="clear" w:color="auto" w:fill="FFFFFF"/>
          <w:lang w:val="en-US" w:eastAsia="zh-CN"/>
        </w:rPr>
        <w:t>3.</w:t>
      </w:r>
      <w:r>
        <w:rPr>
          <w:rFonts w:hint="eastAsia" w:ascii="仿宋_GB2312" w:hAnsi="仿宋_GB2312" w:eastAsia="仿宋_GB2312" w:cs="仿宋_GB2312"/>
          <w:b w:val="0"/>
          <w:bCs w:val="0"/>
          <w:color w:val="000000"/>
          <w:kern w:val="0"/>
          <w:sz w:val="32"/>
          <w:szCs w:val="32"/>
          <w:highlight w:val="none"/>
          <w:shd w:val="clear" w:color="auto" w:fill="FFFFFF"/>
          <w:lang w:val="zh-CN"/>
        </w:rPr>
        <w:t>建立长效机制，严格财务管理，加强财务监督，坚持厉行节约，控制“三公经费”支出</w:t>
      </w:r>
      <w:r>
        <w:rPr>
          <w:rFonts w:hint="eastAsia" w:ascii="仿宋_GB2312" w:hAnsi="仿宋_GB2312" w:eastAsia="仿宋_GB2312" w:cs="仿宋_GB2312"/>
          <w:b w:val="0"/>
          <w:bCs w:val="0"/>
          <w:color w:val="000000"/>
          <w:kern w:val="0"/>
          <w:sz w:val="32"/>
          <w:szCs w:val="32"/>
          <w:highlight w:val="none"/>
          <w:shd w:val="clear" w:color="auto" w:fill="FFFFFF"/>
          <w:lang w:val="zh-CN" w:eastAsia="zh-CN"/>
        </w:rPr>
        <w:t>。</w:t>
      </w:r>
      <w:r>
        <w:rPr>
          <w:rFonts w:hint="eastAsia" w:ascii="仿宋_GB2312" w:hAnsi="仿宋_GB2312" w:eastAsia="仿宋_GB2312" w:cs="仿宋_GB2312"/>
          <w:b w:val="0"/>
          <w:bCs w:val="0"/>
          <w:color w:val="000000"/>
          <w:kern w:val="0"/>
          <w:sz w:val="32"/>
          <w:szCs w:val="32"/>
          <w:highlight w:val="none"/>
          <w:shd w:val="clear" w:color="auto" w:fill="FFFFFF"/>
          <w:lang w:val="zh-CN"/>
        </w:rPr>
        <w:t>  </w:t>
      </w:r>
    </w:p>
    <w:bookmarkEnd w:id="157"/>
    <w:p w14:paraId="51806DE5">
      <w:pPr>
        <w:pStyle w:val="2"/>
        <w:keepNext w:val="0"/>
        <w:keepLines w:val="0"/>
        <w:pageBreakBefore w:val="0"/>
        <w:kinsoku/>
        <w:wordWrap/>
        <w:overflowPunct/>
        <w:topLinePunct w:val="0"/>
        <w:autoSpaceDE/>
        <w:autoSpaceDN/>
        <w:bidi w:val="0"/>
        <w:adjustRightInd w:val="0"/>
        <w:snapToGrid w:val="0"/>
        <w:spacing w:after="0" w:afterAutospacing="0" w:line="576" w:lineRule="exact"/>
        <w:ind w:left="0" w:leftChars="0" w:right="0" w:rightChars="0" w:firstLine="640" w:firstLineChars="200"/>
        <w:textAlignment w:val="auto"/>
        <w:rPr>
          <w:rFonts w:hint="eastAsia" w:ascii="仿宋_GB2312" w:hAnsi="仿宋_GB2312" w:eastAsia="仿宋_GB2312" w:cs="仿宋_GB2312"/>
          <w:b w:val="0"/>
          <w:bCs w:val="0"/>
          <w:color w:val="000000"/>
          <w:kern w:val="0"/>
          <w:sz w:val="32"/>
          <w:szCs w:val="32"/>
          <w:highlight w:val="none"/>
          <w:shd w:val="clear" w:color="auto" w:fill="FFFFFF"/>
          <w:lang w:val="en-US" w:eastAsia="zh-CN"/>
        </w:rPr>
      </w:pPr>
    </w:p>
    <w:p w14:paraId="214D377F">
      <w:pPr>
        <w:pageBreakBefore w:val="0"/>
        <w:kinsoku/>
        <w:wordWrap/>
        <w:topLinePunct w:val="0"/>
        <w:bidi w:val="0"/>
        <w:spacing w:afterAutospacing="0" w:line="576" w:lineRule="exact"/>
        <w:ind w:firstLine="420" w:firstLineChars="200"/>
        <w:rPr>
          <w:rFonts w:hint="eastAsia"/>
        </w:rPr>
      </w:pPr>
    </w:p>
    <w:p w14:paraId="0F3E8BEE">
      <w:pPr>
        <w:pStyle w:val="2"/>
        <w:pageBreakBefore w:val="0"/>
        <w:kinsoku/>
        <w:wordWrap/>
        <w:topLinePunct w:val="0"/>
        <w:bidi w:val="0"/>
        <w:spacing w:after="0" w:afterAutospacing="0" w:line="576" w:lineRule="exact"/>
        <w:ind w:firstLine="420" w:firstLineChars="200"/>
        <w:rPr>
          <w:rFonts w:hint="default"/>
          <w:lang w:val="zh-CN" w:eastAsia="zh-CN"/>
        </w:rPr>
      </w:pPr>
    </w:p>
    <w:p w14:paraId="61A45BC6">
      <w:pPr>
        <w:pStyle w:val="2"/>
        <w:pageBreakBefore w:val="0"/>
        <w:kinsoku/>
        <w:wordWrap/>
        <w:topLinePunct w:val="0"/>
        <w:bidi w:val="0"/>
        <w:spacing w:after="0" w:afterAutospacing="0" w:line="576" w:lineRule="exact"/>
        <w:ind w:firstLine="420" w:firstLineChars="200"/>
        <w:rPr>
          <w:rFonts w:hint="eastAsia"/>
          <w:lang w:val="en-US" w:eastAsia="zh-CN"/>
        </w:rPr>
      </w:pPr>
    </w:p>
    <w:p w14:paraId="0A472A53">
      <w:pPr>
        <w:pStyle w:val="14"/>
        <w:pageBreakBefore w:val="0"/>
        <w:kinsoku/>
        <w:wordWrap/>
        <w:overflowPunct/>
        <w:topLinePunct w:val="0"/>
        <w:bidi w:val="0"/>
        <w:snapToGrid/>
        <w:spacing w:before="0" w:after="0" w:afterAutospacing="0" w:line="576" w:lineRule="exact"/>
        <w:ind w:left="0" w:leftChars="0" w:firstLine="420" w:firstLineChars="200"/>
        <w:textAlignment w:val="auto"/>
        <w:rPr>
          <w:rFonts w:hint="eastAsia" w:eastAsiaTheme="minorEastAsia"/>
          <w:lang w:eastAsia="zh-CN"/>
        </w:rPr>
      </w:pPr>
    </w:p>
    <w:p w14:paraId="6A01107E">
      <w:pPr>
        <w:pStyle w:val="4"/>
        <w:pageBreakBefore w:val="0"/>
        <w:numPr>
          <w:ilvl w:val="0"/>
          <w:numId w:val="1"/>
        </w:numPr>
        <w:kinsoku/>
        <w:wordWrap/>
        <w:topLinePunct w:val="0"/>
        <w:bidi w:val="0"/>
        <w:spacing w:before="0" w:after="0" w:afterAutospacing="0" w:line="576" w:lineRule="exact"/>
        <w:ind w:firstLine="883" w:firstLineChars="200"/>
        <w:jc w:val="center"/>
        <w:rPr>
          <w:rFonts w:hint="eastAsia"/>
          <w:lang w:eastAsia="zh-CN"/>
        </w:rPr>
        <w:sectPr>
          <w:pgSz w:w="11906" w:h="16838"/>
          <w:pgMar w:top="2098" w:right="1531" w:bottom="1984" w:left="1531" w:header="851" w:footer="992" w:gutter="0"/>
          <w:pgNumType w:fmt="decimal" w:start="1"/>
          <w:cols w:space="425" w:num="1"/>
          <w:titlePg/>
          <w:docGrid w:type="lines" w:linePitch="312" w:charSpace="0"/>
        </w:sectPr>
      </w:pPr>
    </w:p>
    <w:p w14:paraId="5BDC0E67">
      <w:pPr>
        <w:pStyle w:val="5"/>
        <w:pageBreakBefore w:val="0"/>
        <w:kinsoku/>
        <w:wordWrap/>
        <w:topLinePunct w:val="0"/>
        <w:bidi w:val="0"/>
        <w:spacing w:before="0" w:after="0" w:afterAutospacing="0" w:line="576" w:lineRule="exact"/>
        <w:ind w:firstLine="643" w:firstLineChars="200"/>
        <w:rPr>
          <w:rFonts w:hint="eastAsia"/>
          <w:lang w:val="en-US" w:eastAsia="zh-CN"/>
        </w:rPr>
      </w:pPr>
      <w:bookmarkStart w:id="158" w:name="_Toc4931"/>
      <w:bookmarkStart w:id="159" w:name="_Toc49"/>
      <w:r>
        <w:rPr>
          <w:rFonts w:hint="eastAsia"/>
          <w:lang w:val="en-US" w:eastAsia="zh-CN"/>
        </w:rPr>
        <w:t>附件2</w:t>
      </w:r>
      <w:bookmarkEnd w:id="158"/>
      <w:bookmarkEnd w:id="159"/>
    </w:p>
    <w:p w14:paraId="602A9584">
      <w:pPr>
        <w:pStyle w:val="5"/>
        <w:pageBreakBefore w:val="0"/>
        <w:kinsoku/>
        <w:wordWrap/>
        <w:topLinePunct w:val="0"/>
        <w:bidi w:val="0"/>
        <w:spacing w:before="0" w:after="0" w:afterAutospacing="0" w:line="576" w:lineRule="exact"/>
        <w:ind w:firstLine="643" w:firstLineChars="200"/>
        <w:jc w:val="center"/>
        <w:rPr>
          <w:rFonts w:hint="eastAsia"/>
          <w:lang w:val="en-US" w:eastAsia="zh-CN"/>
        </w:rPr>
      </w:pPr>
      <w:bookmarkStart w:id="160" w:name="_Toc21118"/>
      <w:bookmarkStart w:id="161" w:name="_Toc9628"/>
      <w:r>
        <w:rPr>
          <w:rFonts w:hint="eastAsia"/>
          <w:lang w:val="en-US" w:eastAsia="zh-CN"/>
        </w:rPr>
        <w:t>红原县融媒体中心</w:t>
      </w:r>
      <w:bookmarkEnd w:id="160"/>
      <w:bookmarkEnd w:id="161"/>
    </w:p>
    <w:p w14:paraId="3570CA68">
      <w:pPr>
        <w:pStyle w:val="5"/>
        <w:pageBreakBefore w:val="0"/>
        <w:kinsoku/>
        <w:wordWrap/>
        <w:topLinePunct w:val="0"/>
        <w:bidi w:val="0"/>
        <w:spacing w:before="0" w:after="0" w:afterAutospacing="0" w:line="576" w:lineRule="exact"/>
        <w:ind w:firstLine="643" w:firstLineChars="200"/>
        <w:jc w:val="center"/>
        <w:rPr>
          <w:rFonts w:hint="eastAsia"/>
          <w:lang w:val="en-US" w:eastAsia="zh-CN"/>
        </w:rPr>
      </w:pPr>
      <w:bookmarkStart w:id="162" w:name="_Toc4774"/>
      <w:r>
        <w:rPr>
          <w:rFonts w:hint="eastAsia"/>
          <w:lang w:val="en-US" w:eastAsia="zh-CN"/>
        </w:rPr>
        <w:t>2023年专项预算项目绩效评价报告</w:t>
      </w:r>
      <w:bookmarkEnd w:id="162"/>
    </w:p>
    <w:p w14:paraId="2BB76E3C">
      <w:pPr>
        <w:pStyle w:val="23"/>
        <w:keepNext w:val="0"/>
        <w:keepLines w:val="0"/>
        <w:pageBreakBefore w:val="0"/>
        <w:widowControl w:val="0"/>
        <w:kinsoku/>
        <w:wordWrap/>
        <w:overflowPunct/>
        <w:topLinePunct w:val="0"/>
        <w:autoSpaceDE/>
        <w:autoSpaceDN/>
        <w:bidi w:val="0"/>
        <w:spacing w:beforeAutospacing="0" w:afterAutospacing="0" w:line="576" w:lineRule="exact"/>
        <w:ind w:left="0" w:leftChars="0" w:firstLine="640" w:firstLineChars="200"/>
        <w:jc w:val="center"/>
        <w:textAlignment w:val="auto"/>
        <w:rPr>
          <w:rFonts w:ascii="宋体" w:hAnsi="宋体"/>
          <w:color w:val="auto"/>
          <w:kern w:val="2"/>
          <w:sz w:val="32"/>
          <w:szCs w:val="32"/>
          <w:highlight w:val="none"/>
        </w:rPr>
      </w:pPr>
    </w:p>
    <w:p w14:paraId="56CBE5AD">
      <w:pPr>
        <w:pStyle w:val="6"/>
        <w:pageBreakBefore w:val="0"/>
        <w:kinsoku/>
        <w:wordWrap/>
        <w:topLinePunct w:val="0"/>
        <w:bidi w:val="0"/>
        <w:spacing w:before="0" w:beforeLines="0" w:after="0" w:afterLines="0" w:afterAutospacing="0" w:line="576" w:lineRule="exact"/>
        <w:ind w:firstLine="643" w:firstLineChars="200"/>
        <w:outlineLvl w:val="1"/>
        <w:rPr>
          <w:lang w:val="zh-CN"/>
        </w:rPr>
      </w:pPr>
      <w:bookmarkStart w:id="163" w:name="_Toc17173"/>
      <w:r>
        <w:rPr>
          <w:rFonts w:hint="eastAsia"/>
        </w:rPr>
        <w:t>一、</w:t>
      </w:r>
      <w:r>
        <w:rPr>
          <w:rFonts w:hint="eastAsia"/>
          <w:lang w:val="zh-CN"/>
        </w:rPr>
        <w:t>项目概况</w:t>
      </w:r>
      <w:bookmarkEnd w:id="163"/>
    </w:p>
    <w:p w14:paraId="0257FBFD">
      <w:pPr>
        <w:pStyle w:val="7"/>
        <w:pageBreakBefore w:val="0"/>
        <w:kinsoku/>
        <w:wordWrap/>
        <w:topLinePunct w:val="0"/>
        <w:bidi w:val="0"/>
        <w:spacing w:before="0" w:beforeLines="0" w:after="0" w:afterLines="0" w:afterAutospacing="0" w:line="576" w:lineRule="exact"/>
        <w:ind w:firstLine="562" w:firstLineChars="200"/>
        <w:rPr>
          <w:rFonts w:hint="eastAsia"/>
          <w:lang w:val="zh-CN" w:eastAsia="zh-CN"/>
        </w:rPr>
      </w:pPr>
      <w:r>
        <w:rPr>
          <w:rFonts w:hint="eastAsia"/>
          <w:lang w:val="zh-CN" w:eastAsia="zh-CN"/>
        </w:rPr>
        <w:t>（一）</w:t>
      </w:r>
      <w:r>
        <w:rPr>
          <w:rFonts w:hint="eastAsia"/>
          <w:lang w:val="en-US" w:eastAsia="zh-CN"/>
        </w:rPr>
        <w:t>专用设备购置</w:t>
      </w:r>
    </w:p>
    <w:p w14:paraId="7DFDA71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lang w:val="zh-CN"/>
        </w:rPr>
        <w:t>设立背景及基本情况。</w:t>
      </w:r>
      <w:r>
        <w:rPr>
          <w:rFonts w:hint="eastAsia" w:ascii="仿宋_GB2312" w:hAnsi="仿宋_GB2312" w:eastAsia="仿宋_GB2312" w:cs="仿宋_GB2312"/>
          <w:color w:val="000000"/>
          <w:sz w:val="32"/>
          <w:szCs w:val="32"/>
          <w:lang w:val="en-US" w:eastAsia="zh-CN"/>
        </w:rPr>
        <w:t>为深入贯彻落实党的十八届三中、四中全会精神。根据《政府采购促进中小企业发展管理办法》（财库〔2020〕46号）的规定，在政府活动采购中，供应商提供的货物、工程或者服务符合财库〔2020〕46号文第四条规定情形的，享受该办法规定的中小企业扶持政策。</w:t>
      </w:r>
    </w:p>
    <w:p w14:paraId="5128E62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Style w:val="17"/>
          <w:rFonts w:ascii="Arial" w:hAnsi="Arial" w:eastAsia="Arial" w:cs="Arial"/>
          <w:i w:val="0"/>
          <w:iCs w:val="0"/>
          <w:caps w:val="0"/>
          <w:color w:val="333333"/>
          <w:spacing w:val="0"/>
          <w:sz w:val="21"/>
          <w:szCs w:val="21"/>
        </w:rPr>
      </w:pPr>
      <w:r>
        <w:rPr>
          <w:rFonts w:hint="eastAsia" w:ascii="仿宋_GB2312" w:hAnsi="仿宋_GB2312" w:eastAsia="仿宋_GB2312" w:cs="仿宋_GB2312"/>
          <w:b/>
          <w:color w:val="auto"/>
          <w:sz w:val="32"/>
          <w:szCs w:val="32"/>
          <w:highlight w:val="none"/>
          <w:u w:val="none"/>
          <w:lang w:val="en-US" w:eastAsia="zh-CN"/>
        </w:rPr>
        <w:t>2.实施目的及支持方向。</w:t>
      </w:r>
      <w:r>
        <w:rPr>
          <w:rFonts w:hint="eastAsia" w:ascii="仿宋_GB2312" w:hAnsi="仿宋_GB2312" w:eastAsia="仿宋_GB2312" w:cs="仿宋_GB2312"/>
          <w:color w:val="000000"/>
          <w:sz w:val="32"/>
          <w:szCs w:val="32"/>
          <w:lang w:val="en-US" w:eastAsia="zh-CN"/>
        </w:rPr>
        <w:t>为确保设备投资效益、‌减少浪费、‌规范设备购置管理程序，‌并支持科技创新、‌战略性新兴产业等领域的项目。重点支持科技创新、‌战略性新兴产业等领域的项目，‌包括但不限于研发设备、‌生产设备、‌信息通信设备等，‌鼓励企业采购首台（‌套）‌技术装备，‌促进技术和产业的发展。‌</w:t>
      </w:r>
      <w:r>
        <w:rPr>
          <w:rStyle w:val="17"/>
          <w:rFonts w:ascii="Arial" w:hAnsi="Arial" w:eastAsia="Arial" w:cs="Arial"/>
          <w:i w:val="0"/>
          <w:iCs w:val="0"/>
          <w:caps w:val="0"/>
          <w:color w:val="333333"/>
          <w:spacing w:val="0"/>
          <w:sz w:val="21"/>
          <w:szCs w:val="21"/>
        </w:rPr>
        <w:t>‌</w:t>
      </w:r>
    </w:p>
    <w:p w14:paraId="2ED564D1">
      <w:pPr>
        <w:pStyle w:val="3"/>
        <w:keepNext w:val="0"/>
        <w:keepLines w:val="0"/>
        <w:pageBreakBefore w:val="0"/>
        <w:numPr>
          <w:ilvl w:val="0"/>
          <w:numId w:val="0"/>
        </w:numPr>
        <w:tabs>
          <w:tab w:val="left" w:pos="2160"/>
        </w:tabs>
        <w:kinsoku/>
        <w:wordWrap/>
        <w:overflowPunct/>
        <w:topLinePunct w:val="0"/>
        <w:autoSpaceDE/>
        <w:autoSpaceDN/>
        <w:bidi w:val="0"/>
        <w:adjustRightInd/>
        <w:snapToGrid/>
        <w:spacing w:beforeAutospacing="0" w:after="0" w:afterAutospacing="0" w:line="576" w:lineRule="exact"/>
        <w:ind w:left="0" w:leftChars="0"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3.预算安排及分配管理</w:t>
      </w:r>
      <w:r>
        <w:rPr>
          <w:rFonts w:hint="eastAsia" w:ascii="仿宋_GB2312" w:hAnsi="仿宋_GB2312" w:eastAsia="仿宋_GB2312" w:cs="仿宋_GB2312"/>
          <w:b/>
          <w:color w:val="auto"/>
          <w:sz w:val="32"/>
          <w:szCs w:val="32"/>
          <w:highlight w:val="none"/>
          <w:u w:val="none"/>
          <w:lang w:val="zh-CN" w:eastAsia="zh-CN"/>
        </w:rPr>
        <w:t>。</w:t>
      </w:r>
      <w:r>
        <w:rPr>
          <w:rFonts w:hint="eastAsia" w:ascii="仿宋_GB2312" w:hAnsi="仿宋_GB2312" w:cs="仿宋_GB2312"/>
          <w:color w:val="000000"/>
          <w:sz w:val="32"/>
          <w:szCs w:val="32"/>
          <w:lang w:val="en-US" w:eastAsia="zh-CN"/>
        </w:rPr>
        <w:t>专业设备购置</w:t>
      </w:r>
      <w:r>
        <w:rPr>
          <w:rFonts w:hint="eastAsia" w:ascii="仿宋_GB2312" w:hAnsi="仿宋_GB2312" w:eastAsia="仿宋_GB2312" w:cs="仿宋_GB2312"/>
          <w:color w:val="000000"/>
          <w:sz w:val="32"/>
          <w:szCs w:val="32"/>
          <w:lang w:val="en-US" w:eastAsia="zh-CN"/>
        </w:rPr>
        <w:t>年度预算经费为</w:t>
      </w:r>
      <w:r>
        <w:rPr>
          <w:rFonts w:hint="eastAsia" w:ascii="仿宋_GB2312" w:hAnsi="仿宋_GB2312" w:cs="仿宋_GB2312"/>
          <w:color w:val="000000"/>
          <w:sz w:val="32"/>
          <w:szCs w:val="32"/>
          <w:lang w:val="en-US" w:eastAsia="zh-CN"/>
        </w:rPr>
        <w:t>145</w:t>
      </w:r>
      <w:r>
        <w:rPr>
          <w:rFonts w:hint="eastAsia" w:ascii="仿宋_GB2312" w:hAnsi="仿宋_GB2312" w:eastAsia="仿宋_GB2312" w:cs="仿宋_GB2312"/>
          <w:color w:val="000000"/>
          <w:sz w:val="32"/>
          <w:szCs w:val="32"/>
          <w:lang w:val="en-US" w:eastAsia="zh-CN"/>
        </w:rPr>
        <w:t>万元。支出费用：</w:t>
      </w:r>
      <w:r>
        <w:rPr>
          <w:rFonts w:hint="eastAsia" w:ascii="仿宋_GB2312" w:hAnsi="仿宋_GB2312" w:eastAsia="仿宋_GB2312" w:cs="仿宋_GB2312"/>
          <w:b w:val="0"/>
          <w:bCs w:val="0"/>
          <w:color w:val="auto"/>
          <w:sz w:val="32"/>
          <w:szCs w:val="32"/>
          <w:lang w:val="en-US" w:eastAsia="zh-CN"/>
        </w:rPr>
        <w:t>购买4轴电影级运动摄像机一套，摄像机镜头3个，无线麦克风5个、vlog运动相机5个、手机云台9个、摄像机4个、微单相机13个、无人机5个、直播设备1套等新闻采编播设备等。</w:t>
      </w:r>
    </w:p>
    <w:p w14:paraId="4290F80D">
      <w:pPr>
        <w:pStyle w:val="3"/>
        <w:keepNext w:val="0"/>
        <w:keepLines w:val="0"/>
        <w:pageBreakBefore w:val="0"/>
        <w:numPr>
          <w:ilvl w:val="0"/>
          <w:numId w:val="0"/>
        </w:numPr>
        <w:tabs>
          <w:tab w:val="left" w:pos="2160"/>
        </w:tabs>
        <w:kinsoku/>
        <w:wordWrap/>
        <w:overflowPunct/>
        <w:topLinePunct w:val="0"/>
        <w:autoSpaceDE/>
        <w:autoSpaceDN/>
        <w:bidi w:val="0"/>
        <w:adjustRightInd/>
        <w:snapToGrid/>
        <w:spacing w:beforeAutospacing="0" w:after="0" w:afterAutospacing="0" w:line="576" w:lineRule="exact"/>
        <w:ind w:left="0" w:leftChars="0" w:firstLine="643" w:firstLineChars="200"/>
        <w:textAlignment w:val="auto"/>
        <w:rPr>
          <w:rFonts w:hint="eastAsia"/>
          <w:lang w:val="en-US" w:eastAsia="zh-CN"/>
        </w:rPr>
      </w:pPr>
      <w:r>
        <w:rPr>
          <w:rFonts w:hint="eastAsia" w:ascii="仿宋_GB2312" w:hAnsi="仿宋_GB2312" w:eastAsia="仿宋_GB2312" w:cs="仿宋_GB2312"/>
          <w:b/>
          <w:color w:val="auto"/>
          <w:sz w:val="32"/>
          <w:szCs w:val="32"/>
          <w:highlight w:val="none"/>
          <w:u w:val="none"/>
          <w:lang w:val="en-US" w:eastAsia="zh-CN"/>
        </w:rPr>
        <w:t>4.</w:t>
      </w:r>
      <w:r>
        <w:rPr>
          <w:rFonts w:hint="eastAsia" w:ascii="仿宋_GB2312" w:hAnsi="仿宋_GB2312" w:eastAsia="仿宋_GB2312" w:cs="仿宋_GB2312"/>
          <w:b/>
          <w:color w:val="auto"/>
          <w:sz w:val="32"/>
          <w:szCs w:val="32"/>
          <w:highlight w:val="none"/>
          <w:u w:val="none"/>
          <w:lang w:val="zh-CN" w:eastAsia="zh-CN"/>
        </w:rPr>
        <w:t>项目绩效目标设置。</w:t>
      </w:r>
      <w:r>
        <w:rPr>
          <w:rFonts w:hint="eastAsia" w:ascii="仿宋_GB2312" w:hAnsi="仿宋_GB2312" w:eastAsia="仿宋_GB2312" w:cs="仿宋_GB2312"/>
          <w:b w:val="0"/>
          <w:bCs w:val="0"/>
          <w:color w:val="auto"/>
          <w:sz w:val="32"/>
          <w:szCs w:val="32"/>
          <w:lang w:val="en-US" w:eastAsia="zh-CN"/>
        </w:rPr>
        <w:t>为实现全媒体新闻生产和传播形成“一体策划、一次采集、多种生成、多元发布”的融媒体新闻生产格局贡献力量。</w:t>
      </w:r>
    </w:p>
    <w:p w14:paraId="2942F6D6">
      <w:pPr>
        <w:pStyle w:val="7"/>
        <w:pageBreakBefore w:val="0"/>
        <w:kinsoku/>
        <w:wordWrap/>
        <w:topLinePunct w:val="0"/>
        <w:bidi w:val="0"/>
        <w:spacing w:before="0" w:beforeLines="0" w:after="0" w:afterLines="0" w:afterAutospacing="0" w:line="576" w:lineRule="exact"/>
        <w:ind w:firstLine="562" w:firstLineChars="200"/>
        <w:rPr>
          <w:rFonts w:hint="eastAsia"/>
          <w:lang w:val="en-US" w:eastAsia="zh-CN"/>
        </w:rPr>
      </w:pPr>
      <w:r>
        <w:rPr>
          <w:rFonts w:hint="eastAsia"/>
          <w:lang w:val="zh-CN" w:eastAsia="zh-CN"/>
        </w:rPr>
        <w:t>（</w:t>
      </w:r>
      <w:r>
        <w:rPr>
          <w:rFonts w:hint="eastAsia"/>
          <w:lang w:val="en-US" w:eastAsia="zh-CN"/>
        </w:rPr>
        <w:t>二</w:t>
      </w:r>
      <w:r>
        <w:rPr>
          <w:rFonts w:hint="eastAsia"/>
          <w:lang w:val="zh-CN" w:eastAsia="zh-CN"/>
        </w:rPr>
        <w:t>）</w:t>
      </w:r>
      <w:r>
        <w:rPr>
          <w:rFonts w:hint="eastAsia"/>
          <w:lang w:val="en-US" w:eastAsia="zh-CN"/>
        </w:rPr>
        <w:t>大美红原APP运维费</w:t>
      </w:r>
    </w:p>
    <w:p w14:paraId="152503C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lang w:val="zh-CN"/>
        </w:rPr>
        <w:t>设立背景及基本情况。</w:t>
      </w:r>
      <w:r>
        <w:rPr>
          <w:rFonts w:hint="eastAsia" w:ascii="仿宋_GB2312" w:hAnsi="仿宋_GB2312" w:eastAsia="仿宋_GB2312" w:cs="仿宋_GB2312"/>
          <w:color w:val="000000"/>
          <w:sz w:val="32"/>
          <w:szCs w:val="32"/>
          <w:lang w:val="en-US" w:eastAsia="zh-CN"/>
        </w:rPr>
        <w:t>大美红原APP依托红原县融媒体中心建设而开发。大美红原APP的设立旨在通过整合资源、‌创新发展、‌服务群众与引导舆论等多方面的努力，‌提升县级媒体传播力、‌引导力、‌影响力、‌公信力，‌以适应新媒体时代的发展需求。</w:t>
      </w:r>
    </w:p>
    <w:p w14:paraId="6E129E5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2.实施目的及支持方向。</w:t>
      </w:r>
      <w:r>
        <w:rPr>
          <w:rFonts w:hint="eastAsia" w:ascii="仿宋_GB2312" w:hAnsi="仿宋_GB2312" w:eastAsia="仿宋_GB2312" w:cs="仿宋_GB2312"/>
          <w:color w:val="000000"/>
          <w:sz w:val="32"/>
          <w:szCs w:val="32"/>
          <w:lang w:val="en-US" w:eastAsia="zh-CN"/>
        </w:rPr>
        <w:t>为确保大美红原APP正常运行，加强和改进基层宣传思想工作、‌推动县级媒体转型升级。‌同时‌充分发挥多项便民功能，通过加强内容创新、‌技术支撑和服务质量的提升，‌有效连接政府、‌县域各行各业和群众，‌成为推动基层治理和发展的重要力量。</w:t>
      </w:r>
    </w:p>
    <w:p w14:paraId="748A6538">
      <w:pPr>
        <w:keepNext w:val="0"/>
        <w:keepLines w:val="0"/>
        <w:pageBreakBefore w:val="0"/>
        <w:widowControl/>
        <w:suppressLineNumbers w:val="0"/>
        <w:kinsoku/>
        <w:wordWrap/>
        <w:topLinePunct w:val="0"/>
        <w:autoSpaceDE/>
        <w:autoSpaceDN/>
        <w:bidi w:val="0"/>
        <w:spacing w:beforeAutospacing="0" w:afterAutospacing="0" w:line="576" w:lineRule="exact"/>
        <w:ind w:left="0" w:leftChars="0" w:firstLine="643" w:firstLineChars="200"/>
        <w:jc w:val="left"/>
        <w:rPr>
          <w:rFonts w:hint="eastAsia" w:ascii="仿宋_GB2312" w:hAnsi="仿宋_GB2312" w:eastAsia="仿宋_GB2312" w:cs="仿宋_GB2312"/>
          <w:color w:val="auto"/>
          <w:kern w:val="0"/>
          <w:sz w:val="32"/>
          <w:szCs w:val="32"/>
          <w:highlight w:val="none"/>
          <w:u w:val="none"/>
          <w:shd w:val="clear" w:color="auto" w:fill="FFFFFF"/>
          <w:lang w:val="zh-CN"/>
        </w:rPr>
      </w:pPr>
      <w:r>
        <w:rPr>
          <w:rFonts w:hint="eastAsia" w:ascii="仿宋_GB2312" w:hAnsi="仿宋_GB2312" w:eastAsia="仿宋_GB2312" w:cs="仿宋_GB2312"/>
          <w:b/>
          <w:color w:val="auto"/>
          <w:sz w:val="32"/>
          <w:szCs w:val="32"/>
          <w:highlight w:val="none"/>
          <w:u w:val="none"/>
          <w:lang w:val="en-US" w:eastAsia="zh-CN"/>
        </w:rPr>
        <w:t>3.预算安排及分配管理</w:t>
      </w:r>
      <w:r>
        <w:rPr>
          <w:rFonts w:hint="eastAsia" w:ascii="仿宋_GB2312" w:hAnsi="仿宋_GB2312" w:eastAsia="仿宋_GB2312" w:cs="仿宋_GB2312"/>
          <w:b/>
          <w:color w:val="auto"/>
          <w:sz w:val="32"/>
          <w:szCs w:val="32"/>
          <w:highlight w:val="none"/>
          <w:u w:val="none"/>
          <w:lang w:val="zh-CN" w:eastAsia="zh-CN"/>
        </w:rPr>
        <w:t>。</w:t>
      </w:r>
      <w:r>
        <w:rPr>
          <w:rFonts w:hint="eastAsia" w:ascii="仿宋_GB2312" w:hAnsi="仿宋_GB2312" w:eastAsia="仿宋_GB2312" w:cs="仿宋_GB2312"/>
          <w:color w:val="000000"/>
          <w:sz w:val="32"/>
          <w:szCs w:val="32"/>
          <w:lang w:val="en-US" w:eastAsia="zh-CN"/>
        </w:rPr>
        <w:t>大美红原县APP运维费年度预算经费为</w:t>
      </w:r>
      <w:r>
        <w:rPr>
          <w:rFonts w:hint="eastAsia" w:ascii="仿宋_GB2312" w:hAnsi="仿宋_GB2312" w:cs="仿宋_GB2312"/>
          <w:color w:val="000000"/>
          <w:sz w:val="32"/>
          <w:szCs w:val="32"/>
          <w:lang w:val="en-US" w:eastAsia="zh-CN"/>
        </w:rPr>
        <w:t>6.4</w:t>
      </w:r>
      <w:r>
        <w:rPr>
          <w:rFonts w:hint="eastAsia" w:ascii="仿宋_GB2312" w:hAnsi="仿宋_GB2312" w:eastAsia="仿宋_GB2312" w:cs="仿宋_GB2312"/>
          <w:color w:val="000000"/>
          <w:sz w:val="32"/>
          <w:szCs w:val="32"/>
          <w:lang w:val="en-US" w:eastAsia="zh-CN"/>
        </w:rPr>
        <w:t>万元。支出费用</w:t>
      </w:r>
      <w:r>
        <w:rPr>
          <w:rFonts w:hint="eastAsia" w:ascii="仿宋_GB2312" w:hAnsi="仿宋_GB2312" w:cs="仿宋_GB2312"/>
          <w:color w:val="000000"/>
          <w:sz w:val="32"/>
          <w:szCs w:val="32"/>
          <w:lang w:val="en-US" w:eastAsia="zh-CN"/>
        </w:rPr>
        <w:t>：</w:t>
      </w:r>
      <w:r>
        <w:rPr>
          <w:rFonts w:hint="eastAsia" w:ascii="仿宋_GB2312" w:hAnsi="仿宋_GB2312" w:eastAsia="仿宋_GB2312" w:cs="仿宋_GB2312"/>
          <w:color w:val="000000"/>
          <w:sz w:val="32"/>
          <w:szCs w:val="32"/>
          <w:lang w:val="en-US" w:eastAsia="zh-CN"/>
        </w:rPr>
        <w:t>1、提供系统线上稳定运行的技术支撑：2023年完成了红原县融媒体系统12次月度系统基础运行状态巡检，完成一次运维基础环境升级工作，完成两次应用系统漏洞修复，修复应用系统安全漏洞30余个。系统全年运行可用率达成99.9%。系统运行未出现严重停机故障，一切运行正常。2、对线上出现的bug，根据影响情况进行了及时修复。3、提供软件技术支持，包括软件相关技术和参数维护完成了到期HTTPS证书的更换以及苹果开发者账户的续费操作。4、不定期发布优化补丁，已有功能bug问题修复。根据移动政务云要求，配合完成了融媒体系统服务器降配。</w:t>
      </w:r>
      <w:r>
        <w:rPr>
          <w:rFonts w:hint="eastAsia" w:ascii="仿宋_GB2312" w:hAnsi="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提供软件安全解决方案，配合移动政务云完成了ipv6的相关升级。</w:t>
      </w:r>
      <w:r>
        <w:rPr>
          <w:rFonts w:hint="eastAsia" w:ascii="仿宋_GB2312" w:hAnsi="仿宋_GB2312" w:cs="仿宋_GB2312"/>
          <w:color w:val="000000"/>
          <w:sz w:val="32"/>
          <w:szCs w:val="32"/>
          <w:lang w:val="en-US" w:eastAsia="zh-CN"/>
        </w:rPr>
        <w:t>6、</w:t>
      </w:r>
      <w:r>
        <w:rPr>
          <w:rFonts w:hint="eastAsia" w:ascii="仿宋_GB2312" w:hAnsi="仿宋_GB2312" w:eastAsia="仿宋_GB2312" w:cs="仿宋_GB2312"/>
          <w:color w:val="000000"/>
          <w:sz w:val="32"/>
          <w:szCs w:val="32"/>
          <w:lang w:val="en-US" w:eastAsia="zh-CN"/>
        </w:rPr>
        <w:t>全套系统代码托管，定期代码备份，安全漏洞升级等。</w:t>
      </w:r>
      <w:r>
        <w:rPr>
          <w:rFonts w:hint="eastAsia" w:ascii="仿宋_GB2312" w:hAnsi="仿宋_GB2312" w:cs="仿宋_GB2312"/>
          <w:color w:val="000000"/>
          <w:sz w:val="32"/>
          <w:szCs w:val="32"/>
          <w:lang w:val="en-US" w:eastAsia="zh-CN"/>
        </w:rPr>
        <w:t>7、</w:t>
      </w:r>
      <w:r>
        <w:rPr>
          <w:rFonts w:hint="eastAsia" w:ascii="仿宋_GB2312" w:hAnsi="仿宋_GB2312" w:eastAsia="仿宋_GB2312" w:cs="仿宋_GB2312"/>
          <w:color w:val="000000"/>
          <w:sz w:val="32"/>
          <w:szCs w:val="32"/>
          <w:lang w:val="en-US" w:eastAsia="zh-CN"/>
        </w:rPr>
        <w:t>提供了产品使用支持，使用问题答疑。</w:t>
      </w:r>
      <w:r>
        <w:rPr>
          <w:rFonts w:hint="eastAsia" w:ascii="仿宋_GB2312" w:hAnsi="仿宋_GB2312" w:cs="仿宋_GB2312"/>
          <w:color w:val="000000"/>
          <w:sz w:val="32"/>
          <w:szCs w:val="32"/>
          <w:lang w:val="en-US" w:eastAsia="zh-CN"/>
        </w:rPr>
        <w:t>8、</w:t>
      </w:r>
      <w:r>
        <w:rPr>
          <w:rFonts w:hint="eastAsia" w:ascii="仿宋_GB2312" w:hAnsi="仿宋_GB2312" w:eastAsia="仿宋_GB2312" w:cs="仿宋_GB2312"/>
          <w:color w:val="000000"/>
          <w:sz w:val="32"/>
          <w:szCs w:val="32"/>
          <w:lang w:val="en-US" w:eastAsia="zh-CN"/>
        </w:rPr>
        <w:t>针对系统一般性功能故障进行了原因排查、响应及支持</w:t>
      </w:r>
      <w:r>
        <w:rPr>
          <w:rFonts w:hint="eastAsia" w:ascii="仿宋_GB2312" w:hAnsi="仿宋_GB2312" w:cs="仿宋_GB2312"/>
          <w:color w:val="000000"/>
          <w:sz w:val="32"/>
          <w:szCs w:val="32"/>
          <w:lang w:val="en-US" w:eastAsia="zh-CN"/>
        </w:rPr>
        <w:t>9、</w:t>
      </w:r>
      <w:r>
        <w:rPr>
          <w:rFonts w:hint="eastAsia" w:ascii="仿宋_GB2312" w:hAnsi="仿宋_GB2312" w:eastAsia="仿宋_GB2312" w:cs="仿宋_GB2312"/>
          <w:color w:val="000000"/>
          <w:sz w:val="32"/>
          <w:szCs w:val="32"/>
          <w:lang w:val="en-US" w:eastAsia="zh-CN"/>
        </w:rPr>
        <w:t>政务完成了四川省文化大数据的数字大礼包接入。此外，建议采购客户端一键换肤功能，通过后台系统的开关来控制APP的页面颜色样式，包括日常、飘红、置灰等样式，支持不用发布新版本即可切换以上多种样式。</w:t>
      </w:r>
    </w:p>
    <w:p w14:paraId="54F4D4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cs="仿宋_GB2312"/>
          <w:b/>
          <w:color w:val="auto"/>
          <w:sz w:val="32"/>
          <w:szCs w:val="32"/>
          <w:highlight w:val="none"/>
          <w:u w:val="none"/>
          <w:lang w:val="en-US" w:eastAsia="zh-CN"/>
        </w:rPr>
        <w:t>4.</w:t>
      </w:r>
      <w:r>
        <w:rPr>
          <w:rFonts w:hint="eastAsia" w:ascii="仿宋_GB2312" w:hAnsi="仿宋_GB2312" w:eastAsia="仿宋_GB2312" w:cs="仿宋_GB2312"/>
          <w:b/>
          <w:color w:val="auto"/>
          <w:sz w:val="32"/>
          <w:szCs w:val="32"/>
          <w:highlight w:val="none"/>
          <w:u w:val="none"/>
          <w:lang w:val="zh-CN" w:eastAsia="zh-CN"/>
        </w:rPr>
        <w:t>项目绩效目标设置。</w:t>
      </w:r>
      <w:r>
        <w:rPr>
          <w:rFonts w:hint="eastAsia" w:ascii="仿宋_GB2312" w:hAnsi="仿宋_GB2312" w:eastAsia="仿宋_GB2312" w:cs="仿宋_GB2312"/>
          <w:color w:val="000000"/>
          <w:sz w:val="32"/>
          <w:szCs w:val="32"/>
        </w:rPr>
        <w:t>绩效目标和绩效指标量化可考核，相匹配，全面完整，契合政策或项目实质，与部门的长期规划目标、年度工作目标相一致，产出和效果相关联，指标预测满意</w:t>
      </w:r>
      <w:r>
        <w:rPr>
          <w:rFonts w:hint="eastAsia" w:ascii="仿宋_GB2312" w:hAnsi="仿宋_GB2312" w:eastAsia="仿宋_GB2312" w:cs="仿宋_GB2312"/>
          <w:color w:val="000000"/>
          <w:sz w:val="32"/>
          <w:szCs w:val="32"/>
          <w:lang w:eastAsia="zh-CN"/>
        </w:rPr>
        <w:t>。</w:t>
      </w:r>
    </w:p>
    <w:p w14:paraId="13FA1CC6">
      <w:pPr>
        <w:pStyle w:val="7"/>
        <w:pageBreakBefore w:val="0"/>
        <w:kinsoku/>
        <w:wordWrap/>
        <w:topLinePunct w:val="0"/>
        <w:bidi w:val="0"/>
        <w:spacing w:before="0" w:beforeLines="0" w:after="0" w:afterLines="0" w:afterAutospacing="0" w:line="576" w:lineRule="exact"/>
        <w:ind w:firstLine="562" w:firstLineChars="200"/>
        <w:rPr>
          <w:rFonts w:hint="eastAsia"/>
          <w:lang w:val="zh-CN" w:eastAsia="zh-CN"/>
        </w:rPr>
      </w:pPr>
      <w:r>
        <w:rPr>
          <w:rFonts w:hint="eastAsia"/>
          <w:lang w:val="zh-CN" w:eastAsia="zh-CN"/>
        </w:rPr>
        <w:t>（</w:t>
      </w:r>
      <w:r>
        <w:rPr>
          <w:rFonts w:hint="eastAsia"/>
          <w:lang w:val="en-US" w:eastAsia="zh-CN"/>
        </w:rPr>
        <w:t>三</w:t>
      </w:r>
      <w:r>
        <w:rPr>
          <w:rFonts w:hint="eastAsia"/>
          <w:lang w:val="zh-CN" w:eastAsia="zh-CN"/>
        </w:rPr>
        <w:t>）</w:t>
      </w:r>
      <w:r>
        <w:rPr>
          <w:rFonts w:hint="eastAsia"/>
          <w:lang w:val="en-US" w:eastAsia="zh-CN"/>
        </w:rPr>
        <w:t>红原县广播电视台院内综合治理项目质保金</w:t>
      </w:r>
    </w:p>
    <w:p w14:paraId="68509B9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Style w:val="17"/>
          <w:rFonts w:ascii="Arial" w:hAnsi="Arial" w:eastAsia="Arial" w:cs="Arial"/>
          <w:i w:val="0"/>
          <w:iCs w:val="0"/>
          <w:caps w:val="0"/>
          <w:color w:val="333333"/>
          <w:spacing w:val="0"/>
          <w:sz w:val="21"/>
          <w:szCs w:val="21"/>
        </w:rPr>
      </w:pP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lang w:val="zh-CN"/>
        </w:rPr>
        <w:t>设立背景及基本情况。</w:t>
      </w:r>
      <w:r>
        <w:rPr>
          <w:rFonts w:hint="eastAsia" w:ascii="仿宋_GB2312" w:hAnsi="仿宋_GB2312" w:eastAsia="仿宋_GB2312" w:cs="仿宋_GB2312"/>
          <w:color w:val="000000"/>
          <w:sz w:val="32"/>
          <w:szCs w:val="32"/>
          <w:lang w:val="en-US" w:eastAsia="zh-CN"/>
        </w:rPr>
        <w:t>为了确保广播电视设施设备信号台站代维项目的质量与安全，‌保障广播电视服务的稳定运行</w:t>
      </w:r>
      <w:r>
        <w:rPr>
          <w:rStyle w:val="17"/>
          <w:rFonts w:ascii="Arial" w:hAnsi="Arial" w:eastAsia="Arial" w:cs="Arial"/>
          <w:i w:val="0"/>
          <w:iCs w:val="0"/>
          <w:caps w:val="0"/>
          <w:color w:val="333333"/>
          <w:spacing w:val="0"/>
          <w:sz w:val="21"/>
          <w:szCs w:val="21"/>
        </w:rPr>
        <w:t>。</w:t>
      </w:r>
    </w:p>
    <w:p w14:paraId="3DB9CED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Style w:val="17"/>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2.实施目的及支持方向。</w:t>
      </w:r>
      <w:r>
        <w:rPr>
          <w:rFonts w:hint="eastAsia" w:ascii="仿宋_GB2312" w:hAnsi="仿宋_GB2312" w:eastAsia="仿宋_GB2312" w:cs="仿宋_GB2312"/>
          <w:color w:val="000000"/>
          <w:sz w:val="32"/>
          <w:szCs w:val="32"/>
          <w:lang w:val="en-US" w:eastAsia="zh-CN"/>
        </w:rPr>
        <w:t>通过提升广播电视事业的高质量发展、‌加强文化市场执法力度、‌促进文化市场健康发展以及提高社会治理能力和现代化水平，‌以满足人民群众对高质量文化生活的需求，‌促进县级广播电视事业的可持续发展</w:t>
      </w:r>
    </w:p>
    <w:p w14:paraId="4578ED4B">
      <w:pPr>
        <w:pStyle w:val="3"/>
        <w:keepNext w:val="0"/>
        <w:keepLines w:val="0"/>
        <w:pageBreakBefore w:val="0"/>
        <w:numPr>
          <w:ilvl w:val="0"/>
          <w:numId w:val="0"/>
        </w:numPr>
        <w:tabs>
          <w:tab w:val="left" w:pos="2160"/>
        </w:tabs>
        <w:kinsoku/>
        <w:wordWrap/>
        <w:overflowPunct/>
        <w:topLinePunct w:val="0"/>
        <w:autoSpaceDE/>
        <w:autoSpaceDN/>
        <w:bidi w:val="0"/>
        <w:adjustRightInd/>
        <w:snapToGrid/>
        <w:spacing w:beforeAutospacing="0" w:after="0" w:afterAutospacing="0" w:line="576" w:lineRule="exact"/>
        <w:ind w:left="0" w:leftChars="0"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3.预算安排及分配管理</w:t>
      </w:r>
      <w:r>
        <w:rPr>
          <w:rFonts w:hint="eastAsia" w:ascii="仿宋_GB2312" w:hAnsi="仿宋_GB2312" w:eastAsia="仿宋_GB2312" w:cs="仿宋_GB2312"/>
          <w:b/>
          <w:color w:val="auto"/>
          <w:sz w:val="32"/>
          <w:szCs w:val="32"/>
          <w:highlight w:val="none"/>
          <w:u w:val="none"/>
          <w:lang w:val="zh-CN" w:eastAsia="zh-CN"/>
        </w:rPr>
        <w:t>。</w:t>
      </w:r>
      <w:r>
        <w:rPr>
          <w:rFonts w:hint="eastAsia" w:ascii="仿宋_GB2312" w:hAnsi="仿宋_GB2312" w:eastAsia="仿宋_GB2312" w:cs="仿宋_GB2312"/>
          <w:color w:val="000000"/>
          <w:sz w:val="32"/>
          <w:szCs w:val="32"/>
          <w:lang w:val="en-US" w:eastAsia="zh-CN"/>
        </w:rPr>
        <w:t>红原县广播电视台院内综合治理项目质保金年度预算经费为</w:t>
      </w:r>
      <w:r>
        <w:rPr>
          <w:rFonts w:hint="eastAsia" w:ascii="仿宋_GB2312" w:hAnsi="仿宋_GB2312" w:cs="仿宋_GB2312"/>
          <w:color w:val="000000"/>
          <w:sz w:val="32"/>
          <w:szCs w:val="32"/>
          <w:lang w:val="en-US" w:eastAsia="zh-CN"/>
        </w:rPr>
        <w:t xml:space="preserve">1.19 </w:t>
      </w:r>
      <w:r>
        <w:rPr>
          <w:rFonts w:hint="eastAsia" w:ascii="仿宋_GB2312" w:hAnsi="仿宋_GB2312" w:eastAsia="仿宋_GB2312" w:cs="仿宋_GB2312"/>
          <w:color w:val="000000"/>
          <w:sz w:val="32"/>
          <w:szCs w:val="32"/>
          <w:lang w:val="en-US" w:eastAsia="zh-CN"/>
        </w:rPr>
        <w:t>万元。</w:t>
      </w:r>
    </w:p>
    <w:p w14:paraId="1E57736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000000"/>
          <w:sz w:val="32"/>
          <w:szCs w:val="32"/>
          <w:lang w:val="zh-CN" w:eastAsia="zh-CN"/>
        </w:rPr>
      </w:pPr>
      <w:r>
        <w:rPr>
          <w:rFonts w:hint="eastAsia" w:ascii="仿宋_GB2312" w:hAnsi="仿宋_GB2312" w:eastAsia="仿宋_GB2312" w:cs="仿宋_GB2312"/>
          <w:b/>
          <w:color w:val="auto"/>
          <w:sz w:val="32"/>
          <w:szCs w:val="32"/>
          <w:highlight w:val="none"/>
          <w:u w:val="none"/>
          <w:lang w:val="en-US" w:eastAsia="zh-CN"/>
        </w:rPr>
        <w:t>4.</w:t>
      </w:r>
      <w:r>
        <w:rPr>
          <w:rFonts w:hint="eastAsia" w:ascii="仿宋_GB2312" w:hAnsi="仿宋_GB2312" w:eastAsia="仿宋_GB2312" w:cs="仿宋_GB2312"/>
          <w:b/>
          <w:color w:val="auto"/>
          <w:sz w:val="32"/>
          <w:szCs w:val="32"/>
          <w:highlight w:val="none"/>
          <w:u w:val="none"/>
          <w:lang w:val="zh-CN" w:eastAsia="zh-CN"/>
        </w:rPr>
        <w:t>项目绩效目标设置。</w:t>
      </w:r>
      <w:r>
        <w:rPr>
          <w:rFonts w:hint="eastAsia" w:ascii="仿宋_GB2312" w:hAnsi="仿宋_GB2312" w:eastAsia="仿宋_GB2312" w:cs="仿宋_GB2312"/>
          <w:color w:val="000000"/>
          <w:sz w:val="32"/>
          <w:szCs w:val="32"/>
          <w:lang w:val="zh-CN" w:eastAsia="zh-CN"/>
        </w:rPr>
        <w:t>主要围绕提升广播电视台的运行效率、‌加强媒体融合、‌提高节目质量、强化内部管理以及提升运行效率等措施，‌全面提升广播电视台的服务能力和社会影响力。</w:t>
      </w:r>
    </w:p>
    <w:p w14:paraId="3A5729B5">
      <w:pPr>
        <w:pStyle w:val="7"/>
        <w:pageBreakBefore w:val="0"/>
        <w:kinsoku/>
        <w:wordWrap/>
        <w:topLinePunct w:val="0"/>
        <w:bidi w:val="0"/>
        <w:spacing w:before="0" w:beforeLines="0" w:after="0" w:afterLines="0" w:afterAutospacing="0" w:line="576" w:lineRule="exact"/>
        <w:ind w:firstLine="562" w:firstLineChars="200"/>
        <w:rPr>
          <w:rFonts w:hint="eastAsia"/>
          <w:lang w:val="zh-CN" w:eastAsia="zh-CN"/>
        </w:rPr>
      </w:pPr>
      <w:r>
        <w:rPr>
          <w:rFonts w:hint="eastAsia"/>
          <w:lang w:val="zh-CN" w:eastAsia="zh-CN"/>
        </w:rPr>
        <w:t>（</w:t>
      </w:r>
      <w:r>
        <w:rPr>
          <w:rFonts w:hint="eastAsia"/>
          <w:lang w:val="en-US" w:eastAsia="zh-CN"/>
        </w:rPr>
        <w:t>四</w:t>
      </w:r>
      <w:r>
        <w:rPr>
          <w:rFonts w:hint="eastAsia"/>
          <w:lang w:val="zh-CN" w:eastAsia="zh-CN"/>
        </w:rPr>
        <w:t>）</w:t>
      </w:r>
      <w:r>
        <w:rPr>
          <w:rFonts w:hint="eastAsia"/>
          <w:lang w:val="en-US" w:eastAsia="zh-CN"/>
        </w:rPr>
        <w:t>关于下达2022年中央和省级公共文化服务体系建设（广播电视重点项目）补助资金</w:t>
      </w:r>
    </w:p>
    <w:p w14:paraId="340481E0">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Style w:val="17"/>
          <w:rFonts w:ascii="Arial" w:hAnsi="Arial" w:eastAsia="Arial" w:cs="Arial"/>
          <w:i w:val="0"/>
          <w:iCs w:val="0"/>
          <w:caps w:val="0"/>
          <w:color w:val="333333"/>
          <w:spacing w:val="0"/>
          <w:sz w:val="21"/>
          <w:szCs w:val="21"/>
        </w:rPr>
      </w:pP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lang w:val="zh-CN"/>
        </w:rPr>
        <w:t>设立背景及基本情况。</w:t>
      </w:r>
      <w:r>
        <w:rPr>
          <w:rFonts w:hint="eastAsia" w:ascii="仿宋_GB2312" w:hAnsi="仿宋_GB2312" w:eastAsia="仿宋_GB2312" w:cs="仿宋_GB2312"/>
          <w:color w:val="000000"/>
          <w:sz w:val="32"/>
          <w:szCs w:val="32"/>
          <w:lang w:val="en-US" w:eastAsia="zh-CN"/>
        </w:rPr>
        <w:t>为了确保广播电视设施设备信号台站代维项目的质量与安全，‌保障广播电视服务的稳定运行</w:t>
      </w:r>
      <w:r>
        <w:rPr>
          <w:rStyle w:val="17"/>
          <w:rFonts w:ascii="Arial" w:hAnsi="Arial" w:eastAsia="Arial" w:cs="Arial"/>
          <w:i w:val="0"/>
          <w:iCs w:val="0"/>
          <w:caps w:val="0"/>
          <w:color w:val="333333"/>
          <w:spacing w:val="0"/>
          <w:sz w:val="21"/>
          <w:szCs w:val="21"/>
        </w:rPr>
        <w:t>。</w:t>
      </w:r>
    </w:p>
    <w:p w14:paraId="4FBD8A0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Style w:val="17"/>
          <w:rFonts w:hint="eastAsia" w:ascii="仿宋_GB2312" w:hAnsi="仿宋_GB2312" w:eastAsia="仿宋_GB2312" w:cs="仿宋_GB2312"/>
          <w:i w:val="0"/>
          <w:iCs w:val="0"/>
          <w:caps w:val="0"/>
          <w:color w:val="000000"/>
          <w:spacing w:val="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2.实施目的及支持方向。</w:t>
      </w:r>
      <w:r>
        <w:rPr>
          <w:rFonts w:hint="eastAsia" w:ascii="仿宋_GB2312" w:hAnsi="仿宋_GB2312" w:eastAsia="仿宋_GB2312" w:cs="仿宋_GB2312"/>
          <w:color w:val="000000"/>
          <w:sz w:val="32"/>
          <w:szCs w:val="32"/>
          <w:lang w:val="en-US" w:eastAsia="zh-CN"/>
        </w:rPr>
        <w:t>通过提升广播电视事业的高质量发展、‌加强文化市场执法力度、‌促进文化市场健康发展以及提高社会治理能力和现代化水平，‌以满足人民群众对高质量文化生活的需求，‌促进县级广播电视事业的可持续发展</w:t>
      </w:r>
    </w:p>
    <w:p w14:paraId="5ABD0CAE">
      <w:pPr>
        <w:pStyle w:val="3"/>
        <w:keepNext w:val="0"/>
        <w:keepLines w:val="0"/>
        <w:pageBreakBefore w:val="0"/>
        <w:numPr>
          <w:ilvl w:val="0"/>
          <w:numId w:val="0"/>
        </w:numPr>
        <w:tabs>
          <w:tab w:val="left" w:pos="2160"/>
        </w:tabs>
        <w:kinsoku/>
        <w:wordWrap/>
        <w:overflowPunct/>
        <w:topLinePunct w:val="0"/>
        <w:autoSpaceDE/>
        <w:autoSpaceDN/>
        <w:bidi w:val="0"/>
        <w:adjustRightInd/>
        <w:snapToGrid/>
        <w:spacing w:beforeAutospacing="0" w:after="0" w:afterAutospacing="0" w:line="576" w:lineRule="exact"/>
        <w:ind w:left="0" w:leftChars="0" w:firstLine="643"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3.预算安排及分配管理</w:t>
      </w:r>
      <w:r>
        <w:rPr>
          <w:rFonts w:hint="eastAsia" w:ascii="仿宋_GB2312" w:hAnsi="仿宋_GB2312" w:eastAsia="仿宋_GB2312" w:cs="仿宋_GB2312"/>
          <w:b/>
          <w:color w:val="auto"/>
          <w:sz w:val="32"/>
          <w:szCs w:val="32"/>
          <w:highlight w:val="none"/>
          <w:u w:val="none"/>
          <w:lang w:val="zh-CN" w:eastAsia="zh-CN"/>
        </w:rPr>
        <w:t>。</w:t>
      </w:r>
      <w:r>
        <w:rPr>
          <w:rFonts w:hint="eastAsia" w:ascii="仿宋_GB2312" w:hAnsi="仿宋_GB2312" w:eastAsia="仿宋_GB2312" w:cs="仿宋_GB2312"/>
          <w:color w:val="000000"/>
          <w:sz w:val="32"/>
          <w:szCs w:val="32"/>
          <w:lang w:val="en-US" w:eastAsia="zh-CN"/>
        </w:rPr>
        <w:t>红原县广播电视台院内综合治理项目质保金年度预算经费为</w:t>
      </w:r>
      <w:r>
        <w:rPr>
          <w:rFonts w:hint="eastAsia" w:ascii="仿宋_GB2312" w:hAnsi="仿宋_GB2312" w:cs="仿宋_GB2312"/>
          <w:color w:val="000000"/>
          <w:sz w:val="32"/>
          <w:szCs w:val="32"/>
          <w:lang w:val="en-US" w:eastAsia="zh-CN"/>
        </w:rPr>
        <w:t xml:space="preserve">1.19 </w:t>
      </w:r>
      <w:r>
        <w:rPr>
          <w:rFonts w:hint="eastAsia" w:ascii="仿宋_GB2312" w:hAnsi="仿宋_GB2312" w:eastAsia="仿宋_GB2312" w:cs="仿宋_GB2312"/>
          <w:color w:val="000000"/>
          <w:sz w:val="32"/>
          <w:szCs w:val="32"/>
          <w:lang w:val="en-US" w:eastAsia="zh-CN"/>
        </w:rPr>
        <w:t>万元。</w:t>
      </w:r>
    </w:p>
    <w:p w14:paraId="2AB94470">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000000"/>
          <w:kern w:val="0"/>
          <w:position w:val="3"/>
          <w:sz w:val="32"/>
          <w:szCs w:val="32"/>
          <w:lang w:val="zh-CN" w:eastAsia="zh-CN" w:bidi="ar-SA"/>
        </w:rPr>
      </w:pPr>
      <w:r>
        <w:rPr>
          <w:rFonts w:hint="eastAsia" w:ascii="仿宋_GB2312" w:hAnsi="仿宋_GB2312" w:eastAsia="仿宋_GB2312" w:cs="仿宋_GB2312"/>
          <w:b/>
          <w:color w:val="auto"/>
          <w:sz w:val="32"/>
          <w:szCs w:val="32"/>
          <w:highlight w:val="none"/>
          <w:u w:val="none"/>
          <w:lang w:val="en-US" w:eastAsia="zh-CN"/>
        </w:rPr>
        <w:t>4.</w:t>
      </w:r>
      <w:r>
        <w:rPr>
          <w:rFonts w:hint="eastAsia" w:ascii="仿宋_GB2312" w:hAnsi="仿宋_GB2312" w:eastAsia="仿宋_GB2312" w:cs="仿宋_GB2312"/>
          <w:b/>
          <w:color w:val="auto"/>
          <w:sz w:val="32"/>
          <w:szCs w:val="32"/>
          <w:highlight w:val="none"/>
          <w:u w:val="none"/>
          <w:lang w:val="zh-CN" w:eastAsia="zh-CN"/>
        </w:rPr>
        <w:t>项目绩效目标设置。</w:t>
      </w:r>
      <w:r>
        <w:rPr>
          <w:rFonts w:hint="eastAsia" w:ascii="仿宋_GB2312" w:hAnsi="仿宋_GB2312" w:eastAsia="仿宋_GB2312" w:cs="仿宋_GB2312"/>
          <w:color w:val="000000"/>
          <w:kern w:val="0"/>
          <w:position w:val="3"/>
          <w:sz w:val="32"/>
          <w:szCs w:val="32"/>
          <w:lang w:val="zh-CN" w:eastAsia="zh-CN" w:bidi="ar-SA"/>
        </w:rPr>
        <w:t>主要围绕提升广播电视台的运行效率、‌加强媒体融合、‌提高节目质量、强化内部管理以及提升运行效率等措施，‌全面提升广播电视台的服务能力和社会影响力。</w:t>
      </w:r>
    </w:p>
    <w:p w14:paraId="74B87513">
      <w:pPr>
        <w:pStyle w:val="7"/>
        <w:pageBreakBefore w:val="0"/>
        <w:kinsoku/>
        <w:wordWrap/>
        <w:topLinePunct w:val="0"/>
        <w:bidi w:val="0"/>
        <w:spacing w:before="0" w:beforeLines="0" w:after="0" w:afterLines="0" w:afterAutospacing="0" w:line="576" w:lineRule="exact"/>
        <w:ind w:firstLine="562" w:firstLineChars="200"/>
        <w:rPr>
          <w:rFonts w:hint="eastAsia"/>
          <w:lang w:val="zh-CN" w:eastAsia="zh-CN"/>
        </w:rPr>
      </w:pPr>
      <w:r>
        <w:rPr>
          <w:rFonts w:hint="eastAsia"/>
          <w:lang w:val="zh-CN" w:eastAsia="zh-CN"/>
        </w:rPr>
        <w:t>（</w:t>
      </w:r>
      <w:r>
        <w:rPr>
          <w:rFonts w:hint="eastAsia"/>
          <w:lang w:val="en-US" w:eastAsia="zh-CN"/>
        </w:rPr>
        <w:t>五</w:t>
      </w:r>
      <w:r>
        <w:rPr>
          <w:rFonts w:hint="eastAsia"/>
          <w:lang w:val="zh-CN" w:eastAsia="zh-CN"/>
        </w:rPr>
        <w:t>）</w:t>
      </w:r>
      <w:r>
        <w:rPr>
          <w:rFonts w:hint="eastAsia"/>
          <w:lang w:val="en-US" w:eastAsia="zh-CN"/>
        </w:rPr>
        <w:t>2022年中央少数民族地区和边疆地区文化安全（广播电视）补助资金</w:t>
      </w:r>
    </w:p>
    <w:p w14:paraId="073450A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rPr>
          <w:rFonts w:hint="default" w:ascii="仿宋_GB2312" w:hAnsi="仿宋_GB2312" w:eastAsia="仿宋_GB2312" w:cs="仿宋_GB2312"/>
          <w:color w:val="000000"/>
          <w:kern w:val="0"/>
          <w:position w:val="3"/>
          <w:sz w:val="32"/>
          <w:szCs w:val="32"/>
          <w:lang w:val="en-US" w:eastAsia="zh-CN" w:bidi="ar-SA"/>
        </w:rPr>
      </w:pPr>
      <w:r>
        <w:rPr>
          <w:rFonts w:hint="eastAsia" w:ascii="仿宋_GB2312" w:hAnsi="仿宋_GB2312" w:eastAsia="仿宋_GB2312" w:cs="仿宋_GB2312"/>
          <w:b/>
          <w:color w:val="auto"/>
          <w:sz w:val="32"/>
          <w:szCs w:val="32"/>
          <w:highlight w:val="none"/>
          <w:u w:val="none"/>
          <w:lang w:val="en-US" w:eastAsia="zh-CN"/>
        </w:rPr>
        <w:t>1.</w:t>
      </w:r>
      <w:r>
        <w:rPr>
          <w:rFonts w:hint="eastAsia" w:ascii="仿宋_GB2312" w:hAnsi="仿宋_GB2312" w:eastAsia="仿宋_GB2312" w:cs="仿宋_GB2312"/>
          <w:b/>
          <w:color w:val="auto"/>
          <w:sz w:val="32"/>
          <w:szCs w:val="32"/>
          <w:highlight w:val="none"/>
          <w:u w:val="none"/>
          <w:lang w:val="zh-CN"/>
        </w:rPr>
        <w:t>设立背景及基本情况。</w:t>
      </w:r>
      <w:r>
        <w:rPr>
          <w:rFonts w:hint="eastAsia" w:ascii="仿宋_GB2312" w:hAnsi="仿宋_GB2312" w:eastAsia="仿宋_GB2312" w:cs="仿宋_GB2312"/>
          <w:color w:val="000000"/>
          <w:kern w:val="0"/>
          <w:position w:val="3"/>
          <w:sz w:val="32"/>
          <w:szCs w:val="32"/>
          <w:lang w:val="en-US" w:eastAsia="zh-CN" w:bidi="ar-SA"/>
        </w:rPr>
        <w:t>为了支持地方公共文化服务体系建设，‌特别是少数民族地区和边疆地区的文化安全，‌中央政府通过印发《‌中央支持地方公共文化服务体系建设补助资金管理办法》‌，‌明确基本公共文化服务项目的具体支出范围，‌包括读书看报、‌收听广播、‌观看电视、‌观赏电影、‌送地方戏、‌公共数字文化服务以及开展文体活动等</w:t>
      </w:r>
      <w:r>
        <w:rPr>
          <w:rFonts w:hint="default" w:ascii="仿宋_GB2312" w:hAnsi="仿宋_GB2312" w:eastAsia="仿宋_GB2312" w:cs="仿宋_GB2312"/>
          <w:color w:val="000000"/>
          <w:kern w:val="0"/>
          <w:position w:val="3"/>
          <w:sz w:val="32"/>
          <w:szCs w:val="32"/>
          <w:lang w:val="en-US" w:eastAsia="zh-CN" w:bidi="ar-SA"/>
        </w:rPr>
        <w:t>。‌此外，‌补助资金还用于县级应急广播体系建设、‌广播电视节目覆盖、‌融媒体中心建设等方面，‌以提升公共文化服务的数字化水平，‌推进国家文化大数据体系、‌全国智慧图书馆体系、‌公共文化云建设等</w:t>
      </w:r>
      <w:r>
        <w:rPr>
          <w:rFonts w:hint="eastAsia" w:ascii="仿宋_GB2312" w:hAnsi="仿宋_GB2312" w:eastAsia="仿宋_GB2312" w:cs="仿宋_GB2312"/>
          <w:color w:val="000000"/>
          <w:kern w:val="0"/>
          <w:position w:val="3"/>
          <w:sz w:val="32"/>
          <w:szCs w:val="32"/>
          <w:lang w:val="en-US" w:eastAsia="zh-CN" w:bidi="ar-SA"/>
        </w:rPr>
        <w:t>。根据《阿坝州财政局 阿坝州广播电视剧关于下达2022年中央少数民族地区和边疆地区文化安全（广播电视）补助资金预算的通知》</w:t>
      </w:r>
    </w:p>
    <w:p w14:paraId="5978C02F">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6" w:lineRule="exact"/>
        <w:ind w:left="0" w:leftChars="0" w:right="0" w:rightChars="0" w:firstLine="643" w:firstLineChars="200"/>
        <w:jc w:val="left"/>
        <w:textAlignment w:val="auto"/>
        <w:rPr>
          <w:rFonts w:hint="eastAsia" w:ascii="仿宋_GB2312" w:hAnsi="仿宋_GB2312" w:eastAsia="仿宋_GB2312" w:cs="仿宋_GB2312"/>
          <w:color w:val="000000"/>
          <w:kern w:val="0"/>
          <w:position w:val="3"/>
          <w:sz w:val="32"/>
          <w:szCs w:val="32"/>
          <w:lang w:val="en-US" w:eastAsia="zh-CN" w:bidi="ar-SA"/>
        </w:rPr>
      </w:pPr>
      <w:r>
        <w:rPr>
          <w:rFonts w:hint="eastAsia" w:ascii="仿宋_GB2312" w:hAnsi="仿宋_GB2312" w:eastAsia="仿宋_GB2312" w:cs="仿宋_GB2312"/>
          <w:b/>
          <w:color w:val="auto"/>
          <w:sz w:val="32"/>
          <w:szCs w:val="32"/>
          <w:highlight w:val="none"/>
          <w:u w:val="none"/>
          <w:lang w:val="en-US" w:eastAsia="zh-CN"/>
        </w:rPr>
        <w:t>2.实施目的及支持方向。</w:t>
      </w:r>
      <w:r>
        <w:rPr>
          <w:rFonts w:hint="eastAsia" w:ascii="仿宋_GB2312" w:hAnsi="仿宋_GB2312" w:eastAsia="仿宋_GB2312" w:cs="仿宋_GB2312"/>
          <w:color w:val="000000"/>
          <w:kern w:val="0"/>
          <w:position w:val="3"/>
          <w:sz w:val="32"/>
          <w:szCs w:val="32"/>
          <w:lang w:val="en-US" w:eastAsia="zh-CN" w:bidi="ar-SA"/>
        </w:rPr>
        <w:t>补助资金主要用于支持地方公共文化服务体系建设，‌包括流动舞台车、‌戏曲公益性演出、‌广播电视节目无线覆盖运行维护费、‌民族地区有线高清交互数字机顶盒补助等</w:t>
      </w:r>
      <w:r>
        <w:rPr>
          <w:rFonts w:hint="default" w:ascii="仿宋_GB2312" w:hAnsi="仿宋_GB2312" w:eastAsia="仿宋_GB2312" w:cs="仿宋_GB2312"/>
          <w:color w:val="000000"/>
          <w:kern w:val="0"/>
          <w:position w:val="3"/>
          <w:sz w:val="32"/>
          <w:szCs w:val="32"/>
          <w:lang w:val="en-US" w:eastAsia="zh-CN" w:bidi="ar-SA"/>
        </w:rPr>
        <w:t>‌</w:t>
      </w:r>
      <w:r>
        <w:rPr>
          <w:rFonts w:hint="eastAsia" w:ascii="仿宋_GB2312" w:hAnsi="仿宋_GB2312" w:eastAsia="仿宋_GB2312" w:cs="仿宋_GB2312"/>
          <w:color w:val="000000"/>
          <w:kern w:val="0"/>
          <w:position w:val="3"/>
          <w:sz w:val="32"/>
          <w:szCs w:val="32"/>
          <w:lang w:val="en-US" w:eastAsia="zh-CN" w:bidi="ar-SA"/>
        </w:rPr>
        <w:t>。</w:t>
      </w:r>
      <w:r>
        <w:rPr>
          <w:rFonts w:hint="default" w:ascii="仿宋_GB2312" w:hAnsi="仿宋_GB2312" w:eastAsia="仿宋_GB2312" w:cs="仿宋_GB2312"/>
          <w:color w:val="000000"/>
          <w:kern w:val="0"/>
          <w:position w:val="3"/>
          <w:sz w:val="32"/>
          <w:szCs w:val="32"/>
          <w:lang w:val="en-US" w:eastAsia="zh-CN" w:bidi="ar-SA"/>
        </w:rPr>
        <w:t>具体项目包括但不限于戏曲进乡村的演出补贴、‌濒危剧种的免费或低票价演出、‌全民健身场地器材补短板工程等</w:t>
      </w:r>
      <w:r>
        <w:rPr>
          <w:rFonts w:hint="eastAsia" w:ascii="仿宋_GB2312" w:hAnsi="仿宋_GB2312" w:eastAsia="仿宋_GB2312" w:cs="仿宋_GB2312"/>
          <w:color w:val="000000"/>
          <w:kern w:val="0"/>
          <w:position w:val="3"/>
          <w:sz w:val="32"/>
          <w:szCs w:val="32"/>
          <w:lang w:val="en-US" w:eastAsia="zh-CN" w:bidi="ar-SA"/>
        </w:rPr>
        <w:t>。</w:t>
      </w:r>
      <w:r>
        <w:rPr>
          <w:rFonts w:hint="default" w:ascii="仿宋_GB2312" w:hAnsi="仿宋_GB2312" w:eastAsia="仿宋_GB2312" w:cs="仿宋_GB2312"/>
          <w:color w:val="000000"/>
          <w:kern w:val="0"/>
          <w:position w:val="3"/>
          <w:sz w:val="32"/>
          <w:szCs w:val="32"/>
          <w:lang w:val="en-US" w:eastAsia="zh-CN" w:bidi="ar-SA"/>
        </w:rPr>
        <w:t>‌补助资金还用于支持少数民族发展任务，‌包括兴边富民行动项目补助资金、‌扶持少数民族发展资金等</w:t>
      </w:r>
      <w:r>
        <w:rPr>
          <w:rFonts w:hint="eastAsia" w:ascii="仿宋_GB2312" w:hAnsi="仿宋_GB2312" w:eastAsia="仿宋_GB2312" w:cs="仿宋_GB2312"/>
          <w:color w:val="000000"/>
          <w:kern w:val="0"/>
          <w:position w:val="3"/>
          <w:sz w:val="32"/>
          <w:szCs w:val="32"/>
          <w:lang w:val="en-US" w:eastAsia="zh-CN" w:bidi="ar-SA"/>
        </w:rPr>
        <w:t>。资金由中央财政通过特定项目补助的形式提供，‌旨在促进少数民族地区和边疆地区的文化发展和广播电视服务的提升。‌补助资金的具体分配和管理遵循《‌财政部关于印发&lt;中央补助地方公共文化服务体系建设专项资金管理暂行办法&gt;的通知》‌的规定，‌确保资金的有效使用和监管。‌通过这些措施，‌旨在加强少数民族地区和边疆地区的文化基础设施建设，‌提高公共文化服务水平，‌促进文化传承与发展，‌同时保障广播电视节目的无线覆盖，‌提升公共服务质量，‌确保边远地区群众能够享受到基本的文化服务。</w:t>
      </w:r>
    </w:p>
    <w:p w14:paraId="4C8D407F">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6" w:lineRule="exact"/>
        <w:ind w:left="0" w:leftChars="0" w:right="0" w:rightChars="0" w:firstLine="643"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color w:val="auto"/>
          <w:sz w:val="32"/>
          <w:szCs w:val="32"/>
          <w:highlight w:val="none"/>
          <w:u w:val="none"/>
          <w:lang w:val="en-US" w:eastAsia="zh-CN"/>
        </w:rPr>
        <w:t>3.预算安排及分配管理</w:t>
      </w:r>
      <w:r>
        <w:rPr>
          <w:rFonts w:hint="eastAsia" w:ascii="仿宋_GB2312" w:hAnsi="仿宋_GB2312" w:eastAsia="仿宋_GB2312" w:cs="仿宋_GB2312"/>
          <w:b/>
          <w:color w:val="auto"/>
          <w:sz w:val="32"/>
          <w:szCs w:val="32"/>
          <w:highlight w:val="none"/>
          <w:u w:val="none"/>
          <w:lang w:val="zh-CN" w:eastAsia="zh-CN"/>
        </w:rPr>
        <w:t>。</w:t>
      </w:r>
      <w:r>
        <w:rPr>
          <w:rFonts w:hint="eastAsia" w:ascii="仿宋_GB2312" w:hAnsi="仿宋_GB2312" w:eastAsia="仿宋_GB2312" w:cs="仿宋_GB2312"/>
          <w:color w:val="000000"/>
          <w:kern w:val="0"/>
          <w:position w:val="3"/>
          <w:sz w:val="32"/>
          <w:szCs w:val="32"/>
          <w:lang w:val="en-US" w:eastAsia="zh-CN" w:bidi="ar-SA"/>
        </w:rPr>
        <w:t>2022年中央少数民族地区和边疆地区文化安全（广播电视）补助资金</w:t>
      </w:r>
      <w:r>
        <w:rPr>
          <w:rFonts w:hint="eastAsia" w:ascii="仿宋_GB2312" w:hAnsi="仿宋_GB2312" w:eastAsia="仿宋_GB2312" w:cs="仿宋_GB2312"/>
          <w:color w:val="000000"/>
          <w:sz w:val="32"/>
          <w:szCs w:val="32"/>
          <w:lang w:val="en-US" w:eastAsia="zh-CN"/>
        </w:rPr>
        <w:t>年度预算经费为</w:t>
      </w:r>
      <w:r>
        <w:rPr>
          <w:rFonts w:hint="eastAsia" w:ascii="仿宋_GB2312" w:hAnsi="仿宋_GB2312" w:cs="仿宋_GB2312"/>
          <w:color w:val="000000"/>
          <w:sz w:val="32"/>
          <w:szCs w:val="32"/>
          <w:lang w:val="en-US" w:eastAsia="zh-CN"/>
        </w:rPr>
        <w:t xml:space="preserve">35.01 </w:t>
      </w:r>
      <w:r>
        <w:rPr>
          <w:rFonts w:hint="eastAsia" w:ascii="仿宋_GB2312" w:hAnsi="仿宋_GB2312" w:eastAsia="仿宋_GB2312" w:cs="仿宋_GB2312"/>
          <w:color w:val="000000"/>
          <w:sz w:val="32"/>
          <w:szCs w:val="32"/>
          <w:lang w:val="en-US" w:eastAsia="zh-CN"/>
        </w:rPr>
        <w:t>万元。</w:t>
      </w:r>
    </w:p>
    <w:p w14:paraId="512FB31E">
      <w:pPr>
        <w:keepNext w:val="0"/>
        <w:keepLines w:val="0"/>
        <w:pageBreakBefore w:val="0"/>
        <w:widowControl/>
        <w:numPr>
          <w:ilvl w:val="0"/>
          <w:numId w:val="0"/>
        </w:numPr>
        <w:suppressLineNumbers w:val="0"/>
        <w:pBdr>
          <w:top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76" w:lineRule="exact"/>
        <w:ind w:left="0" w:leftChars="0" w:right="0" w:rightChars="0" w:firstLine="643" w:firstLineChars="200"/>
        <w:jc w:val="left"/>
        <w:textAlignment w:val="auto"/>
        <w:rPr>
          <w:rFonts w:hint="eastAsia" w:ascii="仿宋_GB2312" w:hAnsi="仿宋_GB2312" w:eastAsia="仿宋_GB2312" w:cs="仿宋_GB2312"/>
          <w:b w:val="0"/>
          <w:bCs w:val="0"/>
          <w:color w:val="auto"/>
          <w:kern w:val="2"/>
          <w:sz w:val="32"/>
          <w:szCs w:val="32"/>
          <w:highlight w:val="none"/>
          <w:lang w:val="zh-CN" w:eastAsia="zh-CN"/>
        </w:rPr>
      </w:pPr>
      <w:r>
        <w:rPr>
          <w:rFonts w:hint="eastAsia" w:ascii="仿宋_GB2312" w:hAnsi="仿宋_GB2312" w:eastAsia="仿宋_GB2312" w:cs="仿宋_GB2312"/>
          <w:b/>
          <w:color w:val="auto"/>
          <w:sz w:val="32"/>
          <w:szCs w:val="32"/>
          <w:highlight w:val="none"/>
          <w:u w:val="none"/>
          <w:lang w:val="en-US" w:eastAsia="zh-CN"/>
        </w:rPr>
        <w:t>4.</w:t>
      </w:r>
      <w:r>
        <w:rPr>
          <w:rFonts w:hint="eastAsia" w:ascii="仿宋_GB2312" w:hAnsi="仿宋_GB2312" w:eastAsia="仿宋_GB2312" w:cs="仿宋_GB2312"/>
          <w:b/>
          <w:color w:val="auto"/>
          <w:sz w:val="32"/>
          <w:szCs w:val="32"/>
          <w:highlight w:val="none"/>
          <w:u w:val="none"/>
          <w:lang w:val="zh-CN" w:eastAsia="zh-CN"/>
        </w:rPr>
        <w:t>项目绩效目标设置。</w:t>
      </w:r>
      <w:r>
        <w:rPr>
          <w:rFonts w:hint="eastAsia" w:ascii="仿宋_GB2312" w:hAnsi="仿宋_GB2312" w:eastAsia="仿宋_GB2312" w:cs="仿宋_GB2312"/>
          <w:b w:val="0"/>
          <w:bCs w:val="0"/>
          <w:color w:val="auto"/>
          <w:kern w:val="2"/>
          <w:sz w:val="32"/>
          <w:szCs w:val="32"/>
          <w:highlight w:val="none"/>
          <w:lang w:val="zh-CN" w:eastAsia="zh-CN"/>
        </w:rPr>
        <w:t>主要围绕提升广播电视台的运行效率、‌加强媒体融合、‌提高节目质量、强化内部管理以及提升运行效率等措施，‌全面提升广播电视台的服务能力和社会影响力</w:t>
      </w:r>
      <w:r>
        <w:rPr>
          <w:rFonts w:hint="eastAsia" w:ascii="仿宋_GB2312" w:hAnsi="仿宋_GB2312" w:cs="仿宋_GB2312"/>
          <w:b w:val="0"/>
          <w:bCs w:val="0"/>
          <w:color w:val="auto"/>
          <w:kern w:val="2"/>
          <w:sz w:val="32"/>
          <w:szCs w:val="32"/>
          <w:highlight w:val="none"/>
          <w:lang w:val="zh-CN" w:eastAsia="zh-CN"/>
        </w:rPr>
        <w:t>。</w:t>
      </w:r>
      <w:r>
        <w:rPr>
          <w:rFonts w:hint="eastAsia" w:ascii="仿宋_GB2312" w:hAnsi="仿宋_GB2312" w:eastAsia="仿宋_GB2312" w:cs="仿宋_GB2312"/>
          <w:b w:val="0"/>
          <w:bCs w:val="0"/>
          <w:color w:val="auto"/>
          <w:kern w:val="2"/>
          <w:sz w:val="32"/>
          <w:szCs w:val="32"/>
          <w:highlight w:val="none"/>
          <w:lang w:val="zh-CN" w:eastAsia="zh-CN"/>
        </w:rPr>
        <w:t>‌</w:t>
      </w:r>
    </w:p>
    <w:p w14:paraId="77DBEDF0">
      <w:pPr>
        <w:pStyle w:val="6"/>
        <w:pageBreakBefore w:val="0"/>
        <w:kinsoku/>
        <w:wordWrap/>
        <w:topLinePunct w:val="0"/>
        <w:bidi w:val="0"/>
        <w:spacing w:before="0" w:beforeLines="0" w:after="0" w:afterLines="0" w:afterAutospacing="0" w:line="576" w:lineRule="exact"/>
        <w:ind w:firstLine="643" w:firstLineChars="200"/>
        <w:outlineLvl w:val="1"/>
        <w:rPr>
          <w:rFonts w:hint="eastAsia"/>
          <w:lang w:eastAsia="zh-CN"/>
        </w:rPr>
      </w:pPr>
      <w:bookmarkStart w:id="164" w:name="_Toc24511"/>
      <w:r>
        <w:rPr>
          <w:rFonts w:hint="eastAsia"/>
        </w:rPr>
        <w:t>二、</w:t>
      </w:r>
      <w:r>
        <w:rPr>
          <w:rFonts w:hint="eastAsia"/>
          <w:lang w:eastAsia="zh-CN"/>
        </w:rPr>
        <w:t>评价实施</w:t>
      </w:r>
      <w:bookmarkEnd w:id="164"/>
    </w:p>
    <w:p w14:paraId="2C7A18A5">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562" w:firstLineChars="200"/>
        <w:textAlignment w:val="auto"/>
        <w:outlineLvl w:val="9"/>
        <w:rPr>
          <w:rFonts w:eastAsia="仿宋_GB2312" w:cs="Times New Roman"/>
          <w:szCs w:val="32"/>
        </w:rPr>
      </w:pPr>
      <w:r>
        <w:rPr>
          <w:rStyle w:val="24"/>
          <w:rFonts w:hint="eastAsia"/>
          <w:lang w:val="zh-CN" w:eastAsia="zh-CN"/>
        </w:rPr>
        <w:t>（一）评价目的</w:t>
      </w:r>
      <w:r>
        <w:rPr>
          <w:rFonts w:hint="eastAsia" w:ascii="楷体_GB2312" w:hAnsi="楷体_GB2312" w:eastAsia="楷体_GB2312" w:cs="楷体_GB2312"/>
          <w:b/>
          <w:color w:val="auto"/>
          <w:sz w:val="32"/>
          <w:szCs w:val="32"/>
          <w:highlight w:val="none"/>
          <w:u w:val="none"/>
          <w:lang w:val="zh-CN" w:eastAsia="zh-CN"/>
        </w:rPr>
        <w:t>。</w:t>
      </w:r>
      <w:r>
        <w:rPr>
          <w:rFonts w:hint="eastAsia" w:ascii="仿宋_GB2312" w:hAnsi="仿宋_GB2312" w:eastAsia="仿宋_GB2312" w:cs="仿宋_GB2312"/>
          <w:b w:val="0"/>
          <w:bCs/>
          <w:color w:val="auto"/>
          <w:sz w:val="32"/>
          <w:szCs w:val="32"/>
          <w:highlight w:val="none"/>
          <w:u w:val="none"/>
          <w:lang w:val="en-US" w:eastAsia="zh-CN"/>
        </w:rPr>
        <w:t>1.</w:t>
      </w:r>
      <w:r>
        <w:rPr>
          <w:rFonts w:hint="eastAsia" w:ascii="仿宋_GB2312" w:hAnsi="仿宋_GB2312" w:eastAsia="仿宋_GB2312" w:cs="仿宋_GB2312"/>
          <w:b w:val="0"/>
          <w:bCs/>
          <w:color w:val="auto"/>
          <w:sz w:val="32"/>
          <w:szCs w:val="32"/>
          <w:highlight w:val="none"/>
          <w:u w:val="none"/>
          <w:lang w:val="zh-CN"/>
        </w:rPr>
        <w:t>优化</w:t>
      </w:r>
      <w:r>
        <w:rPr>
          <w:rFonts w:hint="eastAsia" w:ascii="仿宋_GB2312" w:hAnsi="仿宋_GB2312" w:eastAsia="仿宋_GB2312" w:cs="仿宋_GB2312"/>
          <w:b w:val="0"/>
          <w:bCs w:val="0"/>
          <w:color w:val="auto"/>
          <w:kern w:val="2"/>
          <w:sz w:val="32"/>
          <w:szCs w:val="32"/>
          <w:highlight w:val="none"/>
          <w:lang w:val="en-US" w:eastAsia="zh-CN"/>
        </w:rPr>
        <w:t>专项预算项目绩效管理：绩效评价是实现提高单位工作效率和管理水平的重要手段;通过专项预算项目绩效评价，明确项目发展方向及规划。2.改进相关业务：通过绩效评估和反馈，发现项目中的不足与问题，及时进行调整和改进，提高项目质量及效率。</w:t>
      </w:r>
    </w:p>
    <w:p w14:paraId="247747F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562" w:firstLineChars="200"/>
        <w:textAlignment w:val="auto"/>
        <w:outlineLvl w:val="9"/>
        <w:rPr>
          <w:rFonts w:hint="eastAsia" w:ascii="仿宋_GB2312" w:hAnsi="仿宋_GB2312" w:eastAsia="仿宋_GB2312" w:cs="仿宋_GB2312"/>
          <w:sz w:val="32"/>
          <w:szCs w:val="32"/>
          <w:lang w:eastAsia="zh-CN"/>
        </w:rPr>
      </w:pPr>
      <w:r>
        <w:rPr>
          <w:rStyle w:val="24"/>
          <w:rFonts w:hint="eastAsia"/>
          <w:lang w:val="zh-CN" w:eastAsia="zh-CN"/>
        </w:rPr>
        <w:t>（二）预设问题及评价重点</w:t>
      </w:r>
      <w:r>
        <w:rPr>
          <w:rFonts w:hint="eastAsia" w:ascii="楷体_GB2312" w:hAnsi="楷体_GB2312" w:eastAsia="楷体_GB2312" w:cs="楷体_GB2312"/>
          <w:b/>
          <w:color w:val="auto"/>
          <w:sz w:val="32"/>
          <w:szCs w:val="32"/>
          <w:highlight w:val="none"/>
          <w:u w:val="none"/>
          <w:lang w:val="zh-CN" w:eastAsia="zh-CN"/>
        </w:rPr>
        <w:t>。</w:t>
      </w:r>
      <w:r>
        <w:rPr>
          <w:rFonts w:hint="eastAsia" w:ascii="仿宋_GB2312" w:hAnsi="仿宋_GB2312" w:eastAsia="仿宋_GB2312" w:cs="仿宋_GB2312"/>
          <w:sz w:val="32"/>
          <w:szCs w:val="32"/>
          <w:lang w:eastAsia="zh-CN"/>
        </w:rPr>
        <w:t>绩效评价主题单一，难以把握考核具体情况</w:t>
      </w:r>
      <w:r>
        <w:rPr>
          <w:rFonts w:hint="eastAsia" w:ascii="仿宋_GB2312" w:hAnsi="仿宋_GB2312" w:eastAsia="仿宋_GB2312" w:cs="仿宋_GB2312"/>
          <w:sz w:val="32"/>
          <w:szCs w:val="32"/>
          <w:lang w:val="en-US" w:eastAsia="zh-CN"/>
        </w:rPr>
        <w:t>;绩效考核评价工作的思路和对策不够完善;绩效考评结果运用不充分</w:t>
      </w:r>
      <w:r>
        <w:rPr>
          <w:rFonts w:hint="eastAsia" w:ascii="仿宋_GB2312" w:hAnsi="仿宋_GB2312" w:eastAsia="仿宋_GB2312" w:cs="仿宋_GB2312"/>
          <w:sz w:val="32"/>
          <w:szCs w:val="32"/>
          <w:lang w:eastAsia="zh-CN"/>
        </w:rPr>
        <w:t>。评价重点为项目实施情况、专项资金使用情况、绩效目标完成情况、业务管理制度及措施。</w:t>
      </w:r>
    </w:p>
    <w:p w14:paraId="46AF2E7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562" w:firstLineChars="200"/>
        <w:textAlignment w:val="auto"/>
        <w:outlineLvl w:val="9"/>
        <w:rPr>
          <w:rFonts w:hint="eastAsia" w:cs="Times New Roman"/>
          <w:szCs w:val="32"/>
          <w:lang w:val="zh-CN" w:eastAsia="zh-CN"/>
        </w:rPr>
      </w:pPr>
      <w:r>
        <w:rPr>
          <w:rStyle w:val="24"/>
          <w:rFonts w:hint="eastAsia"/>
          <w:lang w:val="zh-CN" w:eastAsia="zh-CN"/>
        </w:rPr>
        <w:t>（三）评价选点</w:t>
      </w:r>
      <w:r>
        <w:rPr>
          <w:rFonts w:hint="eastAsia" w:ascii="楷体_GB2312" w:hAnsi="楷体_GB2312" w:eastAsia="楷体_GB2312" w:cs="楷体_GB2312"/>
          <w:b/>
          <w:color w:val="auto"/>
          <w:sz w:val="32"/>
          <w:szCs w:val="32"/>
          <w:highlight w:val="none"/>
          <w:u w:val="none"/>
          <w:lang w:val="zh-CN" w:eastAsia="zh-CN"/>
        </w:rPr>
        <w:t>。</w:t>
      </w:r>
      <w:r>
        <w:rPr>
          <w:rFonts w:hint="eastAsia" w:ascii="仿宋_GB2312" w:hAnsi="仿宋_GB2312" w:eastAsia="仿宋_GB2312" w:cs="仿宋_GB2312"/>
          <w:sz w:val="32"/>
          <w:szCs w:val="32"/>
          <w:lang w:val="zh-CN" w:eastAsia="zh-CN"/>
        </w:rPr>
        <w:t>项目绩效自评所抽样点位情况</w:t>
      </w:r>
      <w:r>
        <w:rPr>
          <w:rFonts w:hint="eastAsia" w:ascii="仿宋_GB2312" w:hAnsi="仿宋_GB2312" w:cs="仿宋_GB2312"/>
          <w:sz w:val="32"/>
          <w:szCs w:val="32"/>
          <w:lang w:val="zh-CN" w:eastAsia="zh-CN"/>
        </w:rPr>
        <w:t>（</w:t>
      </w:r>
      <w:r>
        <w:rPr>
          <w:rFonts w:hint="eastAsia" w:ascii="仿宋_GB2312" w:hAnsi="仿宋_GB2312" w:cs="仿宋_GB2312"/>
          <w:sz w:val="32"/>
          <w:szCs w:val="32"/>
          <w:lang w:val="en-US" w:eastAsia="zh-CN"/>
        </w:rPr>
        <w:t>无此情况。</w:t>
      </w:r>
      <w:r>
        <w:rPr>
          <w:rFonts w:hint="eastAsia" w:ascii="仿宋_GB2312" w:hAnsi="仿宋_GB2312" w:cs="仿宋_GB2312"/>
          <w:sz w:val="32"/>
          <w:szCs w:val="32"/>
          <w:lang w:val="zh-CN" w:eastAsia="zh-CN"/>
        </w:rPr>
        <w:t>）</w:t>
      </w:r>
    </w:p>
    <w:p w14:paraId="6E699A9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562" w:firstLineChars="200"/>
        <w:textAlignment w:val="auto"/>
        <w:outlineLvl w:val="9"/>
        <w:rPr>
          <w:rFonts w:hint="eastAsia" w:ascii="仿宋_GB2312" w:hAnsi="仿宋_GB2312" w:eastAsia="仿宋_GB2312" w:cs="仿宋_GB2312"/>
          <w:sz w:val="32"/>
          <w:szCs w:val="32"/>
          <w:lang w:eastAsia="zh-CN"/>
        </w:rPr>
      </w:pPr>
      <w:r>
        <w:rPr>
          <w:rStyle w:val="24"/>
          <w:rFonts w:hint="eastAsia"/>
          <w:lang w:val="zh-CN"/>
        </w:rPr>
        <w:t>（四）评价方法</w:t>
      </w:r>
      <w:r>
        <w:rPr>
          <w:rFonts w:hint="eastAsia" w:ascii="楷体_GB2312" w:hAnsi="宋体" w:eastAsia="楷体_GB2312"/>
          <w:b/>
          <w:color w:val="auto"/>
          <w:sz w:val="32"/>
          <w:szCs w:val="32"/>
          <w:highlight w:val="none"/>
          <w:u w:val="none"/>
          <w:lang w:val="zh-CN"/>
        </w:rPr>
        <w:t>。</w:t>
      </w:r>
      <w:r>
        <w:rPr>
          <w:rFonts w:hint="eastAsia" w:ascii="仿宋_GB2312" w:hAnsi="仿宋_GB2312" w:eastAsia="仿宋_GB2312" w:cs="仿宋_GB2312"/>
          <w:sz w:val="32"/>
          <w:szCs w:val="32"/>
        </w:rPr>
        <w:t>单位自评法</w:t>
      </w:r>
      <w:r>
        <w:rPr>
          <w:rFonts w:hint="eastAsia" w:ascii="仿宋_GB2312" w:hAnsi="仿宋_GB2312" w:eastAsia="仿宋_GB2312" w:cs="仿宋_GB2312"/>
          <w:sz w:val="32"/>
          <w:szCs w:val="32"/>
          <w:lang w:eastAsia="zh-CN"/>
        </w:rPr>
        <w:t>。</w:t>
      </w:r>
    </w:p>
    <w:p w14:paraId="7F1E6A3C">
      <w:pPr>
        <w:keepNext w:val="0"/>
        <w:keepLines w:val="0"/>
        <w:pageBreakBefore w:val="0"/>
        <w:widowControl w:val="0"/>
        <w:kinsoku/>
        <w:wordWrap/>
        <w:overflowPunct/>
        <w:topLinePunct w:val="0"/>
        <w:autoSpaceDE/>
        <w:autoSpaceDN/>
        <w:bidi w:val="0"/>
        <w:spacing w:beforeAutospacing="0" w:afterAutospacing="0" w:line="576" w:lineRule="exact"/>
        <w:ind w:left="0" w:leftChars="0" w:firstLine="562" w:firstLineChars="200"/>
        <w:textAlignment w:val="auto"/>
        <w:outlineLvl w:val="9"/>
        <w:rPr>
          <w:rFonts w:hint="eastAsia" w:ascii="仿宋_GB2312" w:hAnsi="仿宋_GB2312" w:eastAsia="仿宋_GB2312" w:cs="仿宋_GB2312"/>
          <w:sz w:val="32"/>
          <w:szCs w:val="32"/>
          <w:lang w:eastAsia="zh-CN"/>
        </w:rPr>
      </w:pPr>
      <w:r>
        <w:rPr>
          <w:rStyle w:val="24"/>
          <w:rFonts w:hint="eastAsia"/>
          <w:lang w:val="zh-CN"/>
        </w:rPr>
        <w:t>（五）评价组织</w:t>
      </w:r>
      <w:r>
        <w:rPr>
          <w:rFonts w:hint="eastAsia" w:ascii="楷体_GB2312" w:hAnsi="宋体" w:eastAsia="楷体_GB2312"/>
          <w:b/>
          <w:color w:val="auto"/>
          <w:sz w:val="32"/>
          <w:szCs w:val="32"/>
          <w:highlight w:val="none"/>
          <w:u w:val="none"/>
          <w:lang w:val="zh-CN"/>
        </w:rPr>
        <w:t>。</w:t>
      </w:r>
      <w:r>
        <w:rPr>
          <w:rFonts w:hint="eastAsia" w:ascii="仿宋_GB2312" w:hAnsi="仿宋_GB2312" w:eastAsia="仿宋_GB2312" w:cs="仿宋_GB2312"/>
          <w:sz w:val="32"/>
          <w:szCs w:val="32"/>
          <w:lang w:eastAsia="zh-CN"/>
        </w:rPr>
        <w:t>评价组人员构成</w:t>
      </w:r>
      <w:r>
        <w:rPr>
          <w:rFonts w:hint="eastAsia" w:ascii="仿宋_GB2312" w:hAnsi="仿宋_GB2312" w:eastAsia="仿宋_GB2312" w:cs="仿宋_GB2312"/>
          <w:sz w:val="32"/>
          <w:szCs w:val="32"/>
          <w:lang w:val="en-US" w:eastAsia="zh-CN"/>
        </w:rPr>
        <w:t>为项目负责人、财务人员、分管财务领导、其他成员。</w:t>
      </w:r>
      <w:r>
        <w:rPr>
          <w:rFonts w:hint="eastAsia" w:ascii="仿宋_GB2312" w:hAnsi="仿宋_GB2312" w:eastAsia="仿宋_GB2312" w:cs="仿宋_GB2312"/>
          <w:sz w:val="32"/>
          <w:szCs w:val="32"/>
          <w:lang w:eastAsia="zh-CN"/>
        </w:rPr>
        <w:t>职责分工：</w:t>
      </w:r>
      <w:r>
        <w:rPr>
          <w:rFonts w:hint="eastAsia" w:ascii="仿宋_GB2312" w:hAnsi="仿宋_GB2312" w:eastAsia="仿宋_GB2312" w:cs="仿宋_GB2312"/>
          <w:sz w:val="32"/>
          <w:szCs w:val="32"/>
          <w:lang w:val="en-US" w:eastAsia="zh-CN"/>
        </w:rPr>
        <w:t>项目负责人及其他成员定期评估项目进展，以确保项目按时完成;财务人员需收集分析项目统计数据;分管领导需根据项目具体情况做出相关决策</w:t>
      </w:r>
      <w:r>
        <w:rPr>
          <w:rFonts w:hint="eastAsia" w:ascii="仿宋_GB2312" w:hAnsi="仿宋_GB2312" w:eastAsia="仿宋_GB2312" w:cs="仿宋_GB2312"/>
          <w:sz w:val="32"/>
          <w:szCs w:val="32"/>
          <w:lang w:eastAsia="zh-CN"/>
        </w:rPr>
        <w:t>。</w:t>
      </w:r>
    </w:p>
    <w:p w14:paraId="19951718">
      <w:pPr>
        <w:keepNext w:val="0"/>
        <w:keepLines w:val="0"/>
        <w:pageBreakBefore w:val="0"/>
        <w:kinsoku/>
        <w:wordWrap/>
        <w:overflowPunct/>
        <w:topLinePunct w:val="0"/>
        <w:autoSpaceDE/>
        <w:autoSpaceDN/>
        <w:bidi w:val="0"/>
        <w:adjustRightInd w:val="0"/>
        <w:snapToGrid w:val="0"/>
        <w:spacing w:beforeAutospacing="0" w:afterAutospacing="0" w:line="576" w:lineRule="exact"/>
        <w:ind w:left="0" w:leftChars="0" w:firstLine="643" w:firstLineChars="200"/>
        <w:textAlignment w:val="auto"/>
        <w:outlineLvl w:val="1"/>
        <w:rPr>
          <w:rFonts w:ascii="仿宋_GB2312" w:hAnsi="宋体"/>
          <w:color w:val="auto"/>
          <w:sz w:val="32"/>
          <w:szCs w:val="32"/>
          <w:highlight w:val="none"/>
          <w:u w:val="none"/>
          <w:lang w:val="zh-CN"/>
        </w:rPr>
      </w:pPr>
      <w:bookmarkStart w:id="165" w:name="_Toc15823"/>
      <w:r>
        <w:rPr>
          <w:rStyle w:val="25"/>
          <w:rFonts w:hint="eastAsia"/>
        </w:rPr>
        <w:t>三、</w:t>
      </w:r>
      <w:r>
        <w:rPr>
          <w:rStyle w:val="25"/>
          <w:rFonts w:hint="eastAsia"/>
          <w:lang w:eastAsia="zh-CN"/>
        </w:rPr>
        <w:t>绩效分析</w:t>
      </w:r>
      <w:bookmarkEnd w:id="165"/>
      <w:r>
        <w:rPr>
          <w:rFonts w:hint="eastAsia" w:ascii="仿宋_GB2312" w:hAnsi="宋体"/>
          <w:color w:val="auto"/>
          <w:sz w:val="32"/>
          <w:szCs w:val="32"/>
          <w:highlight w:val="none"/>
          <w:u w:val="none"/>
          <w:lang w:val="zh-CN"/>
        </w:rPr>
        <w:tab/>
      </w:r>
    </w:p>
    <w:p w14:paraId="2C105E1D">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项目名称1：专用设备购置</w:t>
      </w:r>
    </w:p>
    <w:p w14:paraId="602C96B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质量指标：可以进一步加大对重大主题活动的宣传，可以更好的宣传红原声音，讲好红原故事。已完成2023年任务。</w:t>
      </w:r>
    </w:p>
    <w:p w14:paraId="605F051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成本指标：专用设备购置资金全年预计完成指标值150万元，已完成值145万元。</w:t>
      </w:r>
    </w:p>
    <w:p w14:paraId="1C351EA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满意度指标：预计完成服务对象满意度率达到97%以上，已完成2023年任务。</w:t>
      </w:r>
    </w:p>
    <w:p w14:paraId="339851E5">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项目名称2：大美红原APP运维费</w:t>
      </w:r>
    </w:p>
    <w:p w14:paraId="5BDD530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质量指标：系统运行与维护，已完成2023年任务。</w:t>
      </w:r>
    </w:p>
    <w:p w14:paraId="0D4CFF7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成本指标：大美红原APP运维费资金全年预计完成指标值6.4万元，已完成值200.85万元。</w:t>
      </w:r>
    </w:p>
    <w:p w14:paraId="13162D5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满意度指标：预计完成服务对象满意度率达到100%以上，已完成2023年任务。</w:t>
      </w:r>
    </w:p>
    <w:p w14:paraId="4F537101">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项目名称3：红原县广播电视台院内综合治理项目质保金</w:t>
      </w:r>
    </w:p>
    <w:p w14:paraId="4D4FF58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质量指标：院内综合治理，已完成2023年任务。</w:t>
      </w:r>
    </w:p>
    <w:p w14:paraId="557227DC">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成本指标：红原县广播电视台院内综合治理项目质保金全年预计完成指标值1.19万元，已完成值1.19万元。</w:t>
      </w:r>
    </w:p>
    <w:p w14:paraId="70BDBC3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满意度指标：预计完成服务对象满意度率达到100%以上，已完成2023年任务。</w:t>
      </w:r>
    </w:p>
    <w:p w14:paraId="59EC40AA">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项目名称4：关于下达2022年中央和省级公共文化服务体系建设（广播电视重点项目）资金补助</w:t>
      </w:r>
    </w:p>
    <w:p w14:paraId="5E1D23DB">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质量指标：公共文化服务体系建设，已完成2023年任务。</w:t>
      </w:r>
    </w:p>
    <w:p w14:paraId="08CC5B54">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成本指标：关于下达2022年中央和省级公共文化服务体系建设（广播电视重点项目）资金补助全年预计完成指标值13.53万元，已完成值13.53万元。</w:t>
      </w:r>
    </w:p>
    <w:p w14:paraId="06F7CCAF">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满意度指标：预计完成服务对象满意度率达到100%以上，已完成2023年任务。</w:t>
      </w:r>
    </w:p>
    <w:p w14:paraId="4964A4F7">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项目名称5：2022年中央少数民族地区和边疆地区文化安全（广播电视）补助资金</w:t>
      </w:r>
    </w:p>
    <w:p w14:paraId="22B3326E">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质量指标：央少数民族地区和边疆地区文化安全，已完成2023年任务。</w:t>
      </w:r>
    </w:p>
    <w:p w14:paraId="7EA68C49">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成本指标：2022年中央少数民族地区和边疆地区文化安全（广播电视）补助资金全年预计完成指标值35.01万元，已完成值35.01万元。</w:t>
      </w:r>
    </w:p>
    <w:p w14:paraId="5FA26358">
      <w:pPr>
        <w:keepNext w:val="0"/>
        <w:keepLines w:val="0"/>
        <w:pageBreakBefore w:val="0"/>
        <w:widowControl w:val="0"/>
        <w:kinsoku/>
        <w:wordWrap/>
        <w:overflowPunct/>
        <w:topLinePunct w:val="0"/>
        <w:autoSpaceDE/>
        <w:autoSpaceDN/>
        <w:bidi w:val="0"/>
        <w:adjustRightInd w:val="0"/>
        <w:snapToGrid w:val="0"/>
        <w:spacing w:beforeAutospacing="0" w:afterAutospacing="0" w:line="576" w:lineRule="exact"/>
        <w:ind w:left="0" w:leftChars="0" w:firstLine="640" w:firstLineChars="200"/>
        <w:textAlignment w:val="auto"/>
        <w:outlineLvl w:val="9"/>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满意度指标：预计完成服务对象满意度率达到100%以上，已完成2023年任务。</w:t>
      </w:r>
    </w:p>
    <w:p w14:paraId="4254C10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76" w:lineRule="exact"/>
        <w:ind w:left="0" w:leftChars="0" w:firstLine="562" w:firstLineChars="200"/>
        <w:textAlignment w:val="auto"/>
        <w:rPr>
          <w:rFonts w:hint="eastAsia" w:ascii="楷体_GB2312" w:hAnsi="楷体_GB2312" w:eastAsia="楷体_GB2312" w:cs="楷体_GB2312"/>
          <w:b/>
          <w:color w:val="auto"/>
          <w:sz w:val="32"/>
          <w:szCs w:val="32"/>
          <w:highlight w:val="none"/>
          <w:u w:val="none"/>
          <w:lang w:val="en-US" w:eastAsia="zh-CN"/>
        </w:rPr>
      </w:pPr>
      <w:r>
        <w:rPr>
          <w:rStyle w:val="24"/>
          <w:rFonts w:hint="eastAsia"/>
          <w:lang w:val="en-US" w:eastAsia="zh-CN"/>
        </w:rPr>
        <w:t>(一)通用指标</w:t>
      </w:r>
      <w:r>
        <w:rPr>
          <w:rStyle w:val="24"/>
          <w:rFonts w:hint="default"/>
          <w:lang w:val="zh-CN" w:eastAsia="zh-CN"/>
        </w:rPr>
        <w:t>绩效分析</w:t>
      </w:r>
      <w:r>
        <w:rPr>
          <w:rFonts w:hint="default" w:ascii="楷体_GB2312" w:hAnsi="楷体_GB2312" w:eastAsia="楷体_GB2312" w:cs="楷体_GB2312"/>
          <w:b/>
          <w:color w:val="auto"/>
          <w:sz w:val="32"/>
          <w:szCs w:val="32"/>
          <w:highlight w:val="none"/>
          <w:u w:val="none"/>
          <w:lang w:val="zh-CN" w:eastAsia="zh-CN"/>
        </w:rPr>
        <w:t>。</w:t>
      </w:r>
    </w:p>
    <w:p w14:paraId="35698A0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cs="仿宋_GB2312"/>
          <w:b/>
          <w:bCs/>
          <w:color w:val="auto"/>
          <w:kern w:val="0"/>
          <w:sz w:val="32"/>
          <w:szCs w:val="32"/>
          <w:lang w:val="en-US" w:eastAsia="zh-CN" w:bidi="ar"/>
        </w:rPr>
        <w:t>1.</w:t>
      </w:r>
      <w:r>
        <w:rPr>
          <w:rFonts w:hint="eastAsia" w:ascii="仿宋_GB2312" w:hAnsi="仿宋_GB2312" w:eastAsia="仿宋_GB2312" w:cs="仿宋_GB2312"/>
          <w:b/>
          <w:bCs/>
          <w:color w:val="auto"/>
          <w:kern w:val="0"/>
          <w:sz w:val="32"/>
          <w:szCs w:val="32"/>
          <w:lang w:val="en-US" w:eastAsia="zh-CN" w:bidi="ar"/>
        </w:rPr>
        <w:t>项目决策。</w:t>
      </w:r>
      <w:r>
        <w:rPr>
          <w:rFonts w:hint="eastAsia" w:ascii="仿宋_GB2312" w:hAnsi="仿宋_GB2312" w:eastAsia="仿宋_GB2312" w:cs="仿宋_GB2312"/>
          <w:sz w:val="32"/>
          <w:szCs w:val="32"/>
          <w:lang w:val="en-US" w:eastAsia="zh-CN"/>
        </w:rPr>
        <w:t>为深入贯彻落实党的十八届三中、四中全会精神。</w:t>
      </w:r>
      <w:r>
        <w:rPr>
          <w:rFonts w:hint="eastAsia" w:ascii="仿宋_GB2312" w:hAnsi="仿宋_GB2312" w:eastAsia="仿宋_GB2312" w:cs="仿宋_GB2312"/>
          <w:sz w:val="32"/>
          <w:szCs w:val="32"/>
          <w:lang w:eastAsia="zh-CN"/>
        </w:rPr>
        <w:t>根据红原县财政局《关于下达20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年中央和省级政法转移支付资金的通知》（红财发〔20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39</w:t>
      </w:r>
      <w:r>
        <w:rPr>
          <w:rFonts w:hint="eastAsia" w:ascii="仿宋_GB2312" w:hAnsi="仿宋_GB2312" w:eastAsia="仿宋_GB2312" w:cs="仿宋_GB2312"/>
          <w:sz w:val="32"/>
          <w:szCs w:val="32"/>
          <w:lang w:eastAsia="zh-CN"/>
        </w:rPr>
        <w:t>号）（红财发〔20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156</w:t>
      </w:r>
      <w:r>
        <w:rPr>
          <w:rFonts w:hint="eastAsia" w:ascii="仿宋_GB2312" w:hAnsi="仿宋_GB2312" w:eastAsia="仿宋_GB2312" w:cs="仿宋_GB2312"/>
          <w:sz w:val="32"/>
          <w:szCs w:val="32"/>
          <w:lang w:eastAsia="zh-CN"/>
        </w:rPr>
        <w:t>号），20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lang w:eastAsia="zh-CN"/>
        </w:rPr>
        <w:t>年度下达到位中央和省级政法转移支付资金</w:t>
      </w:r>
      <w:r>
        <w:rPr>
          <w:rFonts w:hint="eastAsia" w:ascii="仿宋_GB2312" w:hAnsi="仿宋_GB2312" w:eastAsia="仿宋_GB2312" w:cs="仿宋_GB2312"/>
          <w:sz w:val="32"/>
          <w:szCs w:val="32"/>
          <w:lang w:val="en-US" w:eastAsia="zh-CN"/>
        </w:rPr>
        <w:t>156.89</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lang w:val="en-US" w:eastAsia="zh-CN"/>
        </w:rPr>
        <w:t xml:space="preserve">          </w:t>
      </w:r>
    </w:p>
    <w:p w14:paraId="35451942">
      <w:pPr>
        <w:pStyle w:val="13"/>
        <w:keepNext w:val="0"/>
        <w:keepLines w:val="0"/>
        <w:pageBreakBefore w:val="0"/>
        <w:shd w:val="clear" w:color="auto" w:fill="FFFFFF"/>
        <w:kinsoku/>
        <w:wordWrap/>
        <w:topLinePunct w:val="0"/>
        <w:autoSpaceDE/>
        <w:autoSpaceDN/>
        <w:bidi w:val="0"/>
        <w:spacing w:before="0" w:beforeAutospacing="0" w:after="0" w:afterAutospacing="0" w:line="576" w:lineRule="exact"/>
        <w:ind w:left="0" w:leftChars="0" w:firstLine="643"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2.项目管理。</w:t>
      </w:r>
      <w:r>
        <w:rPr>
          <w:rFonts w:hint="eastAsia" w:ascii="仿宋_GB2312" w:hAnsi="仿宋_GB2312" w:eastAsia="仿宋_GB2312" w:cs="仿宋_GB2312"/>
          <w:kern w:val="2"/>
          <w:sz w:val="32"/>
          <w:szCs w:val="32"/>
          <w:lang w:val="en-US" w:eastAsia="zh-CN" w:bidi="ar-SA"/>
        </w:rPr>
        <w:t>我中心在执行中央政法转移支付项目过程中，严格按照《会计法》、《预算法》和财政部等相关要求组织实施，专款专用，未发现出现截留、挪用和违反合同约定支付等现象。会计核算真实、完整、准确、及时，支出审批程序严格按规定执行，经费支出与预算批复用途相符，且符合国家财经法规和财务管理制度以及项目资金管理的相关规定。</w:t>
      </w:r>
    </w:p>
    <w:p w14:paraId="181ED2A1">
      <w:pPr>
        <w:pStyle w:val="13"/>
        <w:keepNext w:val="0"/>
        <w:keepLines w:val="0"/>
        <w:pageBreakBefore w:val="0"/>
        <w:shd w:val="clear" w:color="auto" w:fill="FFFFFF"/>
        <w:kinsoku/>
        <w:wordWrap/>
        <w:topLinePunct w:val="0"/>
        <w:autoSpaceDE/>
        <w:autoSpaceDN/>
        <w:bidi w:val="0"/>
        <w:spacing w:before="0" w:beforeAutospacing="0" w:after="0" w:afterAutospacing="0" w:line="576" w:lineRule="exact"/>
        <w:ind w:left="0" w:leftChars="0" w:firstLine="643"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0"/>
          <w:sz w:val="32"/>
          <w:szCs w:val="32"/>
          <w:lang w:val="en-US" w:eastAsia="zh-CN" w:bidi="ar"/>
        </w:rPr>
        <w:t>3.项目实施。</w:t>
      </w:r>
      <w:r>
        <w:rPr>
          <w:rFonts w:hint="eastAsia" w:ascii="仿宋_GB2312" w:hAnsi="仿宋_GB2312" w:eastAsia="仿宋_GB2312" w:cs="仿宋_GB2312"/>
          <w:color w:val="auto"/>
          <w:sz w:val="32"/>
          <w:szCs w:val="32"/>
          <w:lang w:val="en-US" w:eastAsia="zh-CN"/>
        </w:rPr>
        <w:t>2023年度中央及省级政法转移资金以及2022年结余资金支付项目资金共支出</w:t>
      </w:r>
      <w:r>
        <w:rPr>
          <w:rFonts w:hint="eastAsia" w:ascii="仿宋_GB2312" w:hAnsi="仿宋_GB2312" w:cs="仿宋_GB2312"/>
          <w:color w:val="auto"/>
          <w:sz w:val="32"/>
          <w:szCs w:val="32"/>
          <w:lang w:val="en-US" w:eastAsia="zh-CN"/>
        </w:rPr>
        <w:t>200.85</w:t>
      </w:r>
      <w:r>
        <w:rPr>
          <w:rFonts w:hint="eastAsia" w:ascii="仿宋_GB2312" w:hAnsi="仿宋_GB2312" w:eastAsia="仿宋_GB2312" w:cs="仿宋_GB2312"/>
          <w:color w:val="auto"/>
          <w:sz w:val="32"/>
          <w:szCs w:val="32"/>
          <w:lang w:val="en-US" w:eastAsia="zh-CN"/>
        </w:rPr>
        <w:t>万元，执行进度为</w:t>
      </w:r>
      <w:r>
        <w:rPr>
          <w:rFonts w:hint="eastAsia" w:ascii="仿宋_GB2312" w:hAnsi="仿宋_GB2312" w:cs="仿宋_GB2312"/>
          <w:color w:val="auto"/>
          <w:sz w:val="32"/>
          <w:szCs w:val="32"/>
          <w:lang w:val="en-US" w:eastAsia="zh-CN"/>
        </w:rPr>
        <w:t>27</w:t>
      </w:r>
      <w:r>
        <w:rPr>
          <w:rFonts w:hint="eastAsia" w:ascii="仿宋_GB2312" w:hAnsi="仿宋_GB2312" w:eastAsia="仿宋_GB2312" w:cs="仿宋_GB2312"/>
          <w:color w:val="auto"/>
          <w:sz w:val="32"/>
          <w:szCs w:val="32"/>
          <w:lang w:val="en-US" w:eastAsia="zh-CN"/>
        </w:rPr>
        <w:t>%。</w:t>
      </w:r>
    </w:p>
    <w:p w14:paraId="63535445">
      <w:pPr>
        <w:pStyle w:val="13"/>
        <w:keepNext w:val="0"/>
        <w:keepLines w:val="0"/>
        <w:pageBreakBefore w:val="0"/>
        <w:shd w:val="clear" w:color="auto" w:fill="FFFFFF"/>
        <w:kinsoku/>
        <w:wordWrap/>
        <w:topLinePunct w:val="0"/>
        <w:autoSpaceDE/>
        <w:autoSpaceDN/>
        <w:bidi w:val="0"/>
        <w:spacing w:before="0" w:beforeAutospacing="0" w:after="0" w:afterAutospacing="0" w:line="576" w:lineRule="exact"/>
        <w:ind w:left="0" w:leftChars="0" w:right="0" w:firstLine="643" w:firstLineChars="200"/>
        <w:jc w:val="both"/>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kern w:val="0"/>
          <w:sz w:val="32"/>
          <w:szCs w:val="32"/>
          <w:lang w:val="en-US" w:eastAsia="zh-CN" w:bidi="ar"/>
        </w:rPr>
        <w:t>4.项目结果。</w:t>
      </w:r>
      <w:r>
        <w:rPr>
          <w:rFonts w:hint="eastAsia" w:ascii="仿宋_GB2312" w:hAnsi="仿宋_GB2312" w:eastAsia="仿宋_GB2312" w:cs="仿宋_GB2312"/>
          <w:color w:val="auto"/>
          <w:sz w:val="32"/>
          <w:szCs w:val="32"/>
          <w:lang w:val="en-US" w:eastAsia="zh-CN"/>
        </w:rPr>
        <w:t>年度目标：实现融媒体全面转型；新闻宣传向多元服务转型；业务骨干向复合人才转型；进一步提长宣传工作水平；进一步提升新闻作品质量。</w:t>
      </w:r>
    </w:p>
    <w:p w14:paraId="54F02A10">
      <w:pPr>
        <w:keepNext w:val="0"/>
        <w:keepLines w:val="0"/>
        <w:pageBreakBefore w:val="0"/>
        <w:widowControl w:val="0"/>
        <w:shd w:val="clear" w:color="auto" w:fill="FFFFFF"/>
        <w:kinsoku/>
        <w:wordWrap/>
        <w:topLinePunct w:val="0"/>
        <w:autoSpaceDE/>
        <w:autoSpaceDN/>
        <w:bidi w:val="0"/>
        <w:spacing w:beforeAutospacing="0" w:afterAutospacing="0" w:line="576" w:lineRule="exact"/>
        <w:ind w:left="0" w:leftChars="0" w:right="0" w:firstLine="640" w:firstLineChars="200"/>
        <w:jc w:val="both"/>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0"/>
          <w:sz w:val="32"/>
          <w:szCs w:val="32"/>
          <w:lang w:val="en-US" w:eastAsia="zh-CN" w:bidi="ar"/>
        </w:rPr>
        <w:t>完成情况：圆满完成绩效目标任务，完成率100%。</w:t>
      </w:r>
    </w:p>
    <w:p w14:paraId="1AF494E2">
      <w:pPr>
        <w:pStyle w:val="7"/>
        <w:pageBreakBefore w:val="0"/>
        <w:kinsoku/>
        <w:wordWrap/>
        <w:topLinePunct w:val="0"/>
        <w:bidi w:val="0"/>
        <w:spacing w:before="0" w:beforeLines="0" w:after="0" w:afterLines="0" w:afterAutospacing="0" w:line="576" w:lineRule="exact"/>
        <w:ind w:firstLine="562" w:firstLineChars="200"/>
        <w:rPr>
          <w:rFonts w:hint="default"/>
          <w:lang w:val="zh-CN" w:eastAsia="zh-CN"/>
        </w:rPr>
      </w:pPr>
      <w:r>
        <w:rPr>
          <w:rFonts w:hint="eastAsia"/>
          <w:lang w:val="zh-CN" w:eastAsia="zh-CN"/>
        </w:rPr>
        <w:t>（二）</w:t>
      </w:r>
      <w:r>
        <w:rPr>
          <w:rFonts w:hint="eastAsia"/>
          <w:lang w:val="en-US" w:eastAsia="zh-CN"/>
        </w:rPr>
        <w:t>专用指标</w:t>
      </w:r>
      <w:r>
        <w:rPr>
          <w:rFonts w:hint="default"/>
          <w:lang w:val="zh-CN" w:eastAsia="zh-CN"/>
        </w:rPr>
        <w:t>绩效分析</w:t>
      </w:r>
    </w:p>
    <w:p w14:paraId="5379B527">
      <w:pPr>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left="0" w:leftChars="0" w:firstLine="640" w:firstLineChars="200"/>
        <w:jc w:val="left"/>
        <w:textAlignment w:val="center"/>
        <w:outlineLvl w:val="9"/>
        <w:rPr>
          <w:rFonts w:hint="eastAsia" w:ascii="仿宋_GB2312" w:hAnsi="仿宋_GB2312" w:eastAsia="仿宋_GB2312" w:cs="仿宋_GB2312"/>
          <w:color w:val="auto"/>
          <w:kern w:val="0"/>
          <w:sz w:val="32"/>
          <w:szCs w:val="32"/>
          <w:lang w:val="zh-CN" w:eastAsia="zh-CN" w:bidi="ar-SA"/>
        </w:rPr>
      </w:pPr>
      <w:r>
        <w:rPr>
          <w:rFonts w:hint="eastAsia" w:ascii="仿宋_GB2312" w:hAnsi="仿宋_GB2312" w:eastAsia="仿宋_GB2312" w:cs="仿宋_GB2312"/>
          <w:color w:val="auto"/>
          <w:kern w:val="0"/>
          <w:sz w:val="32"/>
          <w:szCs w:val="32"/>
          <w:lang w:val="zh-CN" w:eastAsia="zh-CN" w:bidi="ar-SA"/>
        </w:rPr>
        <w:t>根据</w:t>
      </w:r>
      <w:r>
        <w:rPr>
          <w:rFonts w:hint="eastAsia" w:ascii="仿宋_GB2312" w:hAnsi="仿宋_GB2312" w:eastAsia="仿宋_GB2312" w:cs="仿宋_GB2312"/>
          <w:color w:val="auto"/>
          <w:kern w:val="0"/>
          <w:sz w:val="32"/>
          <w:szCs w:val="32"/>
          <w:lang w:val="en-US" w:eastAsia="zh-CN" w:bidi="ar-SA"/>
        </w:rPr>
        <w:t>专项预算项目资金支持对象选择所属指标进行绩效分析。支持对象</w:t>
      </w:r>
      <w:r>
        <w:rPr>
          <w:rFonts w:hint="eastAsia" w:ascii="仿宋_GB2312" w:hAnsi="仿宋_GB2312" w:eastAsia="仿宋_GB2312" w:cs="仿宋_GB2312"/>
          <w:color w:val="auto"/>
          <w:kern w:val="0"/>
          <w:sz w:val="32"/>
          <w:szCs w:val="32"/>
          <w:lang w:val="zh-CN" w:eastAsia="zh-CN" w:bidi="ar-SA"/>
        </w:rPr>
        <w:t>包括产业发展、民生保障、基础设施、行政运转等方面。</w:t>
      </w:r>
    </w:p>
    <w:p w14:paraId="1DCE2C2D">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1.产业发展。</w:t>
      </w:r>
      <w:r>
        <w:rPr>
          <w:rFonts w:hint="eastAsia" w:ascii="仿宋_GB2312" w:hAnsi="仿宋_GB2312" w:eastAsia="仿宋_GB2312" w:cs="仿宋_GB2312"/>
          <w:color w:val="auto"/>
          <w:kern w:val="0"/>
          <w:sz w:val="32"/>
          <w:szCs w:val="32"/>
          <w:lang w:val="en-US" w:eastAsia="zh-CN" w:bidi="ar-SA"/>
        </w:rPr>
        <w:t>围绕符合性、成长性、经济性进行绩效分析。</w:t>
      </w:r>
    </w:p>
    <w:p w14:paraId="09FDD9A4">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2.</w:t>
      </w:r>
      <w:r>
        <w:rPr>
          <w:rFonts w:hint="eastAsia" w:ascii="仿宋_GB2312" w:hAnsi="仿宋_GB2312" w:eastAsia="仿宋_GB2312" w:cs="仿宋_GB2312"/>
          <w:b/>
          <w:bCs/>
          <w:color w:val="auto"/>
          <w:kern w:val="0"/>
          <w:sz w:val="32"/>
          <w:szCs w:val="32"/>
          <w:lang w:val="zh-CN" w:eastAsia="zh-CN" w:bidi="ar"/>
        </w:rPr>
        <w:t>民生保障。</w:t>
      </w:r>
      <w:r>
        <w:rPr>
          <w:rFonts w:hint="eastAsia" w:ascii="仿宋_GB2312" w:hAnsi="仿宋_GB2312" w:eastAsia="仿宋_GB2312" w:cs="仿宋_GB2312"/>
          <w:color w:val="auto"/>
          <w:kern w:val="0"/>
          <w:sz w:val="32"/>
          <w:szCs w:val="32"/>
          <w:lang w:val="en-US" w:eastAsia="zh-CN" w:bidi="ar-SA"/>
        </w:rPr>
        <w:t>围绕区域均衡性、对象精准性、标准合理性、群众满意度进行绩效分析。</w:t>
      </w:r>
    </w:p>
    <w:p w14:paraId="0618733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3.基础设施。</w:t>
      </w:r>
      <w:r>
        <w:rPr>
          <w:rFonts w:hint="eastAsia" w:ascii="仿宋_GB2312" w:hAnsi="仿宋_GB2312" w:eastAsia="仿宋_GB2312" w:cs="仿宋_GB2312"/>
          <w:color w:val="auto"/>
          <w:kern w:val="0"/>
          <w:sz w:val="32"/>
          <w:szCs w:val="32"/>
          <w:lang w:val="en-US" w:eastAsia="zh-CN" w:bidi="ar-SA"/>
        </w:rPr>
        <w:t>在建项目围绕工程进度和资金拨付进行绩效分析；建成项目围绕项目验收、功能实现、后续管护进行绩效分析。</w:t>
      </w:r>
    </w:p>
    <w:p w14:paraId="2885217F">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643"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
          <w:bCs/>
          <w:color w:val="auto"/>
          <w:kern w:val="0"/>
          <w:sz w:val="32"/>
          <w:szCs w:val="32"/>
          <w:lang w:val="en-US" w:eastAsia="zh-CN" w:bidi="ar"/>
        </w:rPr>
        <w:t>4.</w:t>
      </w:r>
      <w:r>
        <w:rPr>
          <w:rFonts w:hint="eastAsia" w:ascii="仿宋_GB2312" w:hAnsi="仿宋_GB2312" w:eastAsia="仿宋_GB2312" w:cs="仿宋_GB2312"/>
          <w:b/>
          <w:bCs/>
          <w:color w:val="auto"/>
          <w:kern w:val="0"/>
          <w:sz w:val="32"/>
          <w:szCs w:val="32"/>
          <w:lang w:val="zh-CN" w:eastAsia="zh-CN" w:bidi="ar"/>
        </w:rPr>
        <w:t>行政运转。</w:t>
      </w:r>
      <w:r>
        <w:rPr>
          <w:rFonts w:hint="eastAsia" w:ascii="仿宋_GB2312" w:hAnsi="仿宋_GB2312" w:eastAsia="仿宋_GB2312" w:cs="仿宋_GB2312"/>
          <w:color w:val="auto"/>
          <w:kern w:val="0"/>
          <w:sz w:val="32"/>
          <w:szCs w:val="32"/>
          <w:lang w:val="zh-CN" w:eastAsia="zh-CN" w:bidi="ar-SA"/>
        </w:rPr>
        <w:t>围绕用途合规性、程序合规性、标准合规性进行绩效分析。</w:t>
      </w:r>
    </w:p>
    <w:p w14:paraId="596D5CA3">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leftChars="0" w:firstLine="562"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Style w:val="24"/>
          <w:rFonts w:hint="eastAsia"/>
          <w:lang w:val="zh-CN" w:eastAsia="zh-CN"/>
        </w:rPr>
        <w:t>（三）</w:t>
      </w:r>
      <w:r>
        <w:rPr>
          <w:rStyle w:val="24"/>
          <w:rFonts w:hint="eastAsia"/>
          <w:lang w:val="en-US" w:eastAsia="zh-CN"/>
        </w:rPr>
        <w:t>个性指标</w:t>
      </w:r>
      <w:r>
        <w:rPr>
          <w:rStyle w:val="24"/>
          <w:rFonts w:hint="default"/>
          <w:lang w:val="zh-CN" w:eastAsia="zh-CN"/>
        </w:rPr>
        <w:t>绩效分析。</w:t>
      </w:r>
      <w:r>
        <w:rPr>
          <w:rFonts w:hint="eastAsia" w:ascii="仿宋_GB2312" w:hAnsi="仿宋_GB2312" w:eastAsia="仿宋_GB2312" w:cs="仿宋_GB2312"/>
          <w:color w:val="auto"/>
          <w:kern w:val="0"/>
          <w:sz w:val="32"/>
          <w:szCs w:val="32"/>
          <w:lang w:val="zh-CN" w:eastAsia="zh-CN" w:bidi="ar-SA"/>
        </w:rPr>
        <w:t>根据项目个性自行设定部分指标，反映该项指标执行完成情况。</w:t>
      </w:r>
    </w:p>
    <w:p w14:paraId="25B9D303">
      <w:pPr>
        <w:pStyle w:val="6"/>
        <w:pageBreakBefore w:val="0"/>
        <w:kinsoku/>
        <w:wordWrap/>
        <w:topLinePunct w:val="0"/>
        <w:bidi w:val="0"/>
        <w:spacing w:before="0" w:beforeLines="0" w:after="0" w:afterLines="0" w:afterAutospacing="0" w:line="576" w:lineRule="exact"/>
        <w:ind w:firstLine="643" w:firstLineChars="200"/>
        <w:outlineLvl w:val="1"/>
        <w:rPr>
          <w:rFonts w:hint="eastAsia"/>
        </w:rPr>
      </w:pPr>
      <w:bookmarkStart w:id="166" w:name="_Toc3498"/>
      <w:r>
        <w:rPr>
          <w:rFonts w:hint="eastAsia"/>
          <w:lang w:eastAsia="zh-CN"/>
        </w:rPr>
        <w:t>四</w:t>
      </w:r>
      <w:r>
        <w:rPr>
          <w:rFonts w:hint="eastAsia"/>
        </w:rPr>
        <w:t>、评价结论</w:t>
      </w:r>
      <w:bookmarkEnd w:id="166"/>
    </w:p>
    <w:p w14:paraId="157A19FA">
      <w:pPr>
        <w:pStyle w:val="13"/>
        <w:keepNext w:val="0"/>
        <w:keepLines w:val="0"/>
        <w:pageBreakBefore w:val="0"/>
        <w:shd w:val="clear" w:color="auto" w:fill="FFFFFF"/>
        <w:kinsoku/>
        <w:wordWrap/>
        <w:topLinePunct w:val="0"/>
        <w:autoSpaceDE/>
        <w:autoSpaceDN/>
        <w:bidi w:val="0"/>
        <w:spacing w:before="0" w:beforeAutospacing="0" w:after="0" w:afterAutospacing="0" w:line="576" w:lineRule="exact"/>
        <w:ind w:left="0" w:leftChars="0"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zh-CN" w:eastAsia="zh-CN"/>
        </w:rPr>
        <w:t>根据《2023年红原县专项预算项目绩效评价指标体系》（自评表）评分得分9</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zh-CN" w:eastAsia="zh-CN"/>
        </w:rPr>
        <w:t>分，专项预算项目绩效评价为“好”。</w:t>
      </w:r>
    </w:p>
    <w:p w14:paraId="442A8575">
      <w:pPr>
        <w:pStyle w:val="6"/>
        <w:pageBreakBefore w:val="0"/>
        <w:kinsoku/>
        <w:wordWrap/>
        <w:topLinePunct w:val="0"/>
        <w:bidi w:val="0"/>
        <w:spacing w:before="0" w:beforeLines="0" w:after="0" w:afterLines="0" w:afterAutospacing="0" w:line="576" w:lineRule="exact"/>
        <w:ind w:firstLine="643" w:firstLineChars="200"/>
        <w:outlineLvl w:val="1"/>
        <w:rPr>
          <w:rFonts w:hint="eastAsia"/>
          <w:lang w:eastAsia="zh-CN"/>
        </w:rPr>
      </w:pPr>
      <w:bookmarkStart w:id="167" w:name="_Toc3427"/>
      <w:r>
        <w:rPr>
          <w:rFonts w:hint="eastAsia"/>
          <w:lang w:eastAsia="zh-CN"/>
        </w:rPr>
        <w:t>五、存在主要问题</w:t>
      </w:r>
      <w:bookmarkEnd w:id="167"/>
    </w:p>
    <w:p w14:paraId="446301C1">
      <w:pPr>
        <w:pStyle w:val="2"/>
        <w:keepNext w:val="0"/>
        <w:keepLines w:val="0"/>
        <w:pageBreakBefore w:val="0"/>
        <w:numPr>
          <w:ilvl w:val="0"/>
          <w:numId w:val="0"/>
        </w:numPr>
        <w:tabs>
          <w:tab w:val="left" w:pos="2160"/>
        </w:tabs>
        <w:kinsoku/>
        <w:wordWrap/>
        <w:overflowPunct/>
        <w:topLinePunct w:val="0"/>
        <w:autoSpaceDE/>
        <w:autoSpaceDN/>
        <w:bidi w:val="0"/>
        <w:adjustRightInd/>
        <w:spacing w:beforeAutospacing="0" w:after="0" w:afterAutospacing="0" w:line="576"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zh-CN" w:eastAsia="zh-CN" w:bidi="ar-SA"/>
        </w:rPr>
        <w:t>20</w:t>
      </w:r>
      <w:r>
        <w:rPr>
          <w:rFonts w:hint="eastAsia" w:ascii="仿宋_GB2312" w:hAnsi="仿宋_GB2312" w:eastAsia="仿宋_GB2312" w:cs="仿宋_GB2312"/>
          <w:color w:val="auto"/>
          <w:kern w:val="0"/>
          <w:sz w:val="32"/>
          <w:szCs w:val="32"/>
          <w:lang w:val="en-US" w:eastAsia="zh-CN" w:bidi="ar-SA"/>
        </w:rPr>
        <w:t>23</w:t>
      </w:r>
      <w:r>
        <w:rPr>
          <w:rFonts w:hint="eastAsia" w:ascii="仿宋_GB2312" w:hAnsi="仿宋_GB2312" w:eastAsia="仿宋_GB2312" w:cs="仿宋_GB2312"/>
          <w:color w:val="auto"/>
          <w:kern w:val="0"/>
          <w:sz w:val="32"/>
          <w:szCs w:val="32"/>
          <w:lang w:val="zh-CN" w:eastAsia="zh-CN" w:bidi="ar-SA"/>
        </w:rPr>
        <w:t>年度我</w:t>
      </w:r>
      <w:r>
        <w:rPr>
          <w:rFonts w:hint="eastAsia" w:ascii="仿宋_GB2312" w:hAnsi="仿宋_GB2312" w:eastAsia="仿宋_GB2312" w:cs="仿宋_GB2312"/>
          <w:color w:val="auto"/>
          <w:kern w:val="0"/>
          <w:sz w:val="32"/>
          <w:szCs w:val="32"/>
          <w:lang w:val="en-US" w:eastAsia="zh-CN" w:bidi="ar-SA"/>
        </w:rPr>
        <w:t>中心</w:t>
      </w:r>
      <w:r>
        <w:rPr>
          <w:rFonts w:hint="eastAsia" w:ascii="仿宋_GB2312" w:hAnsi="仿宋_GB2312" w:eastAsia="仿宋_GB2312" w:cs="仿宋_GB2312"/>
          <w:color w:val="auto"/>
          <w:kern w:val="0"/>
          <w:sz w:val="32"/>
          <w:szCs w:val="32"/>
          <w:lang w:val="zh-CN" w:eastAsia="zh-CN" w:bidi="ar-SA"/>
        </w:rPr>
        <w:t>专项预算项目绩效目标未发生偏离，但是还存在不足，如</w:t>
      </w:r>
      <w:r>
        <w:rPr>
          <w:rFonts w:hint="eastAsia" w:ascii="仿宋_GB2312" w:hAnsi="仿宋_GB2312" w:eastAsia="仿宋_GB2312" w:cs="仿宋_GB2312"/>
          <w:color w:val="auto"/>
          <w:kern w:val="0"/>
          <w:sz w:val="32"/>
          <w:szCs w:val="32"/>
          <w:lang w:val="en-US" w:eastAsia="zh-CN" w:bidi="ar-SA"/>
        </w:rPr>
        <w:t>创新和采访宣传</w:t>
      </w:r>
      <w:r>
        <w:rPr>
          <w:rFonts w:hint="eastAsia" w:ascii="仿宋_GB2312" w:hAnsi="仿宋_GB2312" w:eastAsia="仿宋_GB2312" w:cs="仿宋_GB2312"/>
          <w:color w:val="auto"/>
          <w:kern w:val="0"/>
          <w:sz w:val="32"/>
          <w:szCs w:val="32"/>
          <w:lang w:val="zh-CN" w:eastAsia="zh-CN" w:bidi="ar-SA"/>
        </w:rPr>
        <w:t>的方式形式单一，工作开展不够深入。下一步将加</w:t>
      </w:r>
      <w:r>
        <w:rPr>
          <w:rFonts w:hint="eastAsia" w:ascii="仿宋_GB2312" w:hAnsi="仿宋_GB2312" w:eastAsia="仿宋_GB2312" w:cs="仿宋_GB2312"/>
          <w:color w:val="auto"/>
          <w:kern w:val="0"/>
          <w:sz w:val="32"/>
          <w:szCs w:val="32"/>
          <w:lang w:val="en-US" w:eastAsia="zh-CN" w:bidi="ar-SA"/>
        </w:rPr>
        <w:t>创新和采访</w:t>
      </w:r>
      <w:r>
        <w:rPr>
          <w:rFonts w:hint="eastAsia" w:ascii="仿宋_GB2312" w:hAnsi="仿宋_GB2312" w:eastAsia="仿宋_GB2312" w:cs="仿宋_GB2312"/>
          <w:color w:val="auto"/>
          <w:kern w:val="0"/>
          <w:sz w:val="32"/>
          <w:szCs w:val="32"/>
          <w:lang w:val="zh-CN" w:eastAsia="zh-CN" w:bidi="ar-SA"/>
        </w:rPr>
        <w:t>，工作的力度，圆满完成各项目标。</w:t>
      </w:r>
    </w:p>
    <w:p w14:paraId="65EF3559">
      <w:pPr>
        <w:pStyle w:val="6"/>
        <w:pageBreakBefore w:val="0"/>
        <w:kinsoku/>
        <w:wordWrap/>
        <w:topLinePunct w:val="0"/>
        <w:bidi w:val="0"/>
        <w:spacing w:before="0" w:beforeLines="0" w:after="0" w:afterLines="0" w:afterAutospacing="0" w:line="576" w:lineRule="exact"/>
        <w:ind w:firstLine="643" w:firstLineChars="200"/>
        <w:outlineLvl w:val="1"/>
        <w:rPr>
          <w:rFonts w:hint="eastAsia"/>
          <w:lang w:val="zh-CN" w:eastAsia="zh-CN"/>
        </w:rPr>
      </w:pPr>
      <w:bookmarkStart w:id="168" w:name="_Toc30730"/>
      <w:r>
        <w:rPr>
          <w:rFonts w:hint="eastAsia"/>
          <w:lang w:val="zh-CN" w:eastAsia="zh-CN"/>
        </w:rPr>
        <w:t>六、改进建议</w:t>
      </w:r>
      <w:bookmarkEnd w:id="168"/>
    </w:p>
    <w:p w14:paraId="269684FD">
      <w:pPr>
        <w:keepNext w:val="0"/>
        <w:keepLines w:val="0"/>
        <w:pageBreakBefore w:val="0"/>
        <w:widowControl w:val="0"/>
        <w:kinsoku/>
        <w:wordWrap/>
        <w:overflowPunct w:val="0"/>
        <w:topLinePunct w:val="0"/>
        <w:autoSpaceDE/>
        <w:autoSpaceDN/>
        <w:bidi w:val="0"/>
        <w:spacing w:beforeAutospacing="0" w:afterAutospacing="0" w:line="576" w:lineRule="exact"/>
        <w:ind w:left="0" w:leftChars="0" w:right="0" w:firstLine="643"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楷体_GB2312" w:hAnsi="楷体_GB2312" w:eastAsia="楷体_GB2312" w:cs="楷体_GB2312"/>
          <w:b/>
          <w:bCs/>
          <w:color w:val="000000"/>
          <w:sz w:val="32"/>
          <w:szCs w:val="32"/>
          <w:lang w:val="en-US" w:eastAsia="zh-CN" w:bidi="ar-SA"/>
        </w:rPr>
        <w:t>1.</w:t>
      </w:r>
      <w:r>
        <w:rPr>
          <w:rFonts w:hint="eastAsia" w:ascii="仿宋_GB2312" w:hAnsi="仿宋_GB2312" w:eastAsia="仿宋_GB2312" w:cs="仿宋_GB2312"/>
          <w:color w:val="000000"/>
          <w:sz w:val="32"/>
          <w:szCs w:val="32"/>
          <w:lang w:val="en-US" w:eastAsia="zh-CN" w:bidi="ar-SA"/>
        </w:rPr>
        <w:t>通过各种途径加强绩效管理学习，科学合理编制预算，严格执行预算。</w:t>
      </w:r>
    </w:p>
    <w:p w14:paraId="305FB461">
      <w:pPr>
        <w:keepNext w:val="0"/>
        <w:keepLines w:val="0"/>
        <w:pageBreakBefore w:val="0"/>
        <w:widowControl w:val="0"/>
        <w:kinsoku/>
        <w:wordWrap/>
        <w:overflowPunct w:val="0"/>
        <w:topLinePunct w:val="0"/>
        <w:autoSpaceDE/>
        <w:autoSpaceDN/>
        <w:bidi w:val="0"/>
        <w:spacing w:beforeAutospacing="0" w:afterAutospacing="0" w:line="576" w:lineRule="exact"/>
        <w:ind w:left="0" w:leftChars="0" w:right="0" w:firstLine="643" w:firstLineChars="200"/>
        <w:jc w:val="left"/>
        <w:textAlignment w:val="auto"/>
        <w:outlineLvl w:val="9"/>
        <w:rPr>
          <w:rFonts w:hint="eastAsia" w:ascii="仿宋_GB2312" w:hAnsi="仿宋_GB2312" w:eastAsia="仿宋_GB2312" w:cs="仿宋_GB2312"/>
          <w:color w:val="000000"/>
          <w:sz w:val="32"/>
          <w:szCs w:val="32"/>
          <w:lang w:val="en-US" w:eastAsia="zh-CN" w:bidi="ar-SA"/>
        </w:rPr>
      </w:pPr>
      <w:r>
        <w:rPr>
          <w:rFonts w:hint="eastAsia" w:ascii="楷体_GB2312" w:hAnsi="楷体_GB2312" w:eastAsia="楷体_GB2312" w:cs="楷体_GB2312"/>
          <w:b/>
          <w:bCs/>
          <w:color w:val="000000"/>
          <w:sz w:val="32"/>
          <w:szCs w:val="32"/>
          <w:lang w:val="en-US" w:eastAsia="zh-CN" w:bidi="ar-SA"/>
        </w:rPr>
        <w:t>2.</w:t>
      </w:r>
      <w:r>
        <w:rPr>
          <w:rFonts w:hint="eastAsia" w:ascii="仿宋_GB2312" w:hAnsi="仿宋_GB2312" w:eastAsia="仿宋_GB2312" w:cs="仿宋_GB2312"/>
          <w:color w:val="000000"/>
          <w:sz w:val="32"/>
          <w:szCs w:val="32"/>
          <w:lang w:val="en-US" w:eastAsia="zh-CN" w:bidi="ar-SA"/>
        </w:rPr>
        <w:t>规范账务处理，提高财务信息质量。</w:t>
      </w:r>
    </w:p>
    <w:p w14:paraId="7041ABE6">
      <w:pPr>
        <w:keepNext w:val="0"/>
        <w:keepLines w:val="0"/>
        <w:pageBreakBefore w:val="0"/>
        <w:tabs>
          <w:tab w:val="left" w:pos="1911"/>
        </w:tabs>
        <w:kinsoku/>
        <w:wordWrap/>
        <w:topLinePunct w:val="0"/>
        <w:autoSpaceDE/>
        <w:autoSpaceDN/>
        <w:bidi w:val="0"/>
        <w:spacing w:beforeAutospacing="0" w:afterAutospacing="0" w:line="576" w:lineRule="exact"/>
        <w:ind w:left="0" w:leftChars="0" w:firstLine="643" w:firstLineChars="200"/>
        <w:jc w:val="left"/>
        <w:rPr>
          <w:rFonts w:hint="eastAsia" w:ascii="仿宋_GB2312" w:hAnsi="仿宋_GB2312" w:eastAsia="仿宋_GB2312" w:cs="仿宋_GB2312"/>
          <w:b w:val="0"/>
          <w:bCs w:val="0"/>
          <w:kern w:val="0"/>
          <w:position w:val="0"/>
          <w:sz w:val="32"/>
          <w:szCs w:val="32"/>
          <w:highlight w:val="none"/>
          <w:lang w:val="en" w:eastAsia="zh-CN" w:bidi="ar-SA"/>
        </w:rPr>
      </w:pPr>
      <w:r>
        <w:rPr>
          <w:rFonts w:hint="eastAsia" w:ascii="楷体_GB2312" w:hAnsi="楷体_GB2312" w:eastAsia="楷体_GB2312" w:cs="楷体_GB2312"/>
          <w:b/>
          <w:bCs/>
          <w:color w:val="000000"/>
          <w:sz w:val="32"/>
          <w:szCs w:val="32"/>
          <w:lang w:val="en-US" w:eastAsia="zh-CN" w:bidi="ar-SA"/>
        </w:rPr>
        <w:t>3.</w:t>
      </w:r>
      <w:r>
        <w:rPr>
          <w:rFonts w:hint="eastAsia" w:ascii="仿宋_GB2312" w:hAnsi="仿宋_GB2312" w:eastAsia="仿宋_GB2312" w:cs="仿宋_GB2312"/>
          <w:color w:val="333333"/>
          <w:sz w:val="32"/>
          <w:szCs w:val="32"/>
          <w:shd w:val="clear" w:color="auto" w:fill="FFFFFF"/>
          <w:lang w:bidi="ar-SA"/>
        </w:rPr>
        <w:t>建立长效机制，严格财务管理，加强财务监督，坚持厉行节约，控制“三公经费”支出</w:t>
      </w:r>
      <w:r>
        <w:rPr>
          <w:rFonts w:hint="eastAsia" w:ascii="仿宋_GB2312" w:hAnsi="仿宋_GB2312" w:eastAsia="仿宋_GB2312" w:cs="仿宋_GB2312"/>
          <w:color w:val="333333"/>
          <w:sz w:val="32"/>
          <w:szCs w:val="32"/>
          <w:shd w:val="clear" w:color="auto" w:fill="FFFFFF"/>
          <w:lang w:eastAsia="zh-CN" w:bidi="ar-SA"/>
        </w:rPr>
        <w:t>。</w:t>
      </w:r>
    </w:p>
    <w:p w14:paraId="029F27FB">
      <w:pPr>
        <w:pStyle w:val="2"/>
        <w:pageBreakBefore w:val="0"/>
        <w:kinsoku/>
        <w:wordWrap/>
        <w:topLinePunct w:val="0"/>
        <w:bidi w:val="0"/>
        <w:spacing w:after="0" w:afterAutospacing="0" w:line="576" w:lineRule="exact"/>
        <w:ind w:firstLine="420" w:firstLineChars="20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
    <w:altName w:val="仿宋"/>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CFD6"/>
    <w:multiLevelType w:val="singleLevel"/>
    <w:tmpl w:val="AA5BCFD6"/>
    <w:lvl w:ilvl="0" w:tentative="0">
      <w:start w:val="3"/>
      <w:numFmt w:val="decimal"/>
      <w:suff w:val="nothing"/>
      <w:lvlText w:val="（%1）"/>
      <w:lvlJc w:val="left"/>
    </w:lvl>
  </w:abstractNum>
  <w:abstractNum w:abstractNumId="1">
    <w:nsid w:val="B3F6DC92"/>
    <w:multiLevelType w:val="singleLevel"/>
    <w:tmpl w:val="B3F6DC92"/>
    <w:lvl w:ilvl="0" w:tentative="0">
      <w:start w:val="2"/>
      <w:numFmt w:val="chineseCounting"/>
      <w:suff w:val="space"/>
      <w:lvlText w:val="第%1部分"/>
      <w:lvlJc w:val="left"/>
      <w:rPr>
        <w:rFonts w:hint="eastAsia"/>
      </w:rPr>
    </w:lvl>
  </w:abstractNum>
  <w:abstractNum w:abstractNumId="2">
    <w:nsid w:val="027A03B2"/>
    <w:multiLevelType w:val="singleLevel"/>
    <w:tmpl w:val="027A03B2"/>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yOTcyOTEwZmRkODgzMDczOTA1MTNmY2M4ZDA5NjMifQ=="/>
  </w:docVars>
  <w:rsids>
    <w:rsidRoot w:val="4B6B56AC"/>
    <w:rsid w:val="093E7C56"/>
    <w:rsid w:val="0C467ED1"/>
    <w:rsid w:val="0D5F7C0C"/>
    <w:rsid w:val="15A74413"/>
    <w:rsid w:val="1658169C"/>
    <w:rsid w:val="19687E48"/>
    <w:rsid w:val="1B701236"/>
    <w:rsid w:val="21AF3A36"/>
    <w:rsid w:val="2596156A"/>
    <w:rsid w:val="2CE850D0"/>
    <w:rsid w:val="2D3E1194"/>
    <w:rsid w:val="3D583BAC"/>
    <w:rsid w:val="419821EB"/>
    <w:rsid w:val="439B2A45"/>
    <w:rsid w:val="4B6B56AC"/>
    <w:rsid w:val="4C4A6118"/>
    <w:rsid w:val="4DFA480C"/>
    <w:rsid w:val="5EE712CD"/>
    <w:rsid w:val="62120771"/>
    <w:rsid w:val="6AF503DD"/>
    <w:rsid w:val="6BFD579B"/>
    <w:rsid w:val="75A27EB2"/>
    <w:rsid w:val="7C6D42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5"/>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link w:val="24"/>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qFormat/>
    <w:uiPriority w:val="0"/>
    <w:pPr>
      <w:spacing w:after="0" w:afterAutospacing="0" w:line="500" w:lineRule="exact"/>
      <w:ind w:firstLine="420"/>
    </w:pPr>
    <w:rPr>
      <w:rFonts w:ascii="Times New Roman" w:hAnsi="Times New Roman" w:eastAsia="宋体" w:cs="Times New Roman"/>
      <w:sz w:val="28"/>
    </w:rPr>
  </w:style>
  <w:style w:type="paragraph" w:styleId="8">
    <w:name w:val="Body Text Indent"/>
    <w:basedOn w:val="1"/>
    <w:unhideWhenUsed/>
    <w:qFormat/>
    <w:uiPriority w:val="99"/>
    <w:pPr>
      <w:widowControl w:val="0"/>
      <w:spacing w:before="0" w:after="120"/>
      <w:ind w:left="420" w:leftChars="200" w:right="0"/>
      <w:jc w:val="both"/>
    </w:pPr>
    <w:rPr>
      <w:rFonts w:hint="eastAsia" w:ascii="Times New Roman" w:hAnsi="Times New Roman" w:eastAsia="宋体" w:cs="Times New Roman"/>
      <w:kern w:val="2"/>
      <w:sz w:val="21"/>
      <w:lang w:val="en-US" w:eastAsia="zh-CN"/>
    </w:r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toc 1"/>
    <w:basedOn w:val="1"/>
    <w:next w:val="1"/>
    <w:qFormat/>
    <w:uiPriority w:val="0"/>
  </w:style>
  <w:style w:type="paragraph" w:styleId="12">
    <w:name w:val="toc 2"/>
    <w:basedOn w:val="1"/>
    <w:next w:val="1"/>
    <w:unhideWhenUsed/>
    <w:qFormat/>
    <w:uiPriority w:val="39"/>
    <w:pPr>
      <w:ind w:left="210"/>
      <w:jc w:val="left"/>
    </w:pPr>
    <w:rPr>
      <w:rFonts w:asciiTheme="minorHAnsi" w:eastAsiaTheme="minorHAnsi"/>
      <w:smallCaps/>
      <w:sz w:val="20"/>
      <w:szCs w:val="20"/>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unhideWhenUsed/>
    <w:qFormat/>
    <w:uiPriority w:val="99"/>
    <w:pPr>
      <w:widowControl w:val="0"/>
      <w:spacing w:before="0" w:after="120"/>
      <w:ind w:left="420" w:leftChars="200" w:right="0" w:firstLine="420" w:firstLineChars="200"/>
      <w:jc w:val="both"/>
    </w:pPr>
    <w:rPr>
      <w:rFonts w:hint="eastAsia" w:ascii="Times New Roman" w:hAnsi="Times New Roman" w:eastAsia="宋体" w:cs="Times New Roman"/>
      <w:kern w:val="2"/>
      <w:sz w:val="21"/>
      <w:lang w:val="en-US" w:eastAsia="zh-CN"/>
    </w:rPr>
  </w:style>
  <w:style w:type="character" w:styleId="17">
    <w:name w:val="Strong"/>
    <w:basedOn w:val="16"/>
    <w:qFormat/>
    <w:uiPriority w:val="0"/>
    <w:rPr>
      <w:b/>
    </w:rPr>
  </w:style>
  <w:style w:type="paragraph" w:customStyle="1" w:styleId="18">
    <w:name w:val="List Paragraph1"/>
    <w:basedOn w:val="1"/>
    <w:qFormat/>
    <w:uiPriority w:val="0"/>
    <w:pPr>
      <w:keepNext w:val="0"/>
      <w:keepLines w:val="0"/>
      <w:widowControl w:val="0"/>
      <w:suppressLineNumbers w:val="0"/>
      <w:spacing w:before="0" w:beforeAutospacing="0" w:after="0" w:afterAutospacing="0"/>
      <w:ind w:left="0" w:right="0" w:firstLine="200" w:firstLineChars="200"/>
      <w:jc w:val="both"/>
    </w:pPr>
    <w:rPr>
      <w:rFonts w:hint="eastAsia" w:ascii="Calibri" w:hAnsi="Calibri" w:eastAsia="宋体" w:cs="黑体"/>
      <w:kern w:val="2"/>
      <w:sz w:val="21"/>
      <w:szCs w:val="21"/>
      <w:lang w:val="en-US" w:eastAsia="zh-CN" w:bidi="ar"/>
    </w:rPr>
  </w:style>
  <w:style w:type="character" w:customStyle="1" w:styleId="19">
    <w:name w:val="18"/>
    <w:basedOn w:val="16"/>
    <w:qFormat/>
    <w:uiPriority w:val="0"/>
    <w:rPr>
      <w:rFonts w:hint="default" w:ascii="Times New Roman" w:hAnsi="Times New Roman" w:cs="Times New Roman"/>
      <w:b/>
      <w:bCs/>
    </w:rPr>
  </w:style>
  <w:style w:type="character" w:customStyle="1" w:styleId="20">
    <w:name w:val="标题 2 字符"/>
    <w:basedOn w:val="16"/>
    <w:link w:val="5"/>
    <w:qFormat/>
    <w:locked/>
    <w:uiPriority w:val="9"/>
    <w:rPr>
      <w:rFonts w:ascii="Cambria" w:hAnsi="Cambria"/>
      <w:b/>
      <w:bCs/>
      <w:sz w:val="32"/>
      <w:szCs w:val="32"/>
    </w:rPr>
  </w:style>
  <w:style w:type="paragraph" w:customStyle="1" w:styleId="2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24"/>
    <w:basedOn w:val="16"/>
    <w:qFormat/>
    <w:uiPriority w:val="0"/>
    <w:rPr>
      <w:rFonts w:hint="default" w:ascii="Times New Roman" w:hAnsi="Times New Roman" w:cs="Times New Roman"/>
      <w:b/>
      <w:bCs/>
    </w:rPr>
  </w:style>
  <w:style w:type="paragraph" w:customStyle="1" w:styleId="23">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24">
    <w:name w:val="标题 4 Char"/>
    <w:link w:val="7"/>
    <w:qFormat/>
    <w:uiPriority w:val="0"/>
    <w:rPr>
      <w:rFonts w:ascii="Arial" w:hAnsi="Arial" w:eastAsia="黑体"/>
      <w:b/>
      <w:sz w:val="28"/>
    </w:rPr>
  </w:style>
  <w:style w:type="character" w:customStyle="1" w:styleId="25">
    <w:name w:val="标题 3 Char"/>
    <w:link w:val="6"/>
    <w:qFormat/>
    <w:uiPriority w:val="0"/>
    <w:rPr>
      <w:b/>
      <w:sz w:val="32"/>
    </w:rPr>
  </w:style>
  <w:style w:type="paragraph" w:customStyle="1" w:styleId="26">
    <w:name w:val="WPSOffice手动目录 1"/>
    <w:qFormat/>
    <w:uiPriority w:val="0"/>
    <w:pPr>
      <w:ind w:leftChars="0"/>
    </w:pPr>
    <w:rPr>
      <w:rFonts w:ascii="Times New Roman" w:hAnsi="Times New Roman" w:eastAsia="宋体" w:cs="Times New Roman"/>
      <w:sz w:val="20"/>
      <w:szCs w:val="20"/>
    </w:rPr>
  </w:style>
  <w:style w:type="paragraph" w:customStyle="1" w:styleId="27">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6.xml"/><Relationship Id="rId8" Type="http://schemas.openxmlformats.org/officeDocument/2006/relationships/chart" Target="charts/chart5.xml"/><Relationship Id="rId7" Type="http://schemas.openxmlformats.org/officeDocument/2006/relationships/chart" Target="charts/chart4.xml"/><Relationship Id="rId6" Type="http://schemas.openxmlformats.org/officeDocument/2006/relationships/chart" Target="charts/chart3.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sz="1000" b="0"/>
              <a:t>收、支决算总计变动情况图（万元）</a:t>
            </a:r>
            <a:endParaRPr sz="1000" b="0"/>
          </a:p>
        </c:rich>
      </c:tx>
      <c:layout>
        <c:manualLayout>
          <c:xMode val="edge"/>
          <c:yMode val="edge"/>
          <c:x val="0.291973684210526"/>
          <c:y val="0.924537037037037"/>
        </c:manualLayout>
      </c:layout>
      <c:overlay val="0"/>
      <c:spPr>
        <a:noFill/>
        <a:ln>
          <a:noFill/>
        </a:ln>
        <a:effectLst/>
      </c:spPr>
    </c:title>
    <c:autoTitleDeleted val="0"/>
    <c:plotArea>
      <c:layout>
        <c:manualLayout>
          <c:layoutTarget val="inner"/>
          <c:xMode val="edge"/>
          <c:yMode val="edge"/>
          <c:x val="0.0950194867335768"/>
          <c:y val="0.0426904176904177"/>
          <c:w val="0.900953127040084"/>
          <c:h val="0.644971200708906"/>
        </c:manualLayout>
      </c:layout>
      <c:barChart>
        <c:barDir val="col"/>
        <c:grouping val="clustered"/>
        <c:varyColors val="0"/>
        <c:ser>
          <c:idx val="0"/>
          <c:order val="0"/>
          <c:tx>
            <c:strRef>
              <c:f>[工作簿1]Sheet1!$A$2</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[工作簿1]Sheet1!$B$2:$C$2</c:f>
              <c:numCache>
                <c:formatCode>General</c:formatCode>
                <c:ptCount val="2"/>
                <c:pt idx="0">
                  <c:v>774.94</c:v>
                </c:pt>
                <c:pt idx="1">
                  <c:v>774.94</c:v>
                </c:pt>
              </c:numCache>
            </c:numRef>
          </c:val>
        </c:ser>
        <c:ser>
          <c:idx val="1"/>
          <c:order val="1"/>
          <c:tx>
            <c:strRef>
              <c:f>[工作簿1]Sheet1!$A$3</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[工作簿1]Sheet1!$B$3:$C$3</c:f>
              <c:numCache>
                <c:formatCode>General</c:formatCode>
                <c:ptCount val="2"/>
                <c:pt idx="0">
                  <c:v>867.5</c:v>
                </c:pt>
                <c:pt idx="1">
                  <c:v>867.5</c:v>
                </c:pt>
              </c:numCache>
            </c:numRef>
          </c:val>
        </c:ser>
        <c:dLbls>
          <c:showLegendKey val="0"/>
          <c:showVal val="1"/>
          <c:showCatName val="0"/>
          <c:showSerName val="0"/>
          <c:showPercent val="0"/>
          <c:showBubbleSize val="0"/>
        </c:dLbls>
        <c:gapWidth val="246"/>
        <c:overlap val="-28"/>
        <c:axId val="697778265"/>
        <c:axId val="303148774"/>
      </c:barChart>
      <c:catAx>
        <c:axId val="6977782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148774"/>
        <c:crosses val="autoZero"/>
        <c:auto val="1"/>
        <c:lblAlgn val="ctr"/>
        <c:lblOffset val="100"/>
        <c:noMultiLvlLbl val="0"/>
      </c:catAx>
      <c:valAx>
        <c:axId val="30314877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7778265"/>
        <c:crosses val="autoZero"/>
        <c:crossBetween val="between"/>
      </c:valAx>
      <c:spPr>
        <a:noFill/>
        <a:ln>
          <a:noFill/>
        </a:ln>
        <a:effectLst/>
      </c:spPr>
    </c:plotArea>
    <c:legend>
      <c:legendPos val="b"/>
      <c:layout>
        <c:manualLayout>
          <c:xMode val="edge"/>
          <c:yMode val="edge"/>
          <c:x val="0.393618421052632"/>
          <c:y val="0.8148148148148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a2bdf2-442e-41f0-a8cf-d5bf35e06d8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a:t>
                    </a:r>
                    <a:r>
                      <a:rPr lang="en-US" altLang="zh-CN"/>
                      <a:t>867.5</a:t>
                    </a:r>
                    <a:r>
                      <a:rPr altLang="en-US"/>
                      <a:t>，</a:t>
                    </a:r>
                    <a:r>
                      <a:t>100%</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[工作簿1]Sheet1!$B$8:$C$8</c:f>
              <c:strCache>
                <c:ptCount val="2"/>
                <c:pt idx="0">
                  <c:v>一般公共预算财政拨款收入</c:v>
                </c:pt>
                <c:pt idx="1">
                  <c:v>其他收入</c:v>
                </c:pt>
              </c:strCache>
            </c:strRef>
          </c:cat>
          <c:val>
            <c:numRef>
              <c:f>[工作簿1]Sheet1!$B$9:$C$9</c:f>
              <c:numCache>
                <c:formatCode>General</c:formatCode>
                <c:ptCount val="2"/>
                <c:pt idx="0">
                  <c:v>867.5</c:v>
                </c:pt>
                <c:pt idx="1">
                  <c:v>0</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8614698e-0cfe-45c3-aad2-d252876302c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sz="1200" b="0"/>
              <a:t>支出决算结构图</a:t>
            </a:r>
            <a:endParaRPr sz="1200" b="0"/>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179605263157895"/>
                  <c:y val="-0.17361111111111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1"/>
                        </a:solidFill>
                        <a:latin typeface="+mn-lt"/>
                        <a:ea typeface="+mn-ea"/>
                        <a:cs typeface="+mn-cs"/>
                      </a:defRPr>
                    </a:pPr>
                    <a:r>
                      <a:rPr>
                        <a:solidFill>
                          <a:sysClr val="windowText" lastClr="000000"/>
                        </a:solidFill>
                      </a:rPr>
                      <a:t>基本支出</a:t>
                    </a:r>
                    <a:r>
                      <a:rPr lang="en-US" altLang="zh-CN">
                        <a:solidFill>
                          <a:sysClr val="windowText" lastClr="000000"/>
                        </a:solidFill>
                      </a:rPr>
                      <a:t>661.64</a:t>
                    </a:r>
                    <a:r>
                      <a:rPr altLang="en-US">
                        <a:solidFill>
                          <a:sysClr val="windowText" lastClr="000000"/>
                        </a:solidFill>
                      </a:rPr>
                      <a:t>万元</a:t>
                    </a:r>
                    <a:r>
                      <a:rPr>
                        <a:solidFill>
                          <a:sysClr val="windowText" lastClr="000000"/>
                        </a:solidFill>
                      </a:rPr>
                      <a:t>76</a:t>
                    </a:r>
                    <a:r>
                      <a:rPr lang="en-US" altLang="zh-CN">
                        <a:solidFill>
                          <a:sysClr val="windowText" lastClr="000000"/>
                        </a:solidFill>
                      </a:rPr>
                      <a:t>.27</a:t>
                    </a:r>
                    <a:r>
                      <a:rPr>
                        <a:solidFill>
                          <a:sysClr val="windowText" lastClr="000000"/>
                        </a:solidFill>
                      </a:rPr>
                      <a:t>%</a:t>
                    </a:r>
                    <a:endParaRPr>
                      <a:solidFill>
                        <a:sysClr val="windowText" lastClr="000000"/>
                      </a:solidFill>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08508850472568"/>
                  <c:y val="0.185018610421836"/>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rPr>
                        <a:solidFill>
                          <a:sysClr val="windowText" lastClr="000000"/>
                        </a:solidFill>
                      </a:rPr>
                      <a:t>项目支出</a:t>
                    </a:r>
                    <a:r>
                      <a:rPr lang="en-US" altLang="zh-CN">
                        <a:solidFill>
                          <a:sysClr val="windowText" lastClr="000000"/>
                        </a:solidFill>
                      </a:rPr>
                      <a:t>205.85</a:t>
                    </a:r>
                    <a:r>
                      <a:rPr altLang="en-US">
                        <a:solidFill>
                          <a:sysClr val="windowText" lastClr="000000"/>
                        </a:solidFill>
                      </a:rPr>
                      <a:t>万元</a:t>
                    </a:r>
                    <a:endParaRPr>
                      <a:solidFill>
                        <a:sysClr val="windowText" lastClr="000000"/>
                      </a:solidFill>
                    </a:endParaRPr>
                  </a:p>
                  <a:p>
                    <a:pPr defTabSz="914400">
                      <a:defRPr lang="zh-CN" sz="1000" b="1" i="0" u="none" strike="noStrike" kern="1200" spc="0" baseline="0">
                        <a:solidFill>
                          <a:schemeClr val="accent2"/>
                        </a:solidFill>
                        <a:latin typeface="+mn-lt"/>
                        <a:ea typeface="+mn-ea"/>
                        <a:cs typeface="+mn-cs"/>
                      </a:defRPr>
                    </a:pPr>
                    <a:r>
                      <a:rPr lang="en-US" altLang="zh-CN">
                        <a:solidFill>
                          <a:sysClr val="windowText" lastClr="000000"/>
                        </a:solidFill>
                      </a:rPr>
                      <a:t>23.73</a:t>
                    </a:r>
                    <a:r>
                      <a:rPr>
                        <a:solidFill>
                          <a:sysClr val="windowText" lastClr="000000"/>
                        </a:solidFill>
                      </a:rPr>
                      <a:t>%</a:t>
                    </a:r>
                    <a:endParaRPr>
                      <a:solidFill>
                        <a:sysClr val="windowText" lastClr="000000"/>
                      </a:solidFill>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[工作簿1]Sheet1!$B$40:$C$40</c:f>
              <c:strCache>
                <c:ptCount val="2"/>
                <c:pt idx="0">
                  <c:v>基本支出</c:v>
                </c:pt>
                <c:pt idx="1">
                  <c:v>项目支出</c:v>
                </c:pt>
              </c:strCache>
            </c:strRef>
          </c:cat>
          <c:val>
            <c:numRef>
              <c:f>[工作簿1]Sheet1!$B$41:$C$41</c:f>
              <c:numCache>
                <c:formatCode>General</c:formatCode>
                <c:ptCount val="2"/>
                <c:pt idx="0">
                  <c:v>661.64</c:v>
                </c:pt>
                <c:pt idx="1">
                  <c:v>205.85</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89f8ae7d-5819-41cf-933b-cd39d6f4af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sz="1000" b="0"/>
              <a:t>财政拨款收、支决算总计变动情况（万元）</a:t>
            </a:r>
            <a:endParaRPr sz="1000" b="0"/>
          </a:p>
        </c:rich>
      </c:tx>
      <c:layout>
        <c:manualLayout>
          <c:xMode val="edge"/>
          <c:yMode val="edge"/>
          <c:x val="0.291973684210526"/>
          <c:y val="0.924537037037037"/>
        </c:manualLayout>
      </c:layout>
      <c:overlay val="0"/>
      <c:spPr>
        <a:noFill/>
        <a:ln>
          <a:noFill/>
        </a:ln>
        <a:effectLst/>
      </c:spPr>
    </c:title>
    <c:autoTitleDeleted val="0"/>
    <c:plotArea>
      <c:layout/>
      <c:barChart>
        <c:barDir val="col"/>
        <c:grouping val="clustered"/>
        <c:varyColors val="0"/>
        <c:ser>
          <c:idx val="0"/>
          <c:order val="0"/>
          <c:tx>
            <c:strRef>
              <c:f>[工作簿1]Sheet1!$A$2</c:f>
              <c:strCache>
                <c:ptCount val="1"/>
                <c:pt idx="0">
                  <c:v>2022年</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774.9</a:t>
                    </a:r>
                    <a:r>
                      <a:rPr lang="en-US" altLang="zh-CN"/>
                      <a:t>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774.9</a:t>
                    </a:r>
                    <a:r>
                      <a:rPr lang="en-US" altLang="zh-CN"/>
                      <a:t>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[工作簿1]Sheet1!$B$2:$C$2</c:f>
              <c:numCache>
                <c:formatCode>General</c:formatCode>
                <c:ptCount val="2"/>
                <c:pt idx="0">
                  <c:v>774.94</c:v>
                </c:pt>
                <c:pt idx="1">
                  <c:v>774.94</c:v>
                </c:pt>
              </c:numCache>
            </c:numRef>
          </c:val>
        </c:ser>
        <c:ser>
          <c:idx val="1"/>
          <c:order val="1"/>
          <c:tx>
            <c:strRef>
              <c:f>[工作簿1]Sheet1!$A$3</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[工作簿1]Sheet1!$B$1:$C$1</c:f>
              <c:strCache>
                <c:ptCount val="2"/>
                <c:pt idx="0">
                  <c:v>收入</c:v>
                </c:pt>
                <c:pt idx="1">
                  <c:v>支出</c:v>
                </c:pt>
              </c:strCache>
            </c:strRef>
          </c:cat>
          <c:val>
            <c:numRef>
              <c:f>[工作簿1]Sheet1!$B$3:$C$3</c:f>
              <c:numCache>
                <c:formatCode>General</c:formatCode>
                <c:ptCount val="2"/>
                <c:pt idx="0">
                  <c:v>867.5</c:v>
                </c:pt>
                <c:pt idx="1">
                  <c:v>867.5</c:v>
                </c:pt>
              </c:numCache>
            </c:numRef>
          </c:val>
        </c:ser>
        <c:dLbls>
          <c:showLegendKey val="0"/>
          <c:showVal val="1"/>
          <c:showCatName val="0"/>
          <c:showSerName val="0"/>
          <c:showPercent val="0"/>
          <c:showBubbleSize val="0"/>
        </c:dLbls>
        <c:gapWidth val="246"/>
        <c:overlap val="-28"/>
        <c:axId val="697778265"/>
        <c:axId val="303148774"/>
      </c:barChart>
      <c:catAx>
        <c:axId val="69777826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3148774"/>
        <c:crosses val="autoZero"/>
        <c:auto val="1"/>
        <c:lblAlgn val="ctr"/>
        <c:lblOffset val="100"/>
        <c:noMultiLvlLbl val="0"/>
      </c:catAx>
      <c:valAx>
        <c:axId val="30314877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97778265"/>
        <c:crosses val="autoZero"/>
        <c:crossBetween val="between"/>
      </c:valAx>
      <c:spPr>
        <a:noFill/>
        <a:ln>
          <a:noFill/>
        </a:ln>
        <a:effectLst/>
      </c:spPr>
    </c:plotArea>
    <c:legend>
      <c:legendPos val="b"/>
      <c:layout>
        <c:manualLayout>
          <c:xMode val="edge"/>
          <c:yMode val="edge"/>
          <c:x val="0.393618421052632"/>
          <c:y val="0.81481481481481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7ea52a7-0f06-482d-b754-cb08e253551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一般公共预算财政拨款支出决算情况说明</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[工作簿1]Sheet1!$A$53:$A$57</c:f>
              <c:strCache>
                <c:ptCount val="5"/>
                <c:pt idx="0">
                  <c:v>一般公共服务支出</c:v>
                </c:pt>
                <c:pt idx="1">
                  <c:v>社会保障和就业（类）支出</c:v>
                </c:pt>
                <c:pt idx="2">
                  <c:v>卫生健康支出</c:v>
                </c:pt>
                <c:pt idx="3">
                  <c:v>住房保障支出</c:v>
                </c:pt>
                <c:pt idx="4">
                  <c:v>文化旅游体育与传媒支出</c:v>
                </c:pt>
              </c:strCache>
            </c:strRef>
          </c:cat>
          <c:val>
            <c:numRef>
              <c:f>[工作簿1]Sheet1!$B$53:$B$57</c:f>
              <c:numCache>
                <c:formatCode>General</c:formatCode>
                <c:ptCount val="5"/>
                <c:pt idx="0">
                  <c:v>505.23</c:v>
                </c:pt>
                <c:pt idx="1">
                  <c:v>86.01</c:v>
                </c:pt>
                <c:pt idx="2">
                  <c:v>38.63</c:v>
                </c:pt>
                <c:pt idx="3">
                  <c:v>43.17</c:v>
                </c:pt>
                <c:pt idx="4">
                  <c:v>194.45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71802f8-142b-4af8-a157-cbb900fc875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53442860594346"/>
          <c:y val="0.0464842533945045"/>
        </c:manualLayout>
      </c:layout>
      <c:overlay val="0"/>
      <c:spPr>
        <a:noFill/>
        <a:ln>
          <a:noFill/>
        </a:ln>
        <a:effectLst/>
      </c:spPr>
      <c:txPr>
        <a:bodyPr rot="0" spcFirstLastPara="0" vertOverflow="ellipsis" vert="horz" wrap="square" anchor="ctr" anchorCtr="1"/>
        <a:lstStyle/>
        <a:p>
          <a:pPr>
            <a:defRPr lang="zh-CN" sz="1400" b="1" i="0" u="none" strike="noStrike" kern="1200" baseline="0">
              <a:solidFill>
                <a:sysClr val="windowText" lastClr="000000"/>
              </a:solidFill>
              <a:latin typeface="+mn-lt"/>
              <a:ea typeface="+mn-ea"/>
              <a:cs typeface="+mn-cs"/>
            </a:defRPr>
          </a:pPr>
        </a:p>
      </c:txPr>
    </c:title>
    <c:autoTitleDeleted val="0"/>
    <c:plotArea>
      <c:layout>
        <c:manualLayout>
          <c:layoutTarget val="inner"/>
          <c:xMode val="edge"/>
          <c:yMode val="edge"/>
          <c:x val="0.29868325682532"/>
          <c:y val="0.154908627284318"/>
          <c:w val="0.39514375453008"/>
          <c:h val="0.695070123246919"/>
        </c:manualLayout>
      </c:layout>
      <c:pieChart>
        <c:varyColors val="1"/>
        <c:ser>
          <c:idx val="0"/>
          <c:order val="0"/>
          <c:tx>
            <c:strRef>
              <c:f>Sheet1!$B$1</c:f>
              <c:strCache>
                <c:ptCount val="1"/>
                <c:pt idx="0">
                  <c:v>“三公”经费财政拨款支出机构</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manualLayout>
                  <c:x val="0.00185896641467344"/>
                  <c:y val="-0.205651930609961"/>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ysClr val="windowText" lastClr="000000"/>
                        </a:solidFill>
                        <a:latin typeface="+mn-lt"/>
                        <a:ea typeface="+mn-ea"/>
                        <a:cs typeface="+mn-cs"/>
                      </a:defRPr>
                    </a:pPr>
                    <a:r>
                      <a:rPr>
                        <a:solidFill>
                          <a:sysClr val="windowText" lastClr="000000"/>
                        </a:solidFill>
                      </a:rPr>
                      <a:t>公务用车维护费支出决算</a:t>
                    </a:r>
                    <a:r>
                      <a:rPr lang="en-US" altLang="zh-CN">
                        <a:solidFill>
                          <a:sysClr val="windowText" lastClr="000000"/>
                        </a:solidFill>
                      </a:rPr>
                      <a:t>2.76</a:t>
                    </a:r>
                    <a:r>
                      <a:rPr>
                        <a:solidFill>
                          <a:sysClr val="windowText" lastClr="000000"/>
                        </a:solidFill>
                      </a:rPr>
                      <a:t>万元，占</a:t>
                    </a:r>
                    <a:r>
                      <a:rPr lang="en-US" altLang="zh-CN">
                        <a:solidFill>
                          <a:sysClr val="windowText" lastClr="000000"/>
                        </a:solidFill>
                      </a:rPr>
                      <a:t>100</a:t>
                    </a:r>
                    <a:r>
                      <a:rPr>
                        <a:solidFill>
                          <a:sysClr val="windowText" lastClr="000000"/>
                        </a:solidFill>
                      </a:rPr>
                      <a:t>%</a:t>
                    </a:r>
                    <a:endParaRPr>
                      <a:solidFill>
                        <a:sysClr val="windowText" lastClr="000000"/>
                      </a:solidFill>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ysClr val="windowText" lastClr="000000"/>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0.00883162501151653"/>
                  <c:y val="0.24853699069787"/>
                </c:manualLayout>
              </c:layout>
              <c:tx>
                <c:rich>
                  <a:bodyPr rot="0" spcFirstLastPara="0" vertOverflow="ellipsis" vert="horz" wrap="square" lIns="38100" tIns="19050" rIns="38100" bIns="19050" anchor="ctr" anchorCtr="1"/>
                  <a:lstStyle/>
                  <a:p>
                    <a:pPr defTabSz="914400">
                      <a:defRPr lang="zh-CN" sz="1000" b="1" i="0" u="none" strike="noStrike" kern="1200" spc="0" baseline="0">
                        <a:solidFill>
                          <a:sysClr val="windowText" lastClr="000000"/>
                        </a:solidFill>
                        <a:latin typeface="+mn-lt"/>
                        <a:ea typeface="+mn-ea"/>
                        <a:cs typeface="+mn-cs"/>
                      </a:defRPr>
                    </a:pPr>
                    <a:r>
                      <a:rPr>
                        <a:solidFill>
                          <a:sysClr val="windowText" lastClr="000000"/>
                        </a:solidFill>
                      </a:rPr>
                      <a:t>其它三公支出决算0万元，占</a:t>
                    </a:r>
                    <a:r>
                      <a:rPr lang="en-US" altLang="zh-CN">
                        <a:solidFill>
                          <a:sysClr val="windowText" lastClr="000000"/>
                        </a:solidFill>
                      </a:rPr>
                      <a:t>0</a:t>
                    </a:r>
                    <a:r>
                      <a:rPr>
                        <a:solidFill>
                          <a:sysClr val="windowText" lastClr="000000"/>
                        </a:solidFill>
                      </a:rPr>
                      <a:t>%</a:t>
                    </a:r>
                    <a:endParaRPr>
                      <a:solidFill>
                        <a:sysClr val="windowText" lastClr="000000"/>
                      </a:solidFill>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ysClr val="windowText" lastClr="000000"/>
                      </a:solidFill>
                      <a:latin typeface="+mn-lt"/>
                      <a:ea typeface="+mn-ea"/>
                      <a:cs typeface="+mn-cs"/>
                    </a:defRPr>
                  </a:pPr>
                </a:p>
              </c:txPr>
              <c:dLblPos val="bestFit"/>
              <c:showLegendKey val="0"/>
              <c:showVal val="1"/>
              <c:showCatName val="1"/>
              <c:showSerName val="0"/>
              <c:showPercent val="0"/>
              <c:showBubbleSize val="0"/>
              <c:extLst>
                <c:ext xmlns:c15="http://schemas.microsoft.com/office/drawing/2012/chart" uri="{CE6537A1-D6FC-4f65-9D91-7224C49458BB}">
                  <c15:layout>
                    <c:manualLayout>
                      <c:w val="0.183619231698478"/>
                      <c:h val="0.112011525301639"/>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ysClr val="windowText" lastClr="000000"/>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公务用车购置及运行维修费</c:v>
                </c:pt>
                <c:pt idx="1">
                  <c:v>公务接待费</c:v>
                </c:pt>
              </c:strCache>
            </c:strRef>
          </c:cat>
          <c:val>
            <c:numRef>
              <c:f>Sheet1!$B$2:$B$3</c:f>
              <c:numCache>
                <c:formatCode>General</c:formatCode>
                <c:ptCount val="2"/>
                <c:pt idx="0">
                  <c:v>6.81</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29262aa8-4422-4ca9-9fa4-dfbd711ca785}"/>
      </c:ext>
    </c:extLst>
  </c:chart>
  <c:spPr>
    <a:solidFill>
      <a:schemeClr val="bg1"/>
    </a:solidFill>
    <a:ln w="9525" cap="flat" cmpd="sng" algn="ctr">
      <a:solidFill>
        <a:schemeClr val="tx1">
          <a:lumMod val="15000"/>
          <a:lumOff val="85000"/>
        </a:schemeClr>
      </a:solidFill>
      <a:round/>
    </a:ln>
    <a:effectLst/>
  </c:spPr>
  <c:txPr>
    <a:bodyPr/>
    <a:lstStyle/>
    <a:p>
      <a:pPr>
        <a:defRPr lang="zh-CN">
          <a:solidFill>
            <a:sysClr val="windowText" lastClr="000000"/>
          </a:solidFill>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572</Words>
  <Characters>615</Characters>
  <Lines>0</Lines>
  <Paragraphs>0</Paragraphs>
  <TotalTime>0</TotalTime>
  <ScaleCrop>false</ScaleCrop>
  <LinksUpToDate>false</LinksUpToDate>
  <CharactersWithSpaces>734</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2024-11-06T09:06:00Z</dcterms:created>
  <dc:creator>རེ་སྨོན</dc:creator>
  <cp:lastModifiedBy>YANG</cp:lastModifiedBy>
  <cp:lastPrinted>2024-11-07T07:27:00Z</cp:lastPrinted>
  <dcterms:modified xsi:type="dcterms:W3CDTF">2024-11-13T02:50:11Z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2F6A3F656AEF4B488DC2F452CE009C3C_13</vt:lpwstr>
  </property>
</Properties>
</file>