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202</w:t>
      </w:r>
      <w:r>
        <w:rPr>
          <w:rFonts w:hint="eastAsia" w:ascii="方正小标宋简体" w:hAnsi="方正小标宋简体" w:eastAsia="方正小标宋简体" w:cs="方正小标宋简体"/>
          <w:sz w:val="60"/>
          <w:szCs w:val="60"/>
          <w:shd w:val="clear" w:fill="FFFFFF"/>
          <w:lang w:val="en-US" w:eastAsia="zh-CN"/>
        </w:rPr>
        <w:t>3</w:t>
      </w:r>
      <w:r>
        <w:rPr>
          <w:rFonts w:hint="eastAsia" w:ascii="方正小标宋简体" w:hAnsi="方正小标宋简体" w:eastAsia="方正小标宋简体" w:cs="方正小标宋简体"/>
          <w:sz w:val="60"/>
          <w:szCs w:val="60"/>
          <w:shd w:val="clear" w:fill="FFFFFF"/>
        </w:rPr>
        <w:t>年度</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60"/>
          <w:szCs w:val="60"/>
          <w:shd w:val="clear" w:fill="FFFFFF"/>
        </w:rPr>
      </w:pPr>
      <w:r>
        <w:rPr>
          <w:rFonts w:hint="eastAsia" w:ascii="方正小标宋简体" w:hAnsi="方正小标宋简体" w:eastAsia="方正小标宋简体" w:cs="方正小标宋简体"/>
          <w:sz w:val="60"/>
          <w:szCs w:val="60"/>
          <w:shd w:val="clear" w:fill="FFFFFF"/>
        </w:rPr>
        <w:t>阿坝州红原县色地镇人民政府</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部门决算</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shd w:val="clear" w:fill="FFFFFF"/>
        </w:rPr>
        <w:t>已经保密审查、内容审定，同意对外公开</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pPr>
      <w:r>
        <w:rPr>
          <w:rFonts w:hint="eastAsia" w:ascii="方正小标宋简体" w:hAnsi="方正小标宋简体" w:eastAsia="方正小标宋简体" w:cs="方正小标宋简体"/>
          <w:sz w:val="44"/>
          <w:szCs w:val="44"/>
          <w:shd w:val="clear" w:fill="FFFFFF"/>
        </w:rPr>
        <w:t>目</w:t>
      </w:r>
      <w:r>
        <w:rPr>
          <w:rFonts w:hint="eastAsia" w:ascii="方正小标宋简体" w:hAnsi="方正小标宋简体" w:eastAsia="方正小标宋简体" w:cs="方正小标宋简体"/>
          <w:sz w:val="44"/>
          <w:szCs w:val="44"/>
          <w:shd w:val="clear" w:fill="FFFFFF"/>
          <w:lang w:val="en-US" w:eastAsia="zh-CN"/>
        </w:rPr>
        <w:t xml:space="preserve">  </w:t>
      </w:r>
      <w:r>
        <w:rPr>
          <w:rFonts w:hint="eastAsia" w:ascii="方正小标宋简体" w:hAnsi="方正小标宋简体" w:eastAsia="方正小标宋简体" w:cs="方正小标宋简体"/>
          <w:sz w:val="44"/>
          <w:szCs w:val="44"/>
          <w:shd w:val="clear" w:fill="FFFFFF"/>
        </w:rPr>
        <w:t>录</w:t>
      </w:r>
      <w:r>
        <w:rPr>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公开时间：202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w:t>
      </w:r>
      <w:r>
        <w:rPr>
          <w:rFonts w:hint="eastAsia" w:ascii="仿宋_GB2312" w:hAnsi="仿宋_GB2312" w:eastAsia="仿宋_GB2312" w:cs="仿宋_GB2312"/>
          <w:sz w:val="32"/>
          <w:szCs w:val="32"/>
          <w:shd w:val="clear" w:fill="FFFFFF"/>
          <w:lang w:val="en-US" w:eastAsia="zh-CN"/>
        </w:rPr>
        <w:t>11</w:t>
      </w:r>
      <w:r>
        <w:rPr>
          <w:rFonts w:hint="eastAsia" w:ascii="仿宋_GB2312" w:hAnsi="仿宋_GB2312" w:eastAsia="仿宋_GB2312" w:cs="仿宋_GB2312"/>
          <w:sz w:val="32"/>
          <w:szCs w:val="32"/>
          <w:shd w:val="clear" w:fill="FFFFFF"/>
        </w:rPr>
        <w:t>月</w:t>
      </w:r>
      <w:r>
        <w:rPr>
          <w:rFonts w:hint="eastAsia" w:ascii="仿宋_GB2312" w:hAnsi="仿宋_GB2312" w:eastAsia="仿宋_GB2312" w:cs="仿宋_GB2312"/>
          <w:sz w:val="32"/>
          <w:szCs w:val="32"/>
          <w:shd w:val="clear" w:fill="FFFFFF"/>
          <w:lang w:val="en-US" w:eastAsia="zh-CN"/>
        </w:rPr>
        <w:t>11</w:t>
      </w:r>
      <w:r>
        <w:rPr>
          <w:rFonts w:hint="eastAsia" w:ascii="仿宋_GB2312" w:hAnsi="仿宋_GB2312" w:eastAsia="仿宋_GB2312" w:cs="仿宋_GB2312"/>
          <w:sz w:val="32"/>
          <w:szCs w:val="32"/>
          <w:shd w:val="clear" w:fill="FFFFFF"/>
        </w:rPr>
        <w:t>日</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第一部分 部门概况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一、基本职能及主要工作</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二、机构设置</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第二部分 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年度部门决算情况说明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二、收入决算情况说明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三、支出决算情况说明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四、财政拨款收入支出决算总体情况说明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五、一般公共预算财政拨款支出决算情况说明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六、一般公共预算财政拨款基本支出决算情况说明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七、财政拨款“三公”经费支出决算情况说明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八、政府性基金预算支出决算情况说明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九、国有资本经营预算支出决算情况说明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xml:space="preserve">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十、其他重要事项的情况说明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第三部分 名词解释</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第四部分 附件</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第五部分 附表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一、收入支出决算总表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二、收入决算表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三、支出决算表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四、财政拨款收入支出决算总表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五、财政拨款支出决算明细表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六、一般公共预算财政拨款支出决算表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七、一般公共预算财政拨款支出决算明细表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八、一般公共预算财政拨款基本支出决算表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九、一般公共预算财政拨款项目支出决算表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十、政府性基金预算财政拨款收入支出决算表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十一、国有资本经营预算财政拨款收入支出决算表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十二、国有资本经营预算财政拨款支出决算表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十三、财政拨款“三公”经费支出决算表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(注：请部门根据实际注明页码)</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val="0"/>
          <w:sz w:val="44"/>
          <w:szCs w:val="44"/>
          <w:shd w:val="clear" w:fill="FFFFFF"/>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shd w:val="clear" w:fill="FFFFFF"/>
        </w:rPr>
        <w:t>第一部分 部门概况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pPr>
      <w:r>
        <w:rPr>
          <w:shd w:val="clear" w:fill="FFFFFF"/>
        </w:rPr>
        <w:t>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一、基本职能及主要工作</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jc w:val="left"/>
        <w:textAlignment w:val="auto"/>
        <w:rPr>
          <w:rFonts w:hint="eastAsia" w:ascii="楷体" w:hAnsi="楷体" w:eastAsia="楷体" w:cs="楷体"/>
          <w:b/>
          <w:bCs/>
          <w:sz w:val="32"/>
          <w:szCs w:val="32"/>
          <w:shd w:val="clear" w:fill="FFFFFF"/>
        </w:rPr>
      </w:pPr>
      <w:r>
        <w:rPr>
          <w:rFonts w:hint="eastAsia" w:ascii="楷体" w:hAnsi="楷体" w:eastAsia="楷体" w:cs="楷体"/>
          <w:b/>
          <w:bCs/>
          <w:sz w:val="32"/>
          <w:szCs w:val="32"/>
          <w:shd w:val="clear" w:fill="FFFFFF"/>
        </w:rPr>
        <w:t>（一）主要职能。</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kern w:val="2"/>
          <w:sz w:val="32"/>
          <w:szCs w:val="32"/>
        </w:rPr>
        <w:t>主要职责是：</w:t>
      </w:r>
      <w:r>
        <w:rPr>
          <w:rFonts w:hint="eastAsia" w:ascii="仿宋_GB2312" w:hAnsi="仿宋_GB2312" w:eastAsia="仿宋_GB2312" w:cs="仿宋_GB2312"/>
          <w:sz w:val="32"/>
          <w:szCs w:val="32"/>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2）执行本级人民代表大会的决议和上级国家行政机关的决定和命令，发布决定和命令；（3）执行本行政区域内的经济和社会发展计划、预算，管理本行政区域内的经济、教育、科学化、 卫生、体育事业和财政、民政、公安、司法行政、计划生育等行政工作；（4）保护社会主义的全民所有的财产和劳动群众集体所有的财产，保护公民私人所有的合法财产，维护社会秩序，保障公民的人身权利、民主权利和其他权利；（5）保护各种经济组织的合法权益（6）保障少数民族的权利和尊重少数民族的风俗习惯（7）办理上级人民政府交办的其他事项。</w:t>
      </w:r>
    </w:p>
    <w:p>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3" w:firstLineChars="200"/>
        <w:jc w:val="left"/>
        <w:textAlignment w:val="auto"/>
        <w:rPr>
          <w:rFonts w:hint="eastAsia" w:ascii="楷体" w:hAnsi="楷体" w:eastAsia="楷体" w:cs="楷体"/>
          <w:b/>
          <w:bCs/>
          <w:sz w:val="32"/>
          <w:szCs w:val="32"/>
          <w:shd w:val="clear" w:fill="FFFFFF"/>
        </w:rPr>
      </w:pPr>
      <w:r>
        <w:rPr>
          <w:rFonts w:hint="eastAsia" w:ascii="楷体" w:hAnsi="楷体" w:eastAsia="楷体" w:cs="楷体"/>
          <w:b/>
          <w:bCs/>
          <w:sz w:val="32"/>
          <w:szCs w:val="32"/>
          <w:shd w:val="clear" w:fill="FFFFFF"/>
        </w:rPr>
        <w:t>（二）202</w:t>
      </w:r>
      <w:r>
        <w:rPr>
          <w:rFonts w:hint="eastAsia" w:ascii="楷体" w:hAnsi="楷体" w:eastAsia="楷体" w:cs="楷体"/>
          <w:b/>
          <w:bCs/>
          <w:sz w:val="32"/>
          <w:szCs w:val="32"/>
          <w:shd w:val="clear" w:fill="FFFFFF"/>
          <w:lang w:val="en-US" w:eastAsia="zh-CN"/>
        </w:rPr>
        <w:t>3</w:t>
      </w:r>
      <w:r>
        <w:rPr>
          <w:rFonts w:hint="eastAsia" w:ascii="楷体" w:hAnsi="楷体" w:eastAsia="楷体" w:cs="楷体"/>
          <w:b/>
          <w:bCs/>
          <w:sz w:val="32"/>
          <w:szCs w:val="32"/>
          <w:shd w:val="clear" w:fill="FFFFFF"/>
        </w:rPr>
        <w:t>年重点工作完成情况。</w:t>
      </w:r>
    </w:p>
    <w:p>
      <w:pPr>
        <w:keepNext w:val="0"/>
        <w:keepLines w:val="0"/>
        <w:pageBreakBefore w:val="0"/>
        <w:widowControl w:val="0"/>
        <w:shd w:val="clear" w:color="auto" w:fill="auto"/>
        <w:kinsoku/>
        <w:wordWrap/>
        <w:overflowPunct/>
        <w:topLinePunct w:val="0"/>
        <w:autoSpaceDE/>
        <w:autoSpaceDN w:val="0"/>
        <w:bidi w:val="0"/>
        <w:adjustRightInd/>
        <w:snapToGrid/>
        <w:spacing w:afterAutospacing="0" w:line="560" w:lineRule="exact"/>
        <w:ind w:right="0"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i w:val="0"/>
          <w:iCs w:val="0"/>
          <w:caps w:val="0"/>
          <w:smallCaps w:val="0"/>
          <w:color w:val="auto"/>
          <w:spacing w:val="0"/>
          <w:kern w:val="0"/>
          <w:sz w:val="32"/>
          <w:szCs w:val="32"/>
          <w:shd w:val="clear" w:color="auto" w:fill="auto"/>
          <w:lang w:val="en-US" w:eastAsia="zh-CN"/>
        </w:rPr>
        <w:t>（一）奋力拼经济搞建设。</w:t>
      </w:r>
      <w:r>
        <w:rPr>
          <w:rFonts w:hint="eastAsia" w:ascii="仿宋_GB2312" w:hAnsi="仿宋_GB2312" w:eastAsia="仿宋_GB2312" w:cs="仿宋_GB2312"/>
          <w:b w:val="0"/>
          <w:bCs/>
          <w:color w:val="auto"/>
          <w:kern w:val="0"/>
          <w:sz w:val="32"/>
          <w:szCs w:val="32"/>
          <w:lang w:val="en-US" w:eastAsia="zh-CN" w:bidi="ar-SA"/>
        </w:rPr>
        <w:t>今年农牧民收入为16861.96万元，全年农村居民人均可支配收入达20608.24元，增速达11.31%。为高质量发展本地经济，我镇主要从四个方面着力。</w:t>
      </w:r>
      <w:r>
        <w:rPr>
          <w:rFonts w:hint="eastAsia" w:ascii="仿宋_GB2312" w:hAnsi="仿宋_GB2312" w:eastAsia="仿宋_GB2312" w:cs="仿宋_GB2312"/>
          <w:b/>
          <w:bCs/>
          <w:color w:val="auto"/>
          <w:kern w:val="0"/>
          <w:sz w:val="32"/>
          <w:szCs w:val="32"/>
          <w:lang w:val="en-US" w:eastAsia="zh-CN" w:bidi="ar-SA"/>
        </w:rPr>
        <w:t>一是盘活集体资产，密切利益联结。</w:t>
      </w:r>
      <w:r>
        <w:rPr>
          <w:rFonts w:hint="eastAsia" w:ascii="仿宋_GB2312" w:hAnsi="仿宋_GB2312" w:eastAsia="仿宋_GB2312" w:cs="仿宋_GB2312"/>
          <w:b w:val="0"/>
          <w:bCs/>
          <w:color w:val="auto"/>
          <w:kern w:val="0"/>
          <w:sz w:val="32"/>
          <w:szCs w:val="32"/>
          <w:lang w:val="en-US" w:eastAsia="zh-CN" w:bidi="ar-SA"/>
        </w:rPr>
        <w:t>持续巩固村集体经济，辖区村级集体经济全年收入预计超过70万元，其中租赁茸塔玛村和让里村“两委”临街铺面7间，收入3.48万元；出租让里村集体草场和自驾游营地，收入3万元；辖区三个村共同建立机具租赁合作社，将挖掘机、推土机等县级专项产业扶持资金购买的机具租赁给社会企业，应收租金总计67.2万元，各村平均收入超过22.4万元。健全村集体经济利益联结机制，指导各村村“两委”按照民主决策程序集体研究商议，将集体经济收益按当年收益的一定比例科学合理分配，分别用作困难群众慰问金、学生奖学金、群众分红、村内公共设施维修维护及村集体经济发展资金。</w:t>
      </w:r>
      <w:r>
        <w:rPr>
          <w:rFonts w:hint="eastAsia" w:ascii="仿宋_GB2312" w:hAnsi="仿宋_GB2312" w:eastAsia="仿宋_GB2312" w:cs="仿宋_GB2312"/>
          <w:b/>
          <w:bCs w:val="0"/>
          <w:color w:val="auto"/>
          <w:kern w:val="0"/>
          <w:sz w:val="32"/>
          <w:szCs w:val="32"/>
          <w:lang w:val="en-US" w:eastAsia="zh-CN" w:bidi="ar-SA"/>
        </w:rPr>
        <w:t>二是强化技能培训，促进就业创业。</w:t>
      </w:r>
      <w:r>
        <w:rPr>
          <w:rFonts w:hint="eastAsia" w:ascii="仿宋_GB2312" w:hAnsi="仿宋_GB2312" w:eastAsia="仿宋_GB2312" w:cs="仿宋_GB2312"/>
          <w:b w:val="0"/>
          <w:bCs/>
          <w:color w:val="auto"/>
          <w:kern w:val="0"/>
          <w:sz w:val="32"/>
          <w:szCs w:val="32"/>
          <w:lang w:val="en-US" w:eastAsia="zh-CN" w:bidi="ar-SA"/>
        </w:rPr>
        <w:t>征询群众在技能培训方面意见建议，积极对接县就业局，安排缝纫、烹饪、旅游服务方面培训学校开展现场培训，全面动员农牧民群众，尤其是脱贫户、监测户报名参与技能培训，切实提高群众就业技能，拓宽群众就业渠道。高度重视自主创业人才的培养，全力激发本地126名优秀大学生创业就业内生动力，积极对接县就业局、县乡村振兴局等县级主管部门，全面梳理掌握并宣传各类创业就业帮扶政策，积极争取资金、项目扶持。引导各类致富带头人收徒传艺，鼓励本地优秀人才“出门学艺，返乡创业”，持续培养更多专业性、技术性人才，支持外地人才扎根色地发展餐饮、商贸、家电等产业，推动先富带后富、区域性共富。</w:t>
      </w:r>
      <w:r>
        <w:rPr>
          <w:rFonts w:hint="eastAsia" w:ascii="仿宋_GB2312" w:hAnsi="仿宋_GB2312" w:eastAsia="仿宋_GB2312" w:cs="仿宋_GB2312"/>
          <w:b/>
          <w:bCs w:val="0"/>
          <w:color w:val="auto"/>
          <w:kern w:val="0"/>
          <w:sz w:val="32"/>
          <w:szCs w:val="32"/>
          <w:lang w:val="en-US" w:eastAsia="zh-CN" w:bidi="ar-SA"/>
        </w:rPr>
        <w:t>三是提前谋划准备，做好规划设计。</w:t>
      </w:r>
      <w:r>
        <w:rPr>
          <w:rFonts w:hint="eastAsia" w:ascii="仿宋_GB2312" w:hAnsi="仿宋_GB2312" w:eastAsia="仿宋_GB2312" w:cs="仿宋_GB2312"/>
          <w:b w:val="0"/>
          <w:bCs/>
          <w:color w:val="auto"/>
          <w:kern w:val="0"/>
          <w:sz w:val="32"/>
          <w:szCs w:val="32"/>
          <w:lang w:val="en-US" w:eastAsia="zh-CN" w:bidi="ar-SA"/>
        </w:rPr>
        <w:t>聚焦“三家园”建设，制定项目规划，谋划2024年新建和维修生产性道路、新建加油站（新能源汽车充电站）、新建板涵桥、让里村麦曲河桥梁建设、居民点村内道路及附属设施建设、民族特色村寨建设、村委会文化墙和文化栏建设、庭院整治提升以及户厕建设等10个基础设施储备项目；镰刀坝红军长征三大主力汇集地红色文化教育基地建设项目和色地镇农畜产品商贸综合体（川贝交易市场）建设项目2个产业项目。结合镇村实际，草拟色地镇民族特色村寨建设项目、色地镇道路附属设施建设项目设计方案，目前已先后6次召集镇领导班子、各村“两委”和村民代表集体研讨优化设计方案。</w:t>
      </w:r>
      <w:r>
        <w:rPr>
          <w:rFonts w:hint="eastAsia" w:ascii="仿宋_GB2312" w:hAnsi="仿宋_GB2312" w:eastAsia="仿宋_GB2312" w:cs="仿宋_GB2312"/>
          <w:b/>
          <w:bCs w:val="0"/>
          <w:color w:val="auto"/>
          <w:kern w:val="0"/>
          <w:sz w:val="32"/>
          <w:szCs w:val="32"/>
          <w:lang w:val="en-US" w:eastAsia="zh-CN" w:bidi="ar-SA"/>
        </w:rPr>
        <w:t>四是力促牧旅融合，助推优质发展。</w:t>
      </w:r>
      <w:r>
        <w:rPr>
          <w:rFonts w:hint="eastAsia" w:ascii="仿宋_GB2312" w:hAnsi="仿宋_GB2312" w:eastAsia="仿宋_GB2312" w:cs="仿宋_GB2312"/>
          <w:b w:val="0"/>
          <w:bCs/>
          <w:color w:val="auto"/>
          <w:kern w:val="0"/>
          <w:sz w:val="32"/>
          <w:szCs w:val="32"/>
          <w:lang w:val="en-US" w:eastAsia="zh-CN" w:bidi="ar-SA"/>
        </w:rPr>
        <w:t>组织镇村干部、成立辖区旅游市场综合检查组，常态开展旅游市场综合整治，重点开展旅游季辖区骑乘点安全规范提升行动，积极组织开展旅游志愿服务活动，为游客提供旅游咨询、物资及医疗保障服务，全力提升旅游形象。抓好畜牧产业，做好动物检疫、疫病防治，确保畜牧业稳产增产、助农增收，2023年全镇牲畜出栏18294头。</w:t>
      </w:r>
    </w:p>
    <w:p>
      <w:pPr>
        <w:pStyle w:val="11"/>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（二）全面防返贫促振兴。一是</w:t>
      </w:r>
      <w:r>
        <w:rPr>
          <w:rFonts w:hint="eastAsia" w:ascii="仿宋_GB2312" w:hAnsi="仿宋_GB2312" w:eastAsia="仿宋_GB2312" w:cs="仿宋_GB2312"/>
          <w:b/>
          <w:bCs/>
          <w:sz w:val="32"/>
          <w:szCs w:val="32"/>
        </w:rPr>
        <w:t>构建防返贫监测帮扶体系。</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网格管理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风险发现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快速识别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精准帮扶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风险消除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工作奖惩机制。</w:t>
      </w:r>
      <w:r>
        <w:rPr>
          <w:rFonts w:hint="eastAsia" w:ascii="仿宋_GB2312" w:hAnsi="仿宋_GB2312" w:eastAsia="仿宋_GB2312" w:cs="仿宋_GB2312"/>
          <w:sz w:val="32"/>
          <w:szCs w:val="32"/>
          <w:lang w:val="en-US" w:eastAsia="zh-CN"/>
        </w:rPr>
        <w:t>本年度</w:t>
      </w:r>
      <w:r>
        <w:rPr>
          <w:rFonts w:hint="eastAsia" w:ascii="仿宋_GB2312" w:hAnsi="仿宋_GB2312" w:eastAsia="仿宋_GB2312" w:cs="仿宋_GB2312"/>
          <w:sz w:val="32"/>
          <w:szCs w:val="32"/>
        </w:rPr>
        <w:t>召开</w:t>
      </w:r>
      <w:r>
        <w:rPr>
          <w:rFonts w:hint="eastAsia" w:ascii="仿宋_GB2312" w:hAnsi="仿宋_GB2312" w:eastAsia="仿宋_GB2312" w:cs="仿宋_GB2312"/>
          <w:sz w:val="32"/>
          <w:szCs w:val="32"/>
          <w:lang w:val="en-US" w:eastAsia="zh-CN"/>
        </w:rPr>
        <w:t>3次</w:t>
      </w:r>
      <w:r>
        <w:rPr>
          <w:rFonts w:hint="eastAsia" w:ascii="仿宋_GB2312" w:hAnsi="仿宋_GB2312" w:eastAsia="仿宋_GB2312" w:cs="仿宋_GB2312"/>
          <w:sz w:val="32"/>
          <w:szCs w:val="32"/>
        </w:rPr>
        <w:t>防返贫监测和帮扶集中大排查工作技能培训会、动员部署会议、分析研判会及工作推进会等会议，组织动员镇</w:t>
      </w:r>
      <w:r>
        <w:rPr>
          <w:rFonts w:hint="eastAsia" w:ascii="仿宋_GB2312" w:hAnsi="仿宋_GB2312" w:eastAsia="仿宋_GB2312" w:cs="仿宋_GB2312"/>
          <w:sz w:val="32"/>
          <w:szCs w:val="32"/>
          <w:lang w:val="en-US" w:eastAsia="zh-CN"/>
        </w:rPr>
        <w:t>村组</w:t>
      </w:r>
      <w:r>
        <w:rPr>
          <w:rFonts w:hint="eastAsia" w:ascii="仿宋_GB2312" w:hAnsi="仿宋_GB2312" w:eastAsia="仿宋_GB2312" w:cs="仿宋_GB2312"/>
          <w:sz w:val="32"/>
          <w:szCs w:val="32"/>
        </w:rPr>
        <w:t>干部、驻村</w:t>
      </w:r>
      <w:r>
        <w:rPr>
          <w:rFonts w:hint="eastAsia" w:ascii="仿宋_GB2312" w:hAnsi="仿宋_GB2312" w:eastAsia="仿宋_GB2312" w:cs="仿宋_GB2312"/>
          <w:sz w:val="32"/>
          <w:szCs w:val="32"/>
          <w:lang w:val="en-US" w:eastAsia="zh-CN"/>
        </w:rPr>
        <w:t>干部</w:t>
      </w:r>
      <w:r>
        <w:rPr>
          <w:rFonts w:hint="eastAsia" w:ascii="仿宋_GB2312" w:hAnsi="仿宋_GB2312" w:eastAsia="仿宋_GB2312" w:cs="仿宋_GB2312"/>
          <w:sz w:val="32"/>
          <w:szCs w:val="32"/>
        </w:rPr>
        <w:t>、帮扶责任人等</w:t>
      </w:r>
      <w:r>
        <w:rPr>
          <w:rFonts w:hint="eastAsia" w:ascii="仿宋_GB2312" w:hAnsi="仿宋_GB2312" w:eastAsia="仿宋_GB2312" w:cs="仿宋_GB2312"/>
          <w:sz w:val="32"/>
          <w:szCs w:val="32"/>
          <w:lang w:val="en-US" w:eastAsia="zh-CN"/>
        </w:rPr>
        <w:t>各级</w:t>
      </w:r>
      <w:r>
        <w:rPr>
          <w:rFonts w:hint="eastAsia" w:ascii="仿宋_GB2312" w:hAnsi="仿宋_GB2312" w:eastAsia="仿宋_GB2312" w:cs="仿宋_GB2312"/>
          <w:sz w:val="32"/>
          <w:szCs w:val="32"/>
        </w:rPr>
        <w:t>力量</w:t>
      </w:r>
      <w:r>
        <w:rPr>
          <w:rFonts w:hint="eastAsia" w:ascii="仿宋_GB2312" w:hAnsi="仿宋_GB2312" w:eastAsia="仿宋_GB2312" w:cs="仿宋_GB2312"/>
          <w:sz w:val="32"/>
          <w:szCs w:val="32"/>
          <w:lang w:val="en-US" w:eastAsia="zh-CN"/>
        </w:rPr>
        <w:t>300余</w:t>
      </w:r>
      <w:r>
        <w:rPr>
          <w:rFonts w:hint="eastAsia" w:ascii="仿宋_GB2312" w:hAnsi="仿宋_GB2312" w:eastAsia="仿宋_GB2312" w:cs="仿宋_GB2312"/>
          <w:sz w:val="32"/>
          <w:szCs w:val="32"/>
        </w:rPr>
        <w:t>人次参与</w:t>
      </w:r>
      <w:r>
        <w:rPr>
          <w:rFonts w:hint="eastAsia" w:ascii="仿宋_GB2312" w:hAnsi="仿宋_GB2312" w:eastAsia="仿宋_GB2312" w:cs="仿宋_GB2312"/>
          <w:sz w:val="32"/>
          <w:szCs w:val="32"/>
          <w:lang w:val="en-US" w:eastAsia="zh-CN"/>
        </w:rPr>
        <w:t>大</w:t>
      </w:r>
      <w:r>
        <w:rPr>
          <w:rFonts w:hint="eastAsia" w:ascii="仿宋_GB2312" w:hAnsi="仿宋_GB2312" w:eastAsia="仿宋_GB2312" w:cs="仿宋_GB2312"/>
          <w:sz w:val="32"/>
          <w:szCs w:val="32"/>
        </w:rPr>
        <w:t>排查工作，</w:t>
      </w:r>
      <w:r>
        <w:rPr>
          <w:rFonts w:hint="eastAsia" w:ascii="仿宋_GB2312" w:hAnsi="仿宋_GB2312" w:eastAsia="仿宋_GB2312" w:cs="仿宋_GB2312"/>
          <w:sz w:val="32"/>
          <w:szCs w:val="32"/>
          <w:lang w:val="en-US" w:eastAsia="zh-CN"/>
        </w:rPr>
        <w:t>今年</w:t>
      </w:r>
      <w:r>
        <w:rPr>
          <w:rFonts w:hint="eastAsia" w:ascii="仿宋_GB2312" w:hAnsi="仿宋_GB2312" w:eastAsia="仿宋_GB2312" w:cs="仿宋_GB2312"/>
          <w:sz w:val="32"/>
          <w:szCs w:val="32"/>
        </w:rPr>
        <w:t>已</w:t>
      </w:r>
      <w:r>
        <w:rPr>
          <w:rFonts w:hint="eastAsia" w:ascii="仿宋_GB2312" w:hAnsi="仿宋_GB2312" w:eastAsia="仿宋_GB2312" w:cs="仿宋_GB2312"/>
          <w:sz w:val="32"/>
          <w:szCs w:val="32"/>
          <w:lang w:val="en-US" w:eastAsia="zh-CN"/>
        </w:rPr>
        <w:t>全覆盖</w:t>
      </w:r>
      <w:r>
        <w:rPr>
          <w:rFonts w:hint="eastAsia" w:ascii="仿宋_GB2312" w:hAnsi="仿宋_GB2312" w:eastAsia="仿宋_GB2312" w:cs="仿宋_GB2312"/>
          <w:sz w:val="32"/>
          <w:szCs w:val="32"/>
        </w:rPr>
        <w:t>完成排查1652户7812人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二是保障脱贫群众就业增收。</w:t>
      </w:r>
      <w:r>
        <w:rPr>
          <w:rFonts w:hint="eastAsia" w:ascii="仿宋_GB2312" w:hAnsi="仿宋_GB2312" w:eastAsia="仿宋_GB2312" w:cs="仿宋_GB2312"/>
          <w:sz w:val="32"/>
          <w:szCs w:val="32"/>
          <w:lang w:val="en-US" w:eastAsia="zh-CN"/>
        </w:rPr>
        <w:t>积极组织镇村干部、驻村干部、帮扶干部，通过线上线下结合方式，积极宣讲政策，精准掌握脱贫人口务工状态、务工意愿、就业帮扶需求、培训意愿等信息，动员鼓励其外出务工，完善脱贫人口务工台账，认真梳理脱贫人口“返乡”“留岗”和“就业需求”三张清单。进一步提高就近就业的灵活度，开发困难人员公益性岗位，安置困难人员，着力解决脱贫家庭半劳力、弱劳力和外出务工困难人口就地就近就业、居家灵活就业问题。</w:t>
      </w:r>
      <w:r>
        <w:rPr>
          <w:rFonts w:hint="eastAsia" w:ascii="仿宋_GB2312" w:hAnsi="仿宋_GB2312" w:eastAsia="仿宋_GB2312" w:cs="仿宋_GB2312"/>
          <w:color w:val="auto"/>
          <w:sz w:val="32"/>
          <w:szCs w:val="32"/>
          <w:lang w:val="en-US" w:eastAsia="zh-CN"/>
        </w:rPr>
        <w:t>2023年色地镇累计设置护林员、护草原、保洁员等各类公益性岗位211个，光伏公益性岗位30个，脱贫劳动力外出务工人数为332个。</w:t>
      </w:r>
      <w:r>
        <w:rPr>
          <w:rFonts w:hint="eastAsia" w:ascii="仿宋_GB2312" w:hAnsi="仿宋_GB2312" w:eastAsia="仿宋_GB2312" w:cs="仿宋_GB2312"/>
          <w:b/>
          <w:bCs/>
          <w:sz w:val="32"/>
          <w:szCs w:val="32"/>
          <w:lang w:val="en-US" w:eastAsia="zh-CN"/>
        </w:rPr>
        <w:t>三是全力推动乡村“五大”振兴。</w:t>
      </w:r>
      <w:r>
        <w:rPr>
          <w:rFonts w:hint="eastAsia" w:ascii="仿宋_GB2312" w:hAnsi="仿宋_GB2312" w:eastAsia="仿宋_GB2312" w:cs="仿宋_GB2312"/>
          <w:sz w:val="32"/>
          <w:szCs w:val="32"/>
          <w:lang w:val="en-US" w:eastAsia="zh-CN"/>
        </w:rPr>
        <w:t>紧紧围绕巩固拓展脱贫攻坚成果同乡村振兴有效衔接各项重点工作，进一步摸清各村发展优劣，综合认真分析研究，找准突破口和突出问题薄弱点，结合县委十三届三次全会决策部署和“三家园”建设规划，对标对表“产业兴旺、生态宜居、乡风文明、治理有效、生活富裕”总目标，积极创新探索乡村振兴工作中的新方法、新经验、新路子，初步拟定“深度旅游+现代畜牧+中藏药交易”发展路径，细化完善工作方案和具体举措，明确责任领导和责任人，抓好工作落实，力促乡村振兴战略落地落实、见行见效。</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（三）用心保民生增福祉。一是抓实教育工作。</w:t>
      </w:r>
      <w:r>
        <w:rPr>
          <w:rFonts w:hint="eastAsia" w:ascii="仿宋_GB2312" w:hAnsi="仿宋_GB2312" w:eastAsia="仿宋_GB2312" w:cs="仿宋_GB2312"/>
          <w:b w:val="0"/>
          <w:bCs w:val="0"/>
          <w:color w:val="auto"/>
          <w:kern w:val="2"/>
          <w:sz w:val="32"/>
          <w:szCs w:val="32"/>
          <w:lang w:val="en-US" w:eastAsia="zh-CN" w:bidi="ar-SA"/>
        </w:rPr>
        <w:t>分村分组、定责定人，组织镇村组干部、驻村干部、学校教职工，全力开展控辍保学工作。抓好教育扶持，</w:t>
      </w:r>
      <w:r>
        <w:rPr>
          <w:rFonts w:hint="eastAsia" w:ascii="仿宋_GB2312" w:hAnsi="仿宋_GB2312" w:eastAsia="仿宋_GB2312" w:cs="仿宋_GB2312"/>
          <w:color w:val="auto"/>
          <w:kern w:val="2"/>
          <w:sz w:val="32"/>
          <w:szCs w:val="32"/>
          <w:lang w:val="en-US" w:eastAsia="zh-CN" w:bidi="ar-SA"/>
        </w:rPr>
        <w:t>完成“雨露计划”助学资金申请27人，补助资金40500元。</w:t>
      </w:r>
      <w:r>
        <w:rPr>
          <w:rFonts w:hint="eastAsia" w:ascii="仿宋_GB2312" w:hAnsi="仿宋_GB2312" w:eastAsia="仿宋_GB2312" w:cs="仿宋_GB2312"/>
          <w:b/>
          <w:bCs w:val="0"/>
          <w:color w:val="auto"/>
          <w:kern w:val="0"/>
          <w:sz w:val="32"/>
          <w:szCs w:val="32"/>
          <w:lang w:val="en-US" w:eastAsia="zh-CN" w:bidi="ar-SA"/>
        </w:rPr>
        <w:t>二是强化医保覆盖。</w:t>
      </w:r>
      <w:r>
        <w:rPr>
          <w:rFonts w:hint="eastAsia" w:ascii="仿宋_GB2312" w:hAnsi="仿宋_GB2312" w:eastAsia="仿宋_GB2312" w:cs="仿宋_GB2312"/>
          <w:b w:val="0"/>
          <w:bCs/>
          <w:color w:val="auto"/>
          <w:kern w:val="0"/>
          <w:sz w:val="32"/>
          <w:szCs w:val="32"/>
          <w:lang w:val="en-US" w:eastAsia="zh-CN" w:bidi="ar-SA"/>
        </w:rPr>
        <w:t>通过5次群众大会和日常“联户联情”工作，向全镇7000余名群众全覆盖宣传医保政策。建立镇村干部+驻村干部+包联干部联动统筹推进医保收缴及电子医保注册工作机制，先后3次召开专题会议针对突出问题研究医保收缴及电子医保注册工作，主要负责人亲自抓，镇纪委实时跟踪督导工作完成情况，镇干部、驻村工作队、村“两委”干部共计50人分片包干，全力开展医保收缴及电子医保注册工作。</w:t>
      </w:r>
      <w:r>
        <w:rPr>
          <w:rFonts w:hint="eastAsia" w:ascii="仿宋_GB2312" w:hAnsi="仿宋_GB2312" w:eastAsia="仿宋_GB2312" w:cs="仿宋_GB2312"/>
          <w:b/>
          <w:bCs w:val="0"/>
          <w:color w:val="auto"/>
          <w:kern w:val="0"/>
          <w:sz w:val="32"/>
          <w:szCs w:val="32"/>
          <w:lang w:val="en-US" w:eastAsia="zh-CN" w:bidi="ar-SA"/>
        </w:rPr>
        <w:t>三是做好兜底保障。</w:t>
      </w:r>
      <w:r>
        <w:rPr>
          <w:rFonts w:hint="eastAsia" w:ascii="仿宋_GB2312" w:hAnsi="仿宋_GB2312" w:eastAsia="仿宋_GB2312" w:cs="仿宋_GB2312"/>
          <w:b w:val="0"/>
          <w:bCs/>
          <w:color w:val="auto"/>
          <w:kern w:val="0"/>
          <w:sz w:val="32"/>
          <w:szCs w:val="32"/>
          <w:lang w:val="en-US" w:eastAsia="zh-CN" w:bidi="ar-SA"/>
        </w:rPr>
        <w:t>通过“天府通办”、“一卡通”等平台，常态推进困难群体生活补助资金发放工作。截止目前，为3人申请到爱红原救助基金3万元，为1人申请临时救助基金；发放最低生活保障11539人次344.7万元，高龄津贴594人次53680元，特困对象护理165人次18700元，特困供养金165人次10.3万元，孤儿33人次3.96万元，事实无人抚养儿童154人次18.48万元，重残困残2266人次22.34万元；完成城乡居民社会养老保险参保741人，为60岁以上享受待遇人员办理养老保险生存认证527人，为今年死亡的28人办理完养老保险注销程序并报销抚恤金总计39760元，慰问困难留守老人98人。</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（四）全力防灭火保安全。</w:t>
      </w:r>
      <w:r>
        <w:rPr>
          <w:rFonts w:hint="eastAsia" w:ascii="仿宋_GB2312" w:hAnsi="仿宋_GB2312" w:eastAsia="仿宋_GB2312" w:cs="仿宋_GB2312"/>
          <w:color w:val="auto"/>
          <w:sz w:val="32"/>
          <w:szCs w:val="32"/>
          <w:lang w:val="en-US" w:eastAsia="zh-CN"/>
        </w:rPr>
        <w:t>召开森林草原防灭火专题会议20余次，</w:t>
      </w:r>
      <w:r>
        <w:rPr>
          <w:rFonts w:hint="eastAsia" w:ascii="仿宋_GB2312" w:hAnsi="仿宋_GB2312" w:eastAsia="仿宋_GB2312" w:cs="仿宋_GB2312"/>
          <w:b w:val="0"/>
          <w:bCs/>
          <w:color w:val="auto"/>
          <w:kern w:val="0"/>
          <w:sz w:val="32"/>
          <w:szCs w:val="32"/>
          <w:lang w:val="en-US" w:eastAsia="zh-CN" w:bidi="ar-SA"/>
        </w:rPr>
        <w:t>组织30名林草员开展林草防火全域巡护8次，组织村干部、护林员同派出所深入远牧点排查违规野外用火6次，劝导教育20余人次。</w:t>
      </w:r>
      <w:r>
        <w:rPr>
          <w:rFonts w:hint="eastAsia" w:ascii="仿宋_GB2312" w:hAnsi="仿宋_GB2312" w:eastAsia="仿宋_GB2312" w:cs="仿宋_GB2312"/>
          <w:color w:val="auto"/>
          <w:sz w:val="32"/>
          <w:szCs w:val="32"/>
          <w:lang w:val="en-US" w:eastAsia="zh-CN"/>
        </w:rPr>
        <w:t>压紧压实镇村干部、生态公益性岗位人员责任，落实落细各类防火措施，累计开展森林草原防灭火宣传工作10余次，发放各类宣传单3000余份，悬挂宣传横幅5条，以户为单位签订防火责任书225份，组织开展综合应急演练2次；</w:t>
      </w:r>
      <w:r>
        <w:rPr>
          <w:rFonts w:hint="eastAsia" w:ascii="仿宋_GB2312" w:hAnsi="仿宋_GB2312" w:eastAsia="仿宋_GB2312" w:cs="仿宋_GB2312"/>
          <w:b w:val="0"/>
          <w:bCs/>
          <w:color w:val="auto"/>
          <w:kern w:val="0"/>
          <w:sz w:val="32"/>
          <w:szCs w:val="32"/>
          <w:lang w:val="en-US" w:eastAsia="zh-CN" w:bidi="ar-SA"/>
        </w:rPr>
        <w:t>以落实安全生产责任制为重点，签订责任书29份，覆盖道路交通、消防、危化品、食品安全领域。制定安全生产、道路交通、防灾减灾、消防、危化品、食品安全、燃气应急预案，成立由党委书记、镇长担任组长的安全生产排查整治领导小组和7个工作专班，制定《色地镇安全生产隐患排查治理工作实施方案》。组织食品安全、道路交通、危化品、消防、燃气、学校安全等各类检查20余次，建立检查台账7本，检查安全隐患4余处，隐患整改4处，整改率100%。开展“重大事故隐患专项整治”安全隐患大排查大整治活动等各类专项检查20余次。及时传达贯彻上级有关安全生产方面的文件和会议精神10次，转发省、州安委会风险防控预警信息24次，召开季度、月、专项安全生产工作例会5次，召开节前专题部署会5次，认真做好安全生产宣传教育培训工作，围绕全国第15个防灾减灾日，深入镇小学校发放宣传资料4000余份，制作宣传横幅3多条，组织防火、防汛、防灾综合应急救援演练5次，安全生产桌面应急推演2次，坚持“全覆盖、零容忍、严要求、重实效”，深入重点场所，全覆盖排查重点物品，现场排查整改安全隐患问题20条。坚持每日巡查重点项目施工情况，深入定居点和镰刀坝开展安全生产大检查活动20余次，宣传覆盖群众7000余人，全覆盖排查1000余户自建房安全隐患，排查道路交通安全隐患10余处，先后组织开展道路交通、工地施工安全应急演练2次。</w:t>
      </w:r>
    </w:p>
    <w:p>
      <w:pPr>
        <w:pStyle w:val="2"/>
        <w:keepNext w:val="0"/>
        <w:keepLines w:val="0"/>
        <w:pageBreakBefore w:val="0"/>
        <w:widowControl w:val="0"/>
        <w:kinsoku/>
        <w:wordWrap/>
        <w:overflowPunct/>
        <w:topLinePunct w:val="0"/>
        <w:autoSpaceDE/>
        <w:autoSpaceDN/>
        <w:bidi w:val="0"/>
        <w:adjustRightInd/>
        <w:snapToGrid/>
        <w:spacing w:after="0" w:afterAutospacing="0" w:line="560" w:lineRule="exact"/>
        <w:ind w:left="0" w:leftChars="0" w:firstLine="643" w:firstLineChars="200"/>
        <w:jc w:val="both"/>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kern w:val="2"/>
          <w:sz w:val="32"/>
          <w:szCs w:val="32"/>
          <w:lang w:val="en-US" w:eastAsia="zh-CN" w:bidi="ar-SA"/>
        </w:rPr>
        <w:t>（五）合力护生态优环境。</w:t>
      </w:r>
      <w:r>
        <w:rPr>
          <w:rFonts w:hint="eastAsia" w:ascii="仿宋_GB2312" w:hAnsi="仿宋_GB2312" w:eastAsia="仿宋_GB2312" w:cs="仿宋_GB2312"/>
          <w:b/>
          <w:bCs w:val="0"/>
          <w:color w:val="auto"/>
          <w:kern w:val="0"/>
          <w:sz w:val="32"/>
          <w:szCs w:val="32"/>
          <w:lang w:val="en-US" w:eastAsia="zh-CN" w:bidi="ar-SA"/>
        </w:rPr>
        <w:t>一是建立生态保护机制。</w:t>
      </w:r>
      <w:r>
        <w:rPr>
          <w:rFonts w:hint="eastAsia" w:ascii="仿宋_GB2312" w:hAnsi="仿宋_GB2312" w:eastAsia="仿宋_GB2312" w:cs="仿宋_GB2312"/>
          <w:b w:val="0"/>
          <w:bCs/>
          <w:color w:val="auto"/>
          <w:kern w:val="0"/>
          <w:sz w:val="32"/>
          <w:szCs w:val="32"/>
          <w:lang w:val="en-US" w:eastAsia="zh-CN" w:bidi="ar-SA"/>
        </w:rPr>
        <w:t>牢固树立“绿水青山就是金山银山，冰天雪地也是金山银山”理念，严守生态红线，建立“党委统领+支部组织+党员率带+群众参与”模式，健全镇域生态保护机制和长江黄河流域禁捕长效管理机制，持续深化“网格管理、定人定责、区域到人、层层落实”工作模式，实行定人、定责、定段、定时的“四定”环境整治管理责任制。</w:t>
      </w:r>
      <w:r>
        <w:rPr>
          <w:rFonts w:hint="eastAsia" w:ascii="仿宋_GB2312" w:hAnsi="仿宋_GB2312" w:eastAsia="仿宋_GB2312" w:cs="仿宋_GB2312"/>
          <w:b/>
          <w:bCs w:val="0"/>
          <w:color w:val="auto"/>
          <w:kern w:val="0"/>
          <w:sz w:val="32"/>
          <w:szCs w:val="32"/>
          <w:lang w:val="en-US" w:eastAsia="zh-CN" w:bidi="ar-SA"/>
        </w:rPr>
        <w:t>二是保持镇域干净卫生。</w:t>
      </w:r>
      <w:r>
        <w:rPr>
          <w:rFonts w:hint="eastAsia" w:ascii="仿宋_GB2312" w:hAnsi="仿宋_GB2312" w:eastAsia="仿宋_GB2312" w:cs="仿宋_GB2312"/>
          <w:b w:val="0"/>
          <w:bCs/>
          <w:color w:val="auto"/>
          <w:kern w:val="0"/>
          <w:sz w:val="32"/>
          <w:szCs w:val="32"/>
          <w:lang w:val="en-US" w:eastAsia="zh-CN" w:bidi="ar-SA"/>
        </w:rPr>
        <w:t>结合每月黄河上游全域全员全天生态环境综合治理、每旬定居点环境卫生综合治理和每周公路沿线及镰刀坝环境卫生综合整治工作，安排200余名公益性岗位人员和30余牧家乐业主定岗定责定区域，开展辖区路域、水域、定居点、观景点环境卫生整治50余次，清理破旧经幡5处，集中清理背街小巷、房前屋后垃圾60余吨。与红原县滨南生态环境科技有限公司密切合作，完善农村垃圾处理工作，建立全镇农村生活垃圾“清运运营”模式，实行100%无害化处理。</w:t>
      </w:r>
      <w:r>
        <w:rPr>
          <w:rFonts w:hint="eastAsia" w:ascii="仿宋_GB2312" w:hAnsi="仿宋_GB2312" w:eastAsia="仿宋_GB2312" w:cs="仿宋_GB2312"/>
          <w:b/>
          <w:bCs w:val="0"/>
          <w:color w:val="auto"/>
          <w:kern w:val="0"/>
          <w:sz w:val="32"/>
          <w:szCs w:val="32"/>
          <w:lang w:val="en-US" w:eastAsia="zh-CN" w:bidi="ar-SA"/>
        </w:rPr>
        <w:t>三是强化生态巡查整治。</w:t>
      </w:r>
      <w:r>
        <w:rPr>
          <w:rFonts w:hint="eastAsia" w:ascii="仿宋_GB2312" w:hAnsi="仿宋_GB2312" w:eastAsia="仿宋_GB2312" w:cs="仿宋_GB2312"/>
          <w:b w:val="0"/>
          <w:bCs/>
          <w:color w:val="auto"/>
          <w:kern w:val="0"/>
          <w:sz w:val="32"/>
          <w:szCs w:val="32"/>
          <w:lang w:val="en-US" w:eastAsia="zh-CN" w:bidi="ar-SA"/>
        </w:rPr>
        <w:t>严格落实“河长制”，镇村河长累计巡河100余次，组织整治河道卫生20余次。严厉打击乱搭乱建，清理违规建筑10处。坚持每周2次以上深入远牧点开展草煤泥炭盗挖巡逻巡查工作。围绕草煤泥炭盗挖、乱占乱圈草地等问题，坚持每周2次以上深入远牧点开展草煤泥炭盗挖巡逻巡查工作，对6处地质灾害点设立警告警示标志，严厉打击泥炭盗挖，率先在全县乡镇中将生态环保纳入村规民约，把泥碳盗挖与生态奖补、湿地补偿直接挂钩，充分发动群众，强化监督管理，今年已杜绝泥炭盗挖等违法现象。</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u w:val="none"/>
          <w:lang w:val="en-US" w:eastAsia="zh-CN"/>
        </w:rPr>
        <w:t>（六</w:t>
      </w:r>
      <w:bookmarkStart w:id="4" w:name="_GoBack"/>
      <w:bookmarkEnd w:id="4"/>
      <w:r>
        <w:rPr>
          <w:rFonts w:hint="eastAsia" w:ascii="仿宋_GB2312" w:hAnsi="仿宋_GB2312" w:eastAsia="仿宋_GB2312" w:cs="仿宋_GB2312"/>
          <w:b/>
          <w:bCs/>
          <w:color w:val="auto"/>
          <w:sz w:val="32"/>
          <w:szCs w:val="32"/>
          <w:u w:val="none"/>
          <w:lang w:val="en-US" w:eastAsia="zh-CN"/>
        </w:rPr>
        <w:t>）坚决严纪律守清廉。</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加强廉政教育。组织学习《中共阿坝纪委监委公开通报5起巩固拓展脱贫攻坚成果同乡村振兴有效衔接领域腐败和作风典型问题》等违纪案件警示教育30次，召开党风廉政建设专题会议6次，覆盖党员干部600余人次。结合“纪检干部教育整顿”工作，开展纪检干部廉政谈话2次，集中开展学习活动5次，撰写心得体会15篇；召开阳光问廉坝坝会4次，参会群众1500余人次；开展正面先进事迹教育1次；组织讲授廉政党课4次，覆盖党员干部700余人次。</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健全工作机制，制定色地镇《廉政风险点及防控措施表》，认真梳理各领域廉政风险点，将行政审批等权力事项纳入监管内容。重点排查资金使用、项目建设、行政审批、执法检查、干部职务晋升等重要领域工作，进一步规范村级财务管理，健全完善镇村财务审批、审计、村级费用收缴管理办法等制度，建立专项资金使用发放监督机制，从源头上遏制镇村干部贪腐行为。</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强化廉政建设，定期开展廉政提醒谈话，镇党委书记“一对一”与镇班子成员、镇干部、各村党支部书记进行廉政谈心谈话12次，镇纪委监委与各村“两委”干部、村民小组长开展廉政谈话14次，对苗头性、倾向性问题实行抓早、抓小。</w:t>
      </w:r>
      <w:r>
        <w:rPr>
          <w:rFonts w:hint="eastAsia" w:ascii="仿宋_GB2312" w:hAnsi="仿宋_GB2312" w:eastAsia="仿宋_GB2312" w:cs="仿宋_GB2312"/>
          <w:color w:val="auto"/>
          <w:sz w:val="32"/>
          <w:szCs w:val="32"/>
          <w:lang w:val="en-US" w:eastAsia="zh-CN"/>
        </w:rPr>
        <w:t>不定期突击检查镇各股室、便民服务中心干部在岗履职尽责情况及工作落实情况，常态</w:t>
      </w:r>
      <w:r>
        <w:rPr>
          <w:rFonts w:hint="eastAsia" w:ascii="仿宋_GB2312" w:hAnsi="仿宋_GB2312" w:eastAsia="仿宋_GB2312" w:cs="仿宋_GB2312"/>
          <w:b w:val="0"/>
          <w:bCs w:val="0"/>
          <w:color w:val="auto"/>
          <w:sz w:val="32"/>
          <w:szCs w:val="32"/>
          <w:lang w:val="en-US" w:eastAsia="zh-CN"/>
        </w:rPr>
        <w:t>下沉各村督查村级组织运转经费、村集体经济资产管理及使用情况，督查各村惠民政策落实、项目建设、“三资”清理、财务收支等廉政风险点，检查镇村“三务公开”情况，并对各村纪检委员、党风政风监督员进行业务培训4次。</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val="0"/>
          <w:bCs w:val="0"/>
          <w:color w:val="auto"/>
          <w:sz w:val="32"/>
          <w:szCs w:val="32"/>
          <w:lang w:val="en-US" w:eastAsia="zh-CN"/>
        </w:rPr>
        <w:t>开展专项整顿，广泛开展不正之风和腐败问题、领导干部赌博敛财、扶贫领域违规违纪、违规收送礼金等问题专项整治和“微腐败”专项治理工作。征求、收集服务对象和人民群众意见诉求，严查群众身边的“四风”问题，在辖区设立意见反馈箱4处，动员群众积极参与党风廉政监督，切实做到监督防范实时有效。针对“不作为、慢作为、乱作为”问题，重点对服务窗口规范服务、干部职工在岗履职情况等开展不定期抽查。</w:t>
      </w:r>
    </w:p>
    <w:p>
      <w:pPr>
        <w:pStyle w:val="1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jc w:val="both"/>
        <w:textAlignment w:val="auto"/>
        <w:rPr>
          <w:rFonts w:hint="eastAsia" w:ascii="黑体" w:hAnsi="黑体" w:eastAsia="黑体" w:cs="黑体"/>
          <w:b/>
          <w:bCs/>
          <w:color w:val="auto"/>
          <w:kern w:val="2"/>
          <w:sz w:val="32"/>
          <w:szCs w:val="32"/>
          <w:u w:val="none"/>
          <w:lang w:val="en-US" w:eastAsia="zh-CN" w:bidi="ar-SA"/>
        </w:rPr>
      </w:pPr>
      <w:r>
        <w:rPr>
          <w:rFonts w:hint="eastAsia" w:ascii="黑体" w:hAnsi="黑体" w:eastAsia="黑体" w:cs="黑体"/>
          <w:b/>
          <w:bCs/>
          <w:color w:val="auto"/>
          <w:kern w:val="2"/>
          <w:sz w:val="32"/>
          <w:szCs w:val="32"/>
          <w:u w:val="none"/>
          <w:lang w:val="en-US" w:eastAsia="zh-CN" w:bidi="ar-SA"/>
        </w:rPr>
        <w:t>二、取得成效</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一是以点带面，织密基层管理网格。</w:t>
      </w:r>
      <w:r>
        <w:rPr>
          <w:rFonts w:hint="eastAsia" w:ascii="仿宋_GB2312" w:hAnsi="仿宋_GB2312" w:eastAsia="仿宋_GB2312" w:cs="仿宋_GB2312"/>
          <w:sz w:val="32"/>
          <w:szCs w:val="32"/>
          <w:lang w:val="en-US" w:eastAsia="zh-CN"/>
        </w:rPr>
        <w:t>将网格化管理作为抓基层打基础的关键工作常抓不懈，坚决杜绝应付思想和一阵风现象。</w:t>
      </w:r>
      <w:r>
        <w:rPr>
          <w:rFonts w:hint="eastAsia" w:ascii="仿宋_GB2312" w:hAnsi="仿宋_GB2312" w:eastAsia="仿宋_GB2312" w:cs="仿宋_GB2312"/>
          <w:color w:val="000000"/>
          <w:sz w:val="32"/>
          <w:szCs w:val="32"/>
          <w:lang w:val="en-US" w:eastAsia="zh-CN"/>
        </w:rPr>
        <w:t>将色地镇定居点总体划分为3个大网格，依托主干道、河道、背街小巷划分为19个小网格（其中茸塔玛村5个，让里村8个，日西村4个，寺庙2个），配齐19名网格员，开展3次网格员体系化培训，充分发挥网格员人熟、地熟、情况熟的优势，挨家挨户统计各户家庭信息，不断落实“一户一档”，切实将网格化触角延伸到村、组、户、人，确保做到底数清、情况明，</w:t>
      </w:r>
      <w:r>
        <w:rPr>
          <w:rFonts w:hint="eastAsia" w:ascii="仿宋_GB2312" w:hAnsi="仿宋_GB2312" w:eastAsia="仿宋_GB2312" w:cs="仿宋_GB2312"/>
          <w:b w:val="0"/>
          <w:bCs/>
          <w:color w:val="auto"/>
          <w:kern w:val="0"/>
          <w:sz w:val="32"/>
          <w:szCs w:val="32"/>
          <w:lang w:val="en-US" w:eastAsia="zh-CN" w:bidi="ar-SA"/>
        </w:rPr>
        <w:t>做到全覆盖不留死角盲点，不断完善网格体系建设，推动网格化服务管理提档升级，促进社会治理提质增效。</w:t>
      </w:r>
      <w:r>
        <w:rPr>
          <w:rFonts w:hint="eastAsia" w:ascii="仿宋_GB2312" w:hAnsi="仿宋_GB2312" w:eastAsia="仿宋_GB2312" w:cs="仿宋_GB2312"/>
          <w:b/>
          <w:bCs/>
          <w:color w:val="000000"/>
          <w:sz w:val="32"/>
          <w:szCs w:val="32"/>
          <w:lang w:val="en-US" w:eastAsia="zh-CN" w:bidi="ar-SA"/>
        </w:rPr>
        <w:t>二是联动共治，构建边界治理新格局。</w:t>
      </w:r>
      <w:r>
        <w:rPr>
          <w:rFonts w:hint="eastAsia" w:ascii="仿宋_GB2312" w:hAnsi="仿宋_GB2312" w:eastAsia="仿宋_GB2312" w:cs="仿宋_GB2312"/>
          <w:b w:val="0"/>
          <w:bCs/>
          <w:color w:val="auto"/>
          <w:kern w:val="0"/>
          <w:sz w:val="32"/>
          <w:szCs w:val="32"/>
          <w:lang w:val="en-US" w:eastAsia="zh-CN" w:bidi="ar-SA"/>
        </w:rPr>
        <w:t>通过主动与若尔盖县包座乡党委主要负责人、村干部、村民代表对接，依循“干部多握手、群众不动手”的初衷，本着尊重历史、友好协商、求同存异和县乡搭平台、村级坐下谈的原则。经过现场踏勘、边界定点、实物标识、检查确认，在双方的共同努力下，就各自积极开展群众教育引导、及时排查化解各种争议、按照双方认可边界结果、坚决杜绝出现再次越界放牧、确保边界和谐稳定等问题达成共识，有效化解边界纠纷。</w:t>
      </w:r>
      <w:r>
        <w:rPr>
          <w:rFonts w:hint="eastAsia" w:ascii="仿宋_GB2312" w:hAnsi="仿宋_GB2312" w:eastAsia="仿宋_GB2312" w:cs="仿宋_GB2312"/>
          <w:b w:val="0"/>
          <w:bCs w:val="0"/>
          <w:sz w:val="32"/>
          <w:szCs w:val="32"/>
          <w:lang w:val="en-US" w:eastAsia="zh-CN"/>
        </w:rPr>
        <w:t>积极协同县政协，在红原县色地镇与松潘县毛尔盖镇边界地召开“有事来协商·阿隆好商量”——“多方联动共治，创造和谐环境”主题小微协商会议，双方达成共识，一致决定建设边界围栏，并签订边界围栏后期管护协议，有效解决多年来双方边界处过界放牧纠纷问题。</w:t>
      </w:r>
    </w:p>
    <w:p>
      <w:pPr>
        <w:pStyle w:val="5"/>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lang w:val="en-US" w:eastAsia="zh-CN"/>
        </w:rPr>
        <w:t>三</w:t>
      </w:r>
      <w:r>
        <w:rPr>
          <w:rFonts w:hint="eastAsia" w:ascii="黑体" w:hAnsi="黑体" w:eastAsia="黑体" w:cs="黑体"/>
          <w:sz w:val="32"/>
          <w:szCs w:val="32"/>
          <w:shd w:val="clear" w:fill="FFFFFF"/>
        </w:rPr>
        <w:t>、机构设置</w:t>
      </w:r>
    </w:p>
    <w:p>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色地</w:t>
      </w:r>
      <w:r>
        <w:rPr>
          <w:rFonts w:hint="eastAsia" w:ascii="仿宋_GB2312" w:hAnsi="仿宋_GB2312" w:eastAsia="仿宋_GB2312" w:cs="仿宋_GB2312"/>
          <w:color w:val="000000"/>
          <w:sz w:val="32"/>
          <w:szCs w:val="32"/>
        </w:rPr>
        <w:t>镇人民政府下属二级单位0个，其中行政单位0个，参照公务员法管理的事业单位</w:t>
      </w:r>
      <w:r>
        <w:rPr>
          <w:rFonts w:hint="eastAsia" w:ascii="仿宋_GB2312" w:hAnsi="仿宋_GB2312" w:eastAsia="仿宋_GB2312" w:cs="仿宋_GB2312"/>
          <w:bCs/>
          <w:color w:val="000000"/>
          <w:sz w:val="32"/>
          <w:szCs w:val="32"/>
        </w:rPr>
        <w:t>0</w:t>
      </w:r>
      <w:r>
        <w:rPr>
          <w:rFonts w:hint="eastAsia" w:ascii="仿宋_GB2312" w:hAnsi="仿宋_GB2312" w:eastAsia="仿宋_GB2312" w:cs="仿宋_GB2312"/>
          <w:color w:val="000000"/>
          <w:sz w:val="32"/>
          <w:szCs w:val="32"/>
        </w:rPr>
        <w:t>个，其他事业单位0个。</w:t>
      </w:r>
      <w:bookmarkStart w:id="0" w:name="_Toc15377432"/>
      <w:bookmarkStart w:id="1" w:name="_Toc15377201"/>
      <w:bookmarkStart w:id="2" w:name="_Toc15378448"/>
      <w:bookmarkStart w:id="3" w:name="_Toc15306275"/>
      <w:r>
        <w:rPr>
          <w:rFonts w:hint="eastAsia" w:ascii="仿宋_GB2312" w:hAnsi="仿宋_GB2312" w:eastAsia="仿宋_GB2312" w:cs="仿宋_GB2312"/>
          <w:bCs/>
          <w:color w:val="000000"/>
          <w:sz w:val="32"/>
          <w:szCs w:val="32"/>
        </w:rPr>
        <w:t>我单位为独立核算全额拨款行政单位，2个机构，一个共产党机关，一个政府机关。</w:t>
      </w:r>
      <w:bookmarkEnd w:id="0"/>
      <w:bookmarkEnd w:id="1"/>
      <w:bookmarkEnd w:id="2"/>
      <w:bookmarkEnd w:id="3"/>
      <w:r>
        <w:rPr>
          <w:rFonts w:hint="eastAsia" w:ascii="仿宋_GB2312" w:hAnsi="仿宋_GB2312" w:eastAsia="仿宋_GB2312" w:cs="仿宋_GB2312"/>
          <w:sz w:val="32"/>
          <w:szCs w:val="32"/>
        </w:rPr>
        <w:t>色地镇行政编制 24 名。 其中： 党委书记 1名，党委副书记兼镇长</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名，人大主席1名；党委副书记2名（其中1名兼任政法统战委员）， 纪委书记 1 名， 组织委员 1 名（兼任宣传委员），副镇长 4 名(其中 1 名由人武部长兼任）； 股级领导职数 6 名。机关工勤人员事业编制2名。事业编制12名，其中：股级领导职数 3 名， 另在镇直属事业机构中引入激励机制， 结合工作任务和实际表现，择优选择其中 1 名事业机构的主要负责人按副科级配备。</w:t>
      </w:r>
      <w:r>
        <w:rPr>
          <w:rFonts w:hint="eastAsia" w:ascii="仿宋_GB2312" w:hAnsi="仿宋_GB2312" w:eastAsia="仿宋_GB2312" w:cs="仿宋_GB2312"/>
          <w:sz w:val="32"/>
          <w:szCs w:val="32"/>
          <w:shd w:val="clear" w:fill="FFFFFF"/>
        </w:rPr>
        <w:t> </w:t>
      </w:r>
    </w:p>
    <w:p>
      <w:pPr>
        <w:pStyle w:val="13"/>
        <w:keepNext w:val="0"/>
        <w:keepLines w:val="0"/>
        <w:widowControl/>
        <w:suppressLineNumbers w:val="0"/>
        <w:spacing w:before="0" w:beforeAutospacing="0"/>
        <w:ind w:left="0"/>
        <w:jc w:val="left"/>
        <w:rPr>
          <w:rFonts w:hint="eastAsia" w:ascii="方正小标宋简体" w:hAnsi="方正小标宋简体" w:eastAsia="方正小标宋简体" w:cs="方正小标宋简体"/>
          <w:b w:val="0"/>
          <w:bCs w:val="0"/>
          <w:kern w:val="44"/>
          <w:sz w:val="48"/>
          <w:szCs w:val="48"/>
          <w:shd w:val="clear" w:fill="FFFFFF"/>
          <w:lang w:val="en-US" w:eastAsia="zh-CN" w:bidi="ar"/>
        </w:rPr>
      </w:pPr>
      <w:r>
        <w:rPr>
          <w:shd w:val="clear" w:fill="FFFFFF"/>
        </w:rPr>
        <w:t> </w:t>
      </w:r>
      <w:r>
        <w:rPr>
          <w:rFonts w:hint="eastAsia" w:ascii="方正小标宋简体" w:hAnsi="方正小标宋简体" w:eastAsia="方正小标宋简体" w:cs="方正小标宋简体"/>
          <w:b w:val="0"/>
          <w:bCs w:val="0"/>
          <w:kern w:val="44"/>
          <w:sz w:val="48"/>
          <w:szCs w:val="48"/>
          <w:shd w:val="clear" w:fill="FFFFFF"/>
          <w:lang w:val="en-US" w:eastAsia="zh-CN" w:bidi="ar"/>
        </w:rPr>
        <w:t>第二部分 2023年度部门决算情况说明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黑体" w:hAnsi="黑体" w:eastAsia="黑体" w:cs="黑体"/>
          <w:sz w:val="30"/>
          <w:szCs w:val="30"/>
          <w:shd w:val="clear" w:fill="FFFFFF"/>
        </w:rPr>
      </w:pPr>
      <w:r>
        <w:rPr>
          <w:shd w:val="clear" w:fill="FFFFFF"/>
        </w:rPr>
        <w:t> </w:t>
      </w:r>
      <w:r>
        <w:rPr>
          <w:rFonts w:hint="eastAsia"/>
          <w:shd w:val="clear" w:fill="FFFFFF"/>
          <w:lang w:val="en-US" w:eastAsia="zh-CN"/>
        </w:rPr>
        <w:t xml:space="preserve">  </w:t>
      </w:r>
      <w:r>
        <w:rPr>
          <w:rFonts w:hint="eastAsia" w:ascii="黑体" w:hAnsi="黑体" w:eastAsia="黑体" w:cs="黑体"/>
          <w:sz w:val="30"/>
          <w:szCs w:val="30"/>
          <w:shd w:val="clear" w:fill="FFFFFF"/>
        </w:rPr>
        <w:t>一、收入支出决算总体情况说明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w:t>
      </w:r>
      <w:r>
        <w:rPr>
          <w:rFonts w:hint="eastAsia" w:ascii="仿宋_GB2312" w:hAnsi="仿宋_GB2312" w:eastAsia="仿宋_GB2312" w:cs="仿宋_GB2312"/>
          <w:sz w:val="32"/>
          <w:szCs w:val="32"/>
          <w:shd w:val="clear" w:fill="FFFFFF"/>
          <w:lang w:val="en-US" w:eastAsia="zh-CN"/>
        </w:rPr>
        <w:t>1275.34</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2022年度决算收入</w:t>
      </w:r>
      <w:r>
        <w:rPr>
          <w:rFonts w:hint="eastAsia" w:ascii="仿宋_GB2312" w:hAnsi="仿宋_GB2312" w:eastAsia="仿宋_GB2312" w:cs="仿宋_GB2312"/>
          <w:sz w:val="32"/>
          <w:szCs w:val="32"/>
          <w:shd w:val="clear" w:fill="FFFFFF"/>
        </w:rPr>
        <w:t>1,593.84</w:t>
      </w:r>
      <w:r>
        <w:rPr>
          <w:rFonts w:hint="eastAsia" w:ascii="仿宋_GB2312" w:hAnsi="仿宋_GB2312" w:eastAsia="仿宋_GB2312" w:cs="仿宋_GB2312"/>
          <w:sz w:val="32"/>
          <w:szCs w:val="32"/>
          <w:shd w:val="clear" w:fill="FFFFFF"/>
          <w:lang w:val="en-US" w:eastAsia="zh-CN"/>
        </w:rPr>
        <w:t>万元，比去年减少318.5万元，2023年度决算支出总计775.01万元，2022年度决算支出总计759.58万元比去年增加15.43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fill="FFFFFF"/>
        </w:rPr>
        <w:t>（图1：收、支决算总计变动情况图）（柱状图）</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黑体" w:hAnsi="黑体" w:eastAsia="黑体" w:cs="黑体"/>
          <w:sz w:val="30"/>
          <w:szCs w:val="30"/>
          <w:shd w:val="clear" w:fill="FFFFFF"/>
        </w:rPr>
      </w:pPr>
      <w:r>
        <w:drawing>
          <wp:anchor distT="0" distB="0" distL="114300" distR="114300" simplePos="0" relativeHeight="251663360" behindDoc="0" locked="0" layoutInCell="1" allowOverlap="1">
            <wp:simplePos x="0" y="0"/>
            <wp:positionH relativeFrom="column">
              <wp:posOffset>331470</wp:posOffset>
            </wp:positionH>
            <wp:positionV relativeFrom="paragraph">
              <wp:posOffset>186055</wp:posOffset>
            </wp:positionV>
            <wp:extent cx="4826000" cy="2743200"/>
            <wp:effectExtent l="4445" t="4445" r="8255" b="14605"/>
            <wp:wrapNone/>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r>
        <w:rPr>
          <w:sz w:val="30"/>
        </w:rPr>
        <mc:AlternateContent>
          <mc:Choice Requires="wps">
            <w:drawing>
              <wp:anchor distT="0" distB="0" distL="114300" distR="114300" simplePos="0" relativeHeight="251665408" behindDoc="0" locked="0" layoutInCell="1" allowOverlap="1">
                <wp:simplePos x="0" y="0"/>
                <wp:positionH relativeFrom="column">
                  <wp:posOffset>3422650</wp:posOffset>
                </wp:positionH>
                <wp:positionV relativeFrom="paragraph">
                  <wp:posOffset>121285</wp:posOffset>
                </wp:positionV>
                <wp:extent cx="544830" cy="248920"/>
                <wp:effectExtent l="0" t="0" r="7620" b="17780"/>
                <wp:wrapNone/>
                <wp:docPr id="10" name="文本框 10"/>
                <wp:cNvGraphicFramePr/>
                <a:graphic xmlns:a="http://schemas.openxmlformats.org/drawingml/2006/main">
                  <a:graphicData uri="http://schemas.microsoft.com/office/word/2010/wordprocessingShape">
                    <wps:wsp>
                      <wps:cNvSpPr txBox="1"/>
                      <wps:spPr>
                        <a:xfrm>
                          <a:off x="0" y="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5"/>
                                <w:lang w:val="en-US" w:eastAsia="zh-CN"/>
                              </w:rPr>
                            </w:pPr>
                            <w:r>
                              <w:rPr>
                                <w:rFonts w:hint="eastAsia"/>
                                <w:sz w:val="15"/>
                                <w:szCs w:val="15"/>
                                <w:lang w:val="en-US" w:eastAsia="zh-CN"/>
                              </w:rPr>
                              <w:t>2023年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5pt;margin-top:9.55pt;height:19.6pt;width:42.9pt;z-index:251665408;mso-width-relative:page;mso-height-relative:page;" fillcolor="#FFFFFF [3201]" filled="t" stroked="f" coordsize="21600,21600" o:gfxdata="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2cFSdQAAAAJAQAADwAAAAAAAAABACAAAAAiAAAAZHJzL2Rvd25yZXYueG1s&#10;UEsBAhQAFAAAAAgAh07iQFMLgo01AgAAQgQAAA4AAAAAAAAAAQAgAAAAIwEAAGRycy9lMm9Eb2Mu&#10;eG1sUEsFBgAAAAAGAAYAWQEAAMoFAAAAAA==&#10;">
                <v:fill on="t" focussize="0,0"/>
                <v:stroke on="f" weight="0.5pt"/>
                <v:imagedata o:title=""/>
                <o:lock v:ext="edit" aspectratio="f"/>
                <v:textbox>
                  <w:txbxContent>
                    <w:p>
                      <w:pPr>
                        <w:rPr>
                          <w:rFonts w:hint="default" w:eastAsiaTheme="minorEastAsia"/>
                          <w:sz w:val="15"/>
                          <w:szCs w:val="15"/>
                          <w:lang w:val="en-US" w:eastAsia="zh-CN"/>
                        </w:rPr>
                      </w:pPr>
                      <w:r>
                        <w:rPr>
                          <w:rFonts w:hint="eastAsia"/>
                          <w:sz w:val="15"/>
                          <w:szCs w:val="15"/>
                          <w:lang w:val="en-US" w:eastAsia="zh-CN"/>
                        </w:rPr>
                        <w:t>2023年</w:t>
                      </w:r>
                    </w:p>
                  </w:txbxContent>
                </v:textbox>
              </v:shape>
            </w:pict>
          </mc:Fallback>
        </mc:AlternateContent>
      </w:r>
      <w:r>
        <w:rPr>
          <w:sz w:val="30"/>
        </w:rPr>
        <mc:AlternateContent>
          <mc:Choice Requires="wps">
            <w:drawing>
              <wp:anchor distT="0" distB="0" distL="114300" distR="114300" simplePos="0" relativeHeight="251664384" behindDoc="0" locked="0" layoutInCell="1" allowOverlap="1">
                <wp:simplePos x="0" y="0"/>
                <wp:positionH relativeFrom="column">
                  <wp:posOffset>2719070</wp:posOffset>
                </wp:positionH>
                <wp:positionV relativeFrom="paragraph">
                  <wp:posOffset>111125</wp:posOffset>
                </wp:positionV>
                <wp:extent cx="544830" cy="248920"/>
                <wp:effectExtent l="0" t="0" r="7620" b="17780"/>
                <wp:wrapNone/>
                <wp:docPr id="9" name="文本框 9"/>
                <wp:cNvGraphicFramePr/>
                <a:graphic xmlns:a="http://schemas.openxmlformats.org/drawingml/2006/main">
                  <a:graphicData uri="http://schemas.microsoft.com/office/word/2010/wordprocessingShape">
                    <wps:wsp>
                      <wps:cNvSpPr txBox="1"/>
                      <wps:spPr>
                        <a:xfrm>
                          <a:off x="3333115" y="643636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5"/>
                                <w:lang w:val="en-US" w:eastAsia="zh-CN"/>
                              </w:rPr>
                            </w:pPr>
                            <w:r>
                              <w:rPr>
                                <w:rFonts w:hint="eastAsia"/>
                                <w:sz w:val="15"/>
                                <w:szCs w:val="15"/>
                                <w:lang w:val="en-US" w:eastAsia="zh-CN"/>
                              </w:rPr>
                              <w:t>2022年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1pt;margin-top:8.75pt;height:19.6pt;width:42.9pt;z-index:251664384;mso-width-relative:page;mso-height-relative:page;" fillcolor="#FFFFFF [3201]" filled="t" stroked="f" coordsize="21600,21600" o:gfxdata="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r8K9UAAAAJAQAADwAAAAAAAAABACAAAAAiAAAAZHJz&#10;L2Rvd25yZXYueG1sUEsBAhQAFAAAAAgAh07iQK6OWBdAAgAATAQAAA4AAAAAAAAAAQAgAAAAJAEA&#10;AGRycy9lMm9Eb2MueG1sUEsFBgAAAAAGAAYAWQEAANYFAAAAAA==&#10;">
                <v:fill on="t" focussize="0,0"/>
                <v:stroke on="f" weight="0.5pt"/>
                <v:imagedata o:title=""/>
                <o:lock v:ext="edit" aspectratio="f"/>
                <v:textbox>
                  <w:txbxContent>
                    <w:p>
                      <w:pPr>
                        <w:rPr>
                          <w:rFonts w:hint="default" w:eastAsiaTheme="minorEastAsia"/>
                          <w:sz w:val="15"/>
                          <w:szCs w:val="15"/>
                          <w:lang w:val="en-US" w:eastAsia="zh-CN"/>
                        </w:rPr>
                      </w:pPr>
                      <w:r>
                        <w:rPr>
                          <w:rFonts w:hint="eastAsia"/>
                          <w:sz w:val="15"/>
                          <w:szCs w:val="15"/>
                          <w:lang w:val="en-US" w:eastAsia="zh-CN"/>
                        </w:rPr>
                        <w:t>2022年</w:t>
                      </w:r>
                    </w:p>
                  </w:txbxContent>
                </v:textbox>
              </v:shape>
            </w:pict>
          </mc:Fallback>
        </mc:AlternateConten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firstLine="600" w:firstLineChars="200"/>
        <w:jc w:val="left"/>
        <w:textAlignment w:val="auto"/>
        <w:rPr>
          <w:rFonts w:hint="eastAsia" w:ascii="黑体" w:hAnsi="黑体" w:eastAsia="黑体" w:cs="黑体"/>
          <w:sz w:val="30"/>
          <w:szCs w:val="30"/>
          <w:shd w:val="clear" w:fill="FFFFFF"/>
        </w:rPr>
      </w:pPr>
      <w:r>
        <w:rPr>
          <w:rFonts w:hint="eastAsia" w:ascii="黑体" w:hAnsi="黑体" w:eastAsia="黑体" w:cs="黑体"/>
          <w:sz w:val="30"/>
          <w:szCs w:val="30"/>
          <w:shd w:val="clear" w:fill="FFFFFF"/>
        </w:rPr>
        <w:t>二、收入决算情况说明</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r>
        <w:rPr>
          <w:rFonts w:hint="eastAsia" w:ascii="仿宋_GB2312" w:hAnsi="仿宋_GB2312" w:eastAsia="仿宋_GB2312" w:cs="仿宋_GB2312"/>
          <w:sz w:val="30"/>
          <w:szCs w:val="30"/>
          <w:shd w:val="clear" w:fill="FFFFFF"/>
        </w:rPr>
        <w:t>202</w:t>
      </w:r>
      <w:r>
        <w:rPr>
          <w:rFonts w:hint="eastAsia" w:ascii="仿宋_GB2312" w:hAnsi="仿宋_GB2312" w:eastAsia="仿宋_GB2312" w:cs="仿宋_GB2312"/>
          <w:sz w:val="30"/>
          <w:szCs w:val="30"/>
          <w:shd w:val="clear" w:fill="FFFFFF"/>
          <w:lang w:val="en-US" w:eastAsia="zh-CN"/>
        </w:rPr>
        <w:t>3</w:t>
      </w:r>
      <w:r>
        <w:rPr>
          <w:rFonts w:hint="eastAsia" w:ascii="仿宋_GB2312" w:hAnsi="仿宋_GB2312" w:eastAsia="仿宋_GB2312" w:cs="仿宋_GB2312"/>
          <w:sz w:val="30"/>
          <w:szCs w:val="30"/>
          <w:shd w:val="clear" w:fill="FFFFFF"/>
        </w:rPr>
        <w:t>年本年收入合计</w:t>
      </w:r>
      <w:r>
        <w:rPr>
          <w:rFonts w:hint="eastAsia" w:ascii="仿宋_GB2312" w:hAnsi="仿宋_GB2312" w:eastAsia="仿宋_GB2312" w:cs="仿宋_GB2312"/>
          <w:sz w:val="30"/>
          <w:szCs w:val="30"/>
          <w:shd w:val="clear" w:fill="FFFFFF"/>
          <w:lang w:val="en-US" w:eastAsia="zh-CN"/>
        </w:rPr>
        <w:t>1275.34</w:t>
      </w:r>
      <w:r>
        <w:rPr>
          <w:rFonts w:hint="eastAsia" w:ascii="仿宋_GB2312" w:hAnsi="仿宋_GB2312" w:eastAsia="仿宋_GB2312" w:cs="仿宋_GB2312"/>
          <w:sz w:val="30"/>
          <w:szCs w:val="30"/>
          <w:shd w:val="clear" w:fill="FFFFFF"/>
        </w:rPr>
        <w:t>万元，其中：一般公共预算财政拨款收入</w:t>
      </w:r>
      <w:r>
        <w:rPr>
          <w:rFonts w:hint="eastAsia" w:ascii="仿宋_GB2312" w:hAnsi="仿宋_GB2312" w:eastAsia="仿宋_GB2312" w:cs="仿宋_GB2312"/>
          <w:sz w:val="30"/>
          <w:szCs w:val="30"/>
          <w:shd w:val="clear" w:fill="FFFFFF"/>
          <w:lang w:val="en-US" w:eastAsia="zh-CN"/>
        </w:rPr>
        <w:t>1275.34</w:t>
      </w:r>
      <w:r>
        <w:rPr>
          <w:rFonts w:hint="eastAsia" w:ascii="仿宋_GB2312" w:hAnsi="仿宋_GB2312" w:eastAsia="仿宋_GB2312" w:cs="仿宋_GB2312"/>
          <w:sz w:val="30"/>
          <w:szCs w:val="30"/>
          <w:shd w:val="clear" w:fill="FFFFFF"/>
        </w:rPr>
        <w:t>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仿宋_GB2312" w:hAnsi="仿宋_GB2312" w:eastAsia="仿宋_GB2312" w:cs="仿宋_GB2312"/>
          <w:sz w:val="30"/>
          <w:szCs w:val="30"/>
          <w:shd w:val="clear" w:fill="FFFFFF"/>
        </w:rPr>
      </w:pPr>
      <w:r>
        <w:drawing>
          <wp:anchor distT="0" distB="0" distL="114300" distR="114300" simplePos="0" relativeHeight="251659264" behindDoc="0" locked="0" layoutInCell="1" allowOverlap="1">
            <wp:simplePos x="0" y="0"/>
            <wp:positionH relativeFrom="column">
              <wp:posOffset>129540</wp:posOffset>
            </wp:positionH>
            <wp:positionV relativeFrom="paragraph">
              <wp:posOffset>130175</wp:posOffset>
            </wp:positionV>
            <wp:extent cx="4967605" cy="2838450"/>
            <wp:effectExtent l="4445" t="4445" r="19050"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sectPr>
          <w:pgSz w:w="11915" w:h="16851"/>
          <w:pgMar w:top="1440" w:right="1800" w:bottom="1440" w:left="1800" w:header="851" w:footer="992" w:gutter="0"/>
          <w:cols w:space="0" w:num="1"/>
          <w:docGrid w:type="lines" w:linePitch="312" w:charSpace="0"/>
        </w:sectPr>
      </w:pPr>
      <w:r>
        <w:rPr>
          <w:sz w:val="30"/>
        </w:rPr>
        <mc:AlternateContent>
          <mc:Choice Requires="wps">
            <w:drawing>
              <wp:anchor distT="0" distB="0" distL="114300" distR="114300" simplePos="0" relativeHeight="251666432" behindDoc="0" locked="0" layoutInCell="1" allowOverlap="1">
                <wp:simplePos x="0" y="0"/>
                <wp:positionH relativeFrom="column">
                  <wp:posOffset>2224405</wp:posOffset>
                </wp:positionH>
                <wp:positionV relativeFrom="paragraph">
                  <wp:posOffset>139065</wp:posOffset>
                </wp:positionV>
                <wp:extent cx="1370330" cy="272415"/>
                <wp:effectExtent l="0" t="0" r="1270" b="13335"/>
                <wp:wrapNone/>
                <wp:docPr id="11" name="文本框 11"/>
                <wp:cNvGraphicFramePr/>
                <a:graphic xmlns:a="http://schemas.openxmlformats.org/drawingml/2006/main">
                  <a:graphicData uri="http://schemas.microsoft.com/office/word/2010/wordprocessingShape">
                    <wps:wsp>
                      <wps:cNvSpPr txBox="1"/>
                      <wps:spPr>
                        <a:xfrm>
                          <a:off x="0" y="0"/>
                          <a:ext cx="1370330" cy="2724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18"/>
                                <w:szCs w:val="18"/>
                                <w:lang w:val="en-US" w:eastAsia="zh-CN"/>
                              </w:rPr>
                            </w:pPr>
                            <w:r>
                              <w:rPr>
                                <w:rFonts w:hint="eastAsia"/>
                                <w:sz w:val="18"/>
                                <w:szCs w:val="18"/>
                                <w:lang w:val="en-US" w:eastAsia="zh-CN"/>
                              </w:rPr>
                              <w:t>一般公共预算财政拨款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15pt;margin-top:10.95pt;height:21.45pt;width:107.9pt;z-index:251666432;mso-width-relative:page;mso-height-relative:page;" fillcolor="#FFFFFF [3201]" filled="t" stroked="f" coordsize="21600,21600" o:gfxdata="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9fDWg1gAAAAkBAAAPAAAAAAAAAAEAIAAAACIAAABkcnMvZG93bnJldi54bWxQ&#10;SwECFAAUAAAACACHTuJAdrttkzICAABDBAAADgAAAAAAAAABACAAAAAlAQAAZHJzL2Uyb0RvYy54&#10;bWxQSwUGAAAAAAYABgBZAQAAyQUAAAAA&#10;">
                <v:fill on="t" focussize="0,0"/>
                <v:stroke on="f" weight="0.5pt"/>
                <v:imagedata o:title=""/>
                <o:lock v:ext="edit" aspectratio="f"/>
                <v:textbox>
                  <w:txbxContent>
                    <w:p>
                      <w:pPr>
                        <w:rPr>
                          <w:rFonts w:hint="eastAsia"/>
                          <w:sz w:val="18"/>
                          <w:szCs w:val="18"/>
                          <w:lang w:val="en-US" w:eastAsia="zh-CN"/>
                        </w:rPr>
                      </w:pPr>
                      <w:r>
                        <w:rPr>
                          <w:rFonts w:hint="eastAsia"/>
                          <w:sz w:val="18"/>
                          <w:szCs w:val="18"/>
                          <w:lang w:val="en-US" w:eastAsia="zh-CN"/>
                        </w:rPr>
                        <w:t>一般公共预算财政拨款</w:t>
                      </w:r>
                    </w:p>
                  </w:txbxContent>
                </v:textbox>
              </v:shape>
            </w:pict>
          </mc:Fallback>
        </mc:AlternateContent>
      </w:r>
    </w:p>
    <w:tbl>
      <w:tblPr>
        <w:tblStyle w:val="14"/>
        <w:tblW w:w="138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306"/>
        <w:gridCol w:w="1446"/>
        <w:gridCol w:w="1179"/>
        <w:gridCol w:w="3546"/>
        <w:gridCol w:w="1618"/>
        <w:gridCol w:w="2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9" w:hRule="atLeast"/>
        </w:trPr>
        <w:tc>
          <w:tcPr>
            <w:tcW w:w="4752"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w:t>
            </w:r>
          </w:p>
        </w:tc>
        <w:tc>
          <w:tcPr>
            <w:tcW w:w="4725"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618"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78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593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7953"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30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446"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354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30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446"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4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四、上级补助收入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五、事业收入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六、经营收入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七、附属单位上缴收入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八、其他收入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使用非财政拨款结余（含专用结余）</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结余分配</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年初结转和结余</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年末结转和结余</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trPr>
        <w:tc>
          <w:tcPr>
            <w:tcW w:w="13884"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注：1.本表反映部门/单位本年度的总收支和年末结转结余情况。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2.本套报表金额单位转换时可能存在尾数误差。</w:t>
            </w:r>
          </w:p>
        </w:tc>
      </w:tr>
    </w:tbl>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三、支出决算情况说明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年本年支出合计1279.34万元，其中：基本支出985.09</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76.9</w:t>
      </w:r>
      <w:r>
        <w:rPr>
          <w:rFonts w:hint="eastAsia" w:ascii="仿宋_GB2312" w:hAnsi="仿宋_GB2312" w:eastAsia="仿宋_GB2312" w:cs="仿宋_GB2312"/>
          <w:sz w:val="32"/>
          <w:szCs w:val="32"/>
          <w:shd w:val="clear" w:fill="FFFFFF"/>
        </w:rPr>
        <w:t>%；项目支出294.26万元，占</w:t>
      </w:r>
      <w:r>
        <w:rPr>
          <w:rFonts w:hint="eastAsia" w:ascii="仿宋_GB2312" w:hAnsi="仿宋_GB2312" w:eastAsia="仿宋_GB2312" w:cs="仿宋_GB2312"/>
          <w:sz w:val="32"/>
          <w:szCs w:val="32"/>
          <w:shd w:val="clear" w:fill="FFFFFF"/>
          <w:lang w:val="en-US" w:eastAsia="zh-CN"/>
        </w:rPr>
        <w:t>23.1</w:t>
      </w:r>
      <w:r>
        <w:rPr>
          <w:rFonts w:hint="eastAsia" w:ascii="仿宋_GB2312" w:hAnsi="仿宋_GB2312" w:eastAsia="仿宋_GB2312" w:cs="仿宋_GB2312"/>
          <w:sz w:val="32"/>
          <w:szCs w:val="32"/>
          <w:shd w:val="clear" w:fill="FFFFFF"/>
        </w:rPr>
        <w:t>%；上缴上级支出0.00万元，占0.00%；经营支出0.00万元，占经营支出0.00万元，占 0.00%；对附属单位补助支出0.00万元，占0.00%。</w:t>
      </w:r>
    </w:p>
    <w:p>
      <w:pPr>
        <w:pStyle w:val="13"/>
        <w:keepNext w:val="0"/>
        <w:keepLines w:val="0"/>
        <w:widowControl/>
        <w:suppressLineNumbers w:val="0"/>
        <w:spacing w:before="0" w:beforeAutospacing="0"/>
        <w:ind w:left="0" w:firstLine="480" w:firstLineChars="200"/>
        <w:jc w:val="left"/>
        <w:rPr>
          <w:shd w:val="clear" w:fill="FFFFFF"/>
        </w:rPr>
      </w:pPr>
    </w:p>
    <w:p>
      <w:pPr>
        <w:pStyle w:val="13"/>
        <w:keepNext w:val="0"/>
        <w:keepLines w:val="0"/>
        <w:widowControl/>
        <w:suppressLineNumbers w:val="0"/>
        <w:spacing w:before="0" w:beforeAutospacing="0"/>
        <w:ind w:left="0" w:firstLine="480" w:firstLineChars="200"/>
        <w:jc w:val="left"/>
        <w:rPr>
          <w:shd w:val="clear" w:fill="FFFFFF"/>
        </w:rPr>
      </w:pPr>
    </w:p>
    <w:tbl>
      <w:tblPr>
        <w:tblStyle w:val="14"/>
        <w:tblW w:w="179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5"/>
        <w:gridCol w:w="375"/>
        <w:gridCol w:w="375"/>
        <w:gridCol w:w="3732"/>
        <w:gridCol w:w="2197"/>
        <w:gridCol w:w="1773"/>
        <w:gridCol w:w="1478"/>
        <w:gridCol w:w="1353"/>
        <w:gridCol w:w="1242"/>
        <w:gridCol w:w="1066"/>
        <w:gridCol w:w="218"/>
        <w:gridCol w:w="3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2"/>
          <w:wAfter w:w="3959" w:type="dxa"/>
          <w:trHeight w:val="555" w:hRule="atLeast"/>
        </w:trPr>
        <w:tc>
          <w:tcPr>
            <w:tcW w:w="13966" w:type="dxa"/>
            <w:gridSpan w:val="10"/>
            <w:tcBorders>
              <w:top w:val="nil"/>
              <w:left w:val="nil"/>
              <w:bottom w:val="nil"/>
              <w:right w:val="single" w:color="808080" w:sz="4" w:space="0"/>
            </w:tcBorders>
            <w:shd w:val="clear" w:color="auto" w:fill="FFFFFF"/>
            <w:noWrap/>
            <w:vAlign w:val="center"/>
          </w:tcPr>
          <w:p>
            <w:pPr>
              <w:jc w:val="center"/>
              <w:rPr>
                <w:rFonts w:hint="eastAsia" w:ascii="黑体" w:hAnsi="宋体" w:eastAsia="黑体" w:cs="黑体"/>
                <w:i w:val="0"/>
                <w:iCs w:val="0"/>
                <w:color w:val="000000"/>
                <w:kern w:val="0"/>
                <w:sz w:val="44"/>
                <w:szCs w:val="44"/>
                <w:u w:val="none"/>
                <w:lang w:val="en-US" w:eastAsia="zh-CN" w:bidi="ar"/>
              </w:rPr>
            </w:pPr>
          </w:p>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2"/>
          <w:wAfter w:w="3959" w:type="dxa"/>
          <w:trHeight w:val="300" w:hRule="atLeast"/>
        </w:trPr>
        <w:tc>
          <w:tcPr>
            <w:tcW w:w="13966" w:type="dxa"/>
            <w:gridSpan w:val="10"/>
            <w:tcBorders>
              <w:top w:val="nil"/>
              <w:left w:val="nil"/>
              <w:bottom w:val="nil"/>
              <w:right w:val="single" w:color="80808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财决04表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3959" w:type="dxa"/>
          <w:trHeight w:val="289" w:hRule="atLeast"/>
        </w:trPr>
        <w:tc>
          <w:tcPr>
            <w:tcW w:w="13966"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                                            2023年度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3732"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97"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773"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284" w:type="dxa"/>
            <w:gridSpan w:val="2"/>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2"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3"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4" w:type="dxa"/>
            <w:gridSpan w:val="2"/>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19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5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73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1,279.340000</w:t>
            </w:r>
          </w:p>
        </w:tc>
        <w:tc>
          <w:tcPr>
            <w:tcW w:w="1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985.090000</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294.260000</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775.01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753.20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21.80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人大事务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14.25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2010107</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人大代表履职能力提升</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代表工作</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政府办公厅（室）及相关机构事务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760.76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742.21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18.55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551.77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551.77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一般行政管理事务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2010350</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190.44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190.44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140.64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民政管理事务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2080208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基层政权建设和社区治理</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76.75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76.75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38.37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38.37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99.90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公务员医疗补助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其他行政事业单位医疗支出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2109999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48.48</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城乡社区环境卫生</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2120501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城乡社区环境卫生</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农林水支出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195.96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195.96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巩固脱贫攻坚成果衔接乡村振兴</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57.92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57.92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2130504</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农村基础设施建设</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21307</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农村综合改革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138.04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138.04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2130705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对村民委员会和村党支部的补助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138.04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138.04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2299999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8" w:hRule="atLeast"/>
        </w:trPr>
        <w:tc>
          <w:tcPr>
            <w:tcW w:w="17925" w:type="dxa"/>
            <w:gridSpan w:val="1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注：本表以“万元”为金额单位（保留两位小数），反映部门/单位本年度各项支出情况。</w:t>
            </w:r>
          </w:p>
        </w:tc>
      </w:tr>
    </w:tbl>
    <w:p>
      <w:pPr>
        <w:pStyle w:val="13"/>
        <w:keepNext w:val="0"/>
        <w:keepLines w:val="0"/>
        <w:widowControl/>
        <w:suppressLineNumbers w:val="0"/>
        <w:spacing w:before="0" w:beforeAutospacing="0"/>
        <w:ind w:left="0"/>
        <w:jc w:val="left"/>
      </w:pPr>
      <w:r>
        <w:rPr>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shd w:val="clear" w:fill="FFFFFF"/>
        </w:rPr>
        <w:sectPr>
          <w:pgSz w:w="16838" w:h="11906" w:orient="landscape"/>
          <w:pgMar w:top="1800" w:right="1440" w:bottom="1800" w:left="1440" w:header="851" w:footer="992" w:gutter="0"/>
          <w:cols w:space="0" w:num="1"/>
          <w:docGrid w:type="lines" w:linePitch="312" w:charSpace="0"/>
        </w:sect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四、财政拨款收入支出决算总体情况说明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总计1,275.34万元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2022年度决算收入</w:t>
      </w:r>
      <w:r>
        <w:rPr>
          <w:rFonts w:hint="eastAsia" w:ascii="仿宋_GB2312" w:hAnsi="仿宋_GB2312" w:eastAsia="仿宋_GB2312" w:cs="仿宋_GB2312"/>
          <w:sz w:val="32"/>
          <w:szCs w:val="32"/>
          <w:shd w:val="clear" w:fill="FFFFFF"/>
        </w:rPr>
        <w:t>1,593.84</w:t>
      </w:r>
      <w:r>
        <w:rPr>
          <w:rFonts w:hint="eastAsia" w:ascii="仿宋_GB2312" w:hAnsi="仿宋_GB2312" w:eastAsia="仿宋_GB2312" w:cs="仿宋_GB2312"/>
          <w:sz w:val="32"/>
          <w:szCs w:val="32"/>
          <w:shd w:val="clear" w:fill="FFFFFF"/>
          <w:lang w:val="en-US" w:eastAsia="zh-CN"/>
        </w:rPr>
        <w:t>万元，比去年减少318.5万元，2023年度决算支出总计775.01万元，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jc w:val="center"/>
        <w:rPr>
          <w:rFonts w:hint="eastAsia" w:ascii="黑体" w:hAnsi="宋体" w:eastAsia="黑体" w:cs="黑体"/>
          <w:i w:val="0"/>
          <w:iCs w:val="0"/>
          <w:color w:val="000000"/>
          <w:kern w:val="0"/>
          <w:sz w:val="44"/>
          <w:szCs w:val="44"/>
          <w:u w:val="none"/>
          <w:lang w:val="en-US" w:eastAsia="zh-CN" w:bidi="ar"/>
        </w:rPr>
        <w:sectPr>
          <w:pgSz w:w="11906" w:h="16838"/>
          <w:pgMar w:top="1440" w:right="1800" w:bottom="1440" w:left="1800" w:header="851" w:footer="992" w:gutter="0"/>
          <w:cols w:space="0" w:num="1"/>
          <w:docGrid w:type="lines" w:linePitch="312" w:charSpace="0"/>
        </w:sectPr>
      </w:pPr>
      <w:r>
        <w:drawing>
          <wp:anchor distT="0" distB="0" distL="114300" distR="114300" simplePos="0" relativeHeight="251660288" behindDoc="0" locked="0" layoutInCell="1" allowOverlap="1">
            <wp:simplePos x="0" y="0"/>
            <wp:positionH relativeFrom="column">
              <wp:posOffset>127000</wp:posOffset>
            </wp:positionH>
            <wp:positionV relativeFrom="paragraph">
              <wp:posOffset>3110230</wp:posOffset>
            </wp:positionV>
            <wp:extent cx="4826000" cy="2743200"/>
            <wp:effectExtent l="4445" t="4445" r="8255" b="1460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drawing>
          <wp:inline distT="0" distB="0" distL="114300" distR="114300">
            <wp:extent cx="4833620" cy="2743200"/>
            <wp:effectExtent l="4445" t="4445" r="1968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Style w:val="14"/>
        <w:tblW w:w="143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55" w:hRule="atLeast"/>
        </w:trPr>
        <w:tc>
          <w:tcPr>
            <w:tcW w:w="14392" w:type="dxa"/>
            <w:tcBorders>
              <w:top w:val="nil"/>
              <w:left w:val="nil"/>
              <w:bottom w:val="nil"/>
              <w:right w:val="single" w:color="808080" w:sz="4" w:space="0"/>
            </w:tcBorders>
            <w:shd w:val="clear" w:color="auto" w:fill="FFFFFF"/>
            <w:noWrap/>
            <w:vAlign w:val="center"/>
          </w:tcPr>
          <w:p>
            <w:pPr>
              <w:jc w:val="center"/>
              <w:rPr>
                <w:rFonts w:hint="eastAsia"/>
              </w:rPr>
            </w:pPr>
            <w:r>
              <w:rPr>
                <w:rFonts w:hint="eastAsia" w:ascii="黑体" w:hAnsi="宋体" w:eastAsia="黑体" w:cs="黑体"/>
                <w:i w:val="0"/>
                <w:iCs w:val="0"/>
                <w:color w:val="000000"/>
                <w:kern w:val="0"/>
                <w:sz w:val="44"/>
                <w:szCs w:val="44"/>
                <w:u w:val="none"/>
                <w:lang w:val="en-US" w:eastAsia="zh-CN" w:bidi="ar"/>
              </w:rPr>
              <w:t>财政拨款收入支出决算总表</w:t>
            </w:r>
          </w:p>
        </w:tc>
      </w:tr>
    </w:tbl>
    <w:p>
      <w:pPr>
        <w:pStyle w:val="13"/>
        <w:keepNext w:val="0"/>
        <w:keepLines w:val="0"/>
        <w:widowControl/>
        <w:suppressLineNumbers w:val="0"/>
        <w:spacing w:before="0" w:beforeAutospacing="0"/>
        <w:ind w:left="0"/>
        <w:jc w:val="left"/>
        <w:rPr>
          <w:shd w:val="clear" w:fill="FFFFFF"/>
        </w:rPr>
      </w:pPr>
    </w:p>
    <w:tbl>
      <w:tblPr>
        <w:tblStyle w:val="14"/>
        <w:tblW w:w="145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617"/>
        <w:gridCol w:w="956"/>
        <w:gridCol w:w="882"/>
        <w:gridCol w:w="2475"/>
        <w:gridCol w:w="750"/>
        <w:gridCol w:w="712"/>
        <w:gridCol w:w="1763"/>
        <w:gridCol w:w="2175"/>
        <w:gridCol w:w="2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9" w:hRule="atLeast"/>
        </w:trPr>
        <w:tc>
          <w:tcPr>
            <w:tcW w:w="4455"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w:t>
            </w:r>
          </w:p>
        </w:tc>
        <w:tc>
          <w:tcPr>
            <w:tcW w:w="3937" w:type="dxa"/>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763"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175"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176"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4455"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10051" w:type="dxa"/>
            <w:gridSpan w:val="6"/>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9" w:hRule="atLeast"/>
        </w:trPr>
        <w:tc>
          <w:tcPr>
            <w:tcW w:w="261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5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88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4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50"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71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6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21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217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261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5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88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50"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71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6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7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772.53</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772.53</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年初财政拨款结转和结余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年末财政拨款结转和结余</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一、一般公共预算财政拨款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二、政府性基金预算财政拨款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三、国有资本经营预算财政拨款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8" w:hRule="atLeast"/>
        </w:trPr>
        <w:tc>
          <w:tcPr>
            <w:tcW w:w="14506"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注：本表以“万元”为金额单位（保留两位小数），反映部门/单位本年度一般公共预算财政拨款、政府性基金预算财政拨款和国有资本经营预算财政拨款的总收支和年末结转结余情况。</w:t>
            </w:r>
          </w:p>
        </w:tc>
      </w:tr>
    </w:tbl>
    <w:p>
      <w:pPr>
        <w:pStyle w:val="13"/>
        <w:keepNext w:val="0"/>
        <w:keepLines w:val="0"/>
        <w:widowControl/>
        <w:suppressLineNumbers w:val="0"/>
        <w:spacing w:before="0" w:beforeAutospacing="0"/>
        <w:ind w:left="0"/>
        <w:jc w:val="left"/>
        <w:rPr>
          <w:shd w:val="clear" w:fill="FFFFFF"/>
        </w:rPr>
        <w:sectPr>
          <w:pgSz w:w="16838" w:h="11906" w:orient="landscape"/>
          <w:pgMar w:top="1800" w:right="1440" w:bottom="1800" w:left="1440" w:header="851" w:footer="992" w:gutter="0"/>
          <w:cols w:space="0" w:num="1"/>
          <w:docGrid w:type="lines" w:linePitch="312" w:charSpace="0"/>
        </w:sect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五、</w:t>
      </w:r>
      <w:r>
        <w:rPr>
          <w:rStyle w:val="16"/>
          <w:rFonts w:hint="eastAsia" w:ascii="黑体" w:hAnsi="黑体" w:eastAsia="黑体" w:cs="黑体"/>
          <w:sz w:val="32"/>
          <w:szCs w:val="32"/>
          <w:shd w:val="clear" w:fill="FFFFFF"/>
        </w:rPr>
        <w:t>一</w:t>
      </w:r>
      <w:r>
        <w:rPr>
          <w:rFonts w:hint="eastAsia" w:ascii="黑体" w:hAnsi="黑体" w:eastAsia="黑体" w:cs="黑体"/>
          <w:sz w:val="32"/>
          <w:szCs w:val="32"/>
          <w:shd w:val="clear" w:fill="FFFFFF"/>
        </w:rPr>
        <w:t>般公共预算财政拨款支出决算情况说明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（一）一般公共预算财政拨款支出决算总体情况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2023年度决算支出总计775.01万元，2022年度决算支出总计759.58万元比去年增加15.43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pStyle w:val="13"/>
        <w:keepNext w:val="0"/>
        <w:keepLines w:val="0"/>
        <w:widowControl/>
        <w:suppressLineNumbers w:val="0"/>
        <w:spacing w:before="0" w:beforeAutospacing="0"/>
        <w:ind w:left="0"/>
        <w:jc w:val="left"/>
        <w:rPr>
          <w:shd w:val="clear" w:fill="FFFFFF"/>
        </w:rPr>
      </w:pPr>
      <w:r>
        <w:drawing>
          <wp:anchor distT="0" distB="0" distL="114300" distR="114300" simplePos="0" relativeHeight="251661312" behindDoc="0" locked="0" layoutInCell="1" allowOverlap="1">
            <wp:simplePos x="0" y="0"/>
            <wp:positionH relativeFrom="column">
              <wp:posOffset>4445</wp:posOffset>
            </wp:positionH>
            <wp:positionV relativeFrom="paragraph">
              <wp:posOffset>146685</wp:posOffset>
            </wp:positionV>
            <wp:extent cx="5200650" cy="3098165"/>
            <wp:effectExtent l="4445" t="4445" r="14605" b="21590"/>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（二）一般公共预算财政拨款支出决算结构情况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年一般公共预算财政拨款支出</w:t>
      </w:r>
      <w:r>
        <w:rPr>
          <w:rFonts w:hint="eastAsia" w:ascii="仿宋_GB2312" w:hAnsi="仿宋_GB2312" w:eastAsia="仿宋_GB2312" w:cs="仿宋_GB2312"/>
          <w:sz w:val="32"/>
          <w:szCs w:val="32"/>
          <w:shd w:val="clear" w:fill="FFFFFF"/>
          <w:lang w:val="en-US" w:eastAsia="zh-CN"/>
        </w:rPr>
        <w:t>775.01</w:t>
      </w:r>
      <w:r>
        <w:rPr>
          <w:rFonts w:hint="eastAsia" w:ascii="仿宋_GB2312" w:hAnsi="仿宋_GB2312" w:eastAsia="仿宋_GB2312" w:cs="仿宋_GB2312"/>
          <w:sz w:val="32"/>
          <w:szCs w:val="32"/>
          <w:shd w:val="clear" w:fill="FFFFFF"/>
        </w:rPr>
        <w:t>万元，主要用于以下方面:一般公共服务（类）支出</w:t>
      </w:r>
      <w:r>
        <w:rPr>
          <w:rFonts w:hint="eastAsia" w:ascii="仿宋_GB2312" w:hAnsi="仿宋_GB2312" w:eastAsia="仿宋_GB2312" w:cs="仿宋_GB2312"/>
          <w:sz w:val="32"/>
          <w:szCs w:val="32"/>
          <w:shd w:val="clear" w:fill="FFFFFF"/>
          <w:lang w:val="en-US" w:eastAsia="zh-CN"/>
        </w:rPr>
        <w:t>775.01</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val="en-US" w:eastAsia="zh-CN"/>
        </w:rPr>
        <w:t>100%</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其中：</w:t>
      </w:r>
      <w:r>
        <w:rPr>
          <w:rFonts w:hint="eastAsia" w:ascii="仿宋_GB2312" w:hAnsi="仿宋_GB2312" w:eastAsia="仿宋_GB2312" w:cs="仿宋_GB2312"/>
          <w:sz w:val="32"/>
          <w:szCs w:val="32"/>
          <w:shd w:val="clear" w:fill="FFFFFF"/>
        </w:rPr>
        <w:t>社会保障和就业支出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140.64</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18.1</w:t>
      </w:r>
      <w:r>
        <w:rPr>
          <w:rFonts w:hint="eastAsia" w:ascii="仿宋_GB2312" w:hAnsi="仿宋_GB2312" w:eastAsia="仿宋_GB2312" w:cs="仿宋_GB2312"/>
          <w:sz w:val="32"/>
          <w:szCs w:val="32"/>
          <w:shd w:val="clear" w:fill="FFFFFF"/>
        </w:rPr>
        <w:t>%；卫生健康支出</w:t>
      </w:r>
      <w:r>
        <w:rPr>
          <w:rFonts w:hint="eastAsia" w:ascii="仿宋_GB2312" w:hAnsi="仿宋_GB2312" w:eastAsia="仿宋_GB2312" w:cs="仿宋_GB2312"/>
          <w:sz w:val="32"/>
          <w:szCs w:val="32"/>
          <w:shd w:val="clear" w:fill="FFFFFF"/>
          <w:lang w:val="en-US" w:eastAsia="zh-CN"/>
        </w:rPr>
        <w:t>99.9</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12.8</w:t>
      </w:r>
      <w:r>
        <w:rPr>
          <w:rFonts w:hint="eastAsia" w:ascii="仿宋_GB2312" w:hAnsi="仿宋_GB2312" w:eastAsia="仿宋_GB2312" w:cs="仿宋_GB2312"/>
          <w:sz w:val="32"/>
          <w:szCs w:val="32"/>
          <w:shd w:val="clear" w:fill="FFFFFF"/>
        </w:rPr>
        <w:t>%；城乡社区支出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0.96</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0.01</w:t>
      </w:r>
      <w:r>
        <w:rPr>
          <w:rFonts w:hint="eastAsia" w:ascii="仿宋_GB2312" w:hAnsi="仿宋_GB2312" w:eastAsia="仿宋_GB2312" w:cs="仿宋_GB2312"/>
          <w:sz w:val="32"/>
          <w:szCs w:val="32"/>
          <w:shd w:val="clear" w:fill="FFFFFF"/>
        </w:rPr>
        <w:t>%；农林水支出</w:t>
      </w:r>
      <w:r>
        <w:rPr>
          <w:rFonts w:hint="eastAsia" w:ascii="仿宋_GB2312" w:hAnsi="仿宋_GB2312" w:eastAsia="仿宋_GB2312" w:cs="仿宋_GB2312"/>
          <w:sz w:val="32"/>
          <w:szCs w:val="32"/>
          <w:shd w:val="clear" w:fill="FFFFFF"/>
          <w:lang w:val="en-US" w:eastAsia="zh-CN"/>
        </w:rPr>
        <w:t>195.96</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25.2</w:t>
      </w:r>
      <w:r>
        <w:rPr>
          <w:rFonts w:hint="eastAsia" w:ascii="仿宋_GB2312" w:hAnsi="仿宋_GB2312" w:eastAsia="仿宋_GB2312" w:cs="仿宋_GB2312"/>
          <w:sz w:val="32"/>
          <w:szCs w:val="32"/>
          <w:shd w:val="clear" w:fill="FFFFFF"/>
        </w:rPr>
        <w:t>%；住房保障支出</w:t>
      </w:r>
      <w:r>
        <w:rPr>
          <w:rFonts w:hint="eastAsia" w:ascii="仿宋_GB2312" w:hAnsi="仿宋_GB2312" w:eastAsia="仿宋_GB2312" w:cs="仿宋_GB2312"/>
          <w:sz w:val="32"/>
          <w:szCs w:val="32"/>
          <w:shd w:val="clear" w:fill="FFFFFF"/>
          <w:lang w:val="en-US" w:eastAsia="zh-CN"/>
        </w:rPr>
        <w:t>65.35</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0.84</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其他支出：</w:t>
      </w:r>
      <w:r>
        <w:rPr>
          <w:rFonts w:hint="eastAsia" w:ascii="仿宋_GB2312" w:hAnsi="仿宋_GB2312" w:eastAsia="仿宋_GB2312" w:cs="仿宋_GB2312"/>
          <w:sz w:val="32"/>
          <w:szCs w:val="32"/>
          <w:shd w:val="clear" w:fill="FFFFFF"/>
          <w:lang w:val="en-US" w:eastAsia="zh-CN"/>
        </w:rPr>
        <w:t>1.52万元，占0.01</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（注：数据来源于财决01-1表，仅罗列本部门涉及的全部功能分类科目，至类级。）</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drawing>
          <wp:anchor distT="0" distB="0" distL="114300" distR="114300" simplePos="0" relativeHeight="251667456" behindDoc="0" locked="0" layoutInCell="1" allowOverlap="1">
            <wp:simplePos x="0" y="0"/>
            <wp:positionH relativeFrom="column">
              <wp:posOffset>72390</wp:posOffset>
            </wp:positionH>
            <wp:positionV relativeFrom="paragraph">
              <wp:posOffset>909320</wp:posOffset>
            </wp:positionV>
            <wp:extent cx="4826000" cy="2743200"/>
            <wp:effectExtent l="4445" t="4445" r="8255" b="14605"/>
            <wp:wrapNone/>
            <wp:docPr id="3"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b/>
          <w:bCs/>
          <w:sz w:val="32"/>
          <w:szCs w:val="32"/>
          <w:shd w:val="clear" w:fill="FFFFFF"/>
        </w:rPr>
        <w:t>一般公共预算财政拨款支出决算一般公共预算财政拨款支出决算一般公共预算财政拨款支出决算</w:t>
      </w:r>
      <w:r>
        <w:rPr>
          <w:shd w:val="clear" w:fill="FFFFFF"/>
        </w:rPr>
        <w:t> </w:t>
      </w:r>
    </w:p>
    <w:p>
      <w:pPr>
        <w:pStyle w:val="13"/>
        <w:keepNext w:val="0"/>
        <w:keepLines w:val="0"/>
        <w:widowControl/>
        <w:suppressLineNumbers w:val="0"/>
        <w:spacing w:before="0" w:beforeAutospacing="0"/>
        <w:ind w:left="0"/>
        <w:jc w:val="left"/>
        <w:rPr>
          <w:rStyle w:val="16"/>
          <w:shd w:val="clear" w:fill="FFFFFF"/>
        </w:rPr>
      </w:pPr>
    </w:p>
    <w:p>
      <w:pPr>
        <w:pStyle w:val="13"/>
        <w:keepNext w:val="0"/>
        <w:keepLines w:val="0"/>
        <w:widowControl/>
        <w:suppressLineNumbers w:val="0"/>
        <w:spacing w:before="0" w:beforeAutospacing="0"/>
        <w:ind w:left="0"/>
        <w:jc w:val="left"/>
        <w:rPr>
          <w:rStyle w:val="16"/>
          <w:rFonts w:hint="default" w:eastAsiaTheme="minorEastAsia"/>
          <w:shd w:val="clear" w:fill="FFFFFF"/>
          <w:lang w:val="en-US" w:eastAsia="zh-CN"/>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（注：数据来源于财决01-1表和财决08表，仅罗列本部门涉及的全部功能分类科目，至项级。上述“预算”口径为全年预算数。增减变动原因为决算数和全年预算数比较，与预算数持平可以不写原因。）</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黑体" w:hAnsi="黑体" w:eastAsia="黑体" w:cs="黑体"/>
          <w:b w:val="0"/>
          <w:bCs/>
          <w:sz w:val="32"/>
          <w:szCs w:val="32"/>
          <w:shd w:val="clear" w:fill="FFFFFF"/>
        </w:rPr>
      </w:pPr>
      <w:r>
        <w:rPr>
          <w:rStyle w:val="16"/>
          <w:rFonts w:hint="eastAsia" w:ascii="黑体" w:hAnsi="黑体" w:eastAsia="黑体" w:cs="黑体"/>
          <w:b w:val="0"/>
          <w:bCs/>
          <w:sz w:val="32"/>
          <w:szCs w:val="32"/>
          <w:shd w:val="clear" w:fill="FFFFFF"/>
          <w:lang w:val="en-US" w:eastAsia="zh-CN"/>
        </w:rPr>
        <w:t>六、</w:t>
      </w:r>
      <w:r>
        <w:rPr>
          <w:rStyle w:val="16"/>
          <w:rFonts w:hint="eastAsia" w:ascii="黑体" w:hAnsi="黑体" w:eastAsia="黑体" w:cs="黑体"/>
          <w:b w:val="0"/>
          <w:bCs/>
          <w:sz w:val="32"/>
          <w:szCs w:val="32"/>
          <w:shd w:val="clear" w:fill="FFFFFF"/>
        </w:rPr>
        <w:t>一</w:t>
      </w:r>
      <w:r>
        <w:rPr>
          <w:rFonts w:hint="eastAsia" w:ascii="黑体" w:hAnsi="黑体" w:eastAsia="黑体" w:cs="黑体"/>
          <w:b w:val="0"/>
          <w:bCs/>
          <w:sz w:val="32"/>
          <w:szCs w:val="32"/>
          <w:shd w:val="clear" w:fill="FFFFFF"/>
        </w:rPr>
        <w:t>般公共预算财政拨款基本支出决算情况说明   </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年一般公共预算财政拨款基本支出982.6万元，其中：</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经费915.68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公用经费66.92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（注：数据来源于财决</w:t>
      </w:r>
      <w:r>
        <w:rPr>
          <w:rStyle w:val="16"/>
          <w:rFonts w:hint="eastAsia" w:ascii="仿宋_GB2312" w:hAnsi="仿宋_GB2312" w:eastAsia="仿宋_GB2312" w:cs="仿宋_GB2312"/>
          <w:sz w:val="32"/>
          <w:szCs w:val="32"/>
          <w:shd w:val="clear" w:fill="FFFFFF"/>
          <w:lang w:val="en-US" w:eastAsia="zh-CN"/>
        </w:rPr>
        <w:t>06</w:t>
      </w:r>
      <w:r>
        <w:rPr>
          <w:rStyle w:val="16"/>
          <w:rFonts w:hint="eastAsia" w:ascii="仿宋_GB2312" w:hAnsi="仿宋_GB2312" w:eastAsia="仿宋_GB2312" w:cs="仿宋_GB2312"/>
          <w:sz w:val="32"/>
          <w:szCs w:val="32"/>
          <w:shd w:val="clear" w:fill="FFFFFF"/>
        </w:rPr>
        <w:t>表和财决08表，仅罗列本部门实际支出涉及的经济分类科目。）</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七、“三公”经费财政拨款支出决算情况说明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（一）“三公”经费财政拨款支出决算总体情况说明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年“三公”经费财政拨款支出决算为9.20万元，完成预算100.00%，决算数小于预算数（或与预算数持平）</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（注：上述“预算”口径为全年预算数，包括一般公共预算和政府性基金预算财政拨款支出决算情况。）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（二）“三公”经费财政拨款支出决算具体情况说明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年“三公”经费财政拨款支出决算中，因公出国（境）费支出决算0.00万元，占0.00%；公务用车购置及运行维护费支出决算9.20万元，占100.00%；公务接待费支出决算0.00万元，占0.00%。具体情况如下：</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lang w:val="en-US" w:eastAsia="zh-CN"/>
        </w:rPr>
        <w:t>1.</w:t>
      </w:r>
      <w:r>
        <w:rPr>
          <w:rStyle w:val="16"/>
          <w:rFonts w:hint="eastAsia" w:ascii="仿宋_GB2312" w:hAnsi="仿宋_GB2312" w:eastAsia="仿宋_GB2312" w:cs="仿宋_GB2312"/>
          <w:sz w:val="32"/>
          <w:szCs w:val="32"/>
          <w:shd w:val="clear" w:fill="FFFFFF"/>
        </w:rPr>
        <w:t>因公出国（境）经费支出</w:t>
      </w:r>
      <w:r>
        <w:rPr>
          <w:rFonts w:hint="eastAsia" w:ascii="仿宋_GB2312" w:hAnsi="仿宋_GB2312" w:eastAsia="仿宋_GB2312" w:cs="仿宋_GB2312"/>
          <w:sz w:val="32"/>
          <w:szCs w:val="32"/>
          <w:shd w:val="clear" w:fill="FFFFFF"/>
        </w:rPr>
        <w:t>0.00万元，</w:t>
      </w:r>
      <w:r>
        <w:rPr>
          <w:rStyle w:val="16"/>
          <w:rFonts w:hint="eastAsia" w:ascii="仿宋_GB2312" w:hAnsi="仿宋_GB2312" w:eastAsia="仿宋_GB2312" w:cs="仿宋_GB2312"/>
          <w:sz w:val="32"/>
          <w:szCs w:val="32"/>
          <w:shd w:val="clear" w:fill="FFFFFF"/>
        </w:rPr>
        <w:t>完成预算0.00%。</w:t>
      </w:r>
      <w:r>
        <w:rPr>
          <w:rFonts w:hint="eastAsia" w:ascii="仿宋_GB2312" w:hAnsi="仿宋_GB2312" w:eastAsia="仿宋_GB2312" w:cs="仿宋_GB2312"/>
          <w:sz w:val="32"/>
          <w:szCs w:val="32"/>
          <w:shd w:val="clear" w:fill="FFFFFF"/>
        </w:rPr>
        <w:t>全年安排因公出国（境）团组0次，出国（境）0人。因公出国（境）支出决算比2021年增加0.00万元，增长0.00%。</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lang w:val="en-US" w:eastAsia="zh-CN"/>
        </w:rPr>
        <w:t>2.</w:t>
      </w:r>
      <w:r>
        <w:rPr>
          <w:rStyle w:val="16"/>
          <w:rFonts w:hint="eastAsia" w:ascii="仿宋_GB2312" w:hAnsi="仿宋_GB2312" w:eastAsia="仿宋_GB2312" w:cs="仿宋_GB2312"/>
          <w:sz w:val="32"/>
          <w:szCs w:val="32"/>
          <w:shd w:val="clear" w:fill="FFFFFF"/>
        </w:rPr>
        <w:t>公务用车购置及运行维护费支出</w:t>
      </w:r>
      <w:r>
        <w:rPr>
          <w:rFonts w:hint="eastAsia" w:ascii="仿宋_GB2312" w:hAnsi="仿宋_GB2312" w:eastAsia="仿宋_GB2312" w:cs="仿宋_GB2312"/>
          <w:sz w:val="32"/>
          <w:szCs w:val="32"/>
          <w:shd w:val="clear" w:fill="FFFFFF"/>
        </w:rPr>
        <w:t>9.20万元,</w:t>
      </w:r>
      <w:r>
        <w:rPr>
          <w:rStyle w:val="16"/>
          <w:rFonts w:hint="eastAsia" w:ascii="仿宋_GB2312" w:hAnsi="仿宋_GB2312" w:eastAsia="仿宋_GB2312" w:cs="仿宋_GB2312"/>
          <w:sz w:val="32"/>
          <w:szCs w:val="32"/>
          <w:shd w:val="clear" w:fill="FFFFFF"/>
        </w:rPr>
        <w:t>完成预算100.00%。</w:t>
      </w:r>
      <w:r>
        <w:rPr>
          <w:rFonts w:hint="eastAsia" w:ascii="仿宋_GB2312" w:hAnsi="仿宋_GB2312" w:eastAsia="仿宋_GB2312" w:cs="仿宋_GB2312"/>
          <w:sz w:val="32"/>
          <w:szCs w:val="32"/>
          <w:shd w:val="clear" w:fill="FFFFFF"/>
        </w:rPr>
        <w:t>公务用车购置及运行维护费支出决算比2021年增加9.20万元，增长0.00%。</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公务用车购置支出</w:t>
      </w:r>
      <w:r>
        <w:rPr>
          <w:rFonts w:hint="eastAsia" w:ascii="仿宋_GB2312" w:hAnsi="仿宋_GB2312" w:eastAsia="仿宋_GB2312" w:cs="仿宋_GB2312"/>
          <w:sz w:val="32"/>
          <w:szCs w:val="32"/>
          <w:shd w:val="clear" w:fill="FFFFFF"/>
        </w:rPr>
        <w:t>0.00万元。全年按规定更新购置公务用车0辆</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公务用车运行维护费支出</w:t>
      </w:r>
      <w:r>
        <w:rPr>
          <w:rFonts w:hint="eastAsia" w:ascii="仿宋_GB2312" w:hAnsi="仿宋_GB2312" w:eastAsia="仿宋_GB2312" w:cs="仿宋_GB2312"/>
          <w:sz w:val="32"/>
          <w:szCs w:val="32"/>
          <w:shd w:val="clear" w:fill="FFFFFF"/>
        </w:rPr>
        <w:t>9.20万元。主要用</w:t>
      </w:r>
      <w:r>
        <w:rPr>
          <w:rFonts w:hint="eastAsia" w:ascii="仿宋_GB2312" w:hAnsi="仿宋_GB2312" w:eastAsia="仿宋_GB2312" w:cs="仿宋_GB2312"/>
          <w:sz w:val="32"/>
          <w:szCs w:val="32"/>
          <w:shd w:val="clear" w:fill="FFFFFF"/>
          <w:lang w:eastAsia="zh-CN"/>
        </w:rPr>
        <w:t>于上县开会，下村，下远牧点</w:t>
      </w:r>
      <w:r>
        <w:rPr>
          <w:rFonts w:hint="eastAsia" w:ascii="仿宋_GB2312" w:hAnsi="仿宋_GB2312" w:eastAsia="仿宋_GB2312" w:cs="仿宋_GB2312"/>
          <w:sz w:val="32"/>
          <w:szCs w:val="32"/>
          <w:shd w:val="clear" w:fill="FFFFFF"/>
        </w:rPr>
        <w:t>等所需的公务用车燃料费、维修费、过路过桥费、保险费等支出。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lang w:val="en-US" w:eastAsia="zh-CN"/>
        </w:rPr>
        <w:t>3</w:t>
      </w:r>
      <w:r>
        <w:rPr>
          <w:rStyle w:val="16"/>
          <w:rFonts w:hint="eastAsia" w:ascii="仿宋_GB2312" w:hAnsi="仿宋_GB2312" w:eastAsia="仿宋_GB2312" w:cs="仿宋_GB2312"/>
          <w:sz w:val="32"/>
          <w:szCs w:val="32"/>
          <w:shd w:val="clear" w:fill="FFFFFF"/>
        </w:rPr>
        <w:t>.公务接待费支出</w:t>
      </w:r>
      <w:r>
        <w:rPr>
          <w:rFonts w:hint="eastAsia" w:ascii="仿宋_GB2312" w:hAnsi="仿宋_GB2312" w:eastAsia="仿宋_GB2312" w:cs="仿宋_GB2312"/>
          <w:sz w:val="32"/>
          <w:szCs w:val="32"/>
          <w:shd w:val="clear" w:fill="FFFFFF"/>
        </w:rPr>
        <w:t>0.00万元，</w:t>
      </w:r>
      <w:r>
        <w:rPr>
          <w:rStyle w:val="16"/>
          <w:rFonts w:hint="eastAsia" w:ascii="仿宋_GB2312" w:hAnsi="仿宋_GB2312" w:eastAsia="仿宋_GB2312" w:cs="仿宋_GB2312"/>
          <w:sz w:val="32"/>
          <w:szCs w:val="32"/>
          <w:shd w:val="clear" w:fill="FFFFFF"/>
        </w:rPr>
        <w:t>完成预算100%。</w:t>
      </w:r>
      <w:r>
        <w:rPr>
          <w:rFonts w:hint="eastAsia" w:ascii="仿宋_GB2312" w:hAnsi="仿宋_GB2312" w:eastAsia="仿宋_GB2312" w:cs="仿宋_GB2312"/>
          <w:sz w:val="32"/>
          <w:szCs w:val="32"/>
          <w:shd w:val="clear" w:fill="FFFFFF"/>
        </w:rPr>
        <w:t>公务接待费支出决算比2021年增加0.00万元，增长0.00%。</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国内公务接待支出</w:t>
      </w:r>
      <w:r>
        <w:rPr>
          <w:rFonts w:hint="eastAsia" w:ascii="仿宋_GB2312" w:hAnsi="仿宋_GB2312" w:eastAsia="仿宋_GB2312" w:cs="仿宋_GB2312"/>
          <w:sz w:val="32"/>
          <w:szCs w:val="32"/>
          <w:shd w:val="clear" w:fill="FFFFFF"/>
        </w:rPr>
        <w:t>0.00万元，主要用于……(执行公务、开展业务活动开支的交通费、住宿费、用餐费等)。国内公务接待0批次，0人次（不包括陪同</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人员），共计支出0.00万元，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pPr>
      <w:r>
        <w:rPr>
          <w:rStyle w:val="16"/>
          <w:rFonts w:hint="eastAsia" w:ascii="仿宋_GB2312" w:hAnsi="仿宋_GB2312" w:eastAsia="仿宋_GB2312" w:cs="仿宋_GB2312"/>
          <w:sz w:val="32"/>
          <w:szCs w:val="32"/>
          <w:shd w:val="clear" w:fill="FFFFFF"/>
        </w:rPr>
        <w:t>外事接待支出</w:t>
      </w:r>
      <w:r>
        <w:rPr>
          <w:rFonts w:hint="eastAsia" w:ascii="仿宋_GB2312" w:hAnsi="仿宋_GB2312" w:eastAsia="仿宋_GB2312" w:cs="仿宋_GB2312"/>
          <w:sz w:val="32"/>
          <w:szCs w:val="32"/>
          <w:shd w:val="clear" w:fill="FFFFFF"/>
        </w:rPr>
        <w:t>0.00万元，外事接待0批次，0人，共计支出0.00万元</w:t>
      </w:r>
      <w:r>
        <w:rPr>
          <w:rFonts w:hint="eastAsia"/>
          <w:shd w:val="clear" w:fill="FFFFFF"/>
          <w:lang w:eastAsia="zh-CN"/>
        </w:rPr>
        <w:t>。</w:t>
      </w:r>
      <w:r>
        <w:rPr>
          <w:shd w:val="clear" w:fill="FFFFFF"/>
        </w:rPr>
        <w:t> </w:t>
      </w:r>
    </w:p>
    <w:p>
      <w:pPr>
        <w:pStyle w:val="13"/>
        <w:keepNext w:val="0"/>
        <w:keepLines w:val="0"/>
        <w:widowControl/>
        <w:suppressLineNumbers w:val="0"/>
        <w:spacing w:before="0" w:beforeAutospacing="0"/>
        <w:ind w:left="0"/>
        <w:jc w:val="left"/>
        <w:rPr>
          <w:shd w:val="clear" w:fill="FFFFFF"/>
        </w:rPr>
      </w:pPr>
      <w:r>
        <w:drawing>
          <wp:anchor distT="0" distB="0" distL="114300" distR="114300" simplePos="0" relativeHeight="251662336" behindDoc="0" locked="0" layoutInCell="1" allowOverlap="1">
            <wp:simplePos x="0" y="0"/>
            <wp:positionH relativeFrom="column">
              <wp:posOffset>4445</wp:posOffset>
            </wp:positionH>
            <wp:positionV relativeFrom="paragraph">
              <wp:posOffset>10160</wp:posOffset>
            </wp:positionV>
            <wp:extent cx="5186045" cy="3113405"/>
            <wp:effectExtent l="4445" t="4445" r="10160" b="6350"/>
            <wp:wrapNone/>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八、政府性基金预算支出决算情况说明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年政府性基金预算财政拨款支出0.00万元。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九、国有资本经营预算支出决算情况说明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年国有资本经营预算财政拨款支出0.00万元。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sz w:val="44"/>
          <w:szCs w:val="44"/>
        </w:rPr>
      </w:pPr>
      <w:r>
        <w:rPr>
          <w:rStyle w:val="16"/>
          <w:rFonts w:hint="eastAsia" w:ascii="方正小标宋简体" w:hAnsi="方正小标宋简体" w:eastAsia="方正小标宋简体" w:cs="方正小标宋简体"/>
          <w:b w:val="0"/>
          <w:bCs/>
          <w:sz w:val="44"/>
          <w:szCs w:val="44"/>
          <w:shd w:val="clear" w:fill="FFFFFF"/>
        </w:rPr>
        <w:t>第三部分 名词解释</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1.财政拨款收入：指单位从同级财政部门取得的财政预算资金。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2.事业收入：指事业单位开展专业业务活动及辅助活动取得的收入。如…（二级预算单位事业收入情况）等。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3.经营收入：指事业单位在专业业务活动及其辅助活动之外开展非独立核算经营活动取得的收入。如…（二级预算单位经营收入情况）等。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4.其他收入：指单位取得的除上述收入以外的各项收入。主要是…（收入类型）等。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5.使用非财政拨款结余：指事业单位使用以前年度积累的非财政拨款结余弥补当年收支差额的金额。</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6.年初结转和结余：指以前年度尚未完成、结转到本年按有关规定继续使用的资金。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7.结余分配：指事业单位按照会计制度规定缴纳的所得税、提取的专用结余以及转入非财政拨款结余的金额等。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8、年末结转和结余：指单位按有关规定结转到下年或以后年度继续使用的资金。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9.一般公共服务（类）…（款）…（项）：指……。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10.外交（类）…（款）…（项）：指……。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11.公共安全（类）…（款）…（项）：指……。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12.教育（类）…（款）…（项）：指……。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13.科学技术（类）…（款）…（项）：指……。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14.文化体育与传媒（类）…（款）…（项）：指……。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15.社会保障和就业（类）…（款）…（项）：指……。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16.医疗卫生与计划生育（类）…（款）…（项）：指……。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17.节能环保（类）…（款）…（项）：指……。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18.城乡社区（类）…（款）…（项）：指……。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19.农林水（类）…（款）…（项）：指……。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20.交通运输（类）…（款）…（项）：指……。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21.资源勘探信息等（类）…（款）…（项）：指……。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22.商业服务业（类）…（款）…（项）：指……。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23.金融（类）…（款）…（项）：指……。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24.国土海洋气象等（类）…（款）…（项）：指……。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25.住房保障（类）…（款）…（项）：指……。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26.粮油物资储备（类）…（款）…（项）：指……。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（解释本部门决算报表中涉及的全部功能分类科目至项级，不涉及的科目请自行删除。请参照《2022年政府收支分类科目》增减内容。）</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27.基本支出：指为保障机构正常运转、完成日常工作任务而发生的人员支出和公用支出。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28.项目支出：指在基本支出之外为完成特定行政任务和事业发展目标所发生的支出。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29.经营支出：指事业单位在专业业务活动及其辅助活动之外开展非独立核算经营活动发生的支出。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32.……。</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（名词解释部分请根据各部门实际列支情况罗列，并根据本部门职责职能增减名词解释内容。）</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b w:val="0"/>
          <w:bCs/>
          <w:sz w:val="44"/>
          <w:szCs w:val="44"/>
        </w:rPr>
      </w:pPr>
      <w:r>
        <w:rPr>
          <w:rStyle w:val="16"/>
          <w:rFonts w:hint="eastAsia" w:ascii="方正小标宋简体" w:hAnsi="方正小标宋简体" w:eastAsia="方正小标宋简体" w:cs="方正小标宋简体"/>
          <w:b w:val="0"/>
          <w:bCs/>
          <w:sz w:val="44"/>
          <w:szCs w:val="44"/>
          <w:shd w:val="clear" w:fill="FFFFFF"/>
        </w:rPr>
        <w:t>第</w:t>
      </w:r>
      <w:r>
        <w:rPr>
          <w:rStyle w:val="16"/>
          <w:rFonts w:hint="eastAsia" w:ascii="方正小标宋简体" w:hAnsi="方正小标宋简体" w:eastAsia="方正小标宋简体" w:cs="方正小标宋简体"/>
          <w:b w:val="0"/>
          <w:bCs/>
          <w:sz w:val="44"/>
          <w:szCs w:val="44"/>
          <w:shd w:val="clear" w:fill="FFFFFF"/>
          <w:lang w:eastAsia="zh-CN"/>
        </w:rPr>
        <w:t>四</w:t>
      </w:r>
      <w:r>
        <w:rPr>
          <w:rStyle w:val="16"/>
          <w:rFonts w:hint="eastAsia" w:ascii="方正小标宋简体" w:hAnsi="方正小标宋简体" w:eastAsia="方正小标宋简体" w:cs="方正小标宋简体"/>
          <w:b w:val="0"/>
          <w:bCs/>
          <w:sz w:val="44"/>
          <w:szCs w:val="44"/>
          <w:shd w:val="clear" w:fill="FFFFFF"/>
        </w:rPr>
        <w:t>部分 附表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一、收入支出决算总表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二、收入决算表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三、支出决算表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四、财政拨款收入支出决算总表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五、财政拨款支出决算明细表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六、一般公共预算财政拨款支出决算表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七、一般公共预算财政拨款支出决算明细表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八、一般公共预算财政拨款基本支出决算表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九、一般公共预算财政拨款项目支出决算表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十、政府性基金预算财政拨款收入支出决算表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十一、国有资本经营预算财政拨款收入支出决算表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十二、国有资本经营预算财政拨款支出决算表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十三、财政拨款“三公”经费支出决算表</w:t>
      </w: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hZTUwMTU0YWFjMjVlZTJlMmU3M2Q4MTYwOTYzNTYifQ=="/>
  </w:docVars>
  <w:rsids>
    <w:rsidRoot w:val="00000000"/>
    <w:rsid w:val="06DD4EFC"/>
    <w:rsid w:val="152A4FA3"/>
    <w:rsid w:val="1BE063BC"/>
    <w:rsid w:val="1BE57807"/>
    <w:rsid w:val="1C4C0F4A"/>
    <w:rsid w:val="206E6A90"/>
    <w:rsid w:val="220445DB"/>
    <w:rsid w:val="28897FCD"/>
    <w:rsid w:val="2C0809D9"/>
    <w:rsid w:val="2D031BC7"/>
    <w:rsid w:val="31600866"/>
    <w:rsid w:val="346F034C"/>
    <w:rsid w:val="34F472D6"/>
    <w:rsid w:val="3D527E27"/>
    <w:rsid w:val="40264BE1"/>
    <w:rsid w:val="4327551F"/>
    <w:rsid w:val="46DD3F28"/>
    <w:rsid w:val="55544B54"/>
    <w:rsid w:val="587D471C"/>
    <w:rsid w:val="5B657DC2"/>
    <w:rsid w:val="65256CD5"/>
    <w:rsid w:val="69023E76"/>
    <w:rsid w:val="77A41857"/>
    <w:rsid w:val="F7FF144E"/>
    <w:rsid w:val="F9BD10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9">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10">
    <w:name w:val="index 6"/>
    <w:basedOn w:val="1"/>
    <w:next w:val="1"/>
    <w:qFormat/>
    <w:uiPriority w:val="0"/>
    <w:pPr>
      <w:widowControl w:val="0"/>
      <w:ind w:left="2100"/>
    </w:pPr>
  </w:style>
  <w:style w:type="paragraph" w:styleId="11">
    <w:name w:val="toc 1"/>
    <w:basedOn w:val="1"/>
    <w:next w:val="1"/>
    <w:qFormat/>
    <w:uiPriority w:val="0"/>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收入支出决算总体情况（万元）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val>
            <c:numRef>
              <c:f>[工作簿1]Sheet1!$A$1:$A$5</c:f>
              <c:numCache>
                <c:formatCode>General</c:formatCode>
                <c:ptCount val="5"/>
                <c:pt idx="0">
                  <c:v>0</c:v>
                </c:pt>
                <c:pt idx="3">
                  <c:v>0</c:v>
                </c:pt>
              </c:numCache>
            </c:numRef>
          </c:val>
        </c:ser>
        <c:ser>
          <c:idx val="1"/>
          <c:order val="1"/>
          <c:spPr>
            <a:solidFill>
              <a:schemeClr val="accent2"/>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[工作簿1]Sheet1!$B$1:$B$5</c:f>
              <c:numCache>
                <c:formatCode>#,##0.00</c:formatCode>
                <c:ptCount val="5"/>
                <c:pt idx="0">
                  <c:v>1593.84</c:v>
                </c:pt>
                <c:pt idx="1" c:formatCode="General">
                  <c:v>759.58</c:v>
                </c:pt>
                <c:pt idx="3" c:formatCode="General">
                  <c:v>1275.34</c:v>
                </c:pt>
                <c:pt idx="4" c:formatCode="General">
                  <c:v>775.01</c:v>
                </c:pt>
              </c:numCache>
            </c:numRef>
          </c:val>
        </c:ser>
        <c:dLbls>
          <c:showLegendKey val="0"/>
          <c:showVal val="1"/>
          <c:showCatName val="0"/>
          <c:showSerName val="0"/>
          <c:showPercent val="0"/>
          <c:showBubbleSize val="0"/>
        </c:dLbls>
        <c:gapWidth val="246"/>
        <c:overlap val="-28"/>
        <c:axId val="645165704"/>
        <c:axId val="419351976"/>
      </c:barChart>
      <c:catAx>
        <c:axId val="6451657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351976"/>
        <c:crosses val="autoZero"/>
        <c:auto val="1"/>
        <c:lblAlgn val="ctr"/>
        <c:lblOffset val="100"/>
        <c:noMultiLvlLbl val="0"/>
      </c:catAx>
      <c:valAx>
        <c:axId val="4193519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5165704"/>
        <c:crosses val="autoZero"/>
        <c:crossBetween val="between"/>
      </c:valAx>
      <c:spPr>
        <a:noFill/>
        <a:ln>
          <a:noFill/>
        </a:ln>
        <a:effectLst/>
      </c:spPr>
    </c:plotArea>
    <c:legend>
      <c:legendPos val="b"/>
      <c:layout>
        <c:manualLayout>
          <c:xMode val="edge"/>
          <c:yMode val="edge"/>
          <c:x val="0.405921052631579"/>
          <c:y val="0.894675925925926"/>
          <c:w val="0.368026315789474"/>
          <c:h val="0.0775462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收入决算情况（万元） </a:t>
            </a:r>
          </a:p>
        </c:rich>
      </c:tx>
      <c:layout/>
      <c:overlay val="0"/>
      <c:spPr>
        <a:noFill/>
        <a:ln>
          <a:noFill/>
        </a:ln>
        <a:effectLst/>
      </c:spPr>
    </c:title>
    <c:autoTitleDeleted val="0"/>
    <c:plotArea>
      <c:layout/>
      <c:pieChart>
        <c:varyColors val="1"/>
        <c:ser>
          <c:idx val="0"/>
          <c:order val="0"/>
          <c:tx>
            <c:strRef>
              <c:f>[工作簿1]Sheet2!$A$1:$A$2</c:f>
              <c:strCache>
                <c:ptCount val="1"/>
                <c:pt idx="0">
                  <c:v>收入决算情况 一般公共预算财政拨款收入</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[工作簿1]Sheet2!$A$3</c:f>
              <c:numCache>
                <c:formatCode>General</c:formatCode>
                <c:ptCount val="1"/>
                <c:pt idx="0">
                  <c:v>1275.34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31138949252205"/>
          <c:y val="0.142058165548098"/>
          <c:w val="0.21321743576633"/>
          <c:h val="0.074944071588366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决算支出情况（万元）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[工作簿1]Sheet4!$A$1:$A$2</c:f>
              <c:strCache>
                <c:ptCount val="2"/>
                <c:pt idx="0">
                  <c:v>决算支出</c:v>
                </c:pt>
                <c:pt idx="1">
                  <c:v>增加</c:v>
                </c:pt>
              </c:strCache>
            </c:strRef>
          </c:cat>
          <c:val>
            <c:numRef>
              <c:f>[工作簿1]Sheet4!$B$1:$B$2</c:f>
              <c:numCache>
                <c:formatCode>General</c:formatCode>
                <c:ptCount val="2"/>
                <c:pt idx="0">
                  <c:v>759.58</c:v>
                </c:pt>
                <c:pt idx="1">
                  <c:v>15.43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3"/>
              </a:solidFill>
              <a:ln>
                <a:noFill/>
              </a:ln>
              <a:effectLst/>
            </c:spPr>
          </c:dPt>
          <c:dPt>
            <c:idx val="3"/>
            <c:invertIfNegative val="0"/>
            <c:bubble3D val="0"/>
            <c:spPr>
              <a:solidFill>
                <a:schemeClr val="accent3"/>
              </a:solidFill>
              <a:ln>
                <a:noFill/>
              </a:ln>
              <a:effectLst/>
            </c:spPr>
          </c:dPt>
          <c:dLbls>
            <c:delete val="1"/>
          </c:dLbls>
          <c:cat>
            <c:strRef>
              <c:f>[工作簿1]Sheet3!$A$1:$A$4</c:f>
              <c:strCache>
                <c:ptCount val="4"/>
                <c:pt idx="0">
                  <c:v>2022年收入</c:v>
                </c:pt>
                <c:pt idx="1">
                  <c:v>2022年支出</c:v>
                </c:pt>
                <c:pt idx="2">
                  <c:v>2023年收入</c:v>
                </c:pt>
                <c:pt idx="3">
                  <c:v>2023年支出</c:v>
                </c:pt>
              </c:strCache>
            </c:strRef>
          </c:cat>
          <c:val>
            <c:numRef>
              <c:f>[工作簿1]Sheet3!$B$1:$B$4</c:f>
              <c:numCache>
                <c:formatCode>#,##0.00</c:formatCode>
                <c:ptCount val="4"/>
                <c:pt idx="0">
                  <c:v>1593.84</c:v>
                </c:pt>
                <c:pt idx="1" c:formatCode="General">
                  <c:v>318.5</c:v>
                </c:pt>
                <c:pt idx="2">
                  <c:v>1275.34</c:v>
                </c:pt>
                <c:pt idx="3" c:formatCode="General">
                  <c:v>775.01</c:v>
                </c:pt>
              </c:numCache>
            </c:numRef>
          </c:val>
        </c:ser>
        <c:dLbls>
          <c:showLegendKey val="0"/>
          <c:showVal val="0"/>
          <c:showCatName val="0"/>
          <c:showSerName val="0"/>
          <c:showPercent val="0"/>
          <c:showBubbleSize val="0"/>
        </c:dLbls>
        <c:gapWidth val="246"/>
        <c:overlap val="-28"/>
        <c:axId val="189058332"/>
        <c:axId val="339926941"/>
      </c:barChart>
      <c:catAx>
        <c:axId val="1890583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9926941"/>
        <c:crosses val="autoZero"/>
        <c:auto val="1"/>
        <c:lblAlgn val="ctr"/>
        <c:lblOffset val="100"/>
        <c:noMultiLvlLbl val="0"/>
      </c:catAx>
      <c:valAx>
        <c:axId val="339926941"/>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0583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Lbls>
            <c:delete val="1"/>
          </c:dLbls>
          <c:cat>
            <c:strRef>
              <c:f>[工作簿1]Sheet5!$A$1:$A$2</c:f>
              <c:strCache>
                <c:ptCount val="2"/>
                <c:pt idx="0">
                  <c:v>2022年支出</c:v>
                </c:pt>
                <c:pt idx="1">
                  <c:v>2023年支出</c:v>
                </c:pt>
              </c:strCache>
            </c:strRef>
          </c:cat>
          <c:val>
            <c:numRef>
              <c:f>[工作簿1]Sheet5!$B$1:$B$2</c:f>
              <c:numCache>
                <c:formatCode>General</c:formatCode>
                <c:ptCount val="2"/>
                <c:pt idx="0">
                  <c:v>759.58</c:v>
                </c:pt>
                <c:pt idx="1">
                  <c:v>775.01</c:v>
                </c:pt>
              </c:numCache>
            </c:numRef>
          </c:val>
        </c:ser>
        <c:dLbls>
          <c:showLegendKey val="0"/>
          <c:showVal val="0"/>
          <c:showCatName val="0"/>
          <c:showSerName val="0"/>
          <c:showPercent val="0"/>
          <c:showBubbleSize val="0"/>
        </c:dLbls>
        <c:gapWidth val="246"/>
        <c:overlap val="-28"/>
        <c:axId val="742087902"/>
        <c:axId val="576108119"/>
      </c:barChart>
      <c:catAx>
        <c:axId val="7420879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6108119"/>
        <c:crosses val="autoZero"/>
        <c:auto val="1"/>
        <c:lblAlgn val="ctr"/>
        <c:lblOffset val="100"/>
        <c:noMultiLvlLbl val="0"/>
      </c:catAx>
      <c:valAx>
        <c:axId val="5761081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208790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一般公共预算财政拨款支出决算情况（万元）</a:t>
            </a:r>
          </a:p>
        </c:rich>
      </c:tx>
      <c:layout>
        <c:manualLayout>
          <c:xMode val="edge"/>
          <c:yMode val="edge"/>
          <c:x val="0.124473684210526"/>
          <c:y val="0.012962962962963"/>
        </c:manualLayout>
      </c:layout>
      <c:overlay val="0"/>
      <c:spPr>
        <a:noFill/>
        <a:ln>
          <a:noFill/>
        </a:ln>
        <a:effectLst/>
      </c:spPr>
    </c:title>
    <c:autoTitleDeleted val="0"/>
    <c:plotArea>
      <c:layout/>
      <c:pieChart>
        <c:varyColors val="1"/>
        <c:ser>
          <c:idx val="1"/>
          <c:order val="0"/>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Pt>
            <c:idx val="5"/>
            <c:bubble3D val="0"/>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18.1%</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12.8%</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manualLayout>
                  <c:x val="0.0149772935798545"/>
                  <c:y val="-0.066870360120352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0.01%</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806731382131935"/>
                  <c:y val="-0.38418888276682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25.2%</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265329088623345"/>
                  <c:y val="-0.18767081651359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0.84%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0.01%</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[工作簿1]Sheet6!$A$1:$A$6</c:f>
              <c:strCache>
                <c:ptCount val="6"/>
                <c:pt idx="0">
                  <c:v>社会保障和就业</c:v>
                </c:pt>
                <c:pt idx="1">
                  <c:v>卫生健康</c:v>
                </c:pt>
                <c:pt idx="2">
                  <c:v>城乡社区</c:v>
                </c:pt>
                <c:pt idx="3">
                  <c:v>其他</c:v>
                </c:pt>
                <c:pt idx="4">
                  <c:v>农林水</c:v>
                </c:pt>
                <c:pt idx="5">
                  <c:v>住房保障</c:v>
                </c:pt>
              </c:strCache>
            </c:strRef>
          </c:cat>
          <c:val>
            <c:numRef>
              <c:f>[工作簿1]Sheet6!$B$1:$B$6</c:f>
              <c:numCache>
                <c:formatCode>0.00%</c:formatCode>
                <c:ptCount val="6"/>
                <c:pt idx="0">
                  <c:v>0.181</c:v>
                </c:pt>
                <c:pt idx="1">
                  <c:v>0.128</c:v>
                </c:pt>
                <c:pt idx="2">
                  <c:v>0.0001</c:v>
                </c:pt>
                <c:pt idx="3">
                  <c:v>0.0001</c:v>
                </c:pt>
                <c:pt idx="4">
                  <c:v>0.252</c:v>
                </c:pt>
                <c:pt idx="5">
                  <c:v>0.0084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04533542976939"/>
          <c:y val="0.345030617051342"/>
          <c:w val="0.279743186582809"/>
          <c:h val="0.40226095148374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三公”经费财政拨款支出决算情况（万元）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[工作簿1]Sheet7!$A$1</c:f>
              <c:strCache>
                <c:ptCount val="1"/>
                <c:pt idx="0">
                  <c:v>公务用车购置及运行维护费</c:v>
                </c:pt>
              </c:strCache>
            </c:strRef>
          </c:cat>
          <c:val>
            <c:numRef>
              <c:f>[工作簿1]Sheet7!$B$1</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12812</Words>
  <Characters>14347</Characters>
  <TotalTime>29</TotalTime>
  <ScaleCrop>false</ScaleCrop>
  <LinksUpToDate>false</LinksUpToDate>
  <CharactersWithSpaces>14510</CharactersWithSpaces>
  <Application>WPS Office_11.1.0.8412_F1E327BC-269C-435d-A152-05C5408002CA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2023-11-02T22:01:00Z</dcterms:created>
  <dc:creator>Admin</dc:creator>
  <cp:lastModifiedBy>Administrator</cp:lastModifiedBy>
  <cp:lastPrinted>2024-10-14T15:15:00Z</cp:lastPrinted>
  <dcterms:modified xsi:type="dcterms:W3CDTF">2024-11-11T08:36:11Z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y fmtid="{D5CDD505-2E9C-101B-9397-08002B2CF9AE}" pid="3" name="ICV">
    <vt:lpwstr>892DF10DEB36480C81CC62DBF40D2112_13</vt:lpwstr>
  </property>
</Properties>
</file>