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8EDF9">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关于</w:t>
      </w:r>
      <w:r>
        <w:rPr>
          <w:rFonts w:hint="eastAsia" w:ascii="方正小标宋简体" w:hAnsi="方正小标宋简体" w:eastAsia="方正小标宋简体" w:cs="方正小标宋简体"/>
          <w:b w:val="0"/>
          <w:bCs/>
          <w:color w:val="auto"/>
          <w:sz w:val="44"/>
          <w:szCs w:val="44"/>
          <w:lang w:eastAsia="zh-CN"/>
        </w:rPr>
        <w:t>红原县自然资源局</w:t>
      </w:r>
    </w:p>
    <w:p w14:paraId="6778B73F">
      <w:pPr>
        <w:keepNext w:val="0"/>
        <w:keepLines w:val="0"/>
        <w:pageBreakBefore w:val="0"/>
        <w:kinsoku/>
        <w:wordWrap/>
        <w:overflowPunct/>
        <w:topLinePunct w:val="0"/>
        <w:autoSpaceDE/>
        <w:autoSpaceDN/>
        <w:bidi w:val="0"/>
        <w:spacing w:line="560" w:lineRule="exact"/>
        <w:ind w:left="0" w:leftChars="0" w:right="0" w:rightChars="0" w:firstLine="1760" w:firstLineChars="400"/>
        <w:jc w:val="both"/>
        <w:textAlignment w:val="auto"/>
        <w:rPr>
          <w:rFonts w:hint="eastAsia" w:ascii="宋体" w:hAnsi="宋体" w:eastAsia="宋体"/>
          <w:b/>
          <w:color w:val="auto"/>
          <w:sz w:val="44"/>
          <w:szCs w:val="44"/>
        </w:rPr>
      </w:pPr>
      <w:r>
        <w:rPr>
          <w:rFonts w:hint="eastAsia" w:ascii="方正小标宋简体" w:hAnsi="方正小标宋简体" w:eastAsia="方正小标宋简体" w:cs="方正小标宋简体"/>
          <w:b w:val="0"/>
          <w:bCs/>
          <w:color w:val="auto"/>
          <w:sz w:val="44"/>
          <w:szCs w:val="44"/>
          <w:lang w:eastAsia="zh-CN"/>
        </w:rPr>
        <w:t>202</w:t>
      </w:r>
      <w:r>
        <w:rPr>
          <w:rFonts w:hint="eastAsia" w:ascii="方正小标宋简体" w:hAnsi="方正小标宋简体" w:eastAsia="方正小标宋简体" w:cs="方正小标宋简体"/>
          <w:b w:val="0"/>
          <w:bCs/>
          <w:color w:val="auto"/>
          <w:sz w:val="44"/>
          <w:szCs w:val="44"/>
          <w:lang w:val="en-US" w:eastAsia="zh-CN"/>
        </w:rPr>
        <w:t>3</w:t>
      </w:r>
      <w:r>
        <w:rPr>
          <w:rFonts w:hint="eastAsia" w:ascii="方正小标宋简体" w:hAnsi="方正小标宋简体" w:eastAsia="方正小标宋简体" w:cs="方正小标宋简体"/>
          <w:b w:val="0"/>
          <w:bCs/>
          <w:color w:val="auto"/>
          <w:sz w:val="44"/>
          <w:szCs w:val="44"/>
        </w:rPr>
        <w:t>年部门预算编制的说明</w:t>
      </w:r>
    </w:p>
    <w:p w14:paraId="5EDD91C8">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color w:val="auto"/>
          <w:sz w:val="32"/>
          <w:szCs w:val="32"/>
        </w:rPr>
      </w:pPr>
    </w:p>
    <w:p w14:paraId="26B0AA67">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宋体" w:hAnsi="宋体" w:eastAsia="宋体"/>
          <w:b/>
          <w:color w:val="auto"/>
          <w:sz w:val="44"/>
          <w:szCs w:val="44"/>
        </w:rPr>
      </w:pPr>
      <w:r>
        <w:rPr>
          <w:rFonts w:hint="eastAsia"/>
          <w:color w:val="auto"/>
          <w:sz w:val="32"/>
          <w:szCs w:val="32"/>
        </w:rPr>
        <w:t>按照预算管理有关规定，目前部门预算的编制实行综合预算制度，即全部收入和支出都反映在预算中。</w:t>
      </w:r>
    </w:p>
    <w:p w14:paraId="56C76A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color w:val="auto"/>
          <w:sz w:val="32"/>
          <w:szCs w:val="32"/>
        </w:rPr>
      </w:pPr>
      <w:r>
        <w:rPr>
          <w:rFonts w:hint="eastAsia" w:ascii="黑体" w:eastAsia="黑体"/>
          <w:color w:val="auto"/>
          <w:sz w:val="32"/>
          <w:szCs w:val="32"/>
        </w:rPr>
        <w:t>一、基本职能及主要工作</w:t>
      </w:r>
    </w:p>
    <w:p w14:paraId="2CD1F8F1">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3" w:firstLineChars="20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（一）基本职能</w:t>
      </w:r>
    </w:p>
    <w:p w14:paraId="11ADAFC4">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按照规定权限，履行全民所有土地、矿产、森林、草原、湿地、水等自然资源资产所有者职责和所有国土空间用途管制职责</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制定有关政策措施并监督检查执行情况。</w:t>
      </w:r>
    </w:p>
    <w:p w14:paraId="5A8A3FA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自然资源调查监测评价。负责自然资源调查监测评价成果的监督管理和信息发布。</w:t>
      </w:r>
    </w:p>
    <w:p w14:paraId="02926A1D">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自然资源统一确权登记工作。组织实施各类自然资源和不动产统一确权登记、权籍调查、不动产测绘、争议调处、成果应用的制度、标准、规范。建立健全</w:t>
      </w:r>
      <w:r>
        <w:rPr>
          <w:rFonts w:hint="eastAsia" w:ascii="仿宋" w:hAnsi="仿宋" w:eastAsia="仿宋" w:cs="仿宋"/>
          <w:color w:val="auto"/>
          <w:sz w:val="32"/>
          <w:szCs w:val="32"/>
          <w:lang w:eastAsia="zh-CN"/>
        </w:rPr>
        <w:t>全县</w:t>
      </w:r>
      <w:r>
        <w:rPr>
          <w:rFonts w:hint="eastAsia" w:ascii="仿宋" w:hAnsi="仿宋" w:eastAsia="仿宋" w:cs="仿宋"/>
          <w:color w:val="auto"/>
          <w:sz w:val="32"/>
          <w:szCs w:val="32"/>
        </w:rPr>
        <w:t>自然资源和不动产登记信息管理基础平台。</w:t>
      </w:r>
    </w:p>
    <w:p w14:paraId="5F2FC5F8">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自然资源资产有偿使用工作。建立全民所有自然资源资产统计制度，负责全民所有自然资源资产核算。</w:t>
      </w:r>
    </w:p>
    <w:p w14:paraId="22C58E35">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自然资源的合理开发利用。</w:t>
      </w:r>
    </w:p>
    <w:p w14:paraId="0D2E96C1">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负责建立全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空间规划体系并监督实施，推进主体功能区战略和制度，组织编制并监督实施国土空间规划和相关专项规划。</w:t>
      </w:r>
    </w:p>
    <w:p w14:paraId="43537F8B">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负责统筹全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国土空间生态修复。牵头组织编制全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国土空间生态修复规划并实施有关生态修复重大工程。</w:t>
      </w:r>
    </w:p>
    <w:p w14:paraId="7D0DED6F">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负责组织实施最严格的耕地保护制度。</w:t>
      </w:r>
    </w:p>
    <w:p w14:paraId="143B7335">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负责管理全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地质勘查行业和地质工作。</w:t>
      </w:r>
    </w:p>
    <w:p w14:paraId="01A62D58">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负责落实综合防灾减灾规划相关要求，组织编制并实施地质灾害防治规划。</w:t>
      </w:r>
    </w:p>
    <w:p w14:paraId="5A2B483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矿产资源管理工作。</w:t>
      </w:r>
    </w:p>
    <w:p w14:paraId="2090C549">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负责全县测绘地理信息工作。</w:t>
      </w:r>
    </w:p>
    <w:p w14:paraId="55ABA746">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推动全县自然资源领域科技发展。</w:t>
      </w:r>
    </w:p>
    <w:p w14:paraId="493C2AE2">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承担县政府和上级相关部门交办的其它工作。</w:t>
      </w:r>
    </w:p>
    <w:p w14:paraId="3C8742B9">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3" w:firstLineChars="20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（二）202</w:t>
      </w:r>
      <w:r>
        <w:rPr>
          <w:rFonts w:hint="eastAsia" w:ascii="楷体_GB2312" w:hAnsi="楷体_GB2312" w:eastAsia="楷体_GB2312" w:cs="楷体_GB2312"/>
          <w:b/>
          <w:bCs w:val="0"/>
          <w:color w:val="auto"/>
          <w:sz w:val="32"/>
          <w:szCs w:val="32"/>
          <w:lang w:val="en-US" w:eastAsia="zh-CN"/>
        </w:rPr>
        <w:t>2</w:t>
      </w:r>
      <w:r>
        <w:rPr>
          <w:rFonts w:hint="eastAsia" w:ascii="楷体_GB2312" w:hAnsi="楷体_GB2312" w:eastAsia="楷体_GB2312" w:cs="楷体_GB2312"/>
          <w:b/>
          <w:bCs w:val="0"/>
          <w:color w:val="auto"/>
          <w:sz w:val="32"/>
          <w:szCs w:val="32"/>
          <w:lang w:eastAsia="zh-CN"/>
        </w:rPr>
        <w:t>年重点工作任务</w:t>
      </w:r>
    </w:p>
    <w:p w14:paraId="0C4E2207">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default" w:ascii="仿宋_GB2312" w:hAnsi="仿宋_GB2312" w:eastAsia="仿宋_GB2312" w:cs="仿宋_GB2312"/>
          <w:sz w:val="32"/>
          <w:szCs w:val="32"/>
          <w:lang w:val="en-US" w:eastAsia="zh-CN"/>
        </w:rPr>
      </w:pPr>
      <w:r>
        <w:rPr>
          <w:rStyle w:val="14"/>
          <w:rFonts w:ascii="楷体_GB2312" w:eastAsia="楷体_GB2312" w:cs="楷体_GB2312"/>
          <w:b/>
          <w:bCs/>
          <w:kern w:val="2"/>
          <w:sz w:val="32"/>
          <w:szCs w:val="32"/>
          <w:lang w:val="en-US" w:eastAsia="zh-CN" w:bidi="ar-SA"/>
        </w:rPr>
        <w:t>用地保障工作</w:t>
      </w:r>
    </w:p>
    <w:p w14:paraId="23CB080F">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rPr>
        <w:t>开展全民所有自然资源资产所有权委托代理机制试点</w:t>
      </w:r>
      <w:r>
        <w:rPr>
          <w:rFonts w:hint="eastAsia" w:ascii="仿宋_GB2312" w:eastAsia="仿宋_GB2312" w:cs="仿宋_GB2312"/>
          <w:sz w:val="32"/>
          <w:szCs w:val="32"/>
          <w:lang w:val="en-US" w:eastAsia="zh-CN"/>
        </w:rPr>
        <w:t>工作</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拟定了《红原县贯彻落实全民所有自然资源资产所有权委托代理机制试点方案重点任务分工方案》并征求了相关部门意见，按照意见进行了修改完善，将修改完善方案印发相关部门；</w:t>
      </w:r>
      <w:r>
        <w:rPr>
          <w:rFonts w:hint="eastAsia" w:ascii="仿宋_GB2312" w:eastAsia="仿宋_GB2312" w:cs="仿宋_GB2312"/>
          <w:b/>
          <w:bCs/>
          <w:sz w:val="32"/>
          <w:szCs w:val="32"/>
          <w:lang w:val="en-US" w:eastAsia="zh-CN"/>
        </w:rPr>
        <w:t>二是</w:t>
      </w:r>
      <w:r>
        <w:rPr>
          <w:rFonts w:hint="eastAsia" w:ascii="仿宋_GB2312" w:eastAsia="仿宋_GB2312" w:cs="仿宋_GB2312"/>
          <w:sz w:val="32"/>
          <w:szCs w:val="32"/>
          <w:lang w:val="en-US" w:eastAsia="zh-CN"/>
        </w:rPr>
        <w:t>开展</w:t>
      </w:r>
      <w:r>
        <w:rPr>
          <w:rFonts w:hint="eastAsia" w:ascii="仿宋_GB2312" w:eastAsia="仿宋_GB2312" w:cs="仿宋_GB2312"/>
          <w:sz w:val="32"/>
          <w:szCs w:val="32"/>
        </w:rPr>
        <w:t>全县自然资源资产清查工作。</w:t>
      </w:r>
      <w:r>
        <w:rPr>
          <w:rFonts w:hint="eastAsia" w:ascii="仿宋_GB2312" w:eastAsia="仿宋_GB2312" w:cs="仿宋_GB2312"/>
          <w:sz w:val="32"/>
          <w:szCs w:val="32"/>
          <w:lang w:val="en-US" w:eastAsia="zh-CN"/>
        </w:rPr>
        <w:t>已</w:t>
      </w:r>
      <w:r>
        <w:rPr>
          <w:rFonts w:hint="eastAsia" w:ascii="仿宋_GB2312" w:eastAsia="仿宋_GB2312" w:cs="仿宋_GB2312"/>
          <w:sz w:val="32"/>
          <w:szCs w:val="32"/>
        </w:rPr>
        <w:t>完成统计、核算各类自然资源资产</w:t>
      </w:r>
      <w:r>
        <w:rPr>
          <w:rFonts w:hint="eastAsia" w:ascii="仿宋_GB2312" w:eastAsia="仿宋_GB2312" w:cs="仿宋_GB2312"/>
          <w:sz w:val="32"/>
          <w:szCs w:val="32"/>
          <w:lang w:val="en-US" w:eastAsia="zh-CN"/>
        </w:rPr>
        <w:t>并</w:t>
      </w:r>
      <w:r>
        <w:rPr>
          <w:rFonts w:hint="eastAsia" w:ascii="仿宋_GB2312" w:eastAsia="仿宋_GB2312" w:cs="仿宋_GB2312"/>
          <w:sz w:val="32"/>
          <w:szCs w:val="32"/>
        </w:rPr>
        <w:t>形成了资产价值核算的阶段性成果</w:t>
      </w:r>
      <w:r>
        <w:rPr>
          <w:rFonts w:hint="eastAsia" w:ascii="仿宋_GB2312" w:eastAsia="仿宋_GB2312" w:cs="仿宋_GB2312"/>
          <w:kern w:val="0"/>
          <w:sz w:val="32"/>
          <w:szCs w:val="32"/>
          <w:lang w:eastAsia="zh-CN"/>
        </w:rPr>
        <w:t>；</w:t>
      </w: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lang w:val="en-US" w:eastAsia="zh-CN"/>
        </w:rPr>
        <w:t>报批报建工作，已完成红原县第1批次、第2批次、第4批次建设用地农用地转用上报工作，并取得州政府批复，面积为3.9029公顷；已完成组卷并上报州局审查的批次用地有4个批次，审核面积为7.8644公顷；暂未组卷的有8个报件项目（含1个独立选址项目）正在开展前期资料收集工作，面积为5.478公顷（含独立选址项目0.9813公顷）；</w:t>
      </w:r>
      <w:r>
        <w:rPr>
          <w:rFonts w:hint="eastAsia" w:ascii="仿宋_GB2312" w:eastAsia="仿宋_GB2312" w:cs="仿宋_GB2312"/>
          <w:b/>
          <w:bCs/>
          <w:sz w:val="32"/>
          <w:szCs w:val="32"/>
          <w:lang w:val="en-US" w:eastAsia="zh-CN"/>
        </w:rPr>
        <w:t>四是</w:t>
      </w:r>
      <w:r>
        <w:rPr>
          <w:rFonts w:hint="eastAsia" w:ascii="仿宋_GB2312" w:eastAsia="仿宋_GB2312" w:cs="仿宋_GB2312"/>
          <w:sz w:val="32"/>
          <w:szCs w:val="32"/>
          <w:lang w:val="en-US" w:eastAsia="zh-CN"/>
        </w:rPr>
        <w:t>临时用地审批工作，目前，已完成久马高速路8标段、9标段2宗临时用地审批、共计面积5.3995公顷（林地面积1.698公顷、草地面积3.7015公顷）；俄尔干砂场临时用地2宗，共计面积10.178公顷（林地面积8.4348公顷、草地面积1.7432公顷）；查尔玛乡哈炯沟料场临时用地2宗，共计面积11.1004公顷（草地面积11.1004公顷）；</w:t>
      </w:r>
      <w:r>
        <w:rPr>
          <w:rFonts w:hint="eastAsia" w:ascii="仿宋_GB2312" w:eastAsia="仿宋_GB2312" w:cs="仿宋_GB2312"/>
          <w:b/>
          <w:bCs/>
          <w:sz w:val="32"/>
          <w:szCs w:val="32"/>
          <w:lang w:val="en-US" w:eastAsia="zh-CN"/>
        </w:rPr>
        <w:t>五是</w:t>
      </w:r>
      <w:r>
        <w:rPr>
          <w:rFonts w:hint="eastAsia" w:ascii="仿宋_GB2312" w:eastAsia="仿宋_GB2312" w:cs="仿宋_GB2312"/>
          <w:sz w:val="32"/>
          <w:szCs w:val="32"/>
          <w:lang w:val="en-US" w:eastAsia="zh-CN"/>
        </w:rPr>
        <w:t>耕地占补平衡工作</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与广安市自然资源和规划局达成意向协议，购买</w:t>
      </w:r>
      <w:r>
        <w:rPr>
          <w:rFonts w:hint="eastAsia" w:ascii="仿宋_GB2312" w:eastAsia="仿宋_GB2312" w:cs="仿宋_GB2312"/>
          <w:sz w:val="32"/>
          <w:szCs w:val="32"/>
          <w:lang w:bidi="ar-SA"/>
        </w:rPr>
        <w:t>耕地占补平衡指标</w:t>
      </w:r>
      <w:r>
        <w:rPr>
          <w:rFonts w:hint="eastAsia" w:ascii="仿宋_GB2312" w:eastAsia="仿宋_GB2312" w:cs="仿宋_GB2312"/>
          <w:sz w:val="32"/>
          <w:szCs w:val="32"/>
          <w:lang w:val="en-US" w:eastAsia="zh-CN" w:bidi="ar-SA"/>
        </w:rPr>
        <w:t>620</w:t>
      </w:r>
      <w:r>
        <w:rPr>
          <w:rFonts w:hint="eastAsia" w:ascii="仿宋_GB2312" w:eastAsia="仿宋_GB2312" w:cs="仿宋_GB2312"/>
          <w:sz w:val="32"/>
          <w:szCs w:val="32"/>
          <w:lang w:bidi="ar-SA"/>
        </w:rPr>
        <w:t>亩</w:t>
      </w:r>
      <w:r>
        <w:rPr>
          <w:rFonts w:hint="eastAsia" w:ascii="仿宋_GB2312" w:eastAsia="仿宋_GB2312" w:cs="仿宋_GB2312"/>
          <w:color w:val="0000FF"/>
          <w:sz w:val="32"/>
          <w:szCs w:val="32"/>
          <w:lang w:val="en-US" w:eastAsia="zh-CN"/>
        </w:rPr>
        <w:t>。</w:t>
      </w:r>
      <w:r>
        <w:rPr>
          <w:rFonts w:hint="eastAsia" w:ascii="仿宋_GB2312" w:eastAsia="仿宋_GB2312" w:cs="仿宋_GB2312"/>
          <w:sz w:val="32"/>
          <w:szCs w:val="32"/>
          <w:lang w:val="en-US" w:eastAsia="zh-CN"/>
        </w:rPr>
        <w:t>耕地占补平衡资料已完成组卷装档，</w:t>
      </w:r>
      <w:r>
        <w:rPr>
          <w:rFonts w:hint="eastAsia" w:ascii="仿宋_GB2312" w:eastAsia="仿宋_GB2312" w:cs="仿宋_GB2312"/>
          <w:color w:val="auto"/>
          <w:sz w:val="32"/>
          <w:szCs w:val="32"/>
          <w:lang w:val="en-US" w:eastAsia="zh-CN"/>
        </w:rPr>
        <w:t>待省自然资源厅核查，</w:t>
      </w:r>
      <w:r>
        <w:rPr>
          <w:rFonts w:hint="eastAsia" w:ascii="仿宋_GB2312" w:eastAsia="仿宋_GB2312" w:cs="仿宋_GB2312"/>
          <w:sz w:val="32"/>
          <w:szCs w:val="32"/>
          <w:lang w:val="en-US" w:eastAsia="zh-CN"/>
        </w:rPr>
        <w:t>核查完后继续交易；</w:t>
      </w:r>
      <w:r>
        <w:rPr>
          <w:rFonts w:hint="eastAsia" w:ascii="仿宋_GB2312" w:eastAsia="仿宋_GB2312" w:cs="仿宋_GB2312"/>
          <w:b/>
          <w:bCs/>
          <w:sz w:val="32"/>
          <w:szCs w:val="32"/>
          <w:lang w:val="en-US" w:eastAsia="zh-CN"/>
        </w:rPr>
        <w:t>六是</w:t>
      </w:r>
      <w:r>
        <w:rPr>
          <w:rFonts w:hint="eastAsia" w:ascii="仿宋_GB2312" w:eastAsia="仿宋_GB2312" w:cs="仿宋_GB2312"/>
          <w:sz w:val="32"/>
          <w:szCs w:val="32"/>
          <w:lang w:val="en-US" w:eastAsia="zh-CN"/>
        </w:rPr>
        <w:t>红原县区片综合地价修订工作的初步成果已于8月27日提交州局，经过省科研院4轮技术审查的问题反馈与成果修改完善后，于9月23日提交修改后的成果与区片地价论证报告，目前待省厅确定时间组织开展省级专家审查会。</w:t>
      </w:r>
    </w:p>
    <w:p w14:paraId="60C88B3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楷体_GB2312" w:eastAsia="楷体_GB2312" w:cs="楷体_GB2312"/>
          <w:b/>
          <w:bCs/>
          <w:sz w:val="32"/>
          <w:lang w:val="en-US" w:eastAsia="zh-CN"/>
        </w:rPr>
      </w:pPr>
      <w:r>
        <w:rPr>
          <w:rFonts w:hint="eastAsia" w:ascii="楷体_GB2312" w:eastAsia="楷体_GB2312" w:cs="楷体_GB2312"/>
          <w:b/>
          <w:bCs/>
          <w:sz w:val="32"/>
          <w:lang w:eastAsia="zh-CN"/>
        </w:rPr>
        <w:t>（</w:t>
      </w:r>
      <w:r>
        <w:rPr>
          <w:rFonts w:hint="eastAsia" w:ascii="楷体_GB2312" w:eastAsia="楷体_GB2312" w:cs="楷体_GB2312"/>
          <w:b/>
          <w:bCs/>
          <w:sz w:val="32"/>
          <w:lang w:val="en-US" w:eastAsia="zh-CN"/>
        </w:rPr>
        <w:t>二</w:t>
      </w:r>
      <w:r>
        <w:rPr>
          <w:rFonts w:hint="eastAsia" w:ascii="楷体_GB2312" w:eastAsia="楷体_GB2312" w:cs="楷体_GB2312"/>
          <w:b/>
          <w:bCs/>
          <w:sz w:val="32"/>
          <w:lang w:eastAsia="zh-CN"/>
        </w:rPr>
        <w:t>）</w:t>
      </w:r>
      <w:r>
        <w:rPr>
          <w:rFonts w:hint="eastAsia" w:ascii="楷体_GB2312" w:eastAsia="楷体_GB2312" w:cs="楷体_GB2312"/>
          <w:b/>
          <w:bCs/>
          <w:sz w:val="32"/>
        </w:rPr>
        <w:t>国土空间规划编制</w:t>
      </w:r>
      <w:r>
        <w:rPr>
          <w:rFonts w:hint="eastAsia" w:ascii="楷体_GB2312" w:eastAsia="楷体_GB2312" w:cs="楷体_GB2312"/>
          <w:b/>
          <w:bCs/>
          <w:sz w:val="32"/>
          <w:lang w:val="en-US" w:eastAsia="zh-CN"/>
        </w:rPr>
        <w:t>工作</w:t>
      </w:r>
    </w:p>
    <w:p w14:paraId="568EE2C4">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eastAsia="仿宋_GB2312"/>
          <w:sz w:val="32"/>
          <w:lang w:val="en-US" w:eastAsia="zh-CN"/>
        </w:rPr>
      </w:pPr>
      <w:r>
        <w:rPr>
          <w:rFonts w:hint="eastAsia" w:ascii="仿宋_GB2312" w:eastAsia="仿宋_GB2312" w:cs="仿宋_GB2312"/>
          <w:b/>
          <w:bCs/>
          <w:sz w:val="32"/>
          <w:szCs w:val="32"/>
          <w:lang w:val="en-US" w:eastAsia="zh-CN"/>
        </w:rPr>
        <w:t>一是</w:t>
      </w:r>
      <w:r>
        <w:rPr>
          <w:rFonts w:hint="eastAsia" w:ascii="仿宋_GB2312" w:hAnsi="仿宋_GB2312" w:eastAsia="仿宋_GB2312" w:cs="仿宋_GB2312"/>
          <w:sz w:val="32"/>
          <w:lang w:val="en-US" w:eastAsia="zh-CN"/>
        </w:rPr>
        <w:t>红原县国土空间规划</w:t>
      </w:r>
      <w:r>
        <w:rPr>
          <w:rFonts w:hint="eastAsia" w:ascii="仿宋_GB2312" w:hAnsi="仿宋_GB2312" w:eastAsia="仿宋_GB2312" w:cs="仿宋_GB2312"/>
          <w:sz w:val="32"/>
        </w:rPr>
        <w:t>工作。</w:t>
      </w:r>
      <w:r>
        <w:rPr>
          <w:rFonts w:hint="eastAsia" w:ascii="仿宋_GB2312" w:hAnsi="仿宋_GB2312" w:eastAsia="仿宋_GB2312" w:cs="仿宋_GB2312"/>
          <w:color w:val="auto"/>
          <w:kern w:val="2"/>
          <w:sz w:val="32"/>
          <w:szCs w:val="24"/>
          <w:lang w:val="en-US" w:eastAsia="zh-CN" w:bidi="ar-SA"/>
        </w:rPr>
        <w:t>四川省级、阿坝州级、红原县级国土空间规划尚未正式公布，“三区三线”工作目前一直处于推进中，将</w:t>
      </w:r>
      <w:r>
        <w:rPr>
          <w:rFonts w:hint="eastAsia" w:ascii="仿宋_GB2312" w:hAnsi="仿宋_GB2312" w:eastAsia="仿宋_GB2312" w:cs="仿宋_GB2312"/>
          <w:sz w:val="32"/>
          <w:szCs w:val="32"/>
          <w:lang w:eastAsia="zh-CN"/>
        </w:rPr>
        <w:t>按照省厅相关要求继续做好“三区三线”</w:t>
      </w:r>
      <w:r>
        <w:rPr>
          <w:rFonts w:hint="eastAsia" w:ascii="仿宋_GB2312" w:hAnsi="仿宋_GB2312" w:eastAsia="仿宋_GB2312" w:cs="仿宋_GB2312"/>
          <w:sz w:val="32"/>
          <w:szCs w:val="32"/>
          <w:lang w:val="en-US" w:eastAsia="zh-CN"/>
        </w:rPr>
        <w:t>划定</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color w:val="auto"/>
          <w:sz w:val="32"/>
          <w:szCs w:val="24"/>
          <w:lang w:eastAsia="zh-CN"/>
        </w:rPr>
        <w:t>；</w:t>
      </w:r>
      <w:r>
        <w:rPr>
          <w:rFonts w:hint="eastAsia" w:ascii="仿宋_GB2312" w:eastAsia="仿宋_GB2312" w:cs="仿宋_GB2312"/>
          <w:b/>
          <w:bCs/>
          <w:color w:val="auto"/>
          <w:sz w:val="32"/>
          <w:szCs w:val="24"/>
          <w:lang w:val="en-US" w:eastAsia="zh-CN"/>
        </w:rPr>
        <w:t>二是</w:t>
      </w:r>
      <w:r>
        <w:rPr>
          <w:rFonts w:hint="eastAsia" w:ascii="仿宋_GB2312" w:eastAsia="仿宋_GB2312"/>
          <w:sz w:val="32"/>
          <w:lang w:val="en-US" w:eastAsia="zh-CN"/>
        </w:rPr>
        <w:t>乡村片区国土空间规划</w:t>
      </w:r>
      <w:r>
        <w:rPr>
          <w:rFonts w:hint="eastAsia" w:ascii="仿宋_GB2312" w:eastAsia="仿宋_GB2312"/>
          <w:sz w:val="32"/>
        </w:rPr>
        <w:t>工作。</w:t>
      </w:r>
      <w:r>
        <w:rPr>
          <w:rFonts w:hint="eastAsia" w:ascii="仿宋_GB2312" w:eastAsia="仿宋_GB2312"/>
          <w:sz w:val="32"/>
          <w:lang w:val="en-US" w:eastAsia="zh-CN"/>
        </w:rPr>
        <w:t>我县于2022年5月底开始规划编制工作，截止目前已初步完成安曲片区国土空间总体规划编制和壤口、龙日两个村级片区编制。第二批次的瓦切长征文化片区、邛溪城乡融合乡镇片区和第一批热坤、德香、下哈拉玛3个村级片区成果正在编制过程中，预计到2022年底完成全县60%的乡镇片区国土空间规划、28%的村级片区国土空间规划。</w:t>
      </w:r>
    </w:p>
    <w:p w14:paraId="5234702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Style w:val="14"/>
          <w:rFonts w:hint="eastAsia" w:ascii="楷体_GB2312" w:eastAsia="楷体_GB2312" w:cs="楷体_GB2312"/>
          <w:b/>
          <w:bCs/>
          <w:kern w:val="2"/>
          <w:sz w:val="32"/>
          <w:szCs w:val="32"/>
          <w:lang w:val="en-US" w:eastAsia="zh-CN" w:bidi="ar-SA"/>
        </w:rPr>
      </w:pPr>
      <w:r>
        <w:rPr>
          <w:rStyle w:val="14"/>
          <w:rFonts w:hint="eastAsia" w:ascii="楷体_GB2312" w:eastAsia="楷体_GB2312" w:cs="楷体_GB2312"/>
          <w:b/>
          <w:bCs/>
          <w:kern w:val="2"/>
          <w:sz w:val="32"/>
          <w:szCs w:val="32"/>
          <w:lang w:val="en-US" w:eastAsia="zh-CN" w:bidi="ar-SA"/>
        </w:rPr>
        <w:t>（三）规划审批工作</w:t>
      </w:r>
    </w:p>
    <w:p w14:paraId="2EF8B2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4"/>
          <w:rFonts w:ascii="仿宋_GB2312" w:eastAsia="仿宋_GB2312"/>
          <w:b w:val="0"/>
          <w:bCs w:val="0"/>
          <w:color w:val="000000"/>
          <w:kern w:val="2"/>
          <w:sz w:val="32"/>
          <w:szCs w:val="32"/>
          <w:lang w:val="en-US" w:eastAsia="zh-CN" w:bidi="ar-SA"/>
        </w:rPr>
      </w:pPr>
      <w:r>
        <w:rPr>
          <w:rFonts w:hint="eastAsia" w:ascii="仿宋_GB2312" w:eastAsia="仿宋_GB2312"/>
          <w:sz w:val="32"/>
          <w:lang w:val="en-US" w:eastAsia="zh-CN"/>
        </w:rPr>
        <w:t>审批项目29项，办理选址意见书20份，办理用地规划许可证29份，工程规划许可证29份，下达规划条件函7份</w:t>
      </w:r>
      <w:r>
        <w:rPr>
          <w:rFonts w:hint="eastAsia" w:ascii="仿宋_GB2312" w:eastAsia="仿宋_GB2312"/>
          <w:sz w:val="32"/>
        </w:rPr>
        <w:t>。</w:t>
      </w:r>
    </w:p>
    <w:p w14:paraId="57265421">
      <w:pPr>
        <w:pStyle w:val="1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Style w:val="14"/>
          <w:rFonts w:ascii="楷体_GB2312" w:eastAsia="楷体_GB2312" w:cs="楷体_GB2312"/>
          <w:b/>
          <w:bCs/>
          <w:color w:val="000000"/>
          <w:sz w:val="32"/>
          <w:szCs w:val="32"/>
          <w:lang w:val="en-US" w:eastAsia="zh-CN"/>
        </w:rPr>
      </w:pPr>
      <w:r>
        <w:rPr>
          <w:rStyle w:val="14"/>
          <w:rFonts w:hint="eastAsia" w:ascii="楷体_GB2312" w:eastAsia="楷体_GB2312" w:cs="楷体_GB2312"/>
          <w:b/>
          <w:bCs/>
          <w:color w:val="000000"/>
          <w:sz w:val="32"/>
          <w:szCs w:val="32"/>
          <w:lang w:val="en-US" w:eastAsia="zh-CN"/>
        </w:rPr>
        <w:t>（四）</w:t>
      </w:r>
      <w:r>
        <w:rPr>
          <w:rStyle w:val="14"/>
          <w:rFonts w:ascii="楷体_GB2312" w:eastAsia="楷体_GB2312" w:cs="楷体_GB2312"/>
          <w:b/>
          <w:bCs/>
          <w:color w:val="000000"/>
          <w:sz w:val="32"/>
          <w:szCs w:val="32"/>
          <w:lang w:val="en-US" w:eastAsia="zh-CN"/>
        </w:rPr>
        <w:t>执法监察工作</w:t>
      </w:r>
    </w:p>
    <w:p w14:paraId="391980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s="仿宋_GB2312"/>
          <w:sz w:val="32"/>
          <w:szCs w:val="32"/>
          <w:lang w:val="en-US" w:eastAsia="zh-CN"/>
        </w:rPr>
      </w:pPr>
      <w:r>
        <w:rPr>
          <w:rFonts w:hint="eastAsia" w:ascii="仿宋_GB2312" w:eastAsia="仿宋_GB2312" w:cs="仿宋_GB2312"/>
          <w:b/>
          <w:bCs/>
          <w:sz w:val="32"/>
          <w:szCs w:val="32"/>
        </w:rPr>
        <w:t>一是</w:t>
      </w:r>
      <w:r>
        <w:rPr>
          <w:rFonts w:hint="eastAsia" w:ascii="仿宋_GB2312" w:eastAsia="仿宋_GB2312" w:cs="仿宋_GB2312"/>
          <w:sz w:val="32"/>
          <w:szCs w:val="32"/>
        </w:rPr>
        <w:t>县域内乱搭乱建乱占整治工作，我局会同相关部门在县城规划区内开展了非法占地、乱圈乱占、乱搭乱建清理排查工作。经摸排，县城规划区内在建自建房15处，非法占地、乱圈乱占、乱搭乱建违法行为违法行为19处。发出《责令拆除违法建筑通知书》</w:t>
      </w: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份。</w:t>
      </w:r>
      <w:r>
        <w:rPr>
          <w:rFonts w:hint="eastAsia" w:ascii="仿宋_GB2312" w:eastAsia="仿宋_GB2312" w:cs="仿宋_GB2312"/>
          <w:b/>
          <w:bCs/>
          <w:sz w:val="32"/>
          <w:szCs w:val="32"/>
          <w:lang w:val="en-US" w:eastAsia="zh-CN"/>
        </w:rPr>
        <w:t>二</w:t>
      </w:r>
      <w:r>
        <w:rPr>
          <w:rFonts w:hint="eastAsia" w:ascii="仿宋_GB2312" w:eastAsia="仿宋_GB2312" w:cs="仿宋_GB2312"/>
          <w:b/>
          <w:bCs/>
          <w:sz w:val="32"/>
          <w:szCs w:val="32"/>
        </w:rPr>
        <w:t>是</w:t>
      </w:r>
      <w:r>
        <w:rPr>
          <w:rFonts w:hint="eastAsia" w:ascii="仿宋_GB2312" w:eastAsia="仿宋_GB2312" w:cs="仿宋_GB2312"/>
          <w:sz w:val="32"/>
          <w:szCs w:val="32"/>
        </w:rPr>
        <w:t>乱采乱挖整治工作，4月20日，在色地镇日西村发现非法盗采泥炭资源1起，目前，该案件</w:t>
      </w:r>
      <w:r>
        <w:rPr>
          <w:rFonts w:hint="eastAsia" w:ascii="仿宋_GB2312" w:eastAsia="仿宋_GB2312" w:cs="仿宋_GB2312"/>
          <w:sz w:val="32"/>
          <w:szCs w:val="32"/>
          <w:lang w:val="en-US" w:eastAsia="zh-CN"/>
        </w:rPr>
        <w:t>已移交森林公安进行督办</w:t>
      </w:r>
      <w:r>
        <w:rPr>
          <w:rFonts w:hint="eastAsia" w:ascii="仿宋_GB2312" w:eastAsia="仿宋_GB2312" w:cs="仿宋_GB2312"/>
          <w:sz w:val="32"/>
          <w:szCs w:val="32"/>
        </w:rPr>
        <w:t>；6月2日，查处非法盗采泥炭资源案件1起，罚款1.5万元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7月20日，查处色地非法采挖土石料案件一起罚款4.5万元；9月21日，查处安曲镇非法占用土地案件一起，罚款2894017.56元，以上罚没收入均已上交。</w:t>
      </w:r>
      <w:r>
        <w:rPr>
          <w:rFonts w:hint="eastAsia" w:ascii="仿宋_GB2312" w:eastAsia="仿宋_GB2312" w:cs="仿宋_GB2312"/>
          <w:sz w:val="32"/>
          <w:szCs w:val="32"/>
        </w:rPr>
        <w:t>此外，久马高速TJ9标段和TJ6标段共有三处涉嫌在临时用地内非法采挖土石料的违法</w:t>
      </w:r>
      <w:r>
        <w:rPr>
          <w:rFonts w:hint="eastAsia" w:ascii="仿宋_GB2312" w:eastAsia="仿宋_GB2312" w:cs="仿宋_GB2312"/>
          <w:sz w:val="32"/>
          <w:szCs w:val="32"/>
          <w:lang w:val="en-US" w:eastAsia="zh-CN"/>
        </w:rPr>
        <w:t>行为，目前方量已核实完毕，正在立案调查。</w:t>
      </w: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lang w:val="en-US" w:eastAsia="zh-CN"/>
        </w:rPr>
        <w:t>卫片执法，完成了66个土地卫片图斑外业核查工作，完成1个土地卫片连线举证工作，现已通过省厅验收。完成2021年度119个耕地流向建设用地问题图斑外业核查。</w:t>
      </w:r>
    </w:p>
    <w:p w14:paraId="72EC0EA2">
      <w:pPr>
        <w:pStyle w:val="17"/>
        <w:keepNext w:val="0"/>
        <w:keepLines w:val="0"/>
        <w:pageBreakBefore w:val="0"/>
        <w:widowControl/>
        <w:pBdr>
          <w:bottom w:val="none" w:color="auto" w:sz="0" w:space="0"/>
        </w:pBdr>
        <w:kinsoku/>
        <w:wordWrap/>
        <w:overflowPunct/>
        <w:topLinePunct w:val="0"/>
        <w:autoSpaceDE/>
        <w:autoSpaceDN/>
        <w:bidi w:val="0"/>
        <w:adjustRightInd/>
        <w:snapToGrid/>
        <w:spacing w:before="0" w:beforeAutospacing="0" w:after="0" w:afterAutospacing="0" w:line="560" w:lineRule="exact"/>
        <w:ind w:right="300" w:firstLine="643" w:firstLineChars="200"/>
        <w:jc w:val="left"/>
        <w:textAlignment w:val="auto"/>
        <w:rPr>
          <w:rStyle w:val="14"/>
          <w:rFonts w:ascii="仿宋_GB2312" w:eastAsia="仿宋_GB2312" w:cs="仿宋_GB2312"/>
          <w:b/>
          <w:bCs/>
          <w:kern w:val="2"/>
          <w:sz w:val="32"/>
          <w:szCs w:val="32"/>
          <w:lang w:val="en-US" w:eastAsia="zh-CN" w:bidi="ar-SA"/>
        </w:rPr>
      </w:pPr>
      <w:r>
        <w:rPr>
          <w:rStyle w:val="14"/>
          <w:rFonts w:ascii="楷体" w:eastAsia="楷体" w:cs="楷体"/>
          <w:b/>
          <w:bCs/>
          <w:kern w:val="0"/>
          <w:sz w:val="32"/>
          <w:szCs w:val="32"/>
          <w:lang w:val="en-US" w:eastAsia="zh-CN"/>
        </w:rPr>
        <w:t>（</w:t>
      </w:r>
      <w:r>
        <w:rPr>
          <w:rStyle w:val="14"/>
          <w:rFonts w:hint="eastAsia" w:ascii="楷体" w:eastAsia="楷体" w:cs="楷体"/>
          <w:b/>
          <w:bCs/>
          <w:kern w:val="0"/>
          <w:sz w:val="32"/>
          <w:szCs w:val="32"/>
          <w:lang w:val="en-US" w:eastAsia="zh-CN"/>
        </w:rPr>
        <w:t>五</w:t>
      </w:r>
      <w:r>
        <w:rPr>
          <w:rStyle w:val="14"/>
          <w:rFonts w:ascii="楷体" w:eastAsia="楷体" w:cs="楷体"/>
          <w:b/>
          <w:bCs/>
          <w:kern w:val="0"/>
          <w:sz w:val="32"/>
          <w:szCs w:val="32"/>
          <w:lang w:val="en-US" w:eastAsia="zh-CN"/>
        </w:rPr>
        <w:t>）不动产登记工作</w:t>
      </w:r>
    </w:p>
    <w:p w14:paraId="2471C69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Style w:val="14"/>
          <w:rFonts w:ascii="仿宋_GB2312" w:eastAsia="仿宋_GB2312" w:cs="仿宋_GB2312"/>
          <w:b/>
          <w:bCs/>
          <w:kern w:val="2"/>
          <w:sz w:val="32"/>
          <w:szCs w:val="32"/>
          <w:lang w:val="en-US" w:eastAsia="zh-CN" w:bidi="ar-SA"/>
        </w:rPr>
      </w:pPr>
      <w:r>
        <w:rPr>
          <w:rFonts w:hint="eastAsia" w:ascii="仿宋_GB2312" w:eastAsia="仿宋_GB2312" w:cs="仿宋_GB2312"/>
          <w:sz w:val="32"/>
          <w:szCs w:val="32"/>
          <w:lang w:val="en-US" w:eastAsia="zh-CN"/>
        </w:rPr>
        <w:t>开展全县“</w:t>
      </w:r>
      <w:r>
        <w:rPr>
          <w:rFonts w:ascii="仿宋_GB2312" w:eastAsia="仿宋_GB2312" w:cs="仿宋_GB2312"/>
          <w:sz w:val="32"/>
          <w:szCs w:val="32"/>
          <w:lang w:val="en-US" w:eastAsia="zh-CN"/>
        </w:rPr>
        <w:t>农村</w:t>
      </w:r>
      <w:r>
        <w:rPr>
          <w:rFonts w:hint="eastAsia" w:ascii="仿宋_GB2312" w:eastAsia="仿宋_GB2312" w:cs="仿宋_GB2312"/>
          <w:sz w:val="32"/>
          <w:szCs w:val="32"/>
          <w:lang w:val="en-US" w:eastAsia="zh-CN"/>
        </w:rPr>
        <w:t>房地一体”权籍调查</w:t>
      </w:r>
      <w:r>
        <w:rPr>
          <w:rFonts w:ascii="仿宋_GB2312" w:eastAsia="仿宋_GB2312" w:cs="仿宋_GB2312"/>
          <w:sz w:val="32"/>
          <w:szCs w:val="32"/>
          <w:lang w:val="en-US" w:eastAsia="zh-CN"/>
        </w:rPr>
        <w:t>及入库</w:t>
      </w:r>
      <w:r>
        <w:rPr>
          <w:rFonts w:hint="eastAsia" w:ascii="仿宋_GB2312" w:eastAsia="仿宋_GB2312" w:cs="仿宋_GB2312"/>
          <w:sz w:val="32"/>
          <w:szCs w:val="32"/>
          <w:lang w:val="en-US" w:eastAsia="zh-CN"/>
        </w:rPr>
        <w:t>工作，</w:t>
      </w:r>
      <w:r>
        <w:rPr>
          <w:rFonts w:hint="eastAsia" w:ascii="仿宋_GB2312" w:eastAsia="仿宋_GB2312" w:cs="仿宋_GB2312"/>
          <w:sz w:val="32"/>
          <w:szCs w:val="32"/>
          <w:lang w:eastAsia="zh-CN"/>
        </w:rPr>
        <w:t>共计测绘</w:t>
      </w:r>
      <w:r>
        <w:rPr>
          <w:rFonts w:ascii="仿宋_GB2312" w:eastAsia="仿宋_GB2312" w:cs="仿宋_GB2312"/>
          <w:sz w:val="32"/>
          <w:szCs w:val="32"/>
          <w:lang w:val="en-US" w:eastAsia="zh-CN"/>
        </w:rPr>
        <w:t>7663</w:t>
      </w:r>
      <w:r>
        <w:rPr>
          <w:rFonts w:hint="eastAsia" w:ascii="仿宋_GB2312" w:eastAsia="仿宋_GB2312" w:cs="仿宋_GB2312"/>
          <w:sz w:val="32"/>
          <w:szCs w:val="32"/>
          <w:lang w:val="en-US" w:eastAsia="zh-CN"/>
        </w:rPr>
        <w:t>户，</w:t>
      </w:r>
      <w:r>
        <w:rPr>
          <w:rFonts w:ascii="仿宋_GB2312" w:eastAsia="仿宋_GB2312" w:cs="仿宋_GB2312"/>
          <w:sz w:val="32"/>
          <w:szCs w:val="32"/>
          <w:lang w:val="en-US" w:eastAsia="zh-CN"/>
        </w:rPr>
        <w:t>完成数据入库6792</w:t>
      </w:r>
      <w:r>
        <w:rPr>
          <w:rFonts w:hint="eastAsia" w:ascii="仿宋_GB2312" w:eastAsia="仿宋_GB2312" w:cs="仿宋_GB2312"/>
          <w:sz w:val="32"/>
          <w:szCs w:val="32"/>
          <w:lang w:val="en-US" w:eastAsia="zh-CN"/>
        </w:rPr>
        <w:t>户。开展了我县2021土地变更调查，完成了龙日镇龙日坝村改制草原确权发包工作和全县寺庙打桩定界工作外业测绘</w:t>
      </w:r>
      <w:r>
        <w:rPr>
          <w:rFonts w:ascii="仿宋_GB2312" w:eastAsia="仿宋_GB2312" w:cs="仿宋_GB2312"/>
          <w:sz w:val="32"/>
          <w:szCs w:val="32"/>
          <w:lang w:val="en-US" w:eastAsia="zh-CN"/>
        </w:rPr>
        <w:t>。</w:t>
      </w:r>
    </w:p>
    <w:p w14:paraId="4EE96A92">
      <w:pPr>
        <w:pStyle w:val="1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Fonts w:ascii="楷体_GB2312" w:eastAsia="楷体_GB2312"/>
          <w:b/>
          <w:bCs w:val="0"/>
          <w:kern w:val="2"/>
          <w:sz w:val="32"/>
          <w:szCs w:val="32"/>
          <w:lang w:val="en-US" w:eastAsia="zh-CN" w:bidi="ar-SA"/>
        </w:rPr>
      </w:pPr>
      <w:r>
        <w:rPr>
          <w:rFonts w:hint="eastAsia" w:ascii="楷体_GB2312" w:eastAsia="楷体_GB2312"/>
          <w:b/>
          <w:bCs w:val="0"/>
          <w:kern w:val="2"/>
          <w:sz w:val="32"/>
          <w:szCs w:val="32"/>
          <w:lang w:val="en-US" w:eastAsia="zh-CN" w:bidi="ar-SA"/>
        </w:rPr>
        <w:t>（六）</w:t>
      </w:r>
      <w:r>
        <w:rPr>
          <w:rFonts w:ascii="楷体_GB2312" w:eastAsia="楷体_GB2312"/>
          <w:b/>
          <w:bCs w:val="0"/>
          <w:kern w:val="2"/>
          <w:sz w:val="32"/>
          <w:szCs w:val="32"/>
          <w:lang w:val="en-US" w:eastAsia="zh-CN" w:bidi="ar-SA"/>
        </w:rPr>
        <w:t>地质灾害防治工作</w:t>
      </w:r>
    </w:p>
    <w:p w14:paraId="2B889E59">
      <w:pPr>
        <w:pStyle w:val="6"/>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lang w:val="en-US" w:eastAsia="zh-CN"/>
        </w:rPr>
      </w:pPr>
      <w:r>
        <w:rPr>
          <w:rFonts w:hint="eastAsia" w:ascii="仿宋_GB2312" w:eastAsia="仿宋_GB2312" w:cs="仿宋_GB2312"/>
          <w:b/>
          <w:bCs/>
          <w:color w:val="auto"/>
          <w:kern w:val="2"/>
          <w:sz w:val="32"/>
          <w:szCs w:val="32"/>
          <w:lang w:val="en-US" w:eastAsia="zh-CN" w:bidi="ar-SA"/>
        </w:rPr>
        <w:t>一是</w:t>
      </w:r>
      <w:r>
        <w:rPr>
          <w:rFonts w:hint="eastAsia" w:ascii="仿宋_GB2312" w:eastAsia="仿宋_GB2312" w:cs="仿宋_GB2312"/>
          <w:color w:val="auto"/>
          <w:kern w:val="2"/>
          <w:sz w:val="32"/>
          <w:szCs w:val="32"/>
          <w:lang w:val="en-US" w:eastAsia="zh-CN" w:bidi="ar-SA"/>
        </w:rPr>
        <w:t>开展了全县地灾隐患排查工作、全县秋雨秋汛地质灾害隐患风险排查、先后开展了两轮“6.10”马尔康地震灾后应急排查以及“9·5”泸定县地震震后次生地质灾害排查。向受地灾威胁的群众发放《防灾预案表》、《防灾明白卡》和《避险明白卡》366份。</w:t>
      </w:r>
      <w:r>
        <w:rPr>
          <w:rFonts w:hint="eastAsia" w:ascii="仿宋_GB2312" w:eastAsia="仿宋_GB2312" w:cs="仿宋_GB2312"/>
          <w:b/>
          <w:bCs/>
          <w:color w:val="auto"/>
          <w:kern w:val="2"/>
          <w:sz w:val="32"/>
          <w:szCs w:val="32"/>
          <w:lang w:val="en-US" w:eastAsia="zh-CN" w:bidi="ar-SA"/>
        </w:rPr>
        <w:t>二是</w:t>
      </w:r>
      <w:r>
        <w:rPr>
          <w:rFonts w:hint="eastAsia" w:ascii="仿宋_GB2312" w:eastAsia="仿宋_GB2312" w:cs="仿宋_GB2312"/>
          <w:color w:val="auto"/>
          <w:kern w:val="2"/>
          <w:sz w:val="32"/>
          <w:szCs w:val="32"/>
          <w:lang w:val="en-US" w:eastAsia="zh-CN" w:bidi="ar-SA"/>
        </w:rPr>
        <w:t>开展了地质灾害防治知识宣传培训，全年开展地灾防治知识宣传培训67场，参与人数1894人，发放宣传资料1200余份。</w:t>
      </w:r>
      <w:r>
        <w:rPr>
          <w:rFonts w:hint="eastAsia" w:ascii="仿宋_GB2312" w:eastAsia="仿宋_GB2312" w:cs="仿宋_GB2312"/>
          <w:b/>
          <w:bCs/>
          <w:color w:val="auto"/>
          <w:kern w:val="2"/>
          <w:sz w:val="32"/>
          <w:szCs w:val="32"/>
          <w:lang w:val="en-US" w:eastAsia="zh-CN" w:bidi="ar-SA"/>
        </w:rPr>
        <w:t>三是</w:t>
      </w:r>
      <w:r>
        <w:rPr>
          <w:rFonts w:hint="eastAsia" w:ascii="仿宋_GB2312" w:eastAsia="仿宋_GB2312" w:cs="仿宋_GB2312"/>
          <w:color w:val="auto"/>
          <w:kern w:val="2"/>
          <w:sz w:val="32"/>
          <w:szCs w:val="32"/>
          <w:lang w:val="en-US" w:eastAsia="zh-CN" w:bidi="ar-SA"/>
        </w:rPr>
        <w:t>在地质灾害隐患点开展逐点应急演练42场，参与人数793人。通过开展地质灾害防治知识宣传培训和应急演练工作，切实提高了我县人民群众防灾避灾能力。</w:t>
      </w:r>
      <w:r>
        <w:rPr>
          <w:rFonts w:hint="eastAsia" w:ascii="仿宋_GB2312" w:eastAsia="仿宋_GB2312" w:cs="仿宋_GB2312"/>
          <w:b/>
          <w:bCs/>
          <w:color w:val="auto"/>
          <w:kern w:val="2"/>
          <w:sz w:val="32"/>
          <w:szCs w:val="32"/>
          <w:lang w:val="en-US" w:eastAsia="zh-CN" w:bidi="ar-SA"/>
        </w:rPr>
        <w:t>四是</w:t>
      </w:r>
      <w:r>
        <w:rPr>
          <w:rFonts w:hint="eastAsia" w:ascii="仿宋_GB2312" w:eastAsia="仿宋_GB2312" w:cs="仿宋_GB2312"/>
          <w:color w:val="auto"/>
          <w:kern w:val="2"/>
          <w:sz w:val="32"/>
          <w:szCs w:val="32"/>
          <w:lang w:val="en-US" w:eastAsia="zh-CN" w:bidi="ar-SA"/>
        </w:rPr>
        <w:t>加强项目监管，本年度我局共实施地质灾害治理项目2个，“阿木乡麦洼寺玛仲玛泥石流治理工程”已竣工，“色地镇从都街入口处滑坡治理工程”正在施工，计划10月底前完工。完成了红原县群专结合监测预警体系建设，全面提升了我县的防灾减灾能力。</w:t>
      </w:r>
      <w:r>
        <w:rPr>
          <w:rFonts w:hint="eastAsia" w:ascii="仿宋_GB2312" w:eastAsia="仿宋_GB2312" w:cs="仿宋_GB2312"/>
          <w:b/>
          <w:bCs/>
          <w:color w:val="auto"/>
          <w:kern w:val="2"/>
          <w:sz w:val="32"/>
          <w:szCs w:val="32"/>
          <w:lang w:val="en-US" w:eastAsia="zh-CN" w:bidi="ar-SA"/>
        </w:rPr>
        <w:t>五是</w:t>
      </w:r>
      <w:r>
        <w:rPr>
          <w:rFonts w:hint="eastAsia" w:ascii="仿宋_GB2312" w:eastAsia="仿宋_GB2312" w:cs="仿宋_GB2312"/>
          <w:sz w:val="32"/>
          <w:szCs w:val="32"/>
          <w:lang w:val="en-US" w:eastAsia="zh-CN"/>
        </w:rPr>
        <w:t>积极推进</w:t>
      </w:r>
      <w:r>
        <w:rPr>
          <w:rFonts w:ascii="仿宋_GB2312" w:eastAsia="仿宋_GB2312" w:cs="仿宋_GB2312"/>
          <w:sz w:val="32"/>
          <w:szCs w:val="32"/>
          <w:lang w:eastAsia="zh-CN"/>
        </w:rPr>
        <w:t>“6·10”马尔康6.0级震群地震灾后恢复重建工作</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开展了震后地质灾害风险排查及安置点评估，</w:t>
      </w:r>
      <w:r>
        <w:rPr>
          <w:rFonts w:hint="eastAsia" w:ascii="仿宋_GB2312" w:eastAsia="仿宋_GB2312" w:cs="仿宋_GB2312"/>
          <w:spacing w:val="-7"/>
          <w:kern w:val="2"/>
          <w:sz w:val="32"/>
          <w:szCs w:val="32"/>
          <w:lang w:val="en-US" w:eastAsia="zh-CN" w:bidi="ar-SA"/>
        </w:rPr>
        <w:t>排查报告已编制完成</w:t>
      </w:r>
      <w:r>
        <w:rPr>
          <w:rFonts w:hint="eastAsia" w:ascii="仿宋_GB2312" w:eastAsia="仿宋_GB2312" w:cs="仿宋_GB2312"/>
          <w:sz w:val="32"/>
          <w:szCs w:val="32"/>
          <w:lang w:val="en-US" w:eastAsia="zh-CN"/>
        </w:rPr>
        <w:t>；红原县查尔玛乡查龙村村委会后</w:t>
      </w:r>
      <w:r>
        <w:rPr>
          <w:rFonts w:hint="eastAsia" w:ascii="仿宋_GB2312" w:eastAsia="仿宋_GB2312" w:cs="仿宋_GB2312"/>
          <w:spacing w:val="-6"/>
          <w:sz w:val="32"/>
          <w:szCs w:val="32"/>
          <w:lang w:val="en-US" w:eastAsia="zh-CN"/>
        </w:rPr>
        <w:t>山滑坡应急排危项目已完成评审，</w:t>
      </w:r>
      <w:r>
        <w:rPr>
          <w:rFonts w:hint="eastAsia" w:ascii="仿宋_GB2312" w:eastAsia="仿宋_GB2312" w:cs="仿宋_GB2312"/>
          <w:spacing w:val="-6"/>
          <w:kern w:val="2"/>
          <w:sz w:val="32"/>
          <w:szCs w:val="32"/>
          <w:lang w:val="en-US" w:eastAsia="zh-CN" w:bidi="ar-SA"/>
        </w:rPr>
        <w:t>目前正在根据专家意见进行调整。</w:t>
      </w:r>
    </w:p>
    <w:p w14:paraId="1D9FD3DE">
      <w:pPr>
        <w:pStyle w:val="19"/>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3" w:firstLineChars="200"/>
        <w:textAlignment w:val="auto"/>
        <w:rPr>
          <w:rFonts w:ascii="楷体_GB2312" w:eastAsia="楷体_GB2312" w:cs="Arial"/>
          <w:b/>
          <w:bCs w:val="0"/>
          <w:spacing w:val="0"/>
          <w:kern w:val="2"/>
          <w:sz w:val="32"/>
          <w:szCs w:val="32"/>
          <w:lang w:val="en-US" w:eastAsia="zh-CN" w:bidi="ar-SA"/>
        </w:rPr>
      </w:pPr>
      <w:r>
        <w:rPr>
          <w:rFonts w:hint="eastAsia" w:ascii="楷体_GB2312" w:eastAsia="楷体_GB2312" w:cs="Arial"/>
          <w:b/>
          <w:bCs w:val="0"/>
          <w:spacing w:val="0"/>
          <w:kern w:val="2"/>
          <w:sz w:val="32"/>
          <w:szCs w:val="32"/>
          <w:lang w:val="en-US" w:eastAsia="zh-CN" w:bidi="ar-SA"/>
        </w:rPr>
        <w:t>（七）山水林田湖草沙冰项目</w:t>
      </w:r>
    </w:p>
    <w:p w14:paraId="09125A33">
      <w:pPr>
        <w:pStyle w:val="19"/>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24"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我局共申报“山水工程”项目3个，</w:t>
      </w:r>
      <w:r>
        <w:rPr>
          <w:rFonts w:hint="eastAsia" w:ascii="Times New Roman" w:hAnsi="Times New Roman" w:eastAsia="仿宋_GB2312" w:cs="Times New Roman"/>
          <w:b/>
          <w:bCs/>
          <w:color w:val="auto"/>
          <w:sz w:val="32"/>
          <w:szCs w:val="32"/>
          <w:lang w:val="en-US" w:eastAsia="zh-CN"/>
        </w:rPr>
        <w:t>一是</w:t>
      </w:r>
      <w:r>
        <w:rPr>
          <w:rFonts w:hint="eastAsia" w:ascii="Times New Roman" w:hAnsi="Times New Roman" w:eastAsia="仿宋_GB2312" w:cs="Times New Roman"/>
          <w:b w:val="0"/>
          <w:bCs w:val="0"/>
          <w:color w:val="auto"/>
          <w:sz w:val="32"/>
          <w:szCs w:val="32"/>
          <w:lang w:val="en-US" w:eastAsia="zh-CN"/>
        </w:rPr>
        <w:t>红原县地质灾害生态综合整治修复子项目，项目资金324万元，涉及两个子项目，阿木乡麦洼寺玛仲玛泥石流治理工程项目已于6月中旬竣工。色地镇丛都街入口处滑坡治理工程项目已进场施工，目前已完成工作量95%；</w:t>
      </w:r>
      <w:r>
        <w:rPr>
          <w:rFonts w:hint="eastAsia"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b w:val="0"/>
          <w:bCs w:val="0"/>
          <w:color w:val="auto"/>
          <w:sz w:val="32"/>
          <w:szCs w:val="32"/>
          <w:lang w:val="en-US" w:eastAsia="zh-CN"/>
        </w:rPr>
        <w:t>红原县黄河长江上游历史废弃工矿取料点生态修复子项目，总投资2713万元，为申请中央奖补项目，目前施工招标挂网已完成，开标结果正在公示中。</w:t>
      </w:r>
      <w:r>
        <w:rPr>
          <w:rFonts w:hint="eastAsia" w:ascii="Times New Roman" w:hAnsi="Times New Roman" w:eastAsia="仿宋_GB2312" w:cs="Times New Roman"/>
          <w:b/>
          <w:bCs/>
          <w:color w:val="auto"/>
          <w:sz w:val="32"/>
          <w:szCs w:val="32"/>
          <w:lang w:val="en-US" w:eastAsia="zh-CN"/>
        </w:rPr>
        <w:t>三是</w:t>
      </w:r>
      <w:r>
        <w:rPr>
          <w:rFonts w:hint="eastAsia" w:ascii="Times New Roman" w:hAnsi="Times New Roman" w:eastAsia="仿宋_GB2312" w:cs="Times New Roman"/>
          <w:b w:val="0"/>
          <w:bCs w:val="0"/>
          <w:color w:val="auto"/>
          <w:sz w:val="32"/>
          <w:szCs w:val="32"/>
          <w:lang w:val="en-US" w:eastAsia="zh-CN"/>
        </w:rPr>
        <w:t>红原县黄河长江上游历史废弃工矿取料点生态修复子项目（第二批），总投资4000万元，为申请中央奖补项目，9月29日已开标，开标结果正在公示中。</w:t>
      </w:r>
    </w:p>
    <w:p w14:paraId="4D874D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color w:val="auto"/>
          <w:sz w:val="32"/>
          <w:szCs w:val="32"/>
        </w:rPr>
      </w:pPr>
      <w:r>
        <w:rPr>
          <w:rFonts w:hint="eastAsia" w:ascii="黑体" w:eastAsia="黑体"/>
          <w:color w:val="auto"/>
          <w:sz w:val="32"/>
          <w:szCs w:val="32"/>
        </w:rPr>
        <w:t>二、</w:t>
      </w:r>
      <w:r>
        <w:rPr>
          <w:rFonts w:hint="eastAsia" w:ascii="黑体" w:eastAsia="黑体"/>
          <w:color w:val="auto"/>
          <w:sz w:val="32"/>
          <w:szCs w:val="32"/>
          <w:lang w:eastAsia="zh-CN"/>
        </w:rPr>
        <w:t>部门</w:t>
      </w:r>
      <w:r>
        <w:rPr>
          <w:rFonts w:hint="eastAsia" w:ascii="黑体" w:eastAsia="黑体"/>
          <w:color w:val="auto"/>
          <w:sz w:val="32"/>
          <w:szCs w:val="32"/>
          <w:lang w:val="en-US" w:eastAsia="zh-CN"/>
        </w:rPr>
        <w:t>预算</w:t>
      </w:r>
      <w:r>
        <w:rPr>
          <w:rFonts w:hint="eastAsia" w:ascii="黑体" w:eastAsia="黑体"/>
          <w:color w:val="auto"/>
          <w:sz w:val="32"/>
          <w:szCs w:val="32"/>
          <w:lang w:eastAsia="zh-CN"/>
        </w:rPr>
        <w:t>单位构成</w:t>
      </w:r>
    </w:p>
    <w:p w14:paraId="6692927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自然资源局含事业单位1个，为不动产登记中心。我局下设股室3个，分别是办公室、建设用地和规划股、资源环境和矿产管理股。</w:t>
      </w:r>
    </w:p>
    <w:p w14:paraId="58ADC9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color w:val="auto"/>
          <w:sz w:val="32"/>
          <w:szCs w:val="32"/>
          <w:lang w:val="en-US" w:eastAsia="zh-CN"/>
        </w:rPr>
      </w:pPr>
      <w:r>
        <w:rPr>
          <w:rFonts w:hint="eastAsia" w:ascii="黑体" w:eastAsia="黑体"/>
          <w:color w:val="auto"/>
          <w:sz w:val="32"/>
          <w:szCs w:val="32"/>
          <w:lang w:val="en-US" w:eastAsia="zh-CN"/>
        </w:rPr>
        <w:t>三、收支预算总体情况</w:t>
      </w:r>
    </w:p>
    <w:p w14:paraId="4542B86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w:t>
      </w:r>
      <w:r>
        <w:rPr>
          <w:rFonts w:hint="eastAsia" w:ascii="仿宋_GB2312" w:eastAsia="仿宋_GB2312"/>
          <w:color w:val="auto"/>
          <w:sz w:val="32"/>
          <w:szCs w:val="32"/>
          <w:lang w:eastAsia="zh-CN"/>
        </w:rPr>
        <w:t>我局</w:t>
      </w:r>
      <w:r>
        <w:rPr>
          <w:rFonts w:hint="eastAsia" w:ascii="仿宋_GB2312" w:eastAsia="仿宋_GB2312"/>
          <w:color w:val="auto"/>
          <w:sz w:val="32"/>
          <w:szCs w:val="32"/>
        </w:rPr>
        <w:t>收入预算总额为</w:t>
      </w:r>
      <w:r>
        <w:rPr>
          <w:rFonts w:hint="eastAsia" w:ascii="仿宋_GB2312" w:eastAsia="仿宋_GB2312"/>
          <w:color w:val="auto"/>
          <w:sz w:val="32"/>
          <w:szCs w:val="32"/>
          <w:lang w:val="en-US" w:eastAsia="zh-CN"/>
        </w:rPr>
        <w:t>602.33万元</w:t>
      </w:r>
      <w:r>
        <w:rPr>
          <w:rFonts w:hint="eastAsia" w:ascii="仿宋_GB2312" w:eastAsia="仿宋_GB2312"/>
          <w:color w:val="auto"/>
          <w:sz w:val="32"/>
          <w:szCs w:val="32"/>
        </w:rPr>
        <w:t>，其中：当年财政拨款收入</w:t>
      </w:r>
      <w:r>
        <w:rPr>
          <w:rFonts w:hint="eastAsia" w:ascii="仿宋_GB2312" w:eastAsia="仿宋_GB2312"/>
          <w:color w:val="auto"/>
          <w:sz w:val="32"/>
          <w:szCs w:val="32"/>
          <w:lang w:val="en-US" w:eastAsia="zh-CN"/>
        </w:rPr>
        <w:t>602.33万元</w:t>
      </w:r>
      <w:r>
        <w:rPr>
          <w:rFonts w:hint="eastAsia" w:ascii="仿宋_GB2312" w:eastAsia="仿宋_GB2312"/>
          <w:color w:val="auto"/>
          <w:sz w:val="32"/>
          <w:szCs w:val="32"/>
        </w:rPr>
        <w:t>。相应安排支出预算</w:t>
      </w:r>
      <w:r>
        <w:rPr>
          <w:rFonts w:hint="eastAsia" w:ascii="仿宋_GB2312" w:eastAsia="仿宋_GB2312"/>
          <w:color w:val="auto"/>
          <w:sz w:val="32"/>
          <w:szCs w:val="32"/>
          <w:lang w:val="en-US" w:eastAsia="zh-CN"/>
        </w:rPr>
        <w:t>602.33万元</w:t>
      </w:r>
      <w:r>
        <w:rPr>
          <w:rFonts w:hint="eastAsia" w:ascii="仿宋_GB2312" w:eastAsia="仿宋_GB2312"/>
          <w:color w:val="auto"/>
          <w:sz w:val="32"/>
          <w:szCs w:val="32"/>
        </w:rPr>
        <w:t>，其中：一般公共服务</w:t>
      </w:r>
      <w:r>
        <w:rPr>
          <w:rFonts w:hint="eastAsia" w:ascii="仿宋_GB2312" w:eastAsia="仿宋_GB2312"/>
          <w:color w:val="auto"/>
          <w:sz w:val="32"/>
          <w:szCs w:val="32"/>
          <w:lang w:val="en-US" w:eastAsia="zh-CN"/>
        </w:rPr>
        <w:t>562.33万元</w:t>
      </w:r>
      <w:r>
        <w:rPr>
          <w:rFonts w:hint="eastAsia" w:ascii="仿宋_GB2312" w:eastAsia="仿宋_GB2312"/>
          <w:color w:val="auto"/>
          <w:sz w:val="32"/>
          <w:szCs w:val="32"/>
        </w:rPr>
        <w:t>，政府性基金预算40</w:t>
      </w:r>
      <w:r>
        <w:rPr>
          <w:rFonts w:hint="eastAsia" w:ascii="仿宋_GB2312" w:eastAsia="仿宋_GB2312"/>
          <w:color w:val="auto"/>
          <w:sz w:val="32"/>
          <w:szCs w:val="32"/>
          <w:lang w:eastAsia="zh-CN"/>
        </w:rPr>
        <w:t>万元。</w:t>
      </w:r>
    </w:p>
    <w:p w14:paraId="641E8855">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color w:val="auto"/>
          <w:sz w:val="32"/>
          <w:szCs w:val="32"/>
        </w:rPr>
      </w:pPr>
      <w:r>
        <w:rPr>
          <w:rFonts w:hint="eastAsia" w:ascii="黑体" w:eastAsia="黑体"/>
          <w:color w:val="auto"/>
          <w:sz w:val="32"/>
          <w:szCs w:val="32"/>
        </w:rPr>
        <w:t>支出预算安排情况</w:t>
      </w:r>
    </w:p>
    <w:p w14:paraId="6B19F07C">
      <w:pPr>
        <w:keepNext w:val="0"/>
        <w:keepLines w:val="0"/>
        <w:pageBreakBefore w:val="0"/>
        <w:numPr>
          <w:ilvl w:val="0"/>
          <w:numId w:val="0"/>
        </w:numPr>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我局</w:t>
      </w:r>
      <w:r>
        <w:rPr>
          <w:rFonts w:hint="eastAsia" w:ascii="仿宋_GB2312" w:eastAsia="仿宋_GB2312"/>
          <w:color w:val="auto"/>
          <w:sz w:val="32"/>
          <w:szCs w:val="32"/>
        </w:rPr>
        <w:t>预算安排支出主要用于保障该部门机构正常运转、完成日常工作任务以及承担</w:t>
      </w:r>
      <w:r>
        <w:rPr>
          <w:rFonts w:hint="eastAsia" w:ascii="仿宋_GB2312" w:eastAsia="仿宋_GB2312"/>
          <w:color w:val="auto"/>
          <w:sz w:val="32"/>
          <w:szCs w:val="32"/>
          <w:lang w:eastAsia="zh-CN"/>
        </w:rPr>
        <w:t>自然资源</w:t>
      </w:r>
      <w:r>
        <w:rPr>
          <w:rFonts w:hint="eastAsia" w:ascii="仿宋_GB2312" w:eastAsia="仿宋_GB2312"/>
          <w:color w:val="auto"/>
          <w:sz w:val="32"/>
          <w:szCs w:val="32"/>
        </w:rPr>
        <w:t xml:space="preserve">事业发展相关工作。  </w:t>
      </w:r>
    </w:p>
    <w:p w14:paraId="3522A254">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基本支出</w:t>
      </w:r>
      <w:r>
        <w:rPr>
          <w:rFonts w:hint="eastAsia" w:ascii="仿宋_GB2312" w:eastAsia="仿宋_GB2312"/>
          <w:color w:val="auto"/>
          <w:sz w:val="32"/>
          <w:szCs w:val="32"/>
          <w:lang w:val="en-US" w:eastAsia="zh-CN"/>
        </w:rPr>
        <w:t>561.93万元，</w:t>
      </w:r>
      <w:r>
        <w:rPr>
          <w:rFonts w:hint="eastAsia" w:ascii="仿宋_GB2312" w:eastAsia="仿宋_GB2312"/>
          <w:color w:val="auto"/>
          <w:sz w:val="32"/>
          <w:szCs w:val="32"/>
          <w:lang w:eastAsia="zh-CN"/>
        </w:rPr>
        <w:t>其中人员经费支出</w:t>
      </w:r>
      <w:r>
        <w:rPr>
          <w:rFonts w:hint="eastAsia" w:ascii="仿宋_GB2312" w:eastAsia="仿宋_GB2312"/>
          <w:color w:val="auto"/>
          <w:sz w:val="32"/>
          <w:szCs w:val="32"/>
          <w:lang w:val="en-US" w:eastAsia="zh-CN"/>
        </w:rPr>
        <w:t>528.15万元；公用经费33.78万元，其中：办公费7.09万元，印刷费1.2万元，水费0.36万元，电费1.1万元，邮电费5.2万元，取暖费1.3万元，差旅费8.12万元，公务接待费0.32万元，工会经费3.9万元，公务用车运行维护费5.18万元。</w:t>
      </w:r>
    </w:p>
    <w:p w14:paraId="40EDFD6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按支出功能分类主要用于以下方面:</w:t>
      </w:r>
    </w:p>
    <w:p w14:paraId="7546E471">
      <w:pPr>
        <w:keepNext w:val="0"/>
        <w:keepLines w:val="0"/>
        <w:pageBreakBefore w:val="0"/>
        <w:numPr>
          <w:ilvl w:val="0"/>
          <w:numId w:val="3"/>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城乡社区支出40</w:t>
      </w:r>
      <w:r>
        <w:rPr>
          <w:rFonts w:hint="eastAsia" w:ascii="仿宋_GB2312" w:eastAsia="仿宋_GB2312"/>
          <w:color w:val="auto"/>
          <w:sz w:val="32"/>
          <w:szCs w:val="32"/>
          <w:lang w:eastAsia="zh-CN"/>
        </w:rPr>
        <w:t>万元</w:t>
      </w:r>
      <w:r>
        <w:rPr>
          <w:rFonts w:hint="eastAsia" w:ascii="仿宋_GB2312" w:eastAsia="仿宋_GB2312"/>
          <w:color w:val="auto"/>
          <w:sz w:val="32"/>
          <w:szCs w:val="32"/>
        </w:rPr>
        <w:t>，主要</w:t>
      </w:r>
      <w:r>
        <w:rPr>
          <w:rFonts w:hint="eastAsia" w:ascii="仿宋_GB2312" w:eastAsia="仿宋_GB2312"/>
          <w:color w:val="auto"/>
          <w:sz w:val="32"/>
          <w:szCs w:val="32"/>
          <w:lang w:eastAsia="zh-CN"/>
        </w:rPr>
        <w:t>全县土地评估测绘工作开展</w:t>
      </w:r>
      <w:r>
        <w:rPr>
          <w:rFonts w:hint="eastAsia" w:ascii="仿宋_GB2312" w:eastAsia="仿宋_GB2312"/>
          <w:color w:val="auto"/>
          <w:sz w:val="32"/>
          <w:szCs w:val="32"/>
          <w:lang w:val="en-US" w:eastAsia="zh-CN"/>
        </w:rPr>
        <w:t>。</w:t>
      </w:r>
    </w:p>
    <w:p w14:paraId="70CB6567">
      <w:pPr>
        <w:keepNext w:val="0"/>
        <w:keepLines w:val="0"/>
        <w:pageBreakBefore w:val="0"/>
        <w:numPr>
          <w:ilvl w:val="0"/>
          <w:numId w:val="3"/>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78.08万元</w:t>
      </w:r>
      <w:r>
        <w:rPr>
          <w:rFonts w:hint="eastAsia" w:ascii="仿宋_GB2312" w:eastAsia="仿宋_GB2312"/>
          <w:color w:val="auto"/>
          <w:sz w:val="32"/>
          <w:szCs w:val="32"/>
        </w:rPr>
        <w:t>，主要用于机关及下属事业单位</w:t>
      </w:r>
      <w:r>
        <w:rPr>
          <w:rFonts w:hint="eastAsia" w:ascii="仿宋_GB2312" w:eastAsia="仿宋_GB2312"/>
          <w:color w:val="auto"/>
          <w:sz w:val="32"/>
          <w:szCs w:val="32"/>
          <w:lang w:eastAsia="zh-CN"/>
        </w:rPr>
        <w:t>养老保险、职业年金等缴费</w:t>
      </w:r>
      <w:r>
        <w:rPr>
          <w:rFonts w:hint="eastAsia" w:ascii="仿宋_GB2312" w:eastAsia="仿宋_GB2312"/>
          <w:color w:val="auto"/>
          <w:sz w:val="32"/>
          <w:szCs w:val="32"/>
        </w:rPr>
        <w:t>。</w:t>
      </w:r>
    </w:p>
    <w:p w14:paraId="1A378EA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（三）卫生</w:t>
      </w:r>
      <w:r>
        <w:rPr>
          <w:rFonts w:hint="eastAsia" w:ascii="仿宋_GB2312" w:eastAsia="仿宋_GB2312"/>
          <w:color w:val="auto"/>
          <w:sz w:val="32"/>
          <w:szCs w:val="32"/>
          <w:lang w:eastAsia="zh-CN"/>
        </w:rPr>
        <w:t>健康</w:t>
      </w:r>
      <w:r>
        <w:rPr>
          <w:rFonts w:hint="eastAsia" w:ascii="仿宋_GB2312" w:eastAsia="仿宋_GB2312"/>
          <w:color w:val="auto"/>
          <w:sz w:val="32"/>
          <w:szCs w:val="32"/>
          <w:lang w:val="en-US" w:eastAsia="zh-CN"/>
        </w:rPr>
        <w:t>28.65万元</w:t>
      </w:r>
      <w:r>
        <w:rPr>
          <w:rFonts w:hint="eastAsia" w:ascii="仿宋_GB2312" w:eastAsia="仿宋_GB2312"/>
          <w:color w:val="auto"/>
          <w:sz w:val="32"/>
          <w:szCs w:val="32"/>
        </w:rPr>
        <w:t>，主要用于机关及下属事业单位按照规定标准为职工缴纳的基本医疗保险及公务员医疗补助等支出。</w:t>
      </w:r>
    </w:p>
    <w:p w14:paraId="6600A0B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（四）住房保障支出</w:t>
      </w:r>
      <w:r>
        <w:rPr>
          <w:rFonts w:hint="eastAsia" w:ascii="仿宋_GB2312" w:eastAsia="仿宋_GB2312"/>
          <w:color w:val="auto"/>
          <w:sz w:val="32"/>
          <w:szCs w:val="32"/>
          <w:lang w:val="en-US" w:eastAsia="zh-CN"/>
        </w:rPr>
        <w:t>43.16万元</w:t>
      </w:r>
      <w:r>
        <w:rPr>
          <w:rFonts w:hint="eastAsia" w:ascii="仿宋_GB2312" w:eastAsia="仿宋_GB2312"/>
          <w:color w:val="auto"/>
          <w:sz w:val="32"/>
          <w:szCs w:val="32"/>
        </w:rPr>
        <w:t>，用于机关及下属事业单位按照规定标准为职工缴纳住房公积金等支出。</w:t>
      </w:r>
    </w:p>
    <w:p w14:paraId="6F6941E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（五）</w:t>
      </w:r>
      <w:r>
        <w:rPr>
          <w:rFonts w:hint="eastAsia" w:ascii="仿宋_GB2312" w:eastAsia="仿宋_GB2312"/>
          <w:color w:val="auto"/>
          <w:sz w:val="32"/>
          <w:szCs w:val="32"/>
          <w:lang w:eastAsia="zh-CN"/>
        </w:rPr>
        <w:t>国土海洋气象等支出</w:t>
      </w:r>
      <w:r>
        <w:rPr>
          <w:rFonts w:hint="eastAsia" w:ascii="仿宋_GB2312" w:eastAsia="仿宋_GB2312"/>
          <w:color w:val="auto"/>
          <w:sz w:val="32"/>
          <w:szCs w:val="32"/>
          <w:lang w:val="en-US" w:eastAsia="zh-CN"/>
        </w:rPr>
        <w:t>412.44万元，</w:t>
      </w:r>
      <w:r>
        <w:rPr>
          <w:rFonts w:hint="eastAsia" w:ascii="仿宋_GB2312" w:eastAsia="仿宋_GB2312"/>
          <w:color w:val="auto"/>
          <w:sz w:val="32"/>
          <w:szCs w:val="32"/>
        </w:rPr>
        <w:t>主要用于机关及下属事业单位人员工资、日常运转以及为完成特定行政工作任务和事业发展目标而安排的</w:t>
      </w:r>
      <w:r>
        <w:rPr>
          <w:rFonts w:hint="eastAsia" w:ascii="仿宋_GB2312" w:eastAsia="仿宋_GB2312"/>
          <w:color w:val="auto"/>
          <w:sz w:val="32"/>
          <w:szCs w:val="32"/>
          <w:lang w:eastAsia="zh-CN"/>
        </w:rPr>
        <w:t>支出。</w:t>
      </w:r>
    </w:p>
    <w:p w14:paraId="6954FC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kern w:val="0"/>
          <w:sz w:val="32"/>
          <w:szCs w:val="32"/>
          <w:shd w:val="clear" w:color="auto" w:fill="FFFFFF"/>
          <w:lang w:val="en-US" w:eastAsia="zh-CN" w:bidi="ar"/>
        </w:rPr>
        <w:t xml:space="preserve">五、较上年度增减变化 </w:t>
      </w:r>
    </w:p>
    <w:p w14:paraId="714FC8E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本年度预算拨款收入602.33</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较上年度预算</w:t>
      </w:r>
      <w:r>
        <w:rPr>
          <w:rFonts w:hint="eastAsia" w:ascii="仿宋_GB2312" w:eastAsia="仿宋_GB2312"/>
          <w:color w:val="auto"/>
          <w:sz w:val="32"/>
          <w:szCs w:val="32"/>
        </w:rPr>
        <w:t>469.55</w:t>
      </w:r>
      <w:r>
        <w:rPr>
          <w:rFonts w:hint="eastAsia" w:ascii="仿宋_GB2312" w:eastAsia="仿宋_GB2312"/>
          <w:color w:val="auto"/>
          <w:sz w:val="32"/>
          <w:szCs w:val="32"/>
          <w:lang w:val="en-US" w:eastAsia="zh-CN"/>
        </w:rPr>
        <w:t>万元增加了132.78万元，增加28.28%，其中基本支出预算561.93万元，占全部总预算的93.29%，较上年</w:t>
      </w:r>
      <w:r>
        <w:rPr>
          <w:rFonts w:hint="eastAsia" w:ascii="仿宋_GB2312" w:eastAsia="仿宋_GB2312"/>
          <w:color w:val="auto"/>
          <w:sz w:val="32"/>
          <w:szCs w:val="32"/>
        </w:rPr>
        <w:t>429.15</w:t>
      </w:r>
      <w:r>
        <w:rPr>
          <w:rFonts w:hint="eastAsia" w:ascii="仿宋_GB2312" w:eastAsia="仿宋_GB2312"/>
          <w:color w:val="auto"/>
          <w:sz w:val="32"/>
          <w:szCs w:val="32"/>
          <w:lang w:val="en-US" w:eastAsia="zh-CN"/>
        </w:rPr>
        <w:t xml:space="preserve">万元增加了132.78万元，增加30.94%，原因为职工工资增加、保险增加，导致增加基本支出；项目支出40.4万元，其中：一般公共预算项目支出0.4万元，政府性基金预算项目支出40万元，与上年持平。 </w:t>
      </w:r>
      <w:r>
        <w:rPr>
          <w:rFonts w:hint="eastAsia" w:ascii="黑体" w:hAnsi="黑体" w:eastAsia="黑体" w:cs="黑体"/>
          <w:color w:val="auto"/>
          <w:kern w:val="0"/>
          <w:sz w:val="32"/>
          <w:szCs w:val="32"/>
          <w:shd w:val="clear" w:color="auto" w:fill="FFFFFF"/>
          <w:lang w:val="en-US" w:eastAsia="zh-CN" w:bidi="ar"/>
        </w:rPr>
        <w:t xml:space="preserve"> </w:t>
      </w:r>
      <w:r>
        <w:rPr>
          <w:rFonts w:hint="eastAsia" w:ascii="仿宋_GB2312" w:eastAsia="仿宋_GB2312"/>
          <w:color w:val="auto"/>
          <w:sz w:val="32"/>
          <w:szCs w:val="32"/>
          <w:lang w:val="en-US" w:eastAsia="zh-CN"/>
        </w:rPr>
        <w:t xml:space="preserve"> </w:t>
      </w:r>
    </w:p>
    <w:p w14:paraId="624E3B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 xml:space="preserve">六、“三公”经费预算 </w:t>
      </w:r>
    </w:p>
    <w:p w14:paraId="377840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left="0" w:leftChars="0" w:right="0" w:rightChars="0"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三公经费预算安排支出为5.5万元，其中：出国费0万元，与上年持平，主要原因为未安排因公出国；公车购置费0万元，与上年持平；公务用车维护费支出5.18万元，较上年度预算6.12万元减少0.94万元，减少15.36%，主要原因是减少单位用车使用费用；公务接待费0.32万元，较上年度预算0.49万元减少0.17万元，增加34.69%，主要原因是严格按照要求预算公务接待费用，压减接待开支。</w:t>
      </w:r>
    </w:p>
    <w:p w14:paraId="4114F3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七、政府性基金预算收支情况说明</w:t>
      </w:r>
    </w:p>
    <w:p w14:paraId="400D320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2023年政府性基金预算拨款安排的支出40万元，功能科目为21211农业土地开发资金安排的支出，该支出为项目支出，是全县土地评估测绘费用支出。</w:t>
      </w:r>
    </w:p>
    <w:p w14:paraId="6EAE5FA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八、国有资本经营预算收支情况说明</w:t>
      </w:r>
    </w:p>
    <w:p w14:paraId="61DAC1C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2023年没有使用国有资本经营预算拨款安排的支出。</w:t>
      </w:r>
    </w:p>
    <w:p w14:paraId="189D06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0"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九、其他重要事项的情况说明</w:t>
      </w:r>
    </w:p>
    <w:p w14:paraId="424886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3"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（一）政府采购预算情况</w:t>
      </w:r>
      <w:r>
        <w:rPr>
          <w:rFonts w:hint="eastAsia" w:ascii="黑体" w:hAnsi="黑体" w:eastAsia="黑体" w:cs="黑体"/>
          <w:color w:val="auto"/>
          <w:kern w:val="0"/>
          <w:sz w:val="32"/>
          <w:szCs w:val="32"/>
          <w:shd w:val="clear" w:color="auto" w:fill="FFFFFF"/>
          <w:lang w:val="en-US" w:eastAsia="zh-CN" w:bidi="ar"/>
        </w:rPr>
        <w:t xml:space="preserve"> </w:t>
      </w:r>
    </w:p>
    <w:p w14:paraId="37E3D4B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2023年没有使用国有资本经营预算拨款安排的支出。</w:t>
      </w:r>
    </w:p>
    <w:p w14:paraId="5245DE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60" w:lineRule="exact"/>
        <w:ind w:right="0" w:rightChars="0" w:firstLine="643" w:firstLineChars="200"/>
        <w:jc w:val="left"/>
        <w:textAlignment w:val="auto"/>
        <w:rPr>
          <w:color w:val="auto"/>
        </w:rPr>
      </w:pPr>
      <w:r>
        <w:rPr>
          <w:rFonts w:hint="eastAsia" w:ascii="楷体_GB2312" w:hAnsi="楷体_GB2312" w:eastAsia="楷体_GB2312" w:cs="楷体_GB2312"/>
          <w:b/>
          <w:bCs/>
          <w:color w:val="auto"/>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auto"/>
          <w:kern w:val="0"/>
          <w:sz w:val="24"/>
          <w:szCs w:val="24"/>
          <w:shd w:val="clear" w:color="auto" w:fill="FFFFFF"/>
          <w:lang w:val="en-US" w:eastAsia="zh-CN" w:bidi="ar"/>
        </w:rPr>
        <w:t xml:space="preserve"> </w:t>
      </w:r>
    </w:p>
    <w:p w14:paraId="127F8B4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月31日</w:t>
      </w:r>
      <w:r>
        <w:rPr>
          <w:rFonts w:hint="eastAsia" w:ascii="仿宋_GB2312" w:hAnsi="仿宋_GB2312" w:eastAsia="仿宋_GB2312" w:cs="仿宋_GB2312"/>
          <w:sz w:val="32"/>
          <w:szCs w:val="32"/>
          <w:lang w:eastAsia="zh-CN"/>
        </w:rPr>
        <w:t>单位资产总额为</w:t>
      </w:r>
      <w:r>
        <w:rPr>
          <w:rFonts w:hint="eastAsia" w:ascii="仿宋_GB2312" w:hAnsi="仿宋_GB2312" w:eastAsia="仿宋_GB2312" w:cs="仿宋_GB2312"/>
          <w:sz w:val="32"/>
          <w:szCs w:val="32"/>
          <w:lang w:val="en-US" w:eastAsia="zh-CN"/>
        </w:rPr>
        <w:t>229.31万元，其中：固定资产原值为229.31万元、累计折旧141.63万元、净值为87.68万元。</w:t>
      </w:r>
    </w:p>
    <w:p w14:paraId="1B63B4B2">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楷体_GB2312" w:hAnsi="楷体_GB2312" w:eastAsia="楷体_GB2312" w:cs="楷体_GB2312"/>
          <w:b/>
          <w:bCs/>
          <w:color w:val="auto"/>
          <w:kern w:val="0"/>
          <w:sz w:val="32"/>
          <w:szCs w:val="32"/>
          <w:shd w:val="clear" w:color="auto" w:fill="FFFFFF"/>
          <w:lang w:val="en-US" w:eastAsia="zh-CN" w:bidi="ar"/>
        </w:rPr>
      </w:pPr>
      <w:r>
        <w:rPr>
          <w:rFonts w:hint="eastAsia" w:ascii="楷体_GB2312" w:hAnsi="楷体_GB2312" w:eastAsia="楷体_GB2312" w:cs="楷体_GB2312"/>
          <w:b/>
          <w:bCs/>
          <w:color w:val="auto"/>
          <w:kern w:val="0"/>
          <w:sz w:val="32"/>
          <w:szCs w:val="32"/>
          <w:shd w:val="clear" w:color="auto" w:fill="FFFFFF"/>
          <w:lang w:val="en-US" w:eastAsia="zh-CN" w:bidi="ar"/>
        </w:rPr>
        <w:t>（三）绩效目标设置情况</w:t>
      </w:r>
    </w:p>
    <w:p w14:paraId="242431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绩效目标是预算编制的前提和基础，按照“费随事定”的原则，2023年我单位项目支出按要求编制了绩效目标共计9个，实际下达2个，分别为气象服务经费、土地评估测绘。2个项目的项目完成指标≥90%、项目效益指标≥90%、项目满意度指标≥90%。</w:t>
      </w:r>
    </w:p>
    <w:p w14:paraId="5AC20DD0">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 xml:space="preserve">十、名词解释 </w:t>
      </w:r>
    </w:p>
    <w:p w14:paraId="75D213E4">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1.财政拨款收入：指财政部门核拨给单位的财政预算资金。 </w:t>
      </w:r>
    </w:p>
    <w:p w14:paraId="079E17FB">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2.其他收入：指除上述财政部门拨付单位以外的收入。</w:t>
      </w:r>
    </w:p>
    <w:p w14:paraId="65B08C9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3.基本支出：指为保障单位机关正常运转、完成日常工作任务而发生的人员支出和公用支出。 </w:t>
      </w:r>
    </w:p>
    <w:p w14:paraId="00290E8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4.项目支出：指在基本支出之外为完成特定行政任务和事业发展目标所发生的支出。 </w:t>
      </w:r>
    </w:p>
    <w:p w14:paraId="1C68C73D">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69D87FF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p>
    <w:p w14:paraId="10B75B27">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附件：表1.收支预算总表</w:t>
      </w:r>
    </w:p>
    <w:p w14:paraId="699178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表2.收入预算总表</w:t>
      </w:r>
    </w:p>
    <w:p w14:paraId="2F2EFE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表3.支出预算总表</w:t>
      </w:r>
    </w:p>
    <w:p w14:paraId="2CAA49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表4.财政拨款预算总表</w:t>
      </w:r>
    </w:p>
    <w:p w14:paraId="1821C2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表5.一般公共预算支出表</w:t>
      </w:r>
    </w:p>
    <w:p w14:paraId="22DF56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表6.一般公共预算基本支出表</w:t>
      </w:r>
    </w:p>
    <w:p w14:paraId="543B158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表7.一般公共预算“三公”经费支出预算表</w:t>
      </w:r>
    </w:p>
    <w:p w14:paraId="44481F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表8.政府性基金支出预算表</w:t>
      </w:r>
    </w:p>
    <w:p w14:paraId="4E2B76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表9.支出功能分类预算表</w:t>
      </w:r>
    </w:p>
    <w:p w14:paraId="1CF4670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表10.支出经济分类预算表</w:t>
      </w:r>
    </w:p>
    <w:p w14:paraId="72FE86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表11.项目支出表</w:t>
      </w:r>
    </w:p>
    <w:p w14:paraId="1F2B6C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表12.项目支出预算明细表</w:t>
      </w:r>
    </w:p>
    <w:p w14:paraId="5D3827F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280" w:firstLineChars="4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表13.项目支出绩效表</w:t>
      </w:r>
    </w:p>
    <w:p w14:paraId="17DA9681">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val="en-US" w:eastAsia="zh-CN"/>
        </w:rPr>
      </w:pPr>
    </w:p>
    <w:p w14:paraId="7CE4D382">
      <w:pPr>
        <w:keepNext w:val="0"/>
        <w:keepLines w:val="0"/>
        <w:pageBreakBefore w:val="0"/>
        <w:kinsoku/>
        <w:wordWrap/>
        <w:overflowPunct/>
        <w:topLinePunct w:val="0"/>
        <w:autoSpaceDE/>
        <w:autoSpaceDN/>
        <w:bidi w:val="0"/>
        <w:spacing w:line="560" w:lineRule="exact"/>
        <w:ind w:firstLine="420" w:firstLineChars="200"/>
        <w:textAlignment w:val="auto"/>
        <w:rPr>
          <w:rFonts w:hint="default"/>
          <w:lang w:val="en-US" w:eastAsia="zh-CN"/>
        </w:rPr>
      </w:pPr>
    </w:p>
    <w:p w14:paraId="3A49520B">
      <w:pPr>
        <w:pStyle w:val="2"/>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p w14:paraId="1DE11206">
      <w:pPr>
        <w:pStyle w:val="2"/>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p>
    <w:p w14:paraId="38852771">
      <w:pPr>
        <w:pStyle w:val="2"/>
        <w:keepNext w:val="0"/>
        <w:keepLines w:val="0"/>
        <w:pageBreakBefore w:val="0"/>
        <w:kinsoku/>
        <w:wordWrap/>
        <w:overflowPunct/>
        <w:topLinePunct w:val="0"/>
        <w:autoSpaceDE/>
        <w:autoSpaceDN/>
        <w:bidi w:val="0"/>
        <w:spacing w:line="560" w:lineRule="exact"/>
        <w:ind w:firstLine="4160" w:firstLineChars="130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红原县自然资源局</w:t>
      </w:r>
    </w:p>
    <w:p w14:paraId="3A441E28">
      <w:pPr>
        <w:pStyle w:val="2"/>
        <w:keepNext w:val="0"/>
        <w:keepLines w:val="0"/>
        <w:pageBreakBefore w:val="0"/>
        <w:kinsoku/>
        <w:wordWrap/>
        <w:overflowPunct/>
        <w:topLinePunct w:val="0"/>
        <w:autoSpaceDE/>
        <w:autoSpaceDN/>
        <w:bidi w:val="0"/>
        <w:spacing w:line="560" w:lineRule="exact"/>
        <w:ind w:firstLine="640" w:firstLineChars="200"/>
        <w:jc w:val="center"/>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2023年4月17日</w:t>
      </w:r>
    </w:p>
    <w:p w14:paraId="5809DBF8">
      <w:pPr>
        <w:pStyle w:val="2"/>
        <w:keepNext w:val="0"/>
        <w:keepLines w:val="0"/>
        <w:pageBreakBefore w:val="0"/>
        <w:kinsoku/>
        <w:wordWrap/>
        <w:overflowPunct/>
        <w:topLinePunct w:val="0"/>
        <w:autoSpaceDE/>
        <w:autoSpaceDN/>
        <w:bidi w:val="0"/>
        <w:spacing w:line="560" w:lineRule="exact"/>
        <w:ind w:firstLine="640" w:firstLineChars="200"/>
        <w:jc w:val="right"/>
        <w:textAlignment w:val="auto"/>
        <w:rPr>
          <w:rFonts w:hint="eastAsia" w:ascii="仿宋_GB2312" w:eastAsia="仿宋_GB2312"/>
          <w:color w:val="auto"/>
          <w:sz w:val="32"/>
          <w:szCs w:val="32"/>
          <w:lang w:val="en-US" w:eastAsia="zh-CN"/>
        </w:rPr>
      </w:pPr>
      <w:bookmarkStart w:id="0" w:name="_GoBack"/>
      <w:bookmarkEnd w:id="0"/>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0489B">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27A8AC4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7634E">
    <w:pPr>
      <w:pStyle w:val="7"/>
      <w:framePr w:wrap="around" w:vAnchor="text" w:hAnchor="margin" w:xAlign="center" w:y="1"/>
      <w:rPr>
        <w:rStyle w:val="11"/>
      </w:rPr>
    </w:pPr>
    <w:r>
      <w:fldChar w:fldCharType="begin"/>
    </w:r>
    <w:r>
      <w:rPr>
        <w:rStyle w:val="11"/>
      </w:rPr>
      <w:instrText xml:space="preserve">PAGE  </w:instrText>
    </w:r>
    <w:r>
      <w:fldChar w:fldCharType="end"/>
    </w:r>
  </w:p>
  <w:p w14:paraId="70CE83FD">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710F9"/>
    <w:multiLevelType w:val="singleLevel"/>
    <w:tmpl w:val="CA2710F9"/>
    <w:lvl w:ilvl="0" w:tentative="0">
      <w:start w:val="1"/>
      <w:numFmt w:val="chineseCounting"/>
      <w:suff w:val="nothing"/>
      <w:lvlText w:val="（%1）"/>
      <w:lvlJc w:val="left"/>
      <w:rPr>
        <w:rFonts w:hint="eastAsia"/>
      </w:rPr>
    </w:lvl>
  </w:abstractNum>
  <w:abstractNum w:abstractNumId="1">
    <w:nsid w:val="D70501B7"/>
    <w:multiLevelType w:val="singleLevel"/>
    <w:tmpl w:val="D70501B7"/>
    <w:lvl w:ilvl="0" w:tentative="0">
      <w:start w:val="1"/>
      <w:numFmt w:val="chineseCounting"/>
      <w:suff w:val="nothing"/>
      <w:lvlText w:val="（%1）"/>
      <w:lvlJc w:val="left"/>
      <w:pPr>
        <w:ind w:left="0" w:firstLine="0"/>
      </w:pPr>
      <w:rPr>
        <w:rFonts w:hint="eastAsia"/>
      </w:rPr>
    </w:lvl>
  </w:abstractNum>
  <w:abstractNum w:abstractNumId="2">
    <w:nsid w:val="5A717D6F"/>
    <w:multiLevelType w:val="singleLevel"/>
    <w:tmpl w:val="5A717D6F"/>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2ZmE2ZGVjMjA2M2E3MzIxZmZjZTExZDQ2N2Q2MjgifQ=="/>
  </w:docVars>
  <w:rsids>
    <w:rsidRoot w:val="00172A27"/>
    <w:rsid w:val="01CD5789"/>
    <w:rsid w:val="029376E3"/>
    <w:rsid w:val="02D30314"/>
    <w:rsid w:val="065E2FC6"/>
    <w:rsid w:val="06D10230"/>
    <w:rsid w:val="07782C82"/>
    <w:rsid w:val="07DF5914"/>
    <w:rsid w:val="08696BF3"/>
    <w:rsid w:val="0A8B519C"/>
    <w:rsid w:val="0B751308"/>
    <w:rsid w:val="0CDC1A46"/>
    <w:rsid w:val="0DE96864"/>
    <w:rsid w:val="0F3963AF"/>
    <w:rsid w:val="104E6D39"/>
    <w:rsid w:val="10B92046"/>
    <w:rsid w:val="11B34D6C"/>
    <w:rsid w:val="14BF6B67"/>
    <w:rsid w:val="14F92A08"/>
    <w:rsid w:val="15B46437"/>
    <w:rsid w:val="165D5FB4"/>
    <w:rsid w:val="17554BCF"/>
    <w:rsid w:val="181D2512"/>
    <w:rsid w:val="18870CA9"/>
    <w:rsid w:val="18F83C7B"/>
    <w:rsid w:val="19D61D91"/>
    <w:rsid w:val="1B0846A9"/>
    <w:rsid w:val="1B345DF0"/>
    <w:rsid w:val="1C7D192F"/>
    <w:rsid w:val="1CCD61C2"/>
    <w:rsid w:val="1D4A12B9"/>
    <w:rsid w:val="1D99530F"/>
    <w:rsid w:val="21E42873"/>
    <w:rsid w:val="221162CE"/>
    <w:rsid w:val="245211CC"/>
    <w:rsid w:val="27B228C9"/>
    <w:rsid w:val="29472716"/>
    <w:rsid w:val="2AD34F57"/>
    <w:rsid w:val="2C804D2A"/>
    <w:rsid w:val="2D241839"/>
    <w:rsid w:val="2DC363F4"/>
    <w:rsid w:val="30BD689D"/>
    <w:rsid w:val="312018FA"/>
    <w:rsid w:val="32136295"/>
    <w:rsid w:val="33426576"/>
    <w:rsid w:val="34FC3238"/>
    <w:rsid w:val="37BF6182"/>
    <w:rsid w:val="39185E40"/>
    <w:rsid w:val="395B0BD2"/>
    <w:rsid w:val="39870D23"/>
    <w:rsid w:val="3A2A44C4"/>
    <w:rsid w:val="3A345B25"/>
    <w:rsid w:val="3A9D5424"/>
    <w:rsid w:val="3AA14A20"/>
    <w:rsid w:val="3AC32B7F"/>
    <w:rsid w:val="3B9A5655"/>
    <w:rsid w:val="3C206D00"/>
    <w:rsid w:val="3D2C309B"/>
    <w:rsid w:val="3D3572E7"/>
    <w:rsid w:val="3D4406E1"/>
    <w:rsid w:val="3F190343"/>
    <w:rsid w:val="3FA00FFA"/>
    <w:rsid w:val="41AE4097"/>
    <w:rsid w:val="41C14C68"/>
    <w:rsid w:val="42C73BF0"/>
    <w:rsid w:val="435F6A8C"/>
    <w:rsid w:val="43EE1F8F"/>
    <w:rsid w:val="44B76486"/>
    <w:rsid w:val="44D84221"/>
    <w:rsid w:val="460A3FB2"/>
    <w:rsid w:val="463C70B6"/>
    <w:rsid w:val="46980CB2"/>
    <w:rsid w:val="46A87C18"/>
    <w:rsid w:val="46D30CE6"/>
    <w:rsid w:val="4A537679"/>
    <w:rsid w:val="4A90587D"/>
    <w:rsid w:val="4AC65A5A"/>
    <w:rsid w:val="4B1479D2"/>
    <w:rsid w:val="4B247CA0"/>
    <w:rsid w:val="4B331D6D"/>
    <w:rsid w:val="4BB159D9"/>
    <w:rsid w:val="4C470043"/>
    <w:rsid w:val="4C583EBD"/>
    <w:rsid w:val="4D490557"/>
    <w:rsid w:val="4DA51269"/>
    <w:rsid w:val="4E272E1D"/>
    <w:rsid w:val="4EF429A3"/>
    <w:rsid w:val="4F394CDE"/>
    <w:rsid w:val="4FD80F14"/>
    <w:rsid w:val="50066C8E"/>
    <w:rsid w:val="50C21166"/>
    <w:rsid w:val="51C66E49"/>
    <w:rsid w:val="529C3DB8"/>
    <w:rsid w:val="52D0219B"/>
    <w:rsid w:val="53F33A7B"/>
    <w:rsid w:val="555E53B0"/>
    <w:rsid w:val="56F015BA"/>
    <w:rsid w:val="57542D79"/>
    <w:rsid w:val="588261D7"/>
    <w:rsid w:val="58A71158"/>
    <w:rsid w:val="5953489E"/>
    <w:rsid w:val="5A0E7FFC"/>
    <w:rsid w:val="5B7A6A72"/>
    <w:rsid w:val="5BB761E6"/>
    <w:rsid w:val="5DEC3413"/>
    <w:rsid w:val="5E3122BE"/>
    <w:rsid w:val="5E4623F4"/>
    <w:rsid w:val="5EEB03D7"/>
    <w:rsid w:val="5F18750B"/>
    <w:rsid w:val="60D83036"/>
    <w:rsid w:val="613D61C0"/>
    <w:rsid w:val="61422F39"/>
    <w:rsid w:val="621D1A81"/>
    <w:rsid w:val="633F35C2"/>
    <w:rsid w:val="636966A0"/>
    <w:rsid w:val="63D40F0F"/>
    <w:rsid w:val="64EE57D4"/>
    <w:rsid w:val="66382D8F"/>
    <w:rsid w:val="66DF4B0D"/>
    <w:rsid w:val="66FD6FC8"/>
    <w:rsid w:val="670175BB"/>
    <w:rsid w:val="67233B11"/>
    <w:rsid w:val="682A12E1"/>
    <w:rsid w:val="68573DC3"/>
    <w:rsid w:val="6913255D"/>
    <w:rsid w:val="699E1033"/>
    <w:rsid w:val="6D114CF3"/>
    <w:rsid w:val="6D247C61"/>
    <w:rsid w:val="6F07586E"/>
    <w:rsid w:val="6F211DCB"/>
    <w:rsid w:val="6F2A4081"/>
    <w:rsid w:val="6F5F7252"/>
    <w:rsid w:val="6FBF4B32"/>
    <w:rsid w:val="72880050"/>
    <w:rsid w:val="729163E3"/>
    <w:rsid w:val="731D146E"/>
    <w:rsid w:val="73A0566C"/>
    <w:rsid w:val="73F07D53"/>
    <w:rsid w:val="750A388D"/>
    <w:rsid w:val="772A1084"/>
    <w:rsid w:val="79726BEB"/>
    <w:rsid w:val="79F95E17"/>
    <w:rsid w:val="7A5E5D36"/>
    <w:rsid w:val="7C1F7267"/>
    <w:rsid w:val="7C781CC4"/>
    <w:rsid w:val="7D6D6302"/>
    <w:rsid w:val="7D9155B3"/>
    <w:rsid w:val="7D9D581B"/>
    <w:rsid w:val="7E260FAF"/>
    <w:rsid w:val="7EAD18FD"/>
    <w:rsid w:val="7EF241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ind w:firstLine="496" w:firstLineChars="155"/>
    </w:pPr>
    <w:rPr>
      <w:rFonts w:ascii="FangSong_GB2312" w:hAnsi="宋体" w:eastAsia="FangSong_GB2312"/>
      <w:color w:val="000000"/>
      <w:sz w:val="32"/>
      <w:szCs w:val="20"/>
    </w:rPr>
  </w:style>
  <w:style w:type="paragraph" w:styleId="4">
    <w:name w:val="index 5"/>
    <w:basedOn w:val="1"/>
    <w:next w:val="1"/>
    <w:qFormat/>
    <w:uiPriority w:val="0"/>
    <w:pPr>
      <w:ind w:left="1680"/>
    </w:pPr>
  </w:style>
  <w:style w:type="paragraph" w:styleId="5">
    <w:name w:val="Body Text"/>
    <w:basedOn w:val="1"/>
    <w:qFormat/>
    <w:uiPriority w:val="0"/>
    <w:pPr>
      <w:spacing w:before="93" w:beforeLines="30"/>
    </w:pPr>
    <w:rPr>
      <w:rFonts w:ascii="仿宋_GB2312" w:eastAsia="仿宋_GB2312"/>
      <w:sz w:val="30"/>
    </w:rPr>
  </w:style>
  <w:style w:type="paragraph" w:styleId="6">
    <w:name w:val="Plain Text"/>
    <w:basedOn w:val="1"/>
    <w:qFormat/>
    <w:uiPriority w:val="0"/>
    <w:rPr>
      <w:rFonts w:ascii="宋体" w:cs="Courier New"/>
      <w:szCs w:val="2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next w:val="4"/>
    <w:qFormat/>
    <w:uiPriority w:val="0"/>
    <w:pPr>
      <w:spacing w:before="0" w:beforeAutospacing="1" w:after="0" w:afterAutospacing="1"/>
      <w:ind w:left="0" w:right="0"/>
      <w:jc w:val="left"/>
    </w:pPr>
    <w:rPr>
      <w:kern w:val="0"/>
      <w:sz w:val="24"/>
      <w:lang w:val="en-US" w:eastAsia="zh-CN" w:bidi="ar"/>
    </w:rPr>
  </w:style>
  <w:style w:type="character" w:styleId="11">
    <w:name w:val="page number"/>
    <w:basedOn w:val="10"/>
    <w:qFormat/>
    <w:uiPriority w:val="0"/>
  </w:style>
  <w:style w:type="character" w:styleId="12">
    <w:name w:val="line number"/>
    <w:basedOn w:val="10"/>
    <w:qFormat/>
    <w:uiPriority w:val="0"/>
    <w:rPr>
      <w:rFonts w:hint="default"/>
      <w:sz w:val="22"/>
    </w:rPr>
  </w:style>
  <w:style w:type="character" w:styleId="13">
    <w:name w:val="Hyperlink"/>
    <w:qFormat/>
    <w:uiPriority w:val="0"/>
    <w:rPr>
      <w:rFonts w:hint="default"/>
      <w:sz w:val="22"/>
    </w:rPr>
  </w:style>
  <w:style w:type="character" w:customStyle="1" w:styleId="14">
    <w:name w:val="NormalCharacter"/>
    <w:qFormat/>
    <w:uiPriority w:val="0"/>
  </w:style>
  <w:style w:type="paragraph" w:customStyle="1" w:styleId="15">
    <w:name w:val="BodyText1I2"/>
    <w:basedOn w:val="16"/>
    <w:next w:val="1"/>
    <w:qFormat/>
    <w:uiPriority w:val="0"/>
    <w:pPr>
      <w:spacing w:line="560" w:lineRule="atLeast"/>
      <w:ind w:firstLine="200" w:firstLineChars="200"/>
      <w:jc w:val="both"/>
      <w:textAlignment w:val="baseline"/>
    </w:pPr>
  </w:style>
  <w:style w:type="paragraph" w:customStyle="1" w:styleId="16">
    <w:name w:val="BodyTextIndent"/>
    <w:basedOn w:val="1"/>
    <w:next w:val="15"/>
    <w:qFormat/>
    <w:uiPriority w:val="0"/>
    <w:pPr>
      <w:spacing w:line="560" w:lineRule="atLeast"/>
      <w:ind w:firstLine="200" w:firstLineChars="200"/>
      <w:jc w:val="both"/>
      <w:textAlignment w:val="baseline"/>
    </w:pPr>
    <w:rPr>
      <w:rFonts w:ascii="仿宋_GB2312" w:eastAsia="仿宋_GB2312"/>
      <w:kern w:val="2"/>
      <w:sz w:val="32"/>
      <w:szCs w:val="24"/>
      <w:lang w:val="en-US" w:eastAsia="zh-CN" w:bidi="ar-SA"/>
    </w:rPr>
  </w:style>
  <w:style w:type="paragraph" w:customStyle="1" w:styleId="17">
    <w:name w:val="HtmlNormal"/>
    <w:basedOn w:val="1"/>
    <w:next w:val="18"/>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18">
    <w:name w:val="Index5"/>
    <w:basedOn w:val="1"/>
    <w:next w:val="1"/>
    <w:qFormat/>
    <w:uiPriority w:val="0"/>
    <w:pPr>
      <w:ind w:left="1680"/>
      <w:jc w:val="both"/>
      <w:textAlignment w:val="baseline"/>
    </w:pPr>
  </w:style>
  <w:style w:type="paragraph" w:customStyle="1" w:styleId="19">
    <w:name w:val="BodyTextIndent2"/>
    <w:basedOn w:val="1"/>
    <w:qFormat/>
    <w:uiPriority w:val="0"/>
    <w:pPr>
      <w:spacing w:line="580" w:lineRule="exact"/>
      <w:ind w:firstLine="200" w:firstLineChars="200"/>
      <w:jc w:val="both"/>
      <w:textAlignment w:val="baseline"/>
    </w:pPr>
    <w:rPr>
      <w:rFonts w:ascii="仿宋_GB2312" w:eastAsia="仿宋_GB2312"/>
      <w:spacing w:val="-4"/>
      <w:kern w:val="2"/>
      <w:sz w:val="2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4389</Words>
  <Characters>4798</Characters>
  <Lines>0</Lines>
  <Paragraphs>0</Paragraphs>
  <TotalTime>14</TotalTime>
  <ScaleCrop>false</ScaleCrop>
  <LinksUpToDate>false</LinksUpToDate>
  <CharactersWithSpaces>4832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杨大梅</cp:lastModifiedBy>
  <dcterms:modified xsi:type="dcterms:W3CDTF">2024-11-14T07:53:09Z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EF40D7F4078448F0B0A9968057741C18_13</vt:lpwstr>
  </property>
</Properties>
</file>