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21"/>
          <w:szCs w:val="24"/>
          <w:lang w:val="en-US" w:eastAsia="zh-CN" w:bidi="ar-SA"/>
        </w:rPr>
        <w:id w:val="147475311"/>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6258B08F">
          <w:pPr>
            <w:adjustRightInd w:val="0"/>
            <w:snapToGrid w:val="0"/>
            <w:spacing w:line="360" w:lineRule="auto"/>
            <w:jc w:val="center"/>
            <w:outlineLvl w:val="0"/>
            <w:rPr>
              <w:rFonts w:ascii="方正小标宋简体" w:hAnsi="宋体" w:eastAsia="方正小标宋简体"/>
              <w:color w:val="000000"/>
              <w:sz w:val="72"/>
              <w:szCs w:val="72"/>
            </w:rPr>
          </w:pPr>
          <w:bookmarkStart w:id="0" w:name="_Toc6217"/>
          <w:bookmarkStart w:id="1" w:name="_Toc2314"/>
          <w:bookmarkStart w:id="2" w:name="_Toc15396475"/>
          <w:bookmarkStart w:id="3" w:name="_Toc15396597"/>
          <w:bookmarkStart w:id="4" w:name="_Toc28015"/>
          <w:bookmarkStart w:id="5" w:name="_Toc15377425"/>
          <w:bookmarkStart w:id="6" w:name="_Toc15377193"/>
          <w:bookmarkStart w:id="7" w:name="_Toc15378441"/>
          <w:r>
            <w:rPr>
              <w:rFonts w:hint="eastAsia" w:ascii="黑体" w:hAnsi="黑体" w:eastAsia="黑体"/>
              <w:color w:val="000000"/>
              <w:sz w:val="72"/>
              <w:szCs w:val="72"/>
              <w:lang w:eastAsia="zh-CN"/>
            </w:rPr>
            <w:t>2023</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p>
        <w:p w14:paraId="767DDBDB">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77426"/>
          <w:bookmarkStart w:id="10" w:name="_Toc15377194"/>
          <w:bookmarkStart w:id="11" w:name="_Toc15378442"/>
          <w:bookmarkStart w:id="12" w:name="_Toc22638"/>
          <w:bookmarkStart w:id="13" w:name="_Toc15396598"/>
          <w:bookmarkStart w:id="14" w:name="_Toc17549"/>
          <w:bookmarkStart w:id="15" w:name="_Toc31058"/>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Start w:id="16" w:name="_Toc15306268"/>
          <w:r>
            <w:rPr>
              <w:rFonts w:hint="eastAsia" w:ascii="方正小标宋简体" w:hAnsi="宋体" w:eastAsia="方正小标宋简体"/>
              <w:color w:val="000000"/>
              <w:sz w:val="72"/>
              <w:szCs w:val="72"/>
              <w:lang w:eastAsia="zh-CN"/>
            </w:rPr>
            <w:t>江茸乡人民政府</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bookmarkEnd w:id="16"/>
        </w:p>
        <w:p w14:paraId="219A39F0">
          <w:pPr>
            <w:widowControl/>
            <w:jc w:val="center"/>
            <w:rPr>
              <w:rFonts w:ascii="方正小标宋简体" w:hAnsi="宋体" w:eastAsia="方正小标宋简体"/>
              <w:color w:val="000000"/>
              <w:sz w:val="36"/>
              <w:szCs w:val="36"/>
            </w:rPr>
          </w:pPr>
        </w:p>
        <w:p w14:paraId="2692A537">
          <w:pPr>
            <w:pStyle w:val="11"/>
          </w:pPr>
        </w:p>
        <w:p w14:paraId="7A003131">
          <w:pPr>
            <w:rPr>
              <w:rFonts w:ascii="方正小标宋简体" w:hAnsi="宋体" w:eastAsia="方正小标宋简体"/>
              <w:sz w:val="36"/>
              <w:szCs w:val="36"/>
            </w:rPr>
          </w:pPr>
        </w:p>
        <w:p w14:paraId="4DCF2B8C">
          <w:pPr>
            <w:rPr>
              <w:rFonts w:ascii="方正小标宋简体" w:hAnsi="宋体" w:eastAsia="方正小标宋简体"/>
              <w:sz w:val="36"/>
              <w:szCs w:val="36"/>
            </w:rPr>
          </w:pPr>
        </w:p>
        <w:p w14:paraId="3689B894">
          <w:pPr>
            <w:rPr>
              <w:rFonts w:ascii="方正小标宋简体" w:hAnsi="宋体" w:eastAsia="方正小标宋简体"/>
              <w:sz w:val="36"/>
              <w:szCs w:val="36"/>
            </w:rPr>
          </w:pPr>
        </w:p>
        <w:p w14:paraId="6102DCEA">
          <w:pPr>
            <w:rPr>
              <w:rFonts w:ascii="方正小标宋简体" w:hAnsi="宋体" w:eastAsia="方正小标宋简体"/>
              <w:sz w:val="36"/>
              <w:szCs w:val="36"/>
            </w:rPr>
          </w:pPr>
        </w:p>
        <w:p w14:paraId="59BDCE7A">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0DEDD59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55832C6">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5F29E8D">
          <w:pPr>
            <w:pStyle w:val="6"/>
            <w:rPr>
              <w:rFonts w:ascii="宋体" w:hAnsi="宋体" w:eastAsia="宋体" w:cs="Times New Roman"/>
              <w:kern w:val="2"/>
              <w:sz w:val="21"/>
              <w:szCs w:val="24"/>
              <w:lang w:val="en-US" w:eastAsia="zh-CN" w:bidi="ar-SA"/>
            </w:rPr>
          </w:pPr>
        </w:p>
        <w:p w14:paraId="7C3B564C">
          <w:pPr>
            <w:pStyle w:val="6"/>
            <w:rPr>
              <w:rFonts w:ascii="宋体" w:hAnsi="宋体" w:eastAsia="宋体" w:cs="Times New Roman"/>
              <w:kern w:val="2"/>
              <w:sz w:val="21"/>
              <w:szCs w:val="24"/>
              <w:lang w:val="en-US" w:eastAsia="zh-CN" w:bidi="ar-SA"/>
            </w:rPr>
          </w:pPr>
        </w:p>
        <w:p w14:paraId="760B61B4">
          <w:pPr>
            <w:pStyle w:val="6"/>
            <w:rPr>
              <w:rFonts w:ascii="宋体" w:hAnsi="宋体" w:eastAsia="宋体" w:cs="Times New Roman"/>
              <w:kern w:val="2"/>
              <w:sz w:val="21"/>
              <w:szCs w:val="24"/>
              <w:lang w:val="en-US" w:eastAsia="zh-CN" w:bidi="ar-SA"/>
            </w:rPr>
          </w:pPr>
        </w:p>
        <w:p w14:paraId="7B08DAB9">
          <w:pPr>
            <w:pStyle w:val="6"/>
            <w:rPr>
              <w:rFonts w:ascii="宋体" w:hAnsi="宋体" w:eastAsia="宋体" w:cs="Times New Roman"/>
              <w:kern w:val="2"/>
              <w:sz w:val="21"/>
              <w:szCs w:val="24"/>
              <w:lang w:val="en-US" w:eastAsia="zh-CN" w:bidi="ar-SA"/>
            </w:rPr>
          </w:pPr>
        </w:p>
        <w:p w14:paraId="3A718624">
          <w:pPr>
            <w:pStyle w:val="6"/>
            <w:rPr>
              <w:rFonts w:ascii="宋体" w:hAnsi="宋体" w:eastAsia="宋体" w:cs="Times New Roman"/>
              <w:kern w:val="2"/>
              <w:sz w:val="21"/>
              <w:szCs w:val="24"/>
              <w:lang w:val="en-US" w:eastAsia="zh-CN" w:bidi="ar-SA"/>
            </w:rPr>
          </w:pPr>
        </w:p>
        <w:p w14:paraId="41983F90">
          <w:pPr>
            <w:pStyle w:val="6"/>
            <w:rPr>
              <w:rFonts w:ascii="宋体" w:hAnsi="宋体" w:eastAsia="宋体" w:cs="Times New Roman"/>
              <w:kern w:val="2"/>
              <w:sz w:val="21"/>
              <w:szCs w:val="24"/>
              <w:lang w:val="en-US" w:eastAsia="zh-CN" w:bidi="ar-SA"/>
            </w:rPr>
          </w:pPr>
        </w:p>
        <w:p w14:paraId="4F5C882E">
          <w:pPr>
            <w:pStyle w:val="6"/>
            <w:rPr>
              <w:rFonts w:ascii="宋体" w:hAnsi="宋体" w:eastAsia="宋体" w:cs="Times New Roman"/>
              <w:kern w:val="2"/>
              <w:sz w:val="21"/>
              <w:szCs w:val="24"/>
              <w:lang w:val="en-US" w:eastAsia="zh-CN" w:bidi="ar-SA"/>
            </w:rPr>
          </w:pPr>
        </w:p>
        <w:p w14:paraId="140D4796">
          <w:pPr>
            <w:pStyle w:val="6"/>
            <w:rPr>
              <w:rFonts w:ascii="宋体" w:hAnsi="宋体" w:eastAsia="宋体" w:cs="Times New Roman"/>
              <w:kern w:val="2"/>
              <w:sz w:val="21"/>
              <w:szCs w:val="24"/>
              <w:lang w:val="en-US" w:eastAsia="zh-CN" w:bidi="ar-SA"/>
            </w:rPr>
          </w:pPr>
        </w:p>
        <w:p w14:paraId="55870967">
          <w:pPr>
            <w:pStyle w:val="6"/>
            <w:rPr>
              <w:rFonts w:ascii="宋体" w:hAnsi="宋体" w:eastAsia="宋体" w:cs="Times New Roman"/>
              <w:kern w:val="2"/>
              <w:sz w:val="21"/>
              <w:szCs w:val="24"/>
              <w:lang w:val="en-US" w:eastAsia="zh-CN" w:bidi="ar-SA"/>
            </w:rPr>
          </w:pPr>
        </w:p>
        <w:p w14:paraId="144F1984">
          <w:pPr>
            <w:pStyle w:val="6"/>
            <w:rPr>
              <w:rFonts w:ascii="宋体" w:hAnsi="宋体" w:eastAsia="宋体" w:cs="Times New Roman"/>
              <w:kern w:val="2"/>
              <w:sz w:val="21"/>
              <w:szCs w:val="24"/>
              <w:lang w:val="en-US" w:eastAsia="zh-CN" w:bidi="ar-SA"/>
            </w:rPr>
          </w:pPr>
        </w:p>
        <w:p w14:paraId="5AA806E0">
          <w:pPr>
            <w:pStyle w:val="6"/>
            <w:rPr>
              <w:rFonts w:ascii="宋体" w:hAnsi="宋体" w:eastAsia="宋体" w:cs="Times New Roman"/>
              <w:kern w:val="2"/>
              <w:sz w:val="21"/>
              <w:szCs w:val="24"/>
              <w:lang w:val="en-US" w:eastAsia="zh-CN" w:bidi="ar-SA"/>
            </w:rPr>
          </w:pPr>
        </w:p>
        <w:p w14:paraId="0E5868FB">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7C260EEB">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69C6765">
          <w:pPr>
            <w:pStyle w:val="16"/>
            <w:tabs>
              <w:tab w:val="right" w:leader="dot" w:pos="8306"/>
              <w:tab w:val="clear" w:pos="8296"/>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_Toc16983 </w:instrText>
          </w:r>
          <w:r>
            <w:rPr>
              <w:rFonts w:hint="eastAsia"/>
            </w:rPr>
            <w:fldChar w:fldCharType="separate"/>
          </w:r>
          <w:r>
            <w:rPr>
              <w:rFonts w:hint="eastAsia" w:ascii="黑体" w:hAnsi="黑体" w:eastAsia="黑体" w:cs="Times New Roman"/>
              <w:bCs w:val="0"/>
            </w:rPr>
            <w:t xml:space="preserve">第一部分 </w:t>
          </w:r>
          <w:r>
            <w:rPr>
              <w:rFonts w:hint="eastAsia" w:ascii="黑体" w:hAnsi="黑体" w:eastAsia="黑体"/>
              <w:bCs w:val="0"/>
            </w:rPr>
            <w:t>部门概况</w:t>
          </w:r>
          <w:r>
            <w:tab/>
          </w:r>
          <w:r>
            <w:fldChar w:fldCharType="begin"/>
          </w:r>
          <w:r>
            <w:instrText xml:space="preserve"> PAGEREF _Toc16983 \h </w:instrText>
          </w:r>
          <w:r>
            <w:fldChar w:fldCharType="separate"/>
          </w:r>
          <w:r>
            <w:t>3</w:t>
          </w:r>
          <w:r>
            <w:fldChar w:fldCharType="end"/>
          </w:r>
          <w:r>
            <w:rPr>
              <w:rFonts w:hint="eastAsia"/>
            </w:rPr>
            <w:fldChar w:fldCharType="end"/>
          </w:r>
        </w:p>
        <w:p w14:paraId="525A86EF">
          <w:pPr>
            <w:pStyle w:val="17"/>
            <w:tabs>
              <w:tab w:val="right" w:leader="dot" w:pos="8306"/>
              <w:tab w:val="clear" w:pos="8296"/>
            </w:tabs>
          </w:pPr>
          <w:r>
            <w:rPr>
              <w:rFonts w:hint="eastAsia"/>
            </w:rPr>
            <w:fldChar w:fldCharType="begin"/>
          </w:r>
          <w:r>
            <w:rPr>
              <w:rFonts w:hint="eastAsia"/>
            </w:rPr>
            <w:instrText xml:space="preserve"> HYPERLINK \l _Toc4511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_Toc4511 \h </w:instrText>
          </w:r>
          <w:r>
            <w:fldChar w:fldCharType="separate"/>
          </w:r>
          <w:r>
            <w:t>3</w:t>
          </w:r>
          <w:r>
            <w:fldChar w:fldCharType="end"/>
          </w:r>
          <w:r>
            <w:rPr>
              <w:rFonts w:hint="eastAsia"/>
            </w:rPr>
            <w:fldChar w:fldCharType="end"/>
          </w:r>
        </w:p>
        <w:p w14:paraId="747F88EB">
          <w:pPr>
            <w:pStyle w:val="17"/>
            <w:tabs>
              <w:tab w:val="right" w:leader="dot" w:pos="8306"/>
              <w:tab w:val="clear" w:pos="8296"/>
            </w:tabs>
          </w:pPr>
          <w:r>
            <w:rPr>
              <w:rFonts w:hint="eastAsia"/>
            </w:rPr>
            <w:fldChar w:fldCharType="begin"/>
          </w:r>
          <w:r>
            <w:rPr>
              <w:rFonts w:hint="eastAsia"/>
            </w:rPr>
            <w:instrText xml:space="preserve"> HYPERLINK \l _Toc16009 </w:instrText>
          </w:r>
          <w:r>
            <w:rPr>
              <w:rFonts w:hint="eastAsia"/>
            </w:rPr>
            <w:fldChar w:fldCharType="separate"/>
          </w:r>
          <w:r>
            <w:rPr>
              <w:rFonts w:hint="eastAsia" w:ascii="黑体" w:hAnsi="黑体" w:eastAsia="黑体"/>
              <w:bCs w:val="0"/>
            </w:rPr>
            <w:t>二、机构设置</w:t>
          </w:r>
          <w:r>
            <w:tab/>
          </w:r>
          <w:r>
            <w:fldChar w:fldCharType="begin"/>
          </w:r>
          <w:r>
            <w:instrText xml:space="preserve"> PAGEREF _Toc16009 \h </w:instrText>
          </w:r>
          <w:r>
            <w:fldChar w:fldCharType="separate"/>
          </w:r>
          <w:r>
            <w:t>9</w:t>
          </w:r>
          <w:r>
            <w:fldChar w:fldCharType="end"/>
          </w:r>
          <w:r>
            <w:rPr>
              <w:rFonts w:hint="eastAsia"/>
            </w:rPr>
            <w:fldChar w:fldCharType="end"/>
          </w:r>
        </w:p>
        <w:p w14:paraId="72AC1973">
          <w:pPr>
            <w:pStyle w:val="16"/>
            <w:tabs>
              <w:tab w:val="right" w:leader="dot" w:pos="8306"/>
              <w:tab w:val="clear" w:pos="8296"/>
            </w:tabs>
          </w:pPr>
          <w:r>
            <w:rPr>
              <w:rFonts w:hint="eastAsia"/>
            </w:rPr>
            <w:fldChar w:fldCharType="begin"/>
          </w:r>
          <w:r>
            <w:rPr>
              <w:rFonts w:hint="eastAsia"/>
            </w:rPr>
            <w:instrText xml:space="preserve"> HYPERLINK \l _Toc27036 </w:instrText>
          </w:r>
          <w:r>
            <w:rPr>
              <w:rFonts w:hint="eastAsia"/>
            </w:rP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_Toc27036 \h </w:instrText>
          </w:r>
          <w:r>
            <w:fldChar w:fldCharType="separate"/>
          </w:r>
          <w:r>
            <w:t>10</w:t>
          </w:r>
          <w:r>
            <w:fldChar w:fldCharType="end"/>
          </w:r>
          <w:r>
            <w:rPr>
              <w:rFonts w:hint="eastAsia"/>
            </w:rPr>
            <w:fldChar w:fldCharType="end"/>
          </w:r>
        </w:p>
        <w:p w14:paraId="2296C82A">
          <w:pPr>
            <w:pStyle w:val="17"/>
            <w:tabs>
              <w:tab w:val="right" w:leader="dot" w:pos="8306"/>
              <w:tab w:val="clear" w:pos="8296"/>
            </w:tabs>
          </w:pPr>
          <w:r>
            <w:rPr>
              <w:rFonts w:hint="eastAsia"/>
            </w:rPr>
            <w:fldChar w:fldCharType="begin"/>
          </w:r>
          <w:r>
            <w:rPr>
              <w:rFonts w:hint="eastAsia"/>
            </w:rPr>
            <w:instrText xml:space="preserve"> HYPERLINK \l _Toc14979 </w:instrText>
          </w:r>
          <w:r>
            <w:rPr>
              <w:rFonts w:hint="eastAsia"/>
            </w:rPr>
            <w:fldChar w:fldCharType="separate"/>
          </w:r>
          <w:r>
            <w:rPr>
              <w:rFonts w:hint="eastAsia" w:ascii="黑体" w:hAnsi="黑体" w:eastAsia="黑体"/>
              <w:bCs w:val="0"/>
              <w:lang w:eastAsia="zh-CN"/>
            </w:rPr>
            <w:t>一、</w:t>
          </w:r>
          <w:r>
            <w:rPr>
              <w:rFonts w:hint="eastAsia" w:ascii="黑体" w:hAnsi="黑体" w:eastAsia="黑体"/>
              <w:bCs w:val="0"/>
            </w:rPr>
            <w:t>收入支出决算总体情况说明</w:t>
          </w:r>
          <w:r>
            <w:tab/>
          </w:r>
          <w:r>
            <w:fldChar w:fldCharType="begin"/>
          </w:r>
          <w:r>
            <w:instrText xml:space="preserve"> PAGEREF _Toc14979 \h </w:instrText>
          </w:r>
          <w:r>
            <w:fldChar w:fldCharType="separate"/>
          </w:r>
          <w:r>
            <w:t>10</w:t>
          </w:r>
          <w:r>
            <w:fldChar w:fldCharType="end"/>
          </w:r>
          <w:r>
            <w:rPr>
              <w:rFonts w:hint="eastAsia"/>
            </w:rPr>
            <w:fldChar w:fldCharType="end"/>
          </w:r>
        </w:p>
        <w:p w14:paraId="6327ECB0">
          <w:pPr>
            <w:pStyle w:val="17"/>
            <w:tabs>
              <w:tab w:val="right" w:leader="dot" w:pos="8306"/>
              <w:tab w:val="clear" w:pos="8296"/>
            </w:tabs>
          </w:pPr>
          <w:r>
            <w:rPr>
              <w:rFonts w:hint="eastAsia"/>
            </w:rPr>
            <w:fldChar w:fldCharType="begin"/>
          </w:r>
          <w:r>
            <w:rPr>
              <w:rFonts w:hint="eastAsia"/>
            </w:rPr>
            <w:instrText xml:space="preserve"> HYPERLINK \l _Toc23518 </w:instrText>
          </w:r>
          <w:r>
            <w:rPr>
              <w:rFonts w:hint="eastAsia"/>
            </w:rPr>
            <w:fldChar w:fldCharType="separate"/>
          </w:r>
          <w:r>
            <w:rPr>
              <w:rFonts w:hint="eastAsia" w:ascii="黑体" w:hAnsi="黑体" w:eastAsia="黑体"/>
              <w:szCs w:val="32"/>
              <w:lang w:eastAsia="zh-CN"/>
            </w:rPr>
            <w:t>二、</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_Toc23518 \h </w:instrText>
          </w:r>
          <w:r>
            <w:fldChar w:fldCharType="separate"/>
          </w:r>
          <w:r>
            <w:t>10</w:t>
          </w:r>
          <w:r>
            <w:fldChar w:fldCharType="end"/>
          </w:r>
          <w:r>
            <w:rPr>
              <w:rFonts w:hint="eastAsia"/>
            </w:rPr>
            <w:fldChar w:fldCharType="end"/>
          </w:r>
        </w:p>
        <w:p w14:paraId="57CEEAE0">
          <w:pPr>
            <w:pStyle w:val="17"/>
            <w:tabs>
              <w:tab w:val="right" w:leader="dot" w:pos="8306"/>
              <w:tab w:val="clear" w:pos="8296"/>
            </w:tabs>
          </w:pPr>
          <w:r>
            <w:rPr>
              <w:rFonts w:hint="eastAsia"/>
            </w:rPr>
            <w:fldChar w:fldCharType="begin"/>
          </w:r>
          <w:r>
            <w:rPr>
              <w:rFonts w:hint="eastAsia"/>
            </w:rPr>
            <w:instrText xml:space="preserve"> HYPERLINK \l _Toc2936 </w:instrText>
          </w:r>
          <w:r>
            <w:rPr>
              <w:rFonts w:hint="eastAsia"/>
            </w:rPr>
            <w:fldChar w:fldCharType="separate"/>
          </w:r>
          <w:r>
            <w:rPr>
              <w:rFonts w:hint="eastAsia" w:ascii="黑体" w:hAnsi="黑体" w:eastAsia="黑体"/>
              <w:szCs w:val="32"/>
              <w:lang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_Toc2936 \h </w:instrText>
          </w:r>
          <w:r>
            <w:fldChar w:fldCharType="separate"/>
          </w:r>
          <w:r>
            <w:t>11</w:t>
          </w:r>
          <w:r>
            <w:fldChar w:fldCharType="end"/>
          </w:r>
          <w:r>
            <w:rPr>
              <w:rFonts w:hint="eastAsia"/>
            </w:rPr>
            <w:fldChar w:fldCharType="end"/>
          </w:r>
        </w:p>
        <w:p w14:paraId="3A3712C2">
          <w:pPr>
            <w:pStyle w:val="17"/>
            <w:tabs>
              <w:tab w:val="right" w:leader="dot" w:pos="8306"/>
              <w:tab w:val="clear" w:pos="8296"/>
            </w:tabs>
          </w:pPr>
          <w:r>
            <w:rPr>
              <w:rFonts w:hint="eastAsia"/>
            </w:rPr>
            <w:fldChar w:fldCharType="begin"/>
          </w:r>
          <w:r>
            <w:rPr>
              <w:rFonts w:hint="eastAsia"/>
            </w:rPr>
            <w:instrText xml:space="preserve"> HYPERLINK \l _Toc3020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_Toc3020 \h </w:instrText>
          </w:r>
          <w:r>
            <w:fldChar w:fldCharType="separate"/>
          </w:r>
          <w:r>
            <w:t>11</w:t>
          </w:r>
          <w:r>
            <w:fldChar w:fldCharType="end"/>
          </w:r>
          <w:r>
            <w:rPr>
              <w:rFonts w:hint="eastAsia"/>
            </w:rPr>
            <w:fldChar w:fldCharType="end"/>
          </w:r>
        </w:p>
        <w:p w14:paraId="7271E202">
          <w:pPr>
            <w:pStyle w:val="17"/>
            <w:tabs>
              <w:tab w:val="right" w:leader="dot" w:pos="8306"/>
              <w:tab w:val="clear" w:pos="8296"/>
            </w:tabs>
          </w:pPr>
          <w:r>
            <w:rPr>
              <w:rFonts w:hint="eastAsia"/>
            </w:rPr>
            <w:fldChar w:fldCharType="begin"/>
          </w:r>
          <w:r>
            <w:rPr>
              <w:rFonts w:hint="eastAsia"/>
            </w:rPr>
            <w:instrText xml:space="preserve"> HYPERLINK \l _Toc19349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_Toc19349 \h </w:instrText>
          </w:r>
          <w:r>
            <w:fldChar w:fldCharType="separate"/>
          </w:r>
          <w:r>
            <w:t>12</w:t>
          </w:r>
          <w:r>
            <w:fldChar w:fldCharType="end"/>
          </w:r>
          <w:r>
            <w:rPr>
              <w:rFonts w:hint="eastAsia"/>
            </w:rPr>
            <w:fldChar w:fldCharType="end"/>
          </w:r>
        </w:p>
        <w:p w14:paraId="19F962B9">
          <w:pPr>
            <w:pStyle w:val="17"/>
            <w:tabs>
              <w:tab w:val="right" w:leader="dot" w:pos="8306"/>
              <w:tab w:val="clear" w:pos="8296"/>
            </w:tabs>
          </w:pPr>
          <w:r>
            <w:rPr>
              <w:rFonts w:hint="eastAsia"/>
            </w:rPr>
            <w:fldChar w:fldCharType="begin"/>
          </w:r>
          <w:r>
            <w:rPr>
              <w:rFonts w:hint="eastAsia"/>
            </w:rPr>
            <w:instrText xml:space="preserve"> HYPERLINK \l _Toc23507 </w:instrText>
          </w:r>
          <w:r>
            <w:rPr>
              <w:rFonts w:hint="eastAsia"/>
            </w:rPr>
            <w:fldChar w:fldCharType="separate"/>
          </w:r>
          <w:r>
            <w:rPr>
              <w:rFonts w:hint="eastAsia" w:ascii="黑体" w:eastAsia="黑体"/>
              <w:szCs w:val="32"/>
              <w:lang w:val="en-US" w:eastAsia="zh-CN"/>
            </w:rPr>
            <w:t>六</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_Toc23507 \h </w:instrText>
          </w:r>
          <w:r>
            <w:fldChar w:fldCharType="separate"/>
          </w:r>
          <w:r>
            <w:t>17</w:t>
          </w:r>
          <w:r>
            <w:fldChar w:fldCharType="end"/>
          </w:r>
          <w:r>
            <w:rPr>
              <w:rFonts w:hint="eastAsia"/>
            </w:rPr>
            <w:fldChar w:fldCharType="end"/>
          </w:r>
        </w:p>
        <w:p w14:paraId="328E50E4">
          <w:pPr>
            <w:pStyle w:val="17"/>
            <w:tabs>
              <w:tab w:val="right" w:leader="dot" w:pos="8306"/>
              <w:tab w:val="clear" w:pos="8296"/>
            </w:tabs>
          </w:pPr>
          <w:r>
            <w:rPr>
              <w:rFonts w:hint="eastAsia"/>
            </w:rPr>
            <w:fldChar w:fldCharType="begin"/>
          </w:r>
          <w:r>
            <w:rPr>
              <w:rFonts w:hint="eastAsia"/>
            </w:rPr>
            <w:instrText xml:space="preserve"> HYPERLINK \l _Toc11543 </w:instrText>
          </w:r>
          <w:r>
            <w:rPr>
              <w:rFonts w:hint="eastAsia"/>
            </w:rPr>
            <w:fldChar w:fldCharType="separate"/>
          </w:r>
          <w:r>
            <w:rPr>
              <w:rFonts w:hint="eastAsia" w:ascii="黑体" w:eastAsia="黑体"/>
              <w:szCs w:val="32"/>
              <w:lang w:val="en-US" w:eastAsia="zh-CN"/>
            </w:rPr>
            <w:t>七</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_Toc11543 \h </w:instrText>
          </w:r>
          <w:r>
            <w:fldChar w:fldCharType="separate"/>
          </w:r>
          <w:r>
            <w:t>18</w:t>
          </w:r>
          <w:r>
            <w:fldChar w:fldCharType="end"/>
          </w:r>
          <w:r>
            <w:rPr>
              <w:rFonts w:hint="eastAsia"/>
            </w:rPr>
            <w:fldChar w:fldCharType="end"/>
          </w:r>
        </w:p>
        <w:p w14:paraId="08A92724">
          <w:pPr>
            <w:pStyle w:val="17"/>
            <w:tabs>
              <w:tab w:val="right" w:leader="dot" w:pos="8306"/>
              <w:tab w:val="clear" w:pos="8296"/>
            </w:tabs>
          </w:pPr>
          <w:r>
            <w:rPr>
              <w:rFonts w:hint="eastAsia"/>
            </w:rPr>
            <w:fldChar w:fldCharType="begin"/>
          </w:r>
          <w:r>
            <w:rPr>
              <w:rFonts w:hint="eastAsia"/>
            </w:rPr>
            <w:instrText xml:space="preserve"> HYPERLINK \l _Toc1247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_Toc1247 \h </w:instrText>
          </w:r>
          <w:r>
            <w:fldChar w:fldCharType="separate"/>
          </w:r>
          <w:r>
            <w:t>19</w:t>
          </w:r>
          <w:r>
            <w:fldChar w:fldCharType="end"/>
          </w:r>
          <w:r>
            <w:rPr>
              <w:rFonts w:hint="eastAsia"/>
            </w:rPr>
            <w:fldChar w:fldCharType="end"/>
          </w:r>
        </w:p>
        <w:p w14:paraId="0D43F991">
          <w:pPr>
            <w:pStyle w:val="17"/>
            <w:tabs>
              <w:tab w:val="right" w:leader="dot" w:pos="8306"/>
              <w:tab w:val="clear" w:pos="8296"/>
            </w:tabs>
          </w:pPr>
          <w:r>
            <w:rPr>
              <w:rFonts w:hint="eastAsia"/>
            </w:rPr>
            <w:fldChar w:fldCharType="begin"/>
          </w:r>
          <w:r>
            <w:rPr>
              <w:rFonts w:hint="eastAsia"/>
            </w:rPr>
            <w:instrText xml:space="preserve"> HYPERLINK \l _Toc23723 </w:instrText>
          </w:r>
          <w:r>
            <w:rPr>
              <w:rFonts w:hint="eastAsia"/>
            </w:rPr>
            <w:fldChar w:fldCharType="separate"/>
          </w:r>
          <w:r>
            <w:rPr>
              <w:rFonts w:hint="eastAsia" w:ascii="黑体" w:hAnsi="黑体" w:eastAsia="黑体"/>
              <w:lang w:val="en-US" w:eastAsia="zh-CN"/>
            </w:rPr>
            <w:t>九、</w:t>
          </w:r>
          <w:r>
            <w:rPr>
              <w:rFonts w:hint="eastAsia" w:ascii="黑体" w:hAnsi="黑体" w:eastAsia="黑体"/>
            </w:rPr>
            <w:t>国有资本经营预算支出决算情况说明</w:t>
          </w:r>
          <w:r>
            <w:tab/>
          </w:r>
          <w:r>
            <w:fldChar w:fldCharType="begin"/>
          </w:r>
          <w:r>
            <w:instrText xml:space="preserve"> PAGEREF _Toc23723 \h </w:instrText>
          </w:r>
          <w:r>
            <w:fldChar w:fldCharType="separate"/>
          </w:r>
          <w:r>
            <w:t>19</w:t>
          </w:r>
          <w:r>
            <w:fldChar w:fldCharType="end"/>
          </w:r>
          <w:r>
            <w:rPr>
              <w:rFonts w:hint="eastAsia"/>
            </w:rPr>
            <w:fldChar w:fldCharType="end"/>
          </w:r>
        </w:p>
        <w:p w14:paraId="5F1B6188">
          <w:pPr>
            <w:pStyle w:val="17"/>
            <w:tabs>
              <w:tab w:val="right" w:leader="dot" w:pos="8306"/>
              <w:tab w:val="clear" w:pos="8296"/>
            </w:tabs>
          </w:pPr>
          <w:r>
            <w:rPr>
              <w:rFonts w:hint="eastAsia"/>
            </w:rPr>
            <w:fldChar w:fldCharType="begin"/>
          </w:r>
          <w:r>
            <w:rPr>
              <w:rFonts w:hint="eastAsia"/>
            </w:rPr>
            <w:instrText xml:space="preserve"> HYPERLINK \l _Toc25632 </w:instrText>
          </w:r>
          <w:r>
            <w:rPr>
              <w:rFonts w:hint="eastAsia"/>
            </w:rPr>
            <w:fldChar w:fldCharType="separate"/>
          </w:r>
          <w:r>
            <w:rPr>
              <w:rFonts w:hint="eastAsia" w:ascii="黑体" w:hAnsi="黑体" w:eastAsia="黑体"/>
              <w:szCs w:val="32"/>
              <w:lang w:val="en-US" w:eastAsia="zh-CN"/>
            </w:rPr>
            <w:t>十、</w:t>
          </w:r>
          <w:r>
            <w:rPr>
              <w:rFonts w:hint="eastAsia" w:ascii="黑体" w:hAnsi="黑体" w:eastAsia="黑体"/>
            </w:rPr>
            <w:t>其他重要事项的情况说明</w:t>
          </w:r>
          <w:r>
            <w:tab/>
          </w:r>
          <w:r>
            <w:fldChar w:fldCharType="begin"/>
          </w:r>
          <w:r>
            <w:instrText xml:space="preserve"> PAGEREF _Toc25632 \h </w:instrText>
          </w:r>
          <w:r>
            <w:fldChar w:fldCharType="separate"/>
          </w:r>
          <w:r>
            <w:t>19</w:t>
          </w:r>
          <w:r>
            <w:fldChar w:fldCharType="end"/>
          </w:r>
          <w:r>
            <w:rPr>
              <w:rFonts w:hint="eastAsia"/>
            </w:rPr>
            <w:fldChar w:fldCharType="end"/>
          </w:r>
        </w:p>
        <w:p w14:paraId="18A81CC0">
          <w:pPr>
            <w:pStyle w:val="16"/>
            <w:tabs>
              <w:tab w:val="right" w:leader="dot" w:pos="8306"/>
              <w:tab w:val="clear" w:pos="8296"/>
            </w:tabs>
          </w:pPr>
          <w:r>
            <w:rPr>
              <w:rFonts w:hint="eastAsia"/>
            </w:rPr>
            <w:fldChar w:fldCharType="begin"/>
          </w:r>
          <w:r>
            <w:rPr>
              <w:rFonts w:hint="eastAsia"/>
            </w:rPr>
            <w:instrText xml:space="preserve"> HYPERLINK \l _Toc883 </w:instrText>
          </w:r>
          <w:r>
            <w:rPr>
              <w:rFonts w:hint="eastAsia"/>
            </w:rPr>
            <w:fldChar w:fldCharType="separate"/>
          </w:r>
          <w:r>
            <w:rPr>
              <w:rFonts w:hint="eastAsia" w:ascii="黑体" w:hAnsi="黑体" w:eastAsia="黑体" w:cs="Times New Roman"/>
              <w:bCs/>
              <w:kern w:val="44"/>
              <w:szCs w:val="44"/>
              <w:lang w:val="en-US" w:eastAsia="zh-CN" w:bidi="ar-SA"/>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_Toc883 \h </w:instrText>
          </w:r>
          <w:r>
            <w:fldChar w:fldCharType="separate"/>
          </w:r>
          <w:r>
            <w:t>41</w:t>
          </w:r>
          <w:r>
            <w:fldChar w:fldCharType="end"/>
          </w:r>
          <w:r>
            <w:rPr>
              <w:rFonts w:hint="eastAsia"/>
            </w:rPr>
            <w:fldChar w:fldCharType="end"/>
          </w:r>
        </w:p>
        <w:p w14:paraId="5F06EAA0">
          <w:pPr>
            <w:pStyle w:val="16"/>
            <w:tabs>
              <w:tab w:val="right" w:leader="dot" w:pos="8306"/>
              <w:tab w:val="clear" w:pos="8296"/>
            </w:tabs>
          </w:pPr>
          <w:r>
            <w:rPr>
              <w:rFonts w:hint="eastAsia"/>
            </w:rPr>
            <w:fldChar w:fldCharType="begin"/>
          </w:r>
          <w:r>
            <w:rPr>
              <w:rFonts w:hint="eastAsia"/>
            </w:rPr>
            <w:instrText xml:space="preserve"> HYPERLINK \l _Toc10820 </w:instrText>
          </w:r>
          <w:r>
            <w:rPr>
              <w:rFonts w:hint="eastAsia"/>
            </w:rPr>
            <w:fldChar w:fldCharType="separate"/>
          </w:r>
          <w:r>
            <w:rPr>
              <w:rFonts w:hint="eastAsia" w:ascii="黑体" w:hAnsi="黑体" w:eastAsia="黑体"/>
              <w:szCs w:val="44"/>
            </w:rPr>
            <w:t>第</w:t>
          </w:r>
          <w:r>
            <w:rPr>
              <w:rFonts w:hint="eastAsia" w:ascii="黑体" w:hAnsi="黑体" w:eastAsia="黑体"/>
              <w:lang w:eastAsia="zh-CN"/>
            </w:rPr>
            <w:t>四</w:t>
          </w:r>
          <w:r>
            <w:rPr>
              <w:rFonts w:hint="eastAsia" w:ascii="黑体" w:hAnsi="黑体" w:eastAsia="黑体"/>
            </w:rPr>
            <w:t>部分 附件</w:t>
          </w:r>
          <w:r>
            <w:tab/>
          </w:r>
          <w:r>
            <w:fldChar w:fldCharType="begin"/>
          </w:r>
          <w:r>
            <w:instrText xml:space="preserve"> PAGEREF _Toc10820 \h </w:instrText>
          </w:r>
          <w:r>
            <w:fldChar w:fldCharType="separate"/>
          </w:r>
          <w:r>
            <w:t>46</w:t>
          </w:r>
          <w:r>
            <w:fldChar w:fldCharType="end"/>
          </w:r>
          <w:r>
            <w:rPr>
              <w:rFonts w:hint="eastAsia"/>
            </w:rPr>
            <w:fldChar w:fldCharType="end"/>
          </w:r>
        </w:p>
        <w:p w14:paraId="5A960619">
          <w:pPr>
            <w:pStyle w:val="17"/>
            <w:tabs>
              <w:tab w:val="right" w:leader="dot" w:pos="8306"/>
              <w:tab w:val="clear" w:pos="8296"/>
            </w:tabs>
          </w:pPr>
          <w:r>
            <w:rPr>
              <w:rFonts w:hint="eastAsia"/>
            </w:rPr>
            <w:fldChar w:fldCharType="begin"/>
          </w:r>
          <w:r>
            <w:rPr>
              <w:rFonts w:hint="eastAsia"/>
            </w:rPr>
            <w:instrText xml:space="preserve"> HYPERLINK \l _Toc12459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_Toc12459 \h </w:instrText>
          </w:r>
          <w:r>
            <w:fldChar w:fldCharType="separate"/>
          </w:r>
          <w:r>
            <w:t>46</w:t>
          </w:r>
          <w:r>
            <w:fldChar w:fldCharType="end"/>
          </w:r>
          <w:r>
            <w:rPr>
              <w:rFonts w:hint="eastAsia"/>
            </w:rPr>
            <w:fldChar w:fldCharType="end"/>
          </w:r>
        </w:p>
        <w:p w14:paraId="4D176485">
          <w:pPr>
            <w:pStyle w:val="17"/>
            <w:tabs>
              <w:tab w:val="right" w:leader="dot" w:pos="8306"/>
              <w:tab w:val="clear" w:pos="8296"/>
            </w:tabs>
          </w:pPr>
          <w:r>
            <w:rPr>
              <w:rFonts w:hint="eastAsia"/>
            </w:rPr>
            <w:fldChar w:fldCharType="begin"/>
          </w:r>
          <w:r>
            <w:rPr>
              <w:rFonts w:hint="eastAsia"/>
            </w:rPr>
            <w:instrText xml:space="preserve"> HYPERLINK \l _Toc24085 </w:instrText>
          </w:r>
          <w:r>
            <w:rPr>
              <w:rFonts w:hint="eastAsia"/>
            </w:rPr>
            <w:fldChar w:fldCharType="separate"/>
          </w:r>
          <w:r>
            <w:rPr>
              <w:rFonts w:hint="eastAsia" w:ascii="黑体" w:hAnsi="黑体" w:eastAsia="黑体" w:cs="黑体"/>
              <w:szCs w:val="32"/>
            </w:rPr>
            <w:t>附件2</w:t>
          </w:r>
          <w:r>
            <w:tab/>
          </w:r>
          <w:r>
            <w:fldChar w:fldCharType="begin"/>
          </w:r>
          <w:r>
            <w:instrText xml:space="preserve"> PAGEREF _Toc24085 \h </w:instrText>
          </w:r>
          <w:r>
            <w:fldChar w:fldCharType="separate"/>
          </w:r>
          <w:r>
            <w:t>56</w:t>
          </w:r>
          <w:r>
            <w:fldChar w:fldCharType="end"/>
          </w:r>
          <w:r>
            <w:rPr>
              <w:rFonts w:hint="eastAsia"/>
            </w:rPr>
            <w:fldChar w:fldCharType="end"/>
          </w:r>
        </w:p>
        <w:p w14:paraId="21864DA6">
          <w:pPr>
            <w:pStyle w:val="16"/>
            <w:tabs>
              <w:tab w:val="right" w:leader="dot" w:pos="8306"/>
              <w:tab w:val="clear" w:pos="8296"/>
            </w:tabs>
          </w:pPr>
          <w:r>
            <w:rPr>
              <w:rFonts w:hint="eastAsia"/>
            </w:rPr>
            <w:fldChar w:fldCharType="begin"/>
          </w:r>
          <w:r>
            <w:rPr>
              <w:rFonts w:hint="eastAsia"/>
            </w:rPr>
            <w:instrText xml:space="preserve"> HYPERLINK \l _Toc16487 </w:instrText>
          </w:r>
          <w:r>
            <w:rPr>
              <w:rFonts w:hint="eastAsia"/>
            </w:rPr>
            <w:fldChar w:fldCharType="separate"/>
          </w:r>
          <w:r>
            <w:rPr>
              <w:rFonts w:hint="eastAsia" w:ascii="黑体" w:hAnsi="黑体" w:eastAsia="黑体"/>
              <w:szCs w:val="44"/>
            </w:rPr>
            <w:t>第</w:t>
          </w:r>
          <w:r>
            <w:rPr>
              <w:rFonts w:hint="eastAsia" w:ascii="黑体" w:hAnsi="黑体" w:eastAsia="黑体"/>
              <w:lang w:eastAsia="zh-CN"/>
            </w:rPr>
            <w:t>五</w:t>
          </w:r>
          <w:r>
            <w:rPr>
              <w:rFonts w:hint="eastAsia" w:ascii="黑体" w:hAnsi="黑体" w:eastAsia="黑体"/>
            </w:rPr>
            <w:t>部分 附表</w:t>
          </w:r>
          <w:r>
            <w:tab/>
          </w:r>
          <w:r>
            <w:fldChar w:fldCharType="begin"/>
          </w:r>
          <w:r>
            <w:instrText xml:space="preserve"> PAGEREF _Toc16487 \h </w:instrText>
          </w:r>
          <w:r>
            <w:fldChar w:fldCharType="separate"/>
          </w:r>
          <w:r>
            <w:t>68</w:t>
          </w:r>
          <w:r>
            <w:fldChar w:fldCharType="end"/>
          </w:r>
          <w:r>
            <w:rPr>
              <w:rFonts w:hint="eastAsia"/>
            </w:rPr>
            <w:fldChar w:fldCharType="end"/>
          </w:r>
        </w:p>
        <w:p w14:paraId="0299335E">
          <w:pPr>
            <w:pStyle w:val="17"/>
            <w:tabs>
              <w:tab w:val="right" w:leader="dot" w:pos="8306"/>
              <w:tab w:val="clear" w:pos="8296"/>
            </w:tabs>
          </w:pPr>
          <w:r>
            <w:rPr>
              <w:rFonts w:hint="eastAsia"/>
            </w:rPr>
            <w:fldChar w:fldCharType="begin"/>
          </w:r>
          <w:r>
            <w:rPr>
              <w:rFonts w:hint="eastAsia"/>
            </w:rPr>
            <w:instrText xml:space="preserve"> HYPERLINK \l _Toc5236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_Toc5236 \h </w:instrText>
          </w:r>
          <w:r>
            <w:fldChar w:fldCharType="separate"/>
          </w:r>
          <w:r>
            <w:t>68</w:t>
          </w:r>
          <w:r>
            <w:fldChar w:fldCharType="end"/>
          </w:r>
          <w:r>
            <w:rPr>
              <w:rFonts w:hint="eastAsia"/>
            </w:rPr>
            <w:fldChar w:fldCharType="end"/>
          </w:r>
        </w:p>
        <w:p w14:paraId="481FEC9B">
          <w:pPr>
            <w:pStyle w:val="17"/>
            <w:tabs>
              <w:tab w:val="right" w:leader="dot" w:pos="8306"/>
              <w:tab w:val="clear" w:pos="8296"/>
            </w:tabs>
          </w:pPr>
          <w:r>
            <w:rPr>
              <w:rFonts w:hint="eastAsia"/>
            </w:rPr>
            <w:fldChar w:fldCharType="begin"/>
          </w:r>
          <w:r>
            <w:rPr>
              <w:rFonts w:hint="eastAsia"/>
            </w:rPr>
            <w:instrText xml:space="preserve"> HYPERLINK \l _Toc14131 </w:instrText>
          </w:r>
          <w:r>
            <w:rPr>
              <w:rFonts w:hint="eastAsia"/>
            </w:rPr>
            <w:fldChar w:fldCharType="separate"/>
          </w:r>
          <w:r>
            <w:rPr>
              <w:rFonts w:hint="eastAsia" w:ascii="仿宋" w:hAnsi="仿宋" w:eastAsia="仿宋"/>
            </w:rPr>
            <w:t>二、收入决算表</w:t>
          </w:r>
          <w:r>
            <w:tab/>
          </w:r>
          <w:r>
            <w:fldChar w:fldCharType="begin"/>
          </w:r>
          <w:r>
            <w:instrText xml:space="preserve"> PAGEREF _Toc14131 \h </w:instrText>
          </w:r>
          <w:r>
            <w:fldChar w:fldCharType="separate"/>
          </w:r>
          <w:r>
            <w:t>68</w:t>
          </w:r>
          <w:r>
            <w:fldChar w:fldCharType="end"/>
          </w:r>
          <w:r>
            <w:rPr>
              <w:rFonts w:hint="eastAsia"/>
            </w:rPr>
            <w:fldChar w:fldCharType="end"/>
          </w:r>
        </w:p>
        <w:p w14:paraId="7EE23340">
          <w:pPr>
            <w:pStyle w:val="17"/>
            <w:tabs>
              <w:tab w:val="right" w:leader="dot" w:pos="8306"/>
              <w:tab w:val="clear" w:pos="8296"/>
            </w:tabs>
          </w:pPr>
          <w:r>
            <w:rPr>
              <w:rFonts w:hint="eastAsia"/>
            </w:rPr>
            <w:fldChar w:fldCharType="begin"/>
          </w:r>
          <w:r>
            <w:rPr>
              <w:rFonts w:hint="eastAsia"/>
            </w:rPr>
            <w:instrText xml:space="preserve"> HYPERLINK \l _Toc627 </w:instrText>
          </w:r>
          <w:r>
            <w:rPr>
              <w:rFonts w:hint="eastAsia"/>
            </w:rPr>
            <w:fldChar w:fldCharType="separate"/>
          </w:r>
          <w:r>
            <w:rPr>
              <w:rFonts w:hint="eastAsia" w:ascii="仿宋" w:hAnsi="仿宋" w:eastAsia="仿宋"/>
              <w:bCs w:val="0"/>
            </w:rPr>
            <w:t>三、</w:t>
          </w:r>
          <w:r>
            <w:rPr>
              <w:rFonts w:hint="eastAsia" w:ascii="仿宋" w:hAnsi="仿宋" w:eastAsia="仿宋"/>
            </w:rPr>
            <w:t>支出决算表</w:t>
          </w:r>
          <w:r>
            <w:tab/>
          </w:r>
          <w:r>
            <w:fldChar w:fldCharType="begin"/>
          </w:r>
          <w:r>
            <w:instrText xml:space="preserve"> PAGEREF _Toc627 \h </w:instrText>
          </w:r>
          <w:r>
            <w:fldChar w:fldCharType="separate"/>
          </w:r>
          <w:r>
            <w:t>68</w:t>
          </w:r>
          <w:r>
            <w:fldChar w:fldCharType="end"/>
          </w:r>
          <w:r>
            <w:rPr>
              <w:rFonts w:hint="eastAsia"/>
            </w:rPr>
            <w:fldChar w:fldCharType="end"/>
          </w:r>
        </w:p>
        <w:p w14:paraId="66F4DD10">
          <w:pPr>
            <w:pStyle w:val="17"/>
            <w:tabs>
              <w:tab w:val="right" w:leader="dot" w:pos="8306"/>
              <w:tab w:val="clear" w:pos="8296"/>
            </w:tabs>
          </w:pPr>
          <w:r>
            <w:rPr>
              <w:rFonts w:hint="eastAsia"/>
            </w:rPr>
            <w:fldChar w:fldCharType="begin"/>
          </w:r>
          <w:r>
            <w:rPr>
              <w:rFonts w:hint="eastAsia"/>
            </w:rPr>
            <w:instrText xml:space="preserve"> HYPERLINK \l _Toc5548 </w:instrText>
          </w:r>
          <w:r>
            <w:rPr>
              <w:rFonts w:hint="eastAsia"/>
            </w:rPr>
            <w:fldChar w:fldCharType="separate"/>
          </w:r>
          <w:r>
            <w:rPr>
              <w:rFonts w:hint="eastAsia" w:ascii="仿宋" w:hAnsi="仿宋" w:eastAsia="仿宋"/>
              <w:bCs w:val="0"/>
            </w:rPr>
            <w:t>四、</w:t>
          </w:r>
          <w:r>
            <w:rPr>
              <w:rFonts w:hint="eastAsia" w:ascii="仿宋" w:hAnsi="仿宋" w:eastAsia="仿宋"/>
              <w:bCs w:val="0"/>
              <w:lang w:eastAsia="zh-CN"/>
            </w:rPr>
            <w:t>财政拨款收入支出决算总表</w:t>
          </w:r>
          <w:r>
            <w:tab/>
          </w:r>
          <w:r>
            <w:fldChar w:fldCharType="begin"/>
          </w:r>
          <w:r>
            <w:instrText xml:space="preserve"> PAGEREF _Toc5548 \h </w:instrText>
          </w:r>
          <w:r>
            <w:fldChar w:fldCharType="separate"/>
          </w:r>
          <w:r>
            <w:t>68</w:t>
          </w:r>
          <w:r>
            <w:fldChar w:fldCharType="end"/>
          </w:r>
          <w:r>
            <w:rPr>
              <w:rFonts w:hint="eastAsia"/>
            </w:rPr>
            <w:fldChar w:fldCharType="end"/>
          </w:r>
        </w:p>
        <w:p w14:paraId="29B6977D">
          <w:pPr>
            <w:pStyle w:val="17"/>
            <w:tabs>
              <w:tab w:val="right" w:leader="dot" w:pos="8306"/>
              <w:tab w:val="clear" w:pos="8296"/>
            </w:tabs>
          </w:pPr>
          <w:r>
            <w:rPr>
              <w:rFonts w:hint="eastAsia"/>
            </w:rPr>
            <w:fldChar w:fldCharType="begin"/>
          </w:r>
          <w:r>
            <w:rPr>
              <w:rFonts w:hint="eastAsia"/>
            </w:rPr>
            <w:instrText xml:space="preserve"> HYPERLINK \l _Toc3781 </w:instrText>
          </w:r>
          <w:r>
            <w:rPr>
              <w:rFonts w:hint="eastAsia"/>
            </w:rPr>
            <w:fldChar w:fldCharType="separate"/>
          </w:r>
          <w:r>
            <w:rPr>
              <w:rFonts w:hint="eastAsia" w:ascii="仿宋" w:hAnsi="仿宋" w:eastAsia="仿宋"/>
              <w:bCs w:val="0"/>
            </w:rPr>
            <w:t>五、</w:t>
          </w:r>
          <w:r>
            <w:rPr>
              <w:rFonts w:hint="eastAsia" w:ascii="仿宋" w:hAnsi="仿宋" w:eastAsia="仿宋"/>
              <w:lang w:eastAsia="zh-CN"/>
            </w:rPr>
            <w:t>财政拨款支出决算明细表</w:t>
          </w:r>
          <w:r>
            <w:tab/>
          </w:r>
          <w:r>
            <w:fldChar w:fldCharType="begin"/>
          </w:r>
          <w:r>
            <w:instrText xml:space="preserve"> PAGEREF _Toc3781 \h </w:instrText>
          </w:r>
          <w:r>
            <w:fldChar w:fldCharType="separate"/>
          </w:r>
          <w:r>
            <w:t>68</w:t>
          </w:r>
          <w:r>
            <w:fldChar w:fldCharType="end"/>
          </w:r>
          <w:r>
            <w:rPr>
              <w:rFonts w:hint="eastAsia"/>
            </w:rPr>
            <w:fldChar w:fldCharType="end"/>
          </w:r>
        </w:p>
        <w:p w14:paraId="52D51566">
          <w:pPr>
            <w:pStyle w:val="17"/>
            <w:tabs>
              <w:tab w:val="right" w:leader="dot" w:pos="8306"/>
              <w:tab w:val="clear" w:pos="8296"/>
            </w:tabs>
          </w:pPr>
          <w:r>
            <w:rPr>
              <w:rFonts w:hint="eastAsia"/>
            </w:rPr>
            <w:fldChar w:fldCharType="begin"/>
          </w:r>
          <w:r>
            <w:rPr>
              <w:rFonts w:hint="eastAsia"/>
            </w:rPr>
            <w:instrText xml:space="preserve"> HYPERLINK \l _Toc5656 </w:instrText>
          </w:r>
          <w:r>
            <w:rPr>
              <w:rFonts w:hint="eastAsia"/>
            </w:rPr>
            <w:fldChar w:fldCharType="separate"/>
          </w:r>
          <w:r>
            <w:rPr>
              <w:rFonts w:hint="eastAsia" w:ascii="仿宋" w:hAnsi="仿宋" w:eastAsia="仿宋"/>
              <w:bCs w:val="0"/>
            </w:rPr>
            <w:t>六、一般公共预算财政拨款支出决算表</w:t>
          </w:r>
          <w:r>
            <w:tab/>
          </w:r>
          <w:r>
            <w:fldChar w:fldCharType="begin"/>
          </w:r>
          <w:r>
            <w:instrText xml:space="preserve"> PAGEREF _Toc5656 \h </w:instrText>
          </w:r>
          <w:r>
            <w:fldChar w:fldCharType="separate"/>
          </w:r>
          <w:r>
            <w:t>68</w:t>
          </w:r>
          <w:r>
            <w:fldChar w:fldCharType="end"/>
          </w:r>
          <w:r>
            <w:rPr>
              <w:rFonts w:hint="eastAsia"/>
            </w:rPr>
            <w:fldChar w:fldCharType="end"/>
          </w:r>
        </w:p>
        <w:p w14:paraId="22D8946E">
          <w:pPr>
            <w:pStyle w:val="17"/>
            <w:tabs>
              <w:tab w:val="right" w:leader="dot" w:pos="8306"/>
              <w:tab w:val="clear" w:pos="8296"/>
            </w:tabs>
          </w:pPr>
          <w:r>
            <w:rPr>
              <w:rFonts w:hint="eastAsia"/>
            </w:rPr>
            <w:fldChar w:fldCharType="begin"/>
          </w:r>
          <w:r>
            <w:rPr>
              <w:rFonts w:hint="eastAsia"/>
            </w:rPr>
            <w:instrText xml:space="preserve"> HYPERLINK \l _Toc18294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一般公共预算财政拨款支出决算明细表</w:t>
          </w:r>
          <w:r>
            <w:tab/>
          </w:r>
          <w:r>
            <w:fldChar w:fldCharType="begin"/>
          </w:r>
          <w:r>
            <w:instrText xml:space="preserve"> PAGEREF _Toc18294 \h </w:instrText>
          </w:r>
          <w:r>
            <w:fldChar w:fldCharType="separate"/>
          </w:r>
          <w:r>
            <w:t>68</w:t>
          </w:r>
          <w:r>
            <w:fldChar w:fldCharType="end"/>
          </w:r>
          <w:r>
            <w:rPr>
              <w:rFonts w:hint="eastAsia"/>
            </w:rPr>
            <w:fldChar w:fldCharType="end"/>
          </w:r>
        </w:p>
        <w:p w14:paraId="35B6F508">
          <w:pPr>
            <w:pStyle w:val="17"/>
            <w:tabs>
              <w:tab w:val="right" w:leader="dot" w:pos="8306"/>
              <w:tab w:val="clear" w:pos="8296"/>
            </w:tabs>
          </w:pPr>
          <w:r>
            <w:rPr>
              <w:rFonts w:hint="eastAsia"/>
            </w:rPr>
            <w:fldChar w:fldCharType="begin"/>
          </w:r>
          <w:r>
            <w:rPr>
              <w:rFonts w:hint="eastAsia"/>
            </w:rPr>
            <w:instrText xml:space="preserve"> HYPERLINK \l _Toc16331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一般公共预算财政拨款基本支出决算明细表</w:t>
          </w:r>
          <w:r>
            <w:tab/>
          </w:r>
          <w:r>
            <w:fldChar w:fldCharType="begin"/>
          </w:r>
          <w:r>
            <w:instrText xml:space="preserve"> PAGEREF _Toc16331 \h </w:instrText>
          </w:r>
          <w:r>
            <w:fldChar w:fldCharType="separate"/>
          </w:r>
          <w:r>
            <w:t>68</w:t>
          </w:r>
          <w:r>
            <w:fldChar w:fldCharType="end"/>
          </w:r>
          <w:r>
            <w:rPr>
              <w:rFonts w:hint="eastAsia"/>
            </w:rPr>
            <w:fldChar w:fldCharType="end"/>
          </w:r>
        </w:p>
        <w:p w14:paraId="4CA15D96">
          <w:pPr>
            <w:pStyle w:val="17"/>
            <w:tabs>
              <w:tab w:val="right" w:leader="dot" w:pos="8306"/>
              <w:tab w:val="clear" w:pos="8296"/>
            </w:tabs>
          </w:pPr>
          <w:r>
            <w:rPr>
              <w:rFonts w:hint="eastAsia"/>
            </w:rPr>
            <w:fldChar w:fldCharType="begin"/>
          </w:r>
          <w:r>
            <w:rPr>
              <w:rFonts w:hint="eastAsia"/>
            </w:rPr>
            <w:instrText xml:space="preserve"> HYPERLINK \l _Toc18991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一般公共预算财政拨款项目支出决算表</w:t>
          </w:r>
          <w:r>
            <w:tab/>
          </w:r>
          <w:r>
            <w:fldChar w:fldCharType="begin"/>
          </w:r>
          <w:r>
            <w:instrText xml:space="preserve"> PAGEREF _Toc18991 \h </w:instrText>
          </w:r>
          <w:r>
            <w:fldChar w:fldCharType="separate"/>
          </w:r>
          <w:r>
            <w:t>68</w:t>
          </w:r>
          <w:r>
            <w:fldChar w:fldCharType="end"/>
          </w:r>
          <w:r>
            <w:rPr>
              <w:rFonts w:hint="eastAsia"/>
            </w:rPr>
            <w:fldChar w:fldCharType="end"/>
          </w:r>
        </w:p>
        <w:p w14:paraId="50143274">
          <w:pPr>
            <w:pStyle w:val="17"/>
            <w:tabs>
              <w:tab w:val="right" w:leader="dot" w:pos="8306"/>
              <w:tab w:val="clear" w:pos="8296"/>
            </w:tabs>
          </w:pPr>
          <w:r>
            <w:rPr>
              <w:rFonts w:hint="eastAsia"/>
            </w:rPr>
            <w:fldChar w:fldCharType="begin"/>
          </w:r>
          <w:r>
            <w:rPr>
              <w:rFonts w:hint="eastAsia"/>
            </w:rPr>
            <w:instrText xml:space="preserve"> HYPERLINK \l _Toc18118 </w:instrText>
          </w:r>
          <w:r>
            <w:rPr>
              <w:rFonts w:hint="eastAsia"/>
            </w:rPr>
            <w:fldChar w:fldCharType="separate"/>
          </w:r>
          <w:r>
            <w:rPr>
              <w:rFonts w:hint="eastAsia" w:ascii="仿宋" w:hAnsi="仿宋" w:eastAsia="仿宋"/>
              <w:bCs w:val="0"/>
            </w:rPr>
            <w:t>十、</w:t>
          </w:r>
          <w:r>
            <w:rPr>
              <w:rFonts w:hint="eastAsia" w:ascii="仿宋" w:hAnsi="仿宋" w:eastAsia="仿宋"/>
            </w:rPr>
            <w:t>政府性基金预算财政拨款收入支出决算表</w:t>
          </w:r>
          <w:r>
            <w:tab/>
          </w:r>
          <w:r>
            <w:fldChar w:fldCharType="begin"/>
          </w:r>
          <w:r>
            <w:instrText xml:space="preserve"> PAGEREF _Toc18118 \h </w:instrText>
          </w:r>
          <w:r>
            <w:fldChar w:fldCharType="separate"/>
          </w:r>
          <w:r>
            <w:t>68</w:t>
          </w:r>
          <w:r>
            <w:fldChar w:fldCharType="end"/>
          </w:r>
          <w:r>
            <w:rPr>
              <w:rFonts w:hint="eastAsia"/>
            </w:rPr>
            <w:fldChar w:fldCharType="end"/>
          </w:r>
        </w:p>
        <w:p w14:paraId="61382B18">
          <w:pPr>
            <w:pStyle w:val="17"/>
            <w:tabs>
              <w:tab w:val="right" w:leader="dot" w:pos="8306"/>
              <w:tab w:val="clear" w:pos="8296"/>
            </w:tabs>
          </w:pPr>
          <w:r>
            <w:rPr>
              <w:rFonts w:hint="eastAsia"/>
            </w:rPr>
            <w:fldChar w:fldCharType="begin"/>
          </w:r>
          <w:r>
            <w:rPr>
              <w:rFonts w:hint="eastAsia"/>
            </w:rPr>
            <w:instrText xml:space="preserve"> HYPERLINK \l _Toc23531 </w:instrText>
          </w:r>
          <w:r>
            <w:rPr>
              <w:rFonts w:hint="eastAsia"/>
            </w:rPr>
            <w:fldChar w:fldCharType="separate"/>
          </w:r>
          <w:r>
            <w:rPr>
              <w:rFonts w:hint="eastAsia" w:ascii="仿宋" w:hAnsi="仿宋" w:eastAsia="仿宋"/>
              <w:bCs w:val="0"/>
            </w:rPr>
            <w:t>十一、</w:t>
          </w:r>
          <w:r>
            <w:rPr>
              <w:rFonts w:hint="eastAsia" w:ascii="仿宋" w:hAnsi="仿宋" w:eastAsia="仿宋"/>
            </w:rPr>
            <w:t>国有资本经营预算财政拨款收入支出决算表</w:t>
          </w:r>
          <w:r>
            <w:tab/>
          </w:r>
          <w:r>
            <w:fldChar w:fldCharType="begin"/>
          </w:r>
          <w:r>
            <w:instrText xml:space="preserve"> PAGEREF _Toc23531 \h </w:instrText>
          </w:r>
          <w:r>
            <w:fldChar w:fldCharType="separate"/>
          </w:r>
          <w:r>
            <w:t>68</w:t>
          </w:r>
          <w:r>
            <w:fldChar w:fldCharType="end"/>
          </w:r>
          <w:r>
            <w:rPr>
              <w:rFonts w:hint="eastAsia"/>
            </w:rPr>
            <w:fldChar w:fldCharType="end"/>
          </w:r>
        </w:p>
        <w:p w14:paraId="3C8DBACC">
          <w:pPr>
            <w:pStyle w:val="17"/>
            <w:tabs>
              <w:tab w:val="right" w:leader="dot" w:pos="8306"/>
              <w:tab w:val="clear" w:pos="8296"/>
            </w:tabs>
          </w:pPr>
          <w:r>
            <w:rPr>
              <w:rFonts w:hint="eastAsia"/>
            </w:rPr>
            <w:fldChar w:fldCharType="begin"/>
          </w:r>
          <w:r>
            <w:rPr>
              <w:rFonts w:hint="eastAsia"/>
            </w:rPr>
            <w:instrText xml:space="preserve"> HYPERLINK \l _Toc8492 </w:instrText>
          </w:r>
          <w:r>
            <w:rPr>
              <w:rFonts w:hint="eastAsia"/>
            </w:rPr>
            <w:fldChar w:fldCharType="separate"/>
          </w:r>
          <w:r>
            <w:rPr>
              <w:rFonts w:hint="eastAsia" w:ascii="仿宋" w:hAnsi="仿宋" w:eastAsia="仿宋"/>
              <w:bCs w:val="0"/>
            </w:rPr>
            <w:t>十二、</w:t>
          </w:r>
          <w:r>
            <w:rPr>
              <w:rFonts w:hint="eastAsia" w:ascii="仿宋" w:hAnsi="仿宋" w:eastAsia="仿宋"/>
            </w:rPr>
            <w:t>国有资本经营预算财政拨款支出决算表</w:t>
          </w:r>
          <w:r>
            <w:tab/>
          </w:r>
          <w:r>
            <w:fldChar w:fldCharType="begin"/>
          </w:r>
          <w:r>
            <w:instrText xml:space="preserve"> PAGEREF _Toc8492 \h </w:instrText>
          </w:r>
          <w:r>
            <w:fldChar w:fldCharType="separate"/>
          </w:r>
          <w:r>
            <w:t>68</w:t>
          </w:r>
          <w:r>
            <w:fldChar w:fldCharType="end"/>
          </w:r>
          <w:r>
            <w:rPr>
              <w:rFonts w:hint="eastAsia"/>
            </w:rPr>
            <w:fldChar w:fldCharType="end"/>
          </w:r>
        </w:p>
        <w:p w14:paraId="1D35C932">
          <w:pPr>
            <w:pStyle w:val="17"/>
            <w:tabs>
              <w:tab w:val="right" w:leader="dot" w:pos="8306"/>
              <w:tab w:val="clear" w:pos="8296"/>
            </w:tabs>
          </w:pPr>
          <w:r>
            <w:rPr>
              <w:rFonts w:hint="eastAsia"/>
            </w:rPr>
            <w:fldChar w:fldCharType="begin"/>
          </w:r>
          <w:r>
            <w:rPr>
              <w:rFonts w:hint="eastAsia"/>
            </w:rPr>
            <w:instrText xml:space="preserve"> HYPERLINK \l _Toc4874 </w:instrText>
          </w:r>
          <w:r>
            <w:rPr>
              <w:rFonts w:hint="eastAsia"/>
            </w:rPr>
            <w:fldChar w:fldCharType="separate"/>
          </w:r>
          <w:r>
            <w:rPr>
              <w:rFonts w:hint="eastAsia" w:ascii="仿宋" w:hAnsi="仿宋" w:eastAsia="仿宋"/>
              <w:bCs w:val="0"/>
            </w:rPr>
            <w:t>十三、</w:t>
          </w:r>
          <w:r>
            <w:rPr>
              <w:rFonts w:hint="eastAsia" w:ascii="仿宋" w:hAnsi="仿宋" w:eastAsia="仿宋"/>
            </w:rPr>
            <w:t>财政拨款“三公”经费支出决算表</w:t>
          </w:r>
          <w:r>
            <w:tab/>
          </w:r>
          <w:r>
            <w:fldChar w:fldCharType="begin"/>
          </w:r>
          <w:r>
            <w:instrText xml:space="preserve"> PAGEREF _Toc4874 \h </w:instrText>
          </w:r>
          <w:r>
            <w:fldChar w:fldCharType="separate"/>
          </w:r>
          <w:r>
            <w:t>68</w:t>
          </w:r>
          <w:r>
            <w:fldChar w:fldCharType="end"/>
          </w:r>
          <w:r>
            <w:rPr>
              <w:rFonts w:hint="eastAsia"/>
            </w:rPr>
            <w:fldChar w:fldCharType="end"/>
          </w:r>
        </w:p>
        <w:p w14:paraId="1B44DAE6">
          <w:pPr>
            <w:rPr>
              <w:rFonts w:hint="eastAsia"/>
            </w:rPr>
          </w:pPr>
          <w:r>
            <w:rPr>
              <w:rFonts w:hint="eastAsia"/>
            </w:rPr>
            <w:fldChar w:fldCharType="end"/>
          </w:r>
          <w:bookmarkStart w:id="17" w:name="_Toc5617"/>
        </w:p>
      </w:sdtContent>
    </w:sdt>
    <w:p w14:paraId="0D71A978">
      <w:pPr>
        <w:jc w:val="center"/>
        <w:rPr>
          <w:rStyle w:val="31"/>
          <w:rFonts w:hint="eastAsia" w:ascii="黑体" w:hAnsi="黑体" w:eastAsia="黑体" w:cs="Times New Roman"/>
          <w:b w:val="0"/>
          <w:bCs w:val="0"/>
        </w:rPr>
      </w:pPr>
      <w:bookmarkStart w:id="18" w:name="_Toc16983"/>
    </w:p>
    <w:p w14:paraId="51882A51">
      <w:pPr>
        <w:jc w:val="center"/>
        <w:rPr>
          <w:rStyle w:val="31"/>
          <w:rFonts w:hint="eastAsia" w:ascii="黑体" w:hAnsi="黑体" w:eastAsia="黑体" w:cs="Times New Roman"/>
          <w:b w:val="0"/>
          <w:bCs w:val="0"/>
        </w:rPr>
      </w:pPr>
    </w:p>
    <w:p w14:paraId="1AA20B5A">
      <w:pPr>
        <w:jc w:val="center"/>
        <w:rPr>
          <w:rFonts w:ascii="黑体" w:eastAsia="黑体"/>
          <w:color w:val="000000"/>
          <w:sz w:val="32"/>
          <w:szCs w:val="32"/>
        </w:rPr>
      </w:pPr>
      <w:r>
        <w:rPr>
          <w:rStyle w:val="31"/>
          <w:rFonts w:hint="eastAsia" w:ascii="黑体" w:hAnsi="黑体" w:eastAsia="黑体" w:cs="Times New Roman"/>
          <w:b w:val="0"/>
          <w:bCs w:val="0"/>
        </w:rPr>
        <w:t xml:space="preserve">第一部分 </w:t>
      </w:r>
      <w:r>
        <w:rPr>
          <w:rStyle w:val="31"/>
          <w:rFonts w:hint="eastAsia" w:ascii="黑体" w:hAnsi="黑体" w:eastAsia="黑体"/>
          <w:b w:val="0"/>
          <w:bCs w:val="0"/>
        </w:rPr>
        <w:t>部门概况</w:t>
      </w:r>
      <w:bookmarkEnd w:id="17"/>
      <w:bookmarkEnd w:id="18"/>
    </w:p>
    <w:p w14:paraId="288ED203">
      <w:pPr>
        <w:pageBreakBefore w:val="0"/>
        <w:kinsoku/>
        <w:overflowPunct/>
        <w:topLinePunct w:val="0"/>
        <w:bidi w:val="0"/>
        <w:snapToGrid w:val="0"/>
        <w:spacing w:line="576"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9" w:name="_Toc4511"/>
      <w:bookmarkStart w:id="20" w:name="_Toc15396600"/>
      <w:bookmarkStart w:id="21" w:name="_Toc17045"/>
      <w:bookmarkStart w:id="22" w:name="_Toc15377197"/>
      <w:r>
        <w:rPr>
          <w:rFonts w:hint="eastAsia" w:ascii="黑体" w:eastAsia="黑体" w:hAnsiTheme="majorHAnsi" w:cstheme="majorBidi"/>
          <w:b w:val="0"/>
          <w:bCs/>
          <w:color w:val="000000"/>
          <w:kern w:val="2"/>
          <w:sz w:val="32"/>
          <w:szCs w:val="32"/>
          <w:lang w:val="en-US" w:eastAsia="zh-CN" w:bidi="ar-SA"/>
        </w:rPr>
        <w:t>一、基本职能及主要工作</w:t>
      </w:r>
      <w:bookmarkEnd w:id="19"/>
      <w:bookmarkEnd w:id="20"/>
      <w:bookmarkEnd w:id="21"/>
      <w:bookmarkEnd w:id="22"/>
    </w:p>
    <w:p w14:paraId="7C91D338">
      <w:pPr>
        <w:pageBreakBefore w:val="0"/>
        <w:kinsoku/>
        <w:overflowPunct/>
        <w:topLinePunct w:val="0"/>
        <w:bidi w:val="0"/>
        <w:snapToGrid w:val="0"/>
        <w:spacing w:line="576" w:lineRule="exact"/>
        <w:ind w:firstLine="640" w:firstLineChars="200"/>
        <w:outlineLvl w:val="2"/>
        <w:rPr>
          <w:rFonts w:hint="eastAsia" w:ascii="方正楷体_GB2312" w:hAnsi="方正楷体_GB2312" w:eastAsia="方正楷体_GB2312" w:cs="方正楷体_GB2312"/>
          <w:bCs/>
          <w:sz w:val="32"/>
          <w:szCs w:val="32"/>
        </w:rPr>
      </w:pPr>
      <w:bookmarkStart w:id="23" w:name="_Toc31981"/>
      <w:bookmarkStart w:id="24" w:name="_Toc15377198"/>
      <w:bookmarkStart w:id="25" w:name="_Toc15378445"/>
      <w:r>
        <w:rPr>
          <w:rFonts w:hint="eastAsia" w:ascii="方正楷体_GB2312" w:hAnsi="方正楷体_GB2312" w:eastAsia="方正楷体_GB2312" w:cs="方正楷体_GB2312"/>
          <w:bCs/>
          <w:sz w:val="32"/>
          <w:szCs w:val="32"/>
        </w:rPr>
        <w:t>（一）主要职能。</w:t>
      </w:r>
      <w:bookmarkEnd w:id="23"/>
      <w:bookmarkEnd w:id="24"/>
      <w:bookmarkEnd w:id="25"/>
      <w:bookmarkStart w:id="26" w:name="_Toc15377199"/>
      <w:bookmarkStart w:id="27" w:name="_Toc15378446"/>
    </w:p>
    <w:p w14:paraId="611861C9">
      <w:pPr>
        <w:pageBreakBefore w:val="0"/>
        <w:kinsoku/>
        <w:overflowPunct/>
        <w:topLinePunct w:val="0"/>
        <w:bidi w:val="0"/>
        <w:snapToGrid w:val="0"/>
        <w:spacing w:line="576" w:lineRule="exact"/>
        <w:ind w:firstLine="640" w:firstLineChars="200"/>
        <w:rPr>
          <w:rFonts w:ascii="仿宋_GB2312" w:hAnsi="仿宋" w:eastAsia="仿宋_GB2312"/>
          <w:bCs/>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14:paraId="7A8B8321">
      <w:pPr>
        <w:pageBreakBefore w:val="0"/>
        <w:kinsoku/>
        <w:overflowPunct/>
        <w:topLinePunct w:val="0"/>
        <w:bidi w:val="0"/>
        <w:snapToGrid w:val="0"/>
        <w:spacing w:line="576" w:lineRule="exact"/>
        <w:ind w:firstLine="640" w:firstLineChars="200"/>
        <w:outlineLvl w:val="2"/>
        <w:rPr>
          <w:rFonts w:hint="eastAsia" w:ascii="方正楷体_GB2312" w:hAnsi="方正楷体_GB2312" w:eastAsia="方正楷体_GB2312" w:cs="方正楷体_GB2312"/>
          <w:bCs/>
          <w:sz w:val="32"/>
          <w:szCs w:val="32"/>
        </w:rPr>
      </w:pPr>
      <w:bookmarkStart w:id="28" w:name="_Toc26367"/>
      <w:bookmarkStart w:id="29" w:name="_Toc31513"/>
      <w:r>
        <w:rPr>
          <w:rFonts w:hint="eastAsia" w:ascii="方正楷体_GB2312" w:hAnsi="方正楷体_GB2312" w:eastAsia="方正楷体_GB2312" w:cs="方正楷体_GB2312"/>
          <w:bCs/>
          <w:sz w:val="32"/>
          <w:szCs w:val="32"/>
        </w:rPr>
        <w:t>（二）</w:t>
      </w:r>
      <w:r>
        <w:rPr>
          <w:rFonts w:hint="eastAsia" w:ascii="方正楷体_GB2312" w:hAnsi="方正楷体_GB2312" w:eastAsia="方正楷体_GB2312" w:cs="方正楷体_GB2312"/>
          <w:bCs/>
          <w:sz w:val="32"/>
          <w:szCs w:val="32"/>
          <w:lang w:eastAsia="zh-CN"/>
        </w:rPr>
        <w:t>2023</w:t>
      </w:r>
      <w:r>
        <w:rPr>
          <w:rFonts w:hint="eastAsia" w:ascii="方正楷体_GB2312" w:hAnsi="方正楷体_GB2312" w:eastAsia="方正楷体_GB2312" w:cs="方正楷体_GB2312"/>
          <w:bCs/>
          <w:sz w:val="32"/>
          <w:szCs w:val="32"/>
        </w:rPr>
        <w:t>年重点工作完成情况。</w:t>
      </w:r>
      <w:bookmarkEnd w:id="26"/>
      <w:bookmarkEnd w:id="27"/>
      <w:bookmarkEnd w:id="28"/>
      <w:bookmarkEnd w:id="29"/>
    </w:p>
    <w:p w14:paraId="52CF2F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30" w:name="_Toc11021"/>
      <w:bookmarkStart w:id="31" w:name="_Toc15377200"/>
      <w:bookmarkStart w:id="32" w:name="_Toc15396601"/>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聚焦思想政治建设，解决好推动发展的首要问题。一是深入开展学习贯彻习近平新时代中国特色社会主义思想教育。结合中心组学习、</w:t>
      </w:r>
      <w:r>
        <w:rPr>
          <w:rFonts w:hint="eastAsia" w:ascii="仿宋_GB2312" w:hAnsi="仿宋_GB2312" w:eastAsia="仿宋_GB2312" w:cs="仿宋_GB2312"/>
          <w:sz w:val="32"/>
          <w:szCs w:val="32"/>
          <w:lang w:val="en-US" w:eastAsia="zh-CN"/>
        </w:rPr>
        <w:t>主题教育、</w:t>
      </w:r>
      <w:r>
        <w:rPr>
          <w:rFonts w:hint="eastAsia" w:ascii="仿宋_GB2312" w:hAnsi="仿宋_GB2312" w:eastAsia="仿宋_GB2312" w:cs="仿宋_GB2312"/>
          <w:sz w:val="32"/>
          <w:szCs w:val="32"/>
          <w:lang w:eastAsia="zh-CN"/>
        </w:rPr>
        <w:t>支部三会一课、主题党日活动，深入学习习近平新时代中国特色社会主义思想、党的二十大精神、习近平总书记来川视察重要指示精神、习近平总书记在各地考察重要讲话精神，截至目前集中学习</w:t>
      </w:r>
      <w:r>
        <w:rPr>
          <w:rFonts w:hint="eastAsia" w:ascii="仿宋_GB2312" w:hAnsi="仿宋_GB2312" w:eastAsia="仿宋_GB2312" w:cs="仿宋_GB2312"/>
          <w:sz w:val="32"/>
          <w:szCs w:val="32"/>
          <w:lang w:val="en-US" w:eastAsia="zh-CN"/>
        </w:rPr>
        <w:t>9次。</w:t>
      </w:r>
      <w:r>
        <w:rPr>
          <w:rFonts w:hint="eastAsia" w:ascii="仿宋_GB2312" w:hAnsi="仿宋_GB2312" w:eastAsia="仿宋_GB2312" w:cs="仿宋_GB2312"/>
          <w:sz w:val="32"/>
          <w:szCs w:val="32"/>
          <w:lang w:eastAsia="zh-CN"/>
        </w:rPr>
        <w:t>积极开展“立足岗位作贡献”“我为群众办实事”“学习身边榜样”活动</w:t>
      </w:r>
      <w:r>
        <w:rPr>
          <w:rFonts w:hint="eastAsia" w:ascii="仿宋_GB2312" w:hAnsi="仿宋_GB2312" w:eastAsia="仿宋_GB2312" w:cs="仿宋_GB2312"/>
          <w:sz w:val="32"/>
          <w:szCs w:val="32"/>
          <w:lang w:val="en-US" w:eastAsia="zh-CN"/>
        </w:rPr>
        <w:t>10次，贯彻落实</w:t>
      </w:r>
      <w:r>
        <w:rPr>
          <w:rFonts w:hint="eastAsia" w:ascii="仿宋_GB2312" w:hAnsi="仿宋_GB2312" w:eastAsia="仿宋_GB2312" w:cs="仿宋_GB2312"/>
          <w:sz w:val="32"/>
          <w:szCs w:val="32"/>
          <w:lang w:eastAsia="zh-CN"/>
        </w:rPr>
        <w:t>“四下基层”工作法，着力解决群众急难盼愁问题。同时</w:t>
      </w:r>
      <w:r>
        <w:rPr>
          <w:rFonts w:hint="eastAsia" w:ascii="仿宋_GB2312" w:hAnsi="仿宋_GB2312" w:eastAsia="仿宋_GB2312" w:cs="仿宋_GB2312"/>
          <w:sz w:val="32"/>
          <w:szCs w:val="32"/>
        </w:rPr>
        <w:t>建立起“领导带头学+支部集中学+重点研讨学+及时跟进学+微信推送学”常态化学习机制，</w:t>
      </w:r>
      <w:r>
        <w:rPr>
          <w:rFonts w:hint="eastAsia" w:ascii="仿宋_GB2312" w:hAnsi="仿宋_GB2312" w:eastAsia="仿宋_GB2312" w:cs="仿宋_GB2312"/>
          <w:sz w:val="32"/>
          <w:szCs w:val="32"/>
          <w:lang w:eastAsia="zh-CN"/>
        </w:rPr>
        <w:t>不断提高党员思想觉悟，切实做到筑牢信仰之基、补足精神之钙、把稳思想之舵，始终把坚定拥护“两个确立”坚决做到“两个维护”作为江茸乡党委最根本的政治要求，努力在以学铸魂、以学增智、以学正风、以学促干方面取得实实在在的成效。二是持续强化党员干部思想建设。</w:t>
      </w:r>
      <w:r>
        <w:rPr>
          <w:rFonts w:hint="eastAsia" w:ascii="仿宋_GB2312" w:hAnsi="仿宋_GB2312" w:eastAsia="仿宋_GB2312" w:cs="仿宋_GB2312"/>
          <w:sz w:val="32"/>
          <w:szCs w:val="32"/>
        </w:rPr>
        <w:t>不断加强党员干部思想建设，确保党员队伍始终坚定理想信念，提升党性修养。截至目前各基层党组织共开展集中学习27次，主题党日27次，召开党员大会</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次，支委会27次，讲党课</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次。用活学习强国、党员微信群等线上平台，不定期推送习近平重要讲话精神等最新理论文章，实现党员干部随时随地自由学，全乡掀起思想政治理论学习热潮。</w:t>
      </w:r>
    </w:p>
    <w:p w14:paraId="41B914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聚焦基层组织建设，解决好推动发展的核心问题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一是压实主体责任。坚持“书记抓、抓书记”。督促班子成员落实“一岗双责”，党委书记讲党课3次、到村调研党建工作10余次、参加双重组织生活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次。坚持问题导向，每季度召开专题党委会研究部署基层党建工作，并建立“月提示、季督导、年考核”以及问题清单机制，开展党建督查2次。持续推进“三分类三升级”行动。结合我乡各基层党组织实际，找准目标定位，形成分类转化提升台账，明确整改措施及时限，落实整改举措，组织战斗力不断增强。继续推动江茸乡雅克先锋党员志愿服务。按照“群众在哪里，服务到哪里”的原则，30名党员在全乡应急服务、森林草原防灭火、生态环保工作中第一时间响应乡党委的号召，充分发挥党支部战斗堡垒，党员先锋模范作用。全年开展防灭火宣传、义务植树、环境卫生整治志愿服务活动30余次。二是突出党建示范引领。江茸乡在各项工作中突出党建示范引领作用，夯实支部战斗堡垒。党建引领生态环保，乡党委以生态功能区党建示范带建设为契机，积极探索实践党建促生态功能区建设有效路径，发挥党支部在生态环保方面的带头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党建引领乡村振兴。各村党支部推行“支部+合作者+牧户”的联动发展模式，持续巩固壮大村集体经济，茸日玛村达格则AAA及景区配套建设更加完善，江宫玛村中藏药种植基地规模扩面增效，为有效助农增收打下坚实基础。党建引领基层治理。各村党支部对“村规民约”逐一进行了修订完善，并通过无职党员设岗定责激发党员发挥先锋模范作用，带动群众进行自治；乡党委借助“联户联情”入户工作及“我为群众办实事”实践活动，加大普法力度，推动辖区群众懂法学法用法，营造了良好的法治氛围。三是狠抓党员干部队伍建设。强化党员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注重提升党员队伍素质与结构，积极动员农民工、大中专毕业生、致富青年入党，前三季度累计发展党员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名，预计202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年底共发展党员</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加强村干部培训。</w:t>
      </w:r>
      <w:r>
        <w:rPr>
          <w:rFonts w:hint="eastAsia" w:ascii="仿宋_GB2312" w:hAnsi="仿宋_GB2312" w:eastAsia="仿宋_GB2312" w:cs="仿宋_GB2312"/>
          <w:sz w:val="32"/>
          <w:szCs w:val="32"/>
        </w:rPr>
        <w:t>规范党员干部花名册。对党员干部信息及时进行更新，并将党员信息及时录入全国党员管理信息系统，确保了关键时刻找得到，用得上。用心用情做好老干部管理。牢牢把握新时代老干部工作正确方向，切实增强政治自觉和行动自觉，满怀热情做好老干部工作。</w:t>
      </w:r>
      <w:r>
        <w:rPr>
          <w:rFonts w:hint="eastAsia" w:ascii="仿宋_GB2312" w:hAnsi="仿宋_GB2312" w:eastAsia="仿宋_GB2312" w:cs="仿宋_GB2312"/>
          <w:sz w:val="32"/>
          <w:szCs w:val="32"/>
          <w:lang w:eastAsia="zh-CN"/>
        </w:rPr>
        <w:t>结合主题教育活动的开展</w:t>
      </w:r>
      <w:r>
        <w:rPr>
          <w:rFonts w:hint="eastAsia" w:ascii="仿宋_GB2312" w:hAnsi="仿宋_GB2312" w:eastAsia="仿宋_GB2312" w:cs="仿宋_GB2312"/>
          <w:sz w:val="32"/>
          <w:szCs w:val="32"/>
        </w:rPr>
        <w:t>，对我乡4名离退休干部开展“送教上门”活动，为其发放</w:t>
      </w:r>
      <w:r>
        <w:rPr>
          <w:rFonts w:hint="eastAsia" w:ascii="仿宋_GB2312" w:hAnsi="仿宋_GB2312" w:eastAsia="仿宋_GB2312" w:cs="仿宋_GB2312"/>
          <w:sz w:val="32"/>
          <w:szCs w:val="32"/>
          <w:lang w:eastAsia="zh-CN"/>
        </w:rPr>
        <w:t>主题教育书籍</w:t>
      </w:r>
      <w:r>
        <w:rPr>
          <w:rFonts w:hint="eastAsia" w:ascii="仿宋_GB2312" w:hAnsi="仿宋_GB2312" w:eastAsia="仿宋_GB2312" w:cs="仿宋_GB2312"/>
          <w:sz w:val="32"/>
          <w:szCs w:val="32"/>
        </w:rPr>
        <w:t>,并给他们讲解教材内容。乡党委及时对辖区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名离任村干部进行了走访慰问，了解了离任村干部的思想状况、身体情况，收集了他们对乡党委政府在经济发展方面的意见建议，并鼓励他们持续发挥余热，为本乡发展献计献策。</w:t>
      </w:r>
    </w:p>
    <w:p w14:paraId="2BE9DB9C">
      <w:pPr>
        <w:spacing w:line="550" w:lineRule="exact"/>
        <w:ind w:firstLine="640" w:firstLineChars="200"/>
        <w:rPr>
          <w:rFonts w:hint="default" w:ascii="仿宋_GB2312" w:hAnsi="仿宋_GB2312" w:eastAsia="仿宋_GB2312" w:cs="仿宋_GB2312"/>
          <w:bCs/>
          <w:sz w:val="32"/>
          <w:szCs w:val="32"/>
          <w:shd w:val="clear" w:color="auto" w:fill="FFFFFF"/>
          <w:lang w:val="en-US" w:eastAsia="zh-CN"/>
        </w:rPr>
      </w:pPr>
      <w:r>
        <w:rPr>
          <w:rFonts w:hint="eastAsia" w:ascii="仿宋_GB2312" w:hAnsi="仿宋_GB2312" w:eastAsia="仿宋_GB2312" w:cs="仿宋_GB2312"/>
          <w:kern w:val="2"/>
          <w:sz w:val="32"/>
          <w:szCs w:val="32"/>
          <w:lang w:val="en-US" w:eastAsia="zh-CN" w:bidi="ar-SA"/>
        </w:rPr>
        <w:t>3、凝心聚力谋划发展，全力以赴助增收。一是畜牧业持续健康发展。持续推行草畜平衡。按照以人定畜（每人只能养殖20头牛）的方式持续推进减畜工</w:t>
      </w:r>
      <w:r>
        <w:rPr>
          <w:rFonts w:hint="eastAsia" w:ascii="仿宋_GB2312" w:hAnsi="仿宋_GB2312" w:eastAsia="仿宋_GB2312" w:cs="仿宋_GB2312"/>
          <w:bCs/>
          <w:sz w:val="32"/>
          <w:szCs w:val="32"/>
          <w:shd w:val="clear" w:color="auto" w:fill="FFFFFF"/>
        </w:rPr>
        <w:t>作。</w:t>
      </w:r>
      <w:r>
        <w:rPr>
          <w:rFonts w:hint="eastAsia" w:ascii="仿宋_GB2312" w:hAnsi="仿宋_GB2312" w:eastAsia="仿宋_GB2312" w:cs="仿宋_GB2312"/>
          <w:kern w:val="2"/>
          <w:sz w:val="32"/>
          <w:szCs w:val="32"/>
          <w:lang w:val="en-US" w:eastAsia="zh-CN" w:bidi="ar-SA"/>
        </w:rPr>
        <w:t>为巩固减畜工作成效，我乡持续推进减畜目标，利用村民大会、群众大会宣讲减畜政策，确保经济社会、绿色、健康、协调可持续发展，切实加大生态环境保护力度。是有效地</w:t>
      </w:r>
      <w:r>
        <w:rPr>
          <w:rFonts w:hint="eastAsia" w:ascii="仿宋_GB2312" w:hAnsi="仿宋_GB2312" w:eastAsia="仿宋_GB2312" w:cs="仿宋_GB2312"/>
          <w:bCs/>
          <w:sz w:val="32"/>
          <w:szCs w:val="32"/>
          <w:shd w:val="clear" w:color="auto" w:fill="FFFFFF"/>
        </w:rPr>
        <w:t>防范重大动物疫病的发生，2023年春季疫苗接种42300头牦牛，疫苗接种率达到99%。</w:t>
      </w:r>
      <w:r>
        <w:rPr>
          <w:rFonts w:hint="eastAsia" w:ascii="仿宋_GB2312" w:hAnsi="仿宋_GB2312" w:eastAsia="仿宋_GB2312" w:cs="仿宋_GB2312"/>
          <w:bCs/>
          <w:sz w:val="32"/>
          <w:szCs w:val="32"/>
          <w:shd w:val="clear" w:color="auto" w:fill="FFFFFF"/>
          <w:lang w:eastAsia="zh-CN"/>
        </w:rPr>
        <w:t>二是</w:t>
      </w:r>
      <w:r>
        <w:rPr>
          <w:rFonts w:hint="eastAsia" w:ascii="仿宋_GB2312" w:hAnsi="仿宋_GB2312" w:eastAsia="仿宋_GB2312" w:cs="仿宋_GB2312"/>
          <w:bCs/>
          <w:sz w:val="32"/>
          <w:szCs w:val="32"/>
          <w:shd w:val="clear" w:color="auto" w:fill="FFFFFF"/>
        </w:rPr>
        <w:t>持续壮大村集体经济。抓实特色产业发展。两村绵羊养殖合作社存栏绵羊1150余只、存栏牦牛630余头。大力发展文旅游。进一步完善达格则AAA级景区各项基础配备设施维修建设，吸引更多的游客前来观光，促进旅游消费，增加群众收入。大力发展中藏药材产业。江宫玛村中藏药种植贝母药材，通过合作社</w:t>
      </w:r>
      <w:r>
        <w:rPr>
          <w:rFonts w:hint="eastAsia" w:ascii="仿宋_GB2312" w:hAnsi="仿宋_GB2312" w:eastAsia="仿宋_GB2312" w:cs="仿宋_GB2312"/>
          <w:bCs/>
          <w:sz w:val="32"/>
          <w:szCs w:val="32"/>
          <w:shd w:val="clear" w:color="auto" w:fill="FFFFFF"/>
          <w:lang w:val="en-US" w:eastAsia="zh-CN"/>
        </w:rPr>
        <w:t>的</w:t>
      </w:r>
      <w:r>
        <w:rPr>
          <w:rFonts w:hint="eastAsia" w:ascii="仿宋_GB2312" w:hAnsi="仿宋_GB2312" w:eastAsia="仿宋_GB2312" w:cs="仿宋_GB2312"/>
          <w:bCs/>
          <w:sz w:val="32"/>
          <w:szCs w:val="32"/>
          <w:shd w:val="clear" w:color="auto" w:fill="FFFFFF"/>
        </w:rPr>
        <w:t>方式，引进专业种植药材技术，借助多方资源探索销售渠道。目前完成5个大棚贝母</w:t>
      </w:r>
      <w:r>
        <w:rPr>
          <w:rFonts w:hint="eastAsia" w:ascii="仿宋_GB2312" w:hAnsi="仿宋_GB2312" w:eastAsia="仿宋_GB2312" w:cs="仿宋_GB2312"/>
          <w:bCs/>
          <w:color w:val="auto"/>
          <w:sz w:val="32"/>
          <w:szCs w:val="32"/>
          <w:shd w:val="clear" w:color="auto" w:fill="FFFFFF"/>
        </w:rPr>
        <w:t>种植，预计收成</w:t>
      </w:r>
      <w:r>
        <w:rPr>
          <w:rFonts w:hint="eastAsia" w:ascii="仿宋_GB2312" w:hAnsi="仿宋_GB2312" w:eastAsia="仿宋_GB2312" w:cs="仿宋_GB2312"/>
          <w:bCs/>
          <w:color w:val="auto"/>
          <w:sz w:val="32"/>
          <w:szCs w:val="32"/>
          <w:shd w:val="clear" w:color="auto" w:fill="FFFFFF"/>
          <w:lang w:val="en-US" w:eastAsia="zh-CN"/>
        </w:rPr>
        <w:t>40</w:t>
      </w:r>
      <w:r>
        <w:rPr>
          <w:rFonts w:hint="eastAsia" w:ascii="仿宋_GB2312" w:hAnsi="仿宋_GB2312" w:eastAsia="仿宋_GB2312" w:cs="仿宋_GB2312"/>
          <w:bCs/>
          <w:color w:val="auto"/>
          <w:sz w:val="32"/>
          <w:szCs w:val="32"/>
          <w:shd w:val="clear" w:color="auto" w:fill="FFFFFF"/>
        </w:rPr>
        <w:t>斤。</w:t>
      </w:r>
      <w:r>
        <w:rPr>
          <w:rFonts w:hint="eastAsia" w:ascii="仿宋_GB2312" w:hAnsi="仿宋_GB2312" w:eastAsia="仿宋_GB2312" w:cs="仿宋_GB2312"/>
          <w:bCs/>
          <w:sz w:val="32"/>
          <w:szCs w:val="32"/>
          <w:shd w:val="clear" w:color="auto" w:fill="FFFFFF"/>
          <w:lang w:eastAsia="zh-CN"/>
        </w:rPr>
        <w:t>三是</w:t>
      </w:r>
      <w:r>
        <w:rPr>
          <w:rFonts w:hint="eastAsia" w:ascii="仿宋_GB2312" w:hAnsi="仿宋_GB2312" w:eastAsia="仿宋_GB2312" w:cs="仿宋_GB2312"/>
          <w:bCs/>
          <w:sz w:val="32"/>
          <w:szCs w:val="32"/>
          <w:shd w:val="clear" w:color="auto" w:fill="FFFFFF"/>
          <w:lang w:val="en-US" w:eastAsia="zh-CN"/>
        </w:rPr>
        <w:t>各个</w:t>
      </w:r>
      <w:r>
        <w:rPr>
          <w:rFonts w:hint="eastAsia" w:ascii="仿宋_GB2312" w:hAnsi="仿宋_GB2312" w:eastAsia="仿宋_GB2312" w:cs="仿宋_GB2312"/>
          <w:bCs/>
          <w:sz w:val="32"/>
          <w:szCs w:val="32"/>
          <w:shd w:val="clear" w:color="auto" w:fill="FFFFFF"/>
        </w:rPr>
        <w:t>项目有序推进。</w:t>
      </w:r>
      <w:r>
        <w:rPr>
          <w:rFonts w:hint="eastAsia" w:ascii="仿宋_GB2312" w:hAnsi="仿宋_GB2312" w:eastAsia="仿宋_GB2312" w:cs="仿宋_GB2312"/>
          <w:bCs/>
          <w:sz w:val="32"/>
          <w:szCs w:val="32"/>
          <w:shd w:val="clear" w:color="auto" w:fill="FFFFFF"/>
          <w:lang w:val="en-US" w:eastAsia="zh-CN"/>
        </w:rPr>
        <w:t>2023年在江茸乡辖区内共实施项目20个，总投资1.478186亿元</w:t>
      </w:r>
      <w:r>
        <w:rPr>
          <w:rFonts w:hint="eastAsia" w:ascii="仿宋_GB2312" w:hAnsi="仿宋_GB2312" w:eastAsia="仿宋_GB2312" w:cs="仿宋_GB2312"/>
          <w:bCs/>
          <w:sz w:val="32"/>
          <w:szCs w:val="32"/>
          <w:shd w:val="clear" w:color="auto" w:fill="FFFFFF"/>
        </w:rPr>
        <w:t>。</w:t>
      </w:r>
      <w:r>
        <w:rPr>
          <w:rFonts w:hint="eastAsia" w:ascii="仿宋_GB2312" w:hAnsi="仿宋_GB2312" w:eastAsia="仿宋_GB2312" w:cs="仿宋_GB2312"/>
          <w:bCs/>
          <w:sz w:val="32"/>
          <w:szCs w:val="32"/>
          <w:shd w:val="clear" w:color="auto" w:fill="FFFFFF"/>
          <w:lang w:val="en-US" w:eastAsia="zh-CN"/>
        </w:rPr>
        <w:t>项目的落地实施使江茸乡基础设施更加完善，生态更加美丽，人居环境进一步提升，人民生活更加富裕。</w:t>
      </w:r>
    </w:p>
    <w:p w14:paraId="16940370">
      <w:pPr>
        <w:pStyle w:val="18"/>
        <w:adjustRightInd w:val="0"/>
        <w:snapToGrid w:val="0"/>
        <w:spacing w:line="576" w:lineRule="exact"/>
        <w:ind w:firstLine="640" w:firstLineChars="200"/>
        <w:jc w:val="both"/>
        <w:rPr>
          <w:rFonts w:hint="eastAsia" w:ascii="仿宋_GB2312" w:hAnsi="仿宋_GB2312" w:eastAsia="仿宋_GB2312" w:cs="仿宋_GB2312"/>
          <w:bCs/>
          <w:kern w:val="2"/>
          <w:sz w:val="32"/>
          <w:szCs w:val="32"/>
          <w:shd w:val="clear" w:color="auto" w:fill="FFFFFF"/>
          <w:lang w:val="en-US" w:eastAsia="zh-CN" w:bidi="ar-SA"/>
        </w:rPr>
      </w:pPr>
      <w:r>
        <w:rPr>
          <w:rFonts w:hint="eastAsia" w:ascii="仿宋_GB2312" w:hAnsi="仿宋_GB2312" w:eastAsia="仿宋_GB2312" w:cs="仿宋_GB2312"/>
          <w:bCs/>
          <w:kern w:val="2"/>
          <w:sz w:val="32"/>
          <w:szCs w:val="32"/>
          <w:shd w:val="clear" w:color="auto" w:fill="FFFFFF"/>
          <w:lang w:val="en-US" w:eastAsia="zh-CN" w:bidi="ar-SA"/>
        </w:rPr>
        <w:t>4.做实防返贫监测,巩固脱贫成果。持续开展防止返贫监测帮扶工作，巩固脱贫户23户106人脱贫成效，监测易致贫户3户19人的生活现状。开展入户大排查工作，对家庭收支情况进行评估。义务教育、医疗保险、安全住房等方面，均有保障，并未发现弱项。</w:t>
      </w:r>
    </w:p>
    <w:p w14:paraId="5DB68876">
      <w:pPr>
        <w:pStyle w:val="43"/>
        <w:overflowPunct/>
        <w:autoSpaceDE w:val="0"/>
        <w:autoSpaceDN w:val="0"/>
        <w:spacing w:line="576" w:lineRule="exact"/>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bCs/>
          <w:kern w:val="2"/>
          <w:sz w:val="32"/>
          <w:szCs w:val="32"/>
          <w:shd w:val="clear" w:color="auto" w:fill="FFFFFF"/>
          <w:lang w:val="en-US" w:eastAsia="zh-CN" w:bidi="ar-SA"/>
        </w:rPr>
        <w:t>5.</w:t>
      </w:r>
      <w:r>
        <w:rPr>
          <w:rFonts w:hint="eastAsia" w:ascii="仿宋_GB2312" w:hAnsi="仿宋_GB2312" w:eastAsia="仿宋_GB2312" w:cs="仿宋_GB2312"/>
          <w:bCs/>
          <w:kern w:val="2"/>
          <w:sz w:val="32"/>
          <w:szCs w:val="32"/>
          <w:shd w:val="clear" w:color="auto" w:fill="FFFFFF"/>
          <w:lang w:val="zh-CN" w:eastAsia="zh-CN" w:bidi="ar-SA"/>
        </w:rPr>
        <w:t>聚焦岗位责任建设，解决好推动发展的实际问题。</w:t>
      </w:r>
      <w:r>
        <w:rPr>
          <w:rFonts w:hint="eastAsia" w:ascii="仿宋_GB2312" w:hAnsi="仿宋_GB2312" w:eastAsia="仿宋_GB2312" w:cs="仿宋_GB2312"/>
          <w:sz w:val="32"/>
          <w:szCs w:val="32"/>
          <w:lang w:val="zh-CN"/>
        </w:rPr>
        <w:t>一是持续用力抓好安全生产。</w:t>
      </w:r>
      <w:r>
        <w:rPr>
          <w:rFonts w:hint="eastAsia" w:ascii="仿宋_GB2312" w:hAnsi="仿宋_GB2312" w:eastAsia="仿宋_GB2312" w:cs="仿宋_GB2312"/>
          <w:sz w:val="32"/>
          <w:szCs w:val="32"/>
        </w:rPr>
        <w:t>坚持“安全第一，预防为主，综合治理”，将安全生产工作纳入党委重要议事日程。成立了由党委书记任组长的安全生产工作领导小组；学校开学第一堂课就讲森林草原防火及安全生产课；对辖区施工单位进行隐患排查并签订安全生产责任书；</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辖区</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安全隐患排查，截至目前共排</w:t>
      </w:r>
      <w:r>
        <w:rPr>
          <w:rFonts w:hint="eastAsia" w:ascii="仿宋_GB2312" w:hAnsi="仿宋_GB2312" w:eastAsia="仿宋_GB2312" w:cs="仿宋_GB2312"/>
          <w:color w:val="auto"/>
          <w:sz w:val="32"/>
          <w:szCs w:val="32"/>
        </w:rPr>
        <w:t>查处</w:t>
      </w:r>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处安全隐患，整改</w:t>
      </w:r>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处</w:t>
      </w:r>
      <w:r>
        <w:rPr>
          <w:rFonts w:hint="eastAsia" w:ascii="仿宋_GB2312" w:hAnsi="仿宋_GB2312" w:eastAsia="仿宋_GB2312" w:cs="仿宋_GB2312"/>
          <w:sz w:val="32"/>
          <w:szCs w:val="32"/>
        </w:rPr>
        <w:t>隐患；利用安全生产月时机对辖区重点场所、重点路口等张贴宣传标准，目前宣传300余次。</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是持续用力抓好环境治理。认真践行“绿水青山就是金山银山”理念，先后召开环境保护专题会议10余次，落实“三管三必须”要求，实行“季度+年度”</w:t>
      </w:r>
      <w:r>
        <w:rPr>
          <w:rFonts w:hint="eastAsia" w:ascii="仿宋_GB2312" w:hAnsi="仿宋_GB2312" w:eastAsia="仿宋_GB2312" w:cs="仿宋_GB2312"/>
          <w:sz w:val="32"/>
          <w:szCs w:val="32"/>
          <w:lang w:val="zh-CN"/>
        </w:rPr>
        <w:t>量化考核，压实环保责任。按照全域无垃圾要求，结合我乡实际，制定推行区长制，环卫工人对12个区域进行分工，对环卫工人制定奖惩机制。</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zh-CN"/>
        </w:rPr>
        <w:t>环境综合整治，主要整治生物围栏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道路黑化，目前已全部完成整治任务。</w:t>
      </w: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zh-CN"/>
        </w:rPr>
        <w:t>目前，整治生物围栏200余户。</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是持续用力抓好社会事业。教育事业稳步推进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年共组织</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次大型群众大会进行宣传，进行入户宣传386次，签订“控辍保学”工作责任书，截至目前，幼儿园毛入学率</w:t>
      </w:r>
      <w:r>
        <w:rPr>
          <w:rFonts w:hint="eastAsia" w:ascii="仿宋_GB2312" w:hAnsi="仿宋_GB2312" w:eastAsia="仿宋_GB2312" w:cs="仿宋_GB2312"/>
          <w:b w:val="0"/>
          <w:bCs w:val="0"/>
          <w:color w:val="auto"/>
          <w:sz w:val="32"/>
          <w:szCs w:val="32"/>
        </w:rPr>
        <w:t>为98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，小学、初中入学率为100％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社会保障更加有力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按照“应保尽保、应退即退”的原则，通过加强政策宣传、入户摸排调研，确保社会保障工作惠及到民。</w:t>
      </w:r>
      <w:r>
        <w:rPr>
          <w:rFonts w:hint="eastAsia" w:ascii="仿宋_GB2312" w:hAnsi="仿宋_GB2312" w:eastAsia="仿宋_GB2312" w:cs="仿宋_GB2312"/>
          <w:sz w:val="32"/>
          <w:szCs w:val="32"/>
          <w:lang w:eastAsia="zh-CN"/>
        </w:rPr>
        <w:t>截止目前已</w:t>
      </w:r>
      <w:r>
        <w:rPr>
          <w:rFonts w:hint="eastAsia" w:ascii="仿宋_GB2312" w:hAnsi="仿宋" w:eastAsia="仿宋_GB2312" w:cs="仿宋"/>
          <w:sz w:val="32"/>
          <w:szCs w:val="32"/>
        </w:rPr>
        <w:t>落实209户289人最低生活保障，6人分散特困人补助金、29人高龄津贴补助金、养老保险领取待遇140人，城乡居民医疗保险参保率达90%以上。</w:t>
      </w:r>
      <w:r>
        <w:rPr>
          <w:rFonts w:hint="eastAsia" w:ascii="仿宋" w:hAnsi="仿宋" w:eastAsia="仿宋" w:cs="仿宋"/>
          <w:sz w:val="32"/>
          <w:szCs w:val="32"/>
        </w:rPr>
        <w:t>落实32</w:t>
      </w:r>
      <w:r>
        <w:rPr>
          <w:rFonts w:hint="eastAsia" w:ascii="仿宋_GB2312" w:hAnsi="仿宋" w:eastAsia="仿宋_GB2312" w:cs="仿宋"/>
          <w:sz w:val="32"/>
          <w:szCs w:val="32"/>
        </w:rPr>
        <w:t>名重度残疾护理补贴16980</w:t>
      </w:r>
      <w:r>
        <w:rPr>
          <w:rFonts w:hint="eastAsia" w:ascii="仿宋_GB2312" w:hAnsi="仿宋_GB2312" w:eastAsia="仿宋_GB2312" w:cs="仿宋_GB2312"/>
          <w:sz w:val="32"/>
          <w:szCs w:val="32"/>
        </w:rPr>
        <w:t>元，27名困难残疾落实补助资金16200元；为残疾人发放残疾辅具6套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力量时刻待命。组织民兵开展森林草原防灭火、防汛、地质灾害等综合应急演练，提高基层应急抢险、防汛救灾和处置突发应急情况的救援实战能力。汛期未雨绸缪，提前做好河道清淤，山洪、泥石流、坍塌垮塌等灾害的监测预警排查，确保了群众生命财产的安全。</w:t>
      </w:r>
    </w:p>
    <w:p w14:paraId="02EABEAB">
      <w:pPr>
        <w:pStyle w:val="39"/>
        <w:widowControl w:val="0"/>
        <w:adjustRightInd w:val="0"/>
        <w:snapToGrid w:val="0"/>
        <w:spacing w:beforeAutospacing="0" w:afterAutospacing="0" w:line="576" w:lineRule="exact"/>
        <w:ind w:firstLine="640" w:firstLineChars="200"/>
        <w:rPr>
          <w:rFonts w:ascii="仿宋_GB2312" w:hAnsi="仿宋_GB2312" w:eastAsia="仿宋_GB2312" w:cs="仿宋_GB2312"/>
          <w:sz w:val="32"/>
        </w:rPr>
      </w:pPr>
      <w:r>
        <w:rPr>
          <w:rFonts w:hint="eastAsia" w:ascii="仿宋_GB2312" w:hAnsi="仿宋_GB2312" w:eastAsia="仿宋_GB2312" w:cs="仿宋_GB2312"/>
          <w:kern w:val="2"/>
          <w:sz w:val="32"/>
          <w:szCs w:val="32"/>
          <w:lang w:val="en-US" w:eastAsia="zh-CN" w:bidi="hi-IN"/>
        </w:rPr>
        <w:t>6.加强基层治理、维护社会稳定</w:t>
      </w:r>
      <w:r>
        <w:rPr>
          <w:rFonts w:hint="eastAsia" w:ascii="仿宋_GB2312" w:hAnsi="仿宋_GB2312" w:eastAsia="仿宋_GB2312" w:cs="仿宋_GB2312"/>
          <w:sz w:val="32"/>
          <w:lang w:val="en-US" w:eastAsia="zh-CN"/>
        </w:rPr>
        <w:t>。一是</w:t>
      </w:r>
      <w:r>
        <w:rPr>
          <w:rFonts w:hint="eastAsia" w:ascii="仿宋_GB2312" w:hAnsi="仿宋_GB2312" w:eastAsia="仿宋_GB2312" w:cs="仿宋_GB2312"/>
          <w:sz w:val="32"/>
        </w:rPr>
        <w:t>强化矛盾纠纷排查化解。全乡矛盾纠纷进行排查调解，共化解矛盾纠纷</w:t>
      </w:r>
      <w:r>
        <w:rPr>
          <w:rFonts w:hint="eastAsia" w:ascii="仿宋_GB2312" w:hAnsi="仿宋_GB2312" w:eastAsia="仿宋_GB2312" w:cs="仿宋_GB2312"/>
          <w:sz w:val="32"/>
          <w:lang w:val="en-US" w:eastAsia="zh-CN"/>
        </w:rPr>
        <w:t>8</w:t>
      </w:r>
      <w:r>
        <w:rPr>
          <w:rFonts w:hint="eastAsia" w:ascii="仿宋_GB2312" w:hAnsi="仿宋_GB2312" w:eastAsia="仿宋_GB2312" w:cs="仿宋_GB2312"/>
          <w:sz w:val="32"/>
        </w:rPr>
        <w:t>起，并对全乡涉稳隐患进行评估。</w:t>
      </w:r>
      <w:r>
        <w:rPr>
          <w:rFonts w:hint="eastAsia" w:ascii="仿宋_GB2312" w:hAnsi="仿宋_GB2312" w:eastAsia="仿宋_GB2312" w:cs="仿宋_GB2312"/>
          <w:sz w:val="32"/>
          <w:lang w:eastAsia="zh-CN"/>
        </w:rPr>
        <w:t>我乡辖区内未发生违法犯罪</w:t>
      </w:r>
      <w:r>
        <w:rPr>
          <w:rFonts w:hint="eastAsia" w:ascii="仿宋_GB2312" w:hAnsi="仿宋_GB2312" w:eastAsia="仿宋_GB2312" w:cs="仿宋_GB2312"/>
          <w:sz w:val="32"/>
        </w:rPr>
        <w:t>等重大刑事案件，确保了江茸乡社会大局稳定。</w:t>
      </w:r>
      <w:r>
        <w:rPr>
          <w:rFonts w:hint="eastAsia" w:ascii="仿宋_GB2312" w:hAnsi="仿宋_GB2312" w:eastAsia="仿宋_GB2312" w:cs="仿宋_GB2312"/>
          <w:sz w:val="32"/>
          <w:lang w:eastAsia="zh-CN"/>
        </w:rPr>
        <w:t>二是</w:t>
      </w:r>
      <w:r>
        <w:rPr>
          <w:rFonts w:hint="eastAsia" w:ascii="仿宋_GB2312" w:hAnsi="仿宋_GB2312" w:eastAsia="仿宋_GB2312" w:cs="仿宋_GB2312"/>
          <w:sz w:val="32"/>
        </w:rPr>
        <w:t>强化涉稳因素管控。强化护照管理，建立护照管理台账，实现护照底数清，情况明。加强重点人员管控。制定“一对一、多对一”监管帮教台账，开展走访重点人员活动30余次，重点场所巡逻排查50余次。加强界限管理，与我乡边界相邻的乡镇签订《行政区域边际协作共防协议书》，与邻乡召开边界联防会1次。联合派出所密切注意寺庙和重点区域的动态及时收集、掌握预警性、深层次的情报信息，把握工作主动权。截止目前我乡已向指挥部上报</w:t>
      </w:r>
      <w:r>
        <w:rPr>
          <w:rFonts w:hint="eastAsia" w:ascii="仿宋_GB2312" w:hAnsi="仿宋_GB2312" w:eastAsia="仿宋_GB2312" w:cs="仿宋_GB2312"/>
          <w:sz w:val="32"/>
          <w:lang w:val="en-US" w:eastAsia="zh-CN"/>
        </w:rPr>
        <w:t>40</w:t>
      </w:r>
      <w:r>
        <w:rPr>
          <w:rFonts w:hint="eastAsia" w:ascii="仿宋_GB2312" w:hAnsi="仿宋_GB2312" w:eastAsia="仿宋_GB2312" w:cs="仿宋_GB2312"/>
          <w:sz w:val="32"/>
        </w:rPr>
        <w:t>条情报信息。</w:t>
      </w:r>
      <w:r>
        <w:rPr>
          <w:rFonts w:hint="eastAsia" w:ascii="仿宋_GB2312" w:hAnsi="仿宋_GB2312" w:eastAsia="仿宋_GB2312" w:cs="仿宋_GB2312"/>
          <w:sz w:val="32"/>
          <w:lang w:eastAsia="zh-CN"/>
        </w:rPr>
        <w:t>三是</w:t>
      </w:r>
      <w:r>
        <w:rPr>
          <w:rFonts w:hint="eastAsia" w:ascii="仿宋_GB2312" w:hAnsi="仿宋_GB2312" w:eastAsia="仿宋_GB2312" w:cs="仿宋_GB2312"/>
          <w:sz w:val="32"/>
        </w:rPr>
        <w:t>加强寺庙管理。切实抓好寺庙“四个管理”，及时深入两座寺庙，开展“联寺联僧”150余次，开展政策法规宣讲6次，认真落实寺庙僧人请销假制度。</w:t>
      </w:r>
    </w:p>
    <w:p w14:paraId="7189E19B">
      <w:pPr>
        <w:pageBreakBefore w:val="0"/>
        <w:widowControl/>
        <w:numPr>
          <w:ilvl w:val="0"/>
          <w:numId w:val="0"/>
        </w:numPr>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kern w:val="0"/>
          <w:sz w:val="32"/>
          <w:szCs w:val="22"/>
          <w:lang w:val="zh-CN" w:eastAsia="zh-CN" w:bidi="ar-SA"/>
        </w:rPr>
      </w:pPr>
      <w:r>
        <w:rPr>
          <w:rFonts w:hint="eastAsia" w:ascii="仿宋_GB2312" w:hAnsi="仿宋_GB2312" w:eastAsia="仿宋_GB2312" w:cs="仿宋_GB2312"/>
          <w:kern w:val="0"/>
          <w:sz w:val="32"/>
          <w:szCs w:val="24"/>
          <w:lang w:val="en-US" w:eastAsia="zh-CN" w:bidi="ar-SA"/>
        </w:rPr>
        <w:t>7.</w:t>
      </w:r>
      <w:r>
        <w:rPr>
          <w:rFonts w:hint="eastAsia" w:ascii="仿宋_GB2312" w:hAnsi="仿宋_GB2312" w:eastAsia="仿宋_GB2312" w:cs="仿宋_GB2312"/>
          <w:kern w:val="0"/>
          <w:sz w:val="32"/>
          <w:szCs w:val="24"/>
          <w:lang w:val="zh-CN" w:eastAsia="zh-CN" w:bidi="ar-SA"/>
        </w:rPr>
        <w:t>聚焦党风廉政建设，解决好推动发展的保障问题。</w:t>
      </w:r>
      <w:r>
        <w:rPr>
          <w:rFonts w:hint="eastAsia" w:ascii="仿宋_GB2312" w:hAnsi="仿宋_GB2312" w:eastAsia="仿宋_GB2312" w:cs="仿宋_GB2312"/>
          <w:kern w:val="0"/>
          <w:sz w:val="32"/>
          <w:szCs w:val="22"/>
          <w:lang w:val="zh-CN" w:eastAsia="zh-CN" w:bidi="ar-SA"/>
        </w:rPr>
        <w:t>坚持党要管党，全面从严治党。保持方向不变、力度不松、劲道不减，始终将纪律和规矩挺在前面，纵深推进全</w:t>
      </w:r>
      <w:r>
        <w:rPr>
          <w:rFonts w:hint="eastAsia" w:ascii="仿宋_GB2312" w:hAnsi="仿宋_GB2312" w:eastAsia="仿宋_GB2312" w:cs="仿宋_GB2312"/>
          <w:kern w:val="0"/>
          <w:sz w:val="32"/>
          <w:szCs w:val="22"/>
          <w:lang w:val="en-US" w:eastAsia="zh-CN" w:bidi="ar-SA"/>
        </w:rPr>
        <w:t>乡</w:t>
      </w:r>
      <w:r>
        <w:rPr>
          <w:rFonts w:hint="eastAsia" w:ascii="仿宋_GB2312" w:hAnsi="仿宋_GB2312" w:eastAsia="仿宋_GB2312" w:cs="仿宋_GB2312"/>
          <w:kern w:val="0"/>
          <w:sz w:val="32"/>
          <w:szCs w:val="22"/>
          <w:lang w:val="zh-CN" w:eastAsia="zh-CN" w:bidi="ar-SA"/>
        </w:rPr>
        <w:t>党风廉政和反腐败工作。进一步推进党风廉政建设和反腐败工作，召开党政领导班子会议，对党风廉政建设和反腐倡廉工作进行专门研究，调整充实了乡党风廉政建设责任制工作领导小组，明确各自的职责和任务。乡党委、纪委主要领导与各村委会及驻乡站所签订了《落实党风廉政建设责任书》，有效地落实抓好党风廉政建设和反腐败工作的责任。</w:t>
      </w:r>
    </w:p>
    <w:p w14:paraId="6A6E5C32">
      <w:pPr>
        <w:bidi w:val="0"/>
        <w:ind w:firstLine="640" w:firstLineChars="200"/>
        <w:rPr>
          <w:rStyle w:val="32"/>
          <w:rFonts w:hint="eastAsia" w:ascii="黑体" w:hAnsi="黑体" w:eastAsia="黑体"/>
          <w:b w:val="0"/>
          <w:bCs w:val="0"/>
        </w:rPr>
      </w:pPr>
      <w:bookmarkStart w:id="33" w:name="_Toc16009"/>
      <w:r>
        <w:rPr>
          <w:rStyle w:val="32"/>
          <w:rFonts w:hint="eastAsia" w:ascii="黑体" w:hAnsi="黑体" w:eastAsia="黑体"/>
          <w:b w:val="0"/>
          <w:bCs w:val="0"/>
        </w:rPr>
        <w:t>二、机构设置</w:t>
      </w:r>
      <w:bookmarkEnd w:id="30"/>
      <w:bookmarkEnd w:id="31"/>
      <w:bookmarkEnd w:id="32"/>
    </w:p>
    <w:bookmarkEnd w:id="33"/>
    <w:p w14:paraId="030183A1">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eastAsia="宋体"/>
          <w:color w:val="auto"/>
          <w:lang w:eastAsia="zh-CN"/>
        </w:rPr>
      </w:pPr>
      <w:bookmarkStart w:id="34" w:name="_Toc15396602"/>
      <w:bookmarkStart w:id="35" w:name="_Toc15377204"/>
      <w:r>
        <w:rPr>
          <w:rFonts w:hint="eastAsia" w:ascii="仿宋_GB2312" w:hAnsi="仿宋_GB2312" w:eastAsia="仿宋_GB2312" w:cs="仿宋_GB2312"/>
          <w:color w:val="auto"/>
          <w:sz w:val="32"/>
          <w:szCs w:val="32"/>
        </w:rPr>
        <w:t>我单位为独立核算全额拨款行政单位，截止</w:t>
      </w:r>
      <w:r>
        <w:rPr>
          <w:rFonts w:hint="eastAsia" w:ascii="仿宋_GB2312" w:hAnsi="仿宋_GB2312" w:eastAsia="仿宋_GB2312" w:cs="仿宋_GB2312"/>
          <w:color w:val="auto"/>
          <w:sz w:val="32"/>
          <w:szCs w:val="32"/>
          <w:lang w:eastAsia="zh-CN"/>
        </w:rPr>
        <w:t>2023</w:t>
      </w:r>
      <w:r>
        <w:rPr>
          <w:rFonts w:hint="eastAsia" w:ascii="仿宋_GB2312" w:hAnsi="仿宋_GB2312" w:eastAsia="仿宋_GB2312" w:cs="仿宋_GB2312"/>
          <w:color w:val="auto"/>
          <w:sz w:val="32"/>
          <w:szCs w:val="32"/>
        </w:rPr>
        <w:t>年底我单位共有编制</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个，其中公务员编制</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个，其中行政工勤编制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个，事业</w:t>
      </w:r>
      <w:r>
        <w:rPr>
          <w:rFonts w:hint="eastAsia" w:ascii="仿宋_GB2312" w:hAnsi="仿宋_GB2312" w:eastAsia="仿宋_GB2312" w:cs="仿宋_GB2312"/>
          <w:color w:val="auto"/>
          <w:sz w:val="32"/>
          <w:szCs w:val="32"/>
          <w:lang w:eastAsia="zh-CN"/>
        </w:rPr>
        <w:t>工勤</w:t>
      </w:r>
      <w:r>
        <w:rPr>
          <w:rFonts w:hint="eastAsia" w:ascii="仿宋_GB2312" w:hAnsi="仿宋_GB2312" w:eastAsia="仿宋_GB2312" w:cs="仿宋_GB2312"/>
          <w:color w:val="auto"/>
          <w:sz w:val="32"/>
          <w:szCs w:val="32"/>
        </w:rPr>
        <w:t>编制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个，在职</w:t>
      </w:r>
      <w:r>
        <w:rPr>
          <w:rFonts w:hint="eastAsia" w:ascii="仿宋_GB2312" w:hAnsi="仿宋_GB2312" w:eastAsia="仿宋_GB2312" w:cs="仿宋_GB2312"/>
          <w:color w:val="auto"/>
          <w:sz w:val="32"/>
          <w:szCs w:val="32"/>
          <w:lang w:val="en-US" w:eastAsia="zh-CN"/>
        </w:rPr>
        <w:t>28</w:t>
      </w:r>
      <w:r>
        <w:rPr>
          <w:rFonts w:hint="eastAsia" w:ascii="仿宋_GB2312" w:hAnsi="仿宋_GB2312" w:eastAsia="仿宋_GB2312" w:cs="仿宋_GB2312"/>
          <w:color w:val="auto"/>
          <w:sz w:val="32"/>
          <w:szCs w:val="32"/>
        </w:rPr>
        <w:t>人，其中参公0人，公务员</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，事业人员</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2023</w:t>
      </w:r>
      <w:r>
        <w:rPr>
          <w:rFonts w:hint="eastAsia" w:ascii="仿宋_GB2312" w:hAnsi="仿宋_GB2312" w:eastAsia="仿宋_GB2312" w:cs="仿宋_GB2312"/>
          <w:color w:val="auto"/>
          <w:sz w:val="32"/>
          <w:szCs w:val="32"/>
        </w:rPr>
        <w:t>年新录入公务员</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人，转入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人，事业编制</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2023</w:t>
      </w:r>
      <w:r>
        <w:rPr>
          <w:rFonts w:hint="eastAsia" w:ascii="仿宋_GB2312" w:hAnsi="仿宋_GB2312" w:eastAsia="仿宋_GB2312" w:cs="仿宋_GB2312"/>
          <w:color w:val="auto"/>
          <w:sz w:val="32"/>
          <w:szCs w:val="32"/>
        </w:rPr>
        <w:t>年减少</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人，退休0人。</w:t>
      </w:r>
      <w:bookmarkEnd w:id="34"/>
      <w:bookmarkEnd w:id="35"/>
    </w:p>
    <w:p w14:paraId="603220EF">
      <w:pPr>
        <w:pStyle w:val="3"/>
        <w:pageBreakBefore w:val="0"/>
        <w:kinsoku/>
        <w:wordWrap/>
        <w:overflowPunct/>
        <w:topLinePunct w:val="0"/>
        <w:autoSpaceDE/>
        <w:autoSpaceDN/>
        <w:bidi w:val="0"/>
        <w:spacing w:line="576" w:lineRule="exact"/>
        <w:ind w:right="440"/>
        <w:jc w:val="center"/>
        <w:textAlignment w:val="auto"/>
        <w:rPr>
          <w:rFonts w:hint="eastAsia" w:ascii="黑体" w:hAnsi="黑体" w:eastAsia="黑体"/>
          <w:color w:val="000000"/>
          <w:sz w:val="32"/>
          <w:szCs w:val="32"/>
          <w:lang w:eastAsia="zh-CN"/>
        </w:rPr>
      </w:pPr>
      <w:bookmarkStart w:id="36" w:name="_Toc27036"/>
      <w:bookmarkStart w:id="37" w:name="_Toc15396603"/>
      <w:bookmarkStart w:id="38" w:name="_Toc3241"/>
      <w:bookmarkStart w:id="39" w:name="_Toc15377205"/>
      <w:r>
        <w:rPr>
          <w:rFonts w:hint="eastAsia" w:ascii="黑体" w:hAnsi="黑体" w:eastAsia="黑体"/>
          <w:b w:val="0"/>
        </w:rPr>
        <w:t>第二部分 2023年度</w:t>
      </w:r>
      <w:r>
        <w:rPr>
          <w:rStyle w:val="31"/>
          <w:rFonts w:hint="eastAsia" w:ascii="黑体" w:hAnsi="黑体" w:eastAsia="黑体"/>
          <w:b w:val="0"/>
          <w:bCs/>
        </w:rPr>
        <w:t>部门决算情况说明</w:t>
      </w:r>
      <w:bookmarkEnd w:id="36"/>
    </w:p>
    <w:p w14:paraId="35D9753F">
      <w:pPr>
        <w:bidi w:val="0"/>
        <w:ind w:firstLine="640" w:firstLineChars="200"/>
        <w:rPr>
          <w:rStyle w:val="32"/>
          <w:rFonts w:hint="eastAsia" w:ascii="黑体" w:hAnsi="黑体" w:eastAsia="黑体"/>
          <w:b w:val="0"/>
          <w:bCs w:val="0"/>
        </w:rPr>
      </w:pPr>
      <w:bookmarkStart w:id="40" w:name="_Toc14979"/>
      <w:r>
        <w:rPr>
          <w:rStyle w:val="32"/>
          <w:rFonts w:hint="eastAsia" w:ascii="黑体" w:hAnsi="黑体" w:eastAsia="黑体"/>
          <w:b w:val="0"/>
          <w:bCs w:val="0"/>
          <w:lang w:eastAsia="zh-CN"/>
        </w:rPr>
        <w:t>一、</w:t>
      </w:r>
      <w:r>
        <w:rPr>
          <w:rStyle w:val="32"/>
          <w:rFonts w:hint="eastAsia" w:ascii="黑体" w:hAnsi="黑体" w:eastAsia="黑体"/>
          <w:b w:val="0"/>
          <w:bCs w:val="0"/>
        </w:rPr>
        <w:t>收入支出决算总体情况说明</w:t>
      </w:r>
      <w:bookmarkEnd w:id="37"/>
      <w:bookmarkEnd w:id="38"/>
      <w:bookmarkEnd w:id="39"/>
    </w:p>
    <w:bookmarkEnd w:id="40"/>
    <w:p w14:paraId="292DE234">
      <w:pPr>
        <w:pageBreakBefore w:val="0"/>
        <w:widowControl w:val="0"/>
        <w:kinsoku/>
        <w:wordWrap/>
        <w:overflowPunct/>
        <w:topLinePunct w:val="0"/>
        <w:autoSpaceDE/>
        <w:autoSpaceDN/>
        <w:bidi w:val="0"/>
        <w:spacing w:line="576" w:lineRule="exact"/>
        <w:ind w:firstLine="630" w:firstLineChars="300"/>
        <w:textAlignment w:val="auto"/>
        <w:rPr>
          <w:rFonts w:hint="eastAsia" w:ascii="仿宋_GB2312" w:eastAsia="仿宋_GB2312"/>
          <w:color w:val="000000"/>
          <w:sz w:val="32"/>
          <w:szCs w:val="32"/>
          <w:lang w:eastAsia="zh-CN"/>
        </w:rPr>
      </w:pPr>
      <w:r>
        <w:drawing>
          <wp:anchor distT="0" distB="0" distL="114300" distR="114300" simplePos="0" relativeHeight="251661312" behindDoc="0" locked="0" layoutInCell="1" allowOverlap="1">
            <wp:simplePos x="0" y="0"/>
            <wp:positionH relativeFrom="column">
              <wp:posOffset>147320</wp:posOffset>
            </wp:positionH>
            <wp:positionV relativeFrom="paragraph">
              <wp:posOffset>1564640</wp:posOffset>
            </wp:positionV>
            <wp:extent cx="4949825" cy="1712595"/>
            <wp:effectExtent l="4445" t="4445" r="17780" b="16510"/>
            <wp:wrapSquare wrapText="bothSides"/>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年度</w:t>
      </w:r>
      <w:r>
        <w:rPr>
          <w:rFonts w:hint="eastAsia" w:ascii="仿宋" w:hAnsi="仿宋" w:eastAsia="仿宋"/>
          <w:color w:val="auto"/>
          <w:sz w:val="32"/>
          <w:szCs w:val="32"/>
          <w:highlight w:val="none"/>
          <w:lang w:eastAsia="zh-CN"/>
        </w:rPr>
        <w:t>收入</w:t>
      </w:r>
      <w:r>
        <w:rPr>
          <w:rFonts w:hint="eastAsia" w:ascii="仿宋" w:hAnsi="仿宋" w:eastAsia="仿宋"/>
          <w:color w:val="auto"/>
          <w:sz w:val="32"/>
          <w:szCs w:val="32"/>
          <w:highlight w:val="none"/>
        </w:rPr>
        <w:t>总计</w:t>
      </w:r>
      <w:r>
        <w:rPr>
          <w:rFonts w:hint="eastAsia" w:ascii="仿宋" w:hAnsi="仿宋" w:eastAsia="仿宋" w:cs="Times New Roman"/>
          <w:color w:val="auto"/>
          <w:sz w:val="32"/>
          <w:szCs w:val="32"/>
          <w:highlight w:val="none"/>
          <w:lang w:val="en-US" w:eastAsia="zh-CN"/>
        </w:rPr>
        <w:t xml:space="preserve"> </w:t>
      </w:r>
      <w:r>
        <w:rPr>
          <w:rFonts w:hint="eastAsia" w:ascii="仿宋" w:hAnsi="仿宋" w:eastAsia="仿宋" w:cs="Times New Roman"/>
          <w:color w:val="auto"/>
          <w:sz w:val="32"/>
          <w:szCs w:val="32"/>
          <w:highlight w:val="none"/>
          <w:lang w:eastAsia="zh-CN"/>
        </w:rPr>
        <w:t>2434.79万元，支出总计2434.79万元。与20</w:t>
      </w:r>
      <w:r>
        <w:rPr>
          <w:rFonts w:hint="eastAsia" w:ascii="仿宋" w:hAnsi="仿宋" w:eastAsia="仿宋" w:cs="Times New Roman"/>
          <w:color w:val="auto"/>
          <w:sz w:val="32"/>
          <w:szCs w:val="32"/>
          <w:highlight w:val="none"/>
          <w:lang w:val="en-US" w:eastAsia="zh-CN"/>
        </w:rPr>
        <w:t>23</w:t>
      </w:r>
      <w:r>
        <w:rPr>
          <w:rFonts w:hint="eastAsia" w:ascii="仿宋" w:hAnsi="仿宋" w:eastAsia="仿宋" w:cs="Times New Roman"/>
          <w:color w:val="auto"/>
          <w:sz w:val="32"/>
          <w:szCs w:val="32"/>
          <w:highlight w:val="none"/>
          <w:lang w:eastAsia="zh-CN"/>
        </w:rPr>
        <w:t>年相比，收入总计增加</w:t>
      </w:r>
      <w:r>
        <w:rPr>
          <w:rFonts w:hint="eastAsia" w:ascii="仿宋" w:hAnsi="仿宋" w:eastAsia="仿宋" w:cs="Times New Roman"/>
          <w:color w:val="auto"/>
          <w:sz w:val="32"/>
          <w:szCs w:val="32"/>
          <w:highlight w:val="none"/>
          <w:lang w:val="en-US" w:eastAsia="zh-CN"/>
        </w:rPr>
        <w:t>1130.75</w:t>
      </w:r>
      <w:r>
        <w:rPr>
          <w:rFonts w:hint="eastAsia" w:ascii="仿宋" w:hAnsi="仿宋" w:eastAsia="仿宋" w:cs="Times New Roman"/>
          <w:color w:val="auto"/>
          <w:sz w:val="32"/>
          <w:szCs w:val="32"/>
          <w:highlight w:val="none"/>
          <w:lang w:eastAsia="zh-CN"/>
        </w:rPr>
        <w:t>万元，上涨</w:t>
      </w:r>
      <w:r>
        <w:rPr>
          <w:rFonts w:hint="eastAsia" w:ascii="仿宋" w:hAnsi="仿宋" w:eastAsia="仿宋" w:cs="Times New Roman"/>
          <w:color w:val="auto"/>
          <w:sz w:val="32"/>
          <w:szCs w:val="32"/>
          <w:highlight w:val="none"/>
          <w:lang w:val="en-US" w:eastAsia="zh-CN"/>
        </w:rPr>
        <w:t>86.71</w:t>
      </w:r>
      <w:r>
        <w:rPr>
          <w:rFonts w:hint="eastAsia" w:ascii="仿宋" w:hAnsi="仿宋" w:eastAsia="仿宋" w:cs="Times New Roman"/>
          <w:color w:val="auto"/>
          <w:sz w:val="32"/>
          <w:szCs w:val="32"/>
          <w:highlight w:val="none"/>
          <w:lang w:eastAsia="zh-CN"/>
        </w:rPr>
        <w:t>%，支出总计增加</w:t>
      </w:r>
      <w:r>
        <w:rPr>
          <w:rFonts w:hint="eastAsia" w:ascii="仿宋" w:hAnsi="仿宋" w:eastAsia="仿宋" w:cs="Times New Roman"/>
          <w:color w:val="auto"/>
          <w:sz w:val="32"/>
          <w:szCs w:val="32"/>
          <w:highlight w:val="none"/>
          <w:lang w:val="en-US" w:eastAsia="zh-CN"/>
        </w:rPr>
        <w:t>1130.75万元，上涨86.71%</w:t>
      </w:r>
      <w:r>
        <w:rPr>
          <w:rFonts w:hint="eastAsia" w:ascii="仿宋" w:hAnsi="仿宋" w:eastAsia="仿宋" w:cs="Times New Roman"/>
          <w:color w:val="auto"/>
          <w:sz w:val="32"/>
          <w:szCs w:val="32"/>
          <w:highlight w:val="none"/>
          <w:lang w:eastAsia="zh-CN"/>
        </w:rPr>
        <w:t>。主要变动原因是</w:t>
      </w:r>
      <w:r>
        <w:rPr>
          <w:rFonts w:hint="eastAsia" w:ascii="仿宋" w:hAnsi="仿宋" w:eastAsia="仿宋"/>
          <w:color w:val="000000"/>
          <w:sz w:val="32"/>
          <w:szCs w:val="32"/>
          <w:lang w:eastAsia="zh-CN"/>
        </w:rPr>
        <w:t>项目增加。</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14:paraId="73B4667F">
      <w:pPr>
        <w:pStyle w:val="30"/>
        <w:pageBreakBefore w:val="0"/>
        <w:numPr>
          <w:ilvl w:val="0"/>
          <w:numId w:val="0"/>
        </w:numPr>
        <w:kinsoku/>
        <w:overflowPunct/>
        <w:topLinePunct w:val="0"/>
        <w:bidi w:val="0"/>
        <w:spacing w:line="576" w:lineRule="exact"/>
        <w:ind w:left="640" w:leftChars="0"/>
        <w:outlineLvl w:val="1"/>
        <w:rPr>
          <w:rStyle w:val="32"/>
          <w:rFonts w:ascii="黑体" w:hAnsi="黑体" w:eastAsia="黑体"/>
          <w:b w:val="0"/>
        </w:rPr>
      </w:pPr>
      <w:bookmarkStart w:id="41" w:name="_Toc15377206"/>
      <w:bookmarkStart w:id="42" w:name="_Toc9273"/>
      <w:bookmarkStart w:id="43" w:name="_Toc15396604"/>
      <w:bookmarkStart w:id="44" w:name="_Toc23518"/>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2"/>
          <w:rFonts w:hint="eastAsia" w:ascii="黑体" w:hAnsi="黑体" w:eastAsia="黑体"/>
          <w:b w:val="0"/>
        </w:rPr>
        <w:t>入决算情况说明</w:t>
      </w:r>
      <w:bookmarkEnd w:id="41"/>
      <w:bookmarkEnd w:id="42"/>
      <w:bookmarkEnd w:id="43"/>
      <w:bookmarkEnd w:id="44"/>
    </w:p>
    <w:p w14:paraId="775496EC">
      <w:pPr>
        <w:spacing w:line="600" w:lineRule="exact"/>
        <w:ind w:firstLine="640" w:firstLineChars="200"/>
        <w:jc w:val="left"/>
        <w:outlineLvl w:val="1"/>
        <w:rPr>
          <w:rFonts w:hint="eastAsia" w:ascii="仿宋" w:hAnsi="仿宋" w:eastAsia="仿宋"/>
          <w:sz w:val="32"/>
          <w:szCs w:val="32"/>
        </w:rPr>
      </w:pPr>
      <w:bookmarkStart w:id="45" w:name="_Toc12789"/>
      <w:bookmarkStart w:id="46" w:name="_Toc16403"/>
      <w:bookmarkStart w:id="47" w:name="_Toc1820"/>
      <w:bookmarkStart w:id="48" w:name="_Toc29935"/>
      <w:bookmarkStart w:id="49" w:name="_Toc17279"/>
      <w:bookmarkStart w:id="50" w:name="_Toc23627"/>
      <w:r>
        <w:rPr>
          <w:rFonts w:hint="eastAsia" w:ascii="仿宋" w:hAnsi="仿宋" w:eastAsia="仿宋"/>
          <w:color w:val="000000"/>
          <w:sz w:val="32"/>
          <w:szCs w:val="32"/>
          <w:lang w:eastAsia="zh-CN"/>
        </w:rPr>
        <w:t>2023</w:t>
      </w:r>
      <w:r>
        <w:rPr>
          <w:rFonts w:hint="eastAsia" w:ascii="仿宋" w:hAnsi="仿宋" w:eastAsia="仿宋"/>
          <w:color w:val="000000"/>
          <w:sz w:val="32"/>
          <w:szCs w:val="32"/>
        </w:rPr>
        <w:t>年本年收入合计</w:t>
      </w:r>
      <w:r>
        <w:rPr>
          <w:rFonts w:hint="eastAsia" w:ascii="仿宋" w:hAnsi="仿宋" w:eastAsia="仿宋" w:cs="Times New Roman"/>
          <w:color w:val="auto"/>
          <w:sz w:val="32"/>
          <w:szCs w:val="32"/>
          <w:highlight w:val="none"/>
          <w:lang w:eastAsia="zh-CN"/>
        </w:rPr>
        <w:t>2434.79万元</w:t>
      </w:r>
      <w:r>
        <w:rPr>
          <w:rFonts w:hint="eastAsia" w:ascii="仿宋" w:hAnsi="仿宋" w:eastAsia="仿宋"/>
          <w:color w:val="000000"/>
          <w:sz w:val="32"/>
          <w:szCs w:val="32"/>
        </w:rPr>
        <w:t>，其中：一般公共预算财政拨款收入</w:t>
      </w:r>
      <w:r>
        <w:rPr>
          <w:sz w:val="32"/>
          <w:szCs w:val="32"/>
        </w:rPr>
        <w:t>2389.92</w:t>
      </w:r>
      <w:r>
        <w:rPr>
          <w:rFonts w:hint="eastAsia" w:ascii="仿宋" w:hAnsi="仿宋" w:eastAsia="仿宋"/>
          <w:sz w:val="32"/>
          <w:szCs w:val="32"/>
        </w:rPr>
        <w:t>万元，占</w:t>
      </w:r>
      <w:r>
        <w:rPr>
          <w:sz w:val="32"/>
          <w:szCs w:val="32"/>
        </w:rPr>
        <w:t>98.15</w:t>
      </w:r>
      <w:r>
        <w:rPr>
          <w:rFonts w:ascii="仿宋" w:hAnsi="仿宋" w:eastAsia="仿宋"/>
          <w:sz w:val="32"/>
          <w:szCs w:val="32"/>
        </w:rPr>
        <w:t>%</w:t>
      </w:r>
      <w:r>
        <w:rPr>
          <w:rFonts w:hint="eastAsia" w:ascii="仿宋" w:hAnsi="仿宋" w:eastAsia="仿宋"/>
          <w:color w:val="000000"/>
          <w:sz w:val="32"/>
          <w:szCs w:val="32"/>
        </w:rPr>
        <w:t>；</w:t>
      </w:r>
      <w:bookmarkEnd w:id="45"/>
      <w:bookmarkEnd w:id="46"/>
      <w:bookmarkEnd w:id="47"/>
      <w:bookmarkEnd w:id="48"/>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44.87</w:t>
      </w:r>
      <w:r>
        <w:rPr>
          <w:rFonts w:hint="eastAsia" w:ascii="仿宋" w:hAnsi="仿宋" w:eastAsia="仿宋"/>
          <w:sz w:val="32"/>
          <w:szCs w:val="32"/>
        </w:rPr>
        <w:t>万元，占</w:t>
      </w:r>
      <w:r>
        <w:rPr>
          <w:sz w:val="32"/>
          <w:szCs w:val="32"/>
        </w:rPr>
        <w:t>1.84</w:t>
      </w:r>
      <w:r>
        <w:rPr>
          <w:rFonts w:ascii="仿宋" w:hAnsi="仿宋" w:eastAsia="仿宋"/>
          <w:sz w:val="32"/>
          <w:szCs w:val="32"/>
        </w:rPr>
        <w:t>%</w:t>
      </w:r>
      <w:r>
        <w:rPr>
          <w:rFonts w:hint="eastAsia" w:ascii="仿宋" w:hAnsi="仿宋" w:eastAsia="仿宋"/>
          <w:sz w:val="32"/>
          <w:szCs w:val="32"/>
        </w:rPr>
        <w:t>。</w:t>
      </w:r>
      <w:bookmarkEnd w:id="49"/>
      <w:bookmarkEnd w:id="50"/>
    </w:p>
    <w:p w14:paraId="679B6D34">
      <w:pPr>
        <w:pStyle w:val="2"/>
      </w:pPr>
      <w:r>
        <w:drawing>
          <wp:inline distT="0" distB="0" distL="114300" distR="114300">
            <wp:extent cx="4895215" cy="2486025"/>
            <wp:effectExtent l="4445" t="4445" r="15240" b="508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110B90C">
      <w:pPr>
        <w:pageBreakBefore w:val="0"/>
        <w:kinsoku/>
        <w:overflowPunct/>
        <w:topLinePunct w:val="0"/>
        <w:bidi w:val="0"/>
        <w:spacing w:line="576" w:lineRule="exact"/>
        <w:ind w:firstLine="960" w:firstLineChars="3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14:paraId="692CEABA">
      <w:pPr>
        <w:pStyle w:val="30"/>
        <w:pageBreakBefore w:val="0"/>
        <w:numPr>
          <w:ilvl w:val="0"/>
          <w:numId w:val="0"/>
        </w:numPr>
        <w:kinsoku/>
        <w:overflowPunct/>
        <w:topLinePunct w:val="0"/>
        <w:bidi w:val="0"/>
        <w:spacing w:line="576" w:lineRule="exact"/>
        <w:ind w:left="640" w:leftChars="0"/>
        <w:outlineLvl w:val="1"/>
        <w:rPr>
          <w:rStyle w:val="32"/>
          <w:rFonts w:ascii="黑体" w:hAnsi="黑体" w:eastAsia="黑体"/>
          <w:b w:val="0"/>
        </w:rPr>
      </w:pPr>
      <w:bookmarkStart w:id="51" w:name="_Toc20681"/>
      <w:bookmarkStart w:id="52" w:name="_Toc15396605"/>
      <w:bookmarkStart w:id="53" w:name="_Toc2936"/>
      <w:bookmarkStart w:id="54" w:name="_Toc15832"/>
      <w:bookmarkStart w:id="55"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2"/>
          <w:rFonts w:hint="eastAsia" w:ascii="黑体" w:hAnsi="黑体" w:eastAsia="黑体"/>
          <w:b w:val="0"/>
        </w:rPr>
        <w:t>出决算情况说明</w:t>
      </w:r>
      <w:bookmarkEnd w:id="51"/>
      <w:bookmarkEnd w:id="52"/>
      <w:bookmarkEnd w:id="53"/>
      <w:bookmarkEnd w:id="54"/>
      <w:bookmarkEnd w:id="55"/>
    </w:p>
    <w:p w14:paraId="173769E5">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56" w:name="_Toc5872"/>
      <w:bookmarkStart w:id="57" w:name="_Toc4806"/>
      <w:r>
        <w:rPr>
          <w:rFonts w:hint="eastAsia" w:ascii="仿宋" w:hAnsi="仿宋" w:eastAsia="仿宋"/>
          <w:sz w:val="32"/>
          <w:szCs w:val="32"/>
        </w:rPr>
        <w:t>2023年度本年支出合计</w:t>
      </w:r>
      <w:r>
        <w:rPr>
          <w:sz w:val="32"/>
          <w:szCs w:val="32"/>
        </w:rPr>
        <w:t>2434.79</w:t>
      </w:r>
      <w:r>
        <w:rPr>
          <w:rFonts w:hint="eastAsia" w:ascii="仿宋" w:hAnsi="仿宋" w:eastAsia="仿宋"/>
          <w:sz w:val="32"/>
          <w:szCs w:val="32"/>
        </w:rPr>
        <w:t>万元，其中：基本支出</w:t>
      </w:r>
      <w:r>
        <w:rPr>
          <w:sz w:val="32"/>
          <w:szCs w:val="32"/>
        </w:rPr>
        <w:t>848.36</w:t>
      </w:r>
      <w:r>
        <w:rPr>
          <w:rFonts w:hint="eastAsia" w:ascii="仿宋" w:hAnsi="仿宋" w:eastAsia="仿宋"/>
          <w:sz w:val="32"/>
          <w:szCs w:val="32"/>
        </w:rPr>
        <w:t>万元，占</w:t>
      </w:r>
      <w:r>
        <w:rPr>
          <w:sz w:val="32"/>
          <w:szCs w:val="32"/>
        </w:rPr>
        <w:t>34.84</w:t>
      </w:r>
      <w:r>
        <w:rPr>
          <w:rFonts w:ascii="仿宋" w:hAnsi="仿宋" w:eastAsia="仿宋"/>
          <w:sz w:val="32"/>
          <w:szCs w:val="32"/>
        </w:rPr>
        <w:t>%</w:t>
      </w:r>
      <w:r>
        <w:rPr>
          <w:rFonts w:hint="eastAsia" w:ascii="仿宋" w:hAnsi="仿宋" w:eastAsia="仿宋"/>
          <w:sz w:val="32"/>
          <w:szCs w:val="32"/>
        </w:rPr>
        <w:t>；项目支出</w:t>
      </w:r>
      <w:r>
        <w:rPr>
          <w:sz w:val="32"/>
          <w:szCs w:val="32"/>
        </w:rPr>
        <w:t>1586.43</w:t>
      </w:r>
      <w:r>
        <w:rPr>
          <w:rFonts w:hint="eastAsia" w:ascii="仿宋" w:hAnsi="仿宋" w:eastAsia="仿宋"/>
          <w:sz w:val="32"/>
          <w:szCs w:val="32"/>
        </w:rPr>
        <w:t>万元，占</w:t>
      </w:r>
      <w:r>
        <w:rPr>
          <w:sz w:val="32"/>
          <w:szCs w:val="32"/>
        </w:rPr>
        <w:t>65.15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56"/>
      <w:bookmarkEnd w:id="57"/>
    </w:p>
    <w:p w14:paraId="360BC5CB">
      <w:pPr>
        <w:pageBreakBefore w:val="0"/>
        <w:kinsoku/>
        <w:overflowPunct/>
        <w:topLinePunct w:val="0"/>
        <w:bidi w:val="0"/>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5EA3A45E">
      <w:pPr>
        <w:pageBreakBefore w:val="0"/>
        <w:numPr>
          <w:ilvl w:val="0"/>
          <w:numId w:val="0"/>
        </w:numPr>
        <w:kinsoku/>
        <w:overflowPunct/>
        <w:topLinePunct w:val="0"/>
        <w:bidi w:val="0"/>
        <w:spacing w:line="576" w:lineRule="exact"/>
        <w:ind w:left="640" w:leftChars="0"/>
        <w:outlineLvl w:val="1"/>
        <w:rPr>
          <w:rFonts w:hint="eastAsia" w:ascii="黑体" w:hAnsi="黑体" w:eastAsia="黑体"/>
          <w:color w:val="000000"/>
          <w:sz w:val="32"/>
          <w:szCs w:val="32"/>
          <w:lang w:eastAsia="zh-CN"/>
        </w:rPr>
      </w:pPr>
      <w:bookmarkStart w:id="58" w:name="_Toc15396606"/>
      <w:bookmarkStart w:id="59" w:name="_Toc15377208"/>
      <w:bookmarkStart w:id="60" w:name="_Toc2777"/>
    </w:p>
    <w:p w14:paraId="35AC1A87">
      <w:pPr>
        <w:pageBreakBefore w:val="0"/>
        <w:kinsoku/>
        <w:overflowPunct/>
        <w:topLinePunct w:val="0"/>
        <w:bidi w:val="0"/>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0BDF01BE">
      <w:pPr>
        <w:pageBreakBefore w:val="0"/>
        <w:kinsoku/>
        <w:overflowPunct/>
        <w:topLinePunct w:val="0"/>
        <w:bidi w:val="0"/>
        <w:spacing w:line="576" w:lineRule="exact"/>
        <w:ind w:firstLine="420" w:firstLineChars="200"/>
        <w:rPr>
          <w:rFonts w:hint="eastAsia" w:ascii="黑体" w:hAnsi="黑体" w:eastAsia="黑体"/>
          <w:color w:val="000000"/>
          <w:sz w:val="32"/>
          <w:szCs w:val="32"/>
          <w:lang w:eastAsia="zh-CN"/>
        </w:rPr>
      </w:pPr>
      <w:r>
        <w:drawing>
          <wp:anchor distT="0" distB="0" distL="114300" distR="114300" simplePos="0" relativeHeight="251662336" behindDoc="0" locked="0" layoutInCell="1" allowOverlap="1">
            <wp:simplePos x="0" y="0"/>
            <wp:positionH relativeFrom="column">
              <wp:posOffset>153670</wp:posOffset>
            </wp:positionH>
            <wp:positionV relativeFrom="paragraph">
              <wp:posOffset>44450</wp:posOffset>
            </wp:positionV>
            <wp:extent cx="4857750" cy="1676400"/>
            <wp:effectExtent l="4445" t="4445" r="14605"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14:paraId="4DBFF2EA">
      <w:pPr>
        <w:pageBreakBefore w:val="0"/>
        <w:numPr>
          <w:ilvl w:val="0"/>
          <w:numId w:val="0"/>
        </w:numPr>
        <w:kinsoku/>
        <w:overflowPunct/>
        <w:topLinePunct w:val="0"/>
        <w:bidi w:val="0"/>
        <w:spacing w:line="576" w:lineRule="exact"/>
        <w:ind w:left="640" w:leftChars="0"/>
        <w:outlineLvl w:val="1"/>
        <w:rPr>
          <w:rStyle w:val="32"/>
          <w:rFonts w:hint="eastAsia" w:ascii="黑体" w:hAnsi="黑体" w:eastAsia="黑体"/>
          <w:b w:val="0"/>
        </w:rPr>
      </w:pPr>
      <w:bookmarkStart w:id="61" w:name="_Toc3020"/>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32"/>
          <w:rFonts w:hint="eastAsia" w:ascii="黑体" w:hAnsi="黑体" w:eastAsia="黑体"/>
          <w:b w:val="0"/>
        </w:rPr>
        <w:t>政拨款收入支出决算总体情况说明</w:t>
      </w:r>
      <w:bookmarkEnd w:id="58"/>
      <w:bookmarkEnd w:id="59"/>
      <w:bookmarkEnd w:id="60"/>
      <w:bookmarkEnd w:id="61"/>
    </w:p>
    <w:p w14:paraId="2339CB76">
      <w:pPr>
        <w:pageBreakBefore w:val="0"/>
        <w:kinsoku/>
        <w:overflowPunct/>
        <w:topLinePunct w:val="0"/>
        <w:bidi w:val="0"/>
        <w:spacing w:line="576" w:lineRule="exact"/>
        <w:ind w:firstLine="640" w:firstLineChars="200"/>
        <w:rPr>
          <w:rFonts w:hint="eastAsia" w:ascii="仿宋" w:hAnsi="仿宋" w:eastAsia="仿宋"/>
          <w:color w:val="000000"/>
          <w:sz w:val="32"/>
          <w:szCs w:val="32"/>
          <w:lang w:eastAsia="zh-CN"/>
        </w:rPr>
      </w:pPr>
      <w:r>
        <w:rPr>
          <w:rFonts w:hint="eastAsia" w:ascii="仿宋" w:hAnsi="仿宋" w:eastAsia="仿宋"/>
          <w:sz w:val="32"/>
          <w:szCs w:val="32"/>
        </w:rPr>
        <w:t>2023年度财政拨款收、支总计均为</w:t>
      </w:r>
      <w:r>
        <w:rPr>
          <w:sz w:val="32"/>
          <w:szCs w:val="32"/>
        </w:rPr>
        <w:t>2389.92</w:t>
      </w:r>
      <w:r>
        <w:rPr>
          <w:rFonts w:hint="eastAsia" w:ascii="仿宋" w:hAnsi="仿宋" w:eastAsia="仿宋"/>
          <w:sz w:val="32"/>
          <w:szCs w:val="32"/>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1090.59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83.93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开展三家园建设，项目增加。</w:t>
      </w:r>
    </w:p>
    <w:p w14:paraId="251D0E97">
      <w:pPr>
        <w:pStyle w:val="2"/>
      </w:pPr>
      <w:r>
        <w:drawing>
          <wp:inline distT="0" distB="0" distL="114300" distR="114300">
            <wp:extent cx="50673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C2323F">
      <w:pPr>
        <w:pageBreakBefore w:val="0"/>
        <w:kinsoku/>
        <w:overflowPunct/>
        <w:topLinePunct w:val="0"/>
        <w:bidi w:val="0"/>
        <w:spacing w:line="576" w:lineRule="exact"/>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6D3EA82C">
      <w:pPr>
        <w:pageBreakBefore w:val="0"/>
        <w:kinsoku/>
        <w:overflowPunct/>
        <w:topLinePunct w:val="0"/>
        <w:bidi w:val="0"/>
        <w:spacing w:line="576" w:lineRule="exact"/>
        <w:ind w:firstLine="640" w:firstLineChars="200"/>
        <w:outlineLvl w:val="1"/>
        <w:rPr>
          <w:rStyle w:val="32"/>
          <w:rFonts w:ascii="黑体" w:hAnsi="黑体" w:eastAsia="黑体"/>
          <w:b w:val="0"/>
        </w:rPr>
      </w:pPr>
      <w:bookmarkStart w:id="62" w:name="_Toc15396607"/>
      <w:bookmarkStart w:id="63" w:name="_Toc971"/>
      <w:bookmarkStart w:id="64" w:name="_Toc19349"/>
      <w:bookmarkStart w:id="65" w:name="_Toc15377209"/>
      <w:r>
        <w:rPr>
          <w:rFonts w:hint="eastAsia" w:ascii="黑体" w:hAnsi="黑体" w:eastAsia="黑体"/>
          <w:color w:val="000000"/>
          <w:sz w:val="32"/>
          <w:szCs w:val="32"/>
          <w:lang w:eastAsia="zh-CN"/>
        </w:rPr>
        <w:t>五</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2"/>
          <w:rFonts w:hint="eastAsia" w:ascii="黑体" w:hAnsi="黑体" w:eastAsia="黑体"/>
          <w:b w:val="0"/>
        </w:rPr>
        <w:t>般公共预算财政拨款支出决算情况说明</w:t>
      </w:r>
      <w:bookmarkEnd w:id="62"/>
      <w:bookmarkEnd w:id="63"/>
      <w:bookmarkEnd w:id="64"/>
      <w:bookmarkEnd w:id="65"/>
    </w:p>
    <w:p w14:paraId="79234692">
      <w:pPr>
        <w:pageBreakBefore w:val="0"/>
        <w:kinsoku/>
        <w:overflowPunct/>
        <w:topLinePunct w:val="0"/>
        <w:bidi w:val="0"/>
        <w:spacing w:line="576" w:lineRule="exact"/>
        <w:ind w:firstLine="643" w:firstLineChars="200"/>
        <w:outlineLvl w:val="2"/>
        <w:rPr>
          <w:rFonts w:ascii="仿宋" w:hAnsi="仿宋" w:eastAsia="仿宋"/>
          <w:b/>
          <w:color w:val="000000"/>
          <w:sz w:val="32"/>
          <w:szCs w:val="32"/>
        </w:rPr>
      </w:pPr>
      <w:bookmarkStart w:id="66" w:name="_Toc8527"/>
      <w:bookmarkStart w:id="67" w:name="_Toc15377210"/>
      <w:bookmarkStart w:id="68" w:name="_Toc17566"/>
      <w:r>
        <w:rPr>
          <w:rFonts w:hint="eastAsia" w:ascii="仿宋" w:hAnsi="仿宋" w:eastAsia="仿宋"/>
          <w:b/>
          <w:color w:val="000000"/>
          <w:sz w:val="32"/>
          <w:szCs w:val="32"/>
        </w:rPr>
        <w:t>（一）一般公共预算财政拨款支出决算总体情况</w:t>
      </w:r>
      <w:bookmarkEnd w:id="66"/>
      <w:bookmarkEnd w:id="67"/>
      <w:bookmarkEnd w:id="68"/>
    </w:p>
    <w:p w14:paraId="2184AB0E">
      <w:pPr>
        <w:pageBreakBefore w:val="0"/>
        <w:kinsoku/>
        <w:overflowPunct/>
        <w:topLinePunct w:val="0"/>
        <w:bidi w:val="0"/>
        <w:spacing w:line="576" w:lineRule="exact"/>
        <w:ind w:firstLine="640" w:firstLineChars="200"/>
        <w:rPr>
          <w:rFonts w:hint="eastAsia" w:ascii="仿宋" w:hAnsi="仿宋" w:eastAsia="仿宋"/>
          <w:color w:val="000000"/>
          <w:sz w:val="32"/>
          <w:szCs w:val="32"/>
          <w:lang w:eastAsia="zh-CN"/>
        </w:rPr>
      </w:pPr>
      <w:r>
        <w:rPr>
          <w:rFonts w:hint="eastAsia" w:ascii="仿宋" w:hAnsi="仿宋" w:eastAsia="仿宋"/>
          <w:sz w:val="32"/>
          <w:szCs w:val="32"/>
        </w:rPr>
        <w:t>2023年度一般公共预算财政拨款支出</w:t>
      </w:r>
      <w:r>
        <w:rPr>
          <w:sz w:val="32"/>
          <w:szCs w:val="32"/>
        </w:rPr>
        <w:t>2389.92</w:t>
      </w:r>
      <w:r>
        <w:rPr>
          <w:rFonts w:hint="eastAsia" w:ascii="仿宋" w:hAnsi="仿宋" w:eastAsia="仿宋"/>
          <w:sz w:val="32"/>
          <w:szCs w:val="32"/>
        </w:rPr>
        <w:t>万元，占本年支出合计的</w:t>
      </w:r>
      <w:r>
        <w:rPr>
          <w:sz w:val="32"/>
          <w:szCs w:val="32"/>
        </w:rPr>
        <w:t>98.15</w:t>
      </w:r>
      <w:r>
        <w:rPr>
          <w:rFonts w:ascii="仿宋" w:hAnsi="仿宋" w:eastAsia="仿宋"/>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1090.59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83.93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开展三家园建设，项目增加。</w:t>
      </w:r>
    </w:p>
    <w:p w14:paraId="44F6E4C6">
      <w:pPr>
        <w:pStyle w:val="2"/>
        <w:rPr>
          <w:rFonts w:hint="eastAsia"/>
          <w:lang w:eastAsia="zh-CN"/>
        </w:rPr>
      </w:pPr>
      <w:r>
        <w:drawing>
          <wp:inline distT="0" distB="0" distL="114300" distR="114300">
            <wp:extent cx="5304790" cy="2562225"/>
            <wp:effectExtent l="4445" t="4445" r="5715" b="508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F5FF16">
      <w:pPr>
        <w:pageBreakBefore w:val="0"/>
        <w:kinsoku/>
        <w:overflowPunct/>
        <w:topLinePunct w:val="0"/>
        <w:bidi w:val="0"/>
        <w:spacing w:line="576" w:lineRule="exact"/>
        <w:rPr>
          <w:rFonts w:hint="eastAsia" w:ascii="仿宋" w:hAnsi="仿宋" w:eastAsia="仿宋"/>
          <w:color w:val="000000" w:themeColor="text1"/>
          <w:w w:val="95"/>
          <w:sz w:val="32"/>
          <w:szCs w:val="32"/>
          <w14:textFill>
            <w14:solidFill>
              <w14:schemeClr w14:val="tx1"/>
            </w14:solidFill>
          </w14:textFill>
        </w:rPr>
      </w:pPr>
      <w:r>
        <w:rPr>
          <w:rFonts w:hint="eastAsia" w:ascii="仿宋" w:hAnsi="仿宋" w:eastAsia="仿宋"/>
          <w:color w:val="000000" w:themeColor="text1"/>
          <w:w w:val="95"/>
          <w:sz w:val="32"/>
          <w:szCs w:val="32"/>
          <w14:textFill>
            <w14:solidFill>
              <w14:schemeClr w14:val="tx1"/>
            </w14:solidFill>
          </w14:textFill>
        </w:rPr>
        <w:t>（图5：一般公共预算财政拨款支出决算变动情况）（柱状图）</w:t>
      </w:r>
    </w:p>
    <w:p w14:paraId="39F7C01A">
      <w:pPr>
        <w:pStyle w:val="11"/>
        <w:pageBreakBefore w:val="0"/>
        <w:kinsoku/>
        <w:overflowPunct/>
        <w:topLinePunct w:val="0"/>
        <w:bidi w:val="0"/>
        <w:spacing w:line="576" w:lineRule="exact"/>
        <w:ind w:left="0" w:leftChars="0" w:firstLine="0" w:firstLineChars="0"/>
        <w:rPr>
          <w:rFonts w:ascii="仿宋" w:hAnsi="仿宋" w:eastAsia="仿宋"/>
          <w:b/>
          <w:color w:val="000000"/>
          <w:sz w:val="32"/>
          <w:szCs w:val="32"/>
        </w:rPr>
      </w:pPr>
      <w:bookmarkStart w:id="69" w:name="_Toc15377211"/>
      <w:r>
        <w:rPr>
          <w:rFonts w:hint="eastAsia"/>
          <w:lang w:val="en-US" w:eastAsia="zh-CN"/>
        </w:rPr>
        <w:t xml:space="preserve">   </w:t>
      </w:r>
      <w:r>
        <w:rPr>
          <w:rFonts w:hint="eastAsia" w:ascii="仿宋" w:hAnsi="仿宋" w:eastAsia="仿宋"/>
          <w:b/>
          <w:color w:val="000000"/>
          <w:sz w:val="32"/>
          <w:szCs w:val="32"/>
        </w:rPr>
        <w:t>（二）一般公共预算财政拨款支出决算结构情况</w:t>
      </w:r>
      <w:bookmarkEnd w:id="69"/>
    </w:p>
    <w:p w14:paraId="06417149">
      <w:pPr>
        <w:pageBreakBefore w:val="0"/>
        <w:kinsoku/>
        <w:overflowPunct/>
        <w:topLinePunct w:val="0"/>
        <w:bidi w:val="0"/>
        <w:spacing w:line="576" w:lineRule="exact"/>
        <w:ind w:firstLine="640" w:firstLineChars="200"/>
        <w:rPr>
          <w:rFonts w:ascii="仿宋" w:hAnsi="仿宋" w:eastAsia="仿宋"/>
          <w:color w:val="000000"/>
          <w:sz w:val="32"/>
          <w:szCs w:val="32"/>
        </w:rPr>
      </w:pPr>
      <w:r>
        <w:rPr>
          <w:rFonts w:hint="eastAsia" w:ascii="仿宋" w:hAnsi="仿宋" w:eastAsia="仿宋"/>
          <w:sz w:val="32"/>
          <w:szCs w:val="32"/>
        </w:rPr>
        <w:t>2023年度一般公共预算财政拨款支出</w:t>
      </w:r>
      <w:r>
        <w:rPr>
          <w:rFonts w:hint="eastAsia" w:eastAsia="仿宋"/>
          <w:sz w:val="32"/>
          <w:szCs w:val="32"/>
          <w:lang w:val="en-US" w:eastAsia="zh-CN"/>
        </w:rPr>
        <w:t>2389.92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color w:val="000000" w:themeColor="text1"/>
          <w:sz w:val="32"/>
          <w:szCs w:val="32"/>
          <w:lang w:eastAsia="zh-CN"/>
          <w14:textFill>
            <w14:solidFill>
              <w14:schemeClr w14:val="tx1"/>
            </w14:solidFill>
          </w14:textFill>
        </w:rPr>
        <w:t>一般公共服务（类）支出</w:t>
      </w:r>
      <w:r>
        <w:rPr>
          <w:rFonts w:hint="eastAsia" w:ascii="仿宋" w:hAnsi="仿宋" w:eastAsia="仿宋"/>
          <w:color w:val="000000" w:themeColor="text1"/>
          <w:sz w:val="32"/>
          <w:szCs w:val="32"/>
          <w:lang w:val="en-US" w:eastAsia="zh-CN"/>
          <w14:textFill>
            <w14:solidFill>
              <w14:schemeClr w14:val="tx1"/>
            </w14:solidFill>
          </w14:textFill>
        </w:rPr>
        <w:t>853.89</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35.72</w:t>
      </w:r>
      <w:r>
        <w:rPr>
          <w:rFonts w:hint="eastAsia" w:ascii="仿宋" w:hAnsi="仿宋" w:eastAsia="仿宋"/>
          <w:color w:val="000000" w:themeColor="text1"/>
          <w:sz w:val="32"/>
          <w:szCs w:val="32"/>
          <w:lang w:eastAsia="zh-CN"/>
          <w14:textFill>
            <w14:solidFill>
              <w14:schemeClr w14:val="tx1"/>
            </w14:solidFill>
          </w14:textFill>
        </w:rPr>
        <w:t>%；文化旅游体育与传媒（类）支出</w:t>
      </w:r>
      <w:r>
        <w:rPr>
          <w:rFonts w:hint="eastAsia" w:ascii="仿宋" w:hAnsi="仿宋" w:eastAsia="仿宋"/>
          <w:color w:val="000000" w:themeColor="text1"/>
          <w:sz w:val="32"/>
          <w:szCs w:val="32"/>
          <w:lang w:val="en-US" w:eastAsia="zh-CN"/>
          <w14:textFill>
            <w14:solidFill>
              <w14:schemeClr w14:val="tx1"/>
            </w14:solidFill>
          </w14:textFill>
        </w:rPr>
        <w:t>4.56</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0.19</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136.32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5.7</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42.42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1.77</w:t>
      </w:r>
      <w:r>
        <w:rPr>
          <w:rFonts w:hint="eastAsia" w:ascii="仿宋" w:hAnsi="仿宋" w:eastAsia="仿宋"/>
          <w:color w:val="000000" w:themeColor="text1"/>
          <w:sz w:val="32"/>
          <w:szCs w:val="32"/>
          <w:lang w:eastAsia="zh-CN"/>
          <w14:textFill>
            <w14:solidFill>
              <w14:schemeClr w14:val="tx1"/>
            </w14:solidFill>
          </w14:textFill>
        </w:rPr>
        <w:t>%；节能环保支出73.92万元，占</w:t>
      </w:r>
      <w:r>
        <w:rPr>
          <w:rFonts w:hint="eastAsia" w:ascii="仿宋" w:hAnsi="仿宋" w:eastAsia="仿宋"/>
          <w:color w:val="000000" w:themeColor="text1"/>
          <w:sz w:val="32"/>
          <w:szCs w:val="32"/>
          <w:lang w:val="en-US" w:eastAsia="zh-CN"/>
          <w14:textFill>
            <w14:solidFill>
              <w14:schemeClr w14:val="tx1"/>
            </w14:solidFill>
          </w14:textFill>
        </w:rPr>
        <w:t>3.09%；</w:t>
      </w:r>
      <w:r>
        <w:rPr>
          <w:rFonts w:hint="eastAsia" w:ascii="仿宋" w:hAnsi="仿宋" w:eastAsia="仿宋"/>
          <w:color w:val="000000" w:themeColor="text1"/>
          <w:sz w:val="32"/>
          <w:szCs w:val="32"/>
          <w:lang w:eastAsia="zh-CN"/>
          <w14:textFill>
            <w14:solidFill>
              <w14:schemeClr w14:val="tx1"/>
            </w14:solidFill>
          </w14:textFill>
        </w:rPr>
        <w:t>城乡社区支出</w:t>
      </w:r>
      <w:r>
        <w:rPr>
          <w:rFonts w:hint="eastAsia" w:ascii="仿宋" w:hAnsi="仿宋" w:eastAsia="仿宋"/>
          <w:color w:val="000000" w:themeColor="text1"/>
          <w:sz w:val="32"/>
          <w:szCs w:val="32"/>
          <w:lang w:val="en-US" w:eastAsia="zh-CN"/>
          <w14:textFill>
            <w14:solidFill>
              <w14:schemeClr w14:val="tx1"/>
            </w14:solidFill>
          </w14:textFill>
        </w:rPr>
        <w:t>6.92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0.29%；</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1,218.63</w:t>
      </w:r>
      <w:r>
        <w:rPr>
          <w:rFonts w:hint="eastAsia" w:ascii="仿宋" w:hAnsi="仿宋" w:eastAsia="仿宋"/>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50.99</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53.26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占2.25%。</w:t>
      </w:r>
      <w:r>
        <w:rPr>
          <w:rFonts w:hint="eastAsia" w:ascii="仿宋" w:hAnsi="仿宋" w:eastAsia="仿宋"/>
          <w:color w:val="000000"/>
          <w:sz w:val="32"/>
          <w:szCs w:val="32"/>
        </w:rPr>
        <w:t>（图6：一般公共预算财政拨款支出决算结构）</w:t>
      </w:r>
    </w:p>
    <w:p w14:paraId="21413164">
      <w:pPr>
        <w:pageBreakBefore w:val="0"/>
        <w:kinsoku/>
        <w:overflowPunct/>
        <w:topLinePunct w:val="0"/>
        <w:bidi w:val="0"/>
        <w:spacing w:line="576" w:lineRule="exact"/>
        <w:ind w:firstLine="210" w:firstLineChars="100"/>
        <w:outlineLvl w:val="2"/>
        <w:rPr>
          <w:rFonts w:ascii="仿宋" w:hAnsi="仿宋" w:eastAsia="仿宋"/>
          <w:b/>
          <w:color w:val="000000"/>
          <w:sz w:val="32"/>
          <w:szCs w:val="32"/>
          <w:highlight w:val="none"/>
        </w:rPr>
      </w:pPr>
      <w:bookmarkStart w:id="70" w:name="_Toc15377212"/>
      <w:bookmarkStart w:id="71" w:name="_Toc30741"/>
      <w:bookmarkStart w:id="72" w:name="_Toc17800"/>
      <w:r>
        <w:rPr>
          <w:highlight w:val="none"/>
        </w:rPr>
        <w:drawing>
          <wp:anchor distT="0" distB="0" distL="114300" distR="114300" simplePos="0" relativeHeight="251663360" behindDoc="0" locked="0" layoutInCell="1" allowOverlap="1">
            <wp:simplePos x="0" y="0"/>
            <wp:positionH relativeFrom="column">
              <wp:posOffset>224155</wp:posOffset>
            </wp:positionH>
            <wp:positionV relativeFrom="paragraph">
              <wp:posOffset>85725</wp:posOffset>
            </wp:positionV>
            <wp:extent cx="4971415" cy="2380615"/>
            <wp:effectExtent l="4445" t="4445" r="15240" b="15240"/>
            <wp:wrapSquare wrapText="bothSides"/>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highlight w:val="none"/>
          <w:lang w:val="en-US" w:eastAsia="zh-CN"/>
        </w:rPr>
        <w:t xml:space="preserve"> </w:t>
      </w:r>
      <w:r>
        <w:rPr>
          <w:rFonts w:hint="eastAsia" w:ascii="仿宋" w:hAnsi="仿宋" w:eastAsia="仿宋"/>
          <w:b/>
          <w:color w:val="000000"/>
          <w:sz w:val="32"/>
          <w:szCs w:val="32"/>
          <w:highlight w:val="none"/>
        </w:rPr>
        <w:t>（三）一般公共预算财政拨款支出决算具体情况</w:t>
      </w:r>
      <w:bookmarkEnd w:id="70"/>
      <w:bookmarkEnd w:id="71"/>
      <w:bookmarkEnd w:id="72"/>
    </w:p>
    <w:p w14:paraId="0F664DE6">
      <w:pPr>
        <w:pageBreakBefore w:val="0"/>
        <w:kinsoku/>
        <w:overflowPunct/>
        <w:topLinePunct w:val="0"/>
        <w:bidi w:val="0"/>
        <w:spacing w:line="576" w:lineRule="exact"/>
        <w:ind w:firstLine="643" w:firstLineChars="200"/>
        <w:outlineLvl w:val="1"/>
        <w:rPr>
          <w:rFonts w:hint="eastAsia" w:ascii="仿宋" w:hAnsi="仿宋" w:eastAsia="仿宋" w:cs="仿宋"/>
          <w:color w:val="FF0000"/>
          <w:sz w:val="32"/>
          <w:szCs w:val="32"/>
        </w:rPr>
      </w:pPr>
      <w:bookmarkStart w:id="73" w:name="_Toc18179"/>
      <w:bookmarkStart w:id="74" w:name="_Toc15377213"/>
      <w:bookmarkStart w:id="75" w:name="_Toc11523"/>
      <w:bookmarkStart w:id="76" w:name="_Toc9371"/>
      <w:bookmarkStart w:id="77" w:name="_Toc15377444"/>
      <w:bookmarkStart w:id="78" w:name="_Toc15378460"/>
      <w:bookmarkStart w:id="79" w:name="_Toc25637"/>
      <w:bookmarkStart w:id="80" w:name="_Toc32554"/>
      <w:r>
        <w:rPr>
          <w:rFonts w:hint="eastAsia" w:ascii="仿宋" w:hAnsi="仿宋" w:eastAsia="仿宋"/>
          <w:b/>
          <w:sz w:val="32"/>
          <w:szCs w:val="32"/>
        </w:rPr>
        <w:t>2023年度一般公共预算支出决算数为</w:t>
      </w:r>
      <w:r>
        <w:rPr>
          <w:sz w:val="32"/>
          <w:szCs w:val="32"/>
        </w:rPr>
        <w:t>2389.92</w:t>
      </w:r>
      <w:r>
        <w:rPr>
          <w:rFonts w:hint="eastAsia" w:ascii="仿宋" w:hAnsi="仿宋" w:eastAsia="仿宋"/>
          <w:sz w:val="32"/>
          <w:szCs w:val="32"/>
        </w:rPr>
        <w:t>，</w:t>
      </w:r>
      <w:r>
        <w:rPr>
          <w:rStyle w:val="21"/>
          <w:rFonts w:hint="eastAsia" w:ascii="仿宋" w:hAnsi="仿宋" w:eastAsia="仿宋"/>
          <w:bCs/>
          <w:sz w:val="32"/>
          <w:szCs w:val="32"/>
        </w:rPr>
        <w:t>完成预算</w:t>
      </w:r>
      <w:r>
        <w:rPr>
          <w:rStyle w:val="21"/>
          <w:rFonts w:hint="eastAsia" w:ascii="仿宋" w:hAnsi="仿宋" w:eastAsia="仿宋"/>
          <w:bCs/>
          <w:sz w:val="32"/>
          <w:szCs w:val="32"/>
          <w:lang w:val="en-US" w:eastAsia="zh-CN"/>
        </w:rPr>
        <w:t>98.15</w:t>
      </w:r>
      <w:r>
        <w:rPr>
          <w:rStyle w:val="21"/>
          <w:rFonts w:ascii="仿宋" w:hAnsi="仿宋" w:eastAsia="仿宋"/>
          <w:bCs/>
          <w:sz w:val="32"/>
          <w:szCs w:val="32"/>
        </w:rPr>
        <w:t>%</w:t>
      </w:r>
      <w:r>
        <w:rPr>
          <w:rStyle w:val="21"/>
          <w:rFonts w:hint="eastAsia" w:ascii="仿宋" w:hAnsi="仿宋" w:eastAsia="仿宋" w:cs="仿宋"/>
          <w:bCs/>
          <w:color w:val="000000"/>
          <w:sz w:val="32"/>
          <w:szCs w:val="32"/>
        </w:rPr>
        <w:t>。其中：</w:t>
      </w:r>
      <w:bookmarkEnd w:id="73"/>
      <w:bookmarkEnd w:id="74"/>
      <w:bookmarkEnd w:id="75"/>
      <w:bookmarkEnd w:id="76"/>
      <w:bookmarkEnd w:id="77"/>
      <w:bookmarkEnd w:id="78"/>
      <w:bookmarkEnd w:id="79"/>
      <w:bookmarkEnd w:id="80"/>
    </w:p>
    <w:p w14:paraId="1A14D011">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w:t>
      </w:r>
      <w:r>
        <w:rPr>
          <w:rFonts w:hint="eastAsia" w:ascii="仿宋" w:hAnsi="仿宋" w:eastAsia="仿宋"/>
          <w:b/>
          <w:bCs/>
          <w:color w:val="000000"/>
          <w:sz w:val="32"/>
          <w:szCs w:val="32"/>
          <w:lang w:val="en-US" w:eastAsia="zh-CN"/>
        </w:rPr>
        <w:t>支出201：支出决算为853.89万元，完成预算100%。</w:t>
      </w:r>
    </w:p>
    <w:p w14:paraId="1DBCC300">
      <w:pPr>
        <w:pageBreakBefore w:val="0"/>
        <w:kinsoku/>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人大事务</w:t>
      </w:r>
      <w:r>
        <w:rPr>
          <w:rFonts w:hint="eastAsia" w:ascii="仿宋" w:hAnsi="仿宋" w:eastAsia="仿宋"/>
          <w:color w:val="000000"/>
          <w:sz w:val="32"/>
          <w:szCs w:val="32"/>
          <w:lang w:val="en-US" w:eastAsia="zh-CN"/>
        </w:rPr>
        <w:t>20101</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5.10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r>
        <w:rPr>
          <w:rFonts w:hint="eastAsia" w:ascii="仿宋" w:hAnsi="仿宋" w:eastAsia="仿宋"/>
          <w:color w:val="000000"/>
          <w:sz w:val="32"/>
          <w:szCs w:val="32"/>
          <w:lang w:eastAsia="zh-CN"/>
        </w:rPr>
        <w:t>其中行政运行</w:t>
      </w:r>
      <w:r>
        <w:rPr>
          <w:rFonts w:hint="eastAsia" w:ascii="仿宋" w:hAnsi="仿宋" w:eastAsia="仿宋"/>
          <w:color w:val="000000"/>
          <w:sz w:val="32"/>
          <w:szCs w:val="32"/>
          <w:lang w:val="en-US" w:eastAsia="zh-CN"/>
        </w:rPr>
        <w:t>2010101支出决算为1.60万元；人大会议2010104支出决算为2.50万元；代表工作2010108支出决算为1万元。</w:t>
      </w:r>
    </w:p>
    <w:p w14:paraId="7953CC10">
      <w:pPr>
        <w:pageBreakBefore w:val="0"/>
        <w:kinsoku/>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（2）政府办公厅（室）及相关机构事务201 03：</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838.84</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r>
        <w:rPr>
          <w:rFonts w:hint="eastAsia" w:ascii="仿宋" w:hAnsi="仿宋" w:eastAsia="仿宋"/>
          <w:color w:val="000000"/>
          <w:sz w:val="32"/>
          <w:szCs w:val="32"/>
          <w:lang w:eastAsia="zh-CN"/>
        </w:rPr>
        <w:t>。其中行政运行</w:t>
      </w:r>
      <w:r>
        <w:rPr>
          <w:rFonts w:hint="eastAsia" w:ascii="仿宋" w:hAnsi="仿宋" w:eastAsia="仿宋"/>
          <w:color w:val="000000"/>
          <w:sz w:val="32"/>
          <w:szCs w:val="32"/>
          <w:lang w:val="en-US" w:eastAsia="zh-CN"/>
        </w:rPr>
        <w:t>201 03 01支出决算为431.89万元；一般行政管理事务201 03 02支出决算17.26万元；事业运行201 03 50支出决算179.31万元；其他政府办公厅（室）及相关机构事务支出201 03 99支出决算为210.37</w:t>
      </w:r>
      <w:r>
        <w:rPr>
          <w:rFonts w:hint="eastAsia" w:ascii="仿宋" w:hAnsi="仿宋" w:eastAsia="仿宋"/>
          <w:color w:val="000000"/>
          <w:sz w:val="32"/>
          <w:szCs w:val="32"/>
        </w:rPr>
        <w:t>。</w:t>
      </w:r>
    </w:p>
    <w:p w14:paraId="269CCF6E">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统战事务 其他统战事务支出201 34 99：支出决算为9.95万元，完成预算100%。</w:t>
      </w:r>
    </w:p>
    <w:p w14:paraId="3649004E">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2.</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支出207：支出决算为4.56万元，完成预算100%。</w:t>
      </w:r>
    </w:p>
    <w:p w14:paraId="6D5C846B">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文化和旅游 其他文化和旅游支出207 01 99：支出决算为0.45万元，完成预算100%。</w:t>
      </w:r>
    </w:p>
    <w:p w14:paraId="3B9E31F0">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（2）其他文化旅游体育与传媒支出 其他文化旅游体育</w:t>
      </w:r>
      <w:r>
        <w:rPr>
          <w:rFonts w:hint="eastAsia" w:ascii="仿宋" w:hAnsi="仿宋" w:eastAsia="仿宋"/>
          <w:color w:val="000000"/>
          <w:w w:val="95"/>
          <w:sz w:val="32"/>
          <w:szCs w:val="32"/>
          <w:lang w:val="en-US" w:eastAsia="zh-CN"/>
        </w:rPr>
        <w:t>与传媒支出207 99 99：支出决算为4.11万元，完成预算100%。</w:t>
      </w:r>
    </w:p>
    <w:p w14:paraId="680E1042">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3.社会保障和就业支出208：支出决算为136.32万元，完成预算100%。</w:t>
      </w:r>
    </w:p>
    <w:p w14:paraId="51F975BA">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（1）社会保障和就业支出 民政管理事务 基层政权和社区建设208 02 08：支出决算为41.31万元，完成预算100%。</w:t>
      </w:r>
    </w:p>
    <w:p w14:paraId="4CD24D87">
      <w:pPr>
        <w:pageBreakBefore w:val="0"/>
        <w:kinsoku/>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行政事业单位养老 机关事务基本养老保险缴费支出208 05 05：支出决算为：63.42万元，完成预算100%。</w:t>
      </w:r>
    </w:p>
    <w:p w14:paraId="545BEAD3">
      <w:pPr>
        <w:pageBreakBefore w:val="0"/>
        <w:kinsoku/>
        <w:overflowPunct/>
        <w:topLinePunct w:val="0"/>
        <w:bidi w:val="0"/>
        <w:spacing w:line="576"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行政事业单位养老支出208 05：支出决算为95万元，完成预算100%。其中机关事业单位职业年金缴费支出208 05 06，支出决算为63.42万元；机关事业单位职业年金缴费支出208 05 06，支出决算为31.59万元。</w:t>
      </w:r>
    </w:p>
    <w:p w14:paraId="7E474909">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4.卫生健康支出210：支出决算为42.42万元，完成预算100%。</w:t>
      </w:r>
    </w:p>
    <w:p w14:paraId="32A7C7DE">
      <w:pPr>
        <w:pageBreakBefore w:val="0"/>
        <w:kinsoku/>
        <w:overflowPunct/>
        <w:topLinePunct w:val="0"/>
        <w:bidi w:val="0"/>
        <w:spacing w:line="576" w:lineRule="exact"/>
        <w:ind w:firstLine="640" w:firstLineChars="200"/>
        <w:rPr>
          <w:rFonts w:hint="default"/>
          <w:b/>
          <w:bCs/>
          <w:lang w:val="en-US" w:eastAsia="zh-CN"/>
        </w:rPr>
      </w:pPr>
      <w:r>
        <w:rPr>
          <w:rFonts w:hint="eastAsia" w:ascii="仿宋" w:hAnsi="仿宋" w:eastAsia="仿宋"/>
          <w:color w:val="000000"/>
          <w:sz w:val="32"/>
          <w:szCs w:val="32"/>
          <w:lang w:val="en-US" w:eastAsia="zh-CN"/>
        </w:rPr>
        <w:t>卫生健康支出 行政事业单位医210 11：支出决算为42.42万元，完成预算100%。行政单位医疗210 11 01支出决算23.34万元；事业单位医疗210 11 02支出决算为12.01万元；公务员医疗补助210 11 03支出决算为4.94万元；其他行政事业单位医疗支出 210 11 99支出决算为2.13万元。</w:t>
      </w:r>
    </w:p>
    <w:p w14:paraId="0541A1AF">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5.节能环保支出211：支出决算73.92万元，完成预算100%。</w:t>
      </w:r>
    </w:p>
    <w:p w14:paraId="257ACB16">
      <w:pPr>
        <w:pageBreakBefore w:val="0"/>
        <w:kinsoku/>
        <w:overflowPunct/>
        <w:topLinePunct w:val="0"/>
        <w:bidi w:val="0"/>
        <w:spacing w:line="576" w:lineRule="exact"/>
        <w:ind w:firstLine="640" w:firstLineChars="200"/>
        <w:rPr>
          <w:rFonts w:hint="default" w:ascii="仿宋" w:hAnsi="仿宋" w:eastAsia="仿宋" w:cs="Times New Roman"/>
          <w:b w:val="0"/>
          <w:bCs w:val="0"/>
          <w:color w:val="000000"/>
          <w:kern w:val="2"/>
          <w:sz w:val="32"/>
          <w:szCs w:val="32"/>
          <w:lang w:val="en-US" w:eastAsia="zh-CN" w:bidi="ar-SA"/>
        </w:rPr>
      </w:pPr>
      <w:r>
        <w:rPr>
          <w:rFonts w:hint="eastAsia" w:ascii="仿宋" w:hAnsi="仿宋" w:eastAsia="仿宋" w:cs="Times New Roman"/>
          <w:b w:val="0"/>
          <w:bCs w:val="0"/>
          <w:color w:val="000000"/>
          <w:kern w:val="2"/>
          <w:sz w:val="32"/>
          <w:szCs w:val="32"/>
          <w:lang w:val="en-US" w:eastAsia="zh-CN" w:bidi="ar-SA"/>
        </w:rPr>
        <w:t>（1）节能环保支出 环境保护管理事务 其他环境保护</w:t>
      </w:r>
      <w:r>
        <w:rPr>
          <w:rFonts w:hint="eastAsia" w:ascii="仿宋" w:hAnsi="仿宋" w:eastAsia="仿宋" w:cs="Times New Roman"/>
          <w:b w:val="0"/>
          <w:bCs w:val="0"/>
          <w:color w:val="000000"/>
          <w:w w:val="95"/>
          <w:kern w:val="2"/>
          <w:sz w:val="32"/>
          <w:szCs w:val="32"/>
          <w:lang w:val="en-US" w:eastAsia="zh-CN" w:bidi="ar-SA"/>
        </w:rPr>
        <w:t>管理事务支出211 01 99：支出决算73.92万元，完成预算100%。</w:t>
      </w:r>
    </w:p>
    <w:p w14:paraId="174FA133">
      <w:pPr>
        <w:pageBreakBefore w:val="0"/>
        <w:kinsoku/>
        <w:overflowPunct/>
        <w:topLinePunct w:val="0"/>
        <w:bidi w:val="0"/>
        <w:spacing w:line="576" w:lineRule="exact"/>
        <w:ind w:firstLine="643" w:firstLineChars="200"/>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6.城乡社区支出212：支出决算6.92万元，完成预算100%。</w:t>
      </w:r>
    </w:p>
    <w:p w14:paraId="3BFAAD97">
      <w:pPr>
        <w:pStyle w:val="8"/>
        <w:pageBreakBefore w:val="0"/>
        <w:kinsoku/>
        <w:overflowPunct/>
        <w:topLinePunct w:val="0"/>
        <w:bidi w:val="0"/>
        <w:spacing w:line="576" w:lineRule="exact"/>
        <w:rPr>
          <w:rFonts w:hint="default"/>
          <w:b w:val="0"/>
          <w:bCs w:val="0"/>
          <w:lang w:val="en-US" w:eastAsia="zh-CN"/>
        </w:rPr>
      </w:pPr>
      <w:r>
        <w:rPr>
          <w:rFonts w:hint="eastAsia" w:ascii="仿宋" w:hAnsi="仿宋" w:eastAsia="仿宋"/>
          <w:b/>
          <w:bCs/>
          <w:color w:val="000000"/>
          <w:sz w:val="32"/>
          <w:szCs w:val="32"/>
          <w:lang w:val="en-US" w:eastAsia="zh-CN"/>
        </w:rPr>
        <w:t xml:space="preserve">    </w:t>
      </w:r>
      <w:r>
        <w:rPr>
          <w:rFonts w:hint="eastAsia" w:ascii="仿宋" w:hAnsi="仿宋" w:eastAsia="仿宋"/>
          <w:b w:val="0"/>
          <w:bCs w:val="0"/>
          <w:color w:val="000000"/>
          <w:sz w:val="32"/>
          <w:szCs w:val="32"/>
          <w:lang w:val="en-US" w:eastAsia="zh-CN"/>
        </w:rPr>
        <w:t>（1）城乡社区支出 城乡社区环境卫生 城乡社区环境卫生212 05 01：支出决算为6.92万元，完成预算100%。</w:t>
      </w:r>
    </w:p>
    <w:p w14:paraId="13FED3AA">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7.农林水支出213：支出决算1,218.63万元，完成预算100%。</w:t>
      </w:r>
    </w:p>
    <w:p w14:paraId="04D3A19E">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（1）农林水 农业农村 农业生产发展213 01 22：支出决算为221.94万元，完成预算100%。</w:t>
      </w:r>
    </w:p>
    <w:p w14:paraId="1D90553F">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（2）巩固脱贫攻坚成果衔接乡村振兴213 05：支出预算为919.86万元，完成预算100%。其中农村基础设施建设213 05 04支出决算为625.53万元；生产发展213 05 04支出决算为291.43万元；其他巩固脱贫衔接乡村振兴支出 213 05 99支出决算为2.9万元。</w:t>
      </w:r>
    </w:p>
    <w:p w14:paraId="3AC63392">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（3）农林水 农村综合改革 对村民委员会和村党支部的补助213 07 05：支出决算76.84万元，完成预算100%。</w:t>
      </w:r>
    </w:p>
    <w:p w14:paraId="142E6CAB">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7.住房保障支出221：支出决算为53.26万元，完成预算100%。</w:t>
      </w:r>
    </w:p>
    <w:p w14:paraId="6195995F">
      <w:pPr>
        <w:pageBreakBefore w:val="0"/>
        <w:kinsoku/>
        <w:overflowPunct/>
        <w:topLinePunct w:val="0"/>
        <w:bidi w:val="0"/>
        <w:spacing w:line="576"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 住房公积金221 02 01：支出决算为53.26万元，完成预算100%。</w:t>
      </w:r>
    </w:p>
    <w:p w14:paraId="72E61B50">
      <w:pPr>
        <w:pageBreakBefore w:val="0"/>
        <w:tabs>
          <w:tab w:val="right" w:pos="8306"/>
        </w:tabs>
        <w:kinsoku/>
        <w:overflowPunct/>
        <w:topLinePunct w:val="0"/>
        <w:bidi w:val="0"/>
        <w:spacing w:line="576" w:lineRule="exact"/>
        <w:ind w:firstLine="640"/>
        <w:outlineLvl w:val="1"/>
        <w:rPr>
          <w:rStyle w:val="32"/>
        </w:rPr>
      </w:pPr>
      <w:bookmarkStart w:id="81" w:name="_Toc15396608"/>
      <w:bookmarkStart w:id="82" w:name="_Toc15377214"/>
      <w:bookmarkStart w:id="83" w:name="_Toc21943"/>
      <w:bookmarkStart w:id="84" w:name="_Toc23507"/>
      <w:r>
        <w:rPr>
          <w:rFonts w:hint="eastAsia" w:ascii="黑体" w:eastAsia="黑体"/>
          <w:color w:val="000000"/>
          <w:sz w:val="32"/>
          <w:szCs w:val="32"/>
          <w:lang w:val="en-US" w:eastAsia="zh-CN"/>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2"/>
          <w:rFonts w:hint="eastAsia" w:ascii="黑体" w:hAnsi="黑体" w:eastAsia="黑体"/>
          <w:b w:val="0"/>
        </w:rPr>
        <w:t>般公共预算财政拨款基本支出决算情况说明</w:t>
      </w:r>
      <w:bookmarkEnd w:id="81"/>
      <w:bookmarkEnd w:id="82"/>
      <w:bookmarkEnd w:id="83"/>
      <w:bookmarkEnd w:id="84"/>
      <w:r>
        <w:rPr>
          <w:rStyle w:val="32"/>
          <w:rFonts w:ascii="黑体" w:hAnsi="黑体" w:eastAsia="黑体"/>
          <w:b w:val="0"/>
        </w:rPr>
        <w:tab/>
      </w:r>
    </w:p>
    <w:p w14:paraId="668C7358">
      <w:pPr>
        <w:spacing w:line="600" w:lineRule="exact"/>
        <w:ind w:firstLine="645"/>
        <w:rPr>
          <w:rFonts w:ascii="仿宋" w:hAnsi="仿宋" w:eastAsia="仿宋"/>
          <w:sz w:val="32"/>
          <w:szCs w:val="32"/>
        </w:rPr>
      </w:pPr>
      <w:bookmarkStart w:id="85" w:name="_Toc15396609"/>
      <w:bookmarkStart w:id="86" w:name="_Toc15377215"/>
      <w:bookmarkStart w:id="87" w:name="_Toc11403"/>
      <w:r>
        <w:rPr>
          <w:rFonts w:hint="eastAsia" w:ascii="仿宋" w:hAnsi="仿宋" w:eastAsia="仿宋"/>
          <w:sz w:val="32"/>
          <w:szCs w:val="32"/>
        </w:rPr>
        <w:t>2023年度一般公共预算财政拨款基本支出</w:t>
      </w:r>
      <w:r>
        <w:rPr>
          <w:sz w:val="32"/>
          <w:szCs w:val="32"/>
        </w:rPr>
        <w:t>803.49</w:t>
      </w:r>
      <w:r>
        <w:rPr>
          <w:rFonts w:hint="eastAsia" w:ascii="仿宋" w:hAnsi="仿宋" w:eastAsia="仿宋"/>
          <w:sz w:val="32"/>
          <w:szCs w:val="32"/>
        </w:rPr>
        <w:t>万元，其中：</w:t>
      </w:r>
    </w:p>
    <w:p w14:paraId="5888724A">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750.93</w:t>
      </w:r>
      <w:r>
        <w:rPr>
          <w:rFonts w:hint="eastAsia" w:ascii="仿宋" w:hAnsi="仿宋" w:eastAsia="仿宋"/>
          <w:sz w:val="32"/>
          <w:szCs w:val="32"/>
        </w:rPr>
        <w:t>万元，主要包括：基本工资122.57</w:t>
      </w:r>
      <w:r>
        <w:rPr>
          <w:rFonts w:hint="eastAsia" w:ascii="仿宋" w:hAnsi="仿宋" w:eastAsia="仿宋"/>
          <w:sz w:val="32"/>
          <w:szCs w:val="32"/>
          <w:lang w:eastAsia="zh-CN"/>
        </w:rPr>
        <w:t>万元</w:t>
      </w:r>
      <w:r>
        <w:rPr>
          <w:rFonts w:hint="eastAsia" w:ascii="仿宋" w:hAnsi="仿宋" w:eastAsia="仿宋"/>
          <w:sz w:val="32"/>
          <w:szCs w:val="32"/>
        </w:rPr>
        <w:t>、津贴补贴234.66</w:t>
      </w:r>
      <w:r>
        <w:rPr>
          <w:rFonts w:hint="eastAsia" w:ascii="仿宋" w:hAnsi="仿宋" w:eastAsia="仿宋"/>
          <w:sz w:val="32"/>
          <w:szCs w:val="32"/>
          <w:lang w:eastAsia="zh-CN"/>
        </w:rPr>
        <w:t>万元</w:t>
      </w:r>
      <w:r>
        <w:rPr>
          <w:rFonts w:hint="eastAsia" w:ascii="仿宋" w:hAnsi="仿宋" w:eastAsia="仿宋"/>
          <w:sz w:val="32"/>
          <w:szCs w:val="32"/>
        </w:rPr>
        <w:t>、奖金164.71</w:t>
      </w:r>
      <w:r>
        <w:rPr>
          <w:rFonts w:hint="eastAsia" w:ascii="仿宋" w:hAnsi="仿宋" w:eastAsia="仿宋"/>
          <w:sz w:val="32"/>
          <w:szCs w:val="32"/>
          <w:lang w:eastAsia="zh-CN"/>
        </w:rPr>
        <w:t>万元</w:t>
      </w:r>
      <w:r>
        <w:rPr>
          <w:rFonts w:hint="eastAsia" w:ascii="仿宋" w:hAnsi="仿宋" w:eastAsia="仿宋"/>
          <w:sz w:val="32"/>
          <w:szCs w:val="32"/>
        </w:rPr>
        <w:t>、绩效工资27.77</w:t>
      </w:r>
      <w:r>
        <w:rPr>
          <w:rFonts w:hint="eastAsia" w:ascii="仿宋" w:hAnsi="仿宋" w:eastAsia="仿宋"/>
          <w:sz w:val="32"/>
          <w:szCs w:val="32"/>
          <w:lang w:eastAsia="zh-CN"/>
        </w:rPr>
        <w:t>万元</w:t>
      </w:r>
      <w:r>
        <w:rPr>
          <w:rFonts w:hint="eastAsia" w:ascii="仿宋" w:hAnsi="仿宋" w:eastAsia="仿宋"/>
          <w:sz w:val="32"/>
          <w:szCs w:val="32"/>
        </w:rPr>
        <w:t>、机关事业单位基本养老保险缴费63.42</w:t>
      </w:r>
      <w:r>
        <w:rPr>
          <w:rFonts w:hint="eastAsia" w:ascii="仿宋" w:hAnsi="仿宋" w:eastAsia="仿宋"/>
          <w:sz w:val="32"/>
          <w:szCs w:val="32"/>
          <w:lang w:eastAsia="zh-CN"/>
        </w:rPr>
        <w:t>万元</w:t>
      </w:r>
      <w:r>
        <w:rPr>
          <w:rFonts w:hint="eastAsia" w:ascii="仿宋" w:hAnsi="仿宋" w:eastAsia="仿宋"/>
          <w:sz w:val="32"/>
          <w:szCs w:val="32"/>
        </w:rPr>
        <w:t>、职业年金缴费31.59</w:t>
      </w:r>
      <w:r>
        <w:rPr>
          <w:rFonts w:hint="eastAsia" w:ascii="仿宋" w:hAnsi="仿宋" w:eastAsia="仿宋"/>
          <w:sz w:val="32"/>
          <w:szCs w:val="32"/>
          <w:lang w:eastAsia="zh-CN"/>
        </w:rPr>
        <w:t>万元</w:t>
      </w:r>
      <w:r>
        <w:rPr>
          <w:rFonts w:hint="eastAsia" w:ascii="仿宋" w:hAnsi="仿宋" w:eastAsia="仿宋"/>
          <w:sz w:val="32"/>
          <w:szCs w:val="32"/>
        </w:rPr>
        <w:t>、</w:t>
      </w:r>
      <w:r>
        <w:rPr>
          <w:rFonts w:hint="eastAsia" w:ascii="仿宋" w:hAnsi="仿宋" w:eastAsia="仿宋"/>
          <w:sz w:val="32"/>
          <w:szCs w:val="32"/>
          <w:lang w:eastAsia="zh-CN"/>
        </w:rPr>
        <w:t>职工基本医疗保险缴费35.35万元、公务员医疗补助缴费</w:t>
      </w:r>
      <w:r>
        <w:rPr>
          <w:rFonts w:hint="eastAsia" w:ascii="仿宋" w:hAnsi="仿宋" w:eastAsia="仿宋"/>
          <w:sz w:val="32"/>
          <w:szCs w:val="32"/>
          <w:lang w:val="en-US" w:eastAsia="zh-CN"/>
        </w:rPr>
        <w:t>7.07万元、</w:t>
      </w:r>
      <w:r>
        <w:rPr>
          <w:rFonts w:hint="eastAsia" w:ascii="仿宋" w:hAnsi="仿宋" w:eastAsia="仿宋"/>
          <w:sz w:val="32"/>
          <w:szCs w:val="32"/>
        </w:rPr>
        <w:t>其他社会保障缴费5.83</w:t>
      </w:r>
      <w:r>
        <w:rPr>
          <w:rFonts w:hint="eastAsia" w:ascii="仿宋" w:hAnsi="仿宋" w:eastAsia="仿宋"/>
          <w:sz w:val="32"/>
          <w:szCs w:val="32"/>
          <w:lang w:eastAsia="zh-CN"/>
        </w:rPr>
        <w:t>万元</w:t>
      </w:r>
      <w:r>
        <w:rPr>
          <w:rFonts w:hint="eastAsia" w:ascii="仿宋" w:hAnsi="仿宋" w:eastAsia="仿宋"/>
          <w:sz w:val="32"/>
          <w:szCs w:val="32"/>
        </w:rPr>
        <w:t>、住房公积金53.26</w:t>
      </w:r>
      <w:r>
        <w:rPr>
          <w:rFonts w:hint="eastAsia" w:ascii="仿宋" w:hAnsi="仿宋" w:eastAsia="仿宋"/>
          <w:sz w:val="32"/>
          <w:szCs w:val="32"/>
          <w:lang w:eastAsia="zh-CN"/>
        </w:rPr>
        <w:t>万元</w:t>
      </w:r>
      <w:r>
        <w:rPr>
          <w:rFonts w:hint="eastAsia" w:ascii="仿宋" w:hAnsi="仿宋" w:eastAsia="仿宋"/>
          <w:sz w:val="32"/>
          <w:szCs w:val="32"/>
        </w:rPr>
        <w:t>、</w:t>
      </w:r>
      <w:r>
        <w:rPr>
          <w:rFonts w:hint="eastAsia" w:ascii="仿宋" w:hAnsi="仿宋" w:eastAsia="仿宋"/>
          <w:sz w:val="32"/>
          <w:szCs w:val="32"/>
          <w:lang w:eastAsia="zh-CN"/>
        </w:rPr>
        <w:t>医疗费2.39万元、</w:t>
      </w:r>
      <w:r>
        <w:rPr>
          <w:rFonts w:hint="eastAsia" w:ascii="仿宋" w:hAnsi="仿宋" w:eastAsia="仿宋"/>
          <w:sz w:val="32"/>
          <w:szCs w:val="32"/>
        </w:rPr>
        <w:t>其他对个人和家庭的补助支出2.32</w:t>
      </w:r>
      <w:r>
        <w:rPr>
          <w:rFonts w:hint="eastAsia" w:ascii="仿宋" w:hAnsi="仿宋" w:eastAsia="仿宋"/>
          <w:sz w:val="32"/>
          <w:szCs w:val="32"/>
          <w:lang w:eastAsia="zh-CN"/>
        </w:rPr>
        <w:t>万元</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公用经费</w:t>
      </w:r>
      <w:r>
        <w:rPr>
          <w:sz w:val="32"/>
          <w:szCs w:val="32"/>
        </w:rPr>
        <w:t>52.56</w:t>
      </w:r>
      <w:r>
        <w:rPr>
          <w:rFonts w:hint="eastAsia" w:ascii="仿宋" w:hAnsi="仿宋" w:eastAsia="仿宋"/>
          <w:sz w:val="32"/>
          <w:szCs w:val="32"/>
        </w:rPr>
        <w:t>万元，主要包括：办公费17.22万元、印刷费</w:t>
      </w:r>
      <w:r>
        <w:rPr>
          <w:rFonts w:hint="eastAsia" w:ascii="仿宋" w:hAnsi="仿宋" w:eastAsia="仿宋"/>
          <w:sz w:val="32"/>
          <w:szCs w:val="32"/>
          <w:lang w:val="en-US" w:eastAsia="zh-CN"/>
        </w:rPr>
        <w:t>6</w:t>
      </w:r>
      <w:r>
        <w:rPr>
          <w:rFonts w:hint="eastAsia" w:ascii="仿宋" w:hAnsi="仿宋" w:eastAsia="仿宋"/>
          <w:sz w:val="32"/>
          <w:szCs w:val="32"/>
        </w:rPr>
        <w:t>万元、电费</w:t>
      </w:r>
      <w:r>
        <w:rPr>
          <w:rFonts w:hint="eastAsia" w:ascii="仿宋" w:hAnsi="仿宋" w:eastAsia="仿宋"/>
          <w:sz w:val="32"/>
          <w:szCs w:val="32"/>
          <w:lang w:val="en-US" w:eastAsia="zh-CN"/>
        </w:rPr>
        <w:t>6</w:t>
      </w:r>
      <w:r>
        <w:rPr>
          <w:rFonts w:hint="eastAsia" w:ascii="仿宋" w:hAnsi="仿宋" w:eastAsia="仿宋"/>
          <w:sz w:val="32"/>
          <w:szCs w:val="32"/>
        </w:rPr>
        <w:t>万元、邮电费</w:t>
      </w:r>
      <w:r>
        <w:rPr>
          <w:rFonts w:hint="eastAsia" w:ascii="仿宋" w:hAnsi="仿宋" w:eastAsia="仿宋"/>
          <w:sz w:val="32"/>
          <w:szCs w:val="32"/>
          <w:lang w:val="en-US" w:eastAsia="zh-CN"/>
        </w:rPr>
        <w:t>3</w:t>
      </w:r>
      <w:r>
        <w:rPr>
          <w:rFonts w:hint="eastAsia" w:ascii="仿宋" w:hAnsi="仿宋" w:eastAsia="仿宋"/>
          <w:sz w:val="32"/>
          <w:szCs w:val="32"/>
        </w:rPr>
        <w:t>万元、取暖费</w:t>
      </w:r>
      <w:r>
        <w:rPr>
          <w:rFonts w:hint="eastAsia" w:ascii="仿宋" w:hAnsi="仿宋" w:eastAsia="仿宋"/>
          <w:sz w:val="32"/>
          <w:szCs w:val="32"/>
          <w:lang w:val="en-US" w:eastAsia="zh-CN"/>
        </w:rPr>
        <w:t>0.97</w:t>
      </w:r>
      <w:r>
        <w:rPr>
          <w:rFonts w:hint="eastAsia" w:ascii="仿宋" w:hAnsi="仿宋" w:eastAsia="仿宋"/>
          <w:sz w:val="32"/>
          <w:szCs w:val="32"/>
        </w:rPr>
        <w:t>万元、差旅费2.23</w:t>
      </w:r>
      <w:r>
        <w:rPr>
          <w:rFonts w:hint="eastAsia" w:ascii="仿宋" w:hAnsi="仿宋" w:eastAsia="仿宋"/>
          <w:sz w:val="32"/>
          <w:szCs w:val="32"/>
          <w:lang w:eastAsia="zh-CN"/>
        </w:rPr>
        <w:t>万元</w:t>
      </w:r>
      <w:r>
        <w:rPr>
          <w:rFonts w:hint="eastAsia" w:ascii="仿宋" w:hAnsi="仿宋" w:eastAsia="仿宋"/>
          <w:sz w:val="32"/>
          <w:szCs w:val="32"/>
        </w:rPr>
        <w:t>、公务接待费1.66</w:t>
      </w:r>
      <w:r>
        <w:rPr>
          <w:rFonts w:hint="eastAsia" w:ascii="仿宋" w:hAnsi="仿宋" w:eastAsia="仿宋"/>
          <w:sz w:val="32"/>
          <w:szCs w:val="32"/>
          <w:lang w:eastAsia="zh-CN"/>
        </w:rPr>
        <w:t>万元</w:t>
      </w:r>
      <w:r>
        <w:rPr>
          <w:rFonts w:hint="eastAsia" w:ascii="仿宋" w:hAnsi="仿宋" w:eastAsia="仿宋"/>
          <w:sz w:val="32"/>
          <w:szCs w:val="32"/>
        </w:rPr>
        <w:t>、劳务费0.65</w:t>
      </w:r>
      <w:r>
        <w:rPr>
          <w:rFonts w:hint="eastAsia" w:ascii="仿宋" w:hAnsi="仿宋" w:eastAsia="仿宋"/>
          <w:sz w:val="32"/>
          <w:szCs w:val="32"/>
          <w:lang w:eastAsia="zh-CN"/>
        </w:rPr>
        <w:t>万元</w:t>
      </w:r>
      <w:r>
        <w:rPr>
          <w:rFonts w:hint="eastAsia" w:ascii="仿宋" w:hAnsi="仿宋" w:eastAsia="仿宋"/>
          <w:sz w:val="32"/>
          <w:szCs w:val="32"/>
        </w:rPr>
        <w:t>、工会经费5.63</w:t>
      </w:r>
      <w:r>
        <w:rPr>
          <w:rFonts w:hint="eastAsia" w:ascii="仿宋" w:hAnsi="仿宋" w:eastAsia="仿宋"/>
          <w:sz w:val="32"/>
          <w:szCs w:val="32"/>
          <w:lang w:eastAsia="zh-CN"/>
        </w:rPr>
        <w:t>万元</w:t>
      </w:r>
      <w:r>
        <w:rPr>
          <w:rFonts w:hint="eastAsia" w:ascii="仿宋" w:hAnsi="仿宋" w:eastAsia="仿宋"/>
          <w:sz w:val="32"/>
          <w:szCs w:val="32"/>
        </w:rPr>
        <w:t>、公务用车运行维护费9.2</w:t>
      </w:r>
      <w:r>
        <w:rPr>
          <w:rFonts w:hint="eastAsia" w:ascii="仿宋" w:hAnsi="仿宋" w:eastAsia="仿宋"/>
          <w:sz w:val="32"/>
          <w:szCs w:val="32"/>
          <w:lang w:eastAsia="zh-CN"/>
        </w:rPr>
        <w:t>万元</w:t>
      </w:r>
      <w:r>
        <w:rPr>
          <w:rFonts w:hint="eastAsia" w:ascii="仿宋" w:hAnsi="仿宋" w:eastAsia="仿宋"/>
          <w:sz w:val="32"/>
          <w:szCs w:val="32"/>
        </w:rPr>
        <w:t>。</w:t>
      </w:r>
    </w:p>
    <w:p w14:paraId="2894C76F">
      <w:pPr>
        <w:pageBreakBefore w:val="0"/>
        <w:kinsoku/>
        <w:overflowPunct/>
        <w:topLinePunct w:val="0"/>
        <w:bidi w:val="0"/>
        <w:spacing w:line="576" w:lineRule="exact"/>
        <w:ind w:firstLine="640"/>
        <w:outlineLvl w:val="1"/>
        <w:rPr>
          <w:rStyle w:val="32"/>
          <w:rFonts w:ascii="黑体" w:hAnsi="黑体" w:eastAsia="黑体"/>
          <w:b w:val="0"/>
        </w:rPr>
      </w:pPr>
      <w:bookmarkStart w:id="88" w:name="_Toc11543"/>
      <w:r>
        <w:rPr>
          <w:rFonts w:hint="eastAsia" w:ascii="黑体" w:eastAsia="黑体"/>
          <w:color w:val="000000"/>
          <w:sz w:val="32"/>
          <w:szCs w:val="32"/>
          <w:lang w:val="en-US" w:eastAsia="zh-CN"/>
        </w:rPr>
        <w:t>七</w:t>
      </w:r>
      <w:r>
        <w:rPr>
          <w:rFonts w:hint="eastAsia" w:ascii="黑体" w:eastAsia="黑体"/>
          <w:color w:val="000000"/>
          <w:sz w:val="32"/>
          <w:szCs w:val="32"/>
        </w:rPr>
        <w:t>、</w:t>
      </w:r>
      <w:r>
        <w:rPr>
          <w:rStyle w:val="32"/>
          <w:rFonts w:hint="eastAsia" w:ascii="黑体" w:hAnsi="黑体" w:eastAsia="黑体"/>
        </w:rPr>
        <w:t>“</w:t>
      </w:r>
      <w:r>
        <w:rPr>
          <w:rStyle w:val="32"/>
          <w:rFonts w:hint="eastAsia" w:ascii="黑体" w:hAnsi="黑体" w:eastAsia="黑体"/>
          <w:b w:val="0"/>
        </w:rPr>
        <w:t>三公”经费财政拨款支出决算情况说明</w:t>
      </w:r>
      <w:bookmarkEnd w:id="85"/>
      <w:bookmarkEnd w:id="86"/>
      <w:bookmarkEnd w:id="87"/>
      <w:bookmarkEnd w:id="88"/>
    </w:p>
    <w:p w14:paraId="783412CF">
      <w:pPr>
        <w:pageBreakBefore w:val="0"/>
        <w:kinsoku/>
        <w:overflowPunct/>
        <w:topLinePunct w:val="0"/>
        <w:bidi w:val="0"/>
        <w:spacing w:line="576" w:lineRule="exact"/>
        <w:ind w:firstLine="640"/>
        <w:outlineLvl w:val="2"/>
        <w:rPr>
          <w:rFonts w:ascii="仿宋" w:hAnsi="仿宋" w:eastAsia="仿宋"/>
          <w:b/>
          <w:color w:val="000000"/>
          <w:sz w:val="32"/>
          <w:szCs w:val="32"/>
        </w:rPr>
      </w:pPr>
      <w:bookmarkStart w:id="89" w:name="_Toc15377216"/>
      <w:bookmarkStart w:id="90" w:name="_Toc2542"/>
      <w:bookmarkStart w:id="91" w:name="_Toc14271"/>
      <w:r>
        <w:rPr>
          <w:rFonts w:hint="eastAsia" w:ascii="仿宋" w:hAnsi="仿宋" w:eastAsia="仿宋"/>
          <w:b/>
          <w:color w:val="000000"/>
          <w:sz w:val="32"/>
          <w:szCs w:val="32"/>
        </w:rPr>
        <w:t>（一）“三公”经费财政拨款支出决算总体情况说明</w:t>
      </w:r>
      <w:bookmarkEnd w:id="89"/>
      <w:bookmarkEnd w:id="90"/>
      <w:bookmarkEnd w:id="91"/>
    </w:p>
    <w:p w14:paraId="396121BC">
      <w:pPr>
        <w:pageBreakBefore w:val="0"/>
        <w:kinsoku/>
        <w:overflowPunct/>
        <w:topLinePunct w:val="0"/>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9.2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353889B9">
      <w:pPr>
        <w:pageBreakBefore w:val="0"/>
        <w:kinsoku/>
        <w:overflowPunct/>
        <w:topLinePunct w:val="0"/>
        <w:bidi w:val="0"/>
        <w:spacing w:line="576" w:lineRule="exact"/>
        <w:ind w:firstLine="640"/>
        <w:outlineLvl w:val="2"/>
        <w:rPr>
          <w:rFonts w:ascii="仿宋" w:hAnsi="仿宋" w:eastAsia="仿宋"/>
          <w:b/>
          <w:color w:val="000000"/>
          <w:sz w:val="32"/>
          <w:szCs w:val="32"/>
        </w:rPr>
      </w:pPr>
      <w:bookmarkStart w:id="92" w:name="_Toc15377217"/>
      <w:bookmarkStart w:id="93" w:name="_Toc31744"/>
      <w:bookmarkStart w:id="94" w:name="_Toc16353"/>
      <w:r>
        <w:rPr>
          <w:rFonts w:hint="eastAsia" w:ascii="仿宋" w:hAnsi="仿宋" w:eastAsia="仿宋"/>
          <w:b/>
          <w:color w:val="000000"/>
          <w:sz w:val="32"/>
          <w:szCs w:val="32"/>
        </w:rPr>
        <w:t>（二）“三公”经费财政拨款支出决算具体情况说明</w:t>
      </w:r>
      <w:bookmarkEnd w:id="92"/>
      <w:bookmarkEnd w:id="93"/>
      <w:bookmarkEnd w:id="94"/>
    </w:p>
    <w:p w14:paraId="68A5D229">
      <w:pPr>
        <w:pageBreakBefore w:val="0"/>
        <w:kinsoku/>
        <w:overflowPunct/>
        <w:topLinePunct w:val="0"/>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224083FF">
      <w:pPr>
        <w:pageBreakBefore w:val="0"/>
        <w:kinsoku/>
        <w:overflowPunct/>
        <w:topLinePunct w:val="0"/>
        <w:bidi w:val="0"/>
        <w:spacing w:line="576" w:lineRule="exact"/>
        <w:ind w:firstLine="640"/>
      </w:pPr>
      <w:r>
        <w:rPr>
          <w:rFonts w:hint="eastAsia" w:ascii="仿宋" w:hAnsi="仿宋" w:eastAsia="仿宋"/>
          <w:color w:val="000000"/>
          <w:sz w:val="32"/>
          <w:szCs w:val="32"/>
        </w:rPr>
        <w:t>（图7：“三公”经费财政拨款支出结构）（饼状图）</w:t>
      </w:r>
      <w:r>
        <w:drawing>
          <wp:anchor distT="0" distB="0" distL="114300" distR="114300" simplePos="0" relativeHeight="251660288" behindDoc="0" locked="0" layoutInCell="1" allowOverlap="1">
            <wp:simplePos x="0" y="0"/>
            <wp:positionH relativeFrom="column">
              <wp:posOffset>290195</wp:posOffset>
            </wp:positionH>
            <wp:positionV relativeFrom="paragraph">
              <wp:posOffset>268605</wp:posOffset>
            </wp:positionV>
            <wp:extent cx="4826000" cy="2743200"/>
            <wp:effectExtent l="4445" t="4445" r="8255" b="14605"/>
            <wp:wrapSquare wrapText="bothSides"/>
            <wp:docPr id="1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BCA2724">
      <w:pPr>
        <w:pageBreakBefore w:val="0"/>
        <w:numPr>
          <w:ilvl w:val="0"/>
          <w:numId w:val="0"/>
        </w:numPr>
        <w:kinsoku/>
        <w:overflowPunct/>
        <w:topLinePunct w:val="0"/>
        <w:bidi w:val="0"/>
        <w:spacing w:line="576" w:lineRule="exact"/>
        <w:ind w:firstLine="643"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14:paraId="0B41D768">
      <w:pPr>
        <w:pageBreakBefore w:val="0"/>
        <w:kinsoku/>
        <w:overflowPunct/>
        <w:topLinePunct w:val="0"/>
        <w:bidi w:val="0"/>
        <w:spacing w:line="576" w:lineRule="exact"/>
        <w:ind w:firstLine="640"/>
        <w:rPr>
          <w:rFonts w:hint="default" w:ascii="仿宋_GB2312" w:eastAsia="仿宋"/>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2022年持平。</w:t>
      </w:r>
    </w:p>
    <w:p w14:paraId="14960796">
      <w:pPr>
        <w:pageBreakBefore w:val="0"/>
        <w:kinsoku/>
        <w:overflowPunct/>
        <w:topLinePunct w:val="0"/>
        <w:bidi w:val="0"/>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1ABCCB37">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万元。主要用于主要用于到县城开会、办事等所需的公务用车燃料费、维修费、保险费等支出。</w:t>
      </w:r>
    </w:p>
    <w:p w14:paraId="780343FC">
      <w:pPr>
        <w:pageBreakBefore w:val="0"/>
        <w:kinsoku/>
        <w:overflowPunct/>
        <w:topLinePunct w:val="0"/>
        <w:bidi w:val="0"/>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lang w:eastAsia="zh-CN"/>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比2022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14:paraId="5AB1285C">
      <w:pPr>
        <w:pageBreakBefore w:val="0"/>
        <w:kinsoku/>
        <w:overflowPunct/>
        <w:topLinePunct w:val="0"/>
        <w:bidi w:val="0"/>
        <w:spacing w:line="576"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0</w:t>
      </w:r>
      <w:r>
        <w:rPr>
          <w:rFonts w:hint="eastAsia" w:ascii="仿宋_GB2312" w:eastAsia="仿宋_GB2312"/>
          <w:color w:val="000000"/>
          <w:sz w:val="32"/>
          <w:szCs w:val="32"/>
        </w:rPr>
        <w:t>。其中：</w:t>
      </w:r>
    </w:p>
    <w:p w14:paraId="6C1C574F">
      <w:pPr>
        <w:pageBreakBefore w:val="0"/>
        <w:kinsoku/>
        <w:overflowPunct/>
        <w:topLinePunct w:val="0"/>
        <w:bidi w:val="0"/>
        <w:spacing w:line="576"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bookmarkStart w:id="95" w:name="_Toc15396610"/>
      <w:bookmarkStart w:id="96" w:name="_Toc15377218"/>
    </w:p>
    <w:p w14:paraId="3E699408">
      <w:pPr>
        <w:pageBreakBefore w:val="0"/>
        <w:kinsoku/>
        <w:overflowPunct/>
        <w:topLinePunct w:val="0"/>
        <w:bidi w:val="0"/>
        <w:spacing w:line="576" w:lineRule="exact"/>
        <w:ind w:firstLine="640"/>
        <w:outlineLvl w:val="1"/>
        <w:rPr>
          <w:rStyle w:val="32"/>
          <w:rFonts w:ascii="黑体" w:hAnsi="黑体" w:eastAsia="黑体"/>
        </w:rPr>
      </w:pPr>
      <w:bookmarkStart w:id="97" w:name="_Toc15140"/>
      <w:bookmarkStart w:id="98" w:name="_Toc1247"/>
      <w:r>
        <w:rPr>
          <w:rFonts w:hint="eastAsia" w:ascii="黑体" w:eastAsia="黑体"/>
          <w:color w:val="000000"/>
          <w:sz w:val="32"/>
          <w:szCs w:val="32"/>
          <w:lang w:val="en-US" w:eastAsia="zh-CN"/>
        </w:rPr>
        <w:t>八</w:t>
      </w:r>
      <w:r>
        <w:rPr>
          <w:rFonts w:hint="eastAsia" w:ascii="黑体" w:eastAsia="黑体"/>
          <w:color w:val="000000"/>
          <w:sz w:val="32"/>
          <w:szCs w:val="32"/>
        </w:rPr>
        <w:t>、</w:t>
      </w:r>
      <w:r>
        <w:rPr>
          <w:rStyle w:val="32"/>
          <w:rFonts w:hint="eastAsia" w:ascii="黑体" w:hAnsi="黑体" w:eastAsia="黑体"/>
          <w:b w:val="0"/>
        </w:rPr>
        <w:t>政府性基金预算支出决算情况说明</w:t>
      </w:r>
      <w:bookmarkEnd w:id="95"/>
      <w:bookmarkEnd w:id="96"/>
      <w:bookmarkEnd w:id="97"/>
      <w:bookmarkEnd w:id="98"/>
    </w:p>
    <w:p w14:paraId="316B473B">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8B01771">
      <w:pPr>
        <w:pageBreakBefore w:val="0"/>
        <w:numPr>
          <w:ilvl w:val="0"/>
          <w:numId w:val="0"/>
        </w:numPr>
        <w:kinsoku/>
        <w:overflowPunct/>
        <w:topLinePunct w:val="0"/>
        <w:bidi w:val="0"/>
        <w:spacing w:line="576" w:lineRule="exact"/>
        <w:ind w:firstLine="640" w:firstLineChars="200"/>
        <w:outlineLvl w:val="1"/>
        <w:rPr>
          <w:rStyle w:val="32"/>
          <w:rFonts w:ascii="黑体" w:hAnsi="黑体" w:eastAsia="黑体"/>
          <w:b w:val="0"/>
        </w:rPr>
      </w:pPr>
      <w:bookmarkStart w:id="99" w:name="_Toc15396611"/>
      <w:bookmarkStart w:id="100" w:name="_Toc15377219"/>
      <w:bookmarkStart w:id="101" w:name="_Toc21776"/>
      <w:bookmarkStart w:id="102" w:name="_Toc23723"/>
      <w:r>
        <w:rPr>
          <w:rStyle w:val="32"/>
          <w:rFonts w:hint="eastAsia" w:ascii="黑体" w:hAnsi="黑体" w:eastAsia="黑体"/>
          <w:b w:val="0"/>
          <w:lang w:val="en-US" w:eastAsia="zh-CN"/>
        </w:rPr>
        <w:t>九、</w:t>
      </w:r>
      <w:r>
        <w:rPr>
          <w:rStyle w:val="32"/>
          <w:rFonts w:hint="eastAsia" w:ascii="黑体" w:hAnsi="黑体" w:eastAsia="黑体"/>
          <w:b w:val="0"/>
        </w:rPr>
        <w:t>国有资本经营预算支出决算情况说明</w:t>
      </w:r>
      <w:bookmarkEnd w:id="99"/>
      <w:bookmarkEnd w:id="100"/>
      <w:bookmarkEnd w:id="101"/>
      <w:bookmarkEnd w:id="102"/>
    </w:p>
    <w:p w14:paraId="2EF906B2">
      <w:pPr>
        <w:pageBreakBefore w:val="0"/>
        <w:kinsoku/>
        <w:overflowPunct/>
        <w:topLinePunct w:val="0"/>
        <w:bidi w:val="0"/>
        <w:spacing w:line="576"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6BB775F1">
      <w:pPr>
        <w:pageBreakBefore w:val="0"/>
        <w:kinsoku/>
        <w:overflowPunct/>
        <w:topLinePunct w:val="0"/>
        <w:bidi w:val="0"/>
        <w:spacing w:line="576" w:lineRule="exact"/>
        <w:ind w:firstLine="800" w:firstLineChars="250"/>
        <w:outlineLvl w:val="1"/>
        <w:rPr>
          <w:rStyle w:val="32"/>
          <w:rFonts w:ascii="黑体" w:hAnsi="黑体" w:eastAsia="黑体"/>
        </w:rPr>
      </w:pPr>
      <w:bookmarkStart w:id="103" w:name="_Toc15377221"/>
      <w:bookmarkStart w:id="104" w:name="_Toc15396612"/>
      <w:bookmarkStart w:id="105" w:name="_Toc31063"/>
      <w:bookmarkStart w:id="106" w:name="_Toc25632"/>
      <w:r>
        <w:rPr>
          <w:rFonts w:hint="eastAsia" w:ascii="黑体" w:hAnsi="黑体" w:eastAsia="黑体"/>
          <w:color w:val="000000"/>
          <w:sz w:val="32"/>
          <w:szCs w:val="32"/>
          <w:lang w:val="en-US" w:eastAsia="zh-CN"/>
        </w:rPr>
        <w:t>十、</w:t>
      </w:r>
      <w:r>
        <w:rPr>
          <w:rStyle w:val="32"/>
          <w:rFonts w:hint="eastAsia" w:ascii="黑体" w:hAnsi="黑体" w:eastAsia="黑体"/>
          <w:b w:val="0"/>
        </w:rPr>
        <w:t>其他重要事项的情况说明</w:t>
      </w:r>
      <w:bookmarkEnd w:id="103"/>
      <w:bookmarkEnd w:id="104"/>
      <w:bookmarkEnd w:id="105"/>
      <w:bookmarkEnd w:id="106"/>
    </w:p>
    <w:p w14:paraId="47D9F7A8">
      <w:pPr>
        <w:pageBreakBefore w:val="0"/>
        <w:kinsoku/>
        <w:overflowPunct/>
        <w:topLinePunct w:val="0"/>
        <w:bidi w:val="0"/>
        <w:spacing w:line="576" w:lineRule="exact"/>
        <w:ind w:firstLine="643" w:firstLineChars="200"/>
        <w:outlineLvl w:val="2"/>
        <w:rPr>
          <w:rFonts w:ascii="仿宋" w:hAnsi="仿宋" w:eastAsia="仿宋"/>
          <w:color w:val="000000"/>
          <w:sz w:val="32"/>
          <w:szCs w:val="32"/>
        </w:rPr>
      </w:pPr>
      <w:bookmarkStart w:id="107" w:name="_Toc15377222"/>
      <w:bookmarkStart w:id="108" w:name="_Toc4495"/>
      <w:bookmarkStart w:id="109" w:name="_Toc22434"/>
      <w:r>
        <w:rPr>
          <w:rFonts w:hint="eastAsia" w:ascii="仿宋" w:hAnsi="仿宋" w:eastAsia="仿宋"/>
          <w:b/>
          <w:color w:val="000000"/>
          <w:sz w:val="32"/>
          <w:szCs w:val="32"/>
        </w:rPr>
        <w:t>（一）机关运行经费支出情况</w:t>
      </w:r>
      <w:bookmarkEnd w:id="107"/>
      <w:bookmarkEnd w:id="108"/>
      <w:bookmarkEnd w:id="109"/>
    </w:p>
    <w:p w14:paraId="3F500804">
      <w:pPr>
        <w:pageBreakBefore w:val="0"/>
        <w:kinsoku/>
        <w:overflowPunct/>
        <w:topLinePunct w:val="0"/>
        <w:bidi w:val="0"/>
        <w:spacing w:line="576"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机关运行经费支出</w:t>
      </w:r>
      <w:r>
        <w:rPr>
          <w:sz w:val="32"/>
          <w:szCs w:val="32"/>
        </w:rPr>
        <w:t>40.56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34.02</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2022年增加6.54万元，因人员增加，开展三家园建设</w:t>
      </w:r>
      <w:r>
        <w:rPr>
          <w:rFonts w:hint="eastAsia" w:ascii="仿宋_GB2312" w:eastAsia="仿宋_GB2312"/>
          <w:color w:val="000000"/>
          <w:sz w:val="32"/>
          <w:szCs w:val="32"/>
          <w:lang w:eastAsia="zh-CN"/>
        </w:rPr>
        <w:t>。</w:t>
      </w:r>
    </w:p>
    <w:p w14:paraId="631A9BFA">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bookmarkStart w:id="110" w:name="_Toc15377223"/>
      <w:bookmarkStart w:id="111" w:name="_Toc6671"/>
      <w:bookmarkStart w:id="112" w:name="_Toc31788"/>
      <w:r>
        <w:rPr>
          <w:rFonts w:hint="eastAsia" w:ascii="仿宋" w:hAnsi="仿宋" w:eastAsia="仿宋"/>
          <w:b/>
          <w:color w:val="000000"/>
          <w:sz w:val="32"/>
          <w:szCs w:val="32"/>
        </w:rPr>
        <w:t>（二）政府采购支出情况</w:t>
      </w:r>
      <w:bookmarkEnd w:id="110"/>
      <w:bookmarkEnd w:id="111"/>
      <w:bookmarkEnd w:id="112"/>
    </w:p>
    <w:p w14:paraId="1DDDB12C">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1D290540">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bookmarkStart w:id="113" w:name="_Toc15377224"/>
      <w:bookmarkStart w:id="114" w:name="_Toc13570"/>
      <w:bookmarkStart w:id="115" w:name="_Toc31562"/>
      <w:r>
        <w:rPr>
          <w:rFonts w:hint="eastAsia" w:ascii="仿宋" w:hAnsi="仿宋" w:eastAsia="仿宋"/>
          <w:b/>
          <w:color w:val="000000"/>
          <w:sz w:val="32"/>
          <w:szCs w:val="32"/>
        </w:rPr>
        <w:t>（三）国有资产占有使用情况</w:t>
      </w:r>
      <w:bookmarkEnd w:id="113"/>
      <w:bookmarkEnd w:id="114"/>
      <w:bookmarkEnd w:id="115"/>
    </w:p>
    <w:p w14:paraId="05AF6175">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14:textFill>
            <w14:solidFill>
              <w14:schemeClr w14:val="tx1"/>
            </w14:solidFill>
          </w14:textFill>
        </w:rPr>
        <w:t>江茸乡共有车辆</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14:paraId="6EC7DCAC">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auto"/>
          <w:sz w:val="32"/>
          <w:szCs w:val="32"/>
          <w:highlight w:val="none"/>
        </w:rPr>
      </w:pPr>
      <w:bookmarkStart w:id="116" w:name="_Toc28546"/>
      <w:bookmarkStart w:id="117" w:name="_Toc14831"/>
      <w:r>
        <w:rPr>
          <w:rFonts w:hint="eastAsia" w:ascii="仿宋" w:hAnsi="仿宋" w:eastAsia="仿宋"/>
          <w:b/>
          <w:color w:val="auto"/>
          <w:sz w:val="32"/>
          <w:szCs w:val="32"/>
          <w:highlight w:val="none"/>
        </w:rPr>
        <w:t>（四）预算绩效管理情况。</w:t>
      </w:r>
      <w:bookmarkEnd w:id="116"/>
      <w:bookmarkEnd w:id="117"/>
    </w:p>
    <w:p w14:paraId="031B1ABA">
      <w:pPr>
        <w:pageBreakBefore w:val="0"/>
        <w:kinsoku/>
        <w:overflowPunct/>
        <w:topLinePunct w:val="0"/>
        <w:bidi w:val="0"/>
        <w:spacing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根据预算绩效管理要求，本单位在预算编制阶段，组织对</w:t>
      </w:r>
      <w:r>
        <w:rPr>
          <w:rFonts w:hint="eastAsia" w:ascii="仿宋_GB2312" w:hAnsi="仿宋_GB2312" w:eastAsia="仿宋_GB2312" w:cs="仿宋_GB2312"/>
          <w:sz w:val="32"/>
          <w:szCs w:val="32"/>
        </w:rPr>
        <w:t>红原县江茸乡生产性桥梁建设项目</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红原县江茸乡茸日玛绵羊养殖基地物资采购项目</w:t>
      </w:r>
      <w:r>
        <w:rPr>
          <w:rFonts w:hint="eastAsia" w:ascii="仿宋_GB2312" w:hAnsi="仿宋_GB2312" w:eastAsia="仿宋_GB2312" w:cs="仿宋_GB2312"/>
          <w:sz w:val="32"/>
          <w:szCs w:val="32"/>
          <w:lang w:val="en-US" w:eastAsia="zh-CN"/>
        </w:rPr>
        <w:t>、红原县江茸乡茸日玛村牲畜饲草料加工基地建设项目（物资采购）、</w:t>
      </w:r>
      <w:r>
        <w:rPr>
          <w:rFonts w:hint="eastAsia" w:ascii="仿宋_GB2312" w:hAnsi="仿宋_GB2312" w:eastAsia="仿宋_GB2312" w:cs="仿宋_GB2312"/>
          <w:sz w:val="32"/>
          <w:szCs w:val="32"/>
          <w:lang w:eastAsia="zh-CN"/>
        </w:rPr>
        <w:t>江茸乡畜种改良项目</w:t>
      </w:r>
      <w:r>
        <w:rPr>
          <w:rFonts w:hint="eastAsia" w:ascii="仿宋_GB2312" w:hAnsi="仿宋_GB2312" w:eastAsia="仿宋_GB2312" w:cs="仿宋_GB2312"/>
          <w:bCs/>
          <w:kern w:val="2"/>
          <w:sz w:val="32"/>
          <w:szCs w:val="32"/>
          <w:lang w:val="zh-CN" w:eastAsia="zh-CN" w:bidi="ar-SA"/>
        </w:rPr>
        <w:t>等开展了预算事前绩效评估，预算执行过程中，选取</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个项目开展绩效监控，年终执行完毕后，对</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个项目开展了绩效目标完成情况自评。</w:t>
      </w:r>
    </w:p>
    <w:p w14:paraId="54B1542D">
      <w:pPr>
        <w:pageBreakBefore w:val="0"/>
        <w:kinsoku/>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14:paraId="56C50596">
      <w:pPr>
        <w:pageBreakBefore w:val="0"/>
        <w:kinsoku/>
        <w:overflowPunct/>
        <w:topLinePunct w:val="0"/>
        <w:bidi w:val="0"/>
        <w:spacing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14:paraId="3701910B">
      <w:pPr>
        <w:pageBreakBefore w:val="0"/>
        <w:numPr>
          <w:ilvl w:val="0"/>
          <w:numId w:val="0"/>
        </w:numPr>
        <w:kinsoku/>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年度部门决算中反映红原县江茸乡生产性桥梁建设项目</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红原县江茸乡茸日玛绵羊养殖基地物资采购项目</w:t>
      </w:r>
      <w:r>
        <w:rPr>
          <w:rFonts w:hint="eastAsia" w:ascii="仿宋_GB2312" w:hAnsi="仿宋_GB2312" w:eastAsia="仿宋_GB2312" w:cs="仿宋_GB2312"/>
          <w:sz w:val="32"/>
          <w:szCs w:val="32"/>
          <w:lang w:val="en-US" w:eastAsia="zh-CN"/>
        </w:rPr>
        <w:t>、红原县江茸乡茸日玛村牲畜饲草料加工基地建设项目（物资采购）、</w:t>
      </w:r>
      <w:r>
        <w:rPr>
          <w:rFonts w:hint="eastAsia" w:ascii="仿宋_GB2312" w:hAnsi="仿宋_GB2312" w:eastAsia="仿宋_GB2312" w:cs="仿宋_GB2312"/>
          <w:sz w:val="32"/>
          <w:szCs w:val="32"/>
          <w:lang w:eastAsia="zh-CN"/>
        </w:rPr>
        <w:t>江茸乡畜种改良项目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14:paraId="4E57F75C">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40" w:firstLineChars="200"/>
        <w:jc w:val="both"/>
        <w:textAlignment w:val="auto"/>
        <w:rPr>
          <w:rFonts w:hint="eastAsia"/>
          <w:lang w:eastAsia="zh-CN"/>
        </w:rPr>
      </w:pPr>
      <w:r>
        <w:rPr>
          <w:rFonts w:hint="eastAsia" w:ascii="仿宋_GB2312" w:hAnsi="Times New Roman" w:eastAsia="仿宋_GB2312" w:cs="Times New Roman"/>
          <w:color w:val="auto"/>
          <w:kern w:val="2"/>
          <w:sz w:val="32"/>
          <w:szCs w:val="32"/>
          <w:lang w:val="en-US" w:eastAsia="zh-CN" w:bidi="ar-SA"/>
        </w:rPr>
        <w:t>（1）</w:t>
      </w:r>
      <w:r>
        <w:rPr>
          <w:rFonts w:hint="eastAsia" w:ascii="仿宋_GB2312" w:hAnsi="仿宋_GB2312" w:eastAsia="仿宋_GB2312" w:cs="仿宋_GB2312"/>
          <w:sz w:val="32"/>
          <w:szCs w:val="32"/>
        </w:rPr>
        <w:t>红原县江茸乡生产性桥梁建设项目</w:t>
      </w:r>
      <w:r>
        <w:rPr>
          <w:rFonts w:hint="eastAsia" w:ascii="仿宋_GB2312" w:hAnsi="Times New Roman" w:eastAsia="仿宋_GB2312" w:cs="Times New Roman"/>
          <w:color w:val="auto"/>
          <w:kern w:val="2"/>
          <w:sz w:val="32"/>
          <w:szCs w:val="32"/>
          <w:lang w:val="en-US" w:eastAsia="zh-CN" w:bidi="ar-SA"/>
        </w:rPr>
        <w:t>，该项目总投资</w:t>
      </w:r>
      <w:r>
        <w:rPr>
          <w:rFonts w:hint="eastAsia" w:ascii="仿宋_GB2312" w:eastAsia="仿宋_GB2312" w:cs="Times New Roman"/>
          <w:color w:val="auto"/>
          <w:kern w:val="2"/>
          <w:sz w:val="32"/>
          <w:szCs w:val="32"/>
          <w:lang w:val="en-US" w:eastAsia="zh-CN" w:bidi="ar-SA"/>
        </w:rPr>
        <w:t>160</w:t>
      </w:r>
      <w:r>
        <w:rPr>
          <w:rFonts w:hint="eastAsia" w:ascii="仿宋_GB2312" w:hAnsi="Times New Roman" w:eastAsia="仿宋_GB2312" w:cs="Times New Roman"/>
          <w:color w:val="auto"/>
          <w:kern w:val="2"/>
          <w:sz w:val="32"/>
          <w:szCs w:val="32"/>
          <w:lang w:val="en-US" w:eastAsia="zh-CN" w:bidi="ar-SA"/>
        </w:rPr>
        <w:t>万元，全部为</w:t>
      </w:r>
      <w:r>
        <w:rPr>
          <w:rFonts w:hint="eastAsia" w:ascii="仿宋_GB2312" w:eastAsia="仿宋_GB2312" w:cs="Times New Roman"/>
          <w:color w:val="auto"/>
          <w:kern w:val="2"/>
          <w:sz w:val="32"/>
          <w:szCs w:val="32"/>
          <w:lang w:val="zh-CN" w:eastAsia="zh-CN" w:bidi="ar-SA"/>
        </w:rPr>
        <w:t>2023</w:t>
      </w:r>
      <w:r>
        <w:rPr>
          <w:rFonts w:hint="eastAsia" w:ascii="仿宋_GB2312" w:hAnsi="Times New Roman" w:eastAsia="仿宋_GB2312" w:cs="Times New Roman"/>
          <w:color w:val="auto"/>
          <w:kern w:val="2"/>
          <w:sz w:val="32"/>
          <w:szCs w:val="32"/>
          <w:lang w:val="zh-CN" w:eastAsia="zh-CN" w:bidi="ar-SA"/>
        </w:rPr>
        <w:t>年乡村振兴衔接</w:t>
      </w:r>
      <w:r>
        <w:rPr>
          <w:rFonts w:hint="eastAsia" w:ascii="仿宋_GB2312" w:hAnsi="Times New Roman" w:eastAsia="仿宋_GB2312" w:cs="Times New Roman"/>
          <w:color w:val="auto"/>
          <w:kern w:val="2"/>
          <w:sz w:val="32"/>
          <w:szCs w:val="32"/>
          <w:lang w:val="en-US" w:eastAsia="zh-CN" w:bidi="ar-SA"/>
        </w:rPr>
        <w:t>资金，</w:t>
      </w:r>
      <w:r>
        <w:rPr>
          <w:rFonts w:hint="eastAsia" w:ascii="仿宋_GB2312" w:hAnsi="Times New Roman" w:eastAsia="仿宋_GB2312" w:cs="Times New Roman"/>
          <w:color w:val="auto"/>
          <w:sz w:val="32"/>
          <w:szCs w:val="32"/>
        </w:rPr>
        <w:t>通过项目实施，</w:t>
      </w:r>
      <w:r>
        <w:rPr>
          <w:rFonts w:hint="eastAsia" w:ascii="仿宋_GB2312" w:hAnsi="仿宋_GB2312" w:eastAsia="仿宋_GB2312" w:cs="仿宋_GB2312"/>
          <w:kern w:val="2"/>
          <w:sz w:val="32"/>
          <w:szCs w:val="32"/>
          <w:lang w:val="zh-CN" w:eastAsia="zh-CN" w:bidi="ar"/>
        </w:rPr>
        <w:t>在定居点新建总长20米、总宽7.5米的桥梁一座并配套延伸长800米宽4.5米的道路一条。</w:t>
      </w:r>
      <w:r>
        <w:rPr>
          <w:rFonts w:hint="eastAsia" w:ascii="仿宋_GB2312" w:hAnsi="仿宋_GB2312" w:eastAsia="仿宋_GB2312" w:cs="仿宋_GB2312"/>
          <w:sz w:val="32"/>
          <w:szCs w:val="32"/>
        </w:rPr>
        <w:t>生产性桥梁</w:t>
      </w:r>
      <w:r>
        <w:rPr>
          <w:rFonts w:hint="eastAsia" w:ascii="仿宋_GB2312" w:hAnsi="仿宋_GB2312" w:eastAsia="仿宋_GB2312" w:cs="仿宋_GB2312"/>
          <w:sz w:val="32"/>
          <w:szCs w:val="32"/>
          <w:lang w:val="en-US" w:eastAsia="zh-CN"/>
        </w:rPr>
        <w:t>的建设符合乡村振兴战略，不仅可改善牧区群众生活条件，促进社会稳定，而且可以极大地推动乡村振兴战略实施。为牧民群众发展畜副产品生产运输，草场转场提供较好的交通条件，减少在路途中的不必要的损失，为农牧民在夏季草场放牧时期的生活补给提供保障。</w:t>
      </w:r>
    </w:p>
    <w:tbl>
      <w:tblPr>
        <w:tblStyle w:val="19"/>
        <w:tblW w:w="9522" w:type="dxa"/>
        <w:tblInd w:w="0" w:type="dxa"/>
        <w:tblLayout w:type="fixed"/>
        <w:tblCellMar>
          <w:top w:w="15" w:type="dxa"/>
          <w:left w:w="15" w:type="dxa"/>
          <w:bottom w:w="15" w:type="dxa"/>
          <w:right w:w="15" w:type="dxa"/>
        </w:tblCellMar>
      </w:tblPr>
      <w:tblGrid>
        <w:gridCol w:w="449"/>
        <w:gridCol w:w="764"/>
        <w:gridCol w:w="1048"/>
        <w:gridCol w:w="1049"/>
        <w:gridCol w:w="897"/>
        <w:gridCol w:w="1752"/>
        <w:gridCol w:w="1632"/>
        <w:gridCol w:w="1931"/>
      </w:tblGrid>
      <w:tr w14:paraId="33994B6D">
        <w:tblPrEx>
          <w:tblCellMar>
            <w:top w:w="15" w:type="dxa"/>
            <w:left w:w="15" w:type="dxa"/>
            <w:bottom w:w="15" w:type="dxa"/>
            <w:right w:w="15" w:type="dxa"/>
          </w:tblCellMar>
        </w:tblPrEx>
        <w:trPr>
          <w:trHeight w:val="685" w:hRule="atLeast"/>
        </w:trPr>
        <w:tc>
          <w:tcPr>
            <w:tcW w:w="9522" w:type="dxa"/>
            <w:gridSpan w:val="8"/>
            <w:vAlign w:val="center"/>
          </w:tcPr>
          <w:p w14:paraId="7EB9FF89">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14:paraId="7D6A10C2">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14:paraId="2B97CCD3">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14:paraId="33E14EE8">
            <w:pPr>
              <w:pageBreakBefore w:val="0"/>
              <w:kinsoku/>
              <w:overflowPunct/>
              <w:topLinePunct w:val="0"/>
              <w:bidi w:val="0"/>
              <w:spacing w:line="576" w:lineRule="exact"/>
              <w:jc w:val="center"/>
              <w:rPr>
                <w:rFonts w:ascii="宋体" w:cs="宋体"/>
                <w:b/>
                <w:color w:val="000000"/>
                <w:sz w:val="24"/>
              </w:rPr>
            </w:pPr>
            <w:r>
              <w:rPr>
                <w:rFonts w:hint="eastAsia" w:ascii="仿宋_GB2312" w:hAnsi="仿宋_GB2312" w:eastAsia="仿宋_GB2312" w:cs="仿宋_GB2312"/>
                <w:sz w:val="32"/>
                <w:szCs w:val="32"/>
              </w:rPr>
              <w:t>红原县江茸乡生产性桥梁建设项目</w:t>
            </w:r>
          </w:p>
        </w:tc>
      </w:tr>
      <w:tr w14:paraId="3CA46AB2">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14:paraId="3F198944">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14:paraId="4CA93704">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14:paraId="0C8CAFB7">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11C99B0B">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79E23D27">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1B78B83E">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160万元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2603FCEA">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1CF7C6B0">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152.78万元</w:t>
            </w:r>
          </w:p>
        </w:tc>
      </w:tr>
      <w:tr w14:paraId="4B61AACB">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DD766F1">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7A92934A">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3F82F281">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160万元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7545CF70">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42702418">
            <w:pPr>
              <w:pageBreakBefore w:val="0"/>
              <w:kinsoku/>
              <w:overflowPunct/>
              <w:topLinePunct w:val="0"/>
              <w:bidi w:val="0"/>
              <w:spacing w:line="576" w:lineRule="exact"/>
              <w:ind w:firstLine="1446" w:firstLineChars="600"/>
              <w:jc w:val="both"/>
              <w:rPr>
                <w:rFonts w:hint="default" w:ascii="宋体" w:eastAsia="宋体" w:cs="宋体"/>
                <w:b/>
                <w:color w:val="000000"/>
                <w:sz w:val="24"/>
                <w:lang w:val="en-US" w:eastAsia="zh-CN"/>
              </w:rPr>
            </w:pPr>
            <w:r>
              <w:rPr>
                <w:rFonts w:hint="eastAsia" w:ascii="宋体" w:cs="宋体"/>
                <w:b/>
                <w:color w:val="000000"/>
                <w:sz w:val="24"/>
                <w:lang w:val="en-US" w:eastAsia="zh-CN"/>
              </w:rPr>
              <w:t>152.78万元</w:t>
            </w:r>
          </w:p>
        </w:tc>
      </w:tr>
      <w:tr w14:paraId="2848A5CB">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8931621">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0A850207">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65CDFCB7">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14:paraId="6987D9D6">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5F55D3D2">
            <w:pPr>
              <w:pageBreakBefore w:val="0"/>
              <w:kinsoku/>
              <w:overflowPunct/>
              <w:topLinePunct w:val="0"/>
              <w:bidi w:val="0"/>
              <w:spacing w:line="576" w:lineRule="exact"/>
              <w:jc w:val="center"/>
              <w:rPr>
                <w:rFonts w:ascii="宋体" w:cs="宋体"/>
                <w:b/>
                <w:color w:val="000000"/>
                <w:sz w:val="24"/>
              </w:rPr>
            </w:pPr>
          </w:p>
        </w:tc>
      </w:tr>
      <w:tr w14:paraId="288394A4">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73E1886A">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66942244">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212" w:type="dxa"/>
            <w:gridSpan w:val="4"/>
            <w:tcBorders>
              <w:top w:val="single" w:color="000000" w:sz="4" w:space="0"/>
              <w:left w:val="single" w:color="000000" w:sz="4" w:space="0"/>
              <w:bottom w:val="single" w:color="000000" w:sz="4" w:space="0"/>
              <w:right w:val="single" w:color="000000" w:sz="4" w:space="0"/>
            </w:tcBorders>
            <w:vAlign w:val="center"/>
          </w:tcPr>
          <w:p w14:paraId="749CC487">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14:paraId="27C417CC">
        <w:tblPrEx>
          <w:tblCellMar>
            <w:top w:w="15" w:type="dxa"/>
            <w:left w:w="15" w:type="dxa"/>
            <w:bottom w:w="15" w:type="dxa"/>
            <w:right w:w="15" w:type="dxa"/>
          </w:tblCellMar>
        </w:tblPrEx>
        <w:trPr>
          <w:trHeight w:val="3527"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9E3107C">
            <w:pPr>
              <w:pageBreakBefore w:val="0"/>
              <w:kinsoku/>
              <w:overflowPunct/>
              <w:topLinePunct w:val="0"/>
              <w:bidi w:val="0"/>
              <w:spacing w:line="576" w:lineRule="exact"/>
              <w:jc w:val="center"/>
              <w:rPr>
                <w:rFonts w:ascii="宋体" w:cs="宋体"/>
                <w:color w:val="000000"/>
                <w:sz w:val="20"/>
                <w:szCs w:val="20"/>
              </w:rPr>
            </w:pPr>
          </w:p>
        </w:tc>
        <w:tc>
          <w:tcPr>
            <w:tcW w:w="2861" w:type="dxa"/>
            <w:gridSpan w:val="3"/>
            <w:tcBorders>
              <w:top w:val="single" w:color="000000" w:sz="4" w:space="0"/>
              <w:left w:val="single" w:color="000000" w:sz="4" w:space="0"/>
              <w:bottom w:val="single" w:color="000000" w:sz="4" w:space="0"/>
              <w:right w:val="single" w:color="000000" w:sz="4" w:space="0"/>
            </w:tcBorders>
            <w:vAlign w:val="top"/>
          </w:tcPr>
          <w:p w14:paraId="3F9F4A95">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为牧民群众发展畜副产品生产运输，草场转场提供较好的交通条件，减少在路途中的不必要的损失，为农牧民在夏季草场放牧时期的生活补给提供保障。</w:t>
            </w:r>
          </w:p>
          <w:p w14:paraId="0728DFB5">
            <w:pPr>
              <w:pageBreakBefore w:val="0"/>
              <w:kinsoku/>
              <w:overflowPunct/>
              <w:topLinePunct w:val="0"/>
              <w:bidi w:val="0"/>
              <w:spacing w:line="576" w:lineRule="exact"/>
              <w:jc w:val="both"/>
              <w:rPr>
                <w:rFonts w:ascii="宋体" w:cs="宋体"/>
                <w:color w:val="000000"/>
                <w:kern w:val="0"/>
                <w:sz w:val="24"/>
                <w:szCs w:val="24"/>
              </w:rPr>
            </w:pPr>
          </w:p>
        </w:tc>
        <w:tc>
          <w:tcPr>
            <w:tcW w:w="6212" w:type="dxa"/>
            <w:gridSpan w:val="4"/>
            <w:tcBorders>
              <w:top w:val="single" w:color="000000" w:sz="4" w:space="0"/>
              <w:left w:val="single" w:color="000000" w:sz="4" w:space="0"/>
              <w:bottom w:val="single" w:color="000000" w:sz="4" w:space="0"/>
              <w:right w:val="single" w:color="000000" w:sz="4" w:space="0"/>
            </w:tcBorders>
            <w:vAlign w:val="top"/>
          </w:tcPr>
          <w:p w14:paraId="27111539">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为牧民群众发展畜副产品生产运输，草场转场提供较好的交通条件，减少在路途中的不必要的损失，为农牧民在夏季草场放牧时期的生活补给提供保障。</w:t>
            </w:r>
          </w:p>
          <w:p w14:paraId="3DA1B083">
            <w:pPr>
              <w:pageBreakBefore w:val="0"/>
              <w:widowControl/>
              <w:kinsoku/>
              <w:overflowPunct/>
              <w:topLinePunct w:val="0"/>
              <w:bidi w:val="0"/>
              <w:spacing w:line="576" w:lineRule="exact"/>
              <w:jc w:val="both"/>
              <w:textAlignment w:val="center"/>
              <w:rPr>
                <w:rFonts w:ascii="宋体" w:cs="宋体"/>
                <w:color w:val="000000"/>
                <w:kern w:val="0"/>
                <w:sz w:val="24"/>
                <w:szCs w:val="24"/>
              </w:rPr>
            </w:pPr>
          </w:p>
        </w:tc>
      </w:tr>
      <w:tr w14:paraId="26C0FF95">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6F484000">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6AE65B77">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14:paraId="378AD989">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049" w:type="dxa"/>
            <w:vMerge w:val="restart"/>
            <w:tcBorders>
              <w:top w:val="single" w:color="000000" w:sz="4" w:space="0"/>
              <w:left w:val="single" w:color="000000" w:sz="4" w:space="0"/>
              <w:bottom w:val="single" w:color="000000" w:sz="4" w:space="0"/>
              <w:right w:val="single" w:color="000000" w:sz="4" w:space="0"/>
            </w:tcBorders>
            <w:vAlign w:val="bottom"/>
          </w:tcPr>
          <w:p w14:paraId="77181EC7">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649" w:type="dxa"/>
            <w:gridSpan w:val="2"/>
            <w:vMerge w:val="restart"/>
            <w:tcBorders>
              <w:top w:val="single" w:color="000000" w:sz="4" w:space="0"/>
              <w:left w:val="single" w:color="000000" w:sz="4" w:space="0"/>
              <w:bottom w:val="single" w:color="000000" w:sz="4" w:space="0"/>
              <w:right w:val="single" w:color="000000" w:sz="4" w:space="0"/>
            </w:tcBorders>
            <w:vAlign w:val="bottom"/>
          </w:tcPr>
          <w:p w14:paraId="78E18141">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14:paraId="1AF7F241">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14:paraId="5AFE9DCE">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14:paraId="107B4004">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A3E753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70F9A921">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14:paraId="48B7F695">
            <w:pPr>
              <w:pageBreakBefore w:val="0"/>
              <w:kinsoku/>
              <w:overflowPunct/>
              <w:topLinePunct w:val="0"/>
              <w:bidi w:val="0"/>
              <w:spacing w:line="576" w:lineRule="exact"/>
              <w:jc w:val="center"/>
              <w:rPr>
                <w:rFonts w:ascii="宋体" w:cs="宋体"/>
                <w:b/>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14:paraId="66BFABAA">
            <w:pPr>
              <w:pageBreakBefore w:val="0"/>
              <w:kinsoku/>
              <w:overflowPunct/>
              <w:topLinePunct w:val="0"/>
              <w:bidi w:val="0"/>
              <w:spacing w:line="576" w:lineRule="exact"/>
              <w:jc w:val="center"/>
              <w:rPr>
                <w:rFonts w:ascii="宋体" w:cs="宋体"/>
                <w:b/>
                <w:color w:val="000000"/>
                <w:sz w:val="20"/>
                <w:szCs w:val="20"/>
              </w:rPr>
            </w:pPr>
          </w:p>
        </w:tc>
        <w:tc>
          <w:tcPr>
            <w:tcW w:w="2649"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08082ACD">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14:paraId="13660D9F">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14:paraId="1C481341">
            <w:pPr>
              <w:pageBreakBefore w:val="0"/>
              <w:kinsoku/>
              <w:overflowPunct/>
              <w:topLinePunct w:val="0"/>
              <w:bidi w:val="0"/>
              <w:spacing w:line="576" w:lineRule="exact"/>
              <w:jc w:val="center"/>
              <w:rPr>
                <w:rFonts w:ascii="宋体" w:cs="宋体"/>
                <w:b/>
                <w:color w:val="000000"/>
                <w:sz w:val="20"/>
                <w:szCs w:val="20"/>
              </w:rPr>
            </w:pPr>
          </w:p>
        </w:tc>
      </w:tr>
      <w:tr w14:paraId="48451BA2">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DAD36E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292BBE99">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14:paraId="7A84E370">
            <w:pPr>
              <w:pageBreakBefore w:val="0"/>
              <w:kinsoku/>
              <w:overflowPunct/>
              <w:topLinePunct w:val="0"/>
              <w:bidi w:val="0"/>
              <w:spacing w:line="576" w:lineRule="exact"/>
              <w:jc w:val="center"/>
              <w:rPr>
                <w:rFonts w:ascii="宋体" w:cs="宋体"/>
                <w:b/>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14:paraId="57FAFC7E">
            <w:pPr>
              <w:pageBreakBefore w:val="0"/>
              <w:kinsoku/>
              <w:overflowPunct/>
              <w:topLinePunct w:val="0"/>
              <w:bidi w:val="0"/>
              <w:spacing w:line="576" w:lineRule="exact"/>
              <w:jc w:val="center"/>
              <w:rPr>
                <w:rFonts w:ascii="宋体" w:cs="宋体"/>
                <w:b/>
                <w:color w:val="000000"/>
                <w:sz w:val="20"/>
                <w:szCs w:val="20"/>
              </w:rPr>
            </w:pPr>
          </w:p>
        </w:tc>
        <w:tc>
          <w:tcPr>
            <w:tcW w:w="2649"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77027E2D">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14:paraId="26CFF4FF">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14:paraId="2B5606EA">
            <w:pPr>
              <w:pageBreakBefore w:val="0"/>
              <w:kinsoku/>
              <w:overflowPunct/>
              <w:topLinePunct w:val="0"/>
              <w:bidi w:val="0"/>
              <w:spacing w:line="576" w:lineRule="exact"/>
              <w:jc w:val="center"/>
              <w:rPr>
                <w:rFonts w:ascii="宋体" w:cs="宋体"/>
                <w:b/>
                <w:color w:val="000000"/>
                <w:sz w:val="20"/>
                <w:szCs w:val="20"/>
              </w:rPr>
            </w:pPr>
          </w:p>
        </w:tc>
      </w:tr>
      <w:tr w14:paraId="5D222204">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6C7812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1E2C1637">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066DC4A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049" w:type="dxa"/>
            <w:tcBorders>
              <w:top w:val="single" w:color="000000" w:sz="4" w:space="0"/>
              <w:left w:val="single" w:color="000000" w:sz="4" w:space="0"/>
              <w:bottom w:val="single" w:color="000000" w:sz="4" w:space="0"/>
              <w:right w:val="single" w:color="000000" w:sz="4" w:space="0"/>
            </w:tcBorders>
            <w:vAlign w:val="bottom"/>
          </w:tcPr>
          <w:p w14:paraId="5827724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2F6EBA6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2C4F84C5">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完成桥梁</w:t>
            </w:r>
            <w:r>
              <w:rPr>
                <w:rFonts w:hint="eastAsia" w:ascii="宋?" w:cs="宋?"/>
                <w:kern w:val="0"/>
                <w:sz w:val="20"/>
                <w:szCs w:val="20"/>
                <w:lang w:val="en-US" w:eastAsia="zh-CN"/>
              </w:rPr>
              <w:t>建设</w:t>
            </w:r>
          </w:p>
        </w:tc>
        <w:tc>
          <w:tcPr>
            <w:tcW w:w="1931" w:type="dxa"/>
            <w:tcBorders>
              <w:top w:val="single" w:color="000000" w:sz="4" w:space="0"/>
              <w:left w:val="single" w:color="000000" w:sz="4" w:space="0"/>
              <w:bottom w:val="single" w:color="000000" w:sz="4" w:space="0"/>
              <w:right w:val="single" w:color="000000" w:sz="4" w:space="0"/>
            </w:tcBorders>
            <w:vAlign w:val="bottom"/>
          </w:tcPr>
          <w:p w14:paraId="54D669DD">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完成桥梁</w:t>
            </w:r>
            <w:r>
              <w:rPr>
                <w:rFonts w:hint="eastAsia" w:ascii="宋?" w:cs="宋?"/>
                <w:kern w:val="0"/>
                <w:sz w:val="20"/>
                <w:szCs w:val="20"/>
                <w:lang w:val="en-US" w:eastAsia="zh-CN"/>
              </w:rPr>
              <w:t>建设</w:t>
            </w:r>
          </w:p>
        </w:tc>
      </w:tr>
      <w:tr w14:paraId="42512418">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0E3695C">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360E79D">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03CED51">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5D9556B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3243D9E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14:paraId="0846DC7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8C075D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2E0819BE">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B901F9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CE10D0">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FAF0E9B">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6C79EB3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29726142">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1720BC3E">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完成桥梁</w:t>
            </w:r>
            <w:r>
              <w:rPr>
                <w:rFonts w:hint="eastAsia" w:ascii="宋?" w:cs="宋?"/>
                <w:kern w:val="0"/>
                <w:sz w:val="20"/>
                <w:szCs w:val="20"/>
                <w:lang w:val="en-US" w:eastAsia="zh-CN"/>
              </w:rPr>
              <w:t>建设</w:t>
            </w:r>
          </w:p>
        </w:tc>
        <w:tc>
          <w:tcPr>
            <w:tcW w:w="1931" w:type="dxa"/>
            <w:tcBorders>
              <w:top w:val="single" w:color="000000" w:sz="4" w:space="0"/>
              <w:left w:val="single" w:color="000000" w:sz="4" w:space="0"/>
              <w:bottom w:val="single" w:color="000000" w:sz="4" w:space="0"/>
              <w:right w:val="single" w:color="000000" w:sz="4" w:space="0"/>
            </w:tcBorders>
            <w:vAlign w:val="bottom"/>
          </w:tcPr>
          <w:p w14:paraId="0C3C9484">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完成桥梁</w:t>
            </w:r>
            <w:r>
              <w:rPr>
                <w:rFonts w:hint="eastAsia" w:ascii="宋?" w:cs="宋?"/>
                <w:kern w:val="0"/>
                <w:sz w:val="20"/>
                <w:szCs w:val="20"/>
                <w:lang w:val="en-US" w:eastAsia="zh-CN"/>
              </w:rPr>
              <w:t>建设</w:t>
            </w:r>
          </w:p>
        </w:tc>
      </w:tr>
      <w:tr w14:paraId="5596A10F">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6E4860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D11163">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38FADFE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049" w:type="dxa"/>
            <w:tcBorders>
              <w:top w:val="single" w:color="000000" w:sz="4" w:space="0"/>
              <w:left w:val="single" w:color="000000" w:sz="4" w:space="0"/>
              <w:bottom w:val="single" w:color="000000" w:sz="4" w:space="0"/>
              <w:right w:val="single" w:color="000000" w:sz="4" w:space="0"/>
            </w:tcBorders>
            <w:vAlign w:val="bottom"/>
          </w:tcPr>
          <w:p w14:paraId="14435441">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02B4E3F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14:paraId="5AC7692A">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14:paraId="49385FC9">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14:paraId="5483F83C">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F3EB66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67259C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D07EBEB">
            <w:pPr>
              <w:pageBreakBefore w:val="0"/>
              <w:kinsoku/>
              <w:overflowPunct/>
              <w:topLinePunct w:val="0"/>
              <w:bidi w:val="0"/>
              <w:spacing w:line="576" w:lineRule="exact"/>
              <w:jc w:val="center"/>
              <w:rPr>
                <w:rFonts w:ascii="宋体" w:cs="宋体"/>
                <w:color w:val="000000"/>
                <w:sz w:val="20"/>
                <w:szCs w:val="20"/>
              </w:rPr>
            </w:pPr>
          </w:p>
        </w:tc>
        <w:tc>
          <w:tcPr>
            <w:tcW w:w="1049" w:type="dxa"/>
            <w:vMerge w:val="restart"/>
            <w:tcBorders>
              <w:top w:val="single" w:color="000000" w:sz="4" w:space="0"/>
              <w:left w:val="single" w:color="000000" w:sz="4" w:space="0"/>
              <w:bottom w:val="single" w:color="000000" w:sz="4" w:space="0"/>
              <w:right w:val="single" w:color="000000" w:sz="4" w:space="0"/>
            </w:tcBorders>
            <w:vAlign w:val="bottom"/>
          </w:tcPr>
          <w:p w14:paraId="0EB64C48">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03441A0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14:paraId="4A814B62">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03AE521A">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6E75C02F">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133498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35B279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42895E0">
            <w:pPr>
              <w:pageBreakBefore w:val="0"/>
              <w:kinsoku/>
              <w:overflowPunct/>
              <w:topLinePunct w:val="0"/>
              <w:bidi w:val="0"/>
              <w:spacing w:line="576" w:lineRule="exact"/>
              <w:jc w:val="center"/>
              <w:rPr>
                <w:rFonts w:ascii="宋体" w:cs="宋体"/>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14:paraId="6FC60ED4">
            <w:pPr>
              <w:pageBreakBefore w:val="0"/>
              <w:kinsoku/>
              <w:overflowPunct/>
              <w:topLinePunct w:val="0"/>
              <w:bidi w:val="0"/>
              <w:spacing w:line="576" w:lineRule="exact"/>
              <w:jc w:val="center"/>
              <w:rPr>
                <w:rFonts w:ascii="宋体" w:cs="宋体"/>
                <w:color w:val="000000"/>
                <w:sz w:val="20"/>
                <w:szCs w:val="20"/>
              </w:rPr>
            </w:pP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7A59921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14:paraId="59F3D5D1">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CFD30E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A3CBDC2">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96DF42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C2884C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770D1D5">
            <w:pPr>
              <w:pageBreakBefore w:val="0"/>
              <w:kinsoku/>
              <w:overflowPunct/>
              <w:topLinePunct w:val="0"/>
              <w:bidi w:val="0"/>
              <w:spacing w:line="576" w:lineRule="exact"/>
              <w:jc w:val="center"/>
              <w:rPr>
                <w:rFonts w:ascii="宋体" w:cs="宋体"/>
                <w:color w:val="000000"/>
                <w:sz w:val="20"/>
                <w:szCs w:val="20"/>
              </w:rPr>
            </w:pPr>
          </w:p>
        </w:tc>
        <w:tc>
          <w:tcPr>
            <w:tcW w:w="1049" w:type="dxa"/>
            <w:vMerge w:val="restart"/>
            <w:tcBorders>
              <w:top w:val="single" w:color="000000" w:sz="4" w:space="0"/>
              <w:left w:val="single" w:color="000000" w:sz="4" w:space="0"/>
              <w:bottom w:val="single" w:color="000000" w:sz="4" w:space="0"/>
              <w:right w:val="single" w:color="000000" w:sz="4" w:space="0"/>
            </w:tcBorders>
            <w:vAlign w:val="bottom"/>
          </w:tcPr>
          <w:p w14:paraId="51948F31">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16120A5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14:paraId="58A23740">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01410743">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4DF83B7D">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1EDF3F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B26C3A4">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22F1795">
            <w:pPr>
              <w:pageBreakBefore w:val="0"/>
              <w:kinsoku/>
              <w:overflowPunct/>
              <w:topLinePunct w:val="0"/>
              <w:bidi w:val="0"/>
              <w:spacing w:line="576" w:lineRule="exact"/>
              <w:jc w:val="center"/>
              <w:rPr>
                <w:rFonts w:ascii="宋体" w:cs="宋体"/>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14:paraId="252F11D9">
            <w:pPr>
              <w:pageBreakBefore w:val="0"/>
              <w:kinsoku/>
              <w:overflowPunct/>
              <w:topLinePunct w:val="0"/>
              <w:bidi w:val="0"/>
              <w:spacing w:line="576" w:lineRule="exact"/>
              <w:jc w:val="center"/>
              <w:rPr>
                <w:rFonts w:ascii="宋体" w:cs="宋体"/>
                <w:color w:val="000000"/>
                <w:sz w:val="20"/>
                <w:szCs w:val="20"/>
              </w:rPr>
            </w:pP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593C5F8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14:paraId="35519BBD">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14:paraId="5779F357">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14:paraId="2BA0EF69">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0FBE37B">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D70F46C">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481CB43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049" w:type="dxa"/>
            <w:tcBorders>
              <w:top w:val="single" w:color="000000" w:sz="4" w:space="0"/>
              <w:left w:val="single" w:color="000000" w:sz="4" w:space="0"/>
              <w:bottom w:val="single" w:color="000000" w:sz="4" w:space="0"/>
              <w:right w:val="single" w:color="000000" w:sz="4" w:space="0"/>
            </w:tcBorders>
            <w:vAlign w:val="bottom"/>
          </w:tcPr>
          <w:p w14:paraId="6504B13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61BED83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14:paraId="7C087AF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5850C763">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3D70602">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F650B3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EBC69A2">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EBFD9AA">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49DAA57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4F8EEB4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14:paraId="04DBCA4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5C70EB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4BA10552">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94CA65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E9C06C2">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33D3C7A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049" w:type="dxa"/>
            <w:tcBorders>
              <w:top w:val="single" w:color="000000" w:sz="4" w:space="0"/>
              <w:left w:val="single" w:color="000000" w:sz="4" w:space="0"/>
              <w:bottom w:val="single" w:color="000000" w:sz="4" w:space="0"/>
              <w:right w:val="single" w:color="000000" w:sz="4" w:space="0"/>
            </w:tcBorders>
            <w:vAlign w:val="bottom"/>
          </w:tcPr>
          <w:p w14:paraId="026C6A81">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735A806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17F0898D">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57650346">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31EC5815">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ED6A0A0">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F280808">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4DB46C2">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4951036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897" w:type="dxa"/>
            <w:tcBorders>
              <w:top w:val="single" w:color="000000" w:sz="4" w:space="0"/>
              <w:left w:val="single" w:color="000000" w:sz="4" w:space="0"/>
              <w:bottom w:val="single" w:color="000000" w:sz="4" w:space="0"/>
              <w:right w:val="single" w:color="000000" w:sz="4" w:space="0"/>
            </w:tcBorders>
            <w:vAlign w:val="bottom"/>
          </w:tcPr>
          <w:p w14:paraId="6E92AA75">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14:paraId="77B2A24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049EA894">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乡村振兴衔接资金</w:t>
            </w:r>
          </w:p>
        </w:tc>
        <w:tc>
          <w:tcPr>
            <w:tcW w:w="1931" w:type="dxa"/>
            <w:tcBorders>
              <w:top w:val="single" w:color="000000" w:sz="4" w:space="0"/>
              <w:left w:val="single" w:color="000000" w:sz="4" w:space="0"/>
              <w:bottom w:val="single" w:color="000000" w:sz="4" w:space="0"/>
              <w:right w:val="single" w:color="000000" w:sz="4" w:space="0"/>
            </w:tcBorders>
            <w:vAlign w:val="bottom"/>
          </w:tcPr>
          <w:p w14:paraId="414D4B85">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体" w:cs="宋体"/>
                <w:color w:val="000000"/>
                <w:sz w:val="20"/>
                <w:szCs w:val="20"/>
                <w:lang w:val="en-US" w:eastAsia="zh-CN"/>
              </w:rPr>
              <w:t>乡村振兴衔接资金</w:t>
            </w:r>
          </w:p>
        </w:tc>
      </w:tr>
      <w:tr w14:paraId="04C3098A">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471EDE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186BB2">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473EFE5">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7819A57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897" w:type="dxa"/>
            <w:tcBorders>
              <w:top w:val="single" w:color="000000" w:sz="4" w:space="0"/>
              <w:left w:val="single" w:color="000000" w:sz="4" w:space="0"/>
              <w:bottom w:val="single" w:color="000000" w:sz="4" w:space="0"/>
              <w:right w:val="single" w:color="000000" w:sz="4" w:space="0"/>
            </w:tcBorders>
            <w:vAlign w:val="bottom"/>
          </w:tcPr>
          <w:p w14:paraId="3F8143E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14:paraId="1760F5D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14:paraId="3987046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2331A74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5A56257">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A4AE96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0049148D">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0DA4F919">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049" w:type="dxa"/>
            <w:tcBorders>
              <w:top w:val="single" w:color="000000" w:sz="4" w:space="0"/>
              <w:left w:val="single" w:color="000000" w:sz="4" w:space="0"/>
              <w:bottom w:val="single" w:color="000000" w:sz="4" w:space="0"/>
              <w:right w:val="single" w:color="000000" w:sz="4" w:space="0"/>
            </w:tcBorders>
            <w:vAlign w:val="bottom"/>
          </w:tcPr>
          <w:p w14:paraId="7F0FC6D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12D13D3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14:paraId="6797C17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384962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2AD0033E">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6FC2DBB">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4BC29D8">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F3E59F9">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1280247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3790AA0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14:paraId="2A093ED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3116B293">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3A50BEA6">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6F97C8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76BE86B">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1683FFD7">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049" w:type="dxa"/>
            <w:tcBorders>
              <w:top w:val="single" w:color="000000" w:sz="4" w:space="0"/>
              <w:left w:val="single" w:color="000000" w:sz="4" w:space="0"/>
              <w:bottom w:val="single" w:color="000000" w:sz="4" w:space="0"/>
              <w:right w:val="single" w:color="000000" w:sz="4" w:space="0"/>
            </w:tcBorders>
            <w:vAlign w:val="bottom"/>
          </w:tcPr>
          <w:p w14:paraId="78D3708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27BD5D5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14:paraId="73C05A1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EEE836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2DE2F6B">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5D4DFD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C1A4E41">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6A0D590">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54C5ACF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3F40766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5914E034">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4D62420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100%</w:t>
            </w:r>
          </w:p>
        </w:tc>
      </w:tr>
      <w:tr w14:paraId="26B033E1">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B8383D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66E438A">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0770C01">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246938F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4A5F774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3BF1484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39A9451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100%</w:t>
            </w:r>
          </w:p>
        </w:tc>
      </w:tr>
      <w:tr w14:paraId="355F0078">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BA9B17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850FAAD">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2A68343">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049" w:type="dxa"/>
            <w:tcBorders>
              <w:top w:val="single" w:color="000000" w:sz="4" w:space="0"/>
              <w:left w:val="single" w:color="000000" w:sz="4" w:space="0"/>
              <w:bottom w:val="single" w:color="000000" w:sz="4" w:space="0"/>
              <w:right w:val="single" w:color="000000" w:sz="4" w:space="0"/>
            </w:tcBorders>
            <w:vAlign w:val="bottom"/>
          </w:tcPr>
          <w:p w14:paraId="42244FB4">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0E19DAC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14:paraId="15E130D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013BD9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DA90D2A">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4ADA6F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4945188">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8297EFE">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724E144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23E60F7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14:paraId="1BC45A5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0BB91E2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8C0F41B">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52675E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C3D3AD2">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654C21C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049" w:type="dxa"/>
            <w:tcBorders>
              <w:top w:val="single" w:color="000000" w:sz="4" w:space="0"/>
              <w:left w:val="single" w:color="000000" w:sz="4" w:space="0"/>
              <w:bottom w:val="single" w:color="000000" w:sz="4" w:space="0"/>
              <w:right w:val="single" w:color="000000" w:sz="4" w:space="0"/>
            </w:tcBorders>
            <w:vAlign w:val="bottom"/>
          </w:tcPr>
          <w:p w14:paraId="7CE5953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39203115">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14:paraId="048B2A41">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237CA39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4E59BB7">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D5AA8E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ECDCA7">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AF6FCAD">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02526D9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5C419739">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17EAA80B">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14:paraId="08B0502B">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14:paraId="687DC5E5">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4E76BD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3B513C3">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DB5B207">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5B25A27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2B5376C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14:paraId="014017A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5B1D1FA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291334E">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3F326C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97F1981">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07CA183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049" w:type="dxa"/>
            <w:tcBorders>
              <w:top w:val="single" w:color="000000" w:sz="4" w:space="0"/>
              <w:left w:val="single" w:color="000000" w:sz="4" w:space="0"/>
              <w:bottom w:val="single" w:color="000000" w:sz="4" w:space="0"/>
              <w:right w:val="single" w:color="000000" w:sz="4" w:space="0"/>
            </w:tcBorders>
            <w:vAlign w:val="bottom"/>
          </w:tcPr>
          <w:p w14:paraId="33682C1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07514E7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6F8C303F">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建设</w:t>
            </w:r>
          </w:p>
        </w:tc>
        <w:tc>
          <w:tcPr>
            <w:tcW w:w="1931" w:type="dxa"/>
            <w:tcBorders>
              <w:top w:val="single" w:color="000000" w:sz="4" w:space="0"/>
              <w:left w:val="single" w:color="000000" w:sz="4" w:space="0"/>
              <w:bottom w:val="single" w:color="000000" w:sz="4" w:space="0"/>
              <w:right w:val="single" w:color="000000" w:sz="4" w:space="0"/>
            </w:tcBorders>
            <w:vAlign w:val="bottom"/>
          </w:tcPr>
          <w:p w14:paraId="0E4187A1">
            <w:pPr>
              <w:pageBreakBefore w:val="0"/>
              <w:kinsoku/>
              <w:overflowPunct/>
              <w:topLinePunct w:val="0"/>
              <w:bidi w:val="0"/>
              <w:spacing w:line="576" w:lineRule="exact"/>
              <w:jc w:val="center"/>
              <w:rPr>
                <w:rFonts w:ascii="宋体" w:cs="宋体"/>
                <w:color w:val="000000"/>
                <w:sz w:val="20"/>
                <w:szCs w:val="20"/>
              </w:rPr>
            </w:pPr>
            <w:r>
              <w:rPr>
                <w:rFonts w:hint="eastAsia" w:ascii="宋?" w:cs="宋?"/>
                <w:kern w:val="0"/>
                <w:sz w:val="20"/>
                <w:szCs w:val="20"/>
                <w:lang w:eastAsia="zh-CN"/>
              </w:rPr>
              <w:t>完成</w:t>
            </w:r>
            <w:r>
              <w:rPr>
                <w:rFonts w:hint="eastAsia" w:ascii="宋?" w:cs="宋?"/>
                <w:kern w:val="0"/>
                <w:sz w:val="20"/>
                <w:szCs w:val="20"/>
                <w:lang w:val="en-US" w:eastAsia="zh-CN"/>
              </w:rPr>
              <w:t>建设</w:t>
            </w:r>
          </w:p>
        </w:tc>
      </w:tr>
      <w:tr w14:paraId="4AB20A15">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403658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065C609">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CC92A6B">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7093DE2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303C4D3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14:paraId="2245CD1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785A898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27D0286">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59D29D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BCF0C1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983250D">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50C75C24">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0D92510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66620CD9">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1A8E4162">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14:paraId="1B1827A9">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FF2513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2CF2DCA">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A472E82">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6EF759BB">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2B92FE4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246E0C60">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7CB9DA00">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14:paraId="7BF9E065">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EEECBB0">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65DD24">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226A88C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049" w:type="dxa"/>
            <w:tcBorders>
              <w:top w:val="single" w:color="000000" w:sz="4" w:space="0"/>
              <w:left w:val="single" w:color="000000" w:sz="4" w:space="0"/>
              <w:bottom w:val="single" w:color="000000" w:sz="4" w:space="0"/>
              <w:right w:val="single" w:color="000000" w:sz="4" w:space="0"/>
            </w:tcBorders>
            <w:vAlign w:val="bottom"/>
          </w:tcPr>
          <w:p w14:paraId="2AEAB23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6D3A7A59">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547F24CB">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提高群众生产生活水平</w:t>
            </w:r>
          </w:p>
        </w:tc>
        <w:tc>
          <w:tcPr>
            <w:tcW w:w="1931" w:type="dxa"/>
            <w:tcBorders>
              <w:top w:val="single" w:color="000000" w:sz="4" w:space="0"/>
              <w:left w:val="single" w:color="000000" w:sz="4" w:space="0"/>
              <w:bottom w:val="single" w:color="000000" w:sz="4" w:space="0"/>
              <w:right w:val="single" w:color="000000" w:sz="4" w:space="0"/>
            </w:tcBorders>
            <w:vAlign w:val="bottom"/>
          </w:tcPr>
          <w:p w14:paraId="7064A858">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提高群众生产生活水平</w:t>
            </w:r>
          </w:p>
        </w:tc>
      </w:tr>
      <w:tr w14:paraId="48A263EA">
        <w:tblPrEx>
          <w:tblCellMar>
            <w:top w:w="15" w:type="dxa"/>
            <w:left w:w="15" w:type="dxa"/>
            <w:bottom w:w="15" w:type="dxa"/>
            <w:right w:w="15" w:type="dxa"/>
          </w:tblCellMar>
        </w:tblPrEx>
        <w:trPr>
          <w:trHeight w:val="3227"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71EFD7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14385FE">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7429290">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1C287813">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649" w:type="dxa"/>
            <w:gridSpan w:val="2"/>
            <w:tcBorders>
              <w:top w:val="single" w:color="000000" w:sz="4" w:space="0"/>
              <w:left w:val="single" w:color="000000" w:sz="4" w:space="0"/>
              <w:bottom w:val="single" w:color="000000" w:sz="4" w:space="0"/>
              <w:right w:val="single" w:color="000000" w:sz="4" w:space="0"/>
            </w:tcBorders>
            <w:vAlign w:val="center"/>
          </w:tcPr>
          <w:p w14:paraId="2677550E">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center"/>
          </w:tcPr>
          <w:p w14:paraId="279E1F18">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有效保障群众的生产生活安全推进，提高人民群众生活水平</w:t>
            </w:r>
          </w:p>
          <w:p w14:paraId="03F6391E">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eastAsia="zh-CN"/>
              </w:rPr>
            </w:pPr>
          </w:p>
          <w:p w14:paraId="3806A762">
            <w:pPr>
              <w:pageBreakBefore w:val="0"/>
              <w:kinsoku/>
              <w:overflowPunct/>
              <w:topLinePunct w:val="0"/>
              <w:bidi w:val="0"/>
              <w:spacing w:line="576" w:lineRule="exact"/>
              <w:jc w:val="both"/>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center"/>
          </w:tcPr>
          <w:p w14:paraId="774F90F8">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有效保障群众的生产生活安全推进，提高人民群众生活水平</w:t>
            </w:r>
          </w:p>
          <w:p w14:paraId="4B71B6AE">
            <w:pPr>
              <w:pageBreakBefore w:val="0"/>
              <w:kinsoku/>
              <w:overflowPunct/>
              <w:topLinePunct w:val="0"/>
              <w:bidi w:val="0"/>
              <w:spacing w:line="576" w:lineRule="exact"/>
              <w:jc w:val="both"/>
              <w:rPr>
                <w:rFonts w:ascii="宋体" w:cs="宋体"/>
                <w:color w:val="000000"/>
                <w:sz w:val="20"/>
                <w:szCs w:val="20"/>
              </w:rPr>
            </w:pPr>
          </w:p>
        </w:tc>
      </w:tr>
      <w:tr w14:paraId="70078E57">
        <w:tblPrEx>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86532E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65C4B66">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3676E43">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14:paraId="5C49127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14:paraId="1EE5893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58C38E08">
            <w:pPr>
              <w:pageBreakBefore w:val="0"/>
              <w:widowControl/>
              <w:kinsoku/>
              <w:overflowPunct/>
              <w:topLinePunct w:val="0"/>
              <w:bidi w:val="0"/>
              <w:spacing w:line="576" w:lineRule="exact"/>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促进我乡畜牧业高效发展，有效带动我乡经济增长。</w:t>
            </w:r>
          </w:p>
          <w:p w14:paraId="3D5F255A">
            <w:pPr>
              <w:pageBreakBefore w:val="0"/>
              <w:kinsoku/>
              <w:overflowPunct/>
              <w:topLinePunct w:val="0"/>
              <w:bidi w:val="0"/>
              <w:spacing w:line="576" w:lineRule="exact"/>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14:paraId="6A1D11B7">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eastAsia="zh-CN"/>
              </w:rPr>
              <w:t>促进我乡畜牧业高效发展，有效带动我乡经济增长。</w:t>
            </w:r>
          </w:p>
        </w:tc>
      </w:tr>
      <w:tr w14:paraId="6C935C5B">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FB86A9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4BF86EC">
            <w:pPr>
              <w:pageBreakBefore w:val="0"/>
              <w:kinsoku/>
              <w:overflowPunct/>
              <w:topLinePunct w:val="0"/>
              <w:bidi w:val="0"/>
              <w:spacing w:line="576"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14:paraId="705CD965">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049" w:type="dxa"/>
            <w:tcBorders>
              <w:top w:val="single" w:color="000000" w:sz="4" w:space="0"/>
              <w:left w:val="single" w:color="000000" w:sz="4" w:space="0"/>
              <w:bottom w:val="single" w:color="000000" w:sz="4" w:space="0"/>
              <w:right w:val="single" w:color="000000" w:sz="4" w:space="0"/>
            </w:tcBorders>
            <w:vAlign w:val="center"/>
          </w:tcPr>
          <w:p w14:paraId="2B45A437">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649" w:type="dxa"/>
            <w:gridSpan w:val="2"/>
            <w:tcBorders>
              <w:top w:val="single" w:color="000000" w:sz="4" w:space="0"/>
              <w:left w:val="single" w:color="000000" w:sz="4" w:space="0"/>
              <w:bottom w:val="single" w:color="000000" w:sz="4" w:space="0"/>
              <w:right w:val="single" w:color="000000" w:sz="4" w:space="0"/>
            </w:tcBorders>
            <w:vAlign w:val="center"/>
          </w:tcPr>
          <w:p w14:paraId="6FFCE8C7">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782831E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14:paraId="71E71FD6">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14:paraId="16239CD9">
      <w:pPr>
        <w:spacing w:after="0" w:line="560" w:lineRule="exact"/>
        <w:ind w:firstLine="640" w:firstLineChars="200"/>
        <w:jc w:val="both"/>
        <w:rPr>
          <w:rFonts w:hint="eastAsia" w:ascii="仿宋_GB2312" w:hAnsi="宋体"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红原县江茸乡茸日玛绵羊养殖基地物资采购项目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，项目下达资金150万元，一是</w:t>
      </w:r>
      <w:r>
        <w:rPr>
          <w:rFonts w:hint="eastAsia" w:ascii="仿宋_GB2312" w:hAnsi="宋体" w:eastAsia="仿宋_GB2312"/>
          <w:color w:val="auto"/>
          <w:sz w:val="32"/>
          <w:szCs w:val="32"/>
          <w:lang w:eastAsia="zh-CN"/>
        </w:rPr>
        <w:t>完成采购藏系母绵羊590只；二是采购优质青干草100吨，采购补饲精料65吨。购买绵羊促进绵羊品种优化，增加绵羊存栏量，提升羊肉等相关产品供应。购买青干草能保障绵羊饲料充足，稳定养殖规模。利于提高经济收入，增强畜牧业发展活力，保障市场畜产品供应，促进经济与社会协同发展。</w:t>
      </w: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14:paraId="1E237938">
        <w:tblPrEx>
          <w:tblCellMar>
            <w:top w:w="15" w:type="dxa"/>
            <w:left w:w="15" w:type="dxa"/>
            <w:bottom w:w="15" w:type="dxa"/>
            <w:right w:w="15" w:type="dxa"/>
          </w:tblCellMar>
        </w:tblPrEx>
        <w:trPr>
          <w:trHeight w:val="685" w:hRule="atLeast"/>
        </w:trPr>
        <w:tc>
          <w:tcPr>
            <w:tcW w:w="9522" w:type="dxa"/>
            <w:gridSpan w:val="8"/>
            <w:vAlign w:val="center"/>
          </w:tcPr>
          <w:p w14:paraId="3917E45A">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14:paraId="5754E5D4">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14:paraId="54D251F1">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14:paraId="49372673">
            <w:pPr>
              <w:pageBreakBefore w:val="0"/>
              <w:kinsoku/>
              <w:overflowPunct/>
              <w:topLinePunct w:val="0"/>
              <w:bidi w:val="0"/>
              <w:spacing w:line="576" w:lineRule="exact"/>
              <w:jc w:val="center"/>
              <w:rPr>
                <w:rFonts w:ascii="宋体" w:cs="宋体"/>
                <w:b/>
                <w:color w:val="000000"/>
                <w:sz w:val="24"/>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红原县江茸乡茸日玛绵羊养殖基地物资采购项目</w:t>
            </w:r>
          </w:p>
        </w:tc>
      </w:tr>
      <w:tr w14:paraId="4C98A0E6">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14:paraId="04A4A5F4">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14:paraId="538729C5">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14:paraId="6FA56BF9">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5DFFE586">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0ABF371D">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57965160">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150万元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4AB82738">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058D8A93">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149.91万元</w:t>
            </w:r>
          </w:p>
        </w:tc>
      </w:tr>
      <w:tr w14:paraId="2A901E12">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502BA10">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364111D4">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7D252025">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150万元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43678F8F">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2AC74F78">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149.91万元</w:t>
            </w:r>
          </w:p>
        </w:tc>
      </w:tr>
      <w:tr w14:paraId="18E2473D">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D2482E0">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20E20F0B">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5E9A9639">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14:paraId="2A6AE505">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5A753D1D">
            <w:pPr>
              <w:pageBreakBefore w:val="0"/>
              <w:kinsoku/>
              <w:overflowPunct/>
              <w:topLinePunct w:val="0"/>
              <w:bidi w:val="0"/>
              <w:spacing w:line="576" w:lineRule="exact"/>
              <w:jc w:val="center"/>
              <w:rPr>
                <w:rFonts w:ascii="宋体" w:cs="宋体"/>
                <w:b/>
                <w:color w:val="000000"/>
                <w:sz w:val="24"/>
              </w:rPr>
            </w:pPr>
          </w:p>
        </w:tc>
      </w:tr>
      <w:tr w14:paraId="587D10E0">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1A045489">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14:paraId="7AB4348E">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14:paraId="4F7D1C55">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14:paraId="7E831F72">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77C4EEE">
            <w:pPr>
              <w:pageBreakBefore w:val="0"/>
              <w:kinsoku/>
              <w:overflowPunct/>
              <w:topLinePunct w:val="0"/>
              <w:bidi w:val="0"/>
              <w:spacing w:line="576" w:lineRule="exact"/>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14:paraId="1978B3F0">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一是完成采购藏系母绵羊590只；二是采购优质青干草100吨，采购补饲精料65吨。</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14:paraId="5FC8E978">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一是完成了采购藏系母绵羊590只；二是采购了优质青干草100吨，采购补饲精料65吨。</w:t>
            </w:r>
          </w:p>
        </w:tc>
      </w:tr>
      <w:tr w14:paraId="6E56CB9A">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60442F2E">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1C24AA82">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14:paraId="1B3A4091">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50BD9330">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14:paraId="4B5F3D94">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14:paraId="795E79A2">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14:paraId="5A2D8F84">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14:paraId="247CD022">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4A98C1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49837DBA">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14:paraId="3B182A0A">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2CD972DE">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62474F61">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14:paraId="57FACED7">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14:paraId="780DC4CB">
            <w:pPr>
              <w:pageBreakBefore w:val="0"/>
              <w:kinsoku/>
              <w:overflowPunct/>
              <w:topLinePunct w:val="0"/>
              <w:bidi w:val="0"/>
              <w:spacing w:line="576" w:lineRule="exact"/>
              <w:jc w:val="center"/>
              <w:rPr>
                <w:rFonts w:ascii="宋体" w:cs="宋体"/>
                <w:b/>
                <w:color w:val="000000"/>
                <w:sz w:val="20"/>
                <w:szCs w:val="20"/>
              </w:rPr>
            </w:pPr>
          </w:p>
        </w:tc>
      </w:tr>
      <w:tr w14:paraId="3580FEEC">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21A0449">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36A22479">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14:paraId="75963CC1">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5FF43F31">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14857F4E">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14:paraId="57BD9690">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14:paraId="533C14A1">
            <w:pPr>
              <w:pageBreakBefore w:val="0"/>
              <w:kinsoku/>
              <w:overflowPunct/>
              <w:topLinePunct w:val="0"/>
              <w:bidi w:val="0"/>
              <w:spacing w:line="576" w:lineRule="exact"/>
              <w:jc w:val="center"/>
              <w:rPr>
                <w:rFonts w:ascii="宋体" w:cs="宋体"/>
                <w:b/>
                <w:color w:val="000000"/>
                <w:sz w:val="20"/>
                <w:szCs w:val="20"/>
              </w:rPr>
            </w:pPr>
          </w:p>
        </w:tc>
      </w:tr>
      <w:tr w14:paraId="6B106892">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2CCA7A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41ED93B">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6F9DBBD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14:paraId="21588B2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33F84D1">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37D55B29">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完成绵羊及青干草的采购，完成</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66DBAD4A">
            <w:pPr>
              <w:pageBreakBefore w:val="0"/>
              <w:widowControl/>
              <w:kinsoku/>
              <w:overflowPunct/>
              <w:topLinePunct w:val="0"/>
              <w:bidi w:val="0"/>
              <w:spacing w:line="576" w:lineRule="exact"/>
              <w:jc w:val="left"/>
              <w:textAlignment w:val="bottom"/>
              <w:rPr>
                <w:rFonts w:hint="eastAsia" w:ascii="宋体" w:hAnsi="宋体" w:cs="宋体"/>
                <w:color w:val="000000"/>
                <w:kern w:val="0"/>
                <w:sz w:val="20"/>
                <w:szCs w:val="20"/>
              </w:rPr>
            </w:pPr>
            <w:r>
              <w:rPr>
                <w:rFonts w:hint="eastAsia" w:ascii="宋?" w:cs="宋?"/>
                <w:kern w:val="0"/>
                <w:sz w:val="20"/>
                <w:szCs w:val="20"/>
                <w:lang w:eastAsia="zh-CN"/>
              </w:rPr>
              <w:t>完成绵羊及青干草的采购，社会满意效益</w:t>
            </w:r>
            <w:r>
              <w:rPr>
                <w:rFonts w:hint="eastAsia" w:ascii="宋?" w:cs="宋?"/>
                <w:kern w:val="0"/>
                <w:sz w:val="20"/>
                <w:szCs w:val="20"/>
                <w:lang w:val="en-US" w:eastAsia="zh-CN"/>
              </w:rPr>
              <w:t>100%</w:t>
            </w:r>
          </w:p>
        </w:tc>
      </w:tr>
      <w:tr w14:paraId="556AF3FC">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1BD967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8E26076">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298BED5A">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0888AE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AC35D1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14:paraId="6DAB2F1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06E2693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EBDD814">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34D18B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8D6CE61">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2FE4D60">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306638A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066F9C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0592C89F">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2CBCB784">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51B725DB">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EF4B1C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0311FAA">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725C71E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14:paraId="1F1DED9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2D2C3F3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14:paraId="6CC4A0EA">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14:paraId="7774CB60">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14:paraId="2D658379">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2D3B68D">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C8072FD">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9FA363E">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4978D6C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CE4BB5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14:paraId="180D7264">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06AF4B95">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24CB1454">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BE0107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617DE88">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2C2A64D6">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5D1D2E63">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26BD09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14:paraId="239ACF9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3EE509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16F3F1D">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1BACA8C">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F6E337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2EB14E2">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42478A79">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35D94D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14:paraId="68C84D4C">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2E17353">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318BB3F0">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C9FC6A9">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3B452A0">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245AE481">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44C9A929">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55CC61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14:paraId="42F61C17">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14:paraId="40C58625">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14:paraId="1141E41E">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3222F7B">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570C4C4">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4938D9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14:paraId="6D83FAE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2A3A59A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14:paraId="0EA6BCA1">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778CC56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FA2BDB1">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1A929F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84287BD">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0226585">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0FCC05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C4AD6C9">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14:paraId="470466F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C2918F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7462665">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C23CEEB">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B20ABBD">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6D5EA4D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14:paraId="0811ED8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4F6E068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09907F16">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4AF363F6">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3A336A7D">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8D1CD8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31F4ED7">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28FFF15">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1214BB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14:paraId="6D27FED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14:paraId="0FBF883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622B5192">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7A1AD13B">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6D884263">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7068B2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0C99A4A">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079EFCD">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487CD08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14:paraId="7CE11CF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14:paraId="60BEB45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14:paraId="57B012C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311E4A2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DFEDA2E">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791800B">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9AE7F9A">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660194D">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14:paraId="4774712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820941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14:paraId="1116029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A6C527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715A0E0">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A5BD540">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6E9EAA">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246797B">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2116AA74">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476CA7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14:paraId="26252A03">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98A9A5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28871C1">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3318E8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9A3F0E4">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3437813C">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14:paraId="08614E3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78AE8D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14:paraId="131BE2D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3C7FD21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2EDFFF14">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F3B782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26065F3">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8C60EFC">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D91C80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473847D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039398E3">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99.94%</w:t>
            </w:r>
          </w:p>
        </w:tc>
        <w:tc>
          <w:tcPr>
            <w:tcW w:w="1931" w:type="dxa"/>
            <w:tcBorders>
              <w:top w:val="single" w:color="000000" w:sz="4" w:space="0"/>
              <w:left w:val="single" w:color="000000" w:sz="4" w:space="0"/>
              <w:bottom w:val="single" w:color="000000" w:sz="4" w:space="0"/>
              <w:right w:val="single" w:color="000000" w:sz="4" w:space="0"/>
            </w:tcBorders>
            <w:vAlign w:val="bottom"/>
          </w:tcPr>
          <w:p w14:paraId="1C1E2B6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99.94%</w:t>
            </w:r>
          </w:p>
        </w:tc>
      </w:tr>
      <w:tr w14:paraId="7694E2DF">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48C970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678795">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966B294">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3A2B10F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1BD484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22BD914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99.94%</w:t>
            </w:r>
          </w:p>
        </w:tc>
        <w:tc>
          <w:tcPr>
            <w:tcW w:w="1931" w:type="dxa"/>
            <w:tcBorders>
              <w:top w:val="single" w:color="000000" w:sz="4" w:space="0"/>
              <w:left w:val="single" w:color="000000" w:sz="4" w:space="0"/>
              <w:bottom w:val="single" w:color="000000" w:sz="4" w:space="0"/>
              <w:right w:val="single" w:color="000000" w:sz="4" w:space="0"/>
            </w:tcBorders>
            <w:vAlign w:val="bottom"/>
          </w:tcPr>
          <w:p w14:paraId="44C31F93">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99.94%</w:t>
            </w:r>
          </w:p>
        </w:tc>
      </w:tr>
      <w:tr w14:paraId="0B0C5706">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E848C0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EB7DE21">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CD774A8">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14:paraId="40782BE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ADA204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14:paraId="2E0724C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7B967A7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B7C10A5">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50DEDA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ADE2D9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A830324">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195862E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C5D3E7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14:paraId="2523EBF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7E68E8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4DFF508">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EAD308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495BB5A">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6DA63C4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14:paraId="060F910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E0E9249">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14:paraId="60E4CC6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A9638C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5CA48117">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892234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669E292">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A2B4BCF">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2E077C7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1BD365A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1349EEC7">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14:paraId="2CB197F4">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14:paraId="5DFC84DF">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B51E69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219415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765D402">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E5A6B1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2B4A2DC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14:paraId="1C41F26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72F797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CB9FB6C">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F3F822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7920EA3">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4F95D9E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14:paraId="1C8205F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F787DD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3177F5A8">
            <w:pPr>
              <w:pageBreakBefore w:val="0"/>
              <w:kinsoku/>
              <w:overflowPunct/>
              <w:topLinePunct w:val="0"/>
              <w:bidi w:val="0"/>
              <w:spacing w:line="576" w:lineRule="exact"/>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6361DD4B">
            <w:pPr>
              <w:pageBreakBefore w:val="0"/>
              <w:kinsoku/>
              <w:overflowPunct/>
              <w:topLinePunct w:val="0"/>
              <w:bidi w:val="0"/>
              <w:spacing w:line="576" w:lineRule="exact"/>
              <w:jc w:val="center"/>
              <w:rPr>
                <w:rFonts w:ascii="宋体" w:cs="宋体"/>
                <w:color w:val="000000"/>
                <w:sz w:val="20"/>
                <w:szCs w:val="20"/>
              </w:rPr>
            </w:pPr>
            <w:r>
              <w:rPr>
                <w:rFonts w:hint="eastAsia" w:ascii="宋?" w:cs="宋?"/>
                <w:kern w:val="0"/>
                <w:sz w:val="20"/>
                <w:szCs w:val="20"/>
                <w:lang w:val="en-US" w:eastAsia="zh-CN"/>
              </w:rPr>
              <w:t>100%</w:t>
            </w:r>
          </w:p>
        </w:tc>
      </w:tr>
      <w:tr w14:paraId="245CC2C6">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2ADECD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B824D5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29CDB85E">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F8CA82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73B2685">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14:paraId="5851BB47">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568FA00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44D2D648">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F1F217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780AB84">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9FE81DB">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2871EC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7B875F2">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36507587">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095096BB">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14:paraId="69E89E2C">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CC74BBD">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1F25E5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9A9F5E9">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7154D0C8">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730851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29EB810F">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7B9532D5">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14:paraId="62B7AE35">
        <w:tblPrEx>
          <w:tblCellMar>
            <w:top w:w="15" w:type="dxa"/>
            <w:left w:w="15" w:type="dxa"/>
            <w:bottom w:w="15" w:type="dxa"/>
            <w:right w:w="15" w:type="dxa"/>
          </w:tblCellMar>
        </w:tblPrEx>
        <w:trPr>
          <w:trHeight w:val="4028"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7245B1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314FA2F">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50AE27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center"/>
          </w:tcPr>
          <w:p w14:paraId="4D015150">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14:paraId="4555D37F">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center"/>
          </w:tcPr>
          <w:p w14:paraId="6885B956">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利于提高经济收入，增强畜牧业发展活力，保障市场畜产品供应，促进经济与社会协同发展。</w:t>
            </w:r>
          </w:p>
          <w:p w14:paraId="593224E8">
            <w:pPr>
              <w:pageBreakBefore w:val="0"/>
              <w:kinsoku/>
              <w:overflowPunct/>
              <w:topLinePunct w:val="0"/>
              <w:bidi w:val="0"/>
              <w:spacing w:line="576" w:lineRule="exact"/>
              <w:jc w:val="both"/>
              <w:rPr>
                <w:rFonts w:hint="default" w:ascii="宋体" w:eastAsia="宋体" w:cs="宋体"/>
                <w:color w:val="000000"/>
                <w:sz w:val="20"/>
                <w:szCs w:val="20"/>
                <w:lang w:val="en-US" w:eastAsia="zh-CN"/>
              </w:rPr>
            </w:pPr>
          </w:p>
        </w:tc>
        <w:tc>
          <w:tcPr>
            <w:tcW w:w="1931" w:type="dxa"/>
            <w:tcBorders>
              <w:top w:val="single" w:color="000000" w:sz="4" w:space="0"/>
              <w:left w:val="single" w:color="000000" w:sz="4" w:space="0"/>
              <w:bottom w:val="single" w:color="000000" w:sz="4" w:space="0"/>
              <w:right w:val="single" w:color="000000" w:sz="4" w:space="0"/>
            </w:tcBorders>
            <w:vAlign w:val="center"/>
          </w:tcPr>
          <w:p w14:paraId="7A9684A4">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利于提高经济收入，增强畜牧业发展活力，保障市场畜产品供应，促进经济与社会协同发展。</w:t>
            </w:r>
          </w:p>
          <w:p w14:paraId="4C879D75">
            <w:pPr>
              <w:pageBreakBefore w:val="0"/>
              <w:kinsoku/>
              <w:overflowPunct/>
              <w:topLinePunct w:val="0"/>
              <w:bidi w:val="0"/>
              <w:spacing w:line="576" w:lineRule="exact"/>
              <w:jc w:val="both"/>
              <w:rPr>
                <w:rFonts w:hint="default" w:ascii="宋体" w:eastAsia="宋体" w:cs="宋体"/>
                <w:color w:val="000000"/>
                <w:sz w:val="20"/>
                <w:szCs w:val="20"/>
                <w:lang w:val="en-US" w:eastAsia="zh-CN"/>
              </w:rPr>
            </w:pPr>
          </w:p>
        </w:tc>
      </w:tr>
      <w:tr w14:paraId="232195F2">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403918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8A2710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31D5B19">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11497DC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49806E3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238C342D">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仿宋_GB2312" w:hAnsi="仿宋_GB2312" w:eastAsia="仿宋_GB2312" w:cs="仿宋_GB2312"/>
                <w:sz w:val="24"/>
                <w:szCs w:val="24"/>
                <w:lang w:val="en-US" w:eastAsia="zh-CN"/>
              </w:rPr>
              <w:t>购买绵羊促进绵羊品种优化，增加绵羊存栏量，提升羊肉等相关产品供应。购买青干草能保障绵羊饲料充足，稳定养殖规模。</w:t>
            </w:r>
          </w:p>
        </w:tc>
        <w:tc>
          <w:tcPr>
            <w:tcW w:w="1931" w:type="dxa"/>
            <w:tcBorders>
              <w:top w:val="single" w:color="000000" w:sz="4" w:space="0"/>
              <w:left w:val="single" w:color="000000" w:sz="4" w:space="0"/>
              <w:bottom w:val="single" w:color="000000" w:sz="4" w:space="0"/>
              <w:right w:val="single" w:color="000000" w:sz="4" w:space="0"/>
            </w:tcBorders>
            <w:vAlign w:val="bottom"/>
          </w:tcPr>
          <w:p w14:paraId="4BCADC79">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仿宋_GB2312" w:hAnsi="仿宋_GB2312" w:eastAsia="仿宋_GB2312" w:cs="仿宋_GB2312"/>
                <w:sz w:val="24"/>
                <w:szCs w:val="24"/>
                <w:lang w:val="en-US" w:eastAsia="zh-CN"/>
              </w:rPr>
              <w:t>购买绵羊促进绵羊品种优化，增加绵羊存栏量，提升羊肉等相关产品供应。购买青干草能保障绵羊饲料充足，稳定养殖规模。</w:t>
            </w:r>
          </w:p>
        </w:tc>
      </w:tr>
      <w:tr w14:paraId="0C092AEC">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8A0FF70">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3E9BB4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8C2B070">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47CF7E9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E9133F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64284561">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促进经济与社会协同发展。</w:t>
            </w:r>
          </w:p>
          <w:p w14:paraId="67B5AC23">
            <w:pPr>
              <w:pageBreakBefore w:val="0"/>
              <w:widowControl/>
              <w:kinsoku/>
              <w:overflowPunct/>
              <w:topLinePunct w:val="0"/>
              <w:bidi w:val="0"/>
              <w:spacing w:line="576" w:lineRule="exact"/>
              <w:jc w:val="center"/>
              <w:textAlignment w:val="center"/>
              <w:rPr>
                <w:rFonts w:hint="eastAsia" w:ascii="仿宋_GB2312" w:hAnsi="仿宋_GB2312" w:eastAsia="仿宋_GB2312" w:cs="仿宋_GB2312"/>
                <w:sz w:val="24"/>
                <w:szCs w:val="24"/>
                <w:lang w:eastAsia="zh-CN"/>
              </w:rPr>
            </w:pPr>
          </w:p>
          <w:p w14:paraId="7449A264">
            <w:pPr>
              <w:pageBreakBefore w:val="0"/>
              <w:kinsoku/>
              <w:overflowPunct/>
              <w:topLinePunct w:val="0"/>
              <w:bidi w:val="0"/>
              <w:spacing w:line="576" w:lineRule="exact"/>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14:paraId="2BDC3D01">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促进经济与社会协同发展。</w:t>
            </w:r>
          </w:p>
          <w:p w14:paraId="124AAE07">
            <w:pPr>
              <w:pageBreakBefore w:val="0"/>
              <w:kinsoku/>
              <w:overflowPunct/>
              <w:topLinePunct w:val="0"/>
              <w:bidi w:val="0"/>
              <w:spacing w:line="576" w:lineRule="exact"/>
              <w:jc w:val="left"/>
              <w:rPr>
                <w:rFonts w:ascii="宋体" w:cs="宋体"/>
                <w:color w:val="000000"/>
                <w:sz w:val="20"/>
                <w:szCs w:val="20"/>
              </w:rPr>
            </w:pPr>
          </w:p>
        </w:tc>
      </w:tr>
      <w:tr w14:paraId="39F0894E">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C6CB7D9">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BCE9BFA">
            <w:pPr>
              <w:pageBreakBefore w:val="0"/>
              <w:kinsoku/>
              <w:overflowPunct/>
              <w:topLinePunct w:val="0"/>
              <w:bidi w:val="0"/>
              <w:spacing w:line="576"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14:paraId="4488E77F">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14:paraId="0104A14D">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14:paraId="6D913339">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2FA3FD8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14:paraId="637109D5">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14:paraId="73062842">
      <w:pPr>
        <w:pStyle w:val="11"/>
        <w:pageBreakBefore w:val="0"/>
        <w:kinsoku/>
        <w:overflowPunct/>
        <w:topLinePunct w:val="0"/>
        <w:bidi w:val="0"/>
        <w:spacing w:line="576" w:lineRule="exact"/>
        <w:rPr>
          <w:rFonts w:hint="eastAsia"/>
          <w:lang w:val="en-US" w:eastAsia="zh-CN"/>
        </w:rPr>
      </w:pPr>
    </w:p>
    <w:p w14:paraId="58FBCF5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（3）江茸乡畜种改良项目，项目下达资金80万元。完成采购优质种公牛40头，其中茸日玛村20头，江宫玛村20头。</w:t>
      </w:r>
      <w:r>
        <w:rPr>
          <w:rFonts w:hint="eastAsia" w:ascii="仿宋_GB2312" w:hAnsi="宋体" w:eastAsia="仿宋_GB2312"/>
          <w:color w:val="auto"/>
          <w:sz w:val="32"/>
          <w:szCs w:val="32"/>
          <w:lang w:eastAsia="zh-CN"/>
        </w:rPr>
        <w:t>促进牦牛品种优化，增加牦牛存栏量，提升牛肉等相关产品供应，利于提高经济收入，增强畜牧业发展活力，保障市场畜产品供应，促进经济与社会协同发展。</w:t>
      </w:r>
    </w:p>
    <w:tbl>
      <w:tblPr>
        <w:tblStyle w:val="19"/>
        <w:tblW w:w="9522" w:type="dxa"/>
        <w:tblInd w:w="0" w:type="dxa"/>
        <w:tblLayout w:type="fixed"/>
        <w:tblCellMar>
          <w:top w:w="15" w:type="dxa"/>
          <w:left w:w="15" w:type="dxa"/>
          <w:bottom w:w="15" w:type="dxa"/>
          <w:right w:w="15" w:type="dxa"/>
        </w:tblCellMar>
      </w:tblPr>
      <w:tblGrid>
        <w:gridCol w:w="449"/>
        <w:gridCol w:w="764"/>
        <w:gridCol w:w="915"/>
        <w:gridCol w:w="810"/>
        <w:gridCol w:w="1269"/>
        <w:gridCol w:w="1752"/>
        <w:gridCol w:w="1767"/>
        <w:gridCol w:w="1796"/>
      </w:tblGrid>
      <w:tr w14:paraId="546C1FDD">
        <w:tblPrEx>
          <w:tblCellMar>
            <w:top w:w="15" w:type="dxa"/>
            <w:left w:w="15" w:type="dxa"/>
            <w:bottom w:w="15" w:type="dxa"/>
            <w:right w:w="15" w:type="dxa"/>
          </w:tblCellMar>
        </w:tblPrEx>
        <w:trPr>
          <w:trHeight w:val="685" w:hRule="atLeast"/>
        </w:trPr>
        <w:tc>
          <w:tcPr>
            <w:tcW w:w="9522" w:type="dxa"/>
            <w:gridSpan w:val="8"/>
            <w:vAlign w:val="center"/>
          </w:tcPr>
          <w:p w14:paraId="12E8EC67">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14:paraId="6BF26BD7">
        <w:tblPrEx>
          <w:tblCellMar>
            <w:top w:w="15" w:type="dxa"/>
            <w:left w:w="15" w:type="dxa"/>
            <w:bottom w:w="15" w:type="dxa"/>
            <w:right w:w="15" w:type="dxa"/>
          </w:tblCellMar>
        </w:tblPrEx>
        <w:trPr>
          <w:trHeight w:val="878" w:hRule="atLeast"/>
        </w:trPr>
        <w:tc>
          <w:tcPr>
            <w:tcW w:w="2128" w:type="dxa"/>
            <w:gridSpan w:val="3"/>
            <w:tcBorders>
              <w:top w:val="single" w:color="000000" w:sz="4" w:space="0"/>
              <w:left w:val="single" w:color="000000" w:sz="4" w:space="0"/>
              <w:bottom w:val="single" w:color="000000" w:sz="4" w:space="0"/>
              <w:right w:val="single" w:color="000000" w:sz="4" w:space="0"/>
            </w:tcBorders>
            <w:vAlign w:val="center"/>
          </w:tcPr>
          <w:p w14:paraId="68A41A35">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394" w:type="dxa"/>
            <w:gridSpan w:val="5"/>
            <w:tcBorders>
              <w:top w:val="single" w:color="000000" w:sz="4" w:space="0"/>
              <w:left w:val="single" w:color="000000" w:sz="4" w:space="0"/>
              <w:bottom w:val="single" w:color="000000" w:sz="4" w:space="0"/>
              <w:right w:val="single" w:color="000000" w:sz="4" w:space="0"/>
            </w:tcBorders>
            <w:vAlign w:val="center"/>
          </w:tcPr>
          <w:p w14:paraId="4E203337">
            <w:pPr>
              <w:pageBreakBefore w:val="0"/>
              <w:kinsoku/>
              <w:overflowPunct/>
              <w:topLinePunct w:val="0"/>
              <w:bidi w:val="0"/>
              <w:spacing w:line="576" w:lineRule="exact"/>
              <w:jc w:val="center"/>
              <w:rPr>
                <w:rFonts w:hint="default" w:ascii="宋体" w:cs="宋体"/>
                <w:b/>
                <w:color w:val="000000"/>
                <w:sz w:val="24"/>
                <w:lang w:val="en-US"/>
              </w:rPr>
            </w:pPr>
            <w:r>
              <w:rPr>
                <w:rFonts w:hint="eastAsia" w:ascii="仿宋_GB2312" w:hAnsi="仿宋_GB2312" w:eastAsia="仿宋_GB2312" w:cs="仿宋_GB2312"/>
                <w:sz w:val="32"/>
                <w:szCs w:val="32"/>
                <w:lang w:val="en-US" w:eastAsia="zh-CN"/>
              </w:rPr>
              <w:t>江茸乡畜种改良项目</w:t>
            </w:r>
          </w:p>
        </w:tc>
      </w:tr>
      <w:tr w14:paraId="646A657F">
        <w:tblPrEx>
          <w:tblCellMar>
            <w:top w:w="15" w:type="dxa"/>
            <w:left w:w="15" w:type="dxa"/>
            <w:bottom w:w="15" w:type="dxa"/>
            <w:right w:w="15" w:type="dxa"/>
          </w:tblCellMar>
        </w:tblPrEx>
        <w:trPr>
          <w:trHeight w:val="285" w:hRule="atLeast"/>
        </w:trPr>
        <w:tc>
          <w:tcPr>
            <w:tcW w:w="2128" w:type="dxa"/>
            <w:gridSpan w:val="3"/>
            <w:tcBorders>
              <w:top w:val="single" w:color="000000" w:sz="4" w:space="0"/>
              <w:left w:val="single" w:color="000000" w:sz="4" w:space="0"/>
              <w:bottom w:val="single" w:color="000000" w:sz="4" w:space="0"/>
              <w:right w:val="single" w:color="000000" w:sz="4" w:space="0"/>
            </w:tcBorders>
            <w:vAlign w:val="center"/>
          </w:tcPr>
          <w:p w14:paraId="084B4C9F">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394" w:type="dxa"/>
            <w:gridSpan w:val="5"/>
            <w:tcBorders>
              <w:top w:val="single" w:color="000000" w:sz="4" w:space="0"/>
              <w:left w:val="single" w:color="000000" w:sz="4" w:space="0"/>
              <w:bottom w:val="single" w:color="000000" w:sz="4" w:space="0"/>
              <w:right w:val="single" w:color="000000" w:sz="4" w:space="0"/>
            </w:tcBorders>
            <w:vAlign w:val="center"/>
          </w:tcPr>
          <w:p w14:paraId="1D6CC6D7">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14:paraId="7748F02F">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1E3FCD28">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679" w:type="dxa"/>
            <w:gridSpan w:val="2"/>
            <w:tcBorders>
              <w:top w:val="single" w:color="000000" w:sz="4" w:space="0"/>
              <w:left w:val="single" w:color="000000" w:sz="4" w:space="0"/>
              <w:bottom w:val="single" w:color="000000" w:sz="4" w:space="0"/>
              <w:right w:val="single" w:color="000000" w:sz="4" w:space="0"/>
            </w:tcBorders>
            <w:vAlign w:val="center"/>
          </w:tcPr>
          <w:p w14:paraId="26F891D5">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2079" w:type="dxa"/>
            <w:gridSpan w:val="2"/>
            <w:tcBorders>
              <w:top w:val="single" w:color="000000" w:sz="4" w:space="0"/>
              <w:left w:val="single" w:color="000000" w:sz="4" w:space="0"/>
              <w:bottom w:val="single" w:color="000000" w:sz="4" w:space="0"/>
              <w:right w:val="single" w:color="000000" w:sz="4" w:space="0"/>
            </w:tcBorders>
            <w:vAlign w:val="center"/>
          </w:tcPr>
          <w:p w14:paraId="4947D455">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80万元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12BF1B29">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2F9BD300">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79.9万元</w:t>
            </w:r>
          </w:p>
        </w:tc>
      </w:tr>
      <w:tr w14:paraId="3F0A5BA3">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30490A7">
            <w:pPr>
              <w:pageBreakBefore w:val="0"/>
              <w:kinsoku/>
              <w:overflowPunct/>
              <w:topLinePunct w:val="0"/>
              <w:bidi w:val="0"/>
              <w:spacing w:line="576" w:lineRule="exact"/>
              <w:jc w:val="center"/>
              <w:rPr>
                <w:rFonts w:ascii="宋体" w:cs="宋体"/>
                <w:color w:val="000000"/>
                <w:sz w:val="20"/>
                <w:szCs w:val="20"/>
              </w:rPr>
            </w:pPr>
          </w:p>
        </w:tc>
        <w:tc>
          <w:tcPr>
            <w:tcW w:w="1679" w:type="dxa"/>
            <w:gridSpan w:val="2"/>
            <w:tcBorders>
              <w:top w:val="single" w:color="000000" w:sz="4" w:space="0"/>
              <w:left w:val="single" w:color="000000" w:sz="4" w:space="0"/>
              <w:bottom w:val="single" w:color="000000" w:sz="4" w:space="0"/>
              <w:right w:val="single" w:color="000000" w:sz="4" w:space="0"/>
            </w:tcBorders>
            <w:vAlign w:val="center"/>
          </w:tcPr>
          <w:p w14:paraId="08398360">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2079" w:type="dxa"/>
            <w:gridSpan w:val="2"/>
            <w:tcBorders>
              <w:top w:val="single" w:color="000000" w:sz="4" w:space="0"/>
              <w:left w:val="single" w:color="000000" w:sz="4" w:space="0"/>
              <w:bottom w:val="single" w:color="000000" w:sz="4" w:space="0"/>
              <w:right w:val="single" w:color="000000" w:sz="4" w:space="0"/>
            </w:tcBorders>
            <w:vAlign w:val="center"/>
          </w:tcPr>
          <w:p w14:paraId="44DCBF13">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80万元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7CB2A900">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16C35507">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79.9万元</w:t>
            </w:r>
          </w:p>
        </w:tc>
      </w:tr>
      <w:tr w14:paraId="36FB9E6B">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05505CE">
            <w:pPr>
              <w:pageBreakBefore w:val="0"/>
              <w:kinsoku/>
              <w:overflowPunct/>
              <w:topLinePunct w:val="0"/>
              <w:bidi w:val="0"/>
              <w:spacing w:line="576" w:lineRule="exact"/>
              <w:jc w:val="center"/>
              <w:rPr>
                <w:rFonts w:ascii="宋体" w:cs="宋体"/>
                <w:color w:val="000000"/>
                <w:sz w:val="20"/>
                <w:szCs w:val="20"/>
              </w:rPr>
            </w:pPr>
          </w:p>
        </w:tc>
        <w:tc>
          <w:tcPr>
            <w:tcW w:w="1679" w:type="dxa"/>
            <w:gridSpan w:val="2"/>
            <w:tcBorders>
              <w:top w:val="single" w:color="000000" w:sz="4" w:space="0"/>
              <w:left w:val="single" w:color="000000" w:sz="4" w:space="0"/>
              <w:bottom w:val="single" w:color="000000" w:sz="4" w:space="0"/>
              <w:right w:val="single" w:color="000000" w:sz="4" w:space="0"/>
            </w:tcBorders>
            <w:vAlign w:val="center"/>
          </w:tcPr>
          <w:p w14:paraId="6E10F9A0">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2079" w:type="dxa"/>
            <w:gridSpan w:val="2"/>
            <w:tcBorders>
              <w:top w:val="single" w:color="000000" w:sz="4" w:space="0"/>
              <w:left w:val="single" w:color="000000" w:sz="4" w:space="0"/>
              <w:bottom w:val="single" w:color="000000" w:sz="4" w:space="0"/>
              <w:right w:val="single" w:color="000000" w:sz="4" w:space="0"/>
            </w:tcBorders>
            <w:vAlign w:val="center"/>
          </w:tcPr>
          <w:p w14:paraId="2C9F1A85">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14:paraId="154207BE">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79A480A4">
            <w:pPr>
              <w:pageBreakBefore w:val="0"/>
              <w:kinsoku/>
              <w:overflowPunct/>
              <w:topLinePunct w:val="0"/>
              <w:bidi w:val="0"/>
              <w:spacing w:line="576" w:lineRule="exact"/>
              <w:jc w:val="center"/>
              <w:rPr>
                <w:rFonts w:ascii="宋体" w:cs="宋体"/>
                <w:b/>
                <w:color w:val="000000"/>
                <w:sz w:val="24"/>
              </w:rPr>
            </w:pPr>
          </w:p>
        </w:tc>
      </w:tr>
      <w:tr w14:paraId="794017A4">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209B9A13">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489" w:type="dxa"/>
            <w:gridSpan w:val="3"/>
            <w:tcBorders>
              <w:top w:val="single" w:color="000000" w:sz="4" w:space="0"/>
              <w:left w:val="single" w:color="000000" w:sz="4" w:space="0"/>
              <w:bottom w:val="single" w:color="000000" w:sz="4" w:space="0"/>
              <w:right w:val="single" w:color="000000" w:sz="4" w:space="0"/>
            </w:tcBorders>
            <w:vAlign w:val="center"/>
          </w:tcPr>
          <w:p w14:paraId="3E0C3749">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584" w:type="dxa"/>
            <w:gridSpan w:val="4"/>
            <w:tcBorders>
              <w:top w:val="single" w:color="000000" w:sz="4" w:space="0"/>
              <w:left w:val="single" w:color="000000" w:sz="4" w:space="0"/>
              <w:bottom w:val="single" w:color="000000" w:sz="4" w:space="0"/>
              <w:right w:val="single" w:color="000000" w:sz="4" w:space="0"/>
            </w:tcBorders>
            <w:vAlign w:val="center"/>
          </w:tcPr>
          <w:p w14:paraId="426AFB61">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14:paraId="1384099A">
        <w:tblPrEx>
          <w:tblCellMar>
            <w:top w:w="15" w:type="dxa"/>
            <w:left w:w="15" w:type="dxa"/>
            <w:bottom w:w="15" w:type="dxa"/>
            <w:right w:w="15" w:type="dxa"/>
          </w:tblCellMar>
        </w:tblPrEx>
        <w:trPr>
          <w:trHeight w:val="183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55B941F">
            <w:pPr>
              <w:pageBreakBefore w:val="0"/>
              <w:kinsoku/>
              <w:overflowPunct/>
              <w:topLinePunct w:val="0"/>
              <w:bidi w:val="0"/>
              <w:spacing w:line="576" w:lineRule="exact"/>
              <w:jc w:val="center"/>
              <w:rPr>
                <w:rFonts w:ascii="宋体" w:cs="宋体"/>
                <w:color w:val="000000"/>
                <w:sz w:val="20"/>
                <w:szCs w:val="20"/>
              </w:rPr>
            </w:pPr>
          </w:p>
        </w:tc>
        <w:tc>
          <w:tcPr>
            <w:tcW w:w="2489" w:type="dxa"/>
            <w:gridSpan w:val="3"/>
            <w:tcBorders>
              <w:top w:val="single" w:color="000000" w:sz="4" w:space="0"/>
              <w:left w:val="single" w:color="000000" w:sz="4" w:space="0"/>
              <w:bottom w:val="single" w:color="000000" w:sz="4" w:space="0"/>
              <w:right w:val="single" w:color="000000" w:sz="4" w:space="0"/>
            </w:tcBorders>
            <w:vAlign w:val="center"/>
          </w:tcPr>
          <w:p w14:paraId="5197FB0A">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完成采购优质种公牛40头，其中茸日玛村20头，江宫玛村20头。</w:t>
            </w:r>
          </w:p>
        </w:tc>
        <w:tc>
          <w:tcPr>
            <w:tcW w:w="6584" w:type="dxa"/>
            <w:gridSpan w:val="4"/>
            <w:tcBorders>
              <w:top w:val="single" w:color="000000" w:sz="4" w:space="0"/>
              <w:left w:val="single" w:color="000000" w:sz="4" w:space="0"/>
              <w:bottom w:val="single" w:color="000000" w:sz="4" w:space="0"/>
              <w:right w:val="single" w:color="000000" w:sz="4" w:space="0"/>
            </w:tcBorders>
            <w:vAlign w:val="center"/>
          </w:tcPr>
          <w:p w14:paraId="4F26384A">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完成采购优质种公牛40头，其中茸日玛村20头，江宫玛村20头。</w:t>
            </w:r>
          </w:p>
        </w:tc>
      </w:tr>
      <w:tr w14:paraId="7249CC62">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77A62D8A">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63F84144">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915" w:type="dxa"/>
            <w:vMerge w:val="restart"/>
            <w:tcBorders>
              <w:top w:val="single" w:color="000000" w:sz="4" w:space="0"/>
              <w:left w:val="single" w:color="000000" w:sz="4" w:space="0"/>
              <w:bottom w:val="single" w:color="000000" w:sz="4" w:space="0"/>
              <w:right w:val="single" w:color="000000" w:sz="4" w:space="0"/>
            </w:tcBorders>
            <w:vAlign w:val="bottom"/>
          </w:tcPr>
          <w:p w14:paraId="4FACA74F">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810" w:type="dxa"/>
            <w:vMerge w:val="restart"/>
            <w:tcBorders>
              <w:top w:val="single" w:color="000000" w:sz="4" w:space="0"/>
              <w:left w:val="single" w:color="000000" w:sz="4" w:space="0"/>
              <w:bottom w:val="single" w:color="000000" w:sz="4" w:space="0"/>
              <w:right w:val="single" w:color="000000" w:sz="4" w:space="0"/>
            </w:tcBorders>
            <w:vAlign w:val="bottom"/>
          </w:tcPr>
          <w:p w14:paraId="4857D674">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3021" w:type="dxa"/>
            <w:gridSpan w:val="2"/>
            <w:vMerge w:val="restart"/>
            <w:tcBorders>
              <w:top w:val="single" w:color="000000" w:sz="4" w:space="0"/>
              <w:left w:val="single" w:color="000000" w:sz="4" w:space="0"/>
              <w:bottom w:val="single" w:color="000000" w:sz="4" w:space="0"/>
              <w:right w:val="single" w:color="000000" w:sz="4" w:space="0"/>
            </w:tcBorders>
            <w:vAlign w:val="bottom"/>
          </w:tcPr>
          <w:p w14:paraId="3870EB62">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767" w:type="dxa"/>
            <w:vMerge w:val="restart"/>
            <w:tcBorders>
              <w:top w:val="single" w:color="000000" w:sz="4" w:space="0"/>
              <w:left w:val="single" w:color="000000" w:sz="4" w:space="0"/>
              <w:bottom w:val="single" w:color="000000" w:sz="4" w:space="0"/>
              <w:right w:val="single" w:color="000000" w:sz="4" w:space="0"/>
            </w:tcBorders>
            <w:vAlign w:val="bottom"/>
          </w:tcPr>
          <w:p w14:paraId="5D6D1177">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796" w:type="dxa"/>
            <w:vMerge w:val="restart"/>
            <w:tcBorders>
              <w:top w:val="single" w:color="000000" w:sz="4" w:space="0"/>
              <w:left w:val="single" w:color="000000" w:sz="4" w:space="0"/>
              <w:bottom w:val="single" w:color="000000" w:sz="4" w:space="0"/>
              <w:right w:val="single" w:color="000000" w:sz="4" w:space="0"/>
            </w:tcBorders>
            <w:vAlign w:val="bottom"/>
          </w:tcPr>
          <w:p w14:paraId="27E4BFA9">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14:paraId="1E1F0BFB">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F8986C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542F25AA">
            <w:pPr>
              <w:pageBreakBefore w:val="0"/>
              <w:kinsoku/>
              <w:overflowPunct/>
              <w:topLinePunct w:val="0"/>
              <w:bidi w:val="0"/>
              <w:spacing w:line="576" w:lineRule="exact"/>
              <w:jc w:val="center"/>
              <w:rPr>
                <w:rFonts w:ascii="宋体" w:cs="宋体"/>
                <w:b/>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vAlign w:val="bottom"/>
          </w:tcPr>
          <w:p w14:paraId="5B89B6C7">
            <w:pPr>
              <w:pageBreakBefore w:val="0"/>
              <w:kinsoku/>
              <w:overflowPunct/>
              <w:topLinePunct w:val="0"/>
              <w:bidi w:val="0"/>
              <w:spacing w:line="576" w:lineRule="exact"/>
              <w:jc w:val="center"/>
              <w:rPr>
                <w:rFonts w:ascii="宋体" w:cs="宋体"/>
                <w:b/>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14:paraId="517AAFF9">
            <w:pPr>
              <w:pageBreakBefore w:val="0"/>
              <w:kinsoku/>
              <w:overflowPunct/>
              <w:topLinePunct w:val="0"/>
              <w:bidi w:val="0"/>
              <w:spacing w:line="576" w:lineRule="exact"/>
              <w:jc w:val="center"/>
              <w:rPr>
                <w:rFonts w:ascii="宋体" w:cs="宋体"/>
                <w:b/>
                <w:color w:val="000000"/>
                <w:sz w:val="20"/>
                <w:szCs w:val="20"/>
              </w:rPr>
            </w:pPr>
          </w:p>
        </w:tc>
        <w:tc>
          <w:tcPr>
            <w:tcW w:w="3021"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5755362B">
            <w:pPr>
              <w:pageBreakBefore w:val="0"/>
              <w:kinsoku/>
              <w:overflowPunct/>
              <w:topLinePunct w:val="0"/>
              <w:bidi w:val="0"/>
              <w:spacing w:line="576" w:lineRule="exact"/>
              <w:jc w:val="center"/>
              <w:rPr>
                <w:rFonts w:ascii="宋体" w:cs="宋体"/>
                <w:b/>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bottom"/>
          </w:tcPr>
          <w:p w14:paraId="77BE745C">
            <w:pPr>
              <w:pageBreakBefore w:val="0"/>
              <w:kinsoku/>
              <w:overflowPunct/>
              <w:topLinePunct w:val="0"/>
              <w:bidi w:val="0"/>
              <w:spacing w:line="576" w:lineRule="exact"/>
              <w:jc w:val="center"/>
              <w:rPr>
                <w:rFonts w:ascii="宋体" w:cs="宋体"/>
                <w:b/>
                <w:color w:val="000000"/>
                <w:sz w:val="20"/>
                <w:szCs w:val="20"/>
              </w:rPr>
            </w:pPr>
          </w:p>
        </w:tc>
        <w:tc>
          <w:tcPr>
            <w:tcW w:w="1796" w:type="dxa"/>
            <w:vMerge w:val="continue"/>
            <w:tcBorders>
              <w:top w:val="single" w:color="000000" w:sz="4" w:space="0"/>
              <w:left w:val="single" w:color="000000" w:sz="4" w:space="0"/>
              <w:bottom w:val="single" w:color="000000" w:sz="4" w:space="0"/>
              <w:right w:val="single" w:color="000000" w:sz="4" w:space="0"/>
            </w:tcBorders>
            <w:vAlign w:val="bottom"/>
          </w:tcPr>
          <w:p w14:paraId="471876B3">
            <w:pPr>
              <w:pageBreakBefore w:val="0"/>
              <w:kinsoku/>
              <w:overflowPunct/>
              <w:topLinePunct w:val="0"/>
              <w:bidi w:val="0"/>
              <w:spacing w:line="576" w:lineRule="exact"/>
              <w:jc w:val="center"/>
              <w:rPr>
                <w:rFonts w:ascii="宋体" w:cs="宋体"/>
                <w:b/>
                <w:color w:val="000000"/>
                <w:sz w:val="20"/>
                <w:szCs w:val="20"/>
              </w:rPr>
            </w:pPr>
          </w:p>
        </w:tc>
      </w:tr>
      <w:tr w14:paraId="135CF431">
        <w:tblPrEx>
          <w:tblCellMar>
            <w:top w:w="15" w:type="dxa"/>
            <w:left w:w="15" w:type="dxa"/>
            <w:bottom w:w="15" w:type="dxa"/>
            <w:right w:w="15" w:type="dxa"/>
          </w:tblCellMar>
        </w:tblPrEx>
        <w:trPr>
          <w:trHeight w:val="41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C2EE05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6D7D067D">
            <w:pPr>
              <w:pageBreakBefore w:val="0"/>
              <w:kinsoku/>
              <w:overflowPunct/>
              <w:topLinePunct w:val="0"/>
              <w:bidi w:val="0"/>
              <w:spacing w:line="576" w:lineRule="exact"/>
              <w:jc w:val="center"/>
              <w:rPr>
                <w:rFonts w:ascii="宋体" w:cs="宋体"/>
                <w:b/>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vAlign w:val="bottom"/>
          </w:tcPr>
          <w:p w14:paraId="1E5442CF">
            <w:pPr>
              <w:pageBreakBefore w:val="0"/>
              <w:kinsoku/>
              <w:overflowPunct/>
              <w:topLinePunct w:val="0"/>
              <w:bidi w:val="0"/>
              <w:spacing w:line="576" w:lineRule="exact"/>
              <w:jc w:val="center"/>
              <w:rPr>
                <w:rFonts w:ascii="宋体" w:cs="宋体"/>
                <w:b/>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14:paraId="48C53D32">
            <w:pPr>
              <w:pageBreakBefore w:val="0"/>
              <w:kinsoku/>
              <w:overflowPunct/>
              <w:topLinePunct w:val="0"/>
              <w:bidi w:val="0"/>
              <w:spacing w:line="576" w:lineRule="exact"/>
              <w:jc w:val="center"/>
              <w:rPr>
                <w:rFonts w:ascii="宋体" w:cs="宋体"/>
                <w:b/>
                <w:color w:val="000000"/>
                <w:sz w:val="20"/>
                <w:szCs w:val="20"/>
              </w:rPr>
            </w:pPr>
          </w:p>
        </w:tc>
        <w:tc>
          <w:tcPr>
            <w:tcW w:w="3021"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25485DDC">
            <w:pPr>
              <w:pageBreakBefore w:val="0"/>
              <w:kinsoku/>
              <w:overflowPunct/>
              <w:topLinePunct w:val="0"/>
              <w:bidi w:val="0"/>
              <w:spacing w:line="576" w:lineRule="exact"/>
              <w:jc w:val="center"/>
              <w:rPr>
                <w:rFonts w:ascii="宋体" w:cs="宋体"/>
                <w:b/>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bottom"/>
          </w:tcPr>
          <w:p w14:paraId="71199E68">
            <w:pPr>
              <w:pageBreakBefore w:val="0"/>
              <w:kinsoku/>
              <w:overflowPunct/>
              <w:topLinePunct w:val="0"/>
              <w:bidi w:val="0"/>
              <w:spacing w:line="576" w:lineRule="exact"/>
              <w:jc w:val="center"/>
              <w:rPr>
                <w:rFonts w:ascii="宋体" w:cs="宋体"/>
                <w:b/>
                <w:color w:val="000000"/>
                <w:sz w:val="20"/>
                <w:szCs w:val="20"/>
              </w:rPr>
            </w:pPr>
          </w:p>
        </w:tc>
        <w:tc>
          <w:tcPr>
            <w:tcW w:w="1796" w:type="dxa"/>
            <w:vMerge w:val="continue"/>
            <w:tcBorders>
              <w:top w:val="single" w:color="000000" w:sz="4" w:space="0"/>
              <w:left w:val="single" w:color="000000" w:sz="4" w:space="0"/>
              <w:bottom w:val="single" w:color="000000" w:sz="4" w:space="0"/>
              <w:right w:val="single" w:color="000000" w:sz="4" w:space="0"/>
            </w:tcBorders>
            <w:vAlign w:val="bottom"/>
          </w:tcPr>
          <w:p w14:paraId="19DC6278">
            <w:pPr>
              <w:pageBreakBefore w:val="0"/>
              <w:kinsoku/>
              <w:overflowPunct/>
              <w:topLinePunct w:val="0"/>
              <w:bidi w:val="0"/>
              <w:spacing w:line="576" w:lineRule="exact"/>
              <w:jc w:val="center"/>
              <w:rPr>
                <w:rFonts w:ascii="宋体" w:cs="宋体"/>
                <w:b/>
                <w:color w:val="000000"/>
                <w:sz w:val="20"/>
                <w:szCs w:val="20"/>
              </w:rPr>
            </w:pPr>
          </w:p>
        </w:tc>
      </w:tr>
      <w:tr w14:paraId="2354AD5E">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922CD7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5953203">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33C8631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810" w:type="dxa"/>
            <w:tcBorders>
              <w:top w:val="single" w:color="000000" w:sz="4" w:space="0"/>
              <w:left w:val="single" w:color="000000" w:sz="4" w:space="0"/>
              <w:bottom w:val="single" w:color="000000" w:sz="4" w:space="0"/>
              <w:right w:val="single" w:color="000000" w:sz="4" w:space="0"/>
            </w:tcBorders>
            <w:vAlign w:val="bottom"/>
          </w:tcPr>
          <w:p w14:paraId="29B9FEC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BC3878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32EB813C">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仿宋_GB2312" w:hAnsi="仿宋_GB2312" w:eastAsia="仿宋_GB2312" w:cs="仿宋_GB2312"/>
                <w:sz w:val="24"/>
                <w:szCs w:val="24"/>
                <w:lang w:val="en-US" w:eastAsia="zh-CN"/>
              </w:rPr>
              <w:t>完成采购优质种公牛40头</w:t>
            </w:r>
          </w:p>
        </w:tc>
        <w:tc>
          <w:tcPr>
            <w:tcW w:w="1796" w:type="dxa"/>
            <w:tcBorders>
              <w:top w:val="single" w:color="000000" w:sz="4" w:space="0"/>
              <w:left w:val="single" w:color="000000" w:sz="4" w:space="0"/>
              <w:bottom w:val="single" w:color="000000" w:sz="4" w:space="0"/>
              <w:right w:val="single" w:color="000000" w:sz="4" w:space="0"/>
            </w:tcBorders>
            <w:vAlign w:val="bottom"/>
          </w:tcPr>
          <w:p w14:paraId="6F7A7443">
            <w:pPr>
              <w:pageBreakBefore w:val="0"/>
              <w:kinsoku/>
              <w:overflowPunct/>
              <w:topLinePunct w:val="0"/>
              <w:bidi w:val="0"/>
              <w:spacing w:line="576" w:lineRule="exact"/>
              <w:jc w:val="center"/>
              <w:rPr>
                <w:rFonts w:ascii="宋体" w:cs="宋体"/>
                <w:color w:val="000000"/>
                <w:sz w:val="20"/>
                <w:szCs w:val="20"/>
              </w:rPr>
            </w:pPr>
            <w:r>
              <w:rPr>
                <w:rFonts w:hint="eastAsia" w:ascii="仿宋_GB2312" w:hAnsi="仿宋_GB2312" w:eastAsia="仿宋_GB2312" w:cs="仿宋_GB2312"/>
                <w:sz w:val="24"/>
                <w:szCs w:val="24"/>
                <w:lang w:val="en-US" w:eastAsia="zh-CN"/>
              </w:rPr>
              <w:t>完成采购优质种公牛40头</w:t>
            </w:r>
          </w:p>
        </w:tc>
      </w:tr>
      <w:tr w14:paraId="3660899C">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79450D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57E6182">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E048A1B">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2EE2F24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250D822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767" w:type="dxa"/>
            <w:tcBorders>
              <w:top w:val="single" w:color="000000" w:sz="4" w:space="0"/>
              <w:left w:val="single" w:color="000000" w:sz="4" w:space="0"/>
              <w:bottom w:val="single" w:color="000000" w:sz="4" w:space="0"/>
              <w:right w:val="single" w:color="000000" w:sz="4" w:space="0"/>
            </w:tcBorders>
            <w:vAlign w:val="bottom"/>
          </w:tcPr>
          <w:p w14:paraId="4711B0F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3C3D32B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77F2CD5">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C0B149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C145DD0">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0CF16E4">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026B21A4">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35ABEDA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09E5974E">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14:paraId="39F81652">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751A086F">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1A0CE0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C5FB90D">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36572B6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810" w:type="dxa"/>
            <w:tcBorders>
              <w:top w:val="single" w:color="000000" w:sz="4" w:space="0"/>
              <w:left w:val="single" w:color="000000" w:sz="4" w:space="0"/>
              <w:bottom w:val="single" w:color="000000" w:sz="4" w:space="0"/>
              <w:right w:val="single" w:color="000000" w:sz="4" w:space="0"/>
            </w:tcBorders>
            <w:vAlign w:val="bottom"/>
          </w:tcPr>
          <w:p w14:paraId="7C3DA4D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1561A7D7">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767" w:type="dxa"/>
            <w:tcBorders>
              <w:top w:val="single" w:color="000000" w:sz="4" w:space="0"/>
              <w:left w:val="single" w:color="000000" w:sz="4" w:space="0"/>
              <w:bottom w:val="single" w:color="000000" w:sz="4" w:space="0"/>
              <w:right w:val="single" w:color="000000" w:sz="4" w:space="0"/>
            </w:tcBorders>
            <w:vAlign w:val="bottom"/>
          </w:tcPr>
          <w:p w14:paraId="04367953">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796" w:type="dxa"/>
            <w:tcBorders>
              <w:top w:val="single" w:color="000000" w:sz="4" w:space="0"/>
              <w:left w:val="single" w:color="000000" w:sz="4" w:space="0"/>
              <w:bottom w:val="single" w:color="000000" w:sz="4" w:space="0"/>
              <w:right w:val="single" w:color="000000" w:sz="4" w:space="0"/>
            </w:tcBorders>
            <w:vAlign w:val="bottom"/>
          </w:tcPr>
          <w:p w14:paraId="1B12F9AB">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14:paraId="6827A55E">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35D0FC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C544DD">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CF0776C">
            <w:pPr>
              <w:pageBreakBefore w:val="0"/>
              <w:kinsoku/>
              <w:overflowPunct/>
              <w:topLinePunct w:val="0"/>
              <w:bidi w:val="0"/>
              <w:spacing w:line="576" w:lineRule="exact"/>
              <w:jc w:val="center"/>
              <w:rPr>
                <w:rFonts w:ascii="宋体" w:cs="宋体"/>
                <w:color w:val="000000"/>
                <w:sz w:val="20"/>
                <w:szCs w:val="20"/>
              </w:rPr>
            </w:pPr>
          </w:p>
        </w:tc>
        <w:tc>
          <w:tcPr>
            <w:tcW w:w="810" w:type="dxa"/>
            <w:vMerge w:val="restart"/>
            <w:tcBorders>
              <w:top w:val="single" w:color="000000" w:sz="4" w:space="0"/>
              <w:left w:val="single" w:color="000000" w:sz="4" w:space="0"/>
              <w:bottom w:val="single" w:color="000000" w:sz="4" w:space="0"/>
              <w:right w:val="single" w:color="000000" w:sz="4" w:space="0"/>
            </w:tcBorders>
            <w:vAlign w:val="bottom"/>
          </w:tcPr>
          <w:p w14:paraId="28515DE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75AEB21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767" w:type="dxa"/>
            <w:tcBorders>
              <w:top w:val="single" w:color="000000" w:sz="4" w:space="0"/>
              <w:left w:val="single" w:color="000000" w:sz="4" w:space="0"/>
              <w:bottom w:val="single" w:color="000000" w:sz="4" w:space="0"/>
              <w:right w:val="single" w:color="000000" w:sz="4" w:space="0"/>
            </w:tcBorders>
            <w:vAlign w:val="bottom"/>
          </w:tcPr>
          <w:p w14:paraId="2D01207E">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3BCF9762">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0E8261A8">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5C76B7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11566D0">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5F4CE46">
            <w:pPr>
              <w:pageBreakBefore w:val="0"/>
              <w:kinsoku/>
              <w:overflowPunct/>
              <w:topLinePunct w:val="0"/>
              <w:bidi w:val="0"/>
              <w:spacing w:line="576" w:lineRule="exact"/>
              <w:jc w:val="center"/>
              <w:rPr>
                <w:rFonts w:ascii="宋体" w:cs="宋体"/>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14:paraId="5D9C297E">
            <w:pPr>
              <w:pageBreakBefore w:val="0"/>
              <w:kinsoku/>
              <w:overflowPunct/>
              <w:topLinePunct w:val="0"/>
              <w:bidi w:val="0"/>
              <w:spacing w:line="576" w:lineRule="exact"/>
              <w:jc w:val="center"/>
              <w:rPr>
                <w:rFonts w:ascii="宋体" w:cs="宋体"/>
                <w:color w:val="000000"/>
                <w:sz w:val="20"/>
                <w:szCs w:val="20"/>
              </w:rPr>
            </w:pP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518F5B99">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767" w:type="dxa"/>
            <w:tcBorders>
              <w:top w:val="single" w:color="000000" w:sz="4" w:space="0"/>
              <w:left w:val="single" w:color="000000" w:sz="4" w:space="0"/>
              <w:bottom w:val="single" w:color="000000" w:sz="4" w:space="0"/>
              <w:right w:val="single" w:color="000000" w:sz="4" w:space="0"/>
            </w:tcBorders>
            <w:vAlign w:val="bottom"/>
          </w:tcPr>
          <w:p w14:paraId="13C33F4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4D67EDF7">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48C4BA87">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BCFCE4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31DB70D">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28E2B52">
            <w:pPr>
              <w:pageBreakBefore w:val="0"/>
              <w:kinsoku/>
              <w:overflowPunct/>
              <w:topLinePunct w:val="0"/>
              <w:bidi w:val="0"/>
              <w:spacing w:line="576" w:lineRule="exact"/>
              <w:jc w:val="center"/>
              <w:rPr>
                <w:rFonts w:ascii="宋体" w:cs="宋体"/>
                <w:color w:val="000000"/>
                <w:sz w:val="20"/>
                <w:szCs w:val="20"/>
              </w:rPr>
            </w:pPr>
          </w:p>
        </w:tc>
        <w:tc>
          <w:tcPr>
            <w:tcW w:w="810" w:type="dxa"/>
            <w:vMerge w:val="restart"/>
            <w:tcBorders>
              <w:top w:val="single" w:color="000000" w:sz="4" w:space="0"/>
              <w:left w:val="single" w:color="000000" w:sz="4" w:space="0"/>
              <w:bottom w:val="single" w:color="000000" w:sz="4" w:space="0"/>
              <w:right w:val="single" w:color="000000" w:sz="4" w:space="0"/>
            </w:tcBorders>
            <w:vAlign w:val="bottom"/>
          </w:tcPr>
          <w:p w14:paraId="46BA2A9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232C991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767" w:type="dxa"/>
            <w:tcBorders>
              <w:top w:val="single" w:color="000000" w:sz="4" w:space="0"/>
              <w:left w:val="single" w:color="000000" w:sz="4" w:space="0"/>
              <w:bottom w:val="single" w:color="000000" w:sz="4" w:space="0"/>
              <w:right w:val="single" w:color="000000" w:sz="4" w:space="0"/>
            </w:tcBorders>
            <w:vAlign w:val="bottom"/>
          </w:tcPr>
          <w:p w14:paraId="27DA80EB">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7236D8F8">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7227BE26">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EC45B8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97BE998">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31AAD7A">
            <w:pPr>
              <w:pageBreakBefore w:val="0"/>
              <w:kinsoku/>
              <w:overflowPunct/>
              <w:topLinePunct w:val="0"/>
              <w:bidi w:val="0"/>
              <w:spacing w:line="576" w:lineRule="exact"/>
              <w:jc w:val="center"/>
              <w:rPr>
                <w:rFonts w:ascii="宋体" w:cs="宋体"/>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14:paraId="1F6B46EE">
            <w:pPr>
              <w:pageBreakBefore w:val="0"/>
              <w:kinsoku/>
              <w:overflowPunct/>
              <w:topLinePunct w:val="0"/>
              <w:bidi w:val="0"/>
              <w:spacing w:line="576" w:lineRule="exact"/>
              <w:jc w:val="center"/>
              <w:rPr>
                <w:rFonts w:ascii="宋体" w:cs="宋体"/>
                <w:color w:val="000000"/>
                <w:sz w:val="20"/>
                <w:szCs w:val="20"/>
              </w:rPr>
            </w:pP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7634752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767" w:type="dxa"/>
            <w:tcBorders>
              <w:top w:val="single" w:color="000000" w:sz="4" w:space="0"/>
              <w:left w:val="single" w:color="000000" w:sz="4" w:space="0"/>
              <w:bottom w:val="single" w:color="000000" w:sz="4" w:space="0"/>
              <w:right w:val="single" w:color="000000" w:sz="4" w:space="0"/>
            </w:tcBorders>
            <w:vAlign w:val="bottom"/>
          </w:tcPr>
          <w:p w14:paraId="0214EE9E">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796" w:type="dxa"/>
            <w:tcBorders>
              <w:top w:val="single" w:color="000000" w:sz="4" w:space="0"/>
              <w:left w:val="single" w:color="000000" w:sz="4" w:space="0"/>
              <w:bottom w:val="single" w:color="000000" w:sz="4" w:space="0"/>
              <w:right w:val="single" w:color="000000" w:sz="4" w:space="0"/>
            </w:tcBorders>
            <w:vAlign w:val="bottom"/>
          </w:tcPr>
          <w:p w14:paraId="0EF8D518">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14:paraId="472C65BD">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3D10E7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0B6B157">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1C67189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810" w:type="dxa"/>
            <w:tcBorders>
              <w:top w:val="single" w:color="000000" w:sz="4" w:space="0"/>
              <w:left w:val="single" w:color="000000" w:sz="4" w:space="0"/>
              <w:bottom w:val="single" w:color="000000" w:sz="4" w:space="0"/>
              <w:right w:val="single" w:color="000000" w:sz="4" w:space="0"/>
            </w:tcBorders>
            <w:vAlign w:val="bottom"/>
          </w:tcPr>
          <w:p w14:paraId="0221D2F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20C395B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767" w:type="dxa"/>
            <w:tcBorders>
              <w:top w:val="single" w:color="000000" w:sz="4" w:space="0"/>
              <w:left w:val="single" w:color="000000" w:sz="4" w:space="0"/>
              <w:bottom w:val="single" w:color="000000" w:sz="4" w:space="0"/>
              <w:right w:val="single" w:color="000000" w:sz="4" w:space="0"/>
            </w:tcBorders>
            <w:vAlign w:val="bottom"/>
          </w:tcPr>
          <w:p w14:paraId="01485B0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20B4021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3DE7AE00">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66B361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1255F66">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DF65FB5">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7588718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7A360183">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767" w:type="dxa"/>
            <w:tcBorders>
              <w:top w:val="single" w:color="000000" w:sz="4" w:space="0"/>
              <w:left w:val="single" w:color="000000" w:sz="4" w:space="0"/>
              <w:bottom w:val="single" w:color="000000" w:sz="4" w:space="0"/>
              <w:right w:val="single" w:color="000000" w:sz="4" w:space="0"/>
            </w:tcBorders>
            <w:vAlign w:val="bottom"/>
          </w:tcPr>
          <w:p w14:paraId="21D5CF9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6D64C07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4021C787">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DB0AF2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F766968">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792C524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810" w:type="dxa"/>
            <w:tcBorders>
              <w:top w:val="single" w:color="000000" w:sz="4" w:space="0"/>
              <w:left w:val="single" w:color="000000" w:sz="4" w:space="0"/>
              <w:bottom w:val="single" w:color="000000" w:sz="4" w:space="0"/>
              <w:right w:val="single" w:color="000000" w:sz="4" w:space="0"/>
            </w:tcBorders>
            <w:vAlign w:val="bottom"/>
          </w:tcPr>
          <w:p w14:paraId="3D076C5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77B039C2">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7F65BBC7">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14:paraId="425CF2B6">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1B0B0435">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68AF15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F6EFE26">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7090ADA">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4900A89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269" w:type="dxa"/>
            <w:tcBorders>
              <w:top w:val="single" w:color="000000" w:sz="4" w:space="0"/>
              <w:left w:val="single" w:color="000000" w:sz="4" w:space="0"/>
              <w:bottom w:val="single" w:color="000000" w:sz="4" w:space="0"/>
              <w:right w:val="single" w:color="000000" w:sz="4" w:space="0"/>
            </w:tcBorders>
            <w:vAlign w:val="bottom"/>
          </w:tcPr>
          <w:p w14:paraId="56C6FDE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14:paraId="33DD276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4C8D17CA">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14:paraId="21A10847">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7B5A52C4">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56E919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3D33A0A">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A268914">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3C159DC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269" w:type="dxa"/>
            <w:tcBorders>
              <w:top w:val="single" w:color="000000" w:sz="4" w:space="0"/>
              <w:left w:val="single" w:color="000000" w:sz="4" w:space="0"/>
              <w:bottom w:val="single" w:color="000000" w:sz="4" w:space="0"/>
              <w:right w:val="single" w:color="000000" w:sz="4" w:space="0"/>
            </w:tcBorders>
            <w:vAlign w:val="bottom"/>
          </w:tcPr>
          <w:p w14:paraId="18143AD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14:paraId="26CC017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767" w:type="dxa"/>
            <w:tcBorders>
              <w:top w:val="single" w:color="000000" w:sz="4" w:space="0"/>
              <w:left w:val="single" w:color="000000" w:sz="4" w:space="0"/>
              <w:bottom w:val="single" w:color="000000" w:sz="4" w:space="0"/>
              <w:right w:val="single" w:color="000000" w:sz="4" w:space="0"/>
            </w:tcBorders>
            <w:vAlign w:val="bottom"/>
          </w:tcPr>
          <w:p w14:paraId="7D2B51B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0B74B1E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35380601">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B68EAE9">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1ADA8C48">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CB37DE4">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810" w:type="dxa"/>
            <w:tcBorders>
              <w:top w:val="single" w:color="000000" w:sz="4" w:space="0"/>
              <w:left w:val="single" w:color="000000" w:sz="4" w:space="0"/>
              <w:bottom w:val="single" w:color="000000" w:sz="4" w:space="0"/>
              <w:right w:val="single" w:color="000000" w:sz="4" w:space="0"/>
            </w:tcBorders>
            <w:vAlign w:val="bottom"/>
          </w:tcPr>
          <w:p w14:paraId="037244FB">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3D1BCF0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767" w:type="dxa"/>
            <w:tcBorders>
              <w:top w:val="single" w:color="000000" w:sz="4" w:space="0"/>
              <w:left w:val="single" w:color="000000" w:sz="4" w:space="0"/>
              <w:bottom w:val="single" w:color="000000" w:sz="4" w:space="0"/>
              <w:right w:val="single" w:color="000000" w:sz="4" w:space="0"/>
            </w:tcBorders>
            <w:vAlign w:val="bottom"/>
          </w:tcPr>
          <w:p w14:paraId="514879D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06BDC20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22365B77">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CEED249">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611C80F">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C6AB9C2">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7FF52B7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25DCF8A5">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767" w:type="dxa"/>
            <w:tcBorders>
              <w:top w:val="single" w:color="000000" w:sz="4" w:space="0"/>
              <w:left w:val="single" w:color="000000" w:sz="4" w:space="0"/>
              <w:bottom w:val="single" w:color="000000" w:sz="4" w:space="0"/>
              <w:right w:val="single" w:color="000000" w:sz="4" w:space="0"/>
            </w:tcBorders>
            <w:vAlign w:val="bottom"/>
          </w:tcPr>
          <w:p w14:paraId="61544AB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6BE3F30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52B9DE1">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50BBE4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AB87A77">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8042A53">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810" w:type="dxa"/>
            <w:tcBorders>
              <w:top w:val="single" w:color="000000" w:sz="4" w:space="0"/>
              <w:left w:val="single" w:color="000000" w:sz="4" w:space="0"/>
              <w:bottom w:val="single" w:color="000000" w:sz="4" w:space="0"/>
              <w:right w:val="single" w:color="000000" w:sz="4" w:space="0"/>
            </w:tcBorders>
            <w:vAlign w:val="bottom"/>
          </w:tcPr>
          <w:p w14:paraId="65E09BF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50BDE41">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767" w:type="dxa"/>
            <w:tcBorders>
              <w:top w:val="single" w:color="000000" w:sz="4" w:space="0"/>
              <w:left w:val="single" w:color="000000" w:sz="4" w:space="0"/>
              <w:bottom w:val="single" w:color="000000" w:sz="4" w:space="0"/>
              <w:right w:val="single" w:color="000000" w:sz="4" w:space="0"/>
            </w:tcBorders>
            <w:vAlign w:val="bottom"/>
          </w:tcPr>
          <w:p w14:paraId="285DD50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1419B26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289855D5">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D58AD6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79EF4D2">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6871947">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29433FF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775A1F9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025CE0C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4266D7E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63D5E73">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063777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9756965">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F2247AC">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21D087E8">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7572C9C1">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641FE5C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059AC7D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C2B89E5">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E2BB62C">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3CA10A7">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B6F75C4">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810" w:type="dxa"/>
            <w:tcBorders>
              <w:top w:val="single" w:color="000000" w:sz="4" w:space="0"/>
              <w:left w:val="single" w:color="000000" w:sz="4" w:space="0"/>
              <w:bottom w:val="single" w:color="000000" w:sz="4" w:space="0"/>
              <w:right w:val="single" w:color="000000" w:sz="4" w:space="0"/>
            </w:tcBorders>
            <w:vAlign w:val="bottom"/>
          </w:tcPr>
          <w:p w14:paraId="1C03643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8F255B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767" w:type="dxa"/>
            <w:tcBorders>
              <w:top w:val="single" w:color="000000" w:sz="4" w:space="0"/>
              <w:left w:val="single" w:color="000000" w:sz="4" w:space="0"/>
              <w:bottom w:val="single" w:color="000000" w:sz="4" w:space="0"/>
              <w:right w:val="single" w:color="000000" w:sz="4" w:space="0"/>
            </w:tcBorders>
            <w:vAlign w:val="bottom"/>
          </w:tcPr>
          <w:p w14:paraId="7F71EF2D">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1320CCC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3FCEE2FF">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BCD6BF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1FA52C5">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6F8B5FB">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7D044D5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4A849C3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767" w:type="dxa"/>
            <w:tcBorders>
              <w:top w:val="single" w:color="000000" w:sz="4" w:space="0"/>
              <w:left w:val="single" w:color="000000" w:sz="4" w:space="0"/>
              <w:bottom w:val="single" w:color="000000" w:sz="4" w:space="0"/>
              <w:right w:val="single" w:color="000000" w:sz="4" w:space="0"/>
            </w:tcBorders>
            <w:vAlign w:val="bottom"/>
          </w:tcPr>
          <w:p w14:paraId="7610BEC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0FB88DA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3D1D3904">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B3ED77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D51C84B">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255E19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810" w:type="dxa"/>
            <w:tcBorders>
              <w:top w:val="single" w:color="000000" w:sz="4" w:space="0"/>
              <w:left w:val="single" w:color="000000" w:sz="4" w:space="0"/>
              <w:bottom w:val="single" w:color="000000" w:sz="4" w:space="0"/>
              <w:right w:val="single" w:color="000000" w:sz="4" w:space="0"/>
            </w:tcBorders>
            <w:vAlign w:val="bottom"/>
          </w:tcPr>
          <w:p w14:paraId="3AEE072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69A71175">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767" w:type="dxa"/>
            <w:tcBorders>
              <w:top w:val="single" w:color="000000" w:sz="4" w:space="0"/>
              <w:left w:val="single" w:color="000000" w:sz="4" w:space="0"/>
              <w:bottom w:val="single" w:color="000000" w:sz="4" w:space="0"/>
              <w:right w:val="single" w:color="000000" w:sz="4" w:space="0"/>
            </w:tcBorders>
            <w:vAlign w:val="bottom"/>
          </w:tcPr>
          <w:p w14:paraId="50452EE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629F4932">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3CB2A1A6">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EAE8CA9">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E75FE38">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8EE9FDA">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010C2B9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1C2DD30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5499F7E4">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796" w:type="dxa"/>
            <w:tcBorders>
              <w:top w:val="single" w:color="000000" w:sz="4" w:space="0"/>
              <w:left w:val="single" w:color="000000" w:sz="4" w:space="0"/>
              <w:bottom w:val="single" w:color="000000" w:sz="4" w:space="0"/>
              <w:right w:val="single" w:color="000000" w:sz="4" w:space="0"/>
            </w:tcBorders>
            <w:vAlign w:val="bottom"/>
          </w:tcPr>
          <w:p w14:paraId="7CD21353">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14:paraId="7D4A0EC5">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19017D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5AF0632">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678284B">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568D741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088AEB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767" w:type="dxa"/>
            <w:tcBorders>
              <w:top w:val="single" w:color="000000" w:sz="4" w:space="0"/>
              <w:left w:val="single" w:color="000000" w:sz="4" w:space="0"/>
              <w:bottom w:val="single" w:color="000000" w:sz="4" w:space="0"/>
              <w:right w:val="single" w:color="000000" w:sz="4" w:space="0"/>
            </w:tcBorders>
            <w:vAlign w:val="bottom"/>
          </w:tcPr>
          <w:p w14:paraId="0AB3452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52C2D32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0621813">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A3E071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67E9FDC">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D520C9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810" w:type="dxa"/>
            <w:tcBorders>
              <w:top w:val="single" w:color="000000" w:sz="4" w:space="0"/>
              <w:left w:val="single" w:color="000000" w:sz="4" w:space="0"/>
              <w:bottom w:val="single" w:color="000000" w:sz="4" w:space="0"/>
              <w:right w:val="single" w:color="000000" w:sz="4" w:space="0"/>
            </w:tcBorders>
            <w:vAlign w:val="bottom"/>
          </w:tcPr>
          <w:p w14:paraId="18B5EBC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7280FB2">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61C11C2A">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14:paraId="7D86ACE0">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288E0B77">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9F0313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5D04EAF">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89D04BE">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19A58679">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A18128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767" w:type="dxa"/>
            <w:tcBorders>
              <w:top w:val="single" w:color="000000" w:sz="4" w:space="0"/>
              <w:left w:val="single" w:color="000000" w:sz="4" w:space="0"/>
              <w:bottom w:val="single" w:color="000000" w:sz="4" w:space="0"/>
              <w:right w:val="single" w:color="000000" w:sz="4" w:space="0"/>
            </w:tcBorders>
            <w:vAlign w:val="bottom"/>
          </w:tcPr>
          <w:p w14:paraId="18841E8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14:paraId="42ACB4B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099F23F">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2E3BF8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D0A6CFA">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F4548BF">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380745D0">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4BF1211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49FA1AE4">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14:paraId="5B4CBD3A">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14:paraId="6FD4E0F7">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74747A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6E3CA42">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561F0A2">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6C59067B">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5224829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14:paraId="7D6BC7BB">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14:paraId="4B34F24B">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14:paraId="57092809">
        <w:tblPrEx>
          <w:tblCellMar>
            <w:top w:w="15" w:type="dxa"/>
            <w:left w:w="15" w:type="dxa"/>
            <w:bottom w:w="15" w:type="dxa"/>
            <w:right w:w="15" w:type="dxa"/>
          </w:tblCellMar>
        </w:tblPrEx>
        <w:trPr>
          <w:trHeight w:val="3047"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A88660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9A5C2E3">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D58055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810" w:type="dxa"/>
            <w:tcBorders>
              <w:top w:val="single" w:color="000000" w:sz="4" w:space="0"/>
              <w:left w:val="single" w:color="000000" w:sz="4" w:space="0"/>
              <w:bottom w:val="single" w:color="000000" w:sz="4" w:space="0"/>
              <w:right w:val="single" w:color="000000" w:sz="4" w:space="0"/>
            </w:tcBorders>
            <w:vAlign w:val="bottom"/>
          </w:tcPr>
          <w:p w14:paraId="4D0F8E79">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03A5C91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14:paraId="0495946B">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 w:hAnsi="宋?" w:cs="宋?"/>
                <w:sz w:val="20"/>
                <w:szCs w:val="20"/>
                <w:lang w:val="en-US" w:eastAsia="zh-CN"/>
              </w:rPr>
              <w:t>利于提高经济收入，增强畜牧业发展活力，保障市场畜产品供应，促进经济与社会协同发展。</w:t>
            </w:r>
          </w:p>
        </w:tc>
        <w:tc>
          <w:tcPr>
            <w:tcW w:w="1796" w:type="dxa"/>
            <w:tcBorders>
              <w:top w:val="single" w:color="000000" w:sz="4" w:space="0"/>
              <w:left w:val="single" w:color="000000" w:sz="4" w:space="0"/>
              <w:bottom w:val="single" w:color="000000" w:sz="4" w:space="0"/>
              <w:right w:val="single" w:color="000000" w:sz="4" w:space="0"/>
            </w:tcBorders>
            <w:vAlign w:val="bottom"/>
          </w:tcPr>
          <w:p w14:paraId="0E0C468A">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 w:hAnsi="宋?" w:cs="宋?"/>
                <w:sz w:val="20"/>
                <w:szCs w:val="20"/>
                <w:lang w:val="en-US" w:eastAsia="zh-CN"/>
              </w:rPr>
              <w:t>利于提高经济收入，增强畜牧业发展活力，保障市场畜产品供应，促进经济与社会协同发展。</w:t>
            </w:r>
          </w:p>
        </w:tc>
      </w:tr>
      <w:tr w14:paraId="00E203CD">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CCD5E0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92E17D8">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9771699">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179E02C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46860F8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14:paraId="0E39B534">
            <w:pPr>
              <w:pageBreakBefore w:val="0"/>
              <w:kinsoku/>
              <w:overflowPunct/>
              <w:topLinePunct w:val="0"/>
              <w:bidi w:val="0"/>
              <w:spacing w:line="576" w:lineRule="exact"/>
              <w:jc w:val="center"/>
              <w:rPr>
                <w:rFonts w:ascii="宋体" w:cs="宋体"/>
                <w:color w:val="000000"/>
                <w:sz w:val="20"/>
                <w:szCs w:val="20"/>
              </w:rPr>
            </w:pPr>
            <w:r>
              <w:rPr>
                <w:rFonts w:hint="eastAsia" w:ascii="宋?" w:hAnsi="宋?" w:cs="宋?"/>
                <w:sz w:val="20"/>
                <w:szCs w:val="20"/>
                <w:lang w:val="en-US" w:eastAsia="zh-CN"/>
              </w:rPr>
              <w:t>促进牦牛品种优化，增加牦牛存栏量，提升牛肉等相关产品供应。</w:t>
            </w:r>
          </w:p>
        </w:tc>
        <w:tc>
          <w:tcPr>
            <w:tcW w:w="1796" w:type="dxa"/>
            <w:tcBorders>
              <w:top w:val="single" w:color="000000" w:sz="4" w:space="0"/>
              <w:left w:val="single" w:color="000000" w:sz="4" w:space="0"/>
              <w:bottom w:val="single" w:color="000000" w:sz="4" w:space="0"/>
              <w:right w:val="single" w:color="000000" w:sz="4" w:space="0"/>
            </w:tcBorders>
            <w:vAlign w:val="bottom"/>
          </w:tcPr>
          <w:p w14:paraId="1C9C3CE1">
            <w:pPr>
              <w:pageBreakBefore w:val="0"/>
              <w:kinsoku/>
              <w:overflowPunct/>
              <w:topLinePunct w:val="0"/>
              <w:bidi w:val="0"/>
              <w:spacing w:line="576" w:lineRule="exact"/>
              <w:jc w:val="center"/>
              <w:rPr>
                <w:rFonts w:hint="eastAsia" w:ascii="仿宋_GB2312" w:hAnsi="仿宋_GB2312" w:eastAsia="仿宋_GB2312" w:cs="仿宋_GB2312"/>
                <w:sz w:val="24"/>
                <w:szCs w:val="24"/>
                <w:lang w:val="en-US" w:eastAsia="zh-CN"/>
              </w:rPr>
            </w:pPr>
            <w:r>
              <w:rPr>
                <w:rFonts w:hint="eastAsia" w:ascii="宋?" w:hAnsi="宋?" w:cs="宋?"/>
                <w:sz w:val="20"/>
                <w:szCs w:val="20"/>
                <w:lang w:val="en-US" w:eastAsia="zh-CN"/>
              </w:rPr>
              <w:t>促进牦牛品种优化，增加牦牛存栏量，提升牛肉等相关产品供应。</w:t>
            </w:r>
          </w:p>
          <w:p w14:paraId="2525D10F">
            <w:pPr>
              <w:pageBreakBefore w:val="0"/>
              <w:kinsoku/>
              <w:overflowPunct/>
              <w:topLinePunct w:val="0"/>
              <w:bidi w:val="0"/>
              <w:spacing w:line="576" w:lineRule="exact"/>
              <w:jc w:val="center"/>
              <w:rPr>
                <w:rFonts w:ascii="宋体" w:cs="宋体"/>
                <w:color w:val="000000"/>
                <w:sz w:val="20"/>
                <w:szCs w:val="20"/>
              </w:rPr>
            </w:pPr>
          </w:p>
        </w:tc>
      </w:tr>
      <w:tr w14:paraId="1D6EBE15">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E271E1C">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B67ED04">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21EC83DA">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14:paraId="2193401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14:paraId="58048512">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14:paraId="36E25C7F">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val="en-US" w:eastAsia="zh-CN"/>
              </w:rPr>
              <w:t>增加牧户的收入</w:t>
            </w:r>
          </w:p>
        </w:tc>
        <w:tc>
          <w:tcPr>
            <w:tcW w:w="1796" w:type="dxa"/>
            <w:tcBorders>
              <w:top w:val="single" w:color="000000" w:sz="4" w:space="0"/>
              <w:left w:val="single" w:color="000000" w:sz="4" w:space="0"/>
              <w:bottom w:val="single" w:color="000000" w:sz="4" w:space="0"/>
              <w:right w:val="single" w:color="000000" w:sz="4" w:space="0"/>
            </w:tcBorders>
            <w:vAlign w:val="bottom"/>
          </w:tcPr>
          <w:p w14:paraId="7C2D22DD">
            <w:pPr>
              <w:pageBreakBefore w:val="0"/>
              <w:kinsoku/>
              <w:overflowPunct/>
              <w:topLinePunct w:val="0"/>
              <w:bidi w:val="0"/>
              <w:spacing w:line="576" w:lineRule="exact"/>
              <w:jc w:val="both"/>
              <w:rPr>
                <w:rFonts w:hint="default" w:ascii="宋体" w:cs="宋体"/>
                <w:color w:val="000000"/>
                <w:sz w:val="20"/>
                <w:szCs w:val="20"/>
                <w:lang w:val="en-US"/>
              </w:rPr>
            </w:pPr>
            <w:r>
              <w:rPr>
                <w:rFonts w:hint="eastAsia" w:ascii="仿宋_GB2312" w:hAnsi="仿宋_GB2312" w:eastAsia="仿宋_GB2312" w:cs="仿宋_GB2312"/>
                <w:sz w:val="24"/>
                <w:szCs w:val="24"/>
                <w:lang w:val="en-US" w:eastAsia="zh-CN"/>
              </w:rPr>
              <w:t>增加牧户的收入</w:t>
            </w:r>
          </w:p>
        </w:tc>
      </w:tr>
      <w:tr w14:paraId="1D02BB57">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092543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55B47D9">
            <w:pPr>
              <w:pageBreakBefore w:val="0"/>
              <w:kinsoku/>
              <w:overflowPunct/>
              <w:topLinePunct w:val="0"/>
              <w:bidi w:val="0"/>
              <w:spacing w:line="576" w:lineRule="exact"/>
              <w:rPr>
                <w:rFonts w:ascii="宋体" w:cs="宋体"/>
                <w:color w:val="000000"/>
                <w:sz w:val="20"/>
                <w:szCs w:val="20"/>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2F1412AF">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810" w:type="dxa"/>
            <w:tcBorders>
              <w:top w:val="single" w:color="000000" w:sz="4" w:space="0"/>
              <w:left w:val="single" w:color="000000" w:sz="4" w:space="0"/>
              <w:bottom w:val="single" w:color="000000" w:sz="4" w:space="0"/>
              <w:right w:val="single" w:color="000000" w:sz="4" w:space="0"/>
            </w:tcBorders>
            <w:vAlign w:val="center"/>
          </w:tcPr>
          <w:p w14:paraId="3D1BFE2D">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3021" w:type="dxa"/>
            <w:gridSpan w:val="2"/>
            <w:tcBorders>
              <w:top w:val="single" w:color="000000" w:sz="4" w:space="0"/>
              <w:left w:val="single" w:color="000000" w:sz="4" w:space="0"/>
              <w:bottom w:val="single" w:color="000000" w:sz="4" w:space="0"/>
              <w:right w:val="single" w:color="000000" w:sz="4" w:space="0"/>
            </w:tcBorders>
            <w:vAlign w:val="center"/>
          </w:tcPr>
          <w:p w14:paraId="1F3E6D68">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14:paraId="28D292D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796" w:type="dxa"/>
            <w:tcBorders>
              <w:top w:val="single" w:color="000000" w:sz="4" w:space="0"/>
              <w:left w:val="single" w:color="000000" w:sz="4" w:space="0"/>
              <w:bottom w:val="single" w:color="000000" w:sz="4" w:space="0"/>
              <w:right w:val="single" w:color="000000" w:sz="4" w:space="0"/>
            </w:tcBorders>
            <w:vAlign w:val="bottom"/>
          </w:tcPr>
          <w:p w14:paraId="17721A91">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14:paraId="6A3F2B1B">
      <w:pPr>
        <w:pStyle w:val="11"/>
        <w:pageBreakBefore w:val="0"/>
        <w:kinsoku/>
        <w:overflowPunct/>
        <w:topLinePunct w:val="0"/>
        <w:bidi w:val="0"/>
        <w:spacing w:line="576" w:lineRule="exact"/>
        <w:rPr>
          <w:rFonts w:hint="eastAsia"/>
          <w:lang w:eastAsia="zh-CN"/>
        </w:rPr>
      </w:pPr>
    </w:p>
    <w:p w14:paraId="1FF65C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红原县江茸乡茸日玛村牲畜饲草料加工基地建设项目（物资采购），项目下达资金90万元，资金来源为四川省民族地区两项资金，配套采购草颗粒加工成套设备1套（粉碎机、除尘器、提升机、制粒机、包装线等）</w:t>
      </w:r>
      <w:r>
        <w:rPr>
          <w:rFonts w:hint="eastAsia" w:ascii="仿宋_GB2312" w:hAnsi="仿宋_GB2312" w:eastAsia="仿宋_GB2312" w:cs="仿宋_GB2312"/>
          <w:sz w:val="32"/>
          <w:szCs w:val="32"/>
          <w:lang w:val="zh-CN" w:eastAsia="zh-CN"/>
        </w:rPr>
        <w:t>。项目实施后，</w:t>
      </w:r>
      <w:r>
        <w:rPr>
          <w:rFonts w:hint="eastAsia" w:ascii="仿宋_GB2312" w:hAnsi="仿宋_GB2312" w:eastAsia="仿宋_GB2312" w:cs="仿宋_GB2312"/>
          <w:sz w:val="32"/>
          <w:szCs w:val="32"/>
          <w:lang w:val="en-US" w:eastAsia="zh-CN"/>
        </w:rPr>
        <w:t>对加快草牧业转型升级、实现高质量发展具有积板作用。</w:t>
      </w: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14:paraId="7D38EB28">
        <w:tblPrEx>
          <w:tblCellMar>
            <w:top w:w="15" w:type="dxa"/>
            <w:left w:w="15" w:type="dxa"/>
            <w:bottom w:w="15" w:type="dxa"/>
            <w:right w:w="15" w:type="dxa"/>
          </w:tblCellMar>
        </w:tblPrEx>
        <w:trPr>
          <w:trHeight w:val="685" w:hRule="atLeast"/>
        </w:trPr>
        <w:tc>
          <w:tcPr>
            <w:tcW w:w="9522" w:type="dxa"/>
            <w:gridSpan w:val="8"/>
            <w:vAlign w:val="center"/>
          </w:tcPr>
          <w:p w14:paraId="590DEC61">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14:paraId="283F908E">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14:paraId="337E8B5F">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14:paraId="13F85AE9">
            <w:pPr>
              <w:pageBreakBefore w:val="0"/>
              <w:kinsoku/>
              <w:overflowPunct/>
              <w:topLinePunct w:val="0"/>
              <w:bidi w:val="0"/>
              <w:spacing w:line="576" w:lineRule="exact"/>
              <w:jc w:val="center"/>
              <w:rPr>
                <w:rFonts w:ascii="宋体" w:cs="宋体"/>
                <w:b/>
                <w:color w:val="000000"/>
                <w:sz w:val="24"/>
              </w:rPr>
            </w:pPr>
            <w:r>
              <w:rPr>
                <w:rFonts w:hint="eastAsia" w:ascii="仿宋_GB2312" w:hAnsi="仿宋_GB2312" w:eastAsia="仿宋_GB2312" w:cs="仿宋_GB2312"/>
                <w:sz w:val="32"/>
                <w:szCs w:val="32"/>
                <w:lang w:val="en-US" w:eastAsia="zh-CN"/>
              </w:rPr>
              <w:t>红原县江茸乡茸日玛村牲畜饲草料加工基地建设项目（物资采购）</w:t>
            </w:r>
          </w:p>
        </w:tc>
      </w:tr>
      <w:tr w14:paraId="43DA418C">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14:paraId="67DC0A97">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14:paraId="3C9DC7BF">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14:paraId="2B8791D1">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26CB2FD6">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6A710324">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4D844AA7">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90万元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69788971">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1AA4D945">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86.77万元</w:t>
            </w:r>
          </w:p>
        </w:tc>
      </w:tr>
      <w:tr w14:paraId="3024BAAD">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8EED82B">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4D4B4507">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1BF6017F">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90万元</w:t>
            </w:r>
          </w:p>
        </w:tc>
        <w:tc>
          <w:tcPr>
            <w:tcW w:w="1752" w:type="dxa"/>
            <w:tcBorders>
              <w:top w:val="single" w:color="000000" w:sz="4" w:space="0"/>
              <w:left w:val="single" w:color="000000" w:sz="4" w:space="0"/>
              <w:bottom w:val="single" w:color="000000" w:sz="4" w:space="0"/>
              <w:right w:val="single" w:color="000000" w:sz="4" w:space="0"/>
            </w:tcBorders>
            <w:vAlign w:val="center"/>
          </w:tcPr>
          <w:p w14:paraId="2A28B5E0">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285EE163">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86.77万元</w:t>
            </w:r>
          </w:p>
        </w:tc>
      </w:tr>
      <w:tr w14:paraId="75EB30B2">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1C61F98">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14:paraId="36BD1F54">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14:paraId="52E000B8">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14:paraId="2F6ED681">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14:paraId="125D32C6">
            <w:pPr>
              <w:pageBreakBefore w:val="0"/>
              <w:kinsoku/>
              <w:overflowPunct/>
              <w:topLinePunct w:val="0"/>
              <w:bidi w:val="0"/>
              <w:spacing w:line="576" w:lineRule="exact"/>
              <w:jc w:val="center"/>
              <w:rPr>
                <w:rFonts w:ascii="宋体" w:cs="宋体"/>
                <w:b/>
                <w:color w:val="000000"/>
                <w:sz w:val="24"/>
              </w:rPr>
            </w:pPr>
          </w:p>
        </w:tc>
      </w:tr>
      <w:tr w14:paraId="3639242A">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6D032778">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14:paraId="2AB9EF57">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14:paraId="7DC24269">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14:paraId="3CAC7845">
        <w:tblPrEx>
          <w:tblCellMar>
            <w:top w:w="15" w:type="dxa"/>
            <w:left w:w="15" w:type="dxa"/>
            <w:bottom w:w="15" w:type="dxa"/>
            <w:right w:w="15" w:type="dxa"/>
          </w:tblCellMar>
        </w:tblPrEx>
        <w:trPr>
          <w:trHeight w:val="165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0AB690B">
            <w:pPr>
              <w:pageBreakBefore w:val="0"/>
              <w:kinsoku/>
              <w:overflowPunct/>
              <w:topLinePunct w:val="0"/>
              <w:bidi w:val="0"/>
              <w:spacing w:line="576" w:lineRule="exact"/>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14:paraId="48E01C90">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采购草颗粒加工成套设备1套</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14:paraId="51F10460">
            <w:pPr>
              <w:pageBreakBefore w:val="0"/>
              <w:widowControl/>
              <w:kinsoku/>
              <w:overflowPunct/>
              <w:topLinePunct w:val="0"/>
              <w:bidi w:val="0"/>
              <w:spacing w:line="576" w:lineRule="exact"/>
              <w:jc w:val="center"/>
              <w:textAlignment w:val="center"/>
              <w:rPr>
                <w:rFonts w:hint="default" w:ascii="宋体" w:cs="宋体"/>
                <w:color w:val="000000"/>
                <w:kern w:val="0"/>
                <w:sz w:val="20"/>
                <w:szCs w:val="20"/>
                <w:lang w:val="en-US"/>
              </w:rPr>
            </w:pPr>
            <w:r>
              <w:rPr>
                <w:rFonts w:hint="eastAsia" w:ascii="仿宋_GB2312" w:hAnsi="仿宋_GB2312" w:eastAsia="仿宋_GB2312" w:cs="仿宋_GB2312"/>
                <w:sz w:val="24"/>
                <w:szCs w:val="24"/>
                <w:lang w:val="en-US" w:eastAsia="zh-CN"/>
              </w:rPr>
              <w:t>采购草颗粒加工成套设备1套</w:t>
            </w:r>
          </w:p>
        </w:tc>
      </w:tr>
      <w:tr w14:paraId="37ACAD13">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14:paraId="2E6DD626">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39128ED4">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14:paraId="4BB83507">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29FD8236">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14:paraId="76D8F83A">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14:paraId="24826B33">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14:paraId="7270185D">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14:paraId="18659C0E">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DF25F1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19B5EB1E">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14:paraId="6221FD91">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6438BC96">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78BBE3AC">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14:paraId="2D8DDBA1">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14:paraId="7C0EF0EF">
            <w:pPr>
              <w:pageBreakBefore w:val="0"/>
              <w:kinsoku/>
              <w:overflowPunct/>
              <w:topLinePunct w:val="0"/>
              <w:bidi w:val="0"/>
              <w:spacing w:line="576" w:lineRule="exact"/>
              <w:jc w:val="center"/>
              <w:rPr>
                <w:rFonts w:ascii="宋体" w:cs="宋体"/>
                <w:b/>
                <w:color w:val="000000"/>
                <w:sz w:val="20"/>
                <w:szCs w:val="20"/>
              </w:rPr>
            </w:pPr>
          </w:p>
        </w:tc>
      </w:tr>
      <w:tr w14:paraId="0A17B1C7">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783E73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181D1D16">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14:paraId="19B505B3">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2A58043C">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581DD805">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14:paraId="4A41173F">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14:paraId="5927D845">
            <w:pPr>
              <w:pageBreakBefore w:val="0"/>
              <w:kinsoku/>
              <w:overflowPunct/>
              <w:topLinePunct w:val="0"/>
              <w:bidi w:val="0"/>
              <w:spacing w:line="576" w:lineRule="exact"/>
              <w:jc w:val="center"/>
              <w:rPr>
                <w:rFonts w:ascii="宋体" w:cs="宋体"/>
                <w:b/>
                <w:color w:val="000000"/>
                <w:sz w:val="20"/>
                <w:szCs w:val="20"/>
              </w:rPr>
            </w:pPr>
          </w:p>
        </w:tc>
      </w:tr>
      <w:tr w14:paraId="55993E82">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E17ADC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1DD2260D">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0AD3D47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14:paraId="60DE3911">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BDE241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06001DDD">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Times New Roman" w:cs="宋?"/>
                <w:kern w:val="0"/>
                <w:sz w:val="20"/>
                <w:szCs w:val="20"/>
                <w:lang w:val="en-US" w:eastAsia="zh-CN"/>
              </w:rPr>
              <w:t>加快草牧业转型升级</w:t>
            </w:r>
          </w:p>
        </w:tc>
        <w:tc>
          <w:tcPr>
            <w:tcW w:w="1931" w:type="dxa"/>
            <w:tcBorders>
              <w:top w:val="single" w:color="000000" w:sz="4" w:space="0"/>
              <w:left w:val="single" w:color="000000" w:sz="4" w:space="0"/>
              <w:bottom w:val="single" w:color="000000" w:sz="4" w:space="0"/>
              <w:right w:val="single" w:color="000000" w:sz="4" w:space="0"/>
            </w:tcBorders>
            <w:vAlign w:val="bottom"/>
          </w:tcPr>
          <w:p w14:paraId="520171D5">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hAnsi="Times New Roman" w:cs="宋?"/>
                <w:kern w:val="0"/>
                <w:sz w:val="20"/>
                <w:szCs w:val="20"/>
                <w:lang w:val="en-US" w:eastAsia="zh-CN"/>
              </w:rPr>
              <w:t>加快草牧业转型升级</w:t>
            </w:r>
          </w:p>
        </w:tc>
      </w:tr>
      <w:tr w14:paraId="15DE0378">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45A192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24A501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6798664">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0617BE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53DAA5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14:paraId="7C6D8D7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988F677">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F2C7B04">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8D124FE">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05AEBF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3133247">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591B04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C70F247">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6EB0ABEA">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69D922E1">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41FD4533">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6C15C7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95C7E53">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08B6679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14:paraId="1A386AAB">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A0D0E4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14:paraId="4BCAEB4F">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14:paraId="58EC9863">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14:paraId="5937ABC5">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809C24D">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C742A81">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971AF79">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213195E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489C880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14:paraId="0B3C242D">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26A87E1C">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46847E7D">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B87941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D58B2D3">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9BB6727">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2438B974">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59D7A4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14:paraId="1A344A7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5D918BC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8720CCD">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270137C">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8B1E18B">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D85B832">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14:paraId="3CE37F2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4088559">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14:paraId="667D42E8">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08F3C9A5">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14:paraId="642AA829">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6D66C0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FFD6148">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88A3F41">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14:paraId="7EF7A64C">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32C48DF">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14:paraId="594C20B7">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14:paraId="69D3BF23">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14:paraId="2F4EA37E">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5D905E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5AD969B">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0D99DD5">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14:paraId="3CB16C09">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C6396C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14:paraId="2C19244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51CE4456">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8C7F29C">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EEE5C6B">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C3EE0E4">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3534069">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2D116241">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847FF57">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14:paraId="45B6D63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5065EDF3">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901E3DC">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246B0616">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CE0A759">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1731BF1">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14:paraId="37B19B2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20B0688B">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42D7B50F">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0A6958CE">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2737A1EA">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04F436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0789BE2">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4041FB4">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0D2D9CBB">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14:paraId="78609C7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14:paraId="33E7713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644EFA7B">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72FE1F7B">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18B0819A">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D02F76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0D4B521">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D93DEF8">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0977B9C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14:paraId="5A63E27D">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14:paraId="7D02999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14:paraId="4E2B55A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4B02286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8ECD241">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6E3FFB8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013EC3C">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70B18B9">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14:paraId="08308E9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3B80696">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14:paraId="0B458DAC">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D4487B8">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DE1A0A1">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BB8736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C37CC80">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87AFC62">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1A2B26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32BD64A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14:paraId="7D2746C1">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FBDB3D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23DBAD5">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77ECC60">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4EF8A7">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6E3E0821">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14:paraId="29471B4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D2AA457">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14:paraId="114AF25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40D1D6A">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9325B6F">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C9B02F7">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C8A7365">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395A933">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37435BF3">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1664F868">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7FE4197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50805D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7C3F472">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8C1081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9274BC6">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A8DB19">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511055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534E164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3CF20DE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61AE28CB">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A1F2B78">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639E68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909C6EF">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6F06B5A3">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14:paraId="7E9AD674">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DE1880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14:paraId="79F57F9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34679CFF">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19CFECB3">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9F42CFC">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4EE9DE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039CB8C">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1B76EFE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7E211D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14:paraId="301E468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3AF5AA81">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20E3C67C">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B6AC423">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86A9DCD">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1F9521BC">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14:paraId="3C46EFF4">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186D188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14:paraId="75A620E5">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1DEB9C7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755FC680">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50C74412">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AED8A7">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6F6400E">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53B534E">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F93383A">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4105924F">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14:paraId="3BCCA7ED">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14:paraId="60FA83C6">
        <w:tblPrEx>
          <w:tblCellMar>
            <w:top w:w="15" w:type="dxa"/>
            <w:left w:w="15" w:type="dxa"/>
            <w:bottom w:w="15" w:type="dxa"/>
            <w:right w:w="15" w:type="dxa"/>
          </w:tblCellMar>
        </w:tblPrEx>
        <w:trPr>
          <w:trHeight w:val="6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38E07DF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FFAF126">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9C09101">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2C1CBFCA">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B36EB0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14:paraId="669D90C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7A33535E">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0589F880">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2A44714">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21C404BE">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3F870206">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14:paraId="61D23402">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A8AAC8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6AE94551">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1C1A852D">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14:paraId="2BB1F53C">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A7AB1D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B79B567">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6A82767">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9AE7B09">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24BBEED7">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14:paraId="2DD5FB94">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14:paraId="2D620920">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14:paraId="6EC21F0B">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6DCDEB0">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ECF1A69">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293711E1">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592EA0EF">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6F1C6D3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53A6DCD4">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22C6F195">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14:paraId="0D862D52">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191C232F">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422734E">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81750C6">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1F25CB77">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C491ABE">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14:paraId="4901A55F">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14:paraId="67ACD55D">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14:paraId="5FE1E8FA">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78C35D28">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1601C6C">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D76889B">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14:paraId="7F4EEA9D">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1A783A6C">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032D0936">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cs="宋?"/>
                <w:kern w:val="0"/>
                <w:sz w:val="20"/>
                <w:szCs w:val="20"/>
                <w:lang w:val="en-US" w:eastAsia="zh-CN"/>
              </w:rPr>
              <w:t>提高群众收入</w:t>
            </w:r>
          </w:p>
        </w:tc>
        <w:tc>
          <w:tcPr>
            <w:tcW w:w="1931" w:type="dxa"/>
            <w:tcBorders>
              <w:top w:val="single" w:color="000000" w:sz="4" w:space="0"/>
              <w:left w:val="single" w:color="000000" w:sz="4" w:space="0"/>
              <w:bottom w:val="single" w:color="000000" w:sz="4" w:space="0"/>
              <w:right w:val="single" w:color="000000" w:sz="4" w:space="0"/>
            </w:tcBorders>
            <w:vAlign w:val="bottom"/>
          </w:tcPr>
          <w:p w14:paraId="2B80B4B0">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Times New Roman" w:cs="宋?"/>
                <w:kern w:val="0"/>
                <w:sz w:val="20"/>
                <w:szCs w:val="20"/>
                <w:lang w:eastAsia="zh-CN"/>
              </w:rPr>
              <w:t>提高</w:t>
            </w:r>
            <w:r>
              <w:rPr>
                <w:rFonts w:hint="eastAsia" w:ascii="宋?" w:cs="宋?"/>
                <w:kern w:val="0"/>
                <w:sz w:val="20"/>
                <w:szCs w:val="20"/>
                <w:lang w:val="en-US" w:eastAsia="zh-CN"/>
              </w:rPr>
              <w:t>群众收入</w:t>
            </w:r>
          </w:p>
        </w:tc>
      </w:tr>
      <w:tr w14:paraId="0237DCBA">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05F6E875">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02C881C">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35A4AD4">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7D2BA288">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04CAD810">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102A2019">
            <w:pPr>
              <w:pageBreakBefore w:val="0"/>
              <w:kinsoku/>
              <w:overflowPunct/>
              <w:topLinePunct w:val="0"/>
              <w:bidi w:val="0"/>
              <w:spacing w:line="576"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进一步推动草牧业转型升级、实现高质量发展。</w:t>
            </w:r>
          </w:p>
        </w:tc>
        <w:tc>
          <w:tcPr>
            <w:tcW w:w="1931" w:type="dxa"/>
            <w:tcBorders>
              <w:top w:val="single" w:color="000000" w:sz="4" w:space="0"/>
              <w:left w:val="single" w:color="000000" w:sz="4" w:space="0"/>
              <w:bottom w:val="single" w:color="000000" w:sz="4" w:space="0"/>
              <w:right w:val="single" w:color="000000" w:sz="4" w:space="0"/>
            </w:tcBorders>
            <w:vAlign w:val="bottom"/>
          </w:tcPr>
          <w:p w14:paraId="0AA30B58">
            <w:pPr>
              <w:pageBreakBefore w:val="0"/>
              <w:kinsoku/>
              <w:overflowPunct/>
              <w:topLinePunct w:val="0"/>
              <w:bidi w:val="0"/>
              <w:spacing w:line="576"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进一步推动草牧业转型升级、实现高质量发展。</w:t>
            </w:r>
          </w:p>
        </w:tc>
      </w:tr>
      <w:tr w14:paraId="3EA6B89C">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549AFFA">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C2CE24A">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E2C5AAF">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14:paraId="631C01F1">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14:paraId="7E97B144">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3AD9F107">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val="en-US" w:eastAsia="zh-CN"/>
              </w:rPr>
              <w:t>提高生产，增加牧民收入。</w:t>
            </w:r>
          </w:p>
        </w:tc>
        <w:tc>
          <w:tcPr>
            <w:tcW w:w="1931" w:type="dxa"/>
            <w:tcBorders>
              <w:top w:val="single" w:color="000000" w:sz="4" w:space="0"/>
              <w:left w:val="single" w:color="000000" w:sz="4" w:space="0"/>
              <w:bottom w:val="single" w:color="000000" w:sz="4" w:space="0"/>
              <w:right w:val="single" w:color="000000" w:sz="4" w:space="0"/>
            </w:tcBorders>
            <w:vAlign w:val="bottom"/>
          </w:tcPr>
          <w:p w14:paraId="4CC2A712">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val="en-US" w:eastAsia="zh-CN"/>
              </w:rPr>
              <w:t>提高生产，增加牧民收入。</w:t>
            </w:r>
          </w:p>
        </w:tc>
      </w:tr>
      <w:tr w14:paraId="0B386EA6">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14:paraId="48D779D1">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AF09447">
            <w:pPr>
              <w:pageBreakBefore w:val="0"/>
              <w:kinsoku/>
              <w:overflowPunct/>
              <w:topLinePunct w:val="0"/>
              <w:bidi w:val="0"/>
              <w:spacing w:line="576"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14:paraId="28720A77">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14:paraId="02CBC805">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14:paraId="277812BE">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14:paraId="326B0ED9">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14:paraId="63065C16">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14:paraId="65E1D389">
      <w:pPr>
        <w:pageBreakBefore w:val="0"/>
        <w:kinsoku/>
        <w:overflowPunct/>
        <w:topLinePunct w:val="0"/>
        <w:bidi w:val="0"/>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2.部门绩效评价结果。</w:t>
      </w:r>
    </w:p>
    <w:p w14:paraId="45F6E36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自评得分为</w:t>
      </w:r>
      <w:r>
        <w:rPr>
          <w:rFonts w:hint="eastAsia" w:ascii="仿宋_GB2312" w:hAnsi="仿宋_GB2312" w:eastAsia="仿宋_GB2312" w:cs="仿宋_GB2312"/>
          <w:sz w:val="32"/>
          <w:szCs w:val="32"/>
          <w:lang w:val="en-US" w:eastAsia="zh-CN"/>
        </w:rPr>
        <w:t>93分。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江茸乡人民政府</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0DDF5DD6">
      <w:pPr>
        <w:pageBreakBefore w:val="0"/>
        <w:widowControl/>
        <w:kinsoku/>
        <w:overflowPunct/>
        <w:topLinePunct w:val="0"/>
        <w:bidi w:val="0"/>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14:paraId="4BE0428D">
      <w:pPr>
        <w:pageBreakBefore w:val="0"/>
        <w:numPr>
          <w:ilvl w:val="0"/>
          <w:numId w:val="0"/>
        </w:numPr>
        <w:kinsoku/>
        <w:overflowPunct/>
        <w:topLinePunct w:val="0"/>
        <w:bidi w:val="0"/>
        <w:spacing w:line="576" w:lineRule="exact"/>
        <w:ind w:firstLine="660" w:firstLineChars="150"/>
        <w:jc w:val="center"/>
        <w:outlineLvl w:val="0"/>
        <w:rPr>
          <w:rFonts w:ascii="宋体"/>
          <w:b/>
          <w:color w:val="000000"/>
          <w:sz w:val="44"/>
          <w:szCs w:val="44"/>
        </w:rPr>
      </w:pPr>
      <w:bookmarkStart w:id="118" w:name="_Toc11473"/>
      <w:bookmarkStart w:id="119" w:name="_Toc15377225"/>
      <w:bookmarkStart w:id="120" w:name="_Toc15396613"/>
      <w:bookmarkStart w:id="121" w:name="_Toc883"/>
      <w:r>
        <w:rPr>
          <w:rFonts w:hint="eastAsia" w:ascii="黑体" w:hAnsi="黑体" w:eastAsia="黑体" w:cs="Times New Roman"/>
          <w:b w:val="0"/>
          <w:bCs/>
          <w:kern w:val="44"/>
          <w:sz w:val="44"/>
          <w:szCs w:val="44"/>
          <w:lang w:val="en-US" w:eastAsia="zh-CN" w:bidi="ar-SA"/>
        </w:rPr>
        <w:t xml:space="preserve">第三部分 </w:t>
      </w:r>
      <w:r>
        <w:rPr>
          <w:rFonts w:hint="eastAsia" w:ascii="黑体" w:hAnsi="黑体" w:eastAsia="黑体"/>
          <w:color w:val="000000"/>
          <w:sz w:val="44"/>
          <w:szCs w:val="44"/>
        </w:rPr>
        <w:t>名</w:t>
      </w:r>
      <w:r>
        <w:rPr>
          <w:rStyle w:val="31"/>
          <w:rFonts w:hint="eastAsia" w:ascii="黑体" w:hAnsi="黑体" w:eastAsia="黑体"/>
          <w:b w:val="0"/>
        </w:rPr>
        <w:t>词解释</w:t>
      </w:r>
      <w:bookmarkEnd w:id="118"/>
      <w:bookmarkEnd w:id="119"/>
      <w:bookmarkEnd w:id="120"/>
      <w:bookmarkEnd w:id="121"/>
    </w:p>
    <w:p w14:paraId="6ECB155E">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bookmarkStart w:id="122" w:name="_Toc15377226"/>
      <w:r>
        <w:rPr>
          <w:rFonts w:hint="eastAsia" w:ascii="仿宋_GB2312" w:eastAsia="仿宋_GB2312"/>
          <w:color w:val="000000"/>
          <w:sz w:val="32"/>
          <w:szCs w:val="32"/>
        </w:rPr>
        <w:t>1.财政拨款收入：指单位从同级财政部门取得的财政预算资金。</w:t>
      </w:r>
    </w:p>
    <w:p w14:paraId="754FD693">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w:t>
      </w:r>
      <w:r>
        <w:rPr>
          <w:rFonts w:hint="eastAsia" w:ascii="仿宋_GB2312" w:eastAsia="仿宋_GB2312"/>
          <w:color w:val="000000"/>
          <w:sz w:val="32"/>
          <w:szCs w:val="32"/>
          <w:lang w:eastAsia="zh-CN"/>
        </w:rPr>
        <w:t>援建项目收入</w:t>
      </w:r>
      <w:r>
        <w:rPr>
          <w:rFonts w:hint="eastAsia" w:ascii="仿宋_GB2312" w:eastAsia="仿宋_GB2312"/>
          <w:color w:val="000000"/>
          <w:sz w:val="32"/>
          <w:szCs w:val="32"/>
        </w:rPr>
        <w:t>等。</w:t>
      </w:r>
    </w:p>
    <w:p w14:paraId="0AFCAF45">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14:paraId="0F1B5374">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14:paraId="5A68B353">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14:paraId="72324F31">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14:paraId="5B2D8770">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14:paraId="4D0E3D9A">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14:paraId="67D5D3BB">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14:paraId="0F598D95">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14:paraId="343EE78A">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14:paraId="64A531F6">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14:paraId="4E70ED69">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14:paraId="1FFD37DA">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14:paraId="7A416600">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14:paraId="5725C249">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14:paraId="2BD66829">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14:paraId="43DB918A">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14:paraId="0A4989FB">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14:paraId="0F5CE55E">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14:paraId="4AFD40AE">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14:paraId="6F5B8E6B">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14:paraId="24FB29CB">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14:paraId="3F845920">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14:paraId="37AC6879">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F565B4E">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14:paraId="64D72B2C">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14:paraId="5F6B011D">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14:paraId="4F9B37CD">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14:paraId="07AA51A8">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8F8E860">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9503C95">
      <w:pPr>
        <w:spacing w:line="600" w:lineRule="exact"/>
        <w:jc w:val="center"/>
        <w:outlineLvl w:val="0"/>
        <w:rPr>
          <w:rStyle w:val="31"/>
          <w:rFonts w:ascii="黑体" w:hAnsi="黑体" w:eastAsia="黑体"/>
          <w:b w:val="0"/>
        </w:rPr>
      </w:pPr>
      <w:r>
        <w:rPr>
          <w:rFonts w:ascii="宋体"/>
          <w:b/>
          <w:color w:val="000000"/>
          <w:sz w:val="44"/>
          <w:szCs w:val="44"/>
        </w:rPr>
        <w:br w:type="page"/>
      </w:r>
      <w:bookmarkStart w:id="123" w:name="_Toc3620"/>
      <w:bookmarkStart w:id="124" w:name="_Toc15396614"/>
      <w:bookmarkStart w:id="125" w:name="_Toc10820"/>
      <w:r>
        <w:rPr>
          <w:rFonts w:hint="eastAsia" w:ascii="黑体" w:hAnsi="黑体" w:eastAsia="黑体"/>
          <w:color w:val="000000"/>
          <w:sz w:val="44"/>
          <w:szCs w:val="44"/>
        </w:rPr>
        <w:t>第</w:t>
      </w:r>
      <w:r>
        <w:rPr>
          <w:rStyle w:val="31"/>
          <w:rFonts w:hint="eastAsia" w:ascii="黑体" w:hAnsi="黑体" w:eastAsia="黑体"/>
          <w:b w:val="0"/>
          <w:lang w:eastAsia="zh-CN"/>
        </w:rPr>
        <w:t>四</w:t>
      </w:r>
      <w:r>
        <w:rPr>
          <w:rStyle w:val="31"/>
          <w:rFonts w:hint="eastAsia" w:ascii="黑体" w:hAnsi="黑体" w:eastAsia="黑体"/>
          <w:b w:val="0"/>
        </w:rPr>
        <w:t>部分 附件</w:t>
      </w:r>
      <w:bookmarkEnd w:id="123"/>
      <w:bookmarkEnd w:id="124"/>
      <w:bookmarkEnd w:id="125"/>
    </w:p>
    <w:p w14:paraId="114F95FD">
      <w:pPr>
        <w:spacing w:line="600" w:lineRule="exact"/>
        <w:jc w:val="left"/>
        <w:outlineLvl w:val="1"/>
        <w:rPr>
          <w:rFonts w:ascii="方正小标宋简体" w:hAnsi="方正小标宋简体" w:eastAsia="方正小标宋简体" w:cs="方正小标宋简体"/>
          <w:sz w:val="44"/>
          <w:szCs w:val="44"/>
        </w:rPr>
      </w:pPr>
      <w:bookmarkStart w:id="126" w:name="_Toc8405"/>
      <w:bookmarkStart w:id="127" w:name="_Toc12459"/>
      <w:r>
        <w:rPr>
          <w:rFonts w:hint="eastAsia" w:ascii="黑体" w:hAnsi="黑体" w:eastAsia="黑体" w:cs="黑体"/>
          <w:sz w:val="32"/>
          <w:szCs w:val="32"/>
        </w:rPr>
        <w:t>附件1</w:t>
      </w:r>
      <w:bookmarkEnd w:id="126"/>
      <w:bookmarkEnd w:id="127"/>
    </w:p>
    <w:p w14:paraId="0623F648">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江茸乡人民政府</w:t>
      </w:r>
    </w:p>
    <w:p w14:paraId="6940388B">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eastAsia="zh-CN"/>
        </w:rPr>
        <w:t>2023</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14:paraId="25B14EBC">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rPr>
          <w:rFonts w:hint="default" w:ascii="黑体" w:hAnsi="宋体" w:eastAsia="黑体" w:cs="宋体"/>
          <w:color w:val="000000"/>
          <w:kern w:val="0"/>
          <w:sz w:val="32"/>
          <w:szCs w:val="32"/>
          <w:shd w:val="clear" w:color="auto" w:fill="FFFFFF"/>
          <w:lang w:val="zh-CN" w:bidi="ar-SA"/>
        </w:rPr>
      </w:pPr>
      <w:r>
        <w:rPr>
          <w:rFonts w:hint="eastAsia" w:ascii="黑体" w:hAnsi="宋体" w:eastAsia="黑体" w:cs="宋体"/>
          <w:color w:val="000000"/>
          <w:kern w:val="0"/>
          <w:sz w:val="32"/>
          <w:szCs w:val="32"/>
          <w:shd w:val="clear" w:color="auto" w:fill="FFFFFF"/>
          <w:lang w:val="zh-CN" w:bidi="ar-SA"/>
        </w:rPr>
        <w:t>一、</w:t>
      </w:r>
      <w:r>
        <w:rPr>
          <w:rFonts w:hint="default" w:ascii="黑体" w:hAnsi="宋体" w:eastAsia="黑体" w:cs="宋体"/>
          <w:color w:val="000000"/>
          <w:kern w:val="0"/>
          <w:sz w:val="32"/>
          <w:szCs w:val="32"/>
          <w:shd w:val="clear" w:color="auto" w:fill="FFFFFF"/>
          <w:lang w:val="zh-CN" w:bidi="ar-SA"/>
        </w:rPr>
        <w:t>部门基本情况</w:t>
      </w:r>
    </w:p>
    <w:p w14:paraId="17934D3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w:t>
      </w:r>
      <w:r>
        <w:rPr>
          <w:rFonts w:hint="default" w:ascii="楷体_GB2312" w:hAnsi="楷体_GB2312" w:eastAsia="楷体_GB2312" w:cs="楷体_GB2312"/>
          <w:b/>
          <w:kern w:val="2"/>
          <w:sz w:val="32"/>
          <w:szCs w:val="32"/>
          <w:lang w:val="zh-CN" w:eastAsia="zh-CN" w:bidi="ar-SA"/>
        </w:rPr>
        <w:t>机构组成</w:t>
      </w:r>
    </w:p>
    <w:p w14:paraId="46FF1A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江茸乡核算机构为江茸乡机关和江茸乡事业</w:t>
      </w:r>
      <w:r>
        <w:rPr>
          <w:rFonts w:hint="eastAsia" w:ascii="仿宋_GB2312" w:hAnsi="仿宋_GB2312" w:eastAsia="仿宋_GB2312" w:cs="仿宋_GB2312"/>
          <w:kern w:val="2"/>
          <w:sz w:val="32"/>
          <w:szCs w:val="32"/>
          <w:lang w:val="en-US" w:eastAsia="zh-CN" w:bidi="ar-SA"/>
        </w:rPr>
        <w:t>2个</w:t>
      </w:r>
      <w:r>
        <w:rPr>
          <w:rFonts w:hint="eastAsia" w:ascii="仿宋_GB2312" w:hAnsi="仿宋_GB2312" w:eastAsia="仿宋_GB2312" w:cs="仿宋_GB2312"/>
          <w:kern w:val="2"/>
          <w:sz w:val="32"/>
          <w:szCs w:val="32"/>
          <w:lang w:val="zh-CN" w:eastAsia="zh-CN" w:bidi="ar-SA"/>
        </w:rPr>
        <w:t>。</w:t>
      </w:r>
    </w:p>
    <w:p w14:paraId="3E1A769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w:t>
      </w:r>
      <w:r>
        <w:rPr>
          <w:rFonts w:hint="default" w:ascii="楷体_GB2312" w:hAnsi="楷体_GB2312" w:eastAsia="楷体_GB2312" w:cs="楷体_GB2312"/>
          <w:b/>
          <w:kern w:val="2"/>
          <w:sz w:val="32"/>
          <w:szCs w:val="32"/>
          <w:lang w:val="zh-CN" w:eastAsia="zh-CN" w:bidi="ar-SA"/>
        </w:rPr>
        <w:t>机构职能</w:t>
      </w:r>
    </w:p>
    <w:p w14:paraId="287E89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根据江茸乡三定方案（红委办【</w:t>
      </w:r>
      <w:r>
        <w:rPr>
          <w:rFonts w:hint="eastAsia" w:ascii="仿宋_GB2312" w:hAnsi="仿宋_GB2312" w:eastAsia="仿宋_GB2312" w:cs="仿宋_GB2312"/>
          <w:kern w:val="2"/>
          <w:sz w:val="32"/>
          <w:szCs w:val="32"/>
          <w:lang w:val="en-US" w:eastAsia="zh-CN" w:bidi="ar-SA"/>
        </w:rPr>
        <w:t>2023</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127号</w:t>
      </w:r>
      <w:r>
        <w:rPr>
          <w:rFonts w:hint="eastAsia" w:ascii="仿宋_GB2312" w:hAnsi="仿宋_GB2312" w:eastAsia="仿宋_GB2312" w:cs="仿宋_GB2312"/>
          <w:kern w:val="2"/>
          <w:sz w:val="32"/>
          <w:szCs w:val="32"/>
          <w:lang w:val="zh-CN" w:eastAsia="zh-CN" w:bidi="ar-SA"/>
        </w:rPr>
        <w:t>）。</w:t>
      </w:r>
    </w:p>
    <w:p w14:paraId="0DC4472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乡</w:t>
      </w:r>
      <w:r>
        <w:rPr>
          <w:rFonts w:hint="eastAsia" w:ascii="仿宋_GB2312" w:hAnsi="仿宋_GB2312" w:eastAsia="仿宋_GB2312" w:cs="仿宋_GB2312"/>
          <w:b/>
          <w:bCs/>
          <w:sz w:val="32"/>
          <w:szCs w:val="32"/>
        </w:rPr>
        <w:t>党委工作职责</w:t>
      </w:r>
    </w:p>
    <w:p w14:paraId="5A6753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乡党委是本乡各项工作的领导核心，是农村改革和经济建设的直接组织者和领导者，主要职责：</w:t>
      </w:r>
    </w:p>
    <w:p w14:paraId="2564CE6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负责贯彻执行党的路线方针政策和上级党组织及本乡党员代表大会的决议；</w:t>
      </w:r>
    </w:p>
    <w:p w14:paraId="2DAE448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讨论决定本乡经济建设和社会发展的重大问题；</w:t>
      </w:r>
    </w:p>
    <w:p w14:paraId="1C6509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领导乡政权机关和群众组织，支持和保证这些机关和组织依照国家法律法规及各自章程充分行使职权；</w:t>
      </w:r>
    </w:p>
    <w:p w14:paraId="24EE06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加强乡党委自身建设和以党支部为核心的村级组织建设；</w:t>
      </w:r>
    </w:p>
    <w:p w14:paraId="5F36DB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按照干部管理权限，负责对干部的教育、培养、选拔、考核和监督工作；</w:t>
      </w:r>
    </w:p>
    <w:p w14:paraId="711834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领导本乡的社会主义民主法制建设和精神文明建设，做好社会治安综合治理和计划生育等工作。</w:t>
      </w:r>
    </w:p>
    <w:p w14:paraId="19F4420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）人大主席团工作职责</w:t>
      </w:r>
    </w:p>
    <w:p w14:paraId="04E32D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1.负责召开本级人民代表大会会议的具体准备工作；</w:t>
      </w:r>
    </w:p>
    <w:p w14:paraId="0E3A7D6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2.负责联系本级人民代表大会代表，组织代表开展活动，总结交流代表小组活动经验；</w:t>
      </w:r>
    </w:p>
    <w:p w14:paraId="3EF9042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3.反映代表和群众对本级人民政府工作的建议、批评和意见；</w:t>
      </w:r>
    </w:p>
    <w:p w14:paraId="092DAF1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4.参加本级人民政府的重要会议；</w:t>
      </w:r>
    </w:p>
    <w:p w14:paraId="75D5807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5.组织实施本级人民代表大会和主席团决定的有关事项；</w:t>
      </w:r>
    </w:p>
    <w:p w14:paraId="7F768D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6.督促办理代表和人民群众的来信来访。</w:t>
      </w:r>
    </w:p>
    <w:p w14:paraId="3E6C066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）政府工作职责</w:t>
      </w:r>
    </w:p>
    <w:p w14:paraId="200AEA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1.贯彻执行党的路线方针政策和国家法律法规，贯彻执行上级行政机关的决议、命令及同级党委的决定，执行乡人民代表大会的决议；</w:t>
      </w:r>
    </w:p>
    <w:p w14:paraId="7D403A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2.对乡人民代表大会及其主席团和上级行政机关负责并报告工作；</w:t>
      </w:r>
    </w:p>
    <w:p w14:paraId="226653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3.编制和执行乡国民经济和社会发展计划，编制并执行财政预算；</w:t>
      </w:r>
    </w:p>
    <w:p w14:paraId="2CEC48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4.管理本行政区域经济和各项社会事业的行政工作；</w:t>
      </w:r>
    </w:p>
    <w:p w14:paraId="62F523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5.负责辖区内行政执法工作，维护社会秩序，保护公民人身、民主、财产等合法权利，保护各种经济组织的合法权益；</w:t>
      </w:r>
    </w:p>
    <w:p w14:paraId="05FA48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6.指导、支持和帮助村民委员会工作；</w:t>
      </w:r>
    </w:p>
    <w:p w14:paraId="4C3060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7.法律规定赋予烦人其它职责。</w:t>
      </w:r>
    </w:p>
    <w:p w14:paraId="5E4E8B4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）人民武装部工作职责</w:t>
      </w:r>
    </w:p>
    <w:p w14:paraId="70C783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1.负责民兵组织建设、政治教育、军事训练；</w:t>
      </w:r>
    </w:p>
    <w:p w14:paraId="0E4946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2.为本系统自主择业转业干部提供管理和服务；</w:t>
      </w:r>
    </w:p>
    <w:p w14:paraId="5BC67F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3.组织带领民兵完成战备执勤任务，配合公安部门维护社会治安；</w:t>
      </w:r>
    </w:p>
    <w:p w14:paraId="172BA3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4.战时组织带领民兵参军参战，支援前线；</w:t>
      </w:r>
    </w:p>
    <w:p w14:paraId="641C8DF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5.负责征兵工作和预备役士兵、预备役军官登记统计工作；</w:t>
      </w:r>
    </w:p>
    <w:p w14:paraId="50B315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6.协同预备役部（分）队落实参训人员，做好兵员的管理、动员集结等工作；</w:t>
      </w:r>
    </w:p>
    <w:p w14:paraId="3FB71B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7.协助有关部门开展国防教育，做好退伍人员的安置和烈军属的优抚工作；</w:t>
      </w:r>
    </w:p>
    <w:p w14:paraId="3810DD6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zh-CN" w:eastAsia="zh-CN" w:bidi="ar-SA"/>
        </w:rPr>
        <w:t>8.完成地方党委、人民政府和上级军事机关交给的其他工作任务。</w:t>
      </w:r>
    </w:p>
    <w:p w14:paraId="6AA5996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（三）人员概况</w:t>
      </w:r>
    </w:p>
    <w:p w14:paraId="0E8C4FE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年末，本单位实有人数为</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lang w:val="zh-CN" w:eastAsia="zh-CN"/>
        </w:rPr>
        <w:t>人，行政人员为</w:t>
      </w:r>
      <w:r>
        <w:rPr>
          <w:rFonts w:hint="eastAsia" w:ascii="仿宋_GB2312" w:hAnsi="仿宋_GB2312" w:eastAsia="仿宋_GB2312" w:cs="仿宋_GB2312"/>
          <w:sz w:val="32"/>
          <w:szCs w:val="32"/>
          <w:lang w:val="en-US" w:eastAsia="zh-CN"/>
        </w:rPr>
        <w:t>18人，事业人员为10人。</w:t>
      </w:r>
    </w:p>
    <w:p w14:paraId="03631B51">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rPr>
          <w:rFonts w:hint="eastAsia" w:ascii="黑体" w:hAnsi="宋体" w:eastAsia="黑体" w:cs="宋体"/>
          <w:color w:val="000000"/>
          <w:kern w:val="0"/>
          <w:sz w:val="32"/>
          <w:szCs w:val="32"/>
          <w:shd w:val="clear" w:color="auto" w:fill="FFFFFF"/>
          <w:lang w:val="zh-CN" w:bidi="ar-SA"/>
        </w:rPr>
      </w:pPr>
      <w:r>
        <w:rPr>
          <w:rFonts w:hint="eastAsia" w:ascii="黑体" w:hAnsi="宋体" w:eastAsia="黑体" w:cs="宋体"/>
          <w:color w:val="000000"/>
          <w:kern w:val="0"/>
          <w:sz w:val="32"/>
          <w:szCs w:val="32"/>
          <w:shd w:val="clear" w:color="auto" w:fill="FFFFFF"/>
          <w:lang w:val="zh-CN" w:bidi="ar-SA"/>
        </w:rPr>
        <w:t>二、</w:t>
      </w:r>
      <w:r>
        <w:rPr>
          <w:rFonts w:hint="eastAsia" w:ascii="黑体" w:hAnsi="宋体" w:eastAsia="黑体" w:cs="宋体"/>
          <w:color w:val="000000"/>
          <w:kern w:val="0"/>
          <w:sz w:val="32"/>
          <w:szCs w:val="32"/>
          <w:shd w:val="clear" w:color="auto" w:fill="FFFFFF"/>
          <w:lang w:val="zh-CN" w:eastAsia="zh-CN" w:bidi="ar-SA"/>
        </w:rPr>
        <w:t>部门</w:t>
      </w:r>
      <w:r>
        <w:rPr>
          <w:rFonts w:hint="eastAsia" w:ascii="黑体" w:hAnsi="宋体" w:eastAsia="黑体" w:cs="宋体"/>
          <w:color w:val="000000"/>
          <w:kern w:val="0"/>
          <w:sz w:val="32"/>
          <w:szCs w:val="32"/>
          <w:shd w:val="clear" w:color="auto" w:fill="FFFFFF"/>
          <w:lang w:val="zh-CN" w:bidi="ar-SA"/>
        </w:rPr>
        <w:t>资金收支情况</w:t>
      </w:r>
    </w:p>
    <w:p w14:paraId="406E611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（一）收入情况</w:t>
      </w:r>
    </w:p>
    <w:p w14:paraId="1FD545A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江茸乡</w:t>
      </w:r>
      <w:r>
        <w:rPr>
          <w:rFonts w:hint="eastAsia" w:ascii="仿宋_GB2312" w:hAnsi="仿宋_GB2312" w:eastAsia="仿宋_GB2312" w:cs="仿宋_GB2312"/>
          <w:sz w:val="32"/>
          <w:szCs w:val="32"/>
          <w:lang w:val="en-US" w:eastAsia="zh-CN"/>
        </w:rPr>
        <w:t>2023年年初预算收入为一般公共预算拨款收入892.08万元。决算报表收入为2434.78万元，其中一般公共服务出898.76万元、文化旅游体育与传媒4.56万元、社会保障和就业136.31万元、卫生健康42.42万元、节能环保73.92万元、城乡社区6.92万元、农林水1218.63万元、住房保障53.26万元。</w:t>
      </w:r>
    </w:p>
    <w:p w14:paraId="70CBF6B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（二）支出情况</w:t>
      </w:r>
    </w:p>
    <w:p w14:paraId="72572E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江茸乡2023年年初预算支出892.08万元，其中一般公共服务支出606.27万元、社会保障和就业支出112.68万元、卫生健康支出38.37万元、城乡社区支出6.92万元、农林水支出64.4万元、住房保障支出63.44万元、决算报表支出为2434.78万元，其中一般公共服务支出898.76万元、文化旅游体育与传媒支出4.56万元、社会保障和就业支出136.31万元、卫生健康支出42.42万元节能环保支出73.92万元、城乡社区支出6.92万元、农林水支出1218.63万元、住房保障支出53.26万元。</w:t>
      </w:r>
    </w:p>
    <w:p w14:paraId="4CBF6B8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（三）结余分配和结转结余情况</w:t>
      </w:r>
    </w:p>
    <w:p w14:paraId="047F49B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江茸乡2023年共51个项目，共2495.03万元，其中完成36个项目，1570.48万元；未完成15个项目，489.89万元，因为存在质保金和跨年项目，故未完成。</w:t>
      </w:r>
    </w:p>
    <w:p w14:paraId="5CEBC17F">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rPr>
          <w:rFonts w:hint="eastAsia" w:ascii="黑体" w:hAnsi="宋体" w:eastAsia="黑体" w:cs="宋体"/>
          <w:color w:val="000000"/>
          <w:kern w:val="0"/>
          <w:sz w:val="32"/>
          <w:szCs w:val="32"/>
          <w:shd w:val="clear" w:color="auto" w:fill="FFFFFF"/>
          <w:lang w:val="zh-CN" w:bidi="ar-SA"/>
        </w:rPr>
      </w:pPr>
      <w:r>
        <w:rPr>
          <w:rFonts w:hint="eastAsia" w:ascii="黑体" w:hAnsi="宋体" w:eastAsia="黑体" w:cs="宋体"/>
          <w:color w:val="000000"/>
          <w:kern w:val="0"/>
          <w:sz w:val="32"/>
          <w:szCs w:val="32"/>
          <w:shd w:val="clear" w:color="auto" w:fill="FFFFFF"/>
          <w:lang w:val="zh-CN" w:bidi="ar-SA"/>
        </w:rPr>
        <w:t>三、部门</w:t>
      </w:r>
      <w:r>
        <w:rPr>
          <w:rFonts w:hint="eastAsia" w:ascii="黑体" w:hAnsi="宋体" w:eastAsia="黑体" w:cs="宋体"/>
          <w:color w:val="000000"/>
          <w:kern w:val="0"/>
          <w:sz w:val="32"/>
          <w:szCs w:val="32"/>
          <w:shd w:val="clear" w:color="auto" w:fill="FFFFFF"/>
          <w:lang w:val="zh-CN" w:eastAsia="zh-CN" w:bidi="ar-SA"/>
        </w:rPr>
        <w:t>预算</w:t>
      </w:r>
      <w:r>
        <w:rPr>
          <w:rFonts w:hint="eastAsia" w:ascii="黑体" w:hAnsi="宋体" w:eastAsia="黑体" w:cs="宋体"/>
          <w:color w:val="000000"/>
          <w:kern w:val="0"/>
          <w:sz w:val="32"/>
          <w:szCs w:val="32"/>
          <w:shd w:val="clear" w:color="auto" w:fill="FFFFFF"/>
          <w:lang w:val="zh-CN" w:bidi="ar-SA"/>
        </w:rPr>
        <w:t>绩效</w:t>
      </w:r>
      <w:r>
        <w:rPr>
          <w:rFonts w:hint="eastAsia" w:ascii="黑体" w:hAnsi="宋体" w:eastAsia="黑体" w:cs="宋体"/>
          <w:color w:val="000000"/>
          <w:kern w:val="0"/>
          <w:sz w:val="32"/>
          <w:szCs w:val="32"/>
          <w:shd w:val="clear" w:color="auto" w:fill="FFFFFF"/>
          <w:lang w:val="zh-CN" w:eastAsia="zh-CN" w:bidi="ar-SA"/>
        </w:rPr>
        <w:t>分析</w:t>
      </w:r>
    </w:p>
    <w:p w14:paraId="0DE3F9F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（一）部门预算总体绩效分析。</w:t>
      </w:r>
    </w:p>
    <w:p w14:paraId="4A5CEE8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eastAsia="zh-CN"/>
        </w:rPr>
        <w:t>履职效能。</w:t>
      </w:r>
      <w:r>
        <w:rPr>
          <w:rFonts w:hint="eastAsia" w:ascii="仿宋_GB2312" w:hAnsi="仿宋_GB2312" w:eastAsia="仿宋_GB2312" w:cs="仿宋_GB2312"/>
          <w:sz w:val="32"/>
          <w:szCs w:val="32"/>
          <w:lang w:val="zh-CN" w:eastAsia="zh-CN"/>
        </w:rPr>
        <w:t>城乡环境综合治理专项经费及“道安办”经费，下达资金</w:t>
      </w:r>
      <w:r>
        <w:rPr>
          <w:rFonts w:hint="eastAsia" w:ascii="仿宋_GB2312" w:hAnsi="仿宋_GB2312" w:eastAsia="仿宋_GB2312" w:cs="仿宋_GB2312"/>
          <w:sz w:val="32"/>
          <w:szCs w:val="32"/>
          <w:lang w:val="en-US" w:eastAsia="zh-CN"/>
        </w:rPr>
        <w:t>5万元。项目绩效目标为</w:t>
      </w:r>
      <w:r>
        <w:rPr>
          <w:rFonts w:hint="eastAsia" w:ascii="仿宋_GB2312" w:hAnsi="仿宋_GB2312" w:eastAsia="仿宋_GB2312" w:cs="仿宋_GB2312"/>
          <w:sz w:val="32"/>
          <w:szCs w:val="32"/>
          <w:lang w:val="zh-CN" w:eastAsia="zh-CN"/>
        </w:rPr>
        <w:t>以该项目为支撑，对全乡辖区环境卫生进行整治，进一步提升群众生活环境和生活质量。该项目已完工，资金支付率为</w:t>
      </w:r>
      <w:r>
        <w:rPr>
          <w:rFonts w:hint="eastAsia" w:ascii="仿宋_GB2312" w:hAnsi="仿宋_GB2312" w:eastAsia="仿宋_GB2312" w:cs="仿宋_GB2312"/>
          <w:sz w:val="32"/>
          <w:szCs w:val="32"/>
          <w:lang w:val="en-US" w:eastAsia="zh-CN"/>
        </w:rPr>
        <w:t>100%。</w:t>
      </w:r>
    </w:p>
    <w:p w14:paraId="54F162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江茸乡畜种改良项目，下达资金80万元。</w:t>
      </w:r>
      <w:r>
        <w:rPr>
          <w:rFonts w:hint="eastAsia" w:ascii="仿宋_GB2312" w:hAnsi="仿宋_GB2312" w:eastAsia="仿宋_GB2312" w:cs="仿宋_GB2312"/>
          <w:sz w:val="32"/>
          <w:szCs w:val="32"/>
          <w:lang w:val="zh-CN" w:eastAsia="zh-CN"/>
        </w:rPr>
        <w:t>项目绩效目标为采购优质种公牛40头，其中茸日玛村20头，江宫玛村20头。该项目已完工，资金支付率为</w:t>
      </w:r>
      <w:r>
        <w:rPr>
          <w:rFonts w:hint="eastAsia" w:ascii="仿宋_GB2312" w:hAnsi="仿宋_GB2312" w:eastAsia="仿宋_GB2312" w:cs="仿宋_GB2312"/>
          <w:sz w:val="32"/>
          <w:szCs w:val="32"/>
          <w:lang w:val="en-US" w:eastAsia="zh-CN"/>
        </w:rPr>
        <w:t>100%。</w:t>
      </w:r>
    </w:p>
    <w:p w14:paraId="4962C31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红原县江茸乡茸日玛绵羊养殖基地物资采购项目，下达资金150万元。</w:t>
      </w:r>
      <w:r>
        <w:rPr>
          <w:rFonts w:hint="eastAsia" w:ascii="仿宋_GB2312" w:hAnsi="仿宋_GB2312" w:eastAsia="仿宋_GB2312" w:cs="仿宋_GB2312"/>
          <w:sz w:val="32"/>
          <w:szCs w:val="32"/>
          <w:lang w:val="zh-CN" w:eastAsia="zh-CN"/>
        </w:rPr>
        <w:t>项目绩效目标为</w:t>
      </w:r>
      <w:r>
        <w:rPr>
          <w:rFonts w:hint="eastAsia" w:ascii="仿宋_GB2312" w:hAnsi="仿宋_GB2312" w:eastAsia="仿宋_GB2312" w:cs="仿宋_GB2312"/>
          <w:sz w:val="32"/>
          <w:szCs w:val="32"/>
          <w:lang w:val="en-US" w:eastAsia="zh-CN"/>
        </w:rPr>
        <w:t>一是采购藏系母绵羊590只；二是采购采购优质青干草100吨，采购补饲精料65吨。</w:t>
      </w:r>
      <w:r>
        <w:rPr>
          <w:rFonts w:hint="eastAsia" w:ascii="仿宋_GB2312" w:hAnsi="仿宋_GB2312" w:eastAsia="仿宋_GB2312" w:cs="仿宋_GB2312"/>
          <w:sz w:val="32"/>
          <w:szCs w:val="32"/>
          <w:lang w:val="zh-CN" w:eastAsia="zh-CN"/>
        </w:rPr>
        <w:t>该项目已完工，资金支付率为</w:t>
      </w:r>
      <w:r>
        <w:rPr>
          <w:rFonts w:hint="eastAsia" w:ascii="仿宋_GB2312" w:hAnsi="仿宋_GB2312" w:eastAsia="仿宋_GB2312" w:cs="仿宋_GB2312"/>
          <w:sz w:val="32"/>
          <w:szCs w:val="32"/>
          <w:lang w:val="en-US" w:eastAsia="zh-CN"/>
        </w:rPr>
        <w:t>100%。</w:t>
      </w:r>
    </w:p>
    <w:p w14:paraId="2E99FC8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红原县江茸乡生产性桥梁建设项目，下达资金160万元。项目绩效目标为</w:t>
      </w:r>
      <w:r>
        <w:rPr>
          <w:rFonts w:hint="eastAsia" w:ascii="仿宋_GB2312" w:hAnsi="仿宋_GB2312" w:eastAsia="仿宋_GB2312" w:cs="仿宋_GB2312"/>
          <w:sz w:val="32"/>
          <w:szCs w:val="32"/>
          <w:lang w:val="zh-CN" w:eastAsia="zh-CN"/>
        </w:rPr>
        <w:t>在定居点新建总长20米、总宽7.5米的桥梁一座并配套延伸长800米宽4.5米的道路一条。该项目已完工，资金支付率为</w:t>
      </w:r>
      <w:r>
        <w:rPr>
          <w:rFonts w:hint="eastAsia" w:ascii="仿宋_GB2312" w:hAnsi="仿宋_GB2312" w:eastAsia="仿宋_GB2312" w:cs="仿宋_GB2312"/>
          <w:sz w:val="32"/>
          <w:szCs w:val="32"/>
          <w:lang w:val="en-US" w:eastAsia="zh-CN"/>
        </w:rPr>
        <w:t>95.49%，剩余资金为质保金。</w:t>
      </w:r>
    </w:p>
    <w:p w14:paraId="4AE0521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江茸乡预算总体绩效履职效能较好，履职效能评分为13分。</w:t>
      </w:r>
    </w:p>
    <w:p w14:paraId="620617F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zh-CN" w:eastAsia="zh-CN"/>
        </w:rPr>
        <w:t>）预算管理。</w:t>
      </w:r>
      <w:r>
        <w:rPr>
          <w:rFonts w:hint="eastAsia" w:ascii="仿宋_GB2312" w:hAnsi="仿宋_GB2312" w:eastAsia="仿宋_GB2312" w:cs="仿宋_GB2312"/>
          <w:sz w:val="32"/>
          <w:szCs w:val="32"/>
          <w:lang w:val="en-US" w:eastAsia="zh-CN"/>
        </w:rPr>
        <w:t>按照县财政预算编制工作要求，结合单位工作实际，召开预算绩效目标制定、预算编制会议，按照“两上两下”编制方式，全面、及时、完整地编制了单位预算，并经财政部门审核下达。</w:t>
      </w:r>
    </w:p>
    <w:p w14:paraId="2B382B9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单位收入全部为财政拨款收入，统筹较为全面、精细。</w:t>
      </w:r>
    </w:p>
    <w:p w14:paraId="6EE9886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预算执行中，我乡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我乡严控“三公”经费，年初预算为9.28万元，其中公务用车运行维护费为9.2万元，公务接待费0.08万元，决算支出为9.2万元，其中公务用车运行维护费为9.2万元，公务接待费0元。</w:t>
      </w:r>
    </w:p>
    <w:p w14:paraId="24F0FF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预算管理，预算编制质量自评</w:t>
      </w:r>
      <w:r>
        <w:rPr>
          <w:rFonts w:hint="eastAsia" w:ascii="仿宋_GB2312" w:hAnsi="仿宋_GB2312" w:eastAsia="仿宋_GB2312" w:cs="仿宋_GB2312"/>
          <w:sz w:val="32"/>
          <w:szCs w:val="32"/>
          <w:lang w:val="en-US" w:eastAsia="zh-CN"/>
        </w:rPr>
        <w:t>8分、单位收入统筹自评3分、支出执行进度自评4分、预算年终结余自评2分、严控一般性支出5分，共计22分。</w:t>
      </w:r>
    </w:p>
    <w:p w14:paraId="7751E89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eastAsia="zh-CN"/>
        </w:rPr>
        <w:t>）财务管理。</w:t>
      </w:r>
      <w:r>
        <w:rPr>
          <w:rFonts w:hint="eastAsia" w:ascii="仿宋_GB2312" w:hAnsi="仿宋_GB2312" w:eastAsia="仿宋_GB2312" w:cs="仿宋_GB2312"/>
          <w:sz w:val="32"/>
          <w:szCs w:val="32"/>
          <w:lang w:val="zh-CN" w:eastAsia="zh-CN"/>
        </w:rPr>
        <w:t>我乡财务人员为出纳、会计</w:t>
      </w:r>
      <w:r>
        <w:rPr>
          <w:rFonts w:hint="eastAsia" w:ascii="仿宋_GB2312" w:hAnsi="仿宋_GB2312" w:eastAsia="仿宋_GB2312" w:cs="仿宋_GB2312"/>
          <w:sz w:val="32"/>
          <w:szCs w:val="32"/>
          <w:lang w:val="en-US" w:eastAsia="zh-CN"/>
        </w:rPr>
        <w:t>2名。我乡严格遵守各项财经纪律和财务管理制度，及时公开预决算情况，自觉接受财政和社会监督。我乡在预算编制、预算执行、支出绩效、公开方面，严格按照规定执行合理安排支出，使财政资金发挥最大使用效益。</w:t>
      </w:r>
    </w:p>
    <w:p w14:paraId="5C8B2C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财务管理，财务管理制度自评4分、财务岗位设置自评2分、资金使用规范自评4分，共计10分。</w:t>
      </w:r>
    </w:p>
    <w:p w14:paraId="6F7C314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val="zh-CN" w:eastAsia="zh-CN"/>
        </w:rPr>
        <w:t>）资产管理。</w:t>
      </w:r>
      <w:r>
        <w:rPr>
          <w:rFonts w:hint="eastAsia" w:ascii="仿宋_GB2312" w:hAnsi="仿宋_GB2312" w:eastAsia="仿宋_GB2312" w:cs="仿宋_GB2312"/>
          <w:sz w:val="32"/>
          <w:szCs w:val="32"/>
          <w:lang w:val="en-US" w:eastAsia="zh-CN"/>
        </w:rPr>
        <w:t>截至2023年底，我乡固定资产原值为233.66万元，累计折旧为153.82万元，净值为</w:t>
      </w:r>
      <w:r>
        <w:rPr>
          <w:rFonts w:hint="eastAsia" w:ascii="仿宋_GB2312" w:hAnsi="仿宋_GB2312" w:eastAsia="仿宋_GB2312" w:cs="仿宋_GB2312"/>
          <w:sz w:val="32"/>
          <w:szCs w:val="32"/>
          <w:lang w:val="zh-CN" w:eastAsia="zh-CN"/>
        </w:rPr>
        <w:t>79.84</w:t>
      </w:r>
      <w:r>
        <w:rPr>
          <w:rFonts w:hint="eastAsia" w:ascii="仿宋_GB2312" w:hAnsi="仿宋_GB2312" w:eastAsia="仿宋_GB2312" w:cs="仿宋_GB2312"/>
          <w:sz w:val="32"/>
          <w:szCs w:val="32"/>
          <w:lang w:val="en-US" w:eastAsia="zh-CN"/>
        </w:rPr>
        <w:t>万元，其中，土地、房屋及构筑物</w:t>
      </w:r>
      <w:r>
        <w:rPr>
          <w:rFonts w:hint="eastAsia" w:ascii="仿宋_GB2312" w:hAnsi="仿宋_GB2312" w:eastAsia="仿宋_GB2312" w:cs="仿宋_GB2312"/>
          <w:sz w:val="32"/>
          <w:szCs w:val="32"/>
          <w:lang w:val="zh-CN" w:eastAsia="zh-CN"/>
        </w:rPr>
        <w:t>68.80</w:t>
      </w:r>
      <w:r>
        <w:rPr>
          <w:rFonts w:hint="eastAsia" w:ascii="仿宋_GB2312" w:hAnsi="仿宋_GB2312" w:eastAsia="仿宋_GB2312" w:cs="仿宋_GB2312"/>
          <w:sz w:val="32"/>
          <w:szCs w:val="32"/>
          <w:lang w:val="en-US" w:eastAsia="zh-CN"/>
        </w:rPr>
        <w:t>万元；家具、用具、装具及动植物</w:t>
      </w:r>
      <w:r>
        <w:rPr>
          <w:rFonts w:hint="eastAsia" w:ascii="仿宋_GB2312" w:hAnsi="仿宋_GB2312" w:eastAsia="仿宋_GB2312" w:cs="仿宋_GB2312"/>
          <w:sz w:val="32"/>
          <w:szCs w:val="32"/>
          <w:lang w:val="zh-CN" w:eastAsia="zh-CN"/>
        </w:rPr>
        <w:t>6.77</w:t>
      </w:r>
      <w:r>
        <w:rPr>
          <w:rFonts w:hint="eastAsia" w:ascii="仿宋_GB2312" w:hAnsi="仿宋_GB2312" w:eastAsia="仿宋_GB2312" w:cs="仿宋_GB2312"/>
          <w:sz w:val="32"/>
          <w:szCs w:val="32"/>
          <w:lang w:val="en-US" w:eastAsia="zh-CN"/>
        </w:rPr>
        <w:t>万元；通用设备</w:t>
      </w:r>
      <w:r>
        <w:rPr>
          <w:rFonts w:hint="eastAsia" w:ascii="仿宋_GB2312" w:hAnsi="仿宋_GB2312" w:eastAsia="仿宋_GB2312" w:cs="仿宋_GB2312"/>
          <w:sz w:val="32"/>
          <w:szCs w:val="32"/>
          <w:lang w:val="zh-CN" w:eastAsia="zh-CN"/>
        </w:rPr>
        <w:t>4.27</w:t>
      </w:r>
      <w:r>
        <w:rPr>
          <w:rFonts w:hint="eastAsia" w:ascii="仿宋_GB2312" w:hAnsi="仿宋_GB2312" w:eastAsia="仿宋_GB2312" w:cs="仿宋_GB2312"/>
          <w:sz w:val="32"/>
          <w:szCs w:val="32"/>
          <w:lang w:val="en-US" w:eastAsia="zh-CN"/>
        </w:rPr>
        <w:t>万元。无闲置资产。</w:t>
      </w:r>
    </w:p>
    <w:p w14:paraId="0C82B24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资产管理，人均资产变化率3分、资产利用率2分、资产盘活率3分，共计8分。</w:t>
      </w:r>
    </w:p>
    <w:p w14:paraId="203D69D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val="zh-CN" w:eastAsia="zh-CN"/>
        </w:rPr>
        <w:t>）采购管理。</w:t>
      </w:r>
      <w:r>
        <w:rPr>
          <w:rFonts w:hint="eastAsia" w:ascii="仿宋_GB2312" w:hAnsi="仿宋_GB2312" w:eastAsia="仿宋_GB2312" w:cs="仿宋_GB2312"/>
          <w:sz w:val="32"/>
          <w:szCs w:val="32"/>
          <w:lang w:val="zh-CN" w:eastAsia="zh-CN"/>
        </w:rPr>
        <w:t>2023年项目项目申报内容与具体实方内容相符、申报目标合理可行。资金计划及到位，资金到位率100%。项目资金严格按照相关规程进行拨付，该项目均严格按照合同价支付，支付依据合规合法，资金支付与预算相符，采购管理制度健全，严格执行财务管理制度。</w:t>
      </w:r>
    </w:p>
    <w:p w14:paraId="29C1399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采购管理，支持中小企业发展自评</w:t>
      </w:r>
      <w:r>
        <w:rPr>
          <w:rFonts w:hint="eastAsia" w:ascii="仿宋_GB2312" w:hAnsi="仿宋_GB2312" w:eastAsia="仿宋_GB2312" w:cs="仿宋_GB2312"/>
          <w:sz w:val="32"/>
          <w:szCs w:val="32"/>
          <w:lang w:val="en-US" w:eastAsia="zh-CN"/>
        </w:rPr>
        <w:t>3分、采购执行率3分，共计6分。</w:t>
      </w:r>
    </w:p>
    <w:p w14:paraId="7BB7BD9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kern w:val="2"/>
          <w:sz w:val="32"/>
          <w:szCs w:val="32"/>
          <w:lang w:val="zh-CN" w:eastAsia="zh-CN" w:bidi="ar-SA"/>
        </w:rPr>
        <w:t>（二）部门预算项目绩效分析</w:t>
      </w:r>
    </w:p>
    <w:p w14:paraId="68D2327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常年项目绩效分析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21.95</w:t>
      </w:r>
      <w:r>
        <w:rPr>
          <w:rFonts w:hint="eastAsia" w:ascii="仿宋_GB2312" w:hAnsi="仿宋_GB2312" w:eastAsia="仿宋_GB2312" w:cs="仿宋_GB2312"/>
          <w:sz w:val="32"/>
          <w:szCs w:val="32"/>
          <w:lang w:val="zh-CN" w:eastAsia="zh-CN"/>
        </w:rPr>
        <w:t>万元，1—1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eastAsia="zh-CN"/>
        </w:rPr>
        <w:t>%，其中：预算结余率大于</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个。</w:t>
      </w:r>
    </w:p>
    <w:p w14:paraId="5C4E11D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阶段（一次性）项目绩效分析。</w:t>
      </w:r>
      <w:r>
        <w:rPr>
          <w:rFonts w:hint="eastAsia"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157.21</w:t>
      </w:r>
      <w:r>
        <w:rPr>
          <w:rFonts w:hint="eastAsia" w:ascii="仿宋_GB2312" w:hAnsi="仿宋_GB2312" w:eastAsia="仿宋_GB2312" w:cs="仿宋_GB2312"/>
          <w:sz w:val="32"/>
          <w:szCs w:val="32"/>
          <w:lang w:val="zh-CN" w:eastAsia="zh-CN"/>
        </w:rPr>
        <w:t>万元，1—1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eastAsia="zh-CN"/>
        </w:rPr>
        <w:t>。</w:t>
      </w:r>
    </w:p>
    <w:p w14:paraId="74E80F7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eastAsia="zh-CN"/>
        </w:rPr>
        <w:t>）项目决策</w:t>
      </w:r>
      <w:r>
        <w:rPr>
          <w:rFonts w:hint="eastAsia" w:ascii="仿宋_GB2312" w:hAnsi="仿宋_GB2312" w:eastAsia="仿宋_GB2312" w:cs="仿宋_GB2312"/>
          <w:sz w:val="32"/>
          <w:szCs w:val="32"/>
          <w:lang w:val="zh-CN" w:eastAsia="zh-CN"/>
        </w:rPr>
        <w:t>。一是</w:t>
      </w:r>
      <w:r>
        <w:rPr>
          <w:rFonts w:hint="eastAsia" w:ascii="仿宋_GB2312" w:hAnsi="仿宋_GB2312" w:eastAsia="仿宋_GB2312" w:cs="仿宋_GB2312"/>
          <w:sz w:val="32"/>
          <w:szCs w:val="32"/>
          <w:lang w:val="en-US" w:eastAsia="zh-CN"/>
        </w:rPr>
        <w:t>江茸乡森林防雷工程建设项目，在辖区内森林植被茂盛处增添防雷设备（避雷塔），共计增设5台</w:t>
      </w:r>
      <w:r>
        <w:rPr>
          <w:rFonts w:hint="eastAsia" w:ascii="仿宋_GB2312" w:hAnsi="仿宋_GB2312" w:eastAsia="仿宋_GB2312" w:cs="仿宋_GB2312"/>
          <w:sz w:val="32"/>
          <w:szCs w:val="32"/>
          <w:lang w:val="zh-CN" w:eastAsia="zh-CN"/>
        </w:rPr>
        <w:t>。二是江茸乡生产性道路（森林草原防火应急通道）建设项目</w:t>
      </w:r>
      <w:r>
        <w:rPr>
          <w:rFonts w:hint="eastAsia" w:ascii="仿宋_GB2312" w:hAnsi="仿宋_GB2312" w:eastAsia="仿宋_GB2312" w:cs="仿宋_GB2312"/>
          <w:sz w:val="32"/>
          <w:szCs w:val="32"/>
          <w:lang w:val="en-US" w:eastAsia="zh-CN"/>
        </w:rPr>
        <w:t>新建村道（泥结碎石路）16</w:t>
      </w:r>
      <w:r>
        <w:rPr>
          <w:rFonts w:hint="eastAsia" w:ascii="仿宋_GB2312" w:hAnsi="仿宋_GB2312" w:eastAsia="仿宋_GB2312" w:cs="仿宋_GB2312"/>
          <w:sz w:val="32"/>
          <w:szCs w:val="32"/>
          <w:lang w:val="zh-CN" w:eastAsia="zh-CN"/>
        </w:rPr>
        <w:t>公里。</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lang w:val="zh-CN" w:eastAsia="zh-CN"/>
        </w:rPr>
        <w:t>内容：</w:t>
      </w:r>
      <w:r>
        <w:rPr>
          <w:rFonts w:hint="eastAsia" w:ascii="仿宋_GB2312" w:hAnsi="仿宋_GB2312" w:eastAsia="仿宋_GB2312" w:cs="仿宋_GB2312"/>
          <w:sz w:val="32"/>
          <w:szCs w:val="32"/>
          <w:lang w:val="en-US" w:eastAsia="zh-CN"/>
        </w:rPr>
        <w:t>新建16公里，路面宽度5米，配套50cm×50cm排水沟，因地制宜设置错车道，每公里设置不少于3处80cm的涵管，等附属设施</w:t>
      </w:r>
      <w:r>
        <w:rPr>
          <w:rFonts w:hint="eastAsia" w:ascii="仿宋_GB2312" w:hAnsi="仿宋_GB2312" w:eastAsia="仿宋_GB2312" w:cs="仿宋_GB2312"/>
          <w:sz w:val="32"/>
          <w:szCs w:val="32"/>
          <w:lang w:val="zh-CN" w:eastAsia="zh-CN"/>
        </w:rPr>
        <w:t>。三是红原县江茸乡茸日玛绵羊养殖基地物资采购项目，</w:t>
      </w:r>
      <w:r>
        <w:rPr>
          <w:rFonts w:hint="eastAsia" w:ascii="仿宋_GB2312" w:hAnsi="仿宋_GB2312" w:eastAsia="仿宋_GB2312" w:cs="仿宋_GB2312"/>
          <w:sz w:val="32"/>
          <w:szCs w:val="32"/>
          <w:lang w:val="en-US" w:eastAsia="zh-CN"/>
        </w:rPr>
        <w:t>采购藏系母绵羊590只，采购采购优质青干草100吨，采购补饲精料65吨。</w:t>
      </w:r>
    </w:p>
    <w:p w14:paraId="3E98C0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全乡项目设立均按规定履行评估论证和申报程序，决策程序自评4分；科学合理、量化细化设置目标，目标设置自评4分；在规定时间内完成项目入库，项目入库自评4分；项目决策共计12分。</w:t>
      </w:r>
    </w:p>
    <w:p w14:paraId="1AB333F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（2）项目执行</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val="zh-CN" w:eastAsia="zh-CN"/>
        </w:rPr>
        <w:t>以上项目均严格按照验收标准进行验收，项目任务量完成、质量标准、进度计划成本、控制目标等符合项目绩效目标。预算项目实际列支内容与绩效目标设置方向相符，执行同向自评</w:t>
      </w:r>
      <w:r>
        <w:rPr>
          <w:rFonts w:hint="eastAsia" w:ascii="仿宋_GB2312" w:hAnsi="仿宋_GB2312" w:eastAsia="仿宋_GB2312" w:cs="仿宋_GB2312"/>
          <w:sz w:val="32"/>
          <w:szCs w:val="32"/>
          <w:lang w:val="en-US" w:eastAsia="zh-CN"/>
        </w:rPr>
        <w:t>4分；预算项目项目调整自评3分；全乡预算项目执行情况为截止12月底，支付率为71%，存在结余情况，部分为质保金，部分为跨年项目，自评3分；项目执行自评10分。</w:t>
      </w:r>
    </w:p>
    <w:p w14:paraId="3490819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eastAsia="zh-CN"/>
        </w:rPr>
        <w:t>）目标实现。</w:t>
      </w:r>
      <w:r>
        <w:rPr>
          <w:rFonts w:hint="eastAsia" w:ascii="仿宋_GB2312" w:hAnsi="仿宋_GB2312" w:eastAsia="仿宋_GB2312" w:cs="仿宋_GB2312"/>
          <w:sz w:val="32"/>
          <w:szCs w:val="32"/>
          <w:lang w:val="zh-CN" w:eastAsia="zh-CN"/>
        </w:rPr>
        <w:t>以上项目均已完成设置目标，目标完成自评</w:t>
      </w:r>
      <w:r>
        <w:rPr>
          <w:rFonts w:hint="eastAsia" w:ascii="仿宋_GB2312" w:hAnsi="仿宋_GB2312" w:eastAsia="仿宋_GB2312" w:cs="仿宋_GB2312"/>
          <w:sz w:val="32"/>
          <w:szCs w:val="32"/>
          <w:lang w:val="en-US" w:eastAsia="zh-CN"/>
        </w:rPr>
        <w:t>4分；不存在目标偏离情况，目标偏离自评4分；项目实施不仅可改善牧区群众生活条件，促进社会稳定，而且可以极大地推动乡村振兴战略实施。按照项目目标实施，现实效果良好，自评3分；目标实现共计11分。</w:t>
      </w:r>
    </w:p>
    <w:p w14:paraId="4967835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（三）重点领域绩效分析</w:t>
      </w:r>
    </w:p>
    <w:p w14:paraId="613DF6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我乡不涉及。</w:t>
      </w:r>
    </w:p>
    <w:p w14:paraId="73585F1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（四）绩效结果应用情况</w:t>
      </w:r>
    </w:p>
    <w:p w14:paraId="4AC3A5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从全乡整体绩效来看，我乡严格按照了年初预算进行部门整体支出，</w:t>
      </w:r>
      <w:r>
        <w:rPr>
          <w:rFonts w:hint="eastAsia" w:ascii="仿宋_GB2312" w:hAnsi="仿宋_GB2312" w:eastAsia="仿宋_GB2312" w:cs="仿宋_GB2312"/>
          <w:sz w:val="32"/>
          <w:szCs w:val="32"/>
          <w:lang w:val="en-US" w:eastAsia="zh-CN"/>
        </w:rPr>
        <w:t>预算执行为100%，预决算的主要差异原因在于三家园的建设。</w:t>
      </w:r>
    </w:p>
    <w:p w14:paraId="25EE8D74">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rPr>
          <w:rFonts w:hint="eastAsia" w:ascii="黑体" w:hAnsi="宋体" w:eastAsia="黑体" w:cs="宋体"/>
          <w:color w:val="000000"/>
          <w:kern w:val="0"/>
          <w:sz w:val="32"/>
          <w:szCs w:val="32"/>
          <w:shd w:val="clear" w:color="auto" w:fill="FFFFFF"/>
          <w:lang w:val="zh-CN" w:bidi="ar-SA"/>
        </w:rPr>
      </w:pPr>
      <w:r>
        <w:rPr>
          <w:rFonts w:hint="eastAsia" w:ascii="黑体" w:hAnsi="宋体" w:eastAsia="黑体" w:cs="宋体"/>
          <w:color w:val="000000"/>
          <w:kern w:val="0"/>
          <w:sz w:val="32"/>
          <w:szCs w:val="32"/>
          <w:shd w:val="clear" w:color="auto" w:fill="FFFFFF"/>
          <w:lang w:val="zh-CN" w:eastAsia="zh-CN" w:bidi="ar-SA"/>
        </w:rPr>
        <w:t>四、</w:t>
      </w:r>
      <w:r>
        <w:rPr>
          <w:rFonts w:hint="eastAsia" w:ascii="黑体" w:hAnsi="宋体" w:eastAsia="黑体" w:cs="宋体"/>
          <w:color w:val="000000"/>
          <w:kern w:val="0"/>
          <w:sz w:val="32"/>
          <w:szCs w:val="32"/>
          <w:shd w:val="clear" w:color="auto" w:fill="FFFFFF"/>
          <w:lang w:val="zh-CN" w:bidi="ar-SA"/>
        </w:rPr>
        <w:t>评价结论及建议</w:t>
      </w:r>
    </w:p>
    <w:p w14:paraId="75D8CEF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w:t>
      </w:r>
      <w:r>
        <w:rPr>
          <w:rFonts w:hint="eastAsia" w:ascii="楷体_GB2312" w:hAnsi="楷体_GB2312" w:eastAsia="楷体_GB2312" w:cs="楷体_GB2312"/>
          <w:b/>
          <w:kern w:val="2"/>
          <w:sz w:val="32"/>
          <w:szCs w:val="32"/>
          <w:lang w:val="en-US" w:eastAsia="zh-CN" w:bidi="ar-SA"/>
        </w:rPr>
        <w:t>评价</w:t>
      </w:r>
      <w:r>
        <w:rPr>
          <w:rFonts w:hint="eastAsia" w:ascii="楷体_GB2312" w:hAnsi="楷体_GB2312" w:eastAsia="楷体_GB2312" w:cs="楷体_GB2312"/>
          <w:b/>
          <w:kern w:val="2"/>
          <w:sz w:val="32"/>
          <w:szCs w:val="32"/>
          <w:lang w:val="zh-CN" w:eastAsia="zh-CN" w:bidi="ar-SA"/>
        </w:rPr>
        <w:t>结论</w:t>
      </w:r>
    </w:p>
    <w:p w14:paraId="38D4D6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我乡</w:t>
      </w:r>
      <w:r>
        <w:rPr>
          <w:rFonts w:hint="eastAsia" w:ascii="仿宋_GB2312" w:hAnsi="仿宋_GB2312" w:eastAsia="仿宋_GB2312" w:cs="仿宋_GB2312"/>
          <w:sz w:val="32"/>
          <w:szCs w:val="32"/>
          <w:lang w:val="en-US" w:eastAsia="zh-CN"/>
        </w:rPr>
        <w:t>预算绩效及管理</w:t>
      </w:r>
      <w:r>
        <w:rPr>
          <w:rFonts w:hint="eastAsia" w:ascii="仿宋_GB2312" w:hAnsi="仿宋_GB2312" w:eastAsia="仿宋_GB2312" w:cs="仿宋_GB2312"/>
          <w:sz w:val="32"/>
          <w:szCs w:val="32"/>
          <w:lang w:val="zh-CN" w:eastAsia="zh-CN"/>
        </w:rPr>
        <w:t>整体评价良好，预算收入和支出相符。</w:t>
      </w:r>
    </w:p>
    <w:p w14:paraId="64E4AA6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（二）存在问题</w:t>
      </w:r>
    </w:p>
    <w:p w14:paraId="4A63CC8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128" w:name="_Toc18861"/>
      <w:r>
        <w:rPr>
          <w:rFonts w:hint="eastAsia" w:ascii="仿宋_GB2312" w:hAnsi="仿宋_GB2312" w:eastAsia="仿宋_GB2312" w:cs="仿宋_GB2312"/>
          <w:sz w:val="32"/>
          <w:szCs w:val="32"/>
          <w:lang w:val="zh-CN" w:eastAsia="zh-CN"/>
        </w:rPr>
        <w:t>一是因三家园建设，年初预算编制先见性不足，与实际支出存在偏差；二是绩效目标设立不够明确、细化和量化。虽然设立了项目资金绩效目标，但目标不够明确、细化和量化</w:t>
      </w:r>
      <w:bookmarkEnd w:id="128"/>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四是财务人员业务能力较差，理解不到位。</w:t>
      </w:r>
    </w:p>
    <w:p w14:paraId="3CCFC91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（三）改进建议</w:t>
      </w:r>
    </w:p>
    <w:p w14:paraId="2F8023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b w:val="0"/>
          <w:bCs/>
          <w:kern w:val="2"/>
          <w:sz w:val="32"/>
          <w:szCs w:val="32"/>
          <w:lang w:val="zh-CN" w:eastAsia="zh-CN" w:bidi="ar-SA"/>
        </w:rPr>
      </w:pP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val="zh-CN" w:eastAsia="zh-CN"/>
        </w:rPr>
        <w:t>细化预算编制工作，认真做好年初预算编制。进一步加强预算管理意识，严格按照预算编制的相关要求进行编制。</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w:t>
      </w:r>
      <w:r>
        <w:rPr>
          <w:rFonts w:hint="eastAsia" w:ascii="楷体_GB2312" w:hAnsi="楷体_GB2312" w:eastAsia="楷体_GB2312" w:cs="楷体_GB2312"/>
          <w:b w:val="0"/>
          <w:bCs/>
          <w:kern w:val="2"/>
          <w:sz w:val="32"/>
          <w:szCs w:val="32"/>
          <w:lang w:val="zh-CN" w:eastAsia="zh-CN" w:bidi="ar-SA"/>
        </w:rPr>
        <w:t>平。</w:t>
      </w:r>
    </w:p>
    <w:p w14:paraId="4ACA30B9">
      <w:pPr>
        <w:pStyle w:val="11"/>
        <w:rPr>
          <w:rFonts w:hint="eastAsia" w:ascii="楷体_GB2312" w:hAnsi="楷体_GB2312" w:eastAsia="楷体_GB2312" w:cs="楷体_GB2312"/>
          <w:b w:val="0"/>
          <w:bCs/>
          <w:kern w:val="2"/>
          <w:sz w:val="32"/>
          <w:szCs w:val="32"/>
          <w:lang w:val="zh-CN" w:eastAsia="zh-CN" w:bidi="ar-SA"/>
        </w:rPr>
      </w:pPr>
    </w:p>
    <w:p w14:paraId="4A79C3B3">
      <w:pPr>
        <w:rPr>
          <w:rFonts w:hint="eastAsia"/>
          <w:lang w:val="zh-CN" w:eastAsia="zh-CN"/>
        </w:rPr>
      </w:pPr>
    </w:p>
    <w:p w14:paraId="2D8E5A1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附表：</w:t>
      </w:r>
      <w:r>
        <w:rPr>
          <w:rFonts w:hint="default" w:ascii="仿宋_GB2312" w:hAnsi="仿宋_GB2312" w:eastAsia="仿宋_GB2312" w:cs="仿宋_GB2312"/>
          <w:sz w:val="32"/>
          <w:szCs w:val="32"/>
          <w:lang w:val="en-US" w:eastAsia="zh-CN"/>
        </w:rPr>
        <w:t>部门整体支出绩效目标完成情况自评表</w:t>
      </w:r>
    </w:p>
    <w:p w14:paraId="11F3371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lang w:val="en-US" w:eastAsia="zh-CN"/>
        </w:rPr>
      </w:pPr>
    </w:p>
    <w:p w14:paraId="428075D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lang w:val="en-US" w:eastAsia="zh-CN"/>
        </w:rPr>
      </w:pPr>
    </w:p>
    <w:p w14:paraId="08A6CE04">
      <w:pPr>
        <w:pStyle w:val="11"/>
        <w:rPr>
          <w:rFonts w:hint="eastAsia"/>
          <w:lang w:val="en-US" w:eastAsia="zh-CN"/>
        </w:rPr>
      </w:pPr>
    </w:p>
    <w:p w14:paraId="0150A97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江茸乡人民政府</w:t>
      </w:r>
    </w:p>
    <w:p w14:paraId="53F6BE8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2024年11月13日</w:t>
      </w:r>
    </w:p>
    <w:p w14:paraId="740EEA1E">
      <w:pPr>
        <w:pStyle w:val="11"/>
        <w:rPr>
          <w:rFonts w:hint="eastAsia" w:ascii="仿宋_GB2312" w:hAnsi="仿宋_GB2312" w:eastAsia="仿宋_GB2312" w:cs="仿宋_GB2312"/>
          <w:sz w:val="32"/>
          <w:szCs w:val="32"/>
          <w:lang w:val="en-US" w:eastAsia="zh-CN"/>
        </w:rPr>
      </w:pPr>
    </w:p>
    <w:p w14:paraId="022B5A34">
      <w:pPr>
        <w:rPr>
          <w:rFonts w:hint="eastAsia" w:ascii="仿宋_GB2312" w:hAnsi="仿宋_GB2312" w:eastAsia="仿宋_GB2312" w:cs="仿宋_GB2312"/>
          <w:sz w:val="32"/>
          <w:szCs w:val="32"/>
          <w:lang w:val="en-US" w:eastAsia="zh-CN"/>
        </w:rPr>
      </w:pPr>
    </w:p>
    <w:p w14:paraId="38AFCD5E">
      <w:pPr>
        <w:pStyle w:val="11"/>
        <w:rPr>
          <w:rFonts w:hint="eastAsia" w:ascii="仿宋_GB2312" w:hAnsi="仿宋_GB2312" w:eastAsia="仿宋_GB2312" w:cs="仿宋_GB2312"/>
          <w:sz w:val="32"/>
          <w:szCs w:val="32"/>
          <w:lang w:val="en-US" w:eastAsia="zh-CN"/>
        </w:rPr>
      </w:pPr>
    </w:p>
    <w:p w14:paraId="15FC965B">
      <w:pPr>
        <w:rPr>
          <w:rFonts w:hint="eastAsia" w:ascii="仿宋_GB2312" w:hAnsi="仿宋_GB2312" w:eastAsia="仿宋_GB2312" w:cs="仿宋_GB2312"/>
          <w:sz w:val="32"/>
          <w:szCs w:val="32"/>
          <w:lang w:val="en-US" w:eastAsia="zh-CN"/>
        </w:rPr>
      </w:pPr>
    </w:p>
    <w:p w14:paraId="1C08C69D">
      <w:pPr>
        <w:pStyle w:val="11"/>
        <w:rPr>
          <w:rFonts w:hint="eastAsia" w:ascii="仿宋_GB2312" w:hAnsi="仿宋_GB2312" w:eastAsia="仿宋_GB2312" w:cs="仿宋_GB2312"/>
          <w:sz w:val="32"/>
          <w:szCs w:val="32"/>
          <w:lang w:val="en-US" w:eastAsia="zh-CN"/>
        </w:rPr>
      </w:pPr>
    </w:p>
    <w:p w14:paraId="363AF3DD">
      <w:pPr>
        <w:rPr>
          <w:rFonts w:hint="eastAsia" w:ascii="仿宋_GB2312" w:hAnsi="仿宋_GB2312" w:eastAsia="仿宋_GB2312" w:cs="仿宋_GB2312"/>
          <w:sz w:val="32"/>
          <w:szCs w:val="32"/>
          <w:lang w:val="en-US" w:eastAsia="zh-CN"/>
        </w:rPr>
      </w:pPr>
    </w:p>
    <w:p w14:paraId="193EDEE2">
      <w:pPr>
        <w:pStyle w:val="11"/>
        <w:rPr>
          <w:rFonts w:hint="eastAsia" w:ascii="仿宋_GB2312" w:hAnsi="仿宋_GB2312" w:eastAsia="仿宋_GB2312" w:cs="仿宋_GB2312"/>
          <w:sz w:val="32"/>
          <w:szCs w:val="32"/>
          <w:lang w:val="en-US" w:eastAsia="zh-CN"/>
        </w:rPr>
      </w:pPr>
    </w:p>
    <w:p w14:paraId="6835A754">
      <w:pPr>
        <w:rPr>
          <w:rFonts w:hint="eastAsia" w:ascii="仿宋_GB2312" w:hAnsi="仿宋_GB2312" w:eastAsia="仿宋_GB2312" w:cs="仿宋_GB2312"/>
          <w:sz w:val="32"/>
          <w:szCs w:val="32"/>
          <w:lang w:val="en-US" w:eastAsia="zh-CN"/>
        </w:rPr>
      </w:pPr>
    </w:p>
    <w:p w14:paraId="127E380E">
      <w:pPr>
        <w:pStyle w:val="11"/>
        <w:rPr>
          <w:rFonts w:hint="eastAsia" w:ascii="仿宋_GB2312" w:hAnsi="仿宋_GB2312" w:eastAsia="仿宋_GB2312" w:cs="仿宋_GB2312"/>
          <w:sz w:val="32"/>
          <w:szCs w:val="32"/>
          <w:lang w:val="en-US" w:eastAsia="zh-CN"/>
        </w:rPr>
      </w:pPr>
    </w:p>
    <w:p w14:paraId="00E5D4A9">
      <w:pPr>
        <w:keepNext w:val="0"/>
        <w:keepLines w:val="0"/>
        <w:pageBreakBefore w:val="0"/>
        <w:kinsoku/>
        <w:wordWrap/>
        <w:overflowPunct/>
        <w:topLinePunct w:val="0"/>
        <w:autoSpaceDE/>
        <w:autoSpaceDN/>
        <w:bidi w:val="0"/>
        <w:spacing w:line="578" w:lineRule="exact"/>
        <w:textAlignment w:val="auto"/>
        <w:rPr>
          <w:rFonts w:hint="eastAsia"/>
          <w:lang w:val="en-US" w:eastAsia="zh-CN"/>
        </w:rPr>
      </w:pPr>
      <w:r>
        <w:rPr>
          <w:rFonts w:hint="eastAsia" w:ascii="黑体" w:hAnsi="黑体" w:eastAsia="黑体" w:cs="黑体"/>
          <w:kern w:val="2"/>
          <w:sz w:val="32"/>
          <w:szCs w:val="24"/>
          <w:highlight w:val="none"/>
          <w:lang w:val="en-US" w:eastAsia="zh-CN" w:bidi="ar-SA"/>
        </w:rPr>
        <w:t>附表：</w:t>
      </w: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77EB2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noWrap w:val="0"/>
            <w:vAlign w:val="center"/>
          </w:tcPr>
          <w:p w14:paraId="2B72A9F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7D7DC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noWrap w:val="0"/>
            <w:vAlign w:val="center"/>
          </w:tcPr>
          <w:p w14:paraId="2B35DF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（2023年度）</w:t>
            </w:r>
          </w:p>
        </w:tc>
      </w:tr>
      <w:tr w14:paraId="32E9E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noWrap w:val="0"/>
            <w:vAlign w:val="center"/>
          </w:tcPr>
          <w:p w14:paraId="157A5F2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0359E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noWrap w:val="0"/>
            <w:vAlign w:val="center"/>
          </w:tcPr>
          <w:p w14:paraId="2A52FA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33C797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江茸乡人民政府</w:t>
            </w:r>
          </w:p>
        </w:tc>
      </w:tr>
      <w:tr w14:paraId="5CD0D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5A9B9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5B95CC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123EC3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31686F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170A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9A481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09091B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szCs w:val="32"/>
                <w:lang w:val="en-US" w:eastAsia="zh-CN"/>
              </w:rPr>
              <w:t>2434.78</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2C29E2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szCs w:val="32"/>
                <w:lang w:val="en-US" w:eastAsia="zh-CN"/>
              </w:rPr>
              <w:t>2434.78</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45366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r>
      <w:tr w14:paraId="1E9A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noWrap w:val="0"/>
            <w:vAlign w:val="center"/>
          </w:tcPr>
          <w:p w14:paraId="649767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5A623B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noWrap w:val="0"/>
            <w:vAlign w:val="center"/>
          </w:tcPr>
          <w:p w14:paraId="35E996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一是要严格按照预算进行部门整体支出，将预算资金覆盖全乡工作的各个方面，按照保工资、保运转、保民生的保障序列科学编制，分配办法科学，考虑的因素必要合理，分配的结果合理，保障人员经费</w:t>
            </w:r>
            <w:r>
              <w:rPr>
                <w:rFonts w:hint="eastAsia" w:eastAsia="宋体" w:cs="Times New Roman"/>
                <w:i w:val="0"/>
                <w:color w:val="000000"/>
                <w:kern w:val="0"/>
                <w:sz w:val="24"/>
                <w:szCs w:val="24"/>
                <w:u w:val="none"/>
                <w:lang w:val="en-US" w:eastAsia="zh-CN" w:bidi="ar"/>
              </w:rPr>
              <w:t>、公用经费</w:t>
            </w:r>
            <w:r>
              <w:rPr>
                <w:rFonts w:hint="default" w:ascii="Times New Roman" w:hAnsi="Times New Roman" w:eastAsia="宋体" w:cs="Times New Roman"/>
                <w:i w:val="0"/>
                <w:color w:val="000000"/>
                <w:kern w:val="0"/>
                <w:sz w:val="24"/>
                <w:szCs w:val="24"/>
                <w:u w:val="none"/>
                <w:lang w:val="en-US" w:eastAsia="zh-CN" w:bidi="ar"/>
              </w:rPr>
              <w:t>及单位正常运转。二是要在支出过程中，严格遵守各项规章制度，争取“三公经费”有所下降。三是所有项目都详细制定方案，严格按方案组织实施</w:t>
            </w:r>
            <w:r>
              <w:rPr>
                <w:rFonts w:hint="eastAsia" w:eastAsia="宋体"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并加强监督。特别是在专项经费支出上，要专款专用，严格审批程序，按项目实施计划的进度情况进行资金拨付，无截留、无挪用等现象，保障资金安全</w:t>
            </w:r>
            <w:r>
              <w:rPr>
                <w:rFonts w:hint="eastAsia" w:eastAsia="宋体" w:cs="Times New Roman"/>
                <w:i w:val="0"/>
                <w:color w:val="000000"/>
                <w:kern w:val="0"/>
                <w:sz w:val="24"/>
                <w:szCs w:val="24"/>
                <w:u w:val="none"/>
                <w:lang w:val="en-US" w:eastAsia="zh-CN" w:bidi="ar"/>
              </w:rPr>
              <w:t>，项目实现预算绩效目标、完成目标</w:t>
            </w:r>
            <w:r>
              <w:rPr>
                <w:rFonts w:hint="default" w:ascii="Times New Roman" w:hAnsi="Times New Roman" w:eastAsia="宋体" w:cs="Times New Roman"/>
                <w:i w:val="0"/>
                <w:color w:val="000000"/>
                <w:kern w:val="0"/>
                <w:sz w:val="24"/>
                <w:szCs w:val="24"/>
                <w:u w:val="none"/>
                <w:lang w:val="en-US" w:eastAsia="zh-CN" w:bidi="ar"/>
              </w:rPr>
              <w:t>。</w:t>
            </w:r>
            <w:r>
              <w:rPr>
                <w:rFonts w:hint="eastAsia" w:eastAsia="宋体" w:cs="Times New Roman"/>
                <w:i w:val="0"/>
                <w:color w:val="000000"/>
                <w:kern w:val="0"/>
                <w:sz w:val="24"/>
                <w:szCs w:val="24"/>
                <w:u w:val="none"/>
                <w:lang w:val="en-US" w:eastAsia="zh-CN" w:bidi="ar"/>
              </w:rPr>
              <w:t>进一步建设美丽和谐幸福的江茸乡。</w:t>
            </w:r>
          </w:p>
        </w:tc>
      </w:tr>
      <w:tr w14:paraId="3E95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FC023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0C9DD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51E64A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1340C4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3A00A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2"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AAF8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4BC5AA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人员类、公用经费的使用</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3BCD553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主要用于全乡</w:t>
            </w:r>
            <w:r>
              <w:rPr>
                <w:rFonts w:hint="eastAsia" w:eastAsia="宋体" w:cs="Times New Roman"/>
                <w:i w:val="0"/>
                <w:color w:val="000000"/>
                <w:kern w:val="0"/>
                <w:sz w:val="24"/>
                <w:szCs w:val="24"/>
                <w:u w:val="none"/>
                <w:lang w:val="en-US" w:eastAsia="zh-CN" w:bidi="ar"/>
              </w:rPr>
              <w:t>全乡职工工资、社会保险、</w:t>
            </w:r>
            <w:r>
              <w:rPr>
                <w:rFonts w:hint="default" w:ascii="Times New Roman" w:hAnsi="Times New Roman" w:eastAsia="宋体" w:cs="Times New Roman"/>
                <w:i w:val="0"/>
                <w:color w:val="000000"/>
                <w:kern w:val="0"/>
                <w:sz w:val="24"/>
                <w:szCs w:val="24"/>
                <w:u w:val="none"/>
                <w:lang w:val="en-US" w:eastAsia="zh-CN" w:bidi="ar"/>
              </w:rPr>
              <w:t>会议、培训、印刷、电费等，保障全乡工作有序顺利开展</w:t>
            </w:r>
            <w:r>
              <w:rPr>
                <w:rFonts w:hint="eastAsia" w:eastAsia="宋体" w:cs="Times New Roman"/>
                <w:i w:val="0"/>
                <w:color w:val="000000"/>
                <w:kern w:val="0"/>
                <w:sz w:val="24"/>
                <w:szCs w:val="24"/>
                <w:u w:val="none"/>
                <w:lang w:val="en-US" w:eastAsia="zh-CN" w:bidi="ar"/>
              </w:rPr>
              <w:t>。</w:t>
            </w:r>
          </w:p>
        </w:tc>
      </w:tr>
      <w:tr w14:paraId="2D1D9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4"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294B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691FC06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项目类</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4A146FF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主要用于建设美丽江茸，进一步完善基础设施，增强集体经济，提升群众生活的幸福度、便利度，提高群众的生产效率、技能。</w:t>
            </w:r>
          </w:p>
        </w:tc>
      </w:tr>
      <w:tr w14:paraId="19D8D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3B25F5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F281B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009CE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138864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C1B2F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3BAAE1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6F1829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2E1241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EE364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14:paraId="6A0E24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58E127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0130A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072E5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9949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0A37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506A1E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9C6BB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项目完成个数</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2348897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12FF31F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12</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497D7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2A45B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left w:val="single" w:color="000000" w:sz="4" w:space="0"/>
              <w:bottom w:val="single" w:color="000000" w:sz="4" w:space="0"/>
              <w:right w:val="single" w:color="000000" w:sz="4" w:space="0"/>
            </w:tcBorders>
            <w:noWrap w:val="0"/>
            <w:vAlign w:val="center"/>
          </w:tcPr>
          <w:p w14:paraId="78C1AA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100%</w:t>
            </w:r>
          </w:p>
        </w:tc>
      </w:tr>
      <w:tr w14:paraId="4E4E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86F3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F427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4FDD9B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219D22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完成年限</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654E11A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52844A2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7EC624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年</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03628E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36E248D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27677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2185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1E27FC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14:paraId="198992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2181F7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F85EDA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运转保障率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01F4E64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1A5F4F3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B4C5250">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4D8CDE4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1FDD06E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96F3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0A3F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6251F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0C7219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BA115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全乡群众满意度指标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7D4D54A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A46141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B14BF5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0F51D63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08A6B55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90%</w:t>
            </w:r>
          </w:p>
        </w:tc>
      </w:tr>
    </w:tbl>
    <w:p w14:paraId="5C101714">
      <w:pPr>
        <w:pStyle w:val="11"/>
        <w:ind w:left="0" w:leftChars="0" w:firstLine="0" w:firstLineChars="0"/>
        <w:rPr>
          <w:rFonts w:ascii="仿宋_GB2312" w:hAnsi="仿宋_GB2312" w:eastAsia="仿宋_GB2312" w:cs="仿宋_GB2312"/>
          <w:sz w:val="32"/>
          <w:szCs w:val="32"/>
        </w:rPr>
      </w:pPr>
    </w:p>
    <w:p w14:paraId="44F5A87D">
      <w:pPr>
        <w:rPr>
          <w:rFonts w:ascii="仿宋_GB2312" w:hAnsi="仿宋_GB2312" w:eastAsia="仿宋_GB2312" w:cs="仿宋_GB2312"/>
          <w:sz w:val="32"/>
          <w:szCs w:val="32"/>
        </w:rPr>
      </w:pPr>
    </w:p>
    <w:p w14:paraId="1B23B850">
      <w:pPr>
        <w:pStyle w:val="11"/>
        <w:rPr>
          <w:rFonts w:ascii="仿宋_GB2312" w:hAnsi="仿宋_GB2312" w:eastAsia="仿宋_GB2312" w:cs="仿宋_GB2312"/>
          <w:sz w:val="32"/>
          <w:szCs w:val="32"/>
        </w:rPr>
      </w:pPr>
    </w:p>
    <w:p w14:paraId="1A535406">
      <w:pPr>
        <w:rPr>
          <w:rFonts w:ascii="仿宋_GB2312" w:hAnsi="仿宋_GB2312" w:eastAsia="仿宋_GB2312" w:cs="仿宋_GB2312"/>
          <w:sz w:val="32"/>
          <w:szCs w:val="32"/>
        </w:rPr>
      </w:pPr>
    </w:p>
    <w:p w14:paraId="15DE253C">
      <w:pPr>
        <w:pStyle w:val="11"/>
      </w:pPr>
    </w:p>
    <w:p w14:paraId="3C48AF9C">
      <w:pPr>
        <w:pStyle w:val="11"/>
        <w:rPr>
          <w:rFonts w:ascii="仿宋_GB2312" w:hAnsi="仿宋_GB2312" w:eastAsia="仿宋_GB2312" w:cs="仿宋_GB2312"/>
          <w:sz w:val="32"/>
          <w:szCs w:val="32"/>
        </w:rPr>
      </w:pPr>
    </w:p>
    <w:p w14:paraId="16362A46">
      <w:pPr>
        <w:spacing w:line="580" w:lineRule="exact"/>
        <w:outlineLvl w:val="1"/>
        <w:rPr>
          <w:rFonts w:ascii="仿宋_GB2312" w:hAnsi="仿宋_GB2312" w:eastAsia="仿宋_GB2312" w:cs="仿宋_GB2312"/>
          <w:color w:val="000000" w:themeColor="text1"/>
          <w:sz w:val="32"/>
          <w:szCs w:val="32"/>
          <w14:textFill>
            <w14:solidFill>
              <w14:schemeClr w14:val="tx1"/>
            </w14:solidFill>
          </w14:textFill>
        </w:rPr>
      </w:pPr>
      <w:bookmarkStart w:id="129" w:name="_Toc24085"/>
      <w:bookmarkStart w:id="130" w:name="_Toc2425"/>
      <w:r>
        <w:rPr>
          <w:rFonts w:hint="eastAsia" w:ascii="黑体" w:hAnsi="黑体" w:eastAsia="黑体" w:cs="黑体"/>
          <w:color w:val="000000" w:themeColor="text1"/>
          <w:sz w:val="32"/>
          <w:szCs w:val="32"/>
          <w14:textFill>
            <w14:solidFill>
              <w14:schemeClr w14:val="tx1"/>
            </w14:solidFill>
          </w14:textFill>
        </w:rPr>
        <w:t>附件2</w:t>
      </w:r>
      <w:bookmarkEnd w:id="129"/>
      <w:bookmarkEnd w:id="130"/>
    </w:p>
    <w:p w14:paraId="2F95E6EB">
      <w:pPr>
        <w:keepNext w:val="0"/>
        <w:keepLines w:val="0"/>
        <w:pageBreakBefore w:val="0"/>
        <w:widowControl w:val="0"/>
        <w:kinsoku/>
        <w:wordWrap/>
        <w:overflowPunct/>
        <w:topLinePunct w:val="0"/>
        <w:autoSpaceDE/>
        <w:autoSpaceDN/>
        <w:bidi w:val="0"/>
        <w:adjustRightInd/>
        <w:snapToGrid/>
        <w:spacing w:line="576" w:lineRule="exact"/>
        <w:ind w:firstLine="880" w:firstLineChars="200"/>
        <w:jc w:val="center"/>
        <w:textAlignment w:val="auto"/>
        <w:rPr>
          <w:rFonts w:hint="eastAsia" w:ascii="方正小标宋简体" w:hAnsi="方正小标宋简体" w:eastAsia="方正小标宋简体" w:cs="Times New Roman"/>
          <w:sz w:val="44"/>
          <w:szCs w:val="44"/>
          <w:lang w:val="zh-CN"/>
        </w:rPr>
      </w:pPr>
      <w:r>
        <w:rPr>
          <w:rFonts w:hint="eastAsia" w:ascii="方正小标宋简体" w:hAnsi="方正小标宋简体" w:eastAsia="方正小标宋简体" w:cs="Times New Roman"/>
          <w:sz w:val="44"/>
          <w:szCs w:val="44"/>
          <w:lang w:val="zh-CN"/>
        </w:rPr>
        <w:t>江茸乡生产性桥梁建设项目预算项目绩效评价报告</w:t>
      </w:r>
    </w:p>
    <w:p w14:paraId="0C99769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一、项目概况</w:t>
      </w:r>
    </w:p>
    <w:p w14:paraId="6537EAF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（一）设立背景及基本情况</w:t>
      </w:r>
    </w:p>
    <w:p w14:paraId="1047AF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仿宋_GB2312" w:hAnsi="仿宋_GB2312" w:eastAsia="仿宋_GB2312" w:cs="仿宋_GB2312"/>
          <w:sz w:val="32"/>
          <w:szCs w:val="32"/>
          <w:lang w:val="en-US" w:eastAsia="zh-CN"/>
        </w:rPr>
        <w:t>为进一步改善牧区群众生活条件，促进社会稳定，极大地推动乡村振兴战略的实施，故建设生产性桥梁</w:t>
      </w:r>
      <w:r>
        <w:rPr>
          <w:rFonts w:hint="eastAsia" w:ascii="Times New Roman" w:hAnsi="Times New Roman" w:eastAsia="仿宋_GB2312" w:cs="Times New Roman"/>
          <w:sz w:val="32"/>
          <w:szCs w:val="32"/>
          <w:lang w:val="zh-CN"/>
        </w:rPr>
        <w:t>。此桥梁建设项目依据当地发展规划和交通改善需求立项、申报资金。主管部门负责统筹协调建设相关事宜。项目主要内容为建设20米长、7.5米宽的桥梁。</w:t>
      </w:r>
    </w:p>
    <w:p w14:paraId="20B0E01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（二）实施目的及支持方向</w:t>
      </w:r>
    </w:p>
    <w:p w14:paraId="7AB63A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已制定项目资金管理办法。实施目的是建设生产性桥梁，主要工作任务即建设桥梁。支持方向为改善交通，促进畜牧业发展。</w:t>
      </w:r>
    </w:p>
    <w:p w14:paraId="6C81704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（三）预算安排及分配管理</w:t>
      </w:r>
    </w:p>
    <w:p w14:paraId="0C5FCA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预算160万。分配原则依据工程量、材料价格等因素，确保资金合理用于项目各环节。</w:t>
      </w:r>
    </w:p>
    <w:p w14:paraId="1A6683B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（四）项目绩效目标设置</w:t>
      </w:r>
    </w:p>
    <w:p w14:paraId="57DE5B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整体目标是建成优质桥梁，区域目标是促进</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发展，具体目标涉及质量、工期等。开展了项目自评工作。</w:t>
      </w:r>
    </w:p>
    <w:p w14:paraId="2A8E0A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二、评价实施</w:t>
      </w:r>
    </w:p>
    <w:p w14:paraId="7EEFBE4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（一）评价目的</w:t>
      </w:r>
    </w:p>
    <w:p w14:paraId="09D5712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客观评估项目绩效，为优化后续类似项目决策、管理和实施提供依据。</w:t>
      </w:r>
    </w:p>
    <w:p w14:paraId="02CAA60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（二）预设问题及评价重点</w:t>
      </w:r>
    </w:p>
    <w:p w14:paraId="7C0D6C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重点关注资金使用全过程及对产业、民生、基础设施等方面的效果。</w:t>
      </w:r>
    </w:p>
    <w:p w14:paraId="5AE9D24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（三）评价选点</w:t>
      </w:r>
    </w:p>
    <w:p w14:paraId="38301F2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选取桥梁建设点、周边</w:t>
      </w:r>
      <w:r>
        <w:rPr>
          <w:rFonts w:hint="eastAsia" w:eastAsia="仿宋_GB2312" w:cs="Times New Roman"/>
          <w:sz w:val="32"/>
          <w:szCs w:val="32"/>
          <w:lang w:val="zh-CN"/>
        </w:rPr>
        <w:t>牧户</w:t>
      </w:r>
      <w:r>
        <w:rPr>
          <w:rFonts w:hint="eastAsia" w:ascii="Times New Roman" w:hAnsi="Times New Roman" w:eastAsia="仿宋_GB2312" w:cs="Times New Roman"/>
          <w:sz w:val="32"/>
          <w:szCs w:val="32"/>
          <w:lang w:val="zh-CN"/>
        </w:rPr>
        <w:t>等作为抽样点位。</w:t>
      </w:r>
    </w:p>
    <w:p w14:paraId="504BD68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（四）评价方法</w:t>
      </w:r>
    </w:p>
    <w:p w14:paraId="77FD2E9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综合运用成本效益分析法、实地勘察法、问卷调查法等多种方法。</w:t>
      </w:r>
    </w:p>
    <w:p w14:paraId="5646ECB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（五）评价组织</w:t>
      </w:r>
    </w:p>
    <w:p w14:paraId="6F28C3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评价组由工程、财务、管理专家构成，分别负责技术评估、资金审查和组织协调。</w:t>
      </w:r>
    </w:p>
    <w:p w14:paraId="13071E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三、绩效分析</w:t>
      </w:r>
    </w:p>
    <w:p w14:paraId="06D7DC5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（一）通用指标绩效分析</w:t>
      </w:r>
    </w:p>
    <w:p w14:paraId="72A012F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 项目决策：决策程序规范，经充分论证，资金投向合理，符合</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发展需求。</w:t>
      </w:r>
    </w:p>
    <w:p w14:paraId="09C701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 项目管理：制度健全，分配管理合理，但绩效监管可更严格。</w:t>
      </w:r>
    </w:p>
    <w:p w14:paraId="4A52EC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3. 项目实施：预算执行基本顺利，资金使用合理，略有小偏差。</w:t>
      </w:r>
    </w:p>
    <w:p w14:paraId="00FB0B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4. 项目结果：目标完成度高，按时建成桥梁。</w:t>
      </w:r>
    </w:p>
    <w:p w14:paraId="75BA3C2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（二）专用指标绩效分析</w:t>
      </w:r>
    </w:p>
    <w:p w14:paraId="7E9CA5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 产业发展：符合产业需求，促进发展，经济性良好。</w:t>
      </w:r>
    </w:p>
    <w:p w14:paraId="42D052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 民生保障：区域均衡性有提升，对象精准，群众满意度较高。</w:t>
      </w:r>
    </w:p>
    <w:p w14:paraId="6FAB037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3. 基础设施：建设中进度和资金拨付正常，建成后验收合格，功能良好，需明确后续管护。</w:t>
      </w:r>
    </w:p>
    <w:p w14:paraId="00C238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4. 行政运转：用途、程序、标准均合规。</w:t>
      </w:r>
    </w:p>
    <w:p w14:paraId="245B5DA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（三）个性指标绩效分析</w:t>
      </w:r>
    </w:p>
    <w:p w14:paraId="77F7E2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根据项目特点，桥梁质量达标、对周边环境影响小等指标完成良好。</w:t>
      </w:r>
    </w:p>
    <w:p w14:paraId="4FFD93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四、评价结论</w:t>
      </w:r>
    </w:p>
    <w:p w14:paraId="7A767A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评价总分较高，项目实施顺利，达到预期效果，有效改善</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交通条件。</w:t>
      </w:r>
    </w:p>
    <w:p w14:paraId="47CB16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五、存在主要问题</w:t>
      </w:r>
    </w:p>
    <w:p w14:paraId="66DCE3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一是绩效监管细节待完善；二是后续基础设施管护需明确。</w:t>
      </w:r>
    </w:p>
    <w:p w14:paraId="7251A8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六、改进建议</w:t>
      </w:r>
    </w:p>
    <w:p w14:paraId="338C94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一是加强绩效监管力度和频次；二是制定详细的基础设施管护计划和责任制度。</w:t>
      </w:r>
    </w:p>
    <w:p w14:paraId="35FB98A0">
      <w:pPr>
        <w:pStyle w:val="11"/>
      </w:pPr>
    </w:p>
    <w:p w14:paraId="12BBC043"/>
    <w:p w14:paraId="0A75B452">
      <w:pPr>
        <w:pStyle w:val="2"/>
      </w:pPr>
    </w:p>
    <w:p w14:paraId="1CF81766"/>
    <w:p w14:paraId="6C9B50C1">
      <w:pPr>
        <w:pStyle w:val="2"/>
      </w:pPr>
    </w:p>
    <w:p w14:paraId="5E491664"/>
    <w:p w14:paraId="345404A0">
      <w:pPr>
        <w:pStyle w:val="2"/>
      </w:pPr>
    </w:p>
    <w:p w14:paraId="33A568C3"/>
    <w:p w14:paraId="2DAA62E4"/>
    <w:p w14:paraId="09E9223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Times New Roman"/>
          <w:sz w:val="44"/>
          <w:szCs w:val="44"/>
          <w:lang w:val="en-US" w:eastAsia="zh-CN"/>
        </w:rPr>
      </w:pPr>
      <w:r>
        <w:rPr>
          <w:rFonts w:hint="default" w:ascii="方正小标宋简体" w:hAnsi="方正小标宋简体" w:eastAsia="方正小标宋简体" w:cs="Times New Roman"/>
          <w:sz w:val="44"/>
          <w:szCs w:val="44"/>
          <w:lang w:val="en-US" w:eastAsia="zh-CN"/>
        </w:rPr>
        <w:t>红原县江茸乡茸日玛绵羊养殖基地物资</w:t>
      </w:r>
    </w:p>
    <w:p w14:paraId="227F01D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Times New Roman"/>
          <w:sz w:val="32"/>
          <w:szCs w:val="32"/>
          <w:lang w:val="zh-CN"/>
        </w:rPr>
      </w:pPr>
      <w:r>
        <w:rPr>
          <w:rFonts w:hint="default" w:ascii="方正小标宋简体" w:hAnsi="方正小标宋简体" w:eastAsia="方正小标宋简体" w:cs="Times New Roman"/>
          <w:sz w:val="44"/>
          <w:szCs w:val="44"/>
          <w:lang w:val="en-US" w:eastAsia="zh-CN"/>
        </w:rPr>
        <w:t>采购项目</w:t>
      </w:r>
      <w:r>
        <w:rPr>
          <w:rFonts w:hint="eastAsia" w:ascii="方正小标宋简体" w:hAnsi="方正小标宋简体" w:eastAsia="方正小标宋简体" w:cs="Times New Roman"/>
          <w:sz w:val="44"/>
          <w:szCs w:val="44"/>
          <w:lang w:val="zh-CN"/>
        </w:rPr>
        <w:t>绩效评价报告</w:t>
      </w:r>
    </w:p>
    <w:p w14:paraId="7B64742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一、项目概况</w:t>
      </w:r>
    </w:p>
    <w:p w14:paraId="2F7FCF7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（一）设立背景及基本情况</w:t>
      </w:r>
    </w:p>
    <w:p w14:paraId="423726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本项目旨在促进</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绵羊养殖业发展。因当地具备良好的养殖条件且绵羊养殖前景广阔而设立。立项依据为</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产业发展规划，资金申报依据养殖基地需求及市场调研。项目主要内容为采购藏绵羊 590 只、优质青干草 100 吨、补饲精料 65 吨。主管部门负责统筹规划、资源协调与监督管理。</w:t>
      </w:r>
    </w:p>
    <w:p w14:paraId="66C99D7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（二）实施目的及支持方向</w:t>
      </w:r>
    </w:p>
    <w:p w14:paraId="16F543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制定了项目资金管理办法，实施目的是保障养殖基地物资供应，提升绵羊养殖质量。主要工作任务围绕物资采购展开，支持方向为</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绵羊养殖产业发展。</w:t>
      </w:r>
    </w:p>
    <w:p w14:paraId="0F8EC43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（三）预算安排及分配管理</w:t>
      </w:r>
    </w:p>
    <w:p w14:paraId="681745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项目预算 150 万元。资金分配原则依据物资市场价格及养殖规模需求，其中采购藏绵羊</w:t>
      </w:r>
      <w:r>
        <w:rPr>
          <w:rFonts w:hint="eastAsia" w:eastAsia="仿宋_GB2312" w:cs="Times New Roman"/>
          <w:sz w:val="32"/>
          <w:szCs w:val="32"/>
          <w:lang w:val="en-US" w:eastAsia="zh-CN"/>
        </w:rPr>
        <w:t>590只</w:t>
      </w:r>
      <w:r>
        <w:rPr>
          <w:rFonts w:hint="eastAsia" w:ascii="Times New Roman" w:hAnsi="Times New Roman" w:eastAsia="仿宋_GB2312" w:cs="Times New Roman"/>
          <w:sz w:val="32"/>
          <w:szCs w:val="32"/>
          <w:lang w:val="zh-CN"/>
        </w:rPr>
        <w:t>，优质青干草约</w:t>
      </w:r>
      <w:r>
        <w:rPr>
          <w:rFonts w:hint="eastAsia" w:eastAsia="仿宋_GB2312" w:cs="Times New Roman"/>
          <w:sz w:val="32"/>
          <w:szCs w:val="32"/>
          <w:lang w:val="en-US" w:eastAsia="zh-CN"/>
        </w:rPr>
        <w:t>100吨，</w:t>
      </w:r>
      <w:r>
        <w:rPr>
          <w:rFonts w:hint="eastAsia" w:ascii="Times New Roman" w:hAnsi="Times New Roman" w:eastAsia="仿宋_GB2312" w:cs="Times New Roman"/>
          <w:sz w:val="32"/>
          <w:szCs w:val="32"/>
          <w:lang w:val="zh-CN"/>
        </w:rPr>
        <w:t>补饲精料约</w:t>
      </w:r>
      <w:r>
        <w:rPr>
          <w:rFonts w:hint="eastAsia" w:eastAsia="仿宋_GB2312" w:cs="Times New Roman"/>
          <w:sz w:val="32"/>
          <w:szCs w:val="32"/>
          <w:lang w:val="en-US" w:eastAsia="zh-CN"/>
        </w:rPr>
        <w:t>65吨</w:t>
      </w:r>
      <w:r>
        <w:rPr>
          <w:rFonts w:hint="eastAsia" w:ascii="Times New Roman" w:hAnsi="Times New Roman" w:eastAsia="仿宋_GB2312" w:cs="Times New Roman"/>
          <w:sz w:val="32"/>
          <w:szCs w:val="32"/>
          <w:lang w:val="zh-CN"/>
        </w:rPr>
        <w:t>。</w:t>
      </w:r>
    </w:p>
    <w:p w14:paraId="7B6EA38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（四）项目绩效目标设置</w:t>
      </w:r>
    </w:p>
    <w:p w14:paraId="579207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整体目标是提升养殖基地绵羊存栏量与品质，区域目标是带动</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经济发展，具体目标如绵羊健康成长率等。开展了自评工作，确保目标合理且可衡量。</w:t>
      </w:r>
    </w:p>
    <w:p w14:paraId="207E381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二、评价实施</w:t>
      </w:r>
    </w:p>
    <w:p w14:paraId="29B1069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（一）评价目的</w:t>
      </w:r>
    </w:p>
    <w:p w14:paraId="593A8A8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通过绩效自评，了解项目资金使用效益，为后续项目改进与资金安排提供依据。</w:t>
      </w:r>
    </w:p>
    <w:p w14:paraId="0864007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（二）预设问题及评价重点</w:t>
      </w:r>
    </w:p>
    <w:p w14:paraId="1172C8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重点评价资金支出合理性、物资采购质量与数量、对养殖产业的推动效果等。</w:t>
      </w:r>
    </w:p>
    <w:p w14:paraId="3B38B95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（三）评价选点</w:t>
      </w:r>
    </w:p>
    <w:p w14:paraId="48874A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抽样选取部分藏绵羊、青干草与精料采购点，以及养殖基地部分区域。</w:t>
      </w:r>
    </w:p>
    <w:p w14:paraId="5DADECA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（四）评价方法</w:t>
      </w:r>
    </w:p>
    <w:p w14:paraId="79AFD2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采用成本效益分析法评估投入产出，标杆管理法对比其他优秀养殖基地，案卷研究法分析项目文件，实地勘察法查看养殖基地与物资情况，问卷调查法了解养殖户意见，座谈调研法与相关人员沟通。</w:t>
      </w:r>
    </w:p>
    <w:p w14:paraId="23775AE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（五）评价组织</w:t>
      </w:r>
    </w:p>
    <w:p w14:paraId="0AD9A4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评价组由财务专家、畜牧专家和项目管理专家组成，分别负责资金审核、养殖技术评估和项目流程监督。</w:t>
      </w:r>
    </w:p>
    <w:p w14:paraId="17155D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三、绩效分析</w:t>
      </w:r>
    </w:p>
    <w:p w14:paraId="1C27137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（一）通用指标绩效分析</w:t>
      </w:r>
    </w:p>
    <w:p w14:paraId="201E72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 项目决策：决策程序规范，经过多层论证；规划符合</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发展，资金投向明确指向绵羊养殖物资采购。</w:t>
      </w:r>
    </w:p>
    <w:p w14:paraId="619103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 项目管理：有完善的制度办法，分配管理合理，绩效监管到位，定期检查物资采购与使用情况。</w:t>
      </w:r>
    </w:p>
    <w:p w14:paraId="03DAFA0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3. 项目实施：预算执行按计划推进，资金使用严格遵守财务规定，专款专用。</w:t>
      </w:r>
    </w:p>
    <w:p w14:paraId="2B8B346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4. 项目结果：目标完成情况良好，藏绵羊采购数量、青干草和精料质量达标，完成时效符合要求。</w:t>
      </w:r>
    </w:p>
    <w:p w14:paraId="0EB0F51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（二）专用指标绩效分析</w:t>
      </w:r>
    </w:p>
    <w:p w14:paraId="5226B1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 产业发展：采购内容符合产业发展需求，有助于养殖产业成长，经济性良好，提升了养殖效益。</w:t>
      </w:r>
    </w:p>
    <w:p w14:paraId="0DF567A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 民生保障：虽非民生保障类重点项目，但间接提高养殖户收入，区域均衡性和对象精准性良好，养殖户满意度较高。</w:t>
      </w:r>
    </w:p>
    <w:p w14:paraId="1B35B5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3. 基础设施：本项目不涉及。</w:t>
      </w:r>
    </w:p>
    <w:p w14:paraId="7E9605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4. 行政运转：项目用途、程序和标准均合规。</w:t>
      </w:r>
    </w:p>
    <w:p w14:paraId="3938821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（三）个性指标绩效分析</w:t>
      </w:r>
    </w:p>
    <w:p w14:paraId="1263DDD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设定了绵羊成活率、育肥效果等指标，目前执行情况良好，绵羊生长状态佳。</w:t>
      </w:r>
    </w:p>
    <w:p w14:paraId="184C35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四、评价结论</w:t>
      </w:r>
    </w:p>
    <w:p w14:paraId="5896E0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Times New Roman" w:hAnsi="Times New Roman" w:eastAsia="仿宋_GB2312" w:cs="Times New Roman"/>
          <w:sz w:val="32"/>
          <w:szCs w:val="32"/>
          <w:lang w:val="zh-CN"/>
        </w:rPr>
        <w:t>评价总分</w:t>
      </w:r>
      <w:r>
        <w:rPr>
          <w:rFonts w:hint="eastAsia" w:eastAsia="仿宋_GB2312" w:cs="Times New Roman"/>
          <w:sz w:val="32"/>
          <w:szCs w:val="32"/>
          <w:lang w:val="en-US" w:eastAsia="zh-CN"/>
        </w:rPr>
        <w:t>94</w:t>
      </w:r>
      <w:r>
        <w:rPr>
          <w:rFonts w:hint="eastAsia" w:ascii="Times New Roman" w:hAnsi="Times New Roman" w:eastAsia="仿宋_GB2312" w:cs="Times New Roman"/>
          <w:sz w:val="32"/>
          <w:szCs w:val="32"/>
          <w:lang w:val="zh-CN"/>
        </w:rPr>
        <w:t>分。项目实施顺利，物资采购按计划完成，对</w:t>
      </w:r>
      <w:r>
        <w:rPr>
          <w:rFonts w:hint="eastAsia" w:eastAsia="仿宋_GB2312" w:cs="Times New Roman"/>
          <w:sz w:val="32"/>
          <w:szCs w:val="32"/>
          <w:lang w:val="zh-CN"/>
        </w:rPr>
        <w:t>江茸乡</w:t>
      </w:r>
      <w:r>
        <w:rPr>
          <w:rFonts w:hint="eastAsia" w:ascii="Times New Roman" w:hAnsi="Times New Roman" w:eastAsia="仿宋_GB2312" w:cs="Times New Roman"/>
          <w:sz w:val="32"/>
          <w:szCs w:val="32"/>
          <w:lang w:val="zh-CN"/>
        </w:rPr>
        <w:t>绵羊养殖产业发展有积极推动作用。</w:t>
      </w:r>
    </w:p>
    <w:p w14:paraId="3B84CC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五、存在主要问题</w:t>
      </w:r>
    </w:p>
    <w:p w14:paraId="001A7C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 物资采购过程中，部分青干草质量存在轻微波动。</w:t>
      </w:r>
    </w:p>
    <w:p w14:paraId="6D60D6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 对藏绵羊的健康监测体系有待进一步完善。</w:t>
      </w:r>
    </w:p>
    <w:p w14:paraId="1C1FC6E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zh-CN"/>
        </w:rPr>
      </w:pPr>
      <w:r>
        <w:rPr>
          <w:rFonts w:hint="eastAsia" w:ascii="黑体" w:hAnsi="黑体" w:eastAsia="黑体" w:cs="Times New Roman"/>
          <w:sz w:val="32"/>
          <w:szCs w:val="32"/>
          <w:lang w:val="zh-CN"/>
        </w:rPr>
        <w:t>六、改进建议</w:t>
      </w:r>
    </w:p>
    <w:p w14:paraId="6B4C4C4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 加强青干草供应商管理，增加质量抽检次数。</w:t>
      </w:r>
    </w:p>
    <w:p w14:paraId="54CC8A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 建立健全藏绵羊健康监测系统，配备专业兽医人员。</w:t>
      </w:r>
    </w:p>
    <w:p w14:paraId="4B318BD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Times New Roman"/>
          <w:sz w:val="44"/>
          <w:szCs w:val="44"/>
          <w:lang w:val="en-US" w:eastAsia="zh-CN"/>
        </w:rPr>
      </w:pPr>
    </w:p>
    <w:p w14:paraId="1DE786C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Times New Roman"/>
          <w:sz w:val="44"/>
          <w:szCs w:val="44"/>
          <w:lang w:val="en-US" w:eastAsia="zh-CN"/>
        </w:rPr>
      </w:pPr>
    </w:p>
    <w:p w14:paraId="069041A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Times New Roman"/>
          <w:sz w:val="44"/>
          <w:szCs w:val="44"/>
          <w:lang w:val="en-US" w:eastAsia="zh-CN"/>
        </w:rPr>
        <w:t>江茸乡畜种改良项目</w:t>
      </w:r>
      <w:r>
        <w:rPr>
          <w:rFonts w:hint="eastAsia" w:ascii="方正小标宋简体" w:hAnsi="方正小标宋简体" w:eastAsia="方正小标宋简体" w:cs="Times New Roman"/>
          <w:sz w:val="44"/>
          <w:szCs w:val="44"/>
          <w:lang w:val="zh-CN"/>
        </w:rPr>
        <w:t>绩效评价报告</w:t>
      </w:r>
    </w:p>
    <w:p w14:paraId="296EC2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一、项目概况</w:t>
      </w:r>
    </w:p>
    <w:p w14:paraId="4C2F76D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（一）设立背景及基本情况</w:t>
      </w:r>
    </w:p>
    <w:p w14:paraId="3A66A1E4">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为提升江茸乡畜种质量，推动畜牧业发展，经相关调研和论证后设立此项目。依据畜牧业发展规划和提升畜种品质需求申报资金。项目主要内容为采购优质公牛 40 头。主管部门负责项目监督、指导及协调等职能。</w:t>
      </w:r>
    </w:p>
    <w:p w14:paraId="551D407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（二）实施目的及支持方向</w:t>
      </w:r>
    </w:p>
    <w:p w14:paraId="74E5868B">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已制定项目资金管理办法。实施目的是改良畜种，主要工作任务即采购优质公牛。支持方向为畜种改良，促进畜牧业发展。</w:t>
      </w:r>
    </w:p>
    <w:p w14:paraId="501E1F3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（三）预算安排及分配管理</w:t>
      </w:r>
    </w:p>
    <w:p w14:paraId="479E256B">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 80 万元。资金分配原则基于公牛质量、采购价格等因素，全部用于采购 40 头优质公牛。</w:t>
      </w:r>
    </w:p>
    <w:p w14:paraId="72F3DC0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（四）项目绩效目标设置</w:t>
      </w:r>
    </w:p>
    <w:p w14:paraId="5A141226">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整体目标是提升畜种品质，区域目标是提高江茸乡畜牧业水平，具体目标是公牛购入并投入使用。项目将按计划开展自评工作。</w:t>
      </w:r>
    </w:p>
    <w:p w14:paraId="7F3B71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二、评价实施</w:t>
      </w:r>
    </w:p>
    <w:p w14:paraId="20B394D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（一）评价目的</w:t>
      </w:r>
    </w:p>
    <w:p w14:paraId="1BD6CFDA">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通过绩效自评，了解项目资金使用效果，为后续类似项目提供参考。</w:t>
      </w:r>
    </w:p>
    <w:p w14:paraId="28E73A5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（二）预设问题及评价重点</w:t>
      </w:r>
    </w:p>
    <w:p w14:paraId="1634C6FA">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重点评价资金支出合理性、公牛采购质量及对畜种改良的效果。</w:t>
      </w:r>
    </w:p>
    <w:p w14:paraId="6112EDE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（三）评价选点</w:t>
      </w:r>
    </w:p>
    <w:p w14:paraId="26F019F8">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在公牛采购点、饲养点抽样。</w:t>
      </w:r>
    </w:p>
    <w:p w14:paraId="62F976C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（四）评价方法</w:t>
      </w:r>
    </w:p>
    <w:p w14:paraId="3CB8AEB9">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采用成本效益分析法、实地勘察法、问卷调查法等。</w:t>
      </w:r>
    </w:p>
    <w:p w14:paraId="34FD1A9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（五）评价组织</w:t>
      </w:r>
    </w:p>
    <w:p w14:paraId="79DC641D">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评价组由畜牧专家、财务人员等构成，分别负责技术和财务相关评价工作。</w:t>
      </w:r>
    </w:p>
    <w:p w14:paraId="1D80F4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三、绩效分析</w:t>
      </w:r>
    </w:p>
    <w:p w14:paraId="449ECEF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（一）通用指标绩效分析</w:t>
      </w:r>
    </w:p>
    <w:p w14:paraId="71DCE4D9">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1.项目决策。决策程序规范，经过充分论证，规划合理，资金投向明确用于畜种改良。</w:t>
      </w:r>
    </w:p>
    <w:p w14:paraId="4A0F52E3">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2.项目管理。有完善的制度办法，分配管理合理，绩效监管到位。</w:t>
      </w:r>
    </w:p>
    <w:p w14:paraId="56096935">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3.项目实施。预算执行按计划进行，资金使用规范。</w:t>
      </w:r>
    </w:p>
    <w:p w14:paraId="5A034BD1">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4.项目结果。目标完成度高，能按时完成采购。</w:t>
      </w:r>
    </w:p>
    <w:p w14:paraId="163A60BC">
      <w:pPr>
        <w:spacing w:after="0" w:line="560" w:lineRule="exact"/>
        <w:ind w:firstLine="643" w:firstLineChars="200"/>
        <w:jc w:val="both"/>
        <w:rPr>
          <w:rFonts w:hint="eastAsia" w:ascii="仿宋_GB2312" w:hAnsi="仿宋_GB2312" w:eastAsia="仿宋_GB2312" w:cs="仿宋_GB2312"/>
          <w:sz w:val="32"/>
          <w:szCs w:val="32"/>
          <w:lang w:val="en-US" w:eastAsia="zh-CN"/>
        </w:rPr>
      </w:pPr>
      <w:r>
        <w:rPr>
          <w:rFonts w:hint="eastAsia" w:ascii="楷体_GB2312" w:hAnsi="Times New Roman" w:eastAsia="楷体_GB2312" w:cs="Times New Roman"/>
          <w:b/>
          <w:sz w:val="32"/>
          <w:szCs w:val="32"/>
          <w:lang w:val="en-US" w:eastAsia="zh-CN"/>
        </w:rPr>
        <w:t>（二）专用指标绩效分析</w:t>
      </w:r>
    </w:p>
    <w:p w14:paraId="7A430817">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1.产业发展</w:t>
      </w:r>
    </w:p>
    <w:p w14:paraId="1174A1B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采购公牛符合产业发展需求，对畜牧业发展有促进作用，经济性良好。</w:t>
      </w:r>
    </w:p>
    <w:p w14:paraId="03DD2130">
      <w:pPr>
        <w:spacing w:after="0" w:line="560" w:lineRule="exact"/>
        <w:ind w:firstLine="643" w:firstLineChars="200"/>
        <w:jc w:val="both"/>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val="en-US" w:eastAsia="zh-CN"/>
        </w:rPr>
        <w:t>（三）个性指标绩效分析</w:t>
      </w:r>
    </w:p>
    <w:p w14:paraId="0DA7D3EC">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公牛健康状况良好、品种优良，各项采购指标执行完成出色。</w:t>
      </w:r>
    </w:p>
    <w:p w14:paraId="7B5F45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四、评价结论</w:t>
      </w:r>
    </w:p>
    <w:p w14:paraId="70FD1B32">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评价总分96分，项目实施顺利，达到预期目标，有效促进畜种改良。</w:t>
      </w:r>
    </w:p>
    <w:p w14:paraId="6FFC941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五、存在主要问题</w:t>
      </w:r>
    </w:p>
    <w:p w14:paraId="2663E257">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可能存在公牛适应情况监测不足、后续配种计划不够完善等问题。</w:t>
      </w:r>
    </w:p>
    <w:p w14:paraId="270F27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六、改进建议</w:t>
      </w:r>
    </w:p>
    <w:p w14:paraId="6A2AC32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增加对公牛适应情况监测频率，完善后续配种计划和相关管理措施。优化预算安排中对后续监测和配种管理的资金支持。</w:t>
      </w:r>
    </w:p>
    <w:p w14:paraId="6F14DDE2">
      <w:pPr>
        <w:spacing w:after="0" w:line="560" w:lineRule="exact"/>
        <w:ind w:firstLine="640" w:firstLineChars="200"/>
        <w:jc w:val="both"/>
        <w:rPr>
          <w:rFonts w:hint="eastAsia" w:ascii="仿宋_GB2312" w:hAnsi="仿宋_GB2312" w:eastAsia="仿宋_GB2312" w:cs="仿宋_GB2312"/>
          <w:sz w:val="32"/>
          <w:szCs w:val="32"/>
          <w:lang w:val="en-US" w:eastAsia="zh-CN"/>
        </w:rPr>
      </w:pPr>
    </w:p>
    <w:p w14:paraId="5CEC57EB">
      <w:pPr>
        <w:pStyle w:val="2"/>
        <w:rPr>
          <w:rFonts w:hint="eastAsia" w:ascii="仿宋_GB2312" w:hAnsi="仿宋_GB2312" w:eastAsia="仿宋_GB2312" w:cs="仿宋_GB2312"/>
          <w:sz w:val="32"/>
          <w:szCs w:val="32"/>
          <w:lang w:val="en-US" w:eastAsia="zh-CN"/>
        </w:rPr>
      </w:pPr>
    </w:p>
    <w:p w14:paraId="6872167C">
      <w:pPr>
        <w:rPr>
          <w:rFonts w:hint="eastAsia" w:ascii="仿宋_GB2312" w:hAnsi="仿宋_GB2312" w:eastAsia="仿宋_GB2312" w:cs="仿宋_GB2312"/>
          <w:sz w:val="32"/>
          <w:szCs w:val="32"/>
          <w:lang w:val="en-US" w:eastAsia="zh-CN"/>
        </w:rPr>
      </w:pPr>
    </w:p>
    <w:p w14:paraId="5241B75B">
      <w:pPr>
        <w:pStyle w:val="2"/>
        <w:rPr>
          <w:rFonts w:hint="eastAsia" w:ascii="仿宋_GB2312" w:hAnsi="仿宋_GB2312" w:eastAsia="仿宋_GB2312" w:cs="仿宋_GB2312"/>
          <w:sz w:val="32"/>
          <w:szCs w:val="32"/>
          <w:lang w:val="en-US" w:eastAsia="zh-CN"/>
        </w:rPr>
      </w:pPr>
    </w:p>
    <w:p w14:paraId="6CAABEFE">
      <w:pPr>
        <w:rPr>
          <w:rFonts w:hint="eastAsia" w:ascii="仿宋_GB2312" w:hAnsi="仿宋_GB2312" w:eastAsia="仿宋_GB2312" w:cs="仿宋_GB2312"/>
          <w:sz w:val="32"/>
          <w:szCs w:val="32"/>
          <w:lang w:val="en-US" w:eastAsia="zh-CN"/>
        </w:rPr>
      </w:pPr>
    </w:p>
    <w:p w14:paraId="6BBB4BED">
      <w:pPr>
        <w:pStyle w:val="2"/>
        <w:rPr>
          <w:rFonts w:hint="eastAsia" w:ascii="仿宋_GB2312" w:hAnsi="仿宋_GB2312" w:eastAsia="仿宋_GB2312" w:cs="仿宋_GB2312"/>
          <w:sz w:val="32"/>
          <w:szCs w:val="32"/>
          <w:lang w:val="en-US" w:eastAsia="zh-CN"/>
        </w:rPr>
      </w:pPr>
    </w:p>
    <w:p w14:paraId="2640A8A6">
      <w:pPr>
        <w:rPr>
          <w:rFonts w:hint="eastAsia" w:ascii="仿宋_GB2312" w:hAnsi="仿宋_GB2312" w:eastAsia="仿宋_GB2312" w:cs="仿宋_GB2312"/>
          <w:sz w:val="32"/>
          <w:szCs w:val="32"/>
          <w:lang w:val="en-US" w:eastAsia="zh-CN"/>
        </w:rPr>
      </w:pPr>
    </w:p>
    <w:p w14:paraId="7F0004C4">
      <w:pPr>
        <w:pStyle w:val="2"/>
        <w:rPr>
          <w:rFonts w:hint="eastAsia" w:ascii="仿宋_GB2312" w:hAnsi="仿宋_GB2312" w:eastAsia="仿宋_GB2312" w:cs="仿宋_GB2312"/>
          <w:sz w:val="32"/>
          <w:szCs w:val="32"/>
          <w:lang w:val="en-US" w:eastAsia="zh-CN"/>
        </w:rPr>
      </w:pPr>
    </w:p>
    <w:p w14:paraId="040B98B7">
      <w:pPr>
        <w:rPr>
          <w:rFonts w:hint="eastAsia" w:ascii="仿宋_GB2312" w:hAnsi="仿宋_GB2312" w:eastAsia="仿宋_GB2312" w:cs="仿宋_GB2312"/>
          <w:sz w:val="32"/>
          <w:szCs w:val="32"/>
          <w:lang w:val="en-US" w:eastAsia="zh-CN"/>
        </w:rPr>
      </w:pPr>
    </w:p>
    <w:p w14:paraId="5B937CB3">
      <w:pPr>
        <w:pStyle w:val="2"/>
        <w:rPr>
          <w:rFonts w:hint="eastAsia" w:ascii="仿宋_GB2312" w:hAnsi="仿宋_GB2312" w:eastAsia="仿宋_GB2312" w:cs="仿宋_GB2312"/>
          <w:sz w:val="32"/>
          <w:szCs w:val="32"/>
          <w:lang w:val="en-US" w:eastAsia="zh-CN"/>
        </w:rPr>
      </w:pPr>
    </w:p>
    <w:p w14:paraId="0310DC39">
      <w:pPr>
        <w:rPr>
          <w:rFonts w:hint="eastAsia"/>
          <w:lang w:val="en-US" w:eastAsia="zh-CN"/>
        </w:rPr>
      </w:pPr>
    </w:p>
    <w:p w14:paraId="7BFE922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Times New Roman"/>
          <w:sz w:val="32"/>
          <w:szCs w:val="32"/>
          <w:lang w:val="en-US" w:eastAsia="zh-CN"/>
        </w:rPr>
      </w:pPr>
      <w:r>
        <w:rPr>
          <w:rFonts w:hint="eastAsia" w:ascii="方正小标宋简体" w:hAnsi="方正小标宋简体" w:eastAsia="方正小标宋简体" w:cs="Times New Roman"/>
          <w:sz w:val="44"/>
          <w:szCs w:val="44"/>
          <w:lang w:val="en-US" w:eastAsia="zh-CN"/>
        </w:rPr>
        <w:t>红原县江茸乡茸日玛村牲畜饲草料加工基地建设项目（物资采购）</w:t>
      </w:r>
      <w:r>
        <w:rPr>
          <w:rFonts w:hint="eastAsia" w:ascii="方正小标宋简体" w:hAnsi="方正小标宋简体" w:eastAsia="方正小标宋简体" w:cs="Times New Roman"/>
          <w:sz w:val="44"/>
          <w:szCs w:val="44"/>
          <w:lang w:val="zh-CN"/>
        </w:rPr>
        <w:t>绩效评价报告</w:t>
      </w:r>
    </w:p>
    <w:p w14:paraId="56CCBC8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一、项目概况</w:t>
      </w:r>
    </w:p>
    <w:p w14:paraId="17DA00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（一）设立背景及基本情况</w:t>
      </w:r>
    </w:p>
    <w:p w14:paraId="3833281A">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本项目旨在满足江茸乡牲畜饲草料加工需求。因当地牲畜养殖规模扩大，对优质草料加工设备需求迫切而设立。依据畜牧产业发展规划和相关政策申报资金。主要内容为采购草科粒加工成套设备 1 套，主管部门负责项目规划、资金监管等职能。</w:t>
      </w:r>
    </w:p>
    <w:p w14:paraId="374796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（二）实施目的及支持方向</w:t>
      </w:r>
    </w:p>
    <w:p w14:paraId="02402AE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已制定项目资金管理办法。实施目的是提升饲草料加工水平，保障牲畜饲料供应。主要工作任务是顺利采购并安装设备。支持方向为畜牧产业发展中的草料加工环节。</w:t>
      </w:r>
    </w:p>
    <w:p w14:paraId="06F8A7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（三）预算安排及分配管理</w:t>
      </w:r>
    </w:p>
    <w:p w14:paraId="6B0D59E1">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 90 万元，全部用于采购草科粒加工成套设备。资金分配依据项目实际需求，确保专款专用。</w:t>
      </w:r>
    </w:p>
    <w:p w14:paraId="7B78D92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（四）项目绩效目标设置</w:t>
      </w:r>
    </w:p>
    <w:p w14:paraId="4F82E9C1">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整体目标是提高饲草料加工能力，区域目标是满足江茸乡需求，具体目标是设备正常运行。项目将按计划开展自评工作。</w:t>
      </w:r>
    </w:p>
    <w:p w14:paraId="34DA1F0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二、评价实施</w:t>
      </w:r>
    </w:p>
    <w:p w14:paraId="7EFDB49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（一）评价目的</w:t>
      </w:r>
    </w:p>
    <w:p w14:paraId="1CD295C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通过绩效自评，评估项目实施效果，确保资金使用合理，为后续类似项目提供经验。</w:t>
      </w:r>
    </w:p>
    <w:p w14:paraId="6C8797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（二）预设问题及评价重点</w:t>
      </w:r>
    </w:p>
    <w:p w14:paraId="2CE87321">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重点评价资金使用全过程和实施效果，如设备采购的合规性、质量等。</w:t>
      </w:r>
    </w:p>
    <w:p w14:paraId="0EA425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（三）评价选点</w:t>
      </w:r>
    </w:p>
    <w:p w14:paraId="7F66B5B7">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以设备采购环节和安装后的运行情况为抽样点位。</w:t>
      </w:r>
    </w:p>
    <w:p w14:paraId="4AA1C1B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（四）评价方法</w:t>
      </w:r>
    </w:p>
    <w:p w14:paraId="52A460E2">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采用案卷研究法、实地勘察法、问卷调查法等，全面收集资料并评价。</w:t>
      </w:r>
    </w:p>
    <w:p w14:paraId="2441CC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（五）评价组织</w:t>
      </w:r>
    </w:p>
    <w:p w14:paraId="0912E11E">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评价组由项目管理人员、财务人员等构成，分别负责不同环节的评价工作。</w:t>
      </w:r>
    </w:p>
    <w:p w14:paraId="2776E9F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三、绩效分析</w:t>
      </w:r>
    </w:p>
    <w:p w14:paraId="5B93FC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（一）通用指标绩效分析</w:t>
      </w:r>
    </w:p>
    <w:p w14:paraId="09A9D3D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项目决策：决策程序规范，经充分论证，资金投向合理，符合畜牧产业发展需求。</w:t>
      </w:r>
    </w:p>
    <w:p w14:paraId="07A158F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项目管理：有完善制度办法，分配管理科学，绩效监管到位。</w:t>
      </w:r>
    </w:p>
    <w:p w14:paraId="5EE96E4F">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项目实施：预算执行严格，资金使用规范，确保设备采购顺利。</w:t>
      </w:r>
    </w:p>
    <w:p w14:paraId="55313E5E">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项目结果：目标完成良好，设备按时采购安装，运行正常。</w:t>
      </w:r>
    </w:p>
    <w:p w14:paraId="764C15C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（二）专用指标绩效分析</w:t>
      </w:r>
    </w:p>
    <w:p w14:paraId="37E71D52">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产业发展：符合产业发展方向，设备投入使用后可促进草料加工产业发展，具有经济性。</w:t>
      </w:r>
    </w:p>
    <w:p w14:paraId="49D537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（三）个性指标绩效分析</w:t>
      </w:r>
    </w:p>
    <w:p w14:paraId="3C97F7AA">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设备采购符合项目设定的质量、规格等个性指标，安装调试顺利。</w:t>
      </w:r>
    </w:p>
    <w:p w14:paraId="3880B55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四、评价结论</w:t>
      </w:r>
    </w:p>
    <w:p w14:paraId="4AF31519">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项目绩效自评总分95分，项目实施情况良好，设备采购安装顺利，达到预期目标。</w:t>
      </w:r>
    </w:p>
    <w:p w14:paraId="7BBB5B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五、存在主要问题</w:t>
      </w:r>
    </w:p>
    <w:p w14:paraId="2BAA8AA4">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设备操作人员培训不足，可能影响设备长期稳定运行。</w:t>
      </w:r>
    </w:p>
    <w:p w14:paraId="6E091A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六、改进建议</w:t>
      </w:r>
    </w:p>
    <w:p w14:paraId="5EBBF05C">
      <w:pPr>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安排专项培训，对操作人员进行系统培训，提高操作技能和维护能力。</w:t>
      </w:r>
    </w:p>
    <w:p w14:paraId="6276FDA6">
      <w:pPr>
        <w:rPr>
          <w:rFonts w:hint="eastAsia"/>
          <w:lang w:val="en-US" w:eastAsia="zh-CN"/>
        </w:rPr>
      </w:pPr>
      <w:bookmarkStart w:id="173" w:name="_GoBack"/>
    </w:p>
    <w:bookmarkEnd w:id="173"/>
    <w:p w14:paraId="7DD73C3D">
      <w:pPr>
        <w:pStyle w:val="2"/>
        <w:rPr>
          <w:rFonts w:hint="eastAsia"/>
          <w:lang w:val="en-US" w:eastAsia="zh-CN"/>
        </w:rPr>
      </w:pPr>
    </w:p>
    <w:p w14:paraId="04B1E3FB">
      <w:pPr>
        <w:rPr>
          <w:rFonts w:hint="eastAsia"/>
          <w:lang w:val="en-US" w:eastAsia="zh-CN"/>
        </w:rPr>
      </w:pPr>
    </w:p>
    <w:p w14:paraId="19357E32">
      <w:pPr>
        <w:pStyle w:val="2"/>
        <w:rPr>
          <w:rFonts w:hint="eastAsia"/>
          <w:lang w:val="en-US" w:eastAsia="zh-CN"/>
        </w:rPr>
      </w:pPr>
    </w:p>
    <w:p w14:paraId="4EBCEF11">
      <w:pPr>
        <w:rPr>
          <w:rFonts w:hint="eastAsia"/>
          <w:lang w:val="en-US" w:eastAsia="zh-CN"/>
        </w:rPr>
      </w:pPr>
    </w:p>
    <w:p w14:paraId="26ADB5B3">
      <w:pPr>
        <w:pStyle w:val="2"/>
        <w:rPr>
          <w:rFonts w:hint="eastAsia"/>
          <w:lang w:val="en-US" w:eastAsia="zh-CN"/>
        </w:rPr>
      </w:pPr>
    </w:p>
    <w:p w14:paraId="4C87DC9A">
      <w:pPr>
        <w:rPr>
          <w:rFonts w:hint="eastAsia"/>
          <w:lang w:val="en-US" w:eastAsia="zh-CN"/>
        </w:rPr>
      </w:pPr>
    </w:p>
    <w:p w14:paraId="7091EF0C">
      <w:pPr>
        <w:pStyle w:val="2"/>
        <w:rPr>
          <w:rFonts w:hint="eastAsia"/>
          <w:lang w:val="en-US" w:eastAsia="zh-CN"/>
        </w:rPr>
      </w:pPr>
    </w:p>
    <w:p w14:paraId="38B20297">
      <w:pPr>
        <w:rPr>
          <w:rFonts w:hint="eastAsia"/>
          <w:lang w:val="en-US" w:eastAsia="zh-CN"/>
        </w:rPr>
      </w:pPr>
    </w:p>
    <w:p w14:paraId="3CFAE8B0">
      <w:pPr>
        <w:pStyle w:val="2"/>
        <w:rPr>
          <w:rFonts w:hint="eastAsia"/>
          <w:lang w:val="en-US" w:eastAsia="zh-CN"/>
        </w:rPr>
      </w:pPr>
    </w:p>
    <w:p w14:paraId="1A03A649">
      <w:pPr>
        <w:rPr>
          <w:rFonts w:hint="eastAsia"/>
          <w:lang w:val="en-US" w:eastAsia="zh-CN"/>
        </w:rPr>
      </w:pPr>
    </w:p>
    <w:p w14:paraId="19F1B65E">
      <w:pPr>
        <w:spacing w:line="600" w:lineRule="exact"/>
        <w:jc w:val="both"/>
        <w:outlineLvl w:val="0"/>
        <w:rPr>
          <w:rFonts w:hint="eastAsia" w:ascii="黑体" w:hAnsi="黑体" w:eastAsia="黑体"/>
          <w:color w:val="000000"/>
          <w:sz w:val="44"/>
          <w:szCs w:val="44"/>
        </w:rPr>
      </w:pPr>
      <w:bookmarkStart w:id="131" w:name="_Toc10718"/>
      <w:bookmarkStart w:id="132" w:name="_Toc15396618"/>
    </w:p>
    <w:p w14:paraId="36354287">
      <w:pPr>
        <w:spacing w:line="600" w:lineRule="exact"/>
        <w:jc w:val="both"/>
        <w:outlineLvl w:val="0"/>
        <w:rPr>
          <w:rFonts w:hint="eastAsia" w:ascii="黑体" w:hAnsi="黑体" w:eastAsia="黑体"/>
          <w:color w:val="000000"/>
          <w:sz w:val="44"/>
          <w:szCs w:val="44"/>
        </w:rPr>
      </w:pPr>
    </w:p>
    <w:p w14:paraId="7BB3C647">
      <w:pPr>
        <w:spacing w:line="600" w:lineRule="exact"/>
        <w:jc w:val="center"/>
        <w:outlineLvl w:val="0"/>
        <w:rPr>
          <w:rFonts w:ascii="仿宋" w:hAnsi="仿宋" w:eastAsia="仿宋"/>
          <w:b/>
          <w:color w:val="000000"/>
          <w:sz w:val="44"/>
          <w:szCs w:val="44"/>
        </w:rPr>
      </w:pPr>
      <w:bookmarkStart w:id="133" w:name="_Toc16487"/>
      <w:r>
        <w:rPr>
          <w:rFonts w:hint="eastAsia" w:ascii="黑体" w:hAnsi="黑体" w:eastAsia="黑体"/>
          <w:color w:val="000000"/>
          <w:sz w:val="44"/>
          <w:szCs w:val="44"/>
        </w:rPr>
        <w:t>第</w:t>
      </w:r>
      <w:r>
        <w:rPr>
          <w:rStyle w:val="31"/>
          <w:rFonts w:hint="eastAsia" w:ascii="黑体" w:hAnsi="黑体" w:eastAsia="黑体"/>
          <w:b w:val="0"/>
          <w:lang w:eastAsia="zh-CN"/>
        </w:rPr>
        <w:t>五</w:t>
      </w:r>
      <w:r>
        <w:rPr>
          <w:rStyle w:val="31"/>
          <w:rFonts w:hint="eastAsia" w:ascii="黑体" w:hAnsi="黑体" w:eastAsia="黑体"/>
          <w:b w:val="0"/>
        </w:rPr>
        <w:t>部分 附表</w:t>
      </w:r>
      <w:bookmarkEnd w:id="122"/>
      <w:bookmarkEnd w:id="131"/>
      <w:bookmarkEnd w:id="132"/>
      <w:bookmarkEnd w:id="133"/>
    </w:p>
    <w:p w14:paraId="509F751D">
      <w:pPr>
        <w:pStyle w:val="4"/>
        <w:rPr>
          <w:rFonts w:ascii="仿宋" w:hAnsi="仿宋" w:eastAsia="仿宋"/>
          <w:color w:val="000000"/>
        </w:rPr>
      </w:pPr>
      <w:bookmarkStart w:id="134" w:name="_Toc15396619"/>
      <w:bookmarkStart w:id="135" w:name="_Toc5236"/>
      <w:bookmarkStart w:id="136" w:name="_Toc8039"/>
      <w:r>
        <w:rPr>
          <w:rFonts w:hint="eastAsia" w:ascii="仿宋" w:hAnsi="仿宋" w:eastAsia="仿宋"/>
          <w:b w:val="0"/>
          <w:color w:val="000000"/>
        </w:rPr>
        <w:t>一、</w:t>
      </w:r>
      <w:bookmarkEnd w:id="134"/>
      <w:r>
        <w:rPr>
          <w:rFonts w:hint="eastAsia" w:ascii="仿宋" w:hAnsi="仿宋" w:eastAsia="仿宋"/>
          <w:b w:val="0"/>
          <w:color w:val="000000"/>
        </w:rPr>
        <w:t>收入支出决算总表</w:t>
      </w:r>
      <w:bookmarkEnd w:id="135"/>
      <w:bookmarkEnd w:id="136"/>
    </w:p>
    <w:p w14:paraId="76259C45">
      <w:pPr>
        <w:pStyle w:val="4"/>
        <w:rPr>
          <w:rFonts w:ascii="仿宋" w:hAnsi="仿宋" w:eastAsia="仿宋"/>
          <w:color w:val="000000"/>
        </w:rPr>
      </w:pPr>
      <w:bookmarkStart w:id="137" w:name="_Toc12316"/>
      <w:bookmarkStart w:id="138" w:name="_Toc15396620"/>
      <w:bookmarkStart w:id="139" w:name="_Toc14131"/>
      <w:r>
        <w:rPr>
          <w:rFonts w:hint="eastAsia" w:ascii="仿宋" w:hAnsi="仿宋" w:eastAsia="仿宋"/>
          <w:b w:val="0"/>
          <w:color w:val="000000"/>
        </w:rPr>
        <w:t>二、</w:t>
      </w:r>
      <w:bookmarkEnd w:id="137"/>
      <w:bookmarkEnd w:id="138"/>
      <w:bookmarkStart w:id="140" w:name="_Toc15102"/>
      <w:r>
        <w:rPr>
          <w:rFonts w:hint="eastAsia" w:ascii="仿宋" w:hAnsi="仿宋" w:eastAsia="仿宋"/>
          <w:b w:val="0"/>
          <w:color w:val="000000"/>
        </w:rPr>
        <w:t>收入决算表</w:t>
      </w:r>
      <w:bookmarkEnd w:id="139"/>
      <w:bookmarkEnd w:id="140"/>
    </w:p>
    <w:p w14:paraId="7ACC652A">
      <w:pPr>
        <w:pStyle w:val="4"/>
        <w:rPr>
          <w:rFonts w:ascii="仿宋" w:hAnsi="仿宋" w:eastAsia="仿宋"/>
          <w:b w:val="0"/>
          <w:color w:val="000000"/>
        </w:rPr>
      </w:pPr>
      <w:bookmarkStart w:id="141" w:name="_Toc15396622"/>
      <w:bookmarkStart w:id="142" w:name="_Toc15396621"/>
      <w:bookmarkStart w:id="143" w:name="_Toc627"/>
      <w:bookmarkStart w:id="144" w:name="_Toc28805"/>
      <w:r>
        <w:rPr>
          <w:rStyle w:val="32"/>
          <w:rFonts w:hint="eastAsia" w:ascii="仿宋" w:hAnsi="仿宋" w:eastAsia="仿宋"/>
          <w:b w:val="0"/>
          <w:bCs w:val="0"/>
        </w:rPr>
        <w:t>三、</w:t>
      </w:r>
      <w:bookmarkEnd w:id="141"/>
      <w:bookmarkEnd w:id="142"/>
      <w:r>
        <w:rPr>
          <w:rFonts w:hint="eastAsia" w:ascii="仿宋" w:hAnsi="仿宋" w:eastAsia="仿宋"/>
          <w:b w:val="0"/>
          <w:color w:val="000000"/>
        </w:rPr>
        <w:t>支出决算表</w:t>
      </w:r>
      <w:bookmarkEnd w:id="143"/>
      <w:bookmarkEnd w:id="144"/>
    </w:p>
    <w:p w14:paraId="4D0F3881">
      <w:pPr>
        <w:pStyle w:val="4"/>
        <w:rPr>
          <w:rStyle w:val="32"/>
          <w:rFonts w:hint="eastAsia" w:ascii="仿宋" w:hAnsi="仿宋" w:eastAsia="仿宋"/>
          <w:b w:val="0"/>
          <w:bCs w:val="0"/>
          <w:lang w:eastAsia="zh-CN"/>
        </w:rPr>
      </w:pPr>
      <w:bookmarkStart w:id="145" w:name="_Toc5548"/>
      <w:bookmarkStart w:id="146" w:name="_Toc26078"/>
      <w:bookmarkStart w:id="147" w:name="_Toc15396623"/>
      <w:r>
        <w:rPr>
          <w:rStyle w:val="32"/>
          <w:rFonts w:hint="eastAsia" w:ascii="仿宋" w:hAnsi="仿宋" w:eastAsia="仿宋"/>
          <w:b w:val="0"/>
          <w:bCs w:val="0"/>
        </w:rPr>
        <w:t>四、</w:t>
      </w:r>
      <w:r>
        <w:rPr>
          <w:rStyle w:val="32"/>
          <w:rFonts w:hint="eastAsia" w:ascii="仿宋" w:hAnsi="仿宋" w:eastAsia="仿宋"/>
          <w:b w:val="0"/>
          <w:bCs w:val="0"/>
          <w:lang w:eastAsia="zh-CN"/>
        </w:rPr>
        <w:t>财政拨款收入支出决算总表</w:t>
      </w:r>
      <w:bookmarkEnd w:id="145"/>
    </w:p>
    <w:p w14:paraId="5D1A405E">
      <w:pPr>
        <w:pStyle w:val="4"/>
        <w:rPr>
          <w:rStyle w:val="32"/>
          <w:rFonts w:hint="eastAsia" w:ascii="仿宋" w:hAnsi="仿宋" w:eastAsia="仿宋"/>
          <w:b w:val="0"/>
          <w:bCs w:val="0"/>
          <w:lang w:eastAsia="zh-CN"/>
        </w:rPr>
      </w:pPr>
      <w:bookmarkStart w:id="148" w:name="_Toc3781"/>
      <w:r>
        <w:rPr>
          <w:rStyle w:val="32"/>
          <w:rFonts w:hint="eastAsia" w:ascii="仿宋" w:hAnsi="仿宋" w:eastAsia="仿宋"/>
          <w:b w:val="0"/>
          <w:bCs w:val="0"/>
        </w:rPr>
        <w:t>五、</w:t>
      </w:r>
      <w:bookmarkEnd w:id="146"/>
      <w:bookmarkEnd w:id="147"/>
      <w:bookmarkStart w:id="149" w:name="_Toc15396624"/>
      <w:r>
        <w:rPr>
          <w:rFonts w:hint="eastAsia" w:ascii="仿宋" w:hAnsi="仿宋" w:eastAsia="仿宋"/>
          <w:b w:val="0"/>
          <w:color w:val="000000"/>
          <w:lang w:eastAsia="zh-CN"/>
        </w:rPr>
        <w:t>财政拨款支出决算明细表</w:t>
      </w:r>
      <w:bookmarkEnd w:id="148"/>
    </w:p>
    <w:p w14:paraId="05E1E651">
      <w:pPr>
        <w:pStyle w:val="4"/>
        <w:rPr>
          <w:rStyle w:val="32"/>
          <w:rFonts w:hint="eastAsia" w:ascii="仿宋" w:hAnsi="仿宋" w:eastAsia="仿宋"/>
          <w:b w:val="0"/>
          <w:bCs w:val="0"/>
        </w:rPr>
      </w:pPr>
      <w:bookmarkStart w:id="150" w:name="_Toc15033"/>
      <w:bookmarkStart w:id="151" w:name="_Toc5656"/>
      <w:r>
        <w:rPr>
          <w:rStyle w:val="32"/>
          <w:rFonts w:hint="eastAsia" w:ascii="仿宋" w:hAnsi="仿宋" w:eastAsia="仿宋"/>
          <w:b w:val="0"/>
          <w:bCs w:val="0"/>
        </w:rPr>
        <w:t>六、</w:t>
      </w:r>
      <w:bookmarkEnd w:id="149"/>
      <w:bookmarkEnd w:id="150"/>
      <w:bookmarkStart w:id="152" w:name="_Toc31078"/>
      <w:bookmarkStart w:id="153" w:name="_Toc15396625"/>
      <w:r>
        <w:rPr>
          <w:rStyle w:val="32"/>
          <w:rFonts w:hint="eastAsia" w:ascii="仿宋" w:hAnsi="仿宋" w:eastAsia="仿宋"/>
          <w:b w:val="0"/>
          <w:bCs w:val="0"/>
        </w:rPr>
        <w:t>一般公共预算财政拨款支出决算表</w:t>
      </w:r>
      <w:bookmarkEnd w:id="151"/>
    </w:p>
    <w:p w14:paraId="161A3570">
      <w:pPr>
        <w:pStyle w:val="4"/>
        <w:rPr>
          <w:rFonts w:hint="eastAsia" w:ascii="仿宋" w:hAnsi="仿宋" w:eastAsia="仿宋"/>
          <w:b w:val="0"/>
          <w:color w:val="000000"/>
        </w:rPr>
      </w:pPr>
      <w:bookmarkStart w:id="154" w:name="_Toc18294"/>
      <w:r>
        <w:rPr>
          <w:rStyle w:val="32"/>
          <w:rFonts w:hint="eastAsia" w:ascii="仿宋" w:hAnsi="仿宋" w:eastAsia="仿宋"/>
          <w:b w:val="0"/>
          <w:bCs w:val="0"/>
        </w:rPr>
        <w:t>七、</w:t>
      </w:r>
      <w:bookmarkEnd w:id="152"/>
      <w:bookmarkEnd w:id="153"/>
      <w:bookmarkStart w:id="155" w:name="_Toc12758"/>
      <w:bookmarkStart w:id="156" w:name="_Toc15396626"/>
      <w:r>
        <w:rPr>
          <w:rFonts w:hint="eastAsia" w:ascii="仿宋" w:hAnsi="仿宋" w:eastAsia="仿宋"/>
          <w:b w:val="0"/>
          <w:color w:val="000000"/>
        </w:rPr>
        <w:t>一般公共预算财政拨款支出决算明细表</w:t>
      </w:r>
      <w:bookmarkEnd w:id="154"/>
    </w:p>
    <w:p w14:paraId="72D3C846">
      <w:pPr>
        <w:pStyle w:val="4"/>
        <w:rPr>
          <w:rFonts w:hint="eastAsia" w:ascii="仿宋" w:hAnsi="仿宋" w:eastAsia="仿宋"/>
          <w:b w:val="0"/>
          <w:color w:val="000000"/>
        </w:rPr>
      </w:pPr>
      <w:bookmarkStart w:id="157" w:name="_Toc16331"/>
      <w:r>
        <w:rPr>
          <w:rStyle w:val="32"/>
          <w:rFonts w:hint="eastAsia" w:ascii="仿宋" w:hAnsi="仿宋" w:eastAsia="仿宋"/>
          <w:b w:val="0"/>
          <w:bCs w:val="0"/>
        </w:rPr>
        <w:t>八、</w:t>
      </w:r>
      <w:bookmarkEnd w:id="155"/>
      <w:bookmarkEnd w:id="156"/>
      <w:bookmarkStart w:id="158" w:name="_Toc15396627"/>
      <w:r>
        <w:rPr>
          <w:rFonts w:hint="eastAsia" w:ascii="仿宋" w:hAnsi="仿宋" w:eastAsia="仿宋"/>
          <w:b w:val="0"/>
          <w:color w:val="000000"/>
        </w:rPr>
        <w:t>一般公共预算财政拨款基本支出决算明细表</w:t>
      </w:r>
      <w:bookmarkEnd w:id="157"/>
    </w:p>
    <w:p w14:paraId="7B4F1EAC">
      <w:pPr>
        <w:pStyle w:val="4"/>
        <w:rPr>
          <w:rFonts w:hint="eastAsia" w:ascii="仿宋" w:hAnsi="仿宋" w:eastAsia="仿宋"/>
          <w:b w:val="0"/>
          <w:color w:val="000000"/>
        </w:rPr>
      </w:pPr>
      <w:bookmarkStart w:id="159" w:name="_Toc26252"/>
      <w:bookmarkStart w:id="160" w:name="_Toc18991"/>
      <w:r>
        <w:rPr>
          <w:rStyle w:val="32"/>
          <w:rFonts w:hint="eastAsia" w:ascii="仿宋" w:hAnsi="仿宋" w:eastAsia="仿宋"/>
          <w:b w:val="0"/>
          <w:bCs w:val="0"/>
        </w:rPr>
        <w:t>九、</w:t>
      </w:r>
      <w:bookmarkEnd w:id="158"/>
      <w:bookmarkEnd w:id="159"/>
      <w:bookmarkStart w:id="161" w:name="_Toc15396628"/>
      <w:r>
        <w:rPr>
          <w:rFonts w:hint="eastAsia" w:ascii="仿宋" w:hAnsi="仿宋" w:eastAsia="仿宋"/>
          <w:b w:val="0"/>
          <w:color w:val="000000"/>
        </w:rPr>
        <w:t>一般公共预算财政拨款项目支出决算表</w:t>
      </w:r>
      <w:bookmarkEnd w:id="160"/>
    </w:p>
    <w:p w14:paraId="14149CF9">
      <w:pPr>
        <w:pStyle w:val="4"/>
        <w:rPr>
          <w:rFonts w:ascii="仿宋" w:hAnsi="仿宋" w:eastAsia="仿宋"/>
          <w:color w:val="000000"/>
        </w:rPr>
      </w:pPr>
      <w:bookmarkStart w:id="162" w:name="_Toc15364"/>
      <w:bookmarkStart w:id="163" w:name="_Toc18118"/>
      <w:r>
        <w:rPr>
          <w:rStyle w:val="32"/>
          <w:rFonts w:hint="eastAsia" w:ascii="仿宋" w:hAnsi="仿宋" w:eastAsia="仿宋"/>
          <w:b w:val="0"/>
          <w:bCs w:val="0"/>
        </w:rPr>
        <w:t>十、</w:t>
      </w:r>
      <w:bookmarkEnd w:id="161"/>
      <w:bookmarkEnd w:id="162"/>
      <w:r>
        <w:rPr>
          <w:rFonts w:hint="eastAsia" w:ascii="仿宋" w:hAnsi="仿宋" w:eastAsia="仿宋"/>
          <w:b w:val="0"/>
          <w:color w:val="000000"/>
        </w:rPr>
        <w:t>政府性基金预算财政拨款收入支出决算表</w:t>
      </w:r>
      <w:bookmarkEnd w:id="163"/>
    </w:p>
    <w:p w14:paraId="4BC9140D">
      <w:pPr>
        <w:pStyle w:val="4"/>
        <w:rPr>
          <w:rFonts w:ascii="仿宋" w:hAnsi="仿宋" w:eastAsia="仿宋"/>
          <w:color w:val="000000"/>
        </w:rPr>
      </w:pPr>
      <w:bookmarkStart w:id="164" w:name="_Toc30658"/>
      <w:bookmarkStart w:id="165" w:name="_Toc15396629"/>
      <w:bookmarkStart w:id="166" w:name="_Toc23531"/>
      <w:r>
        <w:rPr>
          <w:rStyle w:val="32"/>
          <w:rFonts w:hint="eastAsia" w:ascii="仿宋" w:hAnsi="仿宋" w:eastAsia="仿宋"/>
          <w:b w:val="0"/>
          <w:bCs w:val="0"/>
        </w:rPr>
        <w:t>十一、</w:t>
      </w:r>
      <w:bookmarkEnd w:id="164"/>
      <w:bookmarkEnd w:id="165"/>
      <w:r>
        <w:rPr>
          <w:rFonts w:hint="eastAsia" w:ascii="仿宋" w:hAnsi="仿宋" w:eastAsia="仿宋"/>
          <w:b w:val="0"/>
          <w:color w:val="000000"/>
        </w:rPr>
        <w:t>国有资本经营预算财政拨款收入支出决算表</w:t>
      </w:r>
      <w:bookmarkEnd w:id="166"/>
    </w:p>
    <w:p w14:paraId="310186A1">
      <w:pPr>
        <w:pStyle w:val="4"/>
        <w:rPr>
          <w:rFonts w:ascii="仿宋" w:hAnsi="仿宋" w:eastAsia="仿宋"/>
          <w:color w:val="000000"/>
        </w:rPr>
      </w:pPr>
      <w:bookmarkStart w:id="167" w:name="_Toc2890"/>
      <w:bookmarkStart w:id="168" w:name="_Toc15396630"/>
      <w:bookmarkStart w:id="169" w:name="_Toc8492"/>
      <w:r>
        <w:rPr>
          <w:rStyle w:val="32"/>
          <w:rFonts w:hint="eastAsia" w:ascii="仿宋" w:hAnsi="仿宋" w:eastAsia="仿宋"/>
          <w:b w:val="0"/>
          <w:bCs w:val="0"/>
        </w:rPr>
        <w:t>十二、</w:t>
      </w:r>
      <w:bookmarkEnd w:id="167"/>
      <w:bookmarkEnd w:id="168"/>
      <w:r>
        <w:rPr>
          <w:rFonts w:hint="eastAsia" w:ascii="仿宋" w:hAnsi="仿宋" w:eastAsia="仿宋"/>
          <w:b w:val="0"/>
          <w:color w:val="000000"/>
        </w:rPr>
        <w:t>国有资本经营预算财政拨款支出决算表</w:t>
      </w:r>
      <w:bookmarkEnd w:id="169"/>
    </w:p>
    <w:p w14:paraId="795FC9E9">
      <w:pPr>
        <w:pStyle w:val="4"/>
        <w:rPr>
          <w:rFonts w:hint="eastAsia" w:ascii="仿宋" w:hAnsi="仿宋" w:eastAsia="仿宋"/>
          <w:b w:val="0"/>
          <w:color w:val="000000"/>
        </w:rPr>
      </w:pPr>
      <w:bookmarkStart w:id="170" w:name="_Toc15396631"/>
      <w:bookmarkStart w:id="171" w:name="_Toc19167"/>
      <w:bookmarkStart w:id="172" w:name="_Toc4874"/>
      <w:r>
        <w:rPr>
          <w:rStyle w:val="32"/>
          <w:rFonts w:hint="eastAsia" w:ascii="仿宋" w:hAnsi="仿宋" w:eastAsia="仿宋"/>
          <w:b w:val="0"/>
          <w:bCs w:val="0"/>
        </w:rPr>
        <w:t>十三、</w:t>
      </w:r>
      <w:bookmarkEnd w:id="170"/>
      <w:bookmarkEnd w:id="171"/>
      <w:r>
        <w:rPr>
          <w:rFonts w:hint="eastAsia" w:ascii="仿宋" w:hAnsi="仿宋" w:eastAsia="仿宋"/>
          <w:b w:val="0"/>
          <w:color w:val="000000"/>
        </w:rPr>
        <w:t>财政拨款“三公”经费支出决算表</w:t>
      </w:r>
      <w:bookmarkEnd w:id="172"/>
    </w:p>
    <w:p w14:paraId="339853B1">
      <w:pPr>
        <w:pStyle w:val="6"/>
        <w:ind w:left="0" w:leftChars="0" w:firstLine="0" w:firstLineChars="0"/>
        <w:rPr>
          <w:rFonts w:hint="eastAsia"/>
          <w:lang w:eastAsia="zh-CN"/>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478CC4-4BD7-40D5-AF45-E9694FCBAE9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CCC2880-BB9C-4FD8-B1DC-22229FDC3209}"/>
  </w:font>
  <w:font w:name="Cambria">
    <w:panose1 w:val="02040503050406030204"/>
    <w:charset w:val="00"/>
    <w:family w:val="roman"/>
    <w:pitch w:val="default"/>
    <w:sig w:usb0="E00002FF" w:usb1="400004FF" w:usb2="00000000" w:usb3="00000000" w:csb0="2000019F" w:csb1="00000000"/>
    <w:embedRegular r:id="rId3" w:fontKey="{131B3EA2-0F51-4488-935A-60A7DC38234A}"/>
  </w:font>
  <w:font w:name="仿宋_GB2312">
    <w:altName w:val="仿宋"/>
    <w:panose1 w:val="02010609030101010101"/>
    <w:charset w:val="86"/>
    <w:family w:val="modern"/>
    <w:pitch w:val="default"/>
    <w:sig w:usb0="00000000" w:usb1="00000000" w:usb2="00000000" w:usb3="00000000" w:csb0="00040000" w:csb1="00000000"/>
    <w:embedRegular r:id="rId4" w:fontKey="{CED225A1-A193-410B-B391-1FC66EF489AC}"/>
  </w:font>
  <w:font w:name="仿宋">
    <w:panose1 w:val="02010609060101010101"/>
    <w:charset w:val="86"/>
    <w:family w:val="auto"/>
    <w:pitch w:val="default"/>
    <w:sig w:usb0="800002BF" w:usb1="38CF7CFA" w:usb2="00000016" w:usb3="00000000" w:csb0="00040001" w:csb1="00000000"/>
    <w:embedRegular r:id="rId5" w:fontKey="{CC23A7B6-389F-4A0A-9300-3C491B651436}"/>
  </w:font>
  <w:font w:name="新宋体">
    <w:panose1 w:val="02010609030101010101"/>
    <w:charset w:val="86"/>
    <w:family w:val="modern"/>
    <w:pitch w:val="default"/>
    <w:sig w:usb0="00000003" w:usb1="288F0000" w:usb2="0000000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6" w:fontKey="{C89B32DE-2400-4F7E-A498-A732D3E891AE}"/>
  </w:font>
  <w:font w:name="方正楷体_GB2312">
    <w:panose1 w:val="02000000000000000000"/>
    <w:charset w:val="86"/>
    <w:family w:val="auto"/>
    <w:pitch w:val="default"/>
    <w:sig w:usb0="A00002BF" w:usb1="184F6CFA" w:usb2="00000012" w:usb3="00000000" w:csb0="00040001" w:csb1="00000000"/>
    <w:embedRegular r:id="rId7" w:fontKey="{95557373-1F97-44C3-86CC-0B200DFE2F3E}"/>
  </w:font>
  <w:font w:name="宋?">
    <w:altName w:val="Malgun Gothic"/>
    <w:panose1 w:val="00000000000000000000"/>
    <w:charset w:val="81"/>
    <w:family w:val="roman"/>
    <w:pitch w:val="default"/>
    <w:sig w:usb0="00000000" w:usb1="00000000" w:usb2="00000010" w:usb3="00000000" w:csb0="00080000" w:csb1="00000000"/>
    <w:embedRegular r:id="rId8" w:fontKey="{E6F88AED-F683-4CF7-AD67-8049E8C49C60}"/>
  </w:font>
  <w:font w:name="楷体_GB2312">
    <w:altName w:val="楷体"/>
    <w:panose1 w:val="02010609030101010101"/>
    <w:charset w:val="86"/>
    <w:family w:val="modern"/>
    <w:pitch w:val="default"/>
    <w:sig w:usb0="00000000" w:usb1="00000000" w:usb2="00000000" w:usb3="00000000" w:csb0="00040000" w:csb1="00000000"/>
    <w:embedRegular r:id="rId9" w:fontKey="{5C494D4A-C629-422E-8ACE-E3A43DC5949D}"/>
  </w:font>
  <w:font w:name="Malgun Gothic">
    <w:panose1 w:val="020B0503020000020004"/>
    <w:charset w:val="81"/>
    <w:family w:val="auto"/>
    <w:pitch w:val="default"/>
    <w:sig w:usb0="900002AF" w:usb1="01D77CFB" w:usb2="00000012" w:usb3="00000000" w:csb0="0008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12550">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14:paraId="081DA952">
                              <w:pPr>
                                <w:pStyle w:val="14"/>
                                <w:jc w:val="center"/>
                              </w:pPr>
                              <w:r>
                                <w:fldChar w:fldCharType="begin"/>
                              </w:r>
                              <w:r>
                                <w:instrText xml:space="preserve">PAGE   \* MERGEFORMAT</w:instrText>
                              </w:r>
                              <w:r>
                                <w:fldChar w:fldCharType="separate"/>
                              </w:r>
                              <w:r>
                                <w:rPr>
                                  <w:lang w:val="zh-CN"/>
                                </w:rPr>
                                <w:t>2</w:t>
                              </w:r>
                              <w:r>
                                <w:fldChar w:fldCharType="end"/>
                              </w:r>
                            </w:p>
                          </w:sdtContent>
                        </w:sdt>
                        <w:p w14:paraId="0F0B8FDC">
                          <w:pPr>
                            <w:pStyle w:val="14"/>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14:paraId="081DA952">
                        <w:pPr>
                          <w:pStyle w:val="14"/>
                          <w:jc w:val="center"/>
                        </w:pPr>
                        <w:r>
                          <w:fldChar w:fldCharType="begin"/>
                        </w:r>
                        <w:r>
                          <w:instrText xml:space="preserve">PAGE   \* MERGEFORMAT</w:instrText>
                        </w:r>
                        <w:r>
                          <w:fldChar w:fldCharType="separate"/>
                        </w:r>
                        <w:r>
                          <w:rPr>
                            <w:lang w:val="zh-CN"/>
                          </w:rPr>
                          <w:t>2</w:t>
                        </w:r>
                        <w:r>
                          <w:fldChar w:fldCharType="end"/>
                        </w:r>
                      </w:p>
                    </w:sdtContent>
                  </w:sdt>
                  <w:p w14:paraId="0F0B8FDC">
                    <w:pPr>
                      <w:pStyle w:val="14"/>
                    </w:pPr>
                  </w:p>
                </w:txbxContent>
              </v:textbox>
            </v:shape>
          </w:pict>
        </mc:Fallback>
      </mc:AlternateContent>
    </w:r>
  </w:p>
  <w:p w14:paraId="35C1423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82ABC">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5YzM0YTQ4NjA0OTk1MDFiMDFlYjZhYmRmNmFmNj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2816CCE"/>
    <w:rsid w:val="059B4523"/>
    <w:rsid w:val="0A5847B8"/>
    <w:rsid w:val="0A6F4298"/>
    <w:rsid w:val="0BDE7BA7"/>
    <w:rsid w:val="10C055FF"/>
    <w:rsid w:val="1112499A"/>
    <w:rsid w:val="14445DAD"/>
    <w:rsid w:val="16BB723D"/>
    <w:rsid w:val="183500C9"/>
    <w:rsid w:val="1C9C6787"/>
    <w:rsid w:val="1DA076DC"/>
    <w:rsid w:val="20836900"/>
    <w:rsid w:val="223D08AC"/>
    <w:rsid w:val="240371BF"/>
    <w:rsid w:val="29104812"/>
    <w:rsid w:val="29FD04D3"/>
    <w:rsid w:val="2C4A141C"/>
    <w:rsid w:val="2C673F57"/>
    <w:rsid w:val="2D40315E"/>
    <w:rsid w:val="31245E4D"/>
    <w:rsid w:val="319F7F4E"/>
    <w:rsid w:val="35C24C31"/>
    <w:rsid w:val="365340C6"/>
    <w:rsid w:val="37434CCD"/>
    <w:rsid w:val="3B162F0A"/>
    <w:rsid w:val="3BD45317"/>
    <w:rsid w:val="3D9301D1"/>
    <w:rsid w:val="44221C29"/>
    <w:rsid w:val="46596F2F"/>
    <w:rsid w:val="46C43FE0"/>
    <w:rsid w:val="49A465D6"/>
    <w:rsid w:val="49FB4B2E"/>
    <w:rsid w:val="4B1931D8"/>
    <w:rsid w:val="4D1646FD"/>
    <w:rsid w:val="4ECE2238"/>
    <w:rsid w:val="50506A35"/>
    <w:rsid w:val="51FD7221"/>
    <w:rsid w:val="57A70DE1"/>
    <w:rsid w:val="5C461364"/>
    <w:rsid w:val="5FA448AE"/>
    <w:rsid w:val="642A7FC1"/>
    <w:rsid w:val="65313523"/>
    <w:rsid w:val="67DB317E"/>
    <w:rsid w:val="68C3694D"/>
    <w:rsid w:val="6D702AFB"/>
    <w:rsid w:val="6EA5098D"/>
    <w:rsid w:val="6F3B504A"/>
    <w:rsid w:val="72734D90"/>
    <w:rsid w:val="72B33C76"/>
    <w:rsid w:val="733009D8"/>
    <w:rsid w:val="73FF295B"/>
    <w:rsid w:val="75161F2C"/>
    <w:rsid w:val="7669318C"/>
    <w:rsid w:val="79B43356"/>
    <w:rsid w:val="7A5C3C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qFormat/>
    <w:uiPriority w:val="0"/>
    <w:pPr>
      <w:ind w:firstLine="420" w:firstLineChars="200"/>
    </w:pPr>
    <w:rPr>
      <w:rFonts w:ascii="Calibri" w:hAnsi="Calibri" w:cs="黑体"/>
    </w:rPr>
  </w:style>
  <w:style w:type="paragraph" w:styleId="7">
    <w:name w:val="toa heading"/>
    <w:basedOn w:val="1"/>
    <w:next w:val="1"/>
    <w:qFormat/>
    <w:uiPriority w:val="0"/>
    <w:pPr>
      <w:spacing w:before="120" w:beforeAutospacing="0"/>
    </w:pPr>
    <w:rPr>
      <w:rFonts w:ascii="Arial" w:hAnsi="Arial"/>
      <w:sz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Body Text Indent"/>
    <w:basedOn w:val="1"/>
    <w:next w:val="11"/>
    <w:qFormat/>
    <w:uiPriority w:val="99"/>
    <w:pPr>
      <w:spacing w:after="120"/>
      <w:ind w:left="420" w:leftChars="200"/>
    </w:pPr>
    <w:rPr>
      <w:szCs w:val="20"/>
    </w:rPr>
  </w:style>
  <w:style w:type="paragraph" w:styleId="11">
    <w:name w:val="Body Text First Indent 2"/>
    <w:basedOn w:val="10"/>
    <w:next w:val="1"/>
    <w:qFormat/>
    <w:uiPriority w:val="99"/>
    <w:pPr>
      <w:ind w:firstLine="420" w:firstLineChars="20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4"/>
    <w:unhideWhenUsed/>
    <w:qFormat/>
    <w:uiPriority w:val="99"/>
    <w:rPr>
      <w:sz w:val="18"/>
      <w:szCs w:val="18"/>
    </w:rPr>
  </w:style>
  <w:style w:type="paragraph" w:styleId="14">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字符"/>
    <w:link w:val="15"/>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字符"/>
    <w:link w:val="14"/>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字符"/>
    <w:link w:val="9"/>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20"/>
    <w:link w:val="3"/>
    <w:qFormat/>
    <w:uiPriority w:val="9"/>
    <w:rPr>
      <w:rFonts w:ascii="Times New Roman" w:hAnsi="Times New Roman"/>
      <w:b/>
      <w:bCs/>
      <w:kern w:val="44"/>
      <w:sz w:val="44"/>
      <w:szCs w:val="44"/>
    </w:rPr>
  </w:style>
  <w:style w:type="character" w:customStyle="1" w:styleId="32">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20"/>
    <w:link w:val="13"/>
    <w:semiHidden/>
    <w:qFormat/>
    <w:uiPriority w:val="99"/>
    <w:rPr>
      <w:rFonts w:ascii="Times New Roman" w:hAnsi="Times New Roman"/>
      <w:kern w:val="2"/>
      <w:sz w:val="18"/>
      <w:szCs w:val="18"/>
    </w:rPr>
  </w:style>
  <w:style w:type="character" w:customStyle="1" w:styleId="35">
    <w:name w:val="标题 3 字符"/>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List Paragraph1"/>
    <w:basedOn w:val="1"/>
    <w:qFormat/>
    <w:uiPriority w:val="0"/>
    <w:pPr>
      <w:ind w:firstLine="420" w:firstLineChars="200"/>
    </w:pPr>
  </w:style>
  <w:style w:type="paragraph" w:customStyle="1" w:styleId="3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40">
    <w:name w:val="WPSOffice手动目录 1"/>
    <w:qFormat/>
    <w:uiPriority w:val="0"/>
    <w:pPr>
      <w:ind w:leftChars="0"/>
    </w:pPr>
    <w:rPr>
      <w:rFonts w:ascii="Times New Roman" w:hAnsi="Times New Roman" w:eastAsia="宋体" w:cs="Times New Roman"/>
      <w:sz w:val="20"/>
      <w:szCs w:val="20"/>
    </w:rPr>
  </w:style>
  <w:style w:type="paragraph" w:customStyle="1" w:styleId="41">
    <w:name w:val="WPSOffice手动目录 2"/>
    <w:qFormat/>
    <w:uiPriority w:val="0"/>
    <w:pPr>
      <w:ind w:leftChars="200"/>
    </w:pPr>
    <w:rPr>
      <w:rFonts w:ascii="Times New Roman" w:hAnsi="Times New Roman" w:eastAsia="宋体" w:cs="Times New Roman"/>
      <w:sz w:val="20"/>
      <w:szCs w:val="20"/>
    </w:rPr>
  </w:style>
  <w:style w:type="paragraph" w:customStyle="1" w:styleId="42">
    <w:name w:val="WPSOffice手动目录 3"/>
    <w:qFormat/>
    <w:uiPriority w:val="0"/>
    <w:pPr>
      <w:ind w:leftChars="400"/>
    </w:pPr>
    <w:rPr>
      <w:rFonts w:ascii="Times New Roman" w:hAnsi="Times New Roman" w:eastAsia="宋体" w:cs="Times New Roman"/>
      <w:sz w:val="20"/>
      <w:szCs w:val="20"/>
    </w:rPr>
  </w:style>
  <w:style w:type="paragraph" w:customStyle="1" w:styleId="43">
    <w:name w:val="正文1"/>
    <w:qFormat/>
    <w:uiPriority w:val="0"/>
    <w:pPr>
      <w:widowControl w:val="0"/>
      <w:overflowPunct w:val="0"/>
      <w:jc w:val="both"/>
    </w:pPr>
    <w:rPr>
      <w:rFonts w:ascii="Calibri" w:hAnsi="Calibri" w:eastAsia="新宋体" w:cs="Times New Roman"/>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[工作簿1]Sheet1!$C$3</c:f>
              <c:strCache>
                <c:ptCount val="1"/>
                <c:pt idx="0">
                  <c:v>2022</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[工作簿1]Sheet1!$D$2:$E$2</c:f>
              <c:strCache>
                <c:ptCount val="2"/>
                <c:pt idx="0">
                  <c:v>收入（万元）</c:v>
                </c:pt>
                <c:pt idx="1">
                  <c:v>支出（万元）</c:v>
                </c:pt>
              </c:strCache>
            </c:strRef>
          </c:cat>
          <c:val>
            <c:numRef>
              <c:f>[工作簿1]Sheet1!$D$3:$E$3</c:f>
              <c:numCache>
                <c:formatCode>General</c:formatCode>
                <c:ptCount val="2"/>
                <c:pt idx="0">
                  <c:v>1304.04</c:v>
                </c:pt>
                <c:pt idx="1">
                  <c:v>1304.04</c:v>
                </c:pt>
              </c:numCache>
            </c:numRef>
          </c:val>
        </c:ser>
        <c:ser>
          <c:idx val="1"/>
          <c:order val="1"/>
          <c:tx>
            <c:strRef>
              <c:f>[工作簿1]Sheet1!$C$4</c:f>
              <c:strCache>
                <c:ptCount val="1"/>
                <c:pt idx="0">
                  <c:v>2023</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[工作簿1]Sheet1!$D$2:$E$2</c:f>
              <c:strCache>
                <c:ptCount val="2"/>
                <c:pt idx="0">
                  <c:v>收入（万元）</c:v>
                </c:pt>
                <c:pt idx="1">
                  <c:v>支出（万元）</c:v>
                </c:pt>
              </c:strCache>
            </c:strRef>
          </c:cat>
          <c:val>
            <c:numRef>
              <c:f>[工作簿1]Sheet1!$D$4:$E$4</c:f>
              <c:numCache>
                <c:formatCode>General</c:formatCode>
                <c:ptCount val="2"/>
                <c:pt idx="0">
                  <c:v>2434.79</c:v>
                </c:pt>
                <c:pt idx="1">
                  <c:v>2434.79</c:v>
                </c:pt>
              </c:numCache>
            </c:numRef>
          </c:val>
        </c:ser>
        <c:dLbls>
          <c:showLegendKey val="0"/>
          <c:showVal val="1"/>
          <c:showCatName val="0"/>
          <c:showSerName val="0"/>
          <c:showPercent val="0"/>
          <c:showBubbleSize val="0"/>
        </c:dLbls>
        <c:gapWidth val="246"/>
        <c:overlap val="-28"/>
        <c:axId val="693474093"/>
        <c:axId val="34197865"/>
      </c:barChart>
      <c:catAx>
        <c:axId val="6934740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97865"/>
        <c:crosses val="autoZero"/>
        <c:auto val="1"/>
        <c:lblAlgn val="ctr"/>
        <c:lblOffset val="100"/>
        <c:noMultiLvlLbl val="0"/>
      </c:catAx>
      <c:valAx>
        <c:axId val="34197865"/>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34740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179206f-474b-4632-b442-1f1c169fabc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[工作簿1]Sheet1!$D$4:$D$5</c:f>
              <c:strCache>
                <c:ptCount val="2"/>
                <c:pt idx="0">
                  <c:v>一般公共预算财政拨款收入</c:v>
                </c:pt>
                <c:pt idx="1">
                  <c:v>其他收入</c:v>
                </c:pt>
              </c:strCache>
            </c:strRef>
          </c:cat>
          <c:val>
            <c:numRef>
              <c:f>[工作簿1]Sheet1!$E$4:$E$5</c:f>
              <c:numCache>
                <c:formatCode>0.00%</c:formatCode>
                <c:ptCount val="2"/>
                <c:pt idx="0">
                  <c:v>0.9815</c:v>
                </c:pt>
                <c:pt idx="1">
                  <c:v>0.0185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49cb1b5-52ae-4d94-962a-07f216cbc78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[工作簿1]Sheet1!$B$5:$B$6</c:f>
              <c:strCache>
                <c:ptCount val="2"/>
                <c:pt idx="0">
                  <c:v>基本支出</c:v>
                </c:pt>
                <c:pt idx="1">
                  <c:v>项目支出</c:v>
                </c:pt>
              </c:strCache>
            </c:strRef>
          </c:cat>
          <c:val>
            <c:numRef>
              <c:f>[工作簿1]Sheet1!$C$5:$C$6</c:f>
              <c:numCache>
                <c:formatCode>0.00%</c:formatCode>
                <c:ptCount val="2"/>
                <c:pt idx="0">
                  <c:v>0.3484</c:v>
                </c:pt>
                <c:pt idx="1">
                  <c:v>0.6515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7078dcf-5302-4aa2-aed4-60d6c2d7ac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财政拨款收入支出结构图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[工作簿1]Sheet1!$B$4:$C$4</c:f>
              <c:strCache>
                <c:ptCount val="2"/>
                <c:pt idx="0">
                  <c:v>2023（万元）</c:v>
                </c:pt>
                <c:pt idx="1">
                  <c:v>2022（万元）</c:v>
                </c:pt>
              </c:strCache>
            </c:strRef>
          </c:cat>
          <c:val>
            <c:numRef>
              <c:f>[工作簿1]Sheet1!$B$5:$C$5</c:f>
              <c:numCache>
                <c:formatCode>General</c:formatCode>
                <c:ptCount val="2"/>
                <c:pt idx="0">
                  <c:v>2389.92</c:v>
                </c:pt>
                <c:pt idx="1">
                  <c:v>1299.33</c:v>
                </c:pt>
              </c:numCache>
            </c:numRef>
          </c:val>
        </c:ser>
        <c:dLbls>
          <c:showLegendKey val="0"/>
          <c:showVal val="1"/>
          <c:showCatName val="0"/>
          <c:showSerName val="0"/>
          <c:showPercent val="0"/>
          <c:showBubbleSize val="0"/>
        </c:dLbls>
        <c:gapWidth val="219"/>
        <c:overlap val="-27"/>
        <c:axId val="328095701"/>
        <c:axId val="829966471"/>
      </c:barChart>
      <c:catAx>
        <c:axId val="3280957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966471"/>
        <c:crosses val="autoZero"/>
        <c:auto val="1"/>
        <c:lblAlgn val="ctr"/>
        <c:lblOffset val="100"/>
        <c:noMultiLvlLbl val="0"/>
      </c:catAx>
      <c:valAx>
        <c:axId val="829966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809570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d157abc7-abc8-451c-bec3-41e770f8fb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[工作簿1]Sheet1!$B$4:$C$4</c:f>
              <c:strCache>
                <c:ptCount val="2"/>
                <c:pt idx="0">
                  <c:v>2023（万元）</c:v>
                </c:pt>
                <c:pt idx="1">
                  <c:v>2022（万元）</c:v>
                </c:pt>
              </c:strCache>
            </c:strRef>
          </c:cat>
          <c:val>
            <c:numRef>
              <c:f>[工作簿1]Sheet1!$B$5:$C$5</c:f>
              <c:numCache>
                <c:formatCode>General</c:formatCode>
                <c:ptCount val="2"/>
                <c:pt idx="0">
                  <c:v>2389.92</c:v>
                </c:pt>
                <c:pt idx="1">
                  <c:v>1299.33</c:v>
                </c:pt>
              </c:numCache>
            </c:numRef>
          </c:val>
        </c:ser>
        <c:dLbls>
          <c:showLegendKey val="0"/>
          <c:showVal val="1"/>
          <c:showCatName val="0"/>
          <c:showSerName val="0"/>
          <c:showPercent val="0"/>
          <c:showBubbleSize val="0"/>
        </c:dLbls>
        <c:gapWidth val="219"/>
        <c:overlap val="-27"/>
        <c:axId val="828238537"/>
        <c:axId val="289738561"/>
      </c:barChart>
      <c:catAx>
        <c:axId val="8282385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738561"/>
        <c:crosses val="autoZero"/>
        <c:auto val="1"/>
        <c:lblAlgn val="ctr"/>
        <c:lblOffset val="100"/>
        <c:noMultiLvlLbl val="0"/>
      </c:catAx>
      <c:valAx>
        <c:axId val="2897385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823853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da48836f-01fd-4f1b-82c0-3d386a9627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[工作簿1]Sheet1!$B$5:$B$12</c:f>
              <c:strCache>
                <c:ptCount val="8"/>
                <c:pt idx="0">
                  <c:v>一般公共服务（类）支出</c:v>
                </c:pt>
                <c:pt idx="1">
                  <c:v>文化旅游体育与传媒（类）支出</c:v>
                </c:pt>
                <c:pt idx="2">
                  <c:v>社会保障和就业（类）支出</c:v>
                </c:pt>
                <c:pt idx="3">
                  <c:v>卫生健康支出</c:v>
                </c:pt>
                <c:pt idx="4">
                  <c:v>节能环保支出</c:v>
                </c:pt>
                <c:pt idx="5">
                  <c:v>城乡社区支出</c:v>
                </c:pt>
                <c:pt idx="6">
                  <c:v>农林水支出</c:v>
                </c:pt>
                <c:pt idx="7">
                  <c:v>住房保障支出</c:v>
                </c:pt>
              </c:strCache>
            </c:strRef>
          </c:cat>
          <c:val>
            <c:numRef>
              <c:f>[工作簿1]Sheet1!$C$5:$C$12</c:f>
              <c:numCache>
                <c:formatCode>0.00%</c:formatCode>
                <c:ptCount val="8"/>
                <c:pt idx="0">
                  <c:v>0.3572</c:v>
                </c:pt>
                <c:pt idx="1">
                  <c:v>0.0019</c:v>
                </c:pt>
                <c:pt idx="2">
                  <c:v>0.057</c:v>
                </c:pt>
                <c:pt idx="3">
                  <c:v>0.0177</c:v>
                </c:pt>
                <c:pt idx="4">
                  <c:v>0.0309</c:v>
                </c:pt>
                <c:pt idx="5">
                  <c:v>0.0029</c:v>
                </c:pt>
                <c:pt idx="6">
                  <c:v>0.5099</c:v>
                </c:pt>
                <c:pt idx="7">
                  <c:v>0.0225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baaacaf-3925-4090-9d2f-b538100b959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[工作簿1]Sheet1!$E$25:$E$27</c:f>
              <c:strCache>
                <c:ptCount val="3"/>
                <c:pt idx="0">
                  <c:v>因公出国（境）费</c:v>
                </c:pt>
                <c:pt idx="1">
                  <c:v>公务用车购置及运行维护费</c:v>
                </c:pt>
                <c:pt idx="2">
                  <c:v>公务接待费</c:v>
                </c:pt>
              </c:strCache>
            </c:strRef>
          </c:cat>
          <c:val>
            <c:numRef>
              <c:f>[工作簿1]Sheet1!$F$25:$F$27</c:f>
              <c:numCache>
                <c:formatCode>0%</c:formatCode>
                <c:ptCount val="3"/>
                <c:pt idx="0">
                  <c:v>0</c:v>
                </c:pt>
                <c:pt idx="1">
                  <c:v>1</c:v>
                </c:pt>
                <c:pt idx="2"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e4724f-c063-47c1-9c63-0e45215bfe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66</Pages>
  <Words>11955</Words>
  <Characters>13129</Characters>
  <Lines>61</Lines>
  <Paragraphs>17</Paragraphs>
  <TotalTime>8</TotalTime>
  <ScaleCrop>false</ScaleCrop>
  <LinksUpToDate>false</LinksUpToDate>
  <CharactersWithSpaces>13323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小松</cp:lastModifiedBy>
  <cp:lastPrinted>2020-07-23T02:58:00Z</cp:lastPrinted>
  <dcterms:modified xsi:type="dcterms:W3CDTF">2024-11-18T06:40:41Z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60B5B9D3C6C94DAFBB40C4DDFE206210_13</vt:lpwstr>
  </property>
</Properties>
</file>