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8441"/>
      <w:bookmarkStart w:id="1" w:name="_Toc15377193"/>
      <w:bookmarkStart w:id="2" w:name="_Toc15396597"/>
      <w:bookmarkStart w:id="3" w:name="_Toc15396475"/>
      <w:bookmarkStart w:id="4" w:name="_Toc15377425"/>
      <w:bookmarkStart w:id="5" w:name="_Toc15306267"/>
    </w:p>
    <w:p>
      <w:pPr>
        <w:pStyle w:val="7"/>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6" w:name="_Toc15396476"/>
      <w:bookmarkStart w:id="7" w:name="_Toc15378442"/>
      <w:bookmarkStart w:id="8" w:name="_Toc15377194"/>
      <w:bookmarkStart w:id="9" w:name="_Toc15306268"/>
      <w:bookmarkStart w:id="10" w:name="_Toc15377426"/>
      <w:bookmarkStart w:id="11" w:name="_Toc15396598"/>
      <w:r>
        <w:rPr>
          <w:rFonts w:hint="eastAsia" w:ascii="方正小标宋简体" w:hAnsi="方正小标宋简体" w:eastAsia="方正小标宋简体" w:cs="方正小标宋简体"/>
          <w:sz w:val="72"/>
          <w:szCs w:val="72"/>
          <w:lang w:eastAsia="zh-CN"/>
        </w:rPr>
        <w:t>阿坝州红原县信访局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r>
        <w:rPr>
          <w:rFonts w:hint="eastAsia" w:ascii="方正小标宋简体" w:hAnsi="方正小标宋简体" w:eastAsia="方正小标宋简体" w:cs="方正小标宋简体"/>
          <w:sz w:val="72"/>
          <w:szCs w:val="72"/>
          <w:lang w:eastAsia="zh-CN"/>
        </w:rPr>
        <w:t>编制说明</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2"/>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18</w:t>
      </w:r>
      <w:r>
        <w:rPr>
          <w:rFonts w:hint="eastAsia"/>
        </w:rPr>
        <w:t>日</w:t>
      </w:r>
    </w:p>
    <w:p/>
    <w:p>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3"/>
        <w:adjustRightInd w:val="0"/>
        <w:snapToGrid w:val="0"/>
        <w:spacing w:line="440" w:lineRule="exact"/>
        <w:jc w:val="left"/>
        <w:rPr>
          <w:rFonts w:ascii="仿宋" w:hAnsi="仿宋" w:eastAsia="仿宋"/>
          <w:sz w:val="24"/>
        </w:rPr>
      </w:pPr>
      <w:r>
        <w:rPr>
          <w:rFonts w:hint="eastAsia"/>
          <w:sz w:val="24"/>
        </w:rPr>
        <w:t>一、部门职责</w:t>
      </w:r>
    </w:p>
    <w:p>
      <w:pPr>
        <w:pStyle w:val="13"/>
        <w:adjustRightInd w:val="0"/>
        <w:snapToGrid w:val="0"/>
        <w:spacing w:line="440" w:lineRule="exact"/>
        <w:jc w:val="left"/>
        <w:rPr>
          <w:rFonts w:ascii="仿宋" w:hAnsi="仿宋" w:eastAsia="仿宋" w:cstheme="minorBidi"/>
          <w:sz w:val="24"/>
        </w:rPr>
      </w:pPr>
      <w:r>
        <w:rPr>
          <w:rFonts w:hint="eastAsia"/>
          <w:sz w:val="24"/>
        </w:rPr>
        <w:t>二、机构设置</w:t>
      </w:r>
    </w:p>
    <w:p>
      <w:pPr>
        <w:pStyle w:val="12"/>
        <w:adjustRightInd w:val="0"/>
        <w:snapToGrid w:val="0"/>
        <w:spacing w:before="0" w:line="440" w:lineRule="exact"/>
        <w:jc w:val="left"/>
        <w:rPr>
          <w:sz w:val="24"/>
          <w:szCs w:val="24"/>
        </w:rPr>
      </w:pPr>
      <w:r>
        <w:rPr>
          <w:rFonts w:hint="eastAsia"/>
          <w:sz w:val="24"/>
        </w:rPr>
        <w:t>第二部分 2023年度部门决算情况说明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pPr>
        <w:pStyle w:val="13"/>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3"/>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18"/>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2"/>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2"/>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3"/>
        <w:adjustRightInd w:val="0"/>
        <w:snapToGrid w:val="0"/>
        <w:spacing w:line="440" w:lineRule="exact"/>
        <w:jc w:val="left"/>
        <w:rPr>
          <w:sz w:val="24"/>
        </w:rPr>
      </w:pPr>
      <w:r>
        <w:rPr>
          <w:rFonts w:hint="eastAsia"/>
          <w:sz w:val="24"/>
        </w:rPr>
        <w:t>一、收入支出决算总表</w:t>
      </w:r>
    </w:p>
    <w:p>
      <w:pPr>
        <w:pStyle w:val="13"/>
        <w:adjustRightInd w:val="0"/>
        <w:snapToGrid w:val="0"/>
        <w:spacing w:line="440" w:lineRule="exact"/>
        <w:jc w:val="left"/>
        <w:rPr>
          <w:sz w:val="24"/>
        </w:rPr>
      </w:pPr>
      <w:r>
        <w:rPr>
          <w:rFonts w:hint="eastAsia"/>
          <w:sz w:val="24"/>
        </w:rPr>
        <w:t>二、收入决算表</w:t>
      </w:r>
    </w:p>
    <w:p>
      <w:pPr>
        <w:pStyle w:val="13"/>
        <w:adjustRightInd w:val="0"/>
        <w:snapToGrid w:val="0"/>
        <w:spacing w:line="440" w:lineRule="exact"/>
        <w:jc w:val="left"/>
        <w:rPr>
          <w:sz w:val="24"/>
        </w:rPr>
      </w:pPr>
      <w:r>
        <w:rPr>
          <w:rFonts w:hint="eastAsia"/>
          <w:sz w:val="24"/>
        </w:rPr>
        <w:t>三、支出决算表</w:t>
      </w:r>
    </w:p>
    <w:p>
      <w:pPr>
        <w:pStyle w:val="13"/>
        <w:adjustRightInd w:val="0"/>
        <w:snapToGrid w:val="0"/>
        <w:spacing w:line="440" w:lineRule="exact"/>
        <w:jc w:val="left"/>
        <w:rPr>
          <w:sz w:val="24"/>
        </w:rPr>
      </w:pPr>
      <w:r>
        <w:rPr>
          <w:rFonts w:hint="eastAsia"/>
          <w:sz w:val="24"/>
        </w:rPr>
        <w:t>四、财政拨款收入支出决算总表</w:t>
      </w:r>
    </w:p>
    <w:p>
      <w:pPr>
        <w:pStyle w:val="13"/>
        <w:adjustRightInd w:val="0"/>
        <w:snapToGrid w:val="0"/>
        <w:spacing w:line="440" w:lineRule="exact"/>
        <w:jc w:val="left"/>
        <w:rPr>
          <w:sz w:val="24"/>
        </w:rPr>
      </w:pPr>
      <w:r>
        <w:rPr>
          <w:rFonts w:hint="eastAsia"/>
          <w:sz w:val="24"/>
        </w:rPr>
        <w:t>五、财政拨款支出决算明细表</w:t>
      </w:r>
    </w:p>
    <w:p>
      <w:pPr>
        <w:pStyle w:val="13"/>
        <w:adjustRightInd w:val="0"/>
        <w:snapToGrid w:val="0"/>
        <w:spacing w:line="440" w:lineRule="exact"/>
        <w:jc w:val="left"/>
        <w:rPr>
          <w:sz w:val="24"/>
        </w:rPr>
      </w:pPr>
      <w:r>
        <w:rPr>
          <w:rFonts w:hint="eastAsia"/>
          <w:sz w:val="24"/>
        </w:rPr>
        <w:t>六、一般公共预算财政拨款支出决算表</w:t>
      </w:r>
    </w:p>
    <w:p>
      <w:pPr>
        <w:pStyle w:val="13"/>
        <w:adjustRightInd w:val="0"/>
        <w:snapToGrid w:val="0"/>
        <w:spacing w:line="440" w:lineRule="exact"/>
        <w:jc w:val="left"/>
        <w:rPr>
          <w:sz w:val="24"/>
        </w:rPr>
      </w:pPr>
      <w:r>
        <w:rPr>
          <w:rFonts w:hint="eastAsia"/>
          <w:sz w:val="24"/>
        </w:rPr>
        <w:t>七、一般公共预算财政拨款支出决算明细表</w:t>
      </w:r>
    </w:p>
    <w:p>
      <w:pPr>
        <w:pStyle w:val="13"/>
        <w:adjustRightInd w:val="0"/>
        <w:snapToGrid w:val="0"/>
        <w:spacing w:line="440" w:lineRule="exact"/>
        <w:jc w:val="left"/>
        <w:rPr>
          <w:sz w:val="24"/>
        </w:rPr>
      </w:pPr>
      <w:r>
        <w:rPr>
          <w:rFonts w:hint="eastAsia"/>
          <w:sz w:val="24"/>
        </w:rPr>
        <w:t>八、一般公共预算财政拨款基本支出决算明细表</w:t>
      </w:r>
    </w:p>
    <w:p>
      <w:pPr>
        <w:pStyle w:val="13"/>
        <w:adjustRightInd w:val="0"/>
        <w:snapToGrid w:val="0"/>
        <w:spacing w:line="440" w:lineRule="exact"/>
        <w:jc w:val="left"/>
        <w:rPr>
          <w:sz w:val="24"/>
        </w:rPr>
      </w:pPr>
      <w:r>
        <w:rPr>
          <w:rFonts w:hint="eastAsia"/>
          <w:sz w:val="24"/>
        </w:rPr>
        <w:t>九、一般公共预算财政拨款项目支出决算表</w:t>
      </w:r>
    </w:p>
    <w:p>
      <w:pPr>
        <w:pStyle w:val="13"/>
        <w:adjustRightInd w:val="0"/>
        <w:snapToGrid w:val="0"/>
        <w:spacing w:line="440" w:lineRule="exact"/>
        <w:jc w:val="left"/>
        <w:rPr>
          <w:sz w:val="24"/>
        </w:rPr>
      </w:pPr>
      <w:r>
        <w:rPr>
          <w:rFonts w:hint="eastAsia"/>
          <w:sz w:val="24"/>
        </w:rPr>
        <w:t>十、政府性基金预算财政拨款收入支出决算表</w:t>
      </w:r>
    </w:p>
    <w:p>
      <w:pPr>
        <w:pStyle w:val="13"/>
        <w:adjustRightInd w:val="0"/>
        <w:snapToGrid w:val="0"/>
        <w:spacing w:line="440" w:lineRule="exact"/>
        <w:jc w:val="left"/>
        <w:rPr>
          <w:sz w:val="24"/>
        </w:rPr>
      </w:pPr>
      <w:r>
        <w:rPr>
          <w:rFonts w:hint="eastAsia"/>
          <w:sz w:val="24"/>
        </w:rPr>
        <w:t>十一、国有资本经营预算财政拨款收入支出决算表</w:t>
      </w:r>
    </w:p>
    <w:p>
      <w:pPr>
        <w:pStyle w:val="13"/>
        <w:adjustRightInd w:val="0"/>
        <w:snapToGrid w:val="0"/>
        <w:spacing w:line="440" w:lineRule="exact"/>
        <w:jc w:val="left"/>
        <w:rPr>
          <w:sz w:val="24"/>
        </w:rPr>
      </w:pPr>
      <w:r>
        <w:rPr>
          <w:rFonts w:hint="eastAsia"/>
          <w:sz w:val="24"/>
        </w:rPr>
        <w:t>十二、国有资本经营预算财政拨款支出决算表</w:t>
      </w:r>
    </w:p>
    <w:p>
      <w:pPr>
        <w:pStyle w:val="13"/>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sz w:val="32"/>
          <w:szCs w:val="32"/>
        </w:rPr>
      </w:pPr>
    </w:p>
    <w:p>
      <w:pPr>
        <w:pStyle w:val="5"/>
        <w:numPr>
          <w:ilvl w:val="0"/>
          <w:numId w:val="1"/>
        </w:numPr>
        <w:rPr>
          <w:rFonts w:hint="eastAsia" w:ascii="楷体_GB2312" w:hAnsi="宋体" w:eastAsia="楷体_GB2312" w:cs="楷体_GB2312"/>
          <w:kern w:val="0"/>
          <w:sz w:val="32"/>
          <w:szCs w:val="32"/>
        </w:rPr>
      </w:pPr>
      <w:r>
        <w:rPr>
          <w:rFonts w:hint="eastAsia" w:ascii="黑体" w:hAnsi="黑体" w:eastAsia="黑体"/>
          <w:b w:val="0"/>
        </w:rPr>
        <w:t>部门职责</w:t>
      </w:r>
    </w:p>
    <w:p>
      <w:pPr>
        <w:numPr>
          <w:ilvl w:val="0"/>
          <w:numId w:val="0"/>
        </w:numPr>
        <w:ind w:firstLine="640" w:firstLineChars="200"/>
      </w:pPr>
      <w:r>
        <w:rPr>
          <w:rFonts w:hint="eastAsia" w:ascii="仿宋_GB2312" w:hAnsi="仿宋_GB2312" w:eastAsia="仿宋_GB2312" w:cs="仿宋_GB2312"/>
          <w:sz w:val="32"/>
          <w:szCs w:val="32"/>
        </w:rPr>
        <w:t>信访局负责贯彻落实党中央关于信访工作的方针政策和县委、县政府决策部署，在履行职责过程中坚持和加强党对信访工作的集中统一领导。</w:t>
      </w:r>
      <w:r>
        <w:rPr>
          <w:rFonts w:hint="eastAsia" w:ascii="仿宋_GB2312" w:hAnsi="仿宋_GB2312" w:eastAsia="仿宋_GB2312" w:cs="仿宋_GB2312"/>
          <w:b/>
          <w:bCs/>
          <w:sz w:val="32"/>
          <w:szCs w:val="32"/>
        </w:rPr>
        <w:t>主要职责是:</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制定信访问题排查化解、风险评估等制度并组织实施，提出改进和加强信访工作的意见和建议。负责本部门依法行政工作。</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负责向县委、县政府反映来信来电来访中提出的重要建议、意见和问题，综合研判信访信息，开展调查研究，提出相关建议。</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综合协调指导全县信访工作，推动建立健全信访工作的协调配合机制。督促检查县级各部门和各乡镇信访工作，总结推广信访工作先进经验，协调信访工作宣传和信息发布。</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rPr>
        <w:t>负责处理县内外群众、法人及其他组织通过信访渠道给县委、县政府及领导同志的来信来电，接待来访。</w:t>
      </w:r>
      <w:r>
        <w:rPr>
          <w:rFonts w:hint="eastAsia" w:ascii="仿宋_GB2312" w:hAnsi="仿宋_GB2312" w:eastAsia="仿宋_GB2312" w:cs="仿宋_GB2312"/>
          <w:b/>
          <w:bCs/>
          <w:sz w:val="32"/>
          <w:szCs w:val="32"/>
          <w:lang w:eastAsia="zh-CN"/>
        </w:rPr>
        <w:t>五是</w:t>
      </w:r>
      <w:r>
        <w:rPr>
          <w:rFonts w:hint="eastAsia" w:ascii="仿宋_GB2312" w:hAnsi="仿宋_GB2312" w:eastAsia="仿宋_GB2312" w:cs="仿宋_GB2312"/>
          <w:sz w:val="32"/>
          <w:szCs w:val="32"/>
        </w:rPr>
        <w:t>承担协调处理群众进京到省到州集体上访和非正常上访的责任，综合协调处理跨地区、跨部门的重要信访问题。</w:t>
      </w:r>
      <w:r>
        <w:rPr>
          <w:rFonts w:hint="eastAsia" w:ascii="仿宋_GB2312" w:hAnsi="仿宋_GB2312" w:eastAsia="仿宋_GB2312" w:cs="仿宋_GB2312"/>
          <w:b/>
          <w:bCs/>
          <w:sz w:val="32"/>
          <w:szCs w:val="32"/>
          <w:lang w:eastAsia="zh-CN"/>
        </w:rPr>
        <w:t>六是</w:t>
      </w:r>
      <w:r>
        <w:rPr>
          <w:rFonts w:hint="eastAsia" w:ascii="仿宋_GB2312" w:hAnsi="仿宋_GB2312" w:eastAsia="仿宋_GB2312" w:cs="仿宋_GB2312"/>
          <w:sz w:val="32"/>
          <w:szCs w:val="32"/>
        </w:rPr>
        <w:t>负责落实国家、省、州、县领导批示交办信访事项，向县级各部门和各乡镇转办、交办信访事项，督促检查重要信访事项的处理和落实。</w:t>
      </w:r>
      <w:r>
        <w:rPr>
          <w:rFonts w:hint="eastAsia" w:ascii="仿宋_GB2312" w:hAnsi="仿宋_GB2312" w:eastAsia="仿宋_GB2312" w:cs="仿宋_GB2312"/>
          <w:b/>
          <w:bCs/>
          <w:sz w:val="32"/>
          <w:szCs w:val="32"/>
          <w:lang w:eastAsia="zh-CN"/>
        </w:rPr>
        <w:t>七是</w:t>
      </w:r>
      <w:r>
        <w:rPr>
          <w:rFonts w:hint="eastAsia" w:ascii="仿宋_GB2312" w:hAnsi="仿宋_GB2312" w:eastAsia="仿宋_GB2312" w:cs="仿宋_GB2312"/>
          <w:sz w:val="32"/>
          <w:szCs w:val="32"/>
        </w:rPr>
        <w:t>加强对信访问题排查化解和社情民意汇集分析，重点开展法律法规政策宣传和思想教育疏导，将信访工作的重心由事后处理转移到事前排查化解，增强信访工作的预见性和针对性。</w:t>
      </w:r>
      <w:r>
        <w:rPr>
          <w:rFonts w:hint="eastAsia" w:ascii="仿宋_GB2312" w:hAnsi="仿宋_GB2312" w:eastAsia="仿宋_GB2312" w:cs="仿宋_GB2312"/>
          <w:b/>
          <w:bCs/>
          <w:sz w:val="32"/>
          <w:szCs w:val="32"/>
          <w:lang w:eastAsia="zh-CN"/>
        </w:rPr>
        <w:t>八是</w:t>
      </w:r>
      <w:r>
        <w:rPr>
          <w:rFonts w:hint="eastAsia" w:ascii="仿宋_GB2312" w:hAnsi="仿宋_GB2312" w:eastAsia="仿宋_GB2312" w:cs="仿宋_GB2312"/>
          <w:sz w:val="32"/>
          <w:szCs w:val="32"/>
        </w:rPr>
        <w:t>加强对重大信访事项的督查督办，完善信访诉求表达方式，进一步畅通信访渠道，确保信访工作决策部署得到贯彻落实，推动群众信访问题得到妥善解决。</w:t>
      </w:r>
      <w:r>
        <w:rPr>
          <w:rFonts w:hint="eastAsia" w:ascii="仿宋_GB2312" w:hAnsi="仿宋_GB2312" w:eastAsia="仿宋_GB2312" w:cs="仿宋_GB2312"/>
          <w:b/>
          <w:bCs/>
          <w:sz w:val="32"/>
          <w:szCs w:val="32"/>
          <w:lang w:eastAsia="zh-CN"/>
        </w:rPr>
        <w:t>九是</w:t>
      </w:r>
      <w:r>
        <w:rPr>
          <w:rFonts w:hint="eastAsia" w:ascii="仿宋_GB2312" w:hAnsi="仿宋_GB2312" w:eastAsia="仿宋_GB2312" w:cs="仿宋_GB2312"/>
          <w:sz w:val="32"/>
          <w:szCs w:val="32"/>
        </w:rPr>
        <w:t>建立和完善信访信息汇集分析机制，指导信访信息系统建设和应用。</w:t>
      </w:r>
      <w:r>
        <w:rPr>
          <w:rFonts w:hint="eastAsia" w:ascii="仿宋_GB2312" w:hAnsi="仿宋_GB2312" w:eastAsia="仿宋_GB2312" w:cs="仿宋_GB2312"/>
          <w:b/>
          <w:bCs/>
          <w:sz w:val="32"/>
          <w:szCs w:val="32"/>
          <w:lang w:eastAsia="zh-CN"/>
        </w:rPr>
        <w:t>十是</w:t>
      </w:r>
      <w:r>
        <w:rPr>
          <w:rFonts w:hint="eastAsia" w:ascii="仿宋_GB2312" w:hAnsi="仿宋_GB2312" w:eastAsia="仿宋_GB2312" w:cs="仿宋_GB2312"/>
          <w:sz w:val="32"/>
          <w:szCs w:val="32"/>
        </w:rPr>
        <w:t>开展网上信访工作，探索“互联网+信访”新模式，推动信访信息化建设。</w:t>
      </w:r>
      <w:r>
        <w:rPr>
          <w:rFonts w:hint="eastAsia" w:ascii="仿宋_GB2312" w:hAnsi="仿宋_GB2312" w:eastAsia="仿宋_GB2312" w:cs="仿宋_GB2312"/>
          <w:b/>
          <w:bCs/>
          <w:sz w:val="32"/>
          <w:szCs w:val="32"/>
        </w:rPr>
        <w:t>十一</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sz w:val="32"/>
          <w:szCs w:val="32"/>
        </w:rPr>
        <w:t>承担县信访工作联席会议、县政府信访事项复查复核委员会日常工作，督促落实有关事项。</w:t>
      </w:r>
      <w:r>
        <w:rPr>
          <w:rFonts w:hint="eastAsia" w:ascii="仿宋_GB2312" w:hAnsi="仿宋_GB2312" w:eastAsia="仿宋_GB2312" w:cs="仿宋_GB2312"/>
          <w:b/>
          <w:bCs/>
          <w:sz w:val="32"/>
          <w:szCs w:val="32"/>
        </w:rPr>
        <w:t>十二</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sz w:val="32"/>
          <w:szCs w:val="32"/>
        </w:rPr>
        <w:t>承办县委、县政府交办的其他任务。</w:t>
      </w:r>
      <w:r>
        <w:rPr>
          <w:rFonts w:hint="eastAsia" w:ascii="楷体_GB2312" w:hAnsi="宋体" w:eastAsia="楷体_GB2312" w:cs="楷体_GB2312"/>
          <w:kern w:val="0"/>
          <w:sz w:val="32"/>
          <w:szCs w:val="32"/>
          <w:shd w:val="clear" w:fill="FFFFFF"/>
        </w:rPr>
        <w:t>县局内信访内设机构为综合办公室、督查督办股，内设事业单位1个，为红原县信访接待中心，今年无变动。</w:t>
      </w:r>
    </w:p>
    <w:p>
      <w:pPr>
        <w:pStyle w:val="5"/>
        <w:rPr>
          <w:rStyle w:val="29"/>
          <w:b w:val="0"/>
          <w:bCs w:val="0"/>
        </w:rPr>
      </w:pPr>
      <w:bookmarkStart w:id="14" w:name="_Toc15396601"/>
      <w:bookmarkStart w:id="15" w:name="_Toc15377200"/>
      <w:r>
        <w:rPr>
          <w:rFonts w:hint="eastAsia" w:ascii="黑体" w:eastAsia="黑体"/>
          <w:b w:val="0"/>
        </w:rPr>
        <w:t>二、</w:t>
      </w:r>
      <w:r>
        <w:rPr>
          <w:rFonts w:hint="eastAsia" w:ascii="黑体" w:hAnsi="黑体" w:eastAsia="黑体"/>
          <w:b w:val="0"/>
        </w:rPr>
        <w:t>机</w:t>
      </w:r>
      <w:r>
        <w:rPr>
          <w:rStyle w:val="29"/>
          <w:rFonts w:hint="eastAsia" w:ascii="黑体" w:hAnsi="黑体" w:eastAsia="黑体"/>
          <w:b w:val="0"/>
          <w:bCs w:val="0"/>
        </w:rPr>
        <w:t>构设置</w:t>
      </w:r>
      <w:bookmarkEnd w:id="14"/>
      <w:bookmarkEnd w:id="15"/>
    </w:p>
    <w:p>
      <w:pPr>
        <w:pStyle w:val="5"/>
        <w:keepNext w:val="0"/>
        <w:keepLines w:val="0"/>
        <w:widowControl/>
        <w:suppressLineNumbers w:val="0"/>
        <w:autoSpaceDE w:val="0"/>
        <w:autoSpaceDN/>
        <w:spacing w:before="0" w:beforeAutospacing="0" w:line="560" w:lineRule="exact"/>
        <w:ind w:left="0" w:firstLine="640" w:firstLineChars="200"/>
        <w:jc w:val="left"/>
        <w:rPr>
          <w:rFonts w:hint="eastAsia" w:ascii="仿宋_GB2312" w:hAnsi="宋体" w:eastAsia="仿宋_GB2312" w:cs="仿宋_GB2312"/>
          <w:b w:val="0"/>
          <w:kern w:val="0"/>
          <w:sz w:val="24"/>
          <w:szCs w:val="24"/>
          <w:shd w:val="clear" w:fill="FFFFFF"/>
        </w:rPr>
      </w:pPr>
      <w:r>
        <w:rPr>
          <w:rFonts w:hint="eastAsia" w:ascii="仿宋_GB2312" w:hAnsi="宋体" w:eastAsia="仿宋_GB2312" w:cs="仿宋_GB2312"/>
          <w:b w:val="0"/>
          <w:kern w:val="0"/>
          <w:sz w:val="32"/>
          <w:szCs w:val="32"/>
          <w:shd w:val="clear" w:fill="FFFFFF"/>
        </w:rPr>
        <w:t>我单位为独立核算全额拨行政单位，内设机构为综合办公室、督查督办股，内设事业单位1个，为红原县信访接待中心。县信访局目前在编人员8人，其中公务员</w:t>
      </w:r>
      <w:r>
        <w:rPr>
          <w:rFonts w:hint="eastAsia" w:ascii="仿宋_GB2312" w:hAnsi="宋体" w:eastAsia="仿宋_GB2312" w:cs="仿宋_GB2312"/>
          <w:b w:val="0"/>
          <w:kern w:val="0"/>
          <w:sz w:val="32"/>
          <w:szCs w:val="32"/>
          <w:shd w:val="clear" w:fill="FFFFFF"/>
          <w:lang w:val="en-US" w:eastAsia="zh-CN"/>
        </w:rPr>
        <w:t>4</w:t>
      </w:r>
      <w:r>
        <w:rPr>
          <w:rFonts w:hint="eastAsia" w:ascii="仿宋_GB2312" w:hAnsi="宋体" w:eastAsia="仿宋_GB2312" w:cs="仿宋_GB2312"/>
          <w:b w:val="0"/>
          <w:kern w:val="0"/>
          <w:sz w:val="32"/>
          <w:szCs w:val="32"/>
          <w:shd w:val="clear" w:fill="FFFFFF"/>
        </w:rPr>
        <w:t>人、行政工勤1人、事业人员</w:t>
      </w:r>
      <w:r>
        <w:rPr>
          <w:rFonts w:hint="eastAsia" w:ascii="仿宋_GB2312" w:hAnsi="宋体" w:eastAsia="仿宋_GB2312" w:cs="仿宋_GB2312"/>
          <w:b w:val="0"/>
          <w:kern w:val="0"/>
          <w:sz w:val="32"/>
          <w:szCs w:val="32"/>
          <w:shd w:val="clear" w:fill="FFFFFF"/>
          <w:lang w:val="en-US" w:eastAsia="zh-CN"/>
        </w:rPr>
        <w:t>3</w:t>
      </w:r>
      <w:r>
        <w:rPr>
          <w:rFonts w:hint="eastAsia" w:ascii="仿宋_GB2312" w:hAnsi="宋体" w:eastAsia="仿宋_GB2312" w:cs="仿宋_GB2312"/>
          <w:b w:val="0"/>
          <w:kern w:val="0"/>
          <w:sz w:val="32"/>
          <w:szCs w:val="32"/>
          <w:shd w:val="clear" w:fill="FFFFFF"/>
        </w:rPr>
        <w:t>人。</w:t>
      </w:r>
      <w:r>
        <w:rPr>
          <w:rFonts w:hint="eastAsia" w:ascii="仿宋_GB2312" w:hAnsi="宋体" w:eastAsia="仿宋_GB2312" w:cs="仿宋_GB2312"/>
          <w:b w:val="0"/>
          <w:kern w:val="0"/>
          <w:sz w:val="24"/>
          <w:szCs w:val="24"/>
          <w:shd w:val="clear" w:fill="FFFFFF"/>
        </w:rPr>
        <w:t xml:space="preserve"> </w:t>
      </w:r>
    </w:p>
    <w:p>
      <w:pPr>
        <w:widowControl/>
        <w:jc w:val="left"/>
        <w:rPr>
          <w:rFonts w:ascii="仿宋" w:hAnsi="仿宋" w:eastAsia="仿宋"/>
          <w:kern w:val="0"/>
          <w:sz w:val="32"/>
          <w:szCs w:val="32"/>
        </w:rPr>
      </w:pPr>
      <w:r>
        <w:rPr>
          <w:rFonts w:ascii="仿宋" w:hAnsi="仿宋" w:eastAsia="仿宋"/>
          <w:sz w:val="32"/>
          <w:szCs w:val="32"/>
        </w:rPr>
        <w:br w:type="page"/>
      </w:r>
    </w:p>
    <w:p>
      <w:pPr>
        <w:pStyle w:val="4"/>
        <w:ind w:right="440"/>
        <w:jc w:val="center"/>
        <w:rPr>
          <w:rStyle w:val="28"/>
          <w:rFonts w:ascii="黑体" w:hAnsi="黑体" w:eastAsia="黑体"/>
          <w:b w:val="0"/>
          <w:bCs/>
        </w:rPr>
      </w:pPr>
      <w:bookmarkStart w:id="16" w:name="_Toc15377204"/>
      <w:bookmarkStart w:id="17" w:name="_Toc15396602"/>
      <w:r>
        <w:rPr>
          <w:rFonts w:hint="eastAsia" w:ascii="黑体" w:hAnsi="黑体" w:eastAsia="黑体"/>
          <w:b w:val="0"/>
        </w:rPr>
        <w:t>第二部分 2023年度</w:t>
      </w:r>
      <w:r>
        <w:rPr>
          <w:rStyle w:val="28"/>
          <w:rFonts w:hint="eastAsia" w:ascii="黑体" w:hAnsi="黑体" w:eastAsia="黑体"/>
          <w:b w:val="0"/>
          <w:bCs/>
        </w:rPr>
        <w:t>部门决算情况说明</w:t>
      </w:r>
      <w:bookmarkEnd w:id="16"/>
      <w:bookmarkEnd w:id="17"/>
    </w:p>
    <w:p/>
    <w:p>
      <w:pPr>
        <w:pStyle w:val="27"/>
        <w:numPr>
          <w:ilvl w:val="0"/>
          <w:numId w:val="2"/>
        </w:numPr>
        <w:spacing w:line="600" w:lineRule="exact"/>
        <w:ind w:firstLineChars="0"/>
        <w:outlineLvl w:val="1"/>
        <w:rPr>
          <w:rStyle w:val="29"/>
          <w:rFonts w:ascii="黑体" w:hAnsi="黑体" w:eastAsia="黑体"/>
          <w:b w:val="0"/>
        </w:rPr>
      </w:pPr>
      <w:bookmarkStart w:id="18" w:name="_Toc15377205"/>
      <w:bookmarkStart w:id="19" w:name="_Toc15396603"/>
      <w:r>
        <w:rPr>
          <w:rFonts w:hint="eastAsia" w:ascii="黑体" w:hAnsi="黑体" w:eastAsia="黑体"/>
          <w:sz w:val="32"/>
          <w:szCs w:val="32"/>
        </w:rPr>
        <w:t>收</w:t>
      </w:r>
      <w:r>
        <w:rPr>
          <w:rStyle w:val="29"/>
          <w:rFonts w:hint="eastAsia" w:ascii="黑体" w:hAnsi="黑体" w:eastAsia="黑体"/>
          <w:b w:val="0"/>
        </w:rPr>
        <w:t>入支出决算总体情况说明</w:t>
      </w:r>
      <w:bookmarkEnd w:id="18"/>
      <w:bookmarkEnd w:id="19"/>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w:t>
      </w:r>
      <w:r>
        <w:rPr>
          <w:rFonts w:hint="eastAsia" w:ascii="仿宋" w:hAnsi="仿宋" w:eastAsia="仿宋"/>
          <w:sz w:val="32"/>
          <w:szCs w:val="32"/>
          <w:lang w:val="en-US" w:eastAsia="zh-CN"/>
        </w:rPr>
        <w:t>217.68万元，</w:t>
      </w:r>
      <w:r>
        <w:rPr>
          <w:rFonts w:hint="eastAsia" w:ascii="仿宋" w:hAnsi="仿宋" w:eastAsia="仿宋"/>
          <w:sz w:val="32"/>
          <w:szCs w:val="32"/>
        </w:rPr>
        <w:t>支总计均为</w:t>
      </w:r>
      <w:r>
        <w:rPr>
          <w:rFonts w:hint="eastAsia"/>
          <w:sz w:val="32"/>
          <w:szCs w:val="32"/>
        </w:rPr>
        <w:t>217.68</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w:t>
      </w:r>
      <w:r>
        <w:rPr>
          <w:rFonts w:hint="eastAsia" w:ascii="仿宋" w:hAnsi="仿宋" w:eastAsia="仿宋"/>
          <w:sz w:val="32"/>
          <w:szCs w:val="32"/>
          <w:lang w:val="en-US" w:eastAsia="zh-CN"/>
        </w:rPr>
        <w:t>、</w:t>
      </w:r>
      <w:r>
        <w:rPr>
          <w:rFonts w:hint="eastAsia" w:ascii="仿宋" w:hAnsi="仿宋" w:eastAsia="仿宋"/>
          <w:sz w:val="32"/>
          <w:szCs w:val="32"/>
        </w:rPr>
        <w:t>支总计增加</w:t>
      </w:r>
      <w:r>
        <w:rPr>
          <w:rFonts w:hint="eastAsia" w:ascii="仿宋" w:hAnsi="仿宋" w:eastAsia="仿宋"/>
          <w:sz w:val="32"/>
          <w:szCs w:val="32"/>
          <w:lang w:val="en-US" w:eastAsia="zh-CN"/>
        </w:rPr>
        <w:t>29.16万元13.39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人员调资</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drawing>
          <wp:anchor distT="0" distB="0" distL="114300" distR="114300" simplePos="0" relativeHeight="251677696" behindDoc="0" locked="0" layoutInCell="1" allowOverlap="1">
            <wp:simplePos x="0" y="0"/>
            <wp:positionH relativeFrom="column">
              <wp:posOffset>427355</wp:posOffset>
            </wp:positionH>
            <wp:positionV relativeFrom="paragraph">
              <wp:posOffset>116840</wp:posOffset>
            </wp:positionV>
            <wp:extent cx="5080000" cy="3281680"/>
            <wp:effectExtent l="4445" t="4445" r="20955" b="952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ind w:firstLine="960" w:firstLineChars="3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7"/>
        <w:numPr>
          <w:ilvl w:val="0"/>
          <w:numId w:val="2"/>
        </w:numPr>
        <w:spacing w:line="600" w:lineRule="exact"/>
        <w:ind w:firstLineChars="0"/>
        <w:outlineLvl w:val="1"/>
        <w:rPr>
          <w:rStyle w:val="29"/>
          <w:rFonts w:ascii="黑体" w:hAnsi="黑体" w:eastAsia="黑体"/>
          <w:b w:val="0"/>
        </w:rPr>
      </w:pPr>
      <w:bookmarkStart w:id="20" w:name="_Toc15377206"/>
      <w:bookmarkStart w:id="21" w:name="_Toc15396604"/>
      <w:r>
        <w:rPr>
          <w:rFonts w:hint="eastAsia" w:ascii="黑体" w:hAnsi="黑体" w:eastAsia="黑体"/>
          <w:sz w:val="32"/>
          <w:szCs w:val="32"/>
        </w:rPr>
        <w:t>收</w:t>
      </w:r>
      <w:r>
        <w:rPr>
          <w:rStyle w:val="29"/>
          <w:rFonts w:hint="eastAsia" w:ascii="黑体" w:hAnsi="黑体" w:eastAsia="黑体"/>
          <w:b w:val="0"/>
        </w:rPr>
        <w:t>入决算情况说明</w:t>
      </w:r>
      <w:bookmarkEnd w:id="20"/>
      <w:bookmarkEnd w:id="21"/>
    </w:p>
    <w:p>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217.68</w:t>
      </w:r>
      <w:r>
        <w:rPr>
          <w:rFonts w:hint="eastAsia" w:ascii="仿宋" w:hAnsi="仿宋" w:eastAsia="仿宋"/>
          <w:sz w:val="32"/>
          <w:szCs w:val="32"/>
        </w:rPr>
        <w:t>万元，其中：一般公共预算财政拨款收入</w:t>
      </w:r>
      <w:r>
        <w:rPr>
          <w:sz w:val="32"/>
          <w:szCs w:val="32"/>
        </w:rPr>
        <w:t>217.68</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pPr>
        <w:spacing w:line="600" w:lineRule="exact"/>
        <w:ind w:firstLine="480" w:firstLineChars="200"/>
        <w:outlineLvl w:val="1"/>
        <w:rPr>
          <w:rFonts w:ascii="仿宋" w:hAnsi="仿宋" w:eastAsia="仿宋"/>
          <w:sz w:val="32"/>
          <w:szCs w:val="32"/>
        </w:rPr>
      </w:pPr>
      <w:r>
        <w:rPr>
          <w:rFonts w:hint="eastAsia" w:ascii="宋体" w:hAnsi="宋体" w:eastAsia="宋体" w:cs="宋体"/>
          <w:kern w:val="0"/>
          <w:sz w:val="24"/>
          <w:szCs w:val="24"/>
        </w:rPr>
        <w:drawing>
          <wp:anchor distT="0" distB="0" distL="114300" distR="114300" simplePos="0" relativeHeight="251659264" behindDoc="0" locked="0" layoutInCell="1" allowOverlap="1">
            <wp:simplePos x="0" y="0"/>
            <wp:positionH relativeFrom="column">
              <wp:posOffset>516255</wp:posOffset>
            </wp:positionH>
            <wp:positionV relativeFrom="paragraph">
              <wp:posOffset>69215</wp:posOffset>
            </wp:positionV>
            <wp:extent cx="3971925" cy="3028950"/>
            <wp:effectExtent l="0" t="0" r="0" b="0"/>
            <wp:wrapSquare wrapText="bothSides"/>
            <wp:docPr id="4"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7"/>
                    <pic:cNvPicPr>
                      <a:picLocks noChangeAspect="1"/>
                    </pic:cNvPicPr>
                  </pic:nvPicPr>
                  <pic:blipFill>
                    <a:blip r:embed="rId7"/>
                    <a:stretch>
                      <a:fillRect/>
                    </a:stretch>
                  </pic:blipFill>
                  <pic:spPr>
                    <a:xfrm>
                      <a:off x="0" y="0"/>
                      <a:ext cx="3971925" cy="3028950"/>
                    </a:xfrm>
                    <a:prstGeom prst="rect">
                      <a:avLst/>
                    </a:prstGeom>
                    <a:noFill/>
                    <a:ln w="9525">
                      <a:noFill/>
                    </a:ln>
                  </pic:spPr>
                </pic:pic>
              </a:graphicData>
            </a:graphic>
          </wp:anchor>
        </w:drawing>
      </w: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rPr>
          <w:rFonts w:hint="eastAsia" w:ascii="仿宋" w:hAnsi="仿宋" w:eastAsia="仿宋"/>
          <w:sz w:val="32"/>
          <w:szCs w:val="32"/>
        </w:rPr>
      </w:pPr>
    </w:p>
    <w:p>
      <w:pPr>
        <w:spacing w:line="600" w:lineRule="exact"/>
        <w:ind w:firstLine="320" w:firstLineChars="100"/>
        <w:rPr>
          <w:rFonts w:ascii="仿宋" w:hAnsi="仿宋" w:eastAsia="仿宋"/>
          <w:sz w:val="32"/>
          <w:szCs w:val="32"/>
        </w:rPr>
      </w:pPr>
      <w:r>
        <w:rPr>
          <w:rFonts w:hint="eastAsia" w:ascii="仿宋" w:hAnsi="仿宋" w:eastAsia="仿宋"/>
          <w:sz w:val="32"/>
          <w:szCs w:val="32"/>
        </w:rPr>
        <w:t>（图2：收入决算结构图）（饼状图）</w:t>
      </w:r>
    </w:p>
    <w:p>
      <w:pPr>
        <w:pStyle w:val="27"/>
        <w:numPr>
          <w:ilvl w:val="0"/>
          <w:numId w:val="2"/>
        </w:numPr>
        <w:spacing w:line="600" w:lineRule="exact"/>
        <w:ind w:firstLineChars="0"/>
        <w:outlineLvl w:val="1"/>
        <w:rPr>
          <w:rStyle w:val="29"/>
          <w:rFonts w:ascii="黑体" w:hAnsi="黑体" w:eastAsia="黑体"/>
          <w:b w:val="0"/>
        </w:rPr>
      </w:pPr>
      <w:bookmarkStart w:id="22" w:name="_Toc15396605"/>
      <w:bookmarkStart w:id="23" w:name="_Toc15377207"/>
      <w:r>
        <w:rPr>
          <w:rFonts w:hint="eastAsia" w:ascii="黑体" w:hAnsi="黑体" w:eastAsia="黑体"/>
          <w:sz w:val="32"/>
          <w:szCs w:val="32"/>
        </w:rPr>
        <w:t>支</w:t>
      </w:r>
      <w:r>
        <w:rPr>
          <w:rStyle w:val="29"/>
          <w:rFonts w:hint="eastAsia" w:ascii="黑体" w:hAnsi="黑体" w:eastAsia="黑体"/>
          <w:b w:val="0"/>
        </w:rPr>
        <w:t>出决算情况说明</w:t>
      </w:r>
      <w:bookmarkEnd w:id="22"/>
      <w:bookmarkEnd w:id="23"/>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217.68</w:t>
      </w:r>
      <w:r>
        <w:rPr>
          <w:rFonts w:hint="eastAsia" w:ascii="仿宋" w:hAnsi="仿宋" w:eastAsia="仿宋"/>
          <w:sz w:val="32"/>
          <w:szCs w:val="32"/>
        </w:rPr>
        <w:t>万元，其中：基本支出</w:t>
      </w:r>
      <w:r>
        <w:rPr>
          <w:sz w:val="32"/>
          <w:szCs w:val="32"/>
        </w:rPr>
        <w:t>215.52</w:t>
      </w:r>
      <w:r>
        <w:rPr>
          <w:rFonts w:hint="eastAsia" w:ascii="仿宋" w:hAnsi="仿宋" w:eastAsia="仿宋"/>
          <w:sz w:val="32"/>
          <w:szCs w:val="32"/>
        </w:rPr>
        <w:t>万元，占</w:t>
      </w:r>
      <w:r>
        <w:rPr>
          <w:sz w:val="32"/>
          <w:szCs w:val="32"/>
        </w:rPr>
        <w:t>99</w:t>
      </w:r>
      <w:r>
        <w:rPr>
          <w:rFonts w:ascii="仿宋" w:hAnsi="仿宋" w:eastAsia="仿宋"/>
          <w:sz w:val="32"/>
          <w:szCs w:val="32"/>
        </w:rPr>
        <w:t>%</w:t>
      </w:r>
      <w:r>
        <w:rPr>
          <w:rFonts w:hint="eastAsia" w:ascii="仿宋" w:hAnsi="仿宋" w:eastAsia="仿宋"/>
          <w:sz w:val="32"/>
          <w:szCs w:val="32"/>
        </w:rPr>
        <w:t>；项目支出</w:t>
      </w:r>
      <w:r>
        <w:rPr>
          <w:sz w:val="32"/>
          <w:szCs w:val="32"/>
        </w:rPr>
        <w:t>2.16</w:t>
      </w:r>
      <w:r>
        <w:rPr>
          <w:rFonts w:hint="eastAsia" w:ascii="仿宋" w:hAnsi="仿宋" w:eastAsia="仿宋"/>
          <w:sz w:val="32"/>
          <w:szCs w:val="32"/>
        </w:rPr>
        <w:t>万元，占</w:t>
      </w:r>
      <w:r>
        <w:rPr>
          <w:sz w:val="32"/>
          <w:szCs w:val="32"/>
        </w:rPr>
        <w:t>0.99</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pPr>
        <w:spacing w:line="600" w:lineRule="exact"/>
        <w:ind w:firstLine="640"/>
        <w:rPr>
          <w:rFonts w:hint="eastAsia" w:ascii="仿宋" w:hAnsi="仿宋" w:eastAsia="仿宋"/>
          <w:sz w:val="32"/>
          <w:szCs w:val="32"/>
          <w:shd w:val="pct10" w:color="auto" w:fill="FFFFFF"/>
          <w:lang w:eastAsia="zh-CN"/>
        </w:rPr>
      </w:pPr>
      <w:r>
        <w:rPr>
          <w:rFonts w:hint="eastAsia" w:ascii="仿宋" w:hAnsi="仿宋" w:eastAsia="仿宋"/>
          <w:sz w:val="32"/>
          <w:szCs w:val="32"/>
          <w:shd w:val="pct10" w:color="auto" w:fill="FFFFFF"/>
          <w:lang w:eastAsia="zh-CN"/>
        </w:rPr>
        <w:drawing>
          <wp:anchor distT="0" distB="0" distL="114300" distR="114300" simplePos="0" relativeHeight="251752448" behindDoc="0" locked="0" layoutInCell="1" allowOverlap="1">
            <wp:simplePos x="0" y="0"/>
            <wp:positionH relativeFrom="column">
              <wp:posOffset>410845</wp:posOffset>
            </wp:positionH>
            <wp:positionV relativeFrom="paragraph">
              <wp:posOffset>-7778750</wp:posOffset>
            </wp:positionV>
            <wp:extent cx="5080000" cy="3810000"/>
            <wp:effectExtent l="4445" t="4445" r="2095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w:t>
      </w:r>
      <w:r>
        <w:rPr>
          <w:rFonts w:hint="eastAsia" w:ascii="仿宋" w:hAnsi="仿宋" w:eastAsia="仿宋"/>
          <w:sz w:val="32"/>
          <w:szCs w:val="32"/>
        </w:rPr>
        <w:t>图3：支出决算结构图）（饼状图）</w:t>
      </w:r>
    </w:p>
    <w:p>
      <w:pPr>
        <w:spacing w:line="600" w:lineRule="exact"/>
        <w:ind w:firstLine="640" w:firstLineChars="200"/>
        <w:outlineLvl w:val="1"/>
        <w:rPr>
          <w:rStyle w:val="29"/>
          <w:rFonts w:ascii="黑体" w:hAnsi="黑体" w:eastAsia="黑体"/>
          <w:b w:val="0"/>
        </w:rPr>
      </w:pPr>
      <w:bookmarkStart w:id="24" w:name="_Toc15377208"/>
      <w:bookmarkStart w:id="25"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24"/>
      <w:bookmarkEnd w:id="25"/>
    </w:p>
    <w:p>
      <w:pPr>
        <w:spacing w:line="600" w:lineRule="exact"/>
        <w:ind w:firstLine="640"/>
        <w:rPr>
          <w:rFonts w:hint="eastAsia" w:ascii="仿宋" w:hAnsi="仿宋" w:eastAsia="仿宋"/>
          <w:sz w:val="32"/>
          <w:szCs w:val="32"/>
          <w:lang w:eastAsia="zh-CN"/>
        </w:rPr>
      </w:pPr>
      <w:r>
        <w:rPr>
          <w:rFonts w:hint="eastAsia" w:ascii="仿宋" w:hAnsi="仿宋" w:eastAsia="仿宋"/>
          <w:sz w:val="32"/>
          <w:szCs w:val="32"/>
        </w:rPr>
        <w:t>2023年度财政拨款收、支总计均为</w:t>
      </w:r>
      <w:r>
        <w:rPr>
          <w:sz w:val="32"/>
          <w:szCs w:val="32"/>
        </w:rPr>
        <w:t>217.68</w:t>
      </w:r>
      <w:r>
        <w:rPr>
          <w:rFonts w:hint="eastAsia" w:ascii="仿宋" w:hAnsi="仿宋" w:eastAsia="仿宋"/>
          <w:sz w:val="32"/>
          <w:szCs w:val="32"/>
        </w:rPr>
        <w:t>万元。与2022年度相比，财政拨款收、支总计增加</w:t>
      </w:r>
      <w:r>
        <w:rPr>
          <w:rFonts w:hint="eastAsia" w:ascii="仿宋" w:hAnsi="仿宋" w:eastAsia="仿宋"/>
          <w:sz w:val="32"/>
          <w:szCs w:val="32"/>
          <w:lang w:val="en-US" w:eastAsia="zh-CN"/>
        </w:rPr>
        <w:t>29.16</w:t>
      </w:r>
      <w:r>
        <w:rPr>
          <w:rFonts w:hint="eastAsia" w:ascii="仿宋" w:hAnsi="仿宋" w:eastAsia="仿宋"/>
          <w:sz w:val="32"/>
          <w:szCs w:val="32"/>
        </w:rPr>
        <w:t>万元，增长</w:t>
      </w:r>
      <w:r>
        <w:rPr>
          <w:rFonts w:hint="eastAsia" w:ascii="仿宋" w:hAnsi="仿宋" w:eastAsia="仿宋"/>
          <w:sz w:val="32"/>
          <w:szCs w:val="32"/>
          <w:lang w:val="en-US" w:eastAsia="zh-CN"/>
        </w:rPr>
        <w:t>13.39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人员调资。</w:t>
      </w:r>
    </w:p>
    <w:p>
      <w:pPr>
        <w:spacing w:line="600" w:lineRule="exact"/>
        <w:ind w:firstLine="640"/>
        <w:rPr>
          <w:rFonts w:hint="eastAsia"/>
          <w:lang w:eastAsia="zh-CN"/>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pPr>
        <w:rPr>
          <w:rFonts w:hint="eastAsia"/>
          <w:lang w:eastAsia="zh-CN"/>
        </w:rPr>
      </w:pPr>
      <w:r>
        <w:rPr>
          <w:rFonts w:hint="eastAsia" w:ascii="仿宋" w:hAnsi="仿宋" w:eastAsia="仿宋"/>
          <w:sz w:val="32"/>
          <w:szCs w:val="32"/>
          <w:lang w:eastAsia="zh-CN"/>
        </w:rPr>
        <w:drawing>
          <wp:anchor distT="0" distB="0" distL="114300" distR="114300" simplePos="0" relativeHeight="251849728" behindDoc="0" locked="0" layoutInCell="1" allowOverlap="1">
            <wp:simplePos x="0" y="0"/>
            <wp:positionH relativeFrom="column">
              <wp:posOffset>205740</wp:posOffset>
            </wp:positionH>
            <wp:positionV relativeFrom="paragraph">
              <wp:posOffset>-2021205</wp:posOffset>
            </wp:positionV>
            <wp:extent cx="5080000" cy="3810000"/>
            <wp:effectExtent l="4445" t="4445" r="2095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b/>
          <w:sz w:val="32"/>
          <w:szCs w:val="32"/>
        </w:rPr>
      </w:pPr>
      <w:r>
        <w:rPr>
          <w:rFonts w:hint="eastAsia" w:ascii="仿宋" w:hAnsi="仿宋" w:eastAsia="仿宋"/>
          <w:sz w:val="32"/>
          <w:szCs w:val="32"/>
          <w:lang w:eastAsia="zh-CN"/>
        </w:rPr>
        <w:t>（</w:t>
      </w:r>
      <w:r>
        <w:rPr>
          <w:rFonts w:hint="eastAsia" w:ascii="仿宋" w:hAnsi="仿宋" w:eastAsia="仿宋"/>
          <w:sz w:val="32"/>
          <w:szCs w:val="32"/>
        </w:rPr>
        <w:t>图4：财政拨款收、支决算总计变动情况）（柱状图）</w:t>
      </w:r>
    </w:p>
    <w:p>
      <w:pPr>
        <w:spacing w:line="600" w:lineRule="exact"/>
        <w:ind w:firstLine="640" w:firstLineChars="200"/>
        <w:outlineLvl w:val="1"/>
        <w:rPr>
          <w:rStyle w:val="29"/>
          <w:rFonts w:ascii="黑体" w:hAnsi="黑体" w:eastAsia="黑体"/>
          <w:b w:val="0"/>
        </w:rPr>
      </w:pPr>
      <w:bookmarkStart w:id="26" w:name="_Toc15377209"/>
      <w:bookmarkStart w:id="27" w:name="_Toc15396607"/>
      <w:r>
        <w:rPr>
          <w:rFonts w:hint="eastAsia" w:ascii="黑体" w:hAnsi="黑体" w:eastAsia="黑体"/>
          <w:sz w:val="32"/>
          <w:szCs w:val="32"/>
        </w:rPr>
        <w:t>五、</w:t>
      </w:r>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6"/>
      <w:bookmarkEnd w:id="27"/>
    </w:p>
    <w:p>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217.68</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29.16</w:t>
      </w:r>
      <w:r>
        <w:rPr>
          <w:rFonts w:hint="eastAsia" w:ascii="仿宋" w:hAnsi="仿宋" w:eastAsia="仿宋"/>
          <w:sz w:val="32"/>
          <w:szCs w:val="32"/>
        </w:rPr>
        <w:t>万元，增长</w:t>
      </w:r>
      <w:r>
        <w:rPr>
          <w:rFonts w:hint="eastAsia" w:ascii="仿宋" w:hAnsi="仿宋" w:eastAsia="仿宋"/>
          <w:sz w:val="32"/>
          <w:szCs w:val="32"/>
          <w:lang w:val="en-US" w:eastAsia="zh-CN"/>
        </w:rPr>
        <w:t>13.39</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人员调资。</w:t>
      </w:r>
    </w:p>
    <w:p>
      <w:pPr>
        <w:spacing w:line="600" w:lineRule="exact"/>
        <w:rPr>
          <w:rFonts w:ascii="仿宋" w:hAnsi="仿宋" w:eastAsia="仿宋"/>
          <w:sz w:val="32"/>
          <w:szCs w:val="32"/>
        </w:rPr>
      </w:pPr>
      <w:bookmarkStart w:id="49" w:name="_GoBack"/>
      <w:r>
        <w:rPr>
          <w:rFonts w:hint="eastAsia" w:ascii="仿宋" w:hAnsi="仿宋" w:eastAsia="仿宋"/>
          <w:sz w:val="32"/>
          <w:szCs w:val="32"/>
          <w:lang w:eastAsia="zh-CN"/>
        </w:rPr>
        <w:drawing>
          <wp:anchor distT="0" distB="0" distL="114300" distR="114300" simplePos="0" relativeHeight="252042240" behindDoc="0" locked="0" layoutInCell="1" allowOverlap="1">
            <wp:simplePos x="0" y="0"/>
            <wp:positionH relativeFrom="column">
              <wp:posOffset>78740</wp:posOffset>
            </wp:positionH>
            <wp:positionV relativeFrom="paragraph">
              <wp:posOffset>-1400810</wp:posOffset>
            </wp:positionV>
            <wp:extent cx="5080000" cy="3810000"/>
            <wp:effectExtent l="4445" t="4445" r="20955" b="1460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End w:id="49"/>
      <w:r>
        <w:rPr>
          <w:rFonts w:hint="eastAsia" w:ascii="仿宋" w:hAnsi="仿宋" w:eastAsia="仿宋"/>
          <w:sz w:val="32"/>
          <w:szCs w:val="32"/>
        </w:rPr>
        <w:t>（图5：一般公共预算财政拨款支出决算变动情况）（柱状图）</w:t>
      </w:r>
    </w:p>
    <w:p>
      <w:pPr>
        <w:spacing w:line="600" w:lineRule="exact"/>
        <w:ind w:firstLine="643" w:firstLineChars="2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217.68</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164.45</w:t>
      </w:r>
      <w:r>
        <w:rPr>
          <w:rFonts w:hint="eastAsia" w:ascii="仿宋" w:hAnsi="仿宋" w:eastAsia="仿宋"/>
          <w:sz w:val="32"/>
          <w:szCs w:val="32"/>
        </w:rPr>
        <w:t>万元，占</w:t>
      </w:r>
      <w:r>
        <w:rPr>
          <w:rFonts w:hint="eastAsia" w:ascii="仿宋" w:hAnsi="仿宋" w:eastAsia="仿宋"/>
          <w:sz w:val="32"/>
          <w:szCs w:val="32"/>
          <w:lang w:val="en-US" w:eastAsia="zh-CN"/>
        </w:rPr>
        <w:t>76</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b/>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27.67</w:t>
      </w:r>
      <w:r>
        <w:rPr>
          <w:rFonts w:hint="eastAsia" w:ascii="仿宋" w:hAnsi="仿宋" w:eastAsia="仿宋"/>
          <w:sz w:val="32"/>
          <w:szCs w:val="32"/>
        </w:rPr>
        <w:t>万元，占</w:t>
      </w:r>
      <w:r>
        <w:rPr>
          <w:rFonts w:hint="eastAsia" w:ascii="仿宋" w:hAnsi="仿宋" w:eastAsia="仿宋"/>
          <w:sz w:val="32"/>
          <w:szCs w:val="32"/>
          <w:lang w:val="en-US" w:eastAsia="zh-CN"/>
        </w:rPr>
        <w:t>13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11.52</w:t>
      </w:r>
      <w:r>
        <w:rPr>
          <w:rFonts w:hint="eastAsia" w:ascii="仿宋" w:hAnsi="仿宋" w:eastAsia="仿宋"/>
          <w:sz w:val="32"/>
          <w:szCs w:val="32"/>
        </w:rPr>
        <w:t>万元，占</w:t>
      </w:r>
      <w:r>
        <w:rPr>
          <w:rFonts w:hint="eastAsia" w:ascii="仿宋" w:hAnsi="仿宋" w:eastAsia="仿宋"/>
          <w:sz w:val="32"/>
          <w:szCs w:val="32"/>
          <w:lang w:val="en-US" w:eastAsia="zh-CN"/>
        </w:rPr>
        <w:t>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14.04</w:t>
      </w:r>
      <w:r>
        <w:rPr>
          <w:rFonts w:hint="eastAsia" w:ascii="仿宋" w:hAnsi="仿宋" w:eastAsia="仿宋"/>
          <w:sz w:val="32"/>
          <w:szCs w:val="32"/>
        </w:rPr>
        <w:t>万元，占</w:t>
      </w:r>
      <w:r>
        <w:rPr>
          <w:rFonts w:hint="eastAsia" w:ascii="仿宋" w:hAnsi="仿宋" w:eastAsia="仿宋"/>
          <w:sz w:val="32"/>
          <w:szCs w:val="32"/>
          <w:lang w:val="en-US" w:eastAsia="zh-CN"/>
        </w:rPr>
        <w:t>6</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（注：数据来源于财决01-1表，仅罗列本部门涉及的全部功能分类科目，至类级。）</w:t>
      </w:r>
    </w:p>
    <w:p>
      <w:pPr>
        <w:spacing w:line="600" w:lineRule="exact"/>
        <w:ind w:firstLine="640"/>
        <w:rPr>
          <w:rFonts w:ascii="仿宋" w:hAnsi="仿宋" w:eastAsia="仿宋"/>
          <w:sz w:val="32"/>
          <w:szCs w:val="32"/>
        </w:rPr>
      </w:pPr>
      <w:r>
        <w:rPr>
          <w:rFonts w:hint="eastAsia" w:ascii="宋体" w:hAnsi="宋体" w:eastAsia="宋体" w:cs="宋体"/>
          <w:kern w:val="0"/>
          <w:sz w:val="24"/>
          <w:szCs w:val="24"/>
        </w:rPr>
        <w:drawing>
          <wp:anchor distT="0" distB="0" distL="114300" distR="114300" simplePos="0" relativeHeight="251751424" behindDoc="0" locked="0" layoutInCell="1" allowOverlap="1">
            <wp:simplePos x="0" y="0"/>
            <wp:positionH relativeFrom="column">
              <wp:posOffset>198755</wp:posOffset>
            </wp:positionH>
            <wp:positionV relativeFrom="paragraph">
              <wp:posOffset>198120</wp:posOffset>
            </wp:positionV>
            <wp:extent cx="4657725" cy="2828925"/>
            <wp:effectExtent l="0" t="0" r="9525" b="9525"/>
            <wp:wrapSquare wrapText="bothSides"/>
            <wp:docPr id="11"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8"/>
                    <pic:cNvPicPr>
                      <a:picLocks noChangeAspect="1"/>
                    </pic:cNvPicPr>
                  </pic:nvPicPr>
                  <pic:blipFill>
                    <a:blip r:embed="rId11"/>
                    <a:stretch>
                      <a:fillRect/>
                    </a:stretch>
                  </pic:blipFill>
                  <pic:spPr>
                    <a:xfrm>
                      <a:off x="0" y="0"/>
                      <a:ext cx="4657725" cy="2828925"/>
                    </a:xfrm>
                    <a:prstGeom prst="rect">
                      <a:avLst/>
                    </a:prstGeom>
                    <a:noFill/>
                    <a:ln w="9525">
                      <a:noFill/>
                    </a:ln>
                  </pic:spPr>
                </pic:pic>
              </a:graphicData>
            </a:graphic>
          </wp:anchor>
        </w:drawing>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（图6：一般公共预算财政拨款支出决算结构）（饼状图）</w:t>
      </w:r>
    </w:p>
    <w:p>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pPr>
        <w:spacing w:line="600" w:lineRule="exact"/>
        <w:ind w:firstLine="643" w:firstLineChars="200"/>
        <w:outlineLvl w:val="2"/>
        <w:rPr>
          <w:rFonts w:ascii="仿宋" w:hAnsi="仿宋" w:eastAsia="仿宋"/>
          <w:sz w:val="32"/>
          <w:szCs w:val="32"/>
        </w:rPr>
      </w:pPr>
      <w:bookmarkStart w:id="31" w:name="_Toc15377444"/>
      <w:bookmarkStart w:id="32" w:name="_Toc15378460"/>
      <w:bookmarkStart w:id="33" w:name="_Toc15377213"/>
      <w:r>
        <w:rPr>
          <w:rFonts w:hint="eastAsia" w:ascii="仿宋" w:hAnsi="仿宋" w:eastAsia="仿宋"/>
          <w:b/>
          <w:sz w:val="32"/>
          <w:szCs w:val="32"/>
        </w:rPr>
        <w:t>2023年度一般公共预算支出决算数为</w:t>
      </w:r>
      <w:r>
        <w:rPr>
          <w:sz w:val="32"/>
          <w:szCs w:val="32"/>
        </w:rPr>
        <w:t>217.68</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100</w:t>
      </w:r>
      <w:r>
        <w:rPr>
          <w:rStyle w:val="17"/>
          <w:rFonts w:ascii="仿宋" w:hAnsi="仿宋" w:eastAsia="仿宋"/>
          <w:bCs/>
          <w:sz w:val="32"/>
          <w:szCs w:val="32"/>
        </w:rPr>
        <w:t>%</w:t>
      </w:r>
      <w:r>
        <w:rPr>
          <w:rStyle w:val="17"/>
          <w:rFonts w:hint="eastAsia" w:ascii="仿宋" w:hAnsi="仿宋" w:eastAsia="仿宋"/>
          <w:bCs/>
          <w:sz w:val="32"/>
          <w:szCs w:val="32"/>
        </w:rPr>
        <w:t>。其中：</w:t>
      </w:r>
      <w:bookmarkEnd w:id="31"/>
      <w:bookmarkEnd w:id="32"/>
      <w:bookmarkEnd w:id="33"/>
    </w:p>
    <w:p>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w:t>
      </w:r>
      <w:r>
        <w:rPr>
          <w:rStyle w:val="37"/>
          <w:rFonts w:hint="eastAsia" w:ascii="仿宋_GB2312" w:eastAsia="仿宋_GB2312" w:cs="仿宋_GB2312"/>
          <w:b w:val="0"/>
          <w:sz w:val="32"/>
          <w:szCs w:val="32"/>
          <w:shd w:val="clear" w:fill="FFFFFF"/>
        </w:rPr>
        <w:t>2010301</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164.45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76</w:t>
      </w:r>
      <w:r>
        <w:rPr>
          <w:rStyle w:val="17"/>
          <w:rFonts w:ascii="仿宋" w:hAnsi="仿宋" w:eastAsia="仿宋"/>
          <w:b w:val="0"/>
          <w:bCs/>
          <w:sz w:val="32"/>
          <w:szCs w:val="32"/>
        </w:rPr>
        <w:t>%</w:t>
      </w:r>
      <w:r>
        <w:rPr>
          <w:rStyle w:val="17"/>
          <w:rFonts w:hint="eastAsia" w:ascii="仿宋" w:hAnsi="仿宋" w:eastAsia="仿宋"/>
          <w:b w:val="0"/>
          <w:bCs/>
          <w:sz w:val="32"/>
          <w:szCs w:val="32"/>
        </w:rPr>
        <w:t>，决算</w:t>
      </w:r>
      <w:r>
        <w:rPr>
          <w:rStyle w:val="17"/>
          <w:rFonts w:hint="eastAsia" w:ascii="仿宋" w:hAnsi="仿宋" w:eastAsia="仿宋"/>
          <w:b w:val="0"/>
          <w:bCs/>
          <w:sz w:val="32"/>
          <w:szCs w:val="32"/>
          <w:lang w:eastAsia="zh-CN"/>
        </w:rPr>
        <w:t>数小</w:t>
      </w:r>
      <w:r>
        <w:rPr>
          <w:rStyle w:val="17"/>
          <w:rFonts w:hint="eastAsia" w:ascii="仿宋" w:hAnsi="仿宋" w:eastAsia="仿宋"/>
          <w:b w:val="0"/>
          <w:bCs/>
          <w:sz w:val="32"/>
          <w:szCs w:val="32"/>
        </w:rPr>
        <w:t>于预算数</w:t>
      </w:r>
      <w:r>
        <w:rPr>
          <w:rStyle w:val="17"/>
          <w:rFonts w:hint="eastAsia" w:ascii="仿宋" w:hAnsi="仿宋" w:eastAsia="仿宋"/>
          <w:b w:val="0"/>
          <w:bCs/>
          <w:sz w:val="32"/>
          <w:szCs w:val="32"/>
          <w:lang w:eastAsia="zh-CN"/>
        </w:rPr>
        <w:t>，主要原因人员调出</w:t>
      </w:r>
      <w:r>
        <w:rPr>
          <w:rStyle w:val="17"/>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7"/>
          <w:rFonts w:ascii="仿宋" w:hAnsi="仿宋" w:eastAsia="仿宋"/>
          <w:bCs/>
          <w:sz w:val="32"/>
          <w:szCs w:val="32"/>
        </w:rPr>
        <w:t>2.</w:t>
      </w:r>
      <w:r>
        <w:rPr>
          <w:rStyle w:val="17"/>
          <w:rFonts w:hint="eastAsia" w:ascii="仿宋" w:hAnsi="仿宋" w:eastAsia="仿宋"/>
          <w:bCs/>
          <w:sz w:val="32"/>
          <w:szCs w:val="32"/>
        </w:rPr>
        <w:t>教育</w:t>
      </w:r>
      <w:r>
        <w:rPr>
          <w:rStyle w:val="17"/>
          <w:rFonts w:ascii="仿宋" w:hAnsi="仿宋" w:eastAsia="仿宋"/>
          <w:bCs/>
          <w:sz w:val="32"/>
          <w:szCs w:val="32"/>
        </w:rPr>
        <w:t>:</w:t>
      </w:r>
      <w:r>
        <w:rPr>
          <w:rStyle w:val="17"/>
          <w:rFonts w:hint="eastAsia" w:ascii="仿宋" w:hAnsi="仿宋" w:eastAsia="仿宋"/>
          <w:b w:val="0"/>
          <w:bCs/>
          <w:sz w:val="32"/>
          <w:szCs w:val="32"/>
          <w:lang w:eastAsia="zh-CN"/>
        </w:rPr>
        <w:t>无</w:t>
      </w:r>
      <w:r>
        <w:rPr>
          <w:rStyle w:val="17"/>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7"/>
          <w:rFonts w:ascii="仿宋" w:hAnsi="仿宋" w:eastAsia="仿宋"/>
          <w:bCs/>
          <w:sz w:val="32"/>
          <w:szCs w:val="32"/>
        </w:rPr>
        <w:t>3.</w:t>
      </w:r>
      <w:r>
        <w:rPr>
          <w:rStyle w:val="17"/>
          <w:rFonts w:hint="eastAsia" w:ascii="仿宋" w:hAnsi="仿宋" w:eastAsia="仿宋"/>
          <w:bCs/>
          <w:sz w:val="32"/>
          <w:szCs w:val="32"/>
        </w:rPr>
        <w:t>科学技术</w:t>
      </w:r>
      <w:r>
        <w:rPr>
          <w:rStyle w:val="17"/>
          <w:rFonts w:ascii="仿宋" w:hAnsi="仿宋" w:eastAsia="仿宋"/>
          <w:bCs/>
          <w:sz w:val="32"/>
          <w:szCs w:val="32"/>
        </w:rPr>
        <w:t>:</w:t>
      </w:r>
      <w:r>
        <w:rPr>
          <w:rStyle w:val="17"/>
          <w:rFonts w:hint="eastAsia" w:ascii="仿宋" w:hAnsi="仿宋" w:eastAsia="仿宋"/>
          <w:b w:val="0"/>
          <w:bCs/>
          <w:sz w:val="32"/>
          <w:szCs w:val="32"/>
          <w:lang w:eastAsia="zh-CN"/>
        </w:rPr>
        <w:t>无</w:t>
      </w:r>
      <w:r>
        <w:rPr>
          <w:rStyle w:val="17"/>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7"/>
          <w:rFonts w:ascii="仿宋" w:hAnsi="仿宋" w:eastAsia="仿宋"/>
          <w:bCs/>
          <w:sz w:val="32"/>
          <w:szCs w:val="32"/>
        </w:rPr>
        <w:t>4.</w:t>
      </w:r>
      <w:r>
        <w:rPr>
          <w:rStyle w:val="17"/>
          <w:rFonts w:hint="eastAsia" w:ascii="仿宋" w:hAnsi="仿宋" w:eastAsia="仿宋"/>
          <w:bCs/>
          <w:sz w:val="32"/>
          <w:szCs w:val="32"/>
        </w:rPr>
        <w:t>文化旅游体育与传媒</w:t>
      </w:r>
      <w:r>
        <w:rPr>
          <w:rStyle w:val="17"/>
          <w:rFonts w:ascii="仿宋" w:hAnsi="仿宋" w:eastAsia="仿宋"/>
          <w:bCs/>
          <w:sz w:val="32"/>
          <w:szCs w:val="32"/>
        </w:rPr>
        <w:t>:</w:t>
      </w:r>
      <w:r>
        <w:rPr>
          <w:rStyle w:val="17"/>
          <w:rFonts w:hint="eastAsia" w:ascii="仿宋" w:hAnsi="仿宋" w:eastAsia="仿宋"/>
          <w:bCs/>
          <w:sz w:val="32"/>
          <w:szCs w:val="32"/>
          <w:lang w:eastAsia="zh-CN"/>
        </w:rPr>
        <w:t>无</w:t>
      </w:r>
      <w:r>
        <w:rPr>
          <w:rStyle w:val="17"/>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Style w:val="17"/>
          <w:rFonts w:ascii="仿宋" w:hAnsi="仿宋" w:eastAsia="仿宋"/>
          <w:bCs/>
          <w:sz w:val="32"/>
          <w:szCs w:val="32"/>
        </w:rPr>
        <w:t>5.</w:t>
      </w:r>
      <w:r>
        <w:rPr>
          <w:rStyle w:val="17"/>
          <w:rFonts w:hint="eastAsia" w:ascii="仿宋" w:hAnsi="仿宋" w:eastAsia="仿宋"/>
          <w:bCs/>
          <w:sz w:val="32"/>
          <w:szCs w:val="32"/>
        </w:rPr>
        <w:t>社会保障和就业（</w:t>
      </w:r>
      <w:r>
        <w:rPr>
          <w:rStyle w:val="37"/>
          <w:rFonts w:hint="eastAsia" w:ascii="仿宋_GB2312" w:eastAsia="仿宋_GB2312" w:cs="仿宋_GB2312"/>
          <w:b w:val="0"/>
          <w:sz w:val="32"/>
          <w:szCs w:val="32"/>
          <w:shd w:val="clear" w:fill="FFFFFF"/>
        </w:rPr>
        <w:t>2080505</w:t>
      </w:r>
      <w:r>
        <w:rPr>
          <w:rStyle w:val="17"/>
          <w:rFonts w:hint="eastAsia" w:ascii="仿宋" w:hAnsi="仿宋" w:eastAsia="仿宋"/>
          <w:bCs/>
          <w:sz w:val="32"/>
          <w:szCs w:val="32"/>
        </w:rPr>
        <w:t>）</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27.67</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13</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eastAsia="zh-CN"/>
        </w:rPr>
        <w:t>小</w:t>
      </w:r>
      <w:r>
        <w:rPr>
          <w:rStyle w:val="17"/>
          <w:rFonts w:hint="eastAsia" w:ascii="仿宋" w:hAnsi="仿宋" w:eastAsia="仿宋"/>
          <w:b w:val="0"/>
          <w:bCs/>
          <w:sz w:val="32"/>
          <w:szCs w:val="32"/>
        </w:rPr>
        <w:t>于预算数</w:t>
      </w:r>
      <w:r>
        <w:rPr>
          <w:rStyle w:val="17"/>
          <w:rFonts w:hint="eastAsia" w:ascii="仿宋" w:hAnsi="仿宋" w:eastAsia="仿宋"/>
          <w:b w:val="0"/>
          <w:bCs/>
          <w:sz w:val="32"/>
          <w:szCs w:val="32"/>
          <w:lang w:eastAsia="zh-CN"/>
        </w:rPr>
        <w:t>，主要原因人员调出</w:t>
      </w:r>
      <w:r>
        <w:rPr>
          <w:rStyle w:val="17"/>
          <w:rFonts w:hint="eastAsia" w:ascii="仿宋" w:hAnsi="仿宋" w:eastAsia="仿宋"/>
          <w:b w:val="0"/>
          <w:bCs/>
          <w:sz w:val="32"/>
          <w:szCs w:val="32"/>
        </w:rPr>
        <w:t>。</w:t>
      </w:r>
    </w:p>
    <w:p>
      <w:pPr>
        <w:spacing w:line="600" w:lineRule="exact"/>
        <w:ind w:firstLine="643" w:firstLineChars="200"/>
        <w:rPr>
          <w:rStyle w:val="17"/>
          <w:rFonts w:hint="eastAsia" w:ascii="仿宋" w:hAnsi="仿宋" w:eastAsia="仿宋"/>
          <w:b w:val="0"/>
          <w:bCs/>
          <w:sz w:val="32"/>
          <w:szCs w:val="32"/>
        </w:rPr>
      </w:pPr>
      <w:r>
        <w:rPr>
          <w:rStyle w:val="17"/>
          <w:rFonts w:ascii="仿宋" w:hAnsi="仿宋" w:eastAsia="仿宋"/>
          <w:bCs/>
          <w:sz w:val="32"/>
          <w:szCs w:val="32"/>
        </w:rPr>
        <w:t>6.</w:t>
      </w:r>
      <w:r>
        <w:rPr>
          <w:rFonts w:hint="eastAsia" w:ascii="仿宋" w:hAnsi="仿宋" w:eastAsia="仿宋"/>
          <w:b/>
          <w:bCs/>
          <w:sz w:val="32"/>
          <w:szCs w:val="32"/>
        </w:rPr>
        <w:t>卫生健康</w:t>
      </w:r>
      <w:r>
        <w:rPr>
          <w:rStyle w:val="17"/>
          <w:rFonts w:hint="eastAsia" w:ascii="仿宋" w:hAnsi="仿宋" w:eastAsia="仿宋"/>
          <w:bCs/>
          <w:sz w:val="32"/>
          <w:szCs w:val="32"/>
        </w:rPr>
        <w:t>（2101101）</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11.52</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6</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eastAsia="zh-CN"/>
        </w:rPr>
        <w:t>小</w:t>
      </w:r>
      <w:r>
        <w:rPr>
          <w:rStyle w:val="17"/>
          <w:rFonts w:hint="eastAsia" w:ascii="仿宋" w:hAnsi="仿宋" w:eastAsia="仿宋"/>
          <w:b w:val="0"/>
          <w:bCs/>
          <w:sz w:val="32"/>
          <w:szCs w:val="32"/>
        </w:rPr>
        <w:t>于预算数</w:t>
      </w:r>
      <w:r>
        <w:rPr>
          <w:rStyle w:val="17"/>
          <w:rFonts w:hint="eastAsia" w:ascii="仿宋" w:hAnsi="仿宋" w:eastAsia="仿宋"/>
          <w:b w:val="0"/>
          <w:bCs/>
          <w:sz w:val="32"/>
          <w:szCs w:val="32"/>
          <w:lang w:eastAsia="zh-CN"/>
        </w:rPr>
        <w:t>，主要原因人员调出</w:t>
      </w:r>
      <w:r>
        <w:rPr>
          <w:rStyle w:val="17"/>
          <w:rFonts w:hint="eastAsia" w:ascii="仿宋" w:hAnsi="仿宋" w:eastAsia="仿宋"/>
          <w:b w:val="0"/>
          <w:bCs/>
          <w:sz w:val="32"/>
          <w:szCs w:val="32"/>
        </w:rPr>
        <w:t>。</w:t>
      </w:r>
    </w:p>
    <w:p>
      <w:pPr>
        <w:spacing w:line="600" w:lineRule="exact"/>
        <w:ind w:firstLine="643" w:firstLineChars="200"/>
        <w:rPr>
          <w:rStyle w:val="17"/>
          <w:rFonts w:hint="eastAsia" w:ascii="仿宋" w:hAnsi="仿宋" w:eastAsia="仿宋"/>
          <w:b w:val="0"/>
          <w:bCs/>
          <w:sz w:val="32"/>
          <w:szCs w:val="32"/>
        </w:rPr>
      </w:pPr>
      <w:r>
        <w:rPr>
          <w:rStyle w:val="17"/>
          <w:rFonts w:hint="eastAsia" w:ascii="仿宋" w:hAnsi="仿宋" w:eastAsia="仿宋"/>
          <w:bCs/>
          <w:sz w:val="32"/>
          <w:szCs w:val="32"/>
          <w:lang w:val="en-US" w:eastAsia="zh-CN"/>
        </w:rPr>
        <w:t>7</w:t>
      </w:r>
      <w:r>
        <w:rPr>
          <w:rStyle w:val="17"/>
          <w:rFonts w:ascii="仿宋" w:hAnsi="仿宋" w:eastAsia="仿宋"/>
          <w:bCs/>
          <w:sz w:val="32"/>
          <w:szCs w:val="32"/>
        </w:rPr>
        <w:t>.</w:t>
      </w:r>
      <w:r>
        <w:rPr>
          <w:rFonts w:hint="eastAsia" w:ascii="仿宋" w:hAnsi="仿宋" w:eastAsia="仿宋"/>
          <w:b/>
          <w:bCs/>
          <w:sz w:val="32"/>
          <w:szCs w:val="32"/>
          <w:lang w:eastAsia="zh-CN"/>
        </w:rPr>
        <w:t>住房保障类</w:t>
      </w:r>
      <w:r>
        <w:rPr>
          <w:rStyle w:val="17"/>
          <w:rFonts w:hint="eastAsia" w:ascii="仿宋" w:hAnsi="仿宋" w:eastAsia="仿宋"/>
          <w:bCs/>
          <w:sz w:val="32"/>
          <w:szCs w:val="32"/>
        </w:rPr>
        <w:t>（2210201）</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14.04</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5</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eastAsia="zh-CN"/>
        </w:rPr>
        <w:t>小</w:t>
      </w:r>
      <w:r>
        <w:rPr>
          <w:rStyle w:val="17"/>
          <w:rFonts w:hint="eastAsia" w:ascii="仿宋" w:hAnsi="仿宋" w:eastAsia="仿宋"/>
          <w:b w:val="0"/>
          <w:bCs/>
          <w:sz w:val="32"/>
          <w:szCs w:val="32"/>
        </w:rPr>
        <w:t>于预算数</w:t>
      </w:r>
      <w:r>
        <w:rPr>
          <w:rStyle w:val="17"/>
          <w:rFonts w:hint="eastAsia" w:ascii="仿宋" w:hAnsi="仿宋" w:eastAsia="仿宋"/>
          <w:b w:val="0"/>
          <w:bCs/>
          <w:sz w:val="32"/>
          <w:szCs w:val="32"/>
          <w:lang w:eastAsia="zh-CN"/>
        </w:rPr>
        <w:t>，主要原因人员调出</w:t>
      </w:r>
      <w:r>
        <w:rPr>
          <w:rStyle w:val="17"/>
          <w:rFonts w:hint="eastAsia" w:ascii="仿宋" w:hAnsi="仿宋" w:eastAsia="仿宋"/>
          <w:b w:val="0"/>
          <w:bCs/>
          <w:sz w:val="32"/>
          <w:szCs w:val="32"/>
        </w:rPr>
        <w:t>。</w:t>
      </w: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947"/>
        <w:gridCol w:w="1462"/>
        <w:gridCol w:w="1898"/>
        <w:gridCol w:w="1514"/>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947" w:type="dxa"/>
            <w:vMerge w:val="restart"/>
            <w:tcBorders>
              <w:top w:val="single" w:color="auto" w:sz="4" w:space="0"/>
              <w:left w:val="single" w:color="auto" w:sz="4" w:space="0"/>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类别</w:t>
            </w:r>
          </w:p>
        </w:tc>
        <w:tc>
          <w:tcPr>
            <w:tcW w:w="3360" w:type="dxa"/>
            <w:gridSpan w:val="2"/>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2023年（单位：万元）</w:t>
            </w:r>
          </w:p>
        </w:tc>
        <w:tc>
          <w:tcPr>
            <w:tcW w:w="1514" w:type="dxa"/>
            <w:vMerge w:val="restart"/>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差异情况</w:t>
            </w:r>
          </w:p>
        </w:tc>
        <w:tc>
          <w:tcPr>
            <w:tcW w:w="1701" w:type="dxa"/>
            <w:vMerge w:val="restart"/>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差异原因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7" w:type="dxa"/>
            <w:vMerge w:val="continue"/>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Times New Roman" w:hAnsi="Times New Roman" w:cs="Times New Roman"/>
                <w:sz w:val="20"/>
                <w:szCs w:val="20"/>
              </w:rPr>
            </w:pPr>
          </w:p>
        </w:tc>
        <w:tc>
          <w:tcPr>
            <w:tcW w:w="1462"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预算</w:t>
            </w:r>
          </w:p>
        </w:tc>
        <w:tc>
          <w:tcPr>
            <w:tcW w:w="1898"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决算</w:t>
            </w:r>
          </w:p>
        </w:tc>
        <w:tc>
          <w:tcPr>
            <w:tcW w:w="1514" w:type="dxa"/>
            <w:vMerge w:val="continue"/>
            <w:tcBorders>
              <w:top w:val="single" w:color="auto" w:sz="4" w:space="0"/>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Times New Roman" w:hAnsi="Times New Roman" w:cs="Times New Roman"/>
                <w:sz w:val="20"/>
                <w:szCs w:val="20"/>
              </w:rPr>
            </w:pPr>
          </w:p>
        </w:tc>
        <w:tc>
          <w:tcPr>
            <w:tcW w:w="1701" w:type="dxa"/>
            <w:vMerge w:val="continue"/>
            <w:tcBorders>
              <w:top w:val="single" w:color="auto" w:sz="4" w:space="0"/>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both"/>
              <w:rPr>
                <w:rFonts w:hint="default" w:ascii="Times New Roman" w:hAnsi="Times New Roman"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1947" w:type="dxa"/>
            <w:tcBorders>
              <w:top w:val="single" w:color="auto" w:sz="4" w:space="0"/>
              <w:left w:val="single" w:color="auto" w:sz="4" w:space="0"/>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一般公共服务</w:t>
            </w:r>
          </w:p>
        </w:tc>
        <w:tc>
          <w:tcPr>
            <w:tcW w:w="1462"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178.65</w:t>
            </w:r>
          </w:p>
        </w:tc>
        <w:tc>
          <w:tcPr>
            <w:tcW w:w="1898"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164.45</w:t>
            </w:r>
          </w:p>
        </w:tc>
        <w:tc>
          <w:tcPr>
            <w:tcW w:w="1514"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14.2</w:t>
            </w:r>
          </w:p>
        </w:tc>
        <w:tc>
          <w:tcPr>
            <w:tcW w:w="1701"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right="0" w:rightChars="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人员调出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7" w:type="dxa"/>
            <w:tcBorders>
              <w:top w:val="single" w:color="auto" w:sz="4" w:space="0"/>
              <w:left w:val="single" w:color="auto" w:sz="4" w:space="0"/>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社会保障和就业</w:t>
            </w:r>
          </w:p>
        </w:tc>
        <w:tc>
          <w:tcPr>
            <w:tcW w:w="1462"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29.84</w:t>
            </w:r>
          </w:p>
        </w:tc>
        <w:tc>
          <w:tcPr>
            <w:tcW w:w="1898"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27.67</w:t>
            </w:r>
          </w:p>
        </w:tc>
        <w:tc>
          <w:tcPr>
            <w:tcW w:w="1514"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2.17</w:t>
            </w:r>
          </w:p>
        </w:tc>
        <w:tc>
          <w:tcPr>
            <w:tcW w:w="1701"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right="0" w:rightChars="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人员调出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7" w:type="dxa"/>
            <w:tcBorders>
              <w:top w:val="single" w:color="auto" w:sz="4" w:space="0"/>
              <w:left w:val="single" w:color="auto" w:sz="4" w:space="0"/>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卫生健康</w:t>
            </w:r>
          </w:p>
        </w:tc>
        <w:tc>
          <w:tcPr>
            <w:tcW w:w="1462"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11.56</w:t>
            </w:r>
          </w:p>
        </w:tc>
        <w:tc>
          <w:tcPr>
            <w:tcW w:w="1898"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11.52</w:t>
            </w:r>
          </w:p>
        </w:tc>
        <w:tc>
          <w:tcPr>
            <w:tcW w:w="1514"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0.4</w:t>
            </w:r>
          </w:p>
        </w:tc>
        <w:tc>
          <w:tcPr>
            <w:tcW w:w="1701"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right="0" w:rightChars="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人员调出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7" w:type="dxa"/>
            <w:tcBorders>
              <w:top w:val="single" w:color="auto" w:sz="4" w:space="0"/>
              <w:left w:val="single" w:color="auto" w:sz="4" w:space="0"/>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住房保障</w:t>
            </w:r>
          </w:p>
        </w:tc>
        <w:tc>
          <w:tcPr>
            <w:tcW w:w="1462"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15.95</w:t>
            </w:r>
          </w:p>
        </w:tc>
        <w:tc>
          <w:tcPr>
            <w:tcW w:w="1898"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14.04</w:t>
            </w:r>
          </w:p>
        </w:tc>
        <w:tc>
          <w:tcPr>
            <w:tcW w:w="1514"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left="0" w:firstLine="640" w:firstLineChars="20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1.91</w:t>
            </w:r>
          </w:p>
        </w:tc>
        <w:tc>
          <w:tcPr>
            <w:tcW w:w="1701" w:type="dxa"/>
            <w:tcBorders>
              <w:top w:val="single" w:color="auto" w:sz="4" w:space="0"/>
              <w:left w:val="nil"/>
              <w:bottom w:val="single" w:color="auto" w:sz="4" w:space="0"/>
              <w:right w:val="single" w:color="auto" w:sz="4" w:space="0"/>
            </w:tcBorders>
            <w:shd w:val="clear" w:color="auto" w:fill="auto"/>
            <w:vAlign w:val="top"/>
          </w:tcPr>
          <w:p>
            <w:pPr>
              <w:pStyle w:val="35"/>
              <w:keepNext w:val="0"/>
              <w:keepLines w:val="0"/>
              <w:widowControl/>
              <w:suppressLineNumbers w:val="0"/>
              <w:autoSpaceDE w:val="0"/>
              <w:autoSpaceDN/>
              <w:spacing w:before="0" w:beforeAutospacing="0" w:line="560" w:lineRule="exact"/>
              <w:ind w:right="0" w:rightChars="0"/>
              <w:jc w:val="left"/>
              <w:rPr>
                <w:rFonts w:hint="eastAsia" w:ascii="楷体_GB2312" w:hAnsi="宋体" w:eastAsia="楷体_GB2312" w:cs="楷体_GB2312"/>
                <w:kern w:val="0"/>
                <w:sz w:val="32"/>
                <w:szCs w:val="32"/>
                <w:shd w:val="clear" w:fill="FFFFFF"/>
              </w:rPr>
            </w:pPr>
            <w:r>
              <w:rPr>
                <w:rFonts w:hint="eastAsia" w:ascii="楷体_GB2312" w:hAnsi="宋体" w:eastAsia="楷体_GB2312" w:cs="楷体_GB2312"/>
                <w:kern w:val="0"/>
                <w:sz w:val="32"/>
                <w:szCs w:val="32"/>
                <w:shd w:val="clear" w:fill="FFFFFF"/>
              </w:rPr>
              <w:t>人员调出</w:t>
            </w:r>
          </w:p>
        </w:tc>
      </w:tr>
    </w:tbl>
    <w:p>
      <w:pPr>
        <w:pStyle w:val="2"/>
        <w:rPr>
          <w:rFonts w:hint="eastAsia" w:eastAsia="楷体_GB2312"/>
          <w:lang w:eastAsia="zh-CN"/>
        </w:rPr>
      </w:pPr>
      <w:r>
        <w:rPr>
          <w:rFonts w:hint="eastAsia" w:ascii="楷体_GB2312" w:hAnsi="宋体" w:eastAsia="楷体_GB2312" w:cs="楷体_GB2312"/>
          <w:kern w:val="0"/>
          <w:sz w:val="32"/>
          <w:szCs w:val="32"/>
          <w:shd w:val="clear" w:fill="FFFFFF"/>
        </w:rPr>
        <w:t>差异原因分析。差异较大的主要原因为基本支出中的行政运行2010301，其中基本工资、津贴补贴、奖金等减少，减少的主要原因为事业人员调</w:t>
      </w:r>
      <w:r>
        <w:rPr>
          <w:rFonts w:hint="eastAsia" w:ascii="楷体_GB2312" w:hAnsi="宋体" w:eastAsia="楷体_GB2312" w:cs="楷体_GB2312"/>
          <w:kern w:val="0"/>
          <w:sz w:val="32"/>
          <w:szCs w:val="32"/>
          <w:shd w:val="clear" w:fill="FFFFFF"/>
          <w:lang w:eastAsia="zh-CN"/>
        </w:rPr>
        <w:t>。</w:t>
      </w:r>
    </w:p>
    <w:p>
      <w:pPr>
        <w:tabs>
          <w:tab w:val="right" w:pos="8306"/>
        </w:tabs>
        <w:spacing w:line="600" w:lineRule="exact"/>
        <w:ind w:firstLine="640"/>
        <w:outlineLvl w:val="1"/>
        <w:rPr>
          <w:rStyle w:val="29"/>
        </w:rPr>
      </w:pPr>
      <w:bookmarkStart w:id="34" w:name="_Toc15377214"/>
      <w:bookmarkStart w:id="35"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34"/>
      <w:bookmarkEnd w:id="35"/>
      <w:r>
        <w:rPr>
          <w:rStyle w:val="29"/>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215.5</w:t>
      </w:r>
      <w:r>
        <w:rPr>
          <w:rFonts w:hint="eastAsia"/>
          <w:sz w:val="32"/>
          <w:szCs w:val="32"/>
          <w:lang w:val="en-US" w:eastAsia="zh-CN"/>
        </w:rPr>
        <w:t>2</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194.15</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lang w:val="en-US" w:eastAsia="zh-CN"/>
        </w:rPr>
        <w:t xml:space="preserve">    </w:t>
      </w:r>
      <w:r>
        <w:rPr>
          <w:rFonts w:hint="eastAsia" w:ascii="仿宋" w:hAnsi="仿宋" w:eastAsia="仿宋"/>
          <w:sz w:val="32"/>
          <w:szCs w:val="32"/>
        </w:rPr>
        <w:t>公用经费</w:t>
      </w:r>
      <w:r>
        <w:rPr>
          <w:sz w:val="32"/>
          <w:szCs w:val="32"/>
        </w:rPr>
        <w:t>21.36</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36" w:name="_Toc15396609"/>
      <w:bookmarkStart w:id="37" w:name="_Toc15377215"/>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6"/>
      <w:bookmarkEnd w:id="37"/>
    </w:p>
    <w:p>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0.18</w:t>
      </w:r>
      <w:r>
        <w:rPr>
          <w:rFonts w:hint="eastAsia" w:ascii="仿宋" w:hAnsi="仿宋" w:eastAsia="仿宋"/>
          <w:sz w:val="32"/>
          <w:szCs w:val="32"/>
        </w:rPr>
        <w:t>万元，完成预算</w:t>
      </w:r>
      <w:r>
        <w:rPr>
          <w:sz w:val="32"/>
          <w:szCs w:val="32"/>
        </w:rPr>
        <w:t>34.44</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0.09</w:t>
      </w:r>
      <w:r>
        <w:rPr>
          <w:rFonts w:hint="eastAsia" w:ascii="仿宋" w:hAnsi="仿宋" w:eastAsia="仿宋"/>
          <w:sz w:val="32"/>
          <w:szCs w:val="32"/>
        </w:rPr>
        <w:t>万元，</w:t>
      </w:r>
      <w:r>
        <w:rPr>
          <w:rFonts w:hint="eastAsia" w:ascii="仿宋" w:hAnsi="仿宋" w:eastAsia="仿宋"/>
          <w:color w:val="auto"/>
          <w:sz w:val="32"/>
          <w:szCs w:val="32"/>
        </w:rPr>
        <w:t>下降</w:t>
      </w:r>
      <w:r>
        <w:rPr>
          <w:rFonts w:hint="eastAsia" w:ascii="仿宋" w:hAnsi="仿宋" w:eastAsia="仿宋"/>
          <w:color w:val="auto"/>
          <w:sz w:val="32"/>
          <w:szCs w:val="32"/>
          <w:lang w:val="en-US" w:eastAsia="zh-CN"/>
        </w:rPr>
        <w:t>33.33</w:t>
      </w:r>
      <w:r>
        <w:rPr>
          <w:rFonts w:hint="eastAsia" w:ascii="仿宋" w:hAnsi="仿宋" w:eastAsia="仿宋"/>
          <w:color w:val="auto"/>
          <w:sz w:val="32"/>
          <w:szCs w:val="32"/>
        </w:rPr>
        <w:t>%。</w:t>
      </w:r>
      <w:r>
        <w:rPr>
          <w:rFonts w:hint="eastAsia" w:ascii="仿宋" w:hAnsi="仿宋" w:eastAsia="仿宋"/>
          <w:sz w:val="32"/>
          <w:szCs w:val="32"/>
        </w:rPr>
        <w:t>决算数小于预算数的主要原</w:t>
      </w:r>
      <w:r>
        <w:rPr>
          <w:rFonts w:hint="eastAsia" w:ascii="仿宋" w:hAnsi="仿宋" w:eastAsia="仿宋"/>
          <w:sz w:val="32"/>
          <w:szCs w:val="32"/>
          <w:lang w:val="en-US" w:eastAsia="zh-CN"/>
        </w:rPr>
        <w:t>因是厉行勤俭节约。</w:t>
      </w:r>
    </w:p>
    <w:p>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0.18</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。具体情况如下：</w:t>
      </w:r>
    </w:p>
    <w:p>
      <w:pPr>
        <w:pStyle w:val="2"/>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0.18</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sz w:val="32"/>
          <w:szCs w:val="32"/>
        </w:rPr>
        <w:t>100%</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公务接待费支出决算比2022年度减少</w:t>
      </w:r>
      <w:r>
        <w:rPr>
          <w:rFonts w:hint="eastAsia" w:ascii="仿宋_GB2312" w:eastAsia="仿宋_GB2312"/>
          <w:sz w:val="32"/>
          <w:szCs w:val="32"/>
          <w:lang w:val="en-US" w:eastAsia="zh-CN"/>
        </w:rPr>
        <w:t>0.09</w:t>
      </w:r>
      <w:r>
        <w:rPr>
          <w:rFonts w:hint="eastAsia" w:ascii="仿宋_GB2312" w:eastAsia="仿宋_GB2312"/>
          <w:sz w:val="32"/>
          <w:szCs w:val="32"/>
        </w:rPr>
        <w:t>万元，</w:t>
      </w:r>
      <w:r>
        <w:rPr>
          <w:rFonts w:hint="eastAsia" w:ascii="仿宋_GB2312" w:eastAsia="仿宋_GB2312"/>
          <w:color w:val="auto"/>
          <w:sz w:val="32"/>
          <w:szCs w:val="32"/>
        </w:rPr>
        <w:t>下降</w:t>
      </w: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sz w:val="32"/>
          <w:szCs w:val="32"/>
        </w:rPr>
        <w:t>主要原因是</w:t>
      </w:r>
      <w:r>
        <w:rPr>
          <w:rFonts w:hint="eastAsia" w:ascii="仿宋" w:hAnsi="仿宋" w:eastAsia="仿宋"/>
          <w:sz w:val="32"/>
          <w:szCs w:val="32"/>
          <w:lang w:val="en-US" w:eastAsia="zh-CN"/>
        </w:rPr>
        <w:t>厉行勤俭节约。</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0.18</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5</w:t>
      </w:r>
      <w:r>
        <w:rPr>
          <w:rFonts w:hint="eastAsia" w:ascii="仿宋_GB2312" w:eastAsia="仿宋_GB2312"/>
          <w:sz w:val="32"/>
          <w:szCs w:val="32"/>
        </w:rPr>
        <w:t>批次，</w:t>
      </w:r>
      <w:r>
        <w:rPr>
          <w:rFonts w:hint="eastAsia" w:ascii="仿宋_GB2312" w:eastAsia="仿宋_GB2312"/>
          <w:sz w:val="32"/>
          <w:szCs w:val="32"/>
          <w:lang w:val="en-US" w:eastAsia="zh-CN"/>
        </w:rPr>
        <w:t>16</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0.18</w:t>
      </w:r>
      <w:r>
        <w:rPr>
          <w:rFonts w:hint="eastAsia" w:ascii="仿宋_GB2312" w:eastAsia="仿宋_GB2312"/>
          <w:sz w:val="32"/>
          <w:szCs w:val="32"/>
        </w:rPr>
        <w:t>万元，具体内容包括：</w:t>
      </w:r>
      <w:r>
        <w:rPr>
          <w:rFonts w:hint="eastAsia" w:ascii="仿宋_GB2312" w:eastAsia="仿宋_GB2312"/>
          <w:sz w:val="32"/>
          <w:szCs w:val="32"/>
          <w:lang w:eastAsia="zh-CN"/>
        </w:rPr>
        <w:t>上级部门督导检查、调研等工作。</w:t>
      </w:r>
    </w:p>
    <w:p>
      <w:pPr>
        <w:spacing w:line="600" w:lineRule="exact"/>
        <w:ind w:firstLine="643" w:firstLineChars="200"/>
        <w:rPr>
          <w:rFonts w:hint="eastAsia" w:ascii="仿宋_GB2312" w:eastAsia="仿宋_GB2312"/>
          <w:sz w:val="32"/>
          <w:szCs w:val="32"/>
          <w:lang w:eastAsia="zh-CN"/>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0"/>
        <w:outlineLvl w:val="1"/>
        <w:rPr>
          <w:rStyle w:val="29"/>
          <w:rFonts w:ascii="黑体" w:hAnsi="黑体" w:eastAsia="黑体"/>
        </w:rPr>
      </w:pPr>
      <w:bookmarkStart w:id="40" w:name="_Toc15396610"/>
      <w:bookmarkStart w:id="41" w:name="_Toc15377218"/>
      <w:r>
        <w:rPr>
          <w:rFonts w:hint="eastAsia" w:ascii="黑体" w:eastAsia="黑体"/>
          <w:sz w:val="32"/>
          <w:szCs w:val="32"/>
        </w:rPr>
        <w:t>八、</w:t>
      </w:r>
      <w:r>
        <w:rPr>
          <w:rStyle w:val="29"/>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p>
    <w:p>
      <w:pPr>
        <w:numPr>
          <w:ilvl w:val="0"/>
          <w:numId w:val="3"/>
        </w:numPr>
        <w:spacing w:line="600" w:lineRule="exact"/>
        <w:ind w:firstLine="640"/>
        <w:outlineLvl w:val="1"/>
        <w:rPr>
          <w:rStyle w:val="29"/>
          <w:rFonts w:ascii="黑体" w:hAnsi="黑体" w:eastAsia="黑体"/>
          <w:b w:val="0"/>
        </w:rPr>
      </w:pPr>
      <w:bookmarkStart w:id="42" w:name="_Toc15377219"/>
      <w:bookmarkStart w:id="43" w:name="_Toc15396611"/>
      <w:r>
        <w:rPr>
          <w:rStyle w:val="29"/>
          <w:rFonts w:hint="eastAsia" w:ascii="黑体" w:hAnsi="黑体" w:eastAsia="黑体"/>
          <w:b w:val="0"/>
        </w:rPr>
        <w:t>国有资本经营预算支出决算情况说明</w:t>
      </w:r>
      <w:bookmarkEnd w:id="42"/>
      <w:bookmarkEnd w:id="43"/>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p>
    <w:p>
      <w:pPr>
        <w:numPr>
          <w:ilvl w:val="0"/>
          <w:numId w:val="3"/>
        </w:numPr>
        <w:spacing w:line="600" w:lineRule="exact"/>
        <w:ind w:firstLine="640"/>
        <w:outlineLvl w:val="1"/>
        <w:rPr>
          <w:rStyle w:val="29"/>
          <w:rFonts w:ascii="黑体" w:hAnsi="黑体" w:eastAsia="黑体"/>
          <w:b w:val="0"/>
        </w:rPr>
      </w:pPr>
      <w:bookmarkStart w:id="44" w:name="_Toc15377221"/>
      <w:bookmarkStart w:id="45" w:name="_Toc15396612"/>
      <w:r>
        <w:rPr>
          <w:rStyle w:val="29"/>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红原县信访局</w:t>
      </w:r>
      <w:r>
        <w:rPr>
          <w:rFonts w:hint="eastAsia" w:ascii="仿宋_GB2312" w:eastAsia="仿宋_GB2312"/>
          <w:sz w:val="32"/>
          <w:szCs w:val="32"/>
        </w:rPr>
        <w:t>机关运行经费支出</w:t>
      </w:r>
      <w:r>
        <w:rPr>
          <w:sz w:val="32"/>
          <w:szCs w:val="32"/>
        </w:rPr>
        <w:t>10.76</w:t>
      </w:r>
      <w:r>
        <w:rPr>
          <w:rFonts w:hint="eastAsia" w:ascii="仿宋_GB2312" w:eastAsia="仿宋_GB2312"/>
          <w:sz w:val="32"/>
          <w:szCs w:val="32"/>
        </w:rPr>
        <w:t>万元，比2022年度增加</w:t>
      </w:r>
      <w:r>
        <w:rPr>
          <w:rFonts w:hint="eastAsia" w:ascii="仿宋_GB2312" w:eastAsia="仿宋_GB2312"/>
          <w:sz w:val="32"/>
          <w:szCs w:val="32"/>
          <w:lang w:val="en-US" w:eastAsia="zh-CN"/>
        </w:rPr>
        <w:t>0.40</w:t>
      </w:r>
      <w:r>
        <w:rPr>
          <w:rFonts w:hint="eastAsia" w:ascii="仿宋_GB2312" w:eastAsia="仿宋_GB2312"/>
          <w:sz w:val="32"/>
          <w:szCs w:val="32"/>
        </w:rPr>
        <w:t>万元，增长</w:t>
      </w:r>
      <w:r>
        <w:rPr>
          <w:rFonts w:hint="eastAsia" w:ascii="仿宋_GB2312" w:eastAsia="仿宋_GB2312"/>
          <w:sz w:val="32"/>
          <w:szCs w:val="32"/>
          <w:lang w:val="en-US" w:eastAsia="zh-CN"/>
        </w:rPr>
        <w:t>3.7</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办公运转费增加</w:t>
      </w:r>
      <w:r>
        <w:rPr>
          <w:rFonts w:hint="eastAsia" w:ascii="仿宋_GB2312" w:eastAsia="仿宋_GB2312"/>
          <w:color w:val="auto"/>
          <w:sz w:val="32"/>
          <w:szCs w:val="32"/>
        </w:rPr>
        <w:t>。</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红原县信访局</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红原县信访局</w:t>
      </w:r>
      <w:r>
        <w:rPr>
          <w:rFonts w:hint="eastAsia" w:ascii="仿宋_GB2312" w:eastAsia="仿宋_GB2312"/>
          <w:sz w:val="32"/>
          <w:szCs w:val="32"/>
        </w:rPr>
        <w:t>共有车辆</w:t>
      </w:r>
      <w:r>
        <w:rPr>
          <w:rFonts w:ascii="仿宋_GB2312" w:eastAsia="仿宋_GB2312"/>
          <w:sz w:val="32"/>
          <w:szCs w:val="32"/>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kern w:val="0"/>
          <w:sz w:val="32"/>
          <w:szCs w:val="32"/>
        </w:rPr>
        <w:t>202</w:t>
      </w:r>
      <w:r>
        <w:rPr>
          <w:rFonts w:hint="eastAsia" w:ascii="楷体_GB2312" w:hAnsi="楷体_GB2312" w:eastAsia="楷体_GB2312" w:cs="楷体_GB2312"/>
          <w:b/>
          <w:bCs/>
          <w:kern w:val="0"/>
          <w:sz w:val="32"/>
          <w:szCs w:val="32"/>
          <w:lang w:val="en-US" w:eastAsia="zh-CN"/>
        </w:rPr>
        <w:t>3</w:t>
      </w:r>
      <w:r>
        <w:rPr>
          <w:rFonts w:hint="eastAsia" w:ascii="楷体_GB2312" w:hAnsi="楷体_GB2312" w:eastAsia="楷体_GB2312" w:cs="楷体_GB2312"/>
          <w:b/>
          <w:bCs/>
          <w:kern w:val="0"/>
          <w:sz w:val="32"/>
          <w:szCs w:val="32"/>
        </w:rPr>
        <w:t>年完成的主要目标任务</w:t>
      </w:r>
      <w:r>
        <w:rPr>
          <w:rFonts w:hint="eastAsia" w:ascii="楷体_GB2312" w:hAnsi="楷体_GB2312" w:eastAsia="楷体_GB2312" w:cs="楷体_GB2312"/>
          <w:b/>
          <w:bCs/>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76" w:lineRule="exact"/>
        <w:ind w:firstLine="640" w:firstLineChars="200"/>
        <w:contextualSpacing/>
        <w:jc w:val="left"/>
        <w:textAlignment w:val="auto"/>
        <w:outlineLvl w:val="9"/>
        <w:rPr>
          <w:rFonts w:hint="eastAsia" w:ascii="仿宋_GB2312" w:hAnsi="仿宋" w:eastAsia="仿宋_GB2312" w:cs="仿宋_GB2312"/>
          <w:kern w:val="2"/>
          <w:sz w:val="32"/>
          <w:szCs w:val="32"/>
        </w:rPr>
      </w:pPr>
      <w:r>
        <w:rPr>
          <w:rFonts w:hint="eastAsia" w:ascii="仿宋_GB2312" w:hAnsi="宋体" w:eastAsia="仿宋_GB2312" w:cs="仿宋_GB2312"/>
          <w:kern w:val="2"/>
          <w:sz w:val="32"/>
          <w:szCs w:val="32"/>
        </w:rPr>
        <w:t>2023年，全县信访工作认真学习贯彻</w:t>
      </w:r>
      <w:r>
        <w:rPr>
          <w:rFonts w:hint="eastAsia" w:ascii="仿宋_GB2312" w:hAnsi="宋体" w:eastAsia="仿宋_GB2312" w:cs="仿宋_GB2312"/>
          <w:spacing w:val="0"/>
          <w:kern w:val="0"/>
          <w:sz w:val="32"/>
          <w:szCs w:val="32"/>
        </w:rPr>
        <w:t>习近平总书记关于加强和改进人民信访工作的重要思想，继承发扬新时代“枫桥经验”，认真践行“四下基层”工作方法，</w:t>
      </w:r>
      <w:r>
        <w:rPr>
          <w:rFonts w:hint="eastAsia" w:ascii="仿宋_GB2312" w:hAnsi="宋体" w:eastAsia="仿宋_GB2312" w:cs="仿宋_GB2312"/>
          <w:kern w:val="2"/>
          <w:sz w:val="32"/>
          <w:szCs w:val="32"/>
        </w:rPr>
        <w:t>守住了不发生进京到省非访、不发生信访恶性事件、不发生信访群体性事件、不发生因工作不当引起的负面炒作“四个不发生”的底线。</w:t>
      </w:r>
      <w:r>
        <w:rPr>
          <w:rFonts w:hint="eastAsia" w:ascii="楷体_GB2312" w:hAnsi="宋体" w:eastAsia="楷体_GB2312" w:cs="楷体_GB2312"/>
          <w:b/>
          <w:kern w:val="0"/>
          <w:sz w:val="32"/>
          <w:szCs w:val="32"/>
        </w:rPr>
        <w:t>一是认真做好信访案件办理工作。</w:t>
      </w:r>
      <w:r>
        <w:rPr>
          <w:rFonts w:hint="eastAsia" w:ascii="仿宋_GB2312" w:hAnsi="宋体" w:eastAsia="仿宋_GB2312" w:cs="仿宋_GB2312"/>
          <w:kern w:val="2"/>
          <w:sz w:val="32"/>
          <w:szCs w:val="32"/>
        </w:rPr>
        <w:t>全年共受理群众来信来访126件，办结126件。信访案件及时受理率、按期办结率为100%。参评群众对责任部门满意率为91.67%，高于全州89.23%的水平。</w:t>
      </w:r>
      <w:r>
        <w:rPr>
          <w:rFonts w:hint="eastAsia" w:ascii="楷体_GB2312" w:hAnsi="宋体" w:eastAsia="楷体_GB2312" w:cs="楷体_GB2312"/>
          <w:b/>
          <w:kern w:val="0"/>
          <w:sz w:val="32"/>
          <w:szCs w:val="32"/>
        </w:rPr>
        <w:t>二是认真做好隐患排解工作。</w:t>
      </w:r>
      <w:r>
        <w:rPr>
          <w:rFonts w:hint="eastAsia" w:ascii="仿宋_GB2312" w:hAnsi="宋体" w:eastAsia="仿宋_GB2312" w:cs="仿宋_GB2312"/>
          <w:kern w:val="2"/>
          <w:sz w:val="32"/>
          <w:szCs w:val="32"/>
        </w:rPr>
        <w:t>印发《集中开展信访矛盾纠纷排查化解工作的通知》《信访矛盾大起底大排查大化解工作方案》，依托“两联一进”“四下基层”等活动，常态开展信访隐患排查化解工作。共排查出45件，化解45件。</w:t>
      </w:r>
      <w:r>
        <w:rPr>
          <w:rFonts w:hint="eastAsia" w:ascii="楷体_GB2312" w:hAnsi="宋体" w:eastAsia="楷体_GB2312" w:cs="楷体_GB2312"/>
          <w:b/>
          <w:kern w:val="0"/>
          <w:sz w:val="32"/>
          <w:szCs w:val="32"/>
        </w:rPr>
        <w:t>三是认真做好疑难攻坚。</w:t>
      </w:r>
      <w:r>
        <w:rPr>
          <w:rFonts w:hint="eastAsia" w:ascii="仿宋_GB2312" w:hAnsi="宋体" w:eastAsia="仿宋_GB2312" w:cs="仿宋_GB2312"/>
          <w:kern w:val="2"/>
          <w:sz w:val="32"/>
          <w:szCs w:val="32"/>
        </w:rPr>
        <w:t>按期圆满办结中央信</w:t>
      </w:r>
      <w:r>
        <w:rPr>
          <w:rFonts w:hint="eastAsia" w:ascii="仿宋_GB2312" w:hAnsi="宋体" w:eastAsia="仿宋_GB2312" w:cs="仿宋_GB2312"/>
          <w:kern w:val="0"/>
          <w:sz w:val="32"/>
          <w:szCs w:val="32"/>
        </w:rPr>
        <w:t>访工作联席会议办公室交办我县的第三批“治重化积”信访案件3件，省信访联席会议办公室交办的信访案件1件。县信访联席会议办公室与县法院、县人社局通力合作，为原红原岷江运业23名员工讨回工资100余万元。</w:t>
      </w:r>
      <w:r>
        <w:rPr>
          <w:rFonts w:hint="eastAsia" w:ascii="楷体_GB2312" w:hAnsi="宋体" w:eastAsia="楷体_GB2312" w:cs="楷体_GB2312"/>
          <w:b/>
          <w:kern w:val="0"/>
          <w:sz w:val="32"/>
          <w:szCs w:val="32"/>
        </w:rPr>
        <w:t>四是认真做好人员管控工作。</w:t>
      </w:r>
      <w:r>
        <w:rPr>
          <w:rFonts w:hint="eastAsia" w:ascii="仿宋_GB2312" w:hAnsi="宋体" w:eastAsia="仿宋_GB2312" w:cs="仿宋_GB2312"/>
          <w:kern w:val="2"/>
          <w:sz w:val="32"/>
          <w:szCs w:val="32"/>
        </w:rPr>
        <w:t>县信联办按照“属地管理、分级负责，谁主管、谁负责”原则，针对我县信访重点人员、群体向有关乡镇、部门“点对点”发放管控函、提示单129份，压实管控责任，确保不滋事扰序、吸附在当地。</w:t>
      </w:r>
      <w:r>
        <w:rPr>
          <w:rFonts w:hint="eastAsia" w:ascii="楷体_GB2312" w:hAnsi="宋体" w:eastAsia="楷体_GB2312" w:cs="楷体_GB2312"/>
          <w:b/>
          <w:kern w:val="0"/>
          <w:sz w:val="32"/>
          <w:szCs w:val="32"/>
        </w:rPr>
        <w:t>五是</w:t>
      </w:r>
      <w:r>
        <w:rPr>
          <w:rFonts w:hint="eastAsia" w:ascii="楷体_GB2312" w:hAnsi="宋体" w:eastAsia="楷体_GB2312" w:cs="楷体_GB2312"/>
          <w:b/>
          <w:kern w:val="2"/>
          <w:sz w:val="32"/>
          <w:szCs w:val="32"/>
        </w:rPr>
        <w:t>认真做好宣传宣讲。</w:t>
      </w:r>
      <w:r>
        <w:rPr>
          <w:rFonts w:hint="eastAsia" w:ascii="仿宋_GB2312" w:hAnsi="宋体" w:eastAsia="仿宋_GB2312" w:cs="仿宋_GB2312"/>
          <w:kern w:val="2"/>
          <w:sz w:val="32"/>
          <w:szCs w:val="32"/>
        </w:rPr>
        <w:t>采取在红军广场集中宣传，组织小分队深入建筑工地定点宣传等方式，开展《信访工作条例》宣传活动。同时，将《信访工作条例》宣传宣讲融入到案件办理全过程。发放各类宣传资料900余份，为群众提供咨询服务50余人次。</w:t>
      </w:r>
      <w:r>
        <w:rPr>
          <w:rFonts w:hint="eastAsia" w:ascii="楷体_GB2312" w:hAnsi="宋体" w:eastAsia="楷体_GB2312" w:cs="楷体_GB2312"/>
          <w:b/>
          <w:kern w:val="0"/>
          <w:sz w:val="32"/>
          <w:szCs w:val="32"/>
        </w:rPr>
        <w:t>六是认真做好信访保障工作。</w:t>
      </w:r>
      <w:r>
        <w:rPr>
          <w:rFonts w:hint="eastAsia" w:ascii="仿宋_GB2312" w:hAnsi="宋体" w:eastAsia="仿宋_GB2312" w:cs="仿宋_GB2312"/>
          <w:kern w:val="2"/>
          <w:sz w:val="32"/>
          <w:szCs w:val="32"/>
        </w:rPr>
        <w:t>圆满完成全国、省州县“两会”、成都大运会、建州70周年庆祝及雅克音乐季系列活动等重要节会期间的信访安全保障工作任务。</w:t>
      </w:r>
      <w:r>
        <w:rPr>
          <w:rFonts w:hint="eastAsia" w:ascii="仿宋_GB2312" w:hAnsi="仿宋" w:eastAsia="仿宋_GB2312" w:cs="仿宋_GB2312"/>
          <w:kern w:val="2"/>
          <w:sz w:val="32"/>
          <w:szCs w:val="32"/>
        </w:rPr>
        <w:t>根据我局年初工作规划和重点性工作，较好的完成了年度工作目标。</w:t>
      </w:r>
    </w:p>
    <w:p>
      <w:pPr>
        <w:pStyle w:val="2"/>
        <w:keepNext w:val="0"/>
        <w:keepLines w:val="0"/>
        <w:pageBreakBefore w:val="0"/>
        <w:widowControl w:val="0"/>
        <w:numPr>
          <w:ilvl w:val="0"/>
          <w:numId w:val="0"/>
        </w:numPr>
        <w:suppressLineNumbers w:val="0"/>
        <w:kinsoku/>
        <w:wordWrap/>
        <w:overflowPunct/>
        <w:topLinePunct w:val="0"/>
        <w:autoSpaceDE w:val="0"/>
        <w:autoSpaceDN/>
        <w:bidi w:val="0"/>
        <w:spacing w:after="0" w:afterAutospacing="0" w:line="576" w:lineRule="exact"/>
        <w:ind w:firstLine="643" w:firstLineChars="200"/>
        <w:textAlignment w:val="auto"/>
        <w:rPr>
          <w:rFonts w:hint="eastAsia" w:ascii="仿宋_GB2312" w:hAnsi="仿宋" w:eastAsia="仿宋_GB2312" w:cs="宋体"/>
          <w:kern w:val="2"/>
          <w:sz w:val="32"/>
          <w:szCs w:val="32"/>
        </w:rPr>
      </w:pPr>
      <w:r>
        <w:rPr>
          <w:rFonts w:hint="eastAsia" w:ascii="楷体_GB2312" w:hAnsi="楷体_GB2312" w:eastAsia="楷体_GB2312" w:cs="楷体_GB2312"/>
          <w:b/>
          <w:bCs/>
          <w:color w:val="000000"/>
          <w:kern w:val="0"/>
          <w:sz w:val="32"/>
          <w:szCs w:val="32"/>
          <w:highlight w:val="none"/>
          <w:shd w:val="clear" w:color="auto" w:fill="FFFFFF"/>
          <w:lang w:val="en-US" w:eastAsia="zh-CN"/>
        </w:rPr>
        <w:t>2.</w:t>
      </w:r>
      <w:r>
        <w:rPr>
          <w:rFonts w:hint="eastAsia" w:ascii="楷体_GB2312" w:hAnsi="楷体_GB2312" w:eastAsia="楷体_GB2312" w:cs="楷体_GB2312"/>
          <w:b/>
          <w:bCs/>
          <w:color w:val="000000"/>
          <w:kern w:val="0"/>
          <w:sz w:val="32"/>
          <w:szCs w:val="32"/>
          <w:highlight w:val="none"/>
          <w:shd w:val="clear" w:color="auto" w:fill="FFFFFF"/>
          <w:lang w:val="zh-CN"/>
        </w:rPr>
        <w:t>预算管理。</w:t>
      </w:r>
      <w:r>
        <w:rPr>
          <w:rFonts w:hint="eastAsia" w:ascii="仿宋_GB2312" w:hAnsi="仿宋" w:eastAsia="仿宋_GB2312" w:cs="仿宋_GB2312"/>
          <w:kern w:val="2"/>
          <w:sz w:val="32"/>
          <w:szCs w:val="32"/>
        </w:rPr>
        <w:t>红原</w:t>
      </w:r>
      <w:r>
        <w:rPr>
          <w:rFonts w:hint="eastAsia" w:hAnsi="仿宋" w:cs="仿宋_GB2312"/>
          <w:kern w:val="2"/>
          <w:sz w:val="32"/>
          <w:szCs w:val="32"/>
          <w:lang w:eastAsia="zh-CN"/>
        </w:rPr>
        <w:t>县</w:t>
      </w:r>
      <w:r>
        <w:rPr>
          <w:rFonts w:hint="eastAsia" w:ascii="仿宋_GB2312" w:hAnsi="仿宋" w:eastAsia="仿宋_GB2312" w:cs="仿宋_GB2312"/>
          <w:kern w:val="2"/>
          <w:sz w:val="32"/>
          <w:szCs w:val="32"/>
        </w:rPr>
        <w:t>信访局</w:t>
      </w:r>
      <w:r>
        <w:rPr>
          <w:rFonts w:hint="eastAsia" w:ascii="仿宋_GB2312" w:hAnsi="仿宋" w:eastAsia="仿宋_GB2312" w:cs="宋体"/>
          <w:kern w:val="2"/>
          <w:sz w:val="32"/>
          <w:szCs w:val="32"/>
        </w:rPr>
        <w:t>2023年总支出217.68元，主要用于保障该部门机构正常运转、完成日常工作任务以及相关工作。支出217.68万元，支出按照基本支出215.52万元，项目支出2.16万元。人员经费194.15万元，公用经费21.36万元。其中：基本工资35.1万元，津贴补贴50.87万元、奖金45.52万元，养老保险18.45万元，职业年金9.22万元，职工医保9.81万元，医保补助1.72万元，住房公积金14.04万元，其他社会保障缴费1.75万元，办公费10.03万元，工会经费1.41万元，差旅费9.59万元，公务用车运维费0万元，取暖费：0.16万元，公务接待费：0.18万元。</w:t>
      </w:r>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3" w:firstLineChars="200"/>
        <w:contextualSpacing/>
        <w:jc w:val="left"/>
        <w:textAlignment w:val="auto"/>
        <w:outlineLvl w:val="9"/>
        <w:rPr>
          <w:rFonts w:hint="eastAsia" w:ascii="仿宋_GB2312" w:hAnsi="仿宋" w:eastAsia="仿宋_GB2312" w:cs="宋体"/>
          <w:kern w:val="2"/>
          <w:sz w:val="32"/>
          <w:szCs w:val="32"/>
        </w:rPr>
      </w:pPr>
      <w:r>
        <w:rPr>
          <w:rFonts w:hint="eastAsia" w:ascii="楷体_GB2312" w:hAnsi="楷体_GB2312" w:eastAsia="楷体_GB2312" w:cs="楷体_GB2312"/>
          <w:b/>
          <w:bCs/>
          <w:color w:val="000000"/>
          <w:kern w:val="0"/>
          <w:sz w:val="32"/>
          <w:szCs w:val="32"/>
          <w:highlight w:val="none"/>
          <w:shd w:val="clear" w:color="auto" w:fill="FFFFFF"/>
          <w:lang w:val="en-US" w:eastAsia="zh-CN"/>
        </w:rPr>
        <w:t>3.</w:t>
      </w:r>
      <w:r>
        <w:rPr>
          <w:rFonts w:hint="eastAsia" w:ascii="楷体_GB2312" w:hAnsi="楷体_GB2312" w:eastAsia="楷体_GB2312" w:cs="楷体_GB2312"/>
          <w:b/>
          <w:bCs/>
          <w:color w:val="000000"/>
          <w:kern w:val="0"/>
          <w:sz w:val="32"/>
          <w:szCs w:val="32"/>
          <w:highlight w:val="none"/>
          <w:shd w:val="clear" w:color="auto" w:fill="FFFFFF"/>
          <w:lang w:val="zh-CN" w:eastAsia="zh-CN"/>
        </w:rPr>
        <w:t>重点领域</w:t>
      </w:r>
      <w:r>
        <w:rPr>
          <w:rFonts w:hint="eastAsia" w:ascii="楷体_GB2312" w:hAnsi="楷体_GB2312" w:eastAsia="楷体_GB2312" w:cs="楷体_GB2312"/>
          <w:b/>
          <w:bCs/>
          <w:color w:val="000000"/>
          <w:kern w:val="0"/>
          <w:sz w:val="32"/>
          <w:szCs w:val="32"/>
          <w:highlight w:val="none"/>
          <w:shd w:val="clear" w:color="auto" w:fill="FFFFFF"/>
          <w:lang w:val="zh-CN"/>
        </w:rPr>
        <w:t>绩效分析</w:t>
      </w:r>
      <w:r>
        <w:rPr>
          <w:rFonts w:hint="eastAsia" w:ascii="楷体_GB2312" w:hAnsi="楷体_GB2312" w:eastAsia="楷体_GB2312" w:cs="楷体_GB2312"/>
          <w:b/>
          <w:bCs/>
          <w:color w:val="000000"/>
          <w:kern w:val="0"/>
          <w:sz w:val="32"/>
          <w:szCs w:val="32"/>
          <w:highlight w:val="none"/>
          <w:shd w:val="clear" w:color="auto" w:fill="FFFFFF"/>
          <w:lang w:val="zh-CN" w:eastAsia="zh-CN"/>
        </w:rPr>
        <w:t>。</w:t>
      </w:r>
      <w:r>
        <w:rPr>
          <w:rFonts w:hint="eastAsia" w:ascii="仿宋" w:hAnsi="仿宋" w:eastAsia="仿宋" w:cs="Times New Roman"/>
          <w:b/>
          <w:bCs/>
          <w:color w:val="000000"/>
          <w:kern w:val="2"/>
          <w:sz w:val="32"/>
          <w:szCs w:val="32"/>
          <w:lang w:val="en-US" w:eastAsia="zh-CN" w:bidi="ar-SA"/>
        </w:rPr>
        <w:t>一是</w:t>
      </w:r>
      <w:r>
        <w:rPr>
          <w:rFonts w:hint="eastAsia" w:ascii="仿宋" w:hAnsi="仿宋" w:eastAsia="仿宋" w:cs="Times New Roman"/>
          <w:color w:val="000000"/>
          <w:kern w:val="2"/>
          <w:sz w:val="32"/>
          <w:szCs w:val="32"/>
          <w:lang w:val="en-US" w:eastAsia="zh-CN" w:bidi="ar-SA"/>
        </w:rPr>
        <w:t>年初召开全面工作安排部署会议，对党建、党风廉政建设、宣传思想等工作进行安排部署，细化责任分工、明确目标任务。</w:t>
      </w:r>
      <w:r>
        <w:rPr>
          <w:rFonts w:hint="eastAsia" w:ascii="仿宋" w:hAnsi="仿宋" w:eastAsia="仿宋" w:cs="Times New Roman"/>
          <w:b/>
          <w:bCs/>
          <w:color w:val="000000"/>
          <w:kern w:val="2"/>
          <w:sz w:val="32"/>
          <w:szCs w:val="32"/>
          <w:lang w:val="en-US" w:eastAsia="zh-CN" w:bidi="ar-SA"/>
        </w:rPr>
        <w:t>二是</w:t>
      </w:r>
      <w:r>
        <w:rPr>
          <w:rFonts w:hint="eastAsia" w:ascii="仿宋" w:hAnsi="仿宋" w:eastAsia="仿宋" w:cs="Times New Roman"/>
          <w:color w:val="000000"/>
          <w:kern w:val="2"/>
          <w:sz w:val="32"/>
          <w:szCs w:val="32"/>
          <w:lang w:val="en-US" w:eastAsia="zh-CN" w:bidi="ar-SA"/>
        </w:rPr>
        <w:t>召开党建、党风廉政建设专题会议2次，签订党风廉政责任书8份。</w:t>
      </w:r>
      <w:r>
        <w:rPr>
          <w:rFonts w:hint="eastAsia" w:ascii="楷体_GB2312" w:hAnsi="宋体" w:eastAsia="楷体_GB2312" w:cs="楷体_GB2312"/>
          <w:b/>
          <w:kern w:val="0"/>
          <w:sz w:val="32"/>
          <w:szCs w:val="32"/>
          <w:lang w:eastAsia="zh-CN"/>
        </w:rPr>
        <w:t>三</w:t>
      </w:r>
      <w:r>
        <w:rPr>
          <w:rFonts w:hint="eastAsia" w:ascii="楷体_GB2312" w:hAnsi="宋体" w:eastAsia="楷体_GB2312" w:cs="楷体_GB2312"/>
          <w:b/>
          <w:kern w:val="0"/>
          <w:sz w:val="32"/>
          <w:szCs w:val="32"/>
        </w:rPr>
        <w:t>是</w:t>
      </w:r>
      <w:r>
        <w:rPr>
          <w:rFonts w:hint="eastAsia" w:ascii="仿宋_GB2312" w:hAnsi="宋体" w:eastAsia="仿宋_GB2312" w:cs="仿宋_GB2312"/>
          <w:kern w:val="2"/>
          <w:sz w:val="32"/>
          <w:szCs w:val="32"/>
        </w:rPr>
        <w:t>全年共受理群众来信来访126件，办结126件。信访案件及时受理率、按期办结率为100%。参评群众对责任部门满意率为91.67%，高于全州89.23%的水平。</w:t>
      </w:r>
      <w:r>
        <w:rPr>
          <w:rFonts w:hint="eastAsia" w:ascii="楷体_GB2312" w:hAnsi="宋体" w:eastAsia="楷体_GB2312" w:cs="楷体_GB2312"/>
          <w:b/>
          <w:kern w:val="0"/>
          <w:sz w:val="32"/>
          <w:szCs w:val="32"/>
          <w:lang w:eastAsia="zh-CN"/>
        </w:rPr>
        <w:t>四</w:t>
      </w:r>
      <w:r>
        <w:rPr>
          <w:rFonts w:hint="eastAsia" w:ascii="楷体_GB2312" w:hAnsi="宋体" w:eastAsia="楷体_GB2312" w:cs="楷体_GB2312"/>
          <w:b/>
          <w:kern w:val="0"/>
          <w:sz w:val="32"/>
          <w:szCs w:val="32"/>
        </w:rPr>
        <w:t>是</w:t>
      </w:r>
      <w:r>
        <w:rPr>
          <w:rFonts w:hint="eastAsia" w:ascii="仿宋_GB2312" w:hAnsi="宋体" w:eastAsia="仿宋_GB2312" w:cs="仿宋_GB2312"/>
          <w:kern w:val="2"/>
          <w:sz w:val="32"/>
          <w:szCs w:val="32"/>
        </w:rPr>
        <w:t>印发《集中开展信访矛盾纠纷排查化解工作的通知》《信访矛盾大起底大排查大化解工作方案》，依托“两联一进”“四下基层”等活动，常态开展信访隐患排查化解工作。共排查出45件，化解45件。</w:t>
      </w:r>
      <w:r>
        <w:rPr>
          <w:rFonts w:hint="eastAsia" w:hAnsi="宋体" w:cs="仿宋_GB2312"/>
          <w:b/>
          <w:bCs/>
          <w:kern w:val="2"/>
          <w:sz w:val="32"/>
          <w:szCs w:val="32"/>
          <w:lang w:eastAsia="zh-CN"/>
        </w:rPr>
        <w:t>五</w:t>
      </w:r>
      <w:r>
        <w:rPr>
          <w:rFonts w:hint="eastAsia" w:ascii="楷体_GB2312" w:hAnsi="宋体" w:eastAsia="楷体_GB2312" w:cs="楷体_GB2312"/>
          <w:b/>
          <w:bCs/>
          <w:kern w:val="0"/>
          <w:sz w:val="32"/>
          <w:szCs w:val="32"/>
        </w:rPr>
        <w:t>是</w:t>
      </w:r>
      <w:r>
        <w:rPr>
          <w:rFonts w:hint="eastAsia" w:ascii="仿宋_GB2312" w:hAnsi="宋体" w:eastAsia="仿宋_GB2312" w:cs="仿宋_GB2312"/>
          <w:kern w:val="2"/>
          <w:sz w:val="32"/>
          <w:szCs w:val="32"/>
        </w:rPr>
        <w:t>按期圆满办结中央信</w:t>
      </w:r>
      <w:r>
        <w:rPr>
          <w:rFonts w:hint="eastAsia" w:ascii="仿宋_GB2312" w:hAnsi="宋体" w:eastAsia="仿宋_GB2312" w:cs="仿宋_GB2312"/>
          <w:kern w:val="0"/>
          <w:sz w:val="32"/>
          <w:szCs w:val="32"/>
        </w:rPr>
        <w:t>访工作联席会议办公室交办我县的第三批“治重化积”信访案件3件，省信访联席会议办公室交办的信访案件1件。县信访联席会议办公室与县法院、县人社局通力合作，为原红原岷江运业23名员工讨回工资100余万元。</w:t>
      </w:r>
      <w:r>
        <w:rPr>
          <w:rFonts w:hint="eastAsia" w:ascii="楷体_GB2312" w:hAnsi="宋体" w:eastAsia="楷体_GB2312" w:cs="楷体_GB2312"/>
          <w:b/>
          <w:kern w:val="0"/>
          <w:sz w:val="32"/>
          <w:szCs w:val="32"/>
        </w:rPr>
        <w:t>六是</w:t>
      </w:r>
      <w:r>
        <w:rPr>
          <w:rFonts w:hint="eastAsia" w:ascii="仿宋_GB2312" w:hAnsi="宋体" w:eastAsia="仿宋_GB2312" w:cs="仿宋_GB2312"/>
          <w:kern w:val="2"/>
          <w:sz w:val="32"/>
          <w:szCs w:val="32"/>
        </w:rPr>
        <w:t>圆满完成全国、省州县“两会”、成都大运会、建州70周年庆祝及雅克音乐季系列活动等重要节会期间的信访安全保障工作任务。</w:t>
      </w:r>
      <w:r>
        <w:rPr>
          <w:rFonts w:hint="eastAsia" w:ascii="仿宋_GB2312" w:hAnsi="仿宋" w:eastAsia="仿宋_GB2312" w:cs="仿宋_GB2312"/>
          <w:kern w:val="2"/>
          <w:sz w:val="32"/>
          <w:szCs w:val="32"/>
        </w:rPr>
        <w:t>根据我局年初工作规划和重点性工作，较好的完成了年度工作目标。</w:t>
      </w:r>
    </w:p>
    <w:p>
      <w:pPr>
        <w:pStyle w:val="35"/>
        <w:keepNext w:val="0"/>
        <w:keepLines w:val="0"/>
        <w:pageBreakBefore w:val="0"/>
        <w:widowControl/>
        <w:suppressLineNumbers w:val="0"/>
        <w:kinsoku/>
        <w:wordWrap/>
        <w:overflowPunct/>
        <w:topLinePunct w:val="0"/>
        <w:autoSpaceDE w:val="0"/>
        <w:autoSpaceDN/>
        <w:bidi w:val="0"/>
        <w:spacing w:before="0" w:beforeAutospacing="0" w:afterAutospacing="0" w:line="576" w:lineRule="exact"/>
        <w:ind w:left="0" w:firstLine="640" w:firstLineChars="200"/>
        <w:jc w:val="left"/>
        <w:textAlignment w:val="auto"/>
        <w:rPr>
          <w:rFonts w:hint="eastAsia" w:ascii="仿宋_GB2312" w:hAnsi="仿宋" w:eastAsia="仿宋_GB2312" w:cs="宋体"/>
          <w:color w:val="auto"/>
          <w:kern w:val="2"/>
          <w:sz w:val="32"/>
          <w:szCs w:val="32"/>
        </w:rPr>
      </w:pPr>
      <w:r>
        <w:rPr>
          <w:rFonts w:hint="eastAsia" w:ascii="仿宋_GB2312" w:hAnsi="仿宋" w:eastAsia="仿宋_GB2312" w:cs="仿宋_GB2312"/>
          <w:color w:val="auto"/>
          <w:kern w:val="2"/>
          <w:sz w:val="32"/>
          <w:szCs w:val="32"/>
        </w:rPr>
        <w:t>根据我局年初工作规划和重点性工作，较好的完成了年度工作目标。通过加强预算收支的管理，不断建立健全内部管理制度，理顺内部管理流程，部门整体支出管理情况得到了提升。</w:t>
      </w:r>
      <w:r>
        <w:rPr>
          <w:rFonts w:hint="eastAsia" w:ascii="仿宋_GB2312" w:hAnsi="仿宋" w:eastAsia="仿宋_GB2312" w:cs="仿宋_GB2312"/>
          <w:b/>
          <w:bCs/>
          <w:color w:val="auto"/>
          <w:kern w:val="2"/>
          <w:sz w:val="32"/>
          <w:szCs w:val="32"/>
        </w:rPr>
        <w:t>一是</w:t>
      </w:r>
      <w:r>
        <w:rPr>
          <w:rFonts w:hint="eastAsia" w:ascii="仿宋_GB2312" w:hAnsi="仿宋" w:eastAsia="仿宋_GB2312" w:cs="仿宋_GB2312"/>
          <w:color w:val="auto"/>
          <w:kern w:val="2"/>
          <w:sz w:val="32"/>
          <w:szCs w:val="32"/>
        </w:rPr>
        <w:t>本年预算安排控制较好，财政供养人员控制率</w:t>
      </w:r>
      <w:r>
        <w:rPr>
          <w:rFonts w:hint="eastAsia" w:ascii="仿宋_GB2312" w:hAnsi="仿宋" w:eastAsia="仿宋_GB2312" w:cs="宋体"/>
          <w:color w:val="auto"/>
          <w:kern w:val="2"/>
          <w:sz w:val="32"/>
          <w:szCs w:val="32"/>
        </w:rPr>
        <w:t>100%，控制在预算编制以内；</w:t>
      </w:r>
      <w:r>
        <w:rPr>
          <w:rFonts w:hint="eastAsia" w:ascii="仿宋_GB2312" w:hAnsi="仿宋" w:eastAsia="仿宋_GB2312" w:cs="宋体"/>
          <w:b/>
          <w:bCs/>
          <w:color w:val="auto"/>
          <w:kern w:val="2"/>
          <w:sz w:val="32"/>
          <w:szCs w:val="32"/>
        </w:rPr>
        <w:t>二是</w:t>
      </w:r>
      <w:r>
        <w:rPr>
          <w:rFonts w:hint="eastAsia" w:ascii="仿宋_GB2312" w:hAnsi="仿宋" w:eastAsia="仿宋_GB2312" w:cs="宋体"/>
          <w:color w:val="auto"/>
          <w:kern w:val="2"/>
          <w:sz w:val="32"/>
          <w:szCs w:val="32"/>
        </w:rPr>
        <w:t>预算执行方面，本年转移资金支付不存在截留或滞留专项资金情况。</w:t>
      </w:r>
    </w:p>
    <w:p>
      <w:pPr>
        <w:keepNext w:val="0"/>
        <w:keepLines w:val="0"/>
        <w:widowControl/>
        <w:suppressLineNumbers w:val="0"/>
        <w:autoSpaceDE w:val="0"/>
        <w:autoSpaceDN/>
        <w:spacing w:line="560" w:lineRule="exact"/>
        <w:ind w:left="0" w:firstLine="643" w:firstLineChars="200"/>
        <w:jc w:val="left"/>
        <w:rPr>
          <w:rFonts w:hint="eastAsia" w:ascii="楷体_GB2312" w:eastAsia="楷体_GB2312" w:cs="楷体_GB2312"/>
          <w:b/>
          <w:kern w:val="0"/>
          <w:sz w:val="32"/>
          <w:szCs w:val="32"/>
        </w:rPr>
      </w:pPr>
      <w:r>
        <w:rPr>
          <w:rFonts w:hint="eastAsia" w:ascii="楷体_GB2312" w:eastAsia="楷体_GB2312" w:cs="楷体_GB2312"/>
          <w:b/>
          <w:kern w:val="0"/>
          <w:sz w:val="32"/>
          <w:szCs w:val="32"/>
          <w:lang w:val="en-US" w:eastAsia="zh-CN"/>
        </w:rPr>
        <w:t>5.</w:t>
      </w:r>
      <w:r>
        <w:rPr>
          <w:rFonts w:hint="eastAsia" w:ascii="楷体_GB2312" w:eastAsia="楷体_GB2312" w:cs="楷体_GB2312"/>
          <w:b/>
          <w:kern w:val="0"/>
          <w:sz w:val="32"/>
          <w:szCs w:val="32"/>
        </w:rPr>
        <w:t>部门预算项目预算执行情况</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我局非基础建设项目为视频接访系统、网上信访事务3万元，无其他基础建设项目。</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专项转移支付项目预算执行情况</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无专项转移支付项目</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目标实现情况</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）部门整体目标完成情况</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基本情况：财政收入</w:t>
      </w:r>
      <w:r>
        <w:rPr>
          <w:rFonts w:hint="eastAsia" w:ascii="仿宋_GB2312" w:eastAsia="仿宋_GB2312" w:cs="仿宋_GB2312"/>
          <w:kern w:val="0"/>
          <w:sz w:val="32"/>
          <w:szCs w:val="32"/>
          <w:lang w:val="en-US" w:eastAsia="zh-CN"/>
        </w:rPr>
        <w:t>217.68</w:t>
      </w:r>
      <w:r>
        <w:rPr>
          <w:rFonts w:hint="eastAsia" w:ascii="仿宋_GB2312" w:eastAsia="仿宋_GB2312" w:cs="仿宋_GB2312"/>
          <w:kern w:val="0"/>
          <w:sz w:val="32"/>
          <w:szCs w:val="32"/>
        </w:rPr>
        <w:t>万元，完成预算100%。</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重点任务完成情况：</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a.信访工作“三率”目标任务完成100%；</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b.实现在重大敏感节点进京赴省到州到非接待场所上访人员“零”目标。</w:t>
      </w:r>
    </w:p>
    <w:p>
      <w:pPr>
        <w:pStyle w:val="35"/>
        <w:keepNext w:val="0"/>
        <w:keepLines w:val="0"/>
        <w:pageBreakBefore w:val="0"/>
        <w:widowControl/>
        <w:suppressLineNumbers w:val="0"/>
        <w:kinsoku/>
        <w:wordWrap/>
        <w:overflowPunct/>
        <w:topLinePunct w:val="0"/>
        <w:autoSpaceDE w:val="0"/>
        <w:autoSpaceDN/>
        <w:bidi w:val="0"/>
        <w:spacing w:before="0" w:beforeAutospacing="0" w:afterAutospacing="0" w:line="576" w:lineRule="exact"/>
        <w:ind w:left="0" w:firstLine="643" w:firstLineChars="200"/>
        <w:jc w:val="left"/>
        <w:textAlignment w:val="auto"/>
        <w:rPr>
          <w:rFonts w:hint="eastAsia" w:ascii="楷体_GB2312" w:hAnsi="楷体_GB2312" w:eastAsia="楷体_GB2312" w:cs="楷体_GB2312"/>
          <w:b/>
          <w:bCs/>
          <w:color w:val="000000"/>
          <w:kern w:val="0"/>
          <w:sz w:val="32"/>
          <w:szCs w:val="32"/>
          <w:highlight w:val="none"/>
          <w:shd w:val="clear" w:color="auto" w:fill="FFFFFF"/>
          <w:lang w:val="zh-CN" w:eastAsia="zh-CN" w:bidi="ar-SA"/>
        </w:rPr>
      </w:pPr>
      <w:r>
        <w:rPr>
          <w:rFonts w:hint="eastAsia" w:ascii="楷体_GB2312" w:hAnsi="楷体_GB2312" w:eastAsia="楷体_GB2312" w:cs="楷体_GB2312"/>
          <w:b/>
          <w:bCs/>
          <w:color w:val="000000"/>
          <w:kern w:val="0"/>
          <w:sz w:val="32"/>
          <w:szCs w:val="32"/>
          <w:highlight w:val="none"/>
          <w:shd w:val="clear" w:color="auto" w:fill="FFFFFF"/>
          <w:lang w:val="en-US" w:eastAsia="zh-CN" w:bidi="ar-SA"/>
        </w:rPr>
        <w:t>6.</w:t>
      </w:r>
      <w:r>
        <w:rPr>
          <w:rFonts w:hint="eastAsia" w:ascii="楷体_GB2312" w:hAnsi="楷体_GB2312" w:eastAsia="楷体_GB2312" w:cs="楷体_GB2312"/>
          <w:b/>
          <w:bCs/>
          <w:color w:val="000000"/>
          <w:kern w:val="0"/>
          <w:sz w:val="32"/>
          <w:szCs w:val="32"/>
          <w:highlight w:val="none"/>
          <w:shd w:val="clear" w:color="auto" w:fill="FFFFFF"/>
          <w:lang w:val="zh-CN" w:eastAsia="zh-CN" w:bidi="ar-SA"/>
        </w:rPr>
        <w:t>绩效结果应用情况。</w:t>
      </w:r>
    </w:p>
    <w:p>
      <w:pPr>
        <w:keepNext w:val="0"/>
        <w:keepLines w:val="0"/>
        <w:widowControl/>
        <w:suppressLineNumbers w:val="0"/>
        <w:autoSpaceDE w:val="0"/>
        <w:autoSpaceDN/>
        <w:spacing w:line="560" w:lineRule="exact"/>
        <w:ind w:left="0" w:firstLine="640" w:firstLineChars="200"/>
        <w:jc w:val="left"/>
        <w:rPr>
          <w:rFonts w:hint="eastAsia" w:ascii="仿宋_GB2312" w:eastAsia="仿宋_GB2312" w:cs="仿宋_GB2312"/>
          <w:color w:val="000000"/>
          <w:kern w:val="0"/>
          <w:sz w:val="32"/>
          <w:szCs w:val="32"/>
        </w:rPr>
      </w:pPr>
      <w:r>
        <w:rPr>
          <w:rFonts w:hint="eastAsia" w:ascii="仿宋_GB2312" w:eastAsia="仿宋_GB2312" w:cs="仿宋_GB2312"/>
          <w:kern w:val="0"/>
          <w:sz w:val="32"/>
          <w:szCs w:val="32"/>
        </w:rPr>
        <w:t>我局工作经费安排严格按照年初预算来执行，</w:t>
      </w:r>
      <w:r>
        <w:rPr>
          <w:rFonts w:hint="eastAsia" w:ascii="仿宋_GB2312" w:eastAsia="仿宋_GB2312" w:cs="仿宋_GB2312"/>
          <w:kern w:val="0"/>
          <w:sz w:val="32"/>
          <w:szCs w:val="32"/>
          <w:lang w:eastAsia="zh-CN"/>
        </w:rPr>
        <w:t>无</w:t>
      </w:r>
      <w:r>
        <w:rPr>
          <w:rFonts w:hint="eastAsia" w:ascii="仿宋_GB2312" w:eastAsia="仿宋_GB2312" w:cs="仿宋_GB2312"/>
          <w:kern w:val="0"/>
          <w:sz w:val="32"/>
          <w:szCs w:val="32"/>
        </w:rPr>
        <w:t>预算经费追加</w:t>
      </w:r>
      <w:r>
        <w:rPr>
          <w:rFonts w:hint="eastAsia" w:ascii="仿宋_GB2312" w:eastAsia="仿宋_GB2312" w:cs="仿宋_GB2312"/>
          <w:kern w:val="0"/>
          <w:sz w:val="32"/>
          <w:szCs w:val="32"/>
          <w:lang w:eastAsia="zh-CN"/>
        </w:rPr>
        <w:t>情况</w:t>
      </w:r>
      <w:r>
        <w:rPr>
          <w:rFonts w:hint="eastAsia" w:ascii="仿宋_GB2312" w:eastAsia="仿宋_GB2312" w:cs="仿宋_GB2312"/>
          <w:kern w:val="0"/>
          <w:sz w:val="32"/>
          <w:szCs w:val="32"/>
        </w:rPr>
        <w:t>，按照整体支出绩效评价指标体系打分，自评得分96.5分；认真学习财经法规，严格执行财经纪律，防止了违法违纪行为的发生。</w:t>
      </w:r>
    </w:p>
    <w:p>
      <w:pPr>
        <w:pStyle w:val="4"/>
        <w:ind w:firstLine="2209" w:firstLineChars="500"/>
        <w:jc w:val="both"/>
      </w:pPr>
      <w:r>
        <w:rPr>
          <w:rFonts w:hint="eastAsia"/>
        </w:rPr>
        <w:t>第三部分 名词解释</w:t>
      </w:r>
    </w:p>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9.2010301指一般公共服务支出。</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10.2010302指一般行政管理事务。</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11.2010308指信访事务。</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12.2010350指事业运行。</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13.2080505指机关事业单位基本养老保险。</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14.2080506指机关事业单位职业年金缴费。</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15.2101101指行政单位医疗。</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16.2101102指事业单位医疗。</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17.2101103指公务医疗补助。</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18.2101199指其他行政事业单位医疗支出。</w:t>
      </w:r>
    </w:p>
    <w:p>
      <w:pPr>
        <w:pStyle w:val="35"/>
        <w:keepNext w:val="0"/>
        <w:keepLines w:val="0"/>
        <w:widowControl/>
        <w:suppressLineNumbers w:val="0"/>
        <w:autoSpaceDE w:val="0"/>
        <w:autoSpaceDN/>
        <w:spacing w:before="0" w:beforeAutospacing="0" w:line="560" w:lineRule="exact"/>
        <w:ind w:left="0" w:firstLine="960" w:firstLineChars="3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19.2210201指住房公积金。</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420" w:firstLineChars="200"/>
      </w:pPr>
    </w:p>
    <w:p>
      <w:pPr>
        <w:ind w:firstLine="643" w:firstLineChars="200"/>
        <w:rPr>
          <w:rFonts w:ascii="仿宋" w:hAnsi="仿宋" w:eastAsia="仿宋"/>
          <w:b/>
          <w:sz w:val="32"/>
          <w:szCs w:val="32"/>
        </w:rPr>
      </w:pPr>
    </w:p>
    <w:p>
      <w:pPr>
        <w:ind w:firstLine="643" w:firstLineChars="200"/>
        <w:rPr>
          <w:rFonts w:ascii="仿宋" w:hAnsi="仿宋" w:eastAsia="仿宋"/>
          <w:b/>
          <w:sz w:val="32"/>
          <w:szCs w:val="32"/>
        </w:rPr>
      </w:pPr>
    </w:p>
    <w:p>
      <w:pPr>
        <w:ind w:firstLine="643" w:firstLineChars="200"/>
        <w:rPr>
          <w:rFonts w:ascii="仿宋" w:hAnsi="仿宋" w:eastAsia="仿宋"/>
          <w:b/>
          <w:sz w:val="32"/>
          <w:szCs w:val="32"/>
        </w:rPr>
      </w:pPr>
    </w:p>
    <w:p>
      <w:pPr>
        <w:ind w:firstLine="643" w:firstLineChars="200"/>
        <w:jc w:val="center"/>
        <w:rPr>
          <w:rFonts w:ascii="仿宋" w:hAnsi="仿宋" w:eastAsia="仿宋"/>
          <w:b/>
          <w:sz w:val="32"/>
          <w:szCs w:val="32"/>
        </w:rPr>
      </w:pPr>
      <w:r>
        <w:rPr>
          <w:rFonts w:ascii="仿宋" w:hAnsi="仿宋" w:eastAsia="仿宋"/>
          <w:b/>
          <w:sz w:val="32"/>
          <w:szCs w:val="32"/>
        </w:rPr>
        <w:br w:type="page"/>
      </w:r>
    </w:p>
    <w:p>
      <w:pPr>
        <w:pStyle w:val="4"/>
        <w:jc w:val="center"/>
        <w:rPr>
          <w:rFonts w:ascii="黑体" w:hAnsi="黑体" w:eastAsia="黑体"/>
          <w:b w:val="0"/>
        </w:rPr>
      </w:pPr>
      <w:r>
        <w:rPr>
          <w:rFonts w:hint="eastAsia" w:ascii="黑体" w:hAnsi="黑体" w:eastAsia="黑体"/>
          <w:b w:val="0"/>
        </w:rPr>
        <w:t>第四部分 附件</w:t>
      </w:r>
    </w:p>
    <w:p/>
    <w:p>
      <w:pPr>
        <w:rPr>
          <w:rFonts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ascii="黑体" w:hAnsi="黑体" w:eastAsia="黑体"/>
          <w:sz w:val="32"/>
          <w:szCs w:val="32"/>
        </w:rPr>
      </w:pPr>
      <w:r>
        <w:rPr>
          <w:rFonts w:hint="eastAsia" w:ascii="黑体" w:hAnsi="黑体" w:eastAsia="黑体"/>
          <w:sz w:val="32"/>
          <w:szCs w:val="32"/>
        </w:rPr>
        <w:t>一、部门基本情况</w:t>
      </w:r>
    </w:p>
    <w:p>
      <w:pPr>
        <w:ind w:firstLine="643" w:firstLineChars="200"/>
        <w:rPr>
          <w:rFonts w:hint="eastAsia" w:ascii="仿宋_GB2312" w:hAnsi="宋体" w:eastAsia="仿宋_GB2312" w:cs="仿宋_GB2312"/>
          <w:kern w:val="0"/>
          <w:sz w:val="32"/>
          <w:szCs w:val="32"/>
        </w:rPr>
      </w:pPr>
      <w:r>
        <w:rPr>
          <w:rFonts w:hint="eastAsia" w:ascii="楷体_GB2312" w:eastAsia="楷体_GB2312"/>
          <w:b/>
          <w:sz w:val="32"/>
          <w:szCs w:val="32"/>
        </w:rPr>
        <w:t>（一）机构组成。</w:t>
      </w:r>
      <w:r>
        <w:rPr>
          <w:rFonts w:hint="eastAsia" w:ascii="仿宋" w:hAnsi="仿宋" w:eastAsia="仿宋" w:cs="仿宋"/>
          <w:kern w:val="0"/>
          <w:sz w:val="32"/>
          <w:szCs w:val="32"/>
        </w:rPr>
        <w:t>我单位为独立核算全额拨行政单位，</w:t>
      </w:r>
      <w:r>
        <w:rPr>
          <w:rFonts w:hint="eastAsia" w:ascii="仿宋_GB2312" w:hAnsi="宋体" w:eastAsia="仿宋_GB2312" w:cs="仿宋_GB2312"/>
          <w:kern w:val="0"/>
          <w:sz w:val="32"/>
          <w:szCs w:val="32"/>
        </w:rPr>
        <w:t>内设机构为综合办公室、督查督办股，内设事业单位1个，为红原县信访接待中心。</w:t>
      </w:r>
    </w:p>
    <w:p>
      <w:pPr>
        <w:ind w:firstLine="643" w:firstLineChars="200"/>
        <w:rPr>
          <w:rFonts w:ascii="楷体_GB2312" w:eastAsia="楷体_GB2312"/>
          <w:b/>
          <w:sz w:val="32"/>
          <w:szCs w:val="32"/>
        </w:rPr>
      </w:pPr>
      <w:r>
        <w:rPr>
          <w:rFonts w:hint="eastAsia" w:ascii="楷体_GB2312" w:eastAsia="楷体_GB2312"/>
          <w:b/>
          <w:sz w:val="32"/>
          <w:szCs w:val="32"/>
        </w:rPr>
        <w:t>（二）机构职能。</w:t>
      </w:r>
      <w:r>
        <w:rPr>
          <w:rFonts w:hint="eastAsia" w:ascii="仿宋_GB2312" w:hAnsi="仿宋_GB2312" w:eastAsia="仿宋_GB2312" w:cs="仿宋_GB2312"/>
          <w:sz w:val="32"/>
          <w:szCs w:val="32"/>
        </w:rPr>
        <w:t>信访局负责贯彻落实党中央关于信访工作的方针政策和县委、县政府决策部署，在履行职责过程中坚持和加强党对信访工作的集中统一领导。</w:t>
      </w:r>
      <w:r>
        <w:rPr>
          <w:rFonts w:hint="eastAsia" w:ascii="仿宋_GB2312" w:hAnsi="仿宋_GB2312" w:eastAsia="仿宋_GB2312" w:cs="仿宋_GB2312"/>
          <w:b/>
          <w:bCs/>
          <w:sz w:val="32"/>
          <w:szCs w:val="32"/>
        </w:rPr>
        <w:t>主要职责是:</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制定信访问题排查化解、风险评估等制度并组织实施，提出改进和加强信访工作的意见和建议。负责本部门依法行政工作。</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sz w:val="32"/>
          <w:szCs w:val="32"/>
        </w:rPr>
        <w:t>负责向县委、县政府反映来信来电来访中提出的重要建议、意见和问题，综合研判信访信息，开展调查研究，提出相关建议。</w:t>
      </w:r>
      <w:r>
        <w:rPr>
          <w:rFonts w:hint="eastAsia" w:ascii="仿宋_GB2312" w:hAnsi="仿宋_GB2312" w:eastAsia="仿宋_GB2312" w:cs="仿宋_GB2312"/>
          <w:b/>
          <w:bCs/>
          <w:sz w:val="32"/>
          <w:szCs w:val="32"/>
          <w:lang w:eastAsia="zh-CN"/>
        </w:rPr>
        <w:t>三是</w:t>
      </w:r>
      <w:r>
        <w:rPr>
          <w:rFonts w:hint="eastAsia" w:ascii="仿宋_GB2312" w:hAnsi="仿宋_GB2312" w:eastAsia="仿宋_GB2312" w:cs="仿宋_GB2312"/>
          <w:sz w:val="32"/>
          <w:szCs w:val="32"/>
        </w:rPr>
        <w:t>综合协调指导全县信访工作，推动建立健全信访工作的协调配合机制。督促检查县级各部门和各乡镇信访工作，总结推广信访工作先进经验，协调信访工作宣传和信息发布。</w:t>
      </w:r>
      <w:r>
        <w:rPr>
          <w:rFonts w:hint="eastAsia" w:ascii="仿宋_GB2312" w:hAnsi="仿宋_GB2312" w:eastAsia="仿宋_GB2312" w:cs="仿宋_GB2312"/>
          <w:b/>
          <w:bCs/>
          <w:sz w:val="32"/>
          <w:szCs w:val="32"/>
          <w:lang w:eastAsia="zh-CN"/>
        </w:rPr>
        <w:t>四是</w:t>
      </w:r>
      <w:r>
        <w:rPr>
          <w:rFonts w:hint="eastAsia" w:ascii="仿宋_GB2312" w:hAnsi="仿宋_GB2312" w:eastAsia="仿宋_GB2312" w:cs="仿宋_GB2312"/>
          <w:sz w:val="32"/>
          <w:szCs w:val="32"/>
        </w:rPr>
        <w:t>负责处理县内外群众、法人及其他组织通过信访渠道给县委、县政府及领导同志的来信来电，接待来访。</w:t>
      </w:r>
      <w:r>
        <w:rPr>
          <w:rFonts w:hint="eastAsia" w:ascii="仿宋_GB2312" w:hAnsi="仿宋_GB2312" w:eastAsia="仿宋_GB2312" w:cs="仿宋_GB2312"/>
          <w:b/>
          <w:bCs/>
          <w:sz w:val="32"/>
          <w:szCs w:val="32"/>
          <w:lang w:eastAsia="zh-CN"/>
        </w:rPr>
        <w:t>五是</w:t>
      </w:r>
      <w:r>
        <w:rPr>
          <w:rFonts w:hint="eastAsia" w:ascii="仿宋_GB2312" w:hAnsi="仿宋_GB2312" w:eastAsia="仿宋_GB2312" w:cs="仿宋_GB2312"/>
          <w:sz w:val="32"/>
          <w:szCs w:val="32"/>
        </w:rPr>
        <w:t>承担协调处理群众进京到省到州集体上访和非正常上访的责任，综合协调处理跨地区、跨部门的重要信访问题。</w:t>
      </w:r>
      <w:r>
        <w:rPr>
          <w:rFonts w:hint="eastAsia" w:ascii="仿宋_GB2312" w:hAnsi="仿宋_GB2312" w:eastAsia="仿宋_GB2312" w:cs="仿宋_GB2312"/>
          <w:b/>
          <w:bCs/>
          <w:sz w:val="32"/>
          <w:szCs w:val="32"/>
          <w:lang w:eastAsia="zh-CN"/>
        </w:rPr>
        <w:t>六是</w:t>
      </w:r>
      <w:r>
        <w:rPr>
          <w:rFonts w:hint="eastAsia" w:ascii="仿宋_GB2312" w:hAnsi="仿宋_GB2312" w:eastAsia="仿宋_GB2312" w:cs="仿宋_GB2312"/>
          <w:sz w:val="32"/>
          <w:szCs w:val="32"/>
        </w:rPr>
        <w:t>负责落实国家、省、州、县领导批示交办信访事项，向县级各部门和各乡镇转办、交办信访事项，督促检查重要信访事项的处理和落实。</w:t>
      </w:r>
      <w:r>
        <w:rPr>
          <w:rFonts w:hint="eastAsia" w:ascii="仿宋_GB2312" w:hAnsi="仿宋_GB2312" w:eastAsia="仿宋_GB2312" w:cs="仿宋_GB2312"/>
          <w:b/>
          <w:bCs/>
          <w:sz w:val="32"/>
          <w:szCs w:val="32"/>
          <w:lang w:eastAsia="zh-CN"/>
        </w:rPr>
        <w:t>七是</w:t>
      </w:r>
      <w:r>
        <w:rPr>
          <w:rFonts w:hint="eastAsia" w:ascii="仿宋_GB2312" w:hAnsi="仿宋_GB2312" w:eastAsia="仿宋_GB2312" w:cs="仿宋_GB2312"/>
          <w:sz w:val="32"/>
          <w:szCs w:val="32"/>
        </w:rPr>
        <w:t>加强对信访问题排查化解和社情民意汇集分析，重点开展法律法规政策宣传和思想教育疏导，将信访工作的重心由事后处理转移到事前排查化解，增强信访工作的预见性和针对性。</w:t>
      </w:r>
      <w:r>
        <w:rPr>
          <w:rFonts w:hint="eastAsia" w:ascii="仿宋_GB2312" w:hAnsi="仿宋_GB2312" w:eastAsia="仿宋_GB2312" w:cs="仿宋_GB2312"/>
          <w:b/>
          <w:bCs/>
          <w:sz w:val="32"/>
          <w:szCs w:val="32"/>
          <w:lang w:eastAsia="zh-CN"/>
        </w:rPr>
        <w:t>八是</w:t>
      </w:r>
      <w:r>
        <w:rPr>
          <w:rFonts w:hint="eastAsia" w:ascii="仿宋_GB2312" w:hAnsi="仿宋_GB2312" w:eastAsia="仿宋_GB2312" w:cs="仿宋_GB2312"/>
          <w:sz w:val="32"/>
          <w:szCs w:val="32"/>
        </w:rPr>
        <w:t>加强对重大信访事项的督查督办，完善信访诉求表达方式，进一步畅通信访渠道，确保信访工作决策部署得到贯彻落实，推动群众信访问题得到妥善解决。</w:t>
      </w:r>
      <w:r>
        <w:rPr>
          <w:rFonts w:hint="eastAsia" w:ascii="仿宋_GB2312" w:hAnsi="仿宋_GB2312" w:eastAsia="仿宋_GB2312" w:cs="仿宋_GB2312"/>
          <w:b/>
          <w:bCs/>
          <w:sz w:val="32"/>
          <w:szCs w:val="32"/>
          <w:lang w:eastAsia="zh-CN"/>
        </w:rPr>
        <w:t>九是</w:t>
      </w:r>
      <w:r>
        <w:rPr>
          <w:rFonts w:hint="eastAsia" w:ascii="仿宋_GB2312" w:hAnsi="仿宋_GB2312" w:eastAsia="仿宋_GB2312" w:cs="仿宋_GB2312"/>
          <w:sz w:val="32"/>
          <w:szCs w:val="32"/>
        </w:rPr>
        <w:t>建立和完善信访信息汇集分析机制，指导信访信息系统建设和应用。</w:t>
      </w:r>
      <w:r>
        <w:rPr>
          <w:rFonts w:hint="eastAsia" w:ascii="仿宋_GB2312" w:hAnsi="仿宋_GB2312" w:eastAsia="仿宋_GB2312" w:cs="仿宋_GB2312"/>
          <w:b/>
          <w:bCs/>
          <w:sz w:val="32"/>
          <w:szCs w:val="32"/>
          <w:lang w:eastAsia="zh-CN"/>
        </w:rPr>
        <w:t>十是</w:t>
      </w:r>
      <w:r>
        <w:rPr>
          <w:rFonts w:hint="eastAsia" w:ascii="仿宋_GB2312" w:hAnsi="仿宋_GB2312" w:eastAsia="仿宋_GB2312" w:cs="仿宋_GB2312"/>
          <w:sz w:val="32"/>
          <w:szCs w:val="32"/>
        </w:rPr>
        <w:t>开展网上信访工作，探索“互联网+信访”新模式，推动信访信息化建设。</w:t>
      </w:r>
      <w:r>
        <w:rPr>
          <w:rFonts w:hint="eastAsia" w:ascii="仿宋_GB2312" w:hAnsi="仿宋_GB2312" w:eastAsia="仿宋_GB2312" w:cs="仿宋_GB2312"/>
          <w:b/>
          <w:bCs/>
          <w:sz w:val="32"/>
          <w:szCs w:val="32"/>
        </w:rPr>
        <w:t>十一</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sz w:val="32"/>
          <w:szCs w:val="32"/>
        </w:rPr>
        <w:t>承担县信访工作联席会议、县政府信访事项复查复核委员会日常工作，督促落实有关事项。</w:t>
      </w:r>
      <w:r>
        <w:rPr>
          <w:rFonts w:hint="eastAsia" w:ascii="仿宋_GB2312" w:hAnsi="仿宋_GB2312" w:eastAsia="仿宋_GB2312" w:cs="仿宋_GB2312"/>
          <w:b/>
          <w:bCs/>
          <w:sz w:val="32"/>
          <w:szCs w:val="32"/>
        </w:rPr>
        <w:t>十二</w:t>
      </w:r>
      <w:r>
        <w:rPr>
          <w:rFonts w:hint="eastAsia" w:ascii="仿宋_GB2312" w:hAnsi="仿宋_GB2312" w:eastAsia="仿宋_GB2312" w:cs="仿宋_GB2312"/>
          <w:b/>
          <w:bCs/>
          <w:sz w:val="32"/>
          <w:szCs w:val="32"/>
          <w:lang w:eastAsia="zh-CN"/>
        </w:rPr>
        <w:t>是</w:t>
      </w:r>
      <w:r>
        <w:rPr>
          <w:rFonts w:hint="eastAsia" w:ascii="仿宋_GB2312" w:hAnsi="仿宋_GB2312" w:eastAsia="仿宋_GB2312" w:cs="仿宋_GB2312"/>
          <w:sz w:val="32"/>
          <w:szCs w:val="32"/>
        </w:rPr>
        <w:t>承办县委、县政府交办的其他任务。</w:t>
      </w:r>
      <w:r>
        <w:rPr>
          <w:rFonts w:hint="eastAsia" w:ascii="楷体_GB2312" w:hAnsi="宋体" w:eastAsia="楷体_GB2312" w:cs="楷体_GB2312"/>
          <w:kern w:val="0"/>
          <w:sz w:val="32"/>
          <w:szCs w:val="32"/>
          <w:shd w:val="clear" w:fill="FFFFFF"/>
        </w:rPr>
        <w:t>县局内信访内设机构为综合办公室、督查督办股，内设事业单位1个，为红原县信访接待中心，今年无变动。</w:t>
      </w:r>
    </w:p>
    <w:p>
      <w:pPr>
        <w:ind w:firstLine="643" w:firstLineChars="200"/>
        <w:rPr>
          <w:rFonts w:ascii="仿宋_GB2312" w:eastAsia="仿宋_GB2312"/>
          <w:sz w:val="32"/>
          <w:szCs w:val="32"/>
        </w:rPr>
      </w:pPr>
      <w:r>
        <w:rPr>
          <w:rFonts w:hint="eastAsia" w:ascii="楷体_GB2312" w:eastAsia="楷体_GB2312"/>
          <w:b/>
          <w:sz w:val="32"/>
          <w:szCs w:val="32"/>
        </w:rPr>
        <w:t>（三）人员概况。</w:t>
      </w:r>
      <w:r>
        <w:rPr>
          <w:rFonts w:hint="eastAsia" w:ascii="仿宋_GB2312" w:eastAsia="仿宋_GB2312"/>
          <w:sz w:val="32"/>
          <w:szCs w:val="32"/>
        </w:rPr>
        <w:t>截至2023年末，</w:t>
      </w:r>
      <w:r>
        <w:rPr>
          <w:rFonts w:hint="eastAsia" w:ascii="仿宋_GB2312" w:hAnsi="宋体" w:eastAsia="仿宋_GB2312" w:cs="仿宋_GB2312"/>
          <w:color w:val="000000"/>
          <w:kern w:val="0"/>
          <w:sz w:val="32"/>
          <w:szCs w:val="32"/>
          <w:shd w:val="clear" w:fill="FFFFFF"/>
        </w:rPr>
        <w:t>县信访局行政编制</w:t>
      </w:r>
      <w:r>
        <w:rPr>
          <w:rFonts w:hint="eastAsia" w:ascii="仿宋_GB2312" w:hAnsi="宋体" w:eastAsia="宋体" w:cs="宋体"/>
          <w:color w:val="000000"/>
          <w:kern w:val="0"/>
          <w:sz w:val="32"/>
          <w:szCs w:val="32"/>
          <w:shd w:val="clear" w:fill="FFFFFF"/>
        </w:rPr>
        <w:t>4</w:t>
      </w:r>
      <w:r>
        <w:rPr>
          <w:rFonts w:hint="eastAsia" w:ascii="仿宋_GB2312" w:hAnsi="宋体" w:eastAsia="仿宋_GB2312" w:cs="仿宋_GB2312"/>
          <w:color w:val="000000"/>
          <w:kern w:val="0"/>
          <w:sz w:val="32"/>
          <w:szCs w:val="32"/>
          <w:shd w:val="clear" w:fill="FFFFFF"/>
        </w:rPr>
        <w:t>名，其中</w:t>
      </w:r>
      <w:r>
        <w:rPr>
          <w:rFonts w:hint="eastAsia" w:ascii="宋体" w:hAnsi="宋体" w:eastAsia="宋体" w:cs="宋体"/>
          <w:color w:val="000000"/>
          <w:kern w:val="0"/>
          <w:sz w:val="32"/>
          <w:szCs w:val="32"/>
          <w:shd w:val="clear" w:fill="FFFFFF"/>
        </w:rPr>
        <w:t>：</w:t>
      </w:r>
      <w:r>
        <w:rPr>
          <w:rFonts w:hint="eastAsia" w:ascii="仿宋_GB2312" w:hAnsi="宋体" w:eastAsia="仿宋_GB2312" w:cs="仿宋_GB2312"/>
          <w:color w:val="000000"/>
          <w:kern w:val="0"/>
          <w:sz w:val="32"/>
          <w:szCs w:val="32"/>
          <w:shd w:val="clear" w:fill="FFFFFF"/>
        </w:rPr>
        <w:t>局长</w:t>
      </w:r>
      <w:r>
        <w:rPr>
          <w:rFonts w:hint="eastAsia" w:ascii="仿宋_GB2312" w:hAnsi="宋体" w:eastAsia="仿宋_GB2312" w:cs="宋体"/>
          <w:color w:val="000000"/>
          <w:kern w:val="0"/>
          <w:sz w:val="32"/>
          <w:szCs w:val="32"/>
          <w:shd w:val="clear" w:fill="FFFFFF"/>
        </w:rPr>
        <w:t>1名，副局长2名</w:t>
      </w:r>
      <w:r>
        <w:rPr>
          <w:rFonts w:hint="eastAsia" w:ascii="宋体" w:hAnsi="宋体" w:eastAsia="宋体" w:cs="宋体"/>
          <w:color w:val="000000"/>
          <w:kern w:val="0"/>
          <w:sz w:val="32"/>
          <w:szCs w:val="32"/>
          <w:shd w:val="clear" w:fill="FFFFFF"/>
        </w:rPr>
        <w:t>，一般干部</w:t>
      </w:r>
      <w:r>
        <w:rPr>
          <w:rFonts w:hint="eastAsia" w:ascii="仿宋_GB2312" w:hAnsi="宋体" w:eastAsia="宋体" w:cs="宋体"/>
          <w:color w:val="000000"/>
          <w:kern w:val="0"/>
          <w:sz w:val="32"/>
          <w:szCs w:val="32"/>
          <w:shd w:val="clear" w:fill="FFFFFF"/>
        </w:rPr>
        <w:t>1</w:t>
      </w:r>
      <w:r>
        <w:rPr>
          <w:rFonts w:hint="eastAsia" w:ascii="宋体" w:hAnsi="宋体" w:eastAsia="宋体" w:cs="宋体"/>
          <w:color w:val="000000"/>
          <w:kern w:val="0"/>
          <w:sz w:val="32"/>
          <w:szCs w:val="32"/>
          <w:shd w:val="clear" w:fill="FFFFFF"/>
        </w:rPr>
        <w:t>名</w:t>
      </w:r>
      <w:r>
        <w:rPr>
          <w:rFonts w:hint="eastAsia" w:ascii="宋体" w:hAnsi="宋体" w:cs="宋体"/>
          <w:color w:val="000000"/>
          <w:kern w:val="0"/>
          <w:sz w:val="32"/>
          <w:szCs w:val="32"/>
          <w:shd w:val="clear" w:fill="FFFFFF"/>
          <w:lang w:eastAsia="zh-CN"/>
        </w:rPr>
        <w:t>，</w:t>
      </w:r>
      <w:r>
        <w:rPr>
          <w:rFonts w:hint="eastAsia" w:ascii="仿宋_GB2312" w:hAnsi="宋体" w:eastAsia="仿宋_GB2312" w:cs="仿宋_GB2312"/>
          <w:color w:val="000000"/>
          <w:kern w:val="0"/>
          <w:sz w:val="32"/>
          <w:szCs w:val="32"/>
          <w:shd w:val="clear" w:fill="FFFFFF"/>
        </w:rPr>
        <w:t>机关工勤人员</w:t>
      </w:r>
      <w:r>
        <w:rPr>
          <w:rFonts w:hint="eastAsia" w:ascii="仿宋_GB2312" w:hAnsi="宋体" w:eastAsia="仿宋_GB2312" w:cs="宋体"/>
          <w:color w:val="000000"/>
          <w:kern w:val="0"/>
          <w:sz w:val="32"/>
          <w:szCs w:val="32"/>
          <w:shd w:val="clear" w:fill="FFFFFF"/>
        </w:rPr>
        <w:t>1名；</w:t>
      </w:r>
      <w:r>
        <w:rPr>
          <w:rFonts w:hint="eastAsia" w:ascii="宋体" w:hAnsi="宋体" w:eastAsia="宋体" w:cs="宋体"/>
          <w:color w:val="000000"/>
          <w:kern w:val="0"/>
          <w:sz w:val="32"/>
          <w:szCs w:val="32"/>
          <w:shd w:val="clear" w:fill="FFFFFF"/>
        </w:rPr>
        <w:t>中心主任</w:t>
      </w:r>
      <w:r>
        <w:rPr>
          <w:rFonts w:hint="eastAsia" w:ascii="仿宋_GB2312" w:hAnsi="宋体" w:eastAsia="宋体" w:cs="宋体"/>
          <w:color w:val="000000"/>
          <w:kern w:val="0"/>
          <w:sz w:val="32"/>
          <w:szCs w:val="32"/>
          <w:shd w:val="clear" w:fill="FFFFFF"/>
        </w:rPr>
        <w:t>1</w:t>
      </w:r>
      <w:r>
        <w:rPr>
          <w:rFonts w:hint="eastAsia" w:ascii="宋体" w:hAnsi="宋体" w:eastAsia="宋体" w:cs="宋体"/>
          <w:color w:val="000000"/>
          <w:kern w:val="0"/>
          <w:sz w:val="32"/>
          <w:szCs w:val="32"/>
          <w:shd w:val="clear" w:fill="FFFFFF"/>
        </w:rPr>
        <w:t>名，</w:t>
      </w:r>
      <w:r>
        <w:rPr>
          <w:rFonts w:hint="eastAsia" w:ascii="仿宋_GB2312" w:hAnsi="宋体" w:eastAsia="仿宋_GB2312" w:cs="仿宋_GB2312"/>
          <w:color w:val="000000"/>
          <w:kern w:val="0"/>
          <w:sz w:val="32"/>
          <w:szCs w:val="32"/>
          <w:shd w:val="clear" w:fill="FFFFFF"/>
        </w:rPr>
        <w:t>股级领导职数</w:t>
      </w:r>
      <w:r>
        <w:rPr>
          <w:rFonts w:hint="eastAsia" w:ascii="仿宋_GB2312" w:hAnsi="宋体" w:eastAsia="仿宋_GB2312" w:cs="宋体"/>
          <w:color w:val="000000"/>
          <w:kern w:val="0"/>
          <w:sz w:val="32"/>
          <w:szCs w:val="32"/>
          <w:shd w:val="clear" w:fill="FFFFFF"/>
        </w:rPr>
        <w:t>2名</w:t>
      </w:r>
      <w:r>
        <w:rPr>
          <w:rFonts w:hint="eastAsia" w:ascii="仿宋_GB2312" w:hAnsi="宋体" w:eastAsia="仿宋_GB2312" w:cs="仿宋_GB2312"/>
          <w:color w:val="000000"/>
          <w:kern w:val="0"/>
          <w:sz w:val="32"/>
          <w:szCs w:val="32"/>
          <w:shd w:val="clear" w:fill="FFFFFF"/>
        </w:rPr>
        <w:t>。</w:t>
      </w:r>
    </w:p>
    <w:p>
      <w:pPr>
        <w:ind w:firstLine="960" w:firstLineChars="300"/>
        <w:rPr>
          <w:rFonts w:ascii="黑体" w:hAnsi="黑体" w:eastAsia="黑体"/>
          <w:sz w:val="32"/>
          <w:szCs w:val="32"/>
        </w:rPr>
      </w:pPr>
      <w:r>
        <w:rPr>
          <w:rFonts w:hint="eastAsia" w:ascii="黑体" w:hAnsi="黑体" w:eastAsia="黑体"/>
          <w:sz w:val="32"/>
          <w:szCs w:val="32"/>
        </w:rPr>
        <w:t>二、部门资金收支情况</w:t>
      </w:r>
    </w:p>
    <w:p>
      <w:pPr>
        <w:pStyle w:val="35"/>
        <w:keepNext w:val="0"/>
        <w:keepLines w:val="0"/>
        <w:pageBreakBefore w:val="0"/>
        <w:widowControl/>
        <w:kinsoku/>
        <w:wordWrap/>
        <w:overflowPunct/>
        <w:topLinePunct w:val="0"/>
        <w:autoSpaceDN/>
        <w:bidi w:val="0"/>
        <w:spacing w:beforeAutospacing="0" w:afterAutospacing="0" w:line="576" w:lineRule="exact"/>
        <w:ind w:firstLine="643" w:firstLineChars="200"/>
        <w:textAlignment w:val="auto"/>
        <w:rPr>
          <w:rFonts w:hint="eastAsia" w:ascii="楷体_GB2312" w:hAnsi="宋体" w:eastAsia="楷体_GB2312" w:cs="楷体_GB2312"/>
          <w:kern w:val="0"/>
          <w:sz w:val="32"/>
          <w:szCs w:val="32"/>
        </w:rPr>
      </w:pPr>
      <w:r>
        <w:rPr>
          <w:rFonts w:hint="eastAsia" w:ascii="楷体_GB2312" w:eastAsia="楷体_GB2312"/>
          <w:b/>
          <w:sz w:val="32"/>
          <w:szCs w:val="32"/>
        </w:rPr>
        <w:t>（一）收入情况。</w:t>
      </w:r>
      <w:r>
        <w:rPr>
          <w:rFonts w:hint="eastAsia" w:ascii="仿宋_GB2312" w:hAnsi="仿宋_GB2312" w:eastAsia="仿宋_GB2312" w:cs="仿宋_GB2312"/>
          <w:w w:val="95"/>
          <w:sz w:val="32"/>
          <w:szCs w:val="32"/>
          <w:lang w:val="zh-CN" w:bidi="bo-CN"/>
        </w:rPr>
        <w:t>信访局</w:t>
      </w:r>
      <w:r>
        <w:rPr>
          <w:rFonts w:hint="eastAsia" w:ascii="仿宋_GB2312" w:hAnsi="仿宋_GB2312" w:eastAsia="仿宋_GB2312" w:cs="仿宋_GB2312"/>
          <w:w w:val="95"/>
          <w:sz w:val="32"/>
          <w:szCs w:val="32"/>
          <w:lang w:val="en-US" w:eastAsia="zh-CN" w:bidi="bo-CN"/>
        </w:rPr>
        <w:t>2023年年初预算收入217.68</w:t>
      </w:r>
      <w:r>
        <w:rPr>
          <w:rFonts w:hint="eastAsia" w:ascii="仿宋_GB2312" w:hAnsi="仿宋_GB2312" w:eastAsia="仿宋_GB2312" w:cs="仿宋_GB2312"/>
          <w:w w:val="95"/>
          <w:sz w:val="32"/>
          <w:szCs w:val="32"/>
          <w:lang w:val="zh-CN" w:bidi="bo-CN"/>
        </w:rPr>
        <w:t>万元</w:t>
      </w:r>
      <w:r>
        <w:rPr>
          <w:rFonts w:hint="eastAsia" w:ascii="仿宋_GB2312" w:hAnsi="仿宋_GB2312" w:eastAsia="仿宋_GB2312" w:cs="仿宋_GB2312"/>
          <w:w w:val="95"/>
          <w:sz w:val="32"/>
          <w:szCs w:val="32"/>
          <w:lang w:val="en-US" w:eastAsia="zh-CN" w:bidi="bo-CN"/>
        </w:rPr>
        <w:t>、决算报表收入217.68</w:t>
      </w:r>
      <w:r>
        <w:rPr>
          <w:rFonts w:hint="eastAsia" w:ascii="仿宋_GB2312" w:hAnsi="仿宋_GB2312" w:eastAsia="仿宋_GB2312" w:cs="仿宋_GB2312"/>
          <w:w w:val="95"/>
          <w:sz w:val="32"/>
          <w:szCs w:val="32"/>
          <w:lang w:val="zh-CN" w:bidi="bo-CN"/>
        </w:rPr>
        <w:t>万元</w:t>
      </w:r>
      <w:r>
        <w:rPr>
          <w:rFonts w:hint="eastAsia" w:ascii="仿宋_GB2312" w:hAnsi="仿宋_GB2312" w:eastAsia="仿宋_GB2312" w:cs="仿宋_GB2312"/>
          <w:w w:val="95"/>
          <w:sz w:val="32"/>
          <w:szCs w:val="32"/>
          <w:lang w:val="en-US" w:eastAsia="zh-CN" w:bidi="bo-CN"/>
        </w:rPr>
        <w:t>。</w:t>
      </w:r>
      <w:r>
        <w:rPr>
          <w:rFonts w:hint="eastAsia" w:ascii="仿宋_GB2312" w:hAnsi="仿宋_GB2312" w:eastAsia="仿宋_GB2312" w:cs="仿宋_GB2312"/>
          <w:w w:val="95"/>
          <w:sz w:val="32"/>
          <w:szCs w:val="32"/>
          <w:lang w:val="zh-CN" w:bidi="bo-CN"/>
        </w:rPr>
        <w:t>其中：一般公共预算财政拨款收入为</w:t>
      </w:r>
      <w:r>
        <w:rPr>
          <w:rFonts w:hint="eastAsia" w:ascii="仿宋_GB2312" w:hAnsi="仿宋_GB2312" w:eastAsia="仿宋_GB2312" w:cs="仿宋_GB2312"/>
          <w:w w:val="95"/>
          <w:sz w:val="32"/>
          <w:szCs w:val="32"/>
          <w:lang w:val="en-US" w:eastAsia="zh-CN" w:bidi="bo-CN"/>
        </w:rPr>
        <w:t>217.68</w:t>
      </w:r>
      <w:r>
        <w:rPr>
          <w:rFonts w:hint="eastAsia" w:ascii="仿宋_GB2312" w:hAnsi="仿宋_GB2312" w:eastAsia="仿宋_GB2312" w:cs="仿宋_GB2312"/>
          <w:w w:val="95"/>
          <w:sz w:val="32"/>
          <w:szCs w:val="32"/>
          <w:lang w:val="zh-CN" w:bidi="bo-CN"/>
        </w:rPr>
        <w:t>万元，占比100.00%。</w:t>
      </w:r>
    </w:p>
    <w:p>
      <w:pPr>
        <w:keepNext w:val="0"/>
        <w:keepLines w:val="0"/>
        <w:pageBreakBefore w:val="0"/>
        <w:widowControl/>
        <w:kinsoku/>
        <w:wordWrap/>
        <w:overflowPunct/>
        <w:topLinePunct w:val="0"/>
        <w:autoSpaceDN/>
        <w:bidi w:val="0"/>
        <w:adjustRightInd w:val="0"/>
        <w:snapToGrid w:val="0"/>
        <w:spacing w:afterAutospacing="0" w:line="576" w:lineRule="exact"/>
        <w:ind w:firstLine="643" w:firstLineChars="200"/>
        <w:contextualSpacing/>
        <w:jc w:val="left"/>
        <w:textAlignment w:val="auto"/>
        <w:rPr>
          <w:rFonts w:ascii="仿宋_GB2312" w:hAnsi="仿宋_GB2312" w:eastAsia="仿宋_GB2312" w:cs="仿宋_GB2312"/>
          <w:w w:val="95"/>
          <w:kern w:val="0"/>
          <w:sz w:val="32"/>
          <w:lang w:val="zh-CN"/>
        </w:rPr>
      </w:pPr>
      <w:r>
        <w:rPr>
          <w:rFonts w:hint="eastAsia" w:ascii="楷体_GB2312" w:eastAsia="楷体_GB2312"/>
          <w:b/>
          <w:sz w:val="32"/>
          <w:szCs w:val="32"/>
        </w:rPr>
        <w:t>（二）支出情况</w:t>
      </w:r>
      <w:r>
        <w:rPr>
          <w:rFonts w:hint="eastAsia" w:ascii="仿宋_GB2312" w:hAnsi="仿宋_GB2312" w:eastAsia="仿宋_GB2312" w:cs="仿宋_GB2312"/>
          <w:w w:val="95"/>
          <w:kern w:val="0"/>
          <w:sz w:val="32"/>
          <w:lang w:val="zh-CN"/>
        </w:rPr>
        <w:t>本年度总支出为</w:t>
      </w:r>
      <w:r>
        <w:rPr>
          <w:rFonts w:hint="eastAsia" w:ascii="仿宋_GB2312" w:hAnsi="仿宋_GB2312" w:eastAsia="仿宋_GB2312" w:cs="仿宋_GB2312"/>
          <w:w w:val="95"/>
          <w:kern w:val="0"/>
          <w:sz w:val="32"/>
          <w:lang w:val="en-US" w:eastAsia="zh-CN"/>
        </w:rPr>
        <w:t>217.68</w:t>
      </w:r>
      <w:r>
        <w:rPr>
          <w:rFonts w:hint="eastAsia" w:ascii="仿宋_GB2312" w:hAnsi="仿宋_GB2312" w:eastAsia="仿宋_GB2312" w:cs="仿宋_GB2312"/>
          <w:w w:val="95"/>
          <w:kern w:val="0"/>
          <w:sz w:val="32"/>
          <w:lang w:val="zh-CN"/>
        </w:rPr>
        <w:t>万元。其中：一般公共服务支出为</w:t>
      </w:r>
      <w:r>
        <w:rPr>
          <w:rFonts w:hint="eastAsia" w:ascii="仿宋_GB2312" w:hAnsi="仿宋_GB2312" w:eastAsia="仿宋_GB2312" w:cs="仿宋_GB2312"/>
          <w:w w:val="95"/>
          <w:kern w:val="0"/>
          <w:sz w:val="32"/>
          <w:lang w:val="en-US" w:eastAsia="zh-CN"/>
        </w:rPr>
        <w:t>164.45</w:t>
      </w:r>
      <w:r>
        <w:rPr>
          <w:rFonts w:hint="eastAsia" w:ascii="仿宋_GB2312" w:hAnsi="仿宋_GB2312" w:eastAsia="仿宋_GB2312" w:cs="仿宋_GB2312"/>
          <w:w w:val="95"/>
          <w:kern w:val="0"/>
          <w:sz w:val="32"/>
          <w:lang w:val="zh-CN"/>
        </w:rPr>
        <w:t>万元，占比</w:t>
      </w:r>
      <w:r>
        <w:rPr>
          <w:rFonts w:hint="eastAsia" w:ascii="仿宋_GB2312" w:hAnsi="仿宋_GB2312" w:eastAsia="仿宋_GB2312" w:cs="仿宋_GB2312"/>
          <w:w w:val="95"/>
          <w:kern w:val="0"/>
          <w:sz w:val="32"/>
          <w:lang w:val="en-US" w:eastAsia="zh-CN"/>
        </w:rPr>
        <w:t>75.5</w:t>
      </w:r>
      <w:r>
        <w:rPr>
          <w:rFonts w:ascii="仿宋_GB2312" w:hAnsi="仿宋_GB2312" w:eastAsia="仿宋_GB2312" w:cs="仿宋_GB2312"/>
          <w:w w:val="95"/>
          <w:kern w:val="0"/>
          <w:sz w:val="32"/>
          <w:lang w:val="zh-CN"/>
        </w:rPr>
        <w:t>%</w:t>
      </w:r>
      <w:r>
        <w:rPr>
          <w:rFonts w:hint="eastAsia" w:ascii="仿宋_GB2312" w:hAnsi="仿宋_GB2312" w:eastAsia="仿宋_GB2312" w:cs="仿宋_GB2312"/>
          <w:w w:val="95"/>
          <w:kern w:val="0"/>
          <w:sz w:val="32"/>
          <w:lang w:val="zh-CN"/>
        </w:rPr>
        <w:t>；社会保障和就业支出为</w:t>
      </w:r>
      <w:r>
        <w:rPr>
          <w:rFonts w:hint="eastAsia" w:ascii="仿宋_GB2312" w:hAnsi="仿宋_GB2312" w:eastAsia="仿宋_GB2312" w:cs="仿宋_GB2312"/>
          <w:w w:val="95"/>
          <w:kern w:val="0"/>
          <w:sz w:val="32"/>
          <w:lang w:val="en-US" w:eastAsia="zh-CN"/>
        </w:rPr>
        <w:t>27.67</w:t>
      </w:r>
      <w:r>
        <w:rPr>
          <w:rFonts w:hint="eastAsia" w:ascii="仿宋_GB2312" w:hAnsi="仿宋_GB2312" w:eastAsia="仿宋_GB2312" w:cs="仿宋_GB2312"/>
          <w:w w:val="95"/>
          <w:kern w:val="0"/>
          <w:sz w:val="32"/>
          <w:lang w:val="zh-CN"/>
        </w:rPr>
        <w:t>万元，占比</w:t>
      </w:r>
      <w:r>
        <w:rPr>
          <w:rFonts w:hint="eastAsia" w:ascii="仿宋_GB2312" w:hAnsi="仿宋_GB2312" w:eastAsia="仿宋_GB2312" w:cs="仿宋_GB2312"/>
          <w:w w:val="95"/>
          <w:kern w:val="0"/>
          <w:sz w:val="32"/>
          <w:lang w:val="en-US" w:eastAsia="zh-CN"/>
        </w:rPr>
        <w:t>13</w:t>
      </w:r>
      <w:r>
        <w:rPr>
          <w:rFonts w:ascii="仿宋_GB2312" w:hAnsi="仿宋_GB2312" w:eastAsia="仿宋_GB2312" w:cs="仿宋_GB2312"/>
          <w:w w:val="95"/>
          <w:kern w:val="0"/>
          <w:sz w:val="32"/>
          <w:lang w:val="zh-CN"/>
        </w:rPr>
        <w:t>%</w:t>
      </w:r>
      <w:r>
        <w:rPr>
          <w:rFonts w:hint="eastAsia" w:ascii="仿宋_GB2312" w:hAnsi="仿宋_GB2312" w:eastAsia="仿宋_GB2312" w:cs="仿宋_GB2312"/>
          <w:w w:val="95"/>
          <w:kern w:val="0"/>
          <w:sz w:val="32"/>
          <w:lang w:val="zh-CN"/>
        </w:rPr>
        <w:t>；卫生健康支出为</w:t>
      </w:r>
      <w:r>
        <w:rPr>
          <w:rFonts w:hint="eastAsia" w:ascii="仿宋_GB2312" w:hAnsi="仿宋_GB2312" w:eastAsia="仿宋_GB2312" w:cs="仿宋_GB2312"/>
          <w:w w:val="95"/>
          <w:kern w:val="0"/>
          <w:sz w:val="32"/>
          <w:lang w:val="en-US" w:eastAsia="zh-CN"/>
        </w:rPr>
        <w:t>11.52</w:t>
      </w:r>
      <w:r>
        <w:rPr>
          <w:rFonts w:hint="eastAsia" w:ascii="仿宋_GB2312" w:hAnsi="仿宋_GB2312" w:eastAsia="仿宋_GB2312" w:cs="仿宋_GB2312"/>
          <w:w w:val="95"/>
          <w:kern w:val="0"/>
          <w:sz w:val="32"/>
          <w:lang w:val="zh-CN"/>
        </w:rPr>
        <w:t>万元，占比</w:t>
      </w:r>
      <w:r>
        <w:rPr>
          <w:rFonts w:hint="eastAsia" w:ascii="仿宋_GB2312" w:hAnsi="仿宋_GB2312" w:eastAsia="仿宋_GB2312" w:cs="仿宋_GB2312"/>
          <w:w w:val="95"/>
          <w:kern w:val="0"/>
          <w:sz w:val="32"/>
          <w:lang w:val="en-US" w:eastAsia="zh-CN"/>
        </w:rPr>
        <w:t>5</w:t>
      </w:r>
      <w:r>
        <w:rPr>
          <w:rFonts w:ascii="仿宋_GB2312" w:hAnsi="仿宋_GB2312" w:eastAsia="仿宋_GB2312" w:cs="仿宋_GB2312"/>
          <w:w w:val="95"/>
          <w:kern w:val="0"/>
          <w:sz w:val="32"/>
          <w:lang w:val="zh-CN"/>
        </w:rPr>
        <w:t>%</w:t>
      </w:r>
      <w:r>
        <w:rPr>
          <w:rFonts w:hint="eastAsia" w:ascii="仿宋_GB2312" w:hAnsi="仿宋_GB2312" w:eastAsia="仿宋_GB2312" w:cs="仿宋_GB2312"/>
          <w:w w:val="95"/>
          <w:kern w:val="0"/>
          <w:sz w:val="32"/>
          <w:lang w:val="zh-CN"/>
        </w:rPr>
        <w:t>；住房保障支出为</w:t>
      </w:r>
      <w:r>
        <w:rPr>
          <w:rFonts w:hint="eastAsia" w:ascii="仿宋_GB2312" w:hAnsi="仿宋_GB2312" w:eastAsia="仿宋_GB2312" w:cs="仿宋_GB2312"/>
          <w:w w:val="95"/>
          <w:kern w:val="0"/>
          <w:sz w:val="32"/>
          <w:lang w:val="en-US" w:eastAsia="zh-CN"/>
        </w:rPr>
        <w:t>14.04</w:t>
      </w:r>
      <w:r>
        <w:rPr>
          <w:rFonts w:hint="eastAsia" w:ascii="仿宋_GB2312" w:hAnsi="仿宋_GB2312" w:eastAsia="仿宋_GB2312" w:cs="仿宋_GB2312"/>
          <w:w w:val="95"/>
          <w:kern w:val="0"/>
          <w:sz w:val="32"/>
          <w:lang w:val="zh-CN"/>
        </w:rPr>
        <w:t>万元，占比</w:t>
      </w:r>
      <w:r>
        <w:rPr>
          <w:rFonts w:hint="eastAsia" w:ascii="仿宋_GB2312" w:hAnsi="仿宋_GB2312" w:eastAsia="仿宋_GB2312" w:cs="仿宋_GB2312"/>
          <w:w w:val="95"/>
          <w:kern w:val="0"/>
          <w:sz w:val="32"/>
          <w:lang w:val="en-US" w:eastAsia="zh-CN"/>
        </w:rPr>
        <w:t>6</w:t>
      </w:r>
      <w:r>
        <w:rPr>
          <w:rFonts w:ascii="仿宋_GB2312" w:hAnsi="仿宋_GB2312" w:eastAsia="仿宋_GB2312" w:cs="仿宋_GB2312"/>
          <w:w w:val="95"/>
          <w:kern w:val="0"/>
          <w:sz w:val="32"/>
          <w:lang w:val="zh-CN"/>
        </w:rPr>
        <w:t>%</w:t>
      </w:r>
      <w:r>
        <w:rPr>
          <w:rFonts w:hint="eastAsia" w:ascii="仿宋_GB2312" w:hAnsi="仿宋_GB2312" w:eastAsia="仿宋_GB2312" w:cs="仿宋_GB2312"/>
          <w:w w:val="95"/>
          <w:kern w:val="0"/>
          <w:sz w:val="32"/>
          <w:lang w:val="zh-CN"/>
        </w:rPr>
        <w:t>。</w:t>
      </w:r>
    </w:p>
    <w:p>
      <w:pPr>
        <w:keepNext w:val="0"/>
        <w:keepLines w:val="0"/>
        <w:pageBreakBefore w:val="0"/>
        <w:kinsoku/>
        <w:wordWrap/>
        <w:overflowPunct/>
        <w:topLinePunct w:val="0"/>
        <w:autoSpaceDN/>
        <w:bidi w:val="0"/>
        <w:spacing w:afterAutospacing="0" w:line="576" w:lineRule="exact"/>
        <w:ind w:firstLine="608" w:firstLineChars="200"/>
        <w:textAlignment w:val="auto"/>
        <w:rPr>
          <w:rFonts w:ascii="仿宋_GB2312" w:hAnsi="仿宋_GB2312" w:eastAsia="仿宋_GB2312" w:cs="仿宋_GB2312"/>
          <w:w w:val="95"/>
          <w:kern w:val="0"/>
          <w:sz w:val="32"/>
        </w:rPr>
      </w:pPr>
      <w:r>
        <w:rPr>
          <w:rFonts w:ascii="仿宋_GB2312" w:hAnsi="仿宋_GB2312" w:eastAsia="仿宋_GB2312" w:cs="仿宋_GB2312"/>
          <w:w w:val="95"/>
          <w:kern w:val="0"/>
          <w:sz w:val="32"/>
        </w:rPr>
        <w:t>202</w:t>
      </w:r>
      <w:r>
        <w:rPr>
          <w:rFonts w:hint="eastAsia" w:ascii="仿宋_GB2312" w:hAnsi="仿宋_GB2312" w:eastAsia="仿宋_GB2312" w:cs="仿宋_GB2312"/>
          <w:w w:val="95"/>
          <w:kern w:val="0"/>
          <w:sz w:val="32"/>
          <w:lang w:val="en-US" w:eastAsia="zh-CN"/>
        </w:rPr>
        <w:t>3</w:t>
      </w:r>
      <w:r>
        <w:rPr>
          <w:rFonts w:hint="eastAsia" w:ascii="仿宋_GB2312" w:hAnsi="仿宋_GB2312" w:eastAsia="仿宋_GB2312" w:cs="仿宋_GB2312"/>
          <w:w w:val="95"/>
          <w:kern w:val="0"/>
          <w:sz w:val="32"/>
        </w:rPr>
        <w:t>年度一般公共预算财政拨款基本支出</w:t>
      </w:r>
      <w:r>
        <w:rPr>
          <w:rFonts w:hint="eastAsia" w:ascii="仿宋_GB2312" w:hAnsi="仿宋_GB2312" w:eastAsia="仿宋_GB2312" w:cs="仿宋_GB2312"/>
          <w:w w:val="95"/>
          <w:kern w:val="0"/>
          <w:sz w:val="32"/>
          <w:lang w:val="en-US" w:eastAsia="zh-CN"/>
        </w:rPr>
        <w:t>217.68</w:t>
      </w:r>
      <w:r>
        <w:rPr>
          <w:rFonts w:hint="eastAsia" w:ascii="仿宋_GB2312" w:hAnsi="仿宋_GB2312" w:eastAsia="仿宋_GB2312" w:cs="仿宋_GB2312"/>
          <w:w w:val="95"/>
          <w:kern w:val="0"/>
          <w:sz w:val="32"/>
        </w:rPr>
        <w:t>万元，其中：</w:t>
      </w:r>
    </w:p>
    <w:p>
      <w:pPr>
        <w:keepNext w:val="0"/>
        <w:keepLines w:val="0"/>
        <w:pageBreakBefore w:val="0"/>
        <w:kinsoku/>
        <w:wordWrap/>
        <w:overflowPunct/>
        <w:topLinePunct w:val="0"/>
        <w:autoSpaceDN/>
        <w:bidi w:val="0"/>
        <w:spacing w:afterAutospacing="0" w:line="576" w:lineRule="exact"/>
        <w:ind w:firstLine="608" w:firstLineChars="200"/>
        <w:textAlignment w:val="auto"/>
        <w:rPr>
          <w:rFonts w:ascii="仿宋_GB2312" w:hAnsi="仿宋_GB2312" w:eastAsia="仿宋_GB2312" w:cs="仿宋_GB2312"/>
          <w:w w:val="95"/>
          <w:kern w:val="0"/>
          <w:sz w:val="32"/>
        </w:rPr>
      </w:pPr>
      <w:r>
        <w:rPr>
          <w:rFonts w:hint="eastAsia" w:ascii="仿宋_GB2312" w:hAnsi="仿宋_GB2312" w:eastAsia="仿宋_GB2312" w:cs="仿宋_GB2312"/>
          <w:w w:val="95"/>
          <w:kern w:val="0"/>
          <w:sz w:val="32"/>
        </w:rPr>
        <w:t>人员经费</w:t>
      </w:r>
      <w:r>
        <w:rPr>
          <w:rFonts w:hint="eastAsia" w:ascii="仿宋_GB2312" w:hAnsi="仿宋_GB2312" w:eastAsia="仿宋_GB2312" w:cs="仿宋_GB2312"/>
          <w:w w:val="95"/>
          <w:kern w:val="0"/>
          <w:sz w:val="32"/>
          <w:lang w:val="en-US" w:eastAsia="zh-CN"/>
        </w:rPr>
        <w:t>194.1</w:t>
      </w:r>
      <w:r>
        <w:rPr>
          <w:rFonts w:hint="eastAsia" w:ascii="仿宋_GB2312" w:hAnsi="仿宋_GB2312" w:eastAsia="仿宋_GB2312" w:cs="仿宋_GB2312"/>
          <w:w w:val="95"/>
          <w:kern w:val="0"/>
          <w:sz w:val="32"/>
        </w:rPr>
        <w:t>万元，主要包括：基本工资</w:t>
      </w:r>
      <w:r>
        <w:rPr>
          <w:rFonts w:hint="eastAsia" w:ascii="仿宋_GB2312" w:hAnsi="仿宋_GB2312" w:eastAsia="仿宋_GB2312" w:cs="仿宋_GB2312"/>
          <w:w w:val="95"/>
          <w:kern w:val="0"/>
          <w:sz w:val="32"/>
          <w:lang w:val="en-US" w:eastAsia="zh-CN"/>
        </w:rPr>
        <w:t>35.1</w:t>
      </w:r>
      <w:r>
        <w:rPr>
          <w:rFonts w:hint="eastAsia" w:ascii="仿宋_GB2312" w:hAnsi="仿宋_GB2312" w:eastAsia="仿宋_GB2312" w:cs="仿宋_GB2312"/>
          <w:w w:val="95"/>
          <w:kern w:val="0"/>
          <w:sz w:val="32"/>
        </w:rPr>
        <w:t>万元、津贴补贴</w:t>
      </w:r>
      <w:r>
        <w:rPr>
          <w:rFonts w:hint="eastAsia" w:ascii="仿宋_GB2312" w:hAnsi="仿宋_GB2312" w:eastAsia="仿宋_GB2312" w:cs="仿宋_GB2312"/>
          <w:w w:val="95"/>
          <w:kern w:val="0"/>
          <w:sz w:val="32"/>
          <w:lang w:val="en-US" w:eastAsia="zh-CN"/>
        </w:rPr>
        <w:t>50.9</w:t>
      </w:r>
      <w:r>
        <w:rPr>
          <w:rFonts w:hint="eastAsia" w:ascii="仿宋_GB2312" w:hAnsi="仿宋_GB2312" w:eastAsia="仿宋_GB2312" w:cs="仿宋_GB2312"/>
          <w:w w:val="95"/>
          <w:kern w:val="0"/>
          <w:sz w:val="32"/>
        </w:rPr>
        <w:t>万元、奖金</w:t>
      </w:r>
      <w:r>
        <w:rPr>
          <w:rFonts w:hint="eastAsia" w:ascii="仿宋_GB2312" w:hAnsi="仿宋_GB2312" w:eastAsia="仿宋_GB2312" w:cs="仿宋_GB2312"/>
          <w:w w:val="95"/>
          <w:kern w:val="0"/>
          <w:sz w:val="32"/>
          <w:lang w:val="en-US" w:eastAsia="zh-CN"/>
        </w:rPr>
        <w:t>45.52</w:t>
      </w:r>
      <w:r>
        <w:rPr>
          <w:rFonts w:hint="eastAsia" w:ascii="仿宋_GB2312" w:hAnsi="仿宋_GB2312" w:eastAsia="仿宋_GB2312" w:cs="仿宋_GB2312"/>
          <w:w w:val="95"/>
          <w:kern w:val="0"/>
          <w:sz w:val="32"/>
        </w:rPr>
        <w:t>万元、绩效工资</w:t>
      </w:r>
      <w:r>
        <w:rPr>
          <w:rFonts w:hint="eastAsia" w:ascii="仿宋_GB2312" w:hAnsi="仿宋_GB2312" w:eastAsia="仿宋_GB2312" w:cs="仿宋_GB2312"/>
          <w:w w:val="95"/>
          <w:kern w:val="0"/>
          <w:sz w:val="32"/>
          <w:lang w:val="en-US" w:eastAsia="zh-CN"/>
        </w:rPr>
        <w:t>7.7</w:t>
      </w:r>
      <w:r>
        <w:rPr>
          <w:rFonts w:hint="eastAsia" w:ascii="仿宋_GB2312" w:hAnsi="仿宋_GB2312" w:eastAsia="仿宋_GB2312" w:cs="仿宋_GB2312"/>
          <w:w w:val="95"/>
          <w:kern w:val="0"/>
          <w:sz w:val="32"/>
        </w:rPr>
        <w:t>万元，机关事业单位基本养老保险缴费</w:t>
      </w:r>
      <w:r>
        <w:rPr>
          <w:rFonts w:hint="eastAsia" w:ascii="仿宋_GB2312" w:hAnsi="仿宋_GB2312" w:eastAsia="仿宋_GB2312" w:cs="仿宋_GB2312"/>
          <w:w w:val="95"/>
          <w:kern w:val="0"/>
          <w:sz w:val="32"/>
          <w:lang w:val="en-US" w:eastAsia="zh-CN"/>
        </w:rPr>
        <w:t>18.44</w:t>
      </w:r>
      <w:r>
        <w:rPr>
          <w:rFonts w:hint="eastAsia" w:ascii="仿宋_GB2312" w:hAnsi="仿宋_GB2312" w:eastAsia="仿宋_GB2312" w:cs="仿宋_GB2312"/>
          <w:w w:val="95"/>
          <w:kern w:val="0"/>
          <w:sz w:val="32"/>
        </w:rPr>
        <w:t>万元、职业年金缴费</w:t>
      </w:r>
      <w:r>
        <w:rPr>
          <w:rFonts w:hint="eastAsia" w:ascii="仿宋_GB2312" w:hAnsi="仿宋_GB2312" w:eastAsia="仿宋_GB2312" w:cs="仿宋_GB2312"/>
          <w:w w:val="95"/>
          <w:kern w:val="0"/>
          <w:sz w:val="32"/>
          <w:lang w:val="en-US" w:eastAsia="zh-CN"/>
        </w:rPr>
        <w:t>9.2</w:t>
      </w:r>
      <w:r>
        <w:rPr>
          <w:rFonts w:hint="eastAsia" w:ascii="仿宋_GB2312" w:hAnsi="仿宋_GB2312" w:eastAsia="仿宋_GB2312" w:cs="仿宋_GB2312"/>
          <w:w w:val="95"/>
          <w:kern w:val="0"/>
          <w:sz w:val="32"/>
        </w:rPr>
        <w:t>万元、职工基本医疗保险费</w:t>
      </w:r>
      <w:r>
        <w:rPr>
          <w:rFonts w:hint="eastAsia" w:ascii="仿宋_GB2312" w:hAnsi="仿宋_GB2312" w:eastAsia="仿宋_GB2312" w:cs="仿宋_GB2312"/>
          <w:w w:val="95"/>
          <w:kern w:val="0"/>
          <w:sz w:val="32"/>
          <w:lang w:val="en-US" w:eastAsia="zh-CN"/>
        </w:rPr>
        <w:t>9.8</w:t>
      </w:r>
      <w:r>
        <w:rPr>
          <w:rFonts w:hint="eastAsia" w:ascii="仿宋_GB2312" w:hAnsi="仿宋_GB2312" w:eastAsia="仿宋_GB2312" w:cs="仿宋_GB2312"/>
          <w:w w:val="95"/>
          <w:kern w:val="0"/>
          <w:sz w:val="32"/>
        </w:rPr>
        <w:t>万元、公务员医疗补助缴费</w:t>
      </w:r>
      <w:r>
        <w:rPr>
          <w:rFonts w:hint="eastAsia" w:ascii="仿宋_GB2312" w:hAnsi="仿宋_GB2312" w:eastAsia="仿宋_GB2312" w:cs="仿宋_GB2312"/>
          <w:w w:val="95"/>
          <w:kern w:val="0"/>
          <w:sz w:val="32"/>
          <w:lang w:val="en-US" w:eastAsia="zh-CN"/>
        </w:rPr>
        <w:t>1.7</w:t>
      </w:r>
      <w:r>
        <w:rPr>
          <w:rFonts w:hint="eastAsia" w:ascii="仿宋_GB2312" w:hAnsi="仿宋_GB2312" w:eastAsia="仿宋_GB2312" w:cs="仿宋_GB2312"/>
          <w:w w:val="95"/>
          <w:kern w:val="0"/>
          <w:sz w:val="32"/>
        </w:rPr>
        <w:t>万元、其他社会保障缴费</w:t>
      </w:r>
      <w:r>
        <w:rPr>
          <w:rFonts w:hint="eastAsia" w:ascii="仿宋_GB2312" w:hAnsi="仿宋_GB2312" w:eastAsia="仿宋_GB2312" w:cs="仿宋_GB2312"/>
          <w:w w:val="95"/>
          <w:kern w:val="0"/>
          <w:sz w:val="32"/>
          <w:lang w:val="en-US" w:eastAsia="zh-CN"/>
        </w:rPr>
        <w:t>1.75</w:t>
      </w:r>
      <w:r>
        <w:rPr>
          <w:rFonts w:hint="eastAsia" w:ascii="仿宋_GB2312" w:hAnsi="仿宋_GB2312" w:eastAsia="仿宋_GB2312" w:cs="仿宋_GB2312"/>
          <w:w w:val="95"/>
          <w:kern w:val="0"/>
          <w:sz w:val="32"/>
        </w:rPr>
        <w:t>万元、住房公积金</w:t>
      </w:r>
      <w:r>
        <w:rPr>
          <w:rFonts w:hint="eastAsia" w:ascii="仿宋_GB2312" w:hAnsi="仿宋_GB2312" w:eastAsia="仿宋_GB2312" w:cs="仿宋_GB2312"/>
          <w:w w:val="95"/>
          <w:kern w:val="0"/>
          <w:sz w:val="32"/>
          <w:lang w:val="en-US" w:eastAsia="zh-CN"/>
        </w:rPr>
        <w:t>14</w:t>
      </w:r>
      <w:r>
        <w:rPr>
          <w:rFonts w:hint="eastAsia" w:ascii="仿宋_GB2312" w:hAnsi="仿宋_GB2312" w:eastAsia="仿宋_GB2312" w:cs="仿宋_GB2312"/>
          <w:w w:val="95"/>
          <w:kern w:val="0"/>
          <w:sz w:val="32"/>
        </w:rPr>
        <w:t>万元。</w:t>
      </w:r>
    </w:p>
    <w:p>
      <w:pPr>
        <w:keepNext w:val="0"/>
        <w:keepLines w:val="0"/>
        <w:pageBreakBefore w:val="0"/>
        <w:kinsoku/>
        <w:wordWrap/>
        <w:overflowPunct/>
        <w:topLinePunct w:val="0"/>
        <w:autoSpaceDN/>
        <w:bidi w:val="0"/>
        <w:spacing w:afterAutospacing="0" w:line="576" w:lineRule="exact"/>
        <w:ind w:firstLine="608" w:firstLineChars="200"/>
        <w:textAlignment w:val="auto"/>
        <w:rPr>
          <w:rFonts w:ascii="仿宋_GB2312" w:hAnsi="仿宋_GB2312" w:eastAsia="仿宋_GB2312" w:cs="仿宋_GB2312"/>
          <w:w w:val="95"/>
          <w:kern w:val="0"/>
          <w:sz w:val="32"/>
        </w:rPr>
      </w:pPr>
      <w:r>
        <w:rPr>
          <w:rFonts w:hint="eastAsia" w:ascii="仿宋_GB2312" w:hAnsi="仿宋_GB2312" w:eastAsia="仿宋_GB2312" w:cs="仿宋_GB2312"/>
          <w:w w:val="95"/>
          <w:kern w:val="0"/>
          <w:sz w:val="32"/>
        </w:rPr>
        <w:t>公用经费</w:t>
      </w:r>
      <w:r>
        <w:rPr>
          <w:rFonts w:hint="eastAsia" w:ascii="仿宋_GB2312" w:hAnsi="仿宋_GB2312" w:eastAsia="仿宋_GB2312" w:cs="仿宋_GB2312"/>
          <w:w w:val="95"/>
          <w:kern w:val="0"/>
          <w:sz w:val="32"/>
          <w:lang w:val="en-US" w:eastAsia="zh-CN"/>
        </w:rPr>
        <w:t>21.36</w:t>
      </w:r>
      <w:r>
        <w:rPr>
          <w:rFonts w:hint="eastAsia" w:ascii="仿宋_GB2312" w:hAnsi="仿宋_GB2312" w:eastAsia="仿宋_GB2312" w:cs="仿宋_GB2312"/>
          <w:w w:val="95"/>
          <w:kern w:val="0"/>
          <w:sz w:val="32"/>
        </w:rPr>
        <w:t>万元，主要包括：办公费</w:t>
      </w:r>
      <w:r>
        <w:rPr>
          <w:rFonts w:hint="eastAsia" w:ascii="仿宋_GB2312" w:hAnsi="仿宋_GB2312" w:eastAsia="仿宋_GB2312" w:cs="仿宋_GB2312"/>
          <w:w w:val="95"/>
          <w:kern w:val="0"/>
          <w:sz w:val="32"/>
          <w:lang w:val="en-US" w:eastAsia="zh-CN"/>
        </w:rPr>
        <w:t>10.02</w:t>
      </w:r>
      <w:r>
        <w:rPr>
          <w:rFonts w:hint="eastAsia" w:ascii="仿宋_GB2312" w:hAnsi="仿宋_GB2312" w:eastAsia="仿宋_GB2312" w:cs="仿宋_GB2312"/>
          <w:w w:val="95"/>
          <w:kern w:val="0"/>
          <w:sz w:val="32"/>
        </w:rPr>
        <w:t>万元、取暖费</w:t>
      </w:r>
      <w:r>
        <w:rPr>
          <w:rFonts w:hint="eastAsia" w:ascii="仿宋_GB2312" w:hAnsi="仿宋_GB2312" w:eastAsia="仿宋_GB2312" w:cs="仿宋_GB2312"/>
          <w:w w:val="95"/>
          <w:kern w:val="0"/>
          <w:sz w:val="32"/>
          <w:lang w:val="en-US" w:eastAsia="zh-CN"/>
        </w:rPr>
        <w:t>0.16</w:t>
      </w:r>
      <w:r>
        <w:rPr>
          <w:rFonts w:hint="eastAsia" w:ascii="仿宋_GB2312" w:hAnsi="仿宋_GB2312" w:eastAsia="仿宋_GB2312" w:cs="仿宋_GB2312"/>
          <w:w w:val="95"/>
          <w:kern w:val="0"/>
          <w:sz w:val="32"/>
        </w:rPr>
        <w:t>万元、差旅费</w:t>
      </w:r>
      <w:r>
        <w:rPr>
          <w:rFonts w:hint="eastAsia" w:ascii="仿宋_GB2312" w:hAnsi="仿宋_GB2312" w:eastAsia="仿宋_GB2312" w:cs="仿宋_GB2312"/>
          <w:w w:val="95"/>
          <w:kern w:val="0"/>
          <w:sz w:val="32"/>
          <w:lang w:val="en-US" w:eastAsia="zh-CN"/>
        </w:rPr>
        <w:t>9.6</w:t>
      </w:r>
      <w:r>
        <w:rPr>
          <w:rFonts w:hint="eastAsia" w:ascii="仿宋_GB2312" w:hAnsi="仿宋_GB2312" w:eastAsia="仿宋_GB2312" w:cs="仿宋_GB2312"/>
          <w:w w:val="95"/>
          <w:kern w:val="0"/>
          <w:sz w:val="32"/>
        </w:rPr>
        <w:t>万元，公务接待费</w:t>
      </w:r>
      <w:r>
        <w:rPr>
          <w:rFonts w:ascii="仿宋_GB2312" w:hAnsi="仿宋_GB2312" w:eastAsia="仿宋_GB2312" w:cs="仿宋_GB2312"/>
          <w:w w:val="95"/>
          <w:kern w:val="0"/>
          <w:sz w:val="32"/>
        </w:rPr>
        <w:t>0.</w:t>
      </w:r>
      <w:r>
        <w:rPr>
          <w:rFonts w:hint="eastAsia" w:ascii="仿宋_GB2312" w:hAnsi="仿宋_GB2312" w:eastAsia="仿宋_GB2312" w:cs="仿宋_GB2312"/>
          <w:w w:val="95"/>
          <w:kern w:val="0"/>
          <w:sz w:val="32"/>
          <w:lang w:val="en-US" w:eastAsia="zh-CN"/>
        </w:rPr>
        <w:t>18</w:t>
      </w:r>
      <w:r>
        <w:rPr>
          <w:rFonts w:hint="eastAsia" w:ascii="仿宋_GB2312" w:hAnsi="仿宋_GB2312" w:eastAsia="仿宋_GB2312" w:cs="仿宋_GB2312"/>
          <w:w w:val="95"/>
          <w:kern w:val="0"/>
          <w:sz w:val="32"/>
        </w:rPr>
        <w:t>万元，工会经费</w:t>
      </w:r>
      <w:r>
        <w:rPr>
          <w:rFonts w:hint="eastAsia" w:ascii="仿宋_GB2312" w:hAnsi="仿宋_GB2312" w:eastAsia="仿宋_GB2312" w:cs="仿宋_GB2312"/>
          <w:w w:val="95"/>
          <w:kern w:val="0"/>
          <w:sz w:val="32"/>
          <w:lang w:val="en-US" w:eastAsia="zh-CN"/>
        </w:rPr>
        <w:t>1.4</w:t>
      </w:r>
      <w:r>
        <w:rPr>
          <w:rFonts w:hint="eastAsia" w:ascii="仿宋_GB2312" w:hAnsi="仿宋_GB2312" w:eastAsia="仿宋_GB2312" w:cs="仿宋_GB2312"/>
          <w:w w:val="95"/>
          <w:kern w:val="0"/>
          <w:sz w:val="32"/>
        </w:rPr>
        <w:t>万元。</w:t>
      </w:r>
    </w:p>
    <w:p>
      <w:pPr>
        <w:pStyle w:val="2"/>
        <w:keepNext w:val="0"/>
        <w:keepLines w:val="0"/>
        <w:pageBreakBefore w:val="0"/>
        <w:kinsoku/>
        <w:wordWrap/>
        <w:overflowPunct/>
        <w:topLinePunct w:val="0"/>
        <w:autoSpaceDN/>
        <w:bidi w:val="0"/>
        <w:spacing w:after="0" w:afterAutospacing="0" w:line="576" w:lineRule="exact"/>
        <w:ind w:firstLine="31680"/>
        <w:textAlignment w:val="auto"/>
        <w:rPr>
          <w:rFonts w:ascii="仿宋" w:hAnsi="仿宋" w:eastAsia="仿宋"/>
          <w:sz w:val="32"/>
          <w:szCs w:val="32"/>
        </w:rPr>
      </w:pPr>
      <w:r>
        <w:rPr>
          <w:rFonts w:hint="eastAsia" w:ascii="仿宋_GB2312" w:hAnsi="仿宋_GB2312" w:eastAsia="仿宋_GB2312" w:cs="仿宋_GB2312"/>
          <w:w w:val="95"/>
          <w:kern w:val="0"/>
          <w:sz w:val="32"/>
          <w:szCs w:val="24"/>
          <w:lang w:val="en-US" w:eastAsia="zh-CN" w:bidi="ar-SA"/>
        </w:rPr>
        <w:t>对个人和家庭的补助：奖励金0.072万元。</w:t>
      </w:r>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3" w:firstLineChars="200"/>
        <w:contextualSpacing/>
        <w:jc w:val="left"/>
        <w:textAlignment w:val="auto"/>
        <w:outlineLvl w:val="9"/>
        <w:rPr>
          <w:rFonts w:hint="default" w:ascii="仿宋_GB2312" w:hAnsi="仿宋_GB2312" w:eastAsia="仿宋_GB2312" w:cs="仿宋_GB2312"/>
          <w:w w:val="95"/>
          <w:kern w:val="0"/>
          <w:sz w:val="32"/>
          <w:lang w:val="zh-CN" w:eastAsia="zh-CN"/>
        </w:rPr>
      </w:pPr>
      <w:r>
        <w:rPr>
          <w:rFonts w:hint="eastAsia" w:ascii="楷体_GB2312" w:eastAsia="楷体_GB2312"/>
          <w:b/>
          <w:sz w:val="32"/>
          <w:szCs w:val="32"/>
        </w:rPr>
        <w:t>（三）结余分配和结转结余情况。</w:t>
      </w:r>
      <w:r>
        <w:rPr>
          <w:rFonts w:hint="eastAsia" w:ascii="仿宋_GB2312" w:hAnsi="仿宋_GB2312" w:eastAsia="仿宋_GB2312" w:cs="仿宋_GB2312"/>
          <w:w w:val="95"/>
          <w:kern w:val="0"/>
          <w:sz w:val="32"/>
          <w:lang w:val="en-US" w:eastAsia="zh-CN"/>
        </w:rPr>
        <w:t>信访局2023年决算报表</w:t>
      </w:r>
      <w:r>
        <w:rPr>
          <w:rFonts w:hint="default" w:ascii="仿宋_GB2312" w:hAnsi="仿宋_GB2312" w:eastAsia="仿宋_GB2312" w:cs="仿宋_GB2312"/>
          <w:w w:val="95"/>
          <w:kern w:val="0"/>
          <w:sz w:val="32"/>
          <w:lang w:val="en-US" w:eastAsia="zh-CN"/>
        </w:rPr>
        <w:t>结转结余</w:t>
      </w:r>
      <w:r>
        <w:rPr>
          <w:rFonts w:hint="eastAsia" w:ascii="仿宋_GB2312" w:hAnsi="仿宋_GB2312" w:eastAsia="仿宋_GB2312" w:cs="仿宋_GB2312"/>
          <w:w w:val="95"/>
          <w:kern w:val="0"/>
          <w:sz w:val="32"/>
          <w:lang w:val="en-US" w:eastAsia="zh-CN"/>
        </w:rPr>
        <w:t>情况</w:t>
      </w:r>
      <w:r>
        <w:rPr>
          <w:rFonts w:hint="default" w:ascii="仿宋_GB2312" w:hAnsi="仿宋_GB2312" w:eastAsia="仿宋_GB2312" w:cs="仿宋_GB2312"/>
          <w:w w:val="95"/>
          <w:kern w:val="0"/>
          <w:sz w:val="32"/>
          <w:lang w:val="en-US" w:eastAsia="zh-CN"/>
        </w:rPr>
        <w:t>。</w:t>
      </w:r>
      <w:r>
        <w:rPr>
          <w:rFonts w:hint="eastAsia" w:ascii="仿宋_GB2312" w:hAnsi="仿宋_GB2312" w:eastAsia="仿宋_GB2312" w:cs="仿宋_GB2312"/>
          <w:w w:val="95"/>
          <w:kern w:val="0"/>
          <w:sz w:val="32"/>
          <w:lang w:val="en-US" w:eastAsia="zh-CN"/>
        </w:rPr>
        <w:t>无</w:t>
      </w:r>
    </w:p>
    <w:p>
      <w:pPr>
        <w:ind w:firstLine="640" w:firstLineChars="200"/>
        <w:rPr>
          <w:rFonts w:ascii="黑体" w:hAnsi="黑体" w:eastAsia="黑体"/>
          <w:sz w:val="32"/>
          <w:szCs w:val="32"/>
        </w:rPr>
      </w:pPr>
      <w:r>
        <w:rPr>
          <w:rFonts w:hint="eastAsia" w:ascii="黑体" w:hAnsi="黑体" w:eastAsia="黑体"/>
          <w:sz w:val="32"/>
          <w:szCs w:val="32"/>
        </w:rPr>
        <w:t>三、部门预算绩效分析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576" w:lineRule="exact"/>
        <w:ind w:firstLine="643" w:firstLineChars="200"/>
        <w:contextualSpacing/>
        <w:jc w:val="left"/>
        <w:textAlignment w:val="auto"/>
        <w:outlineLvl w:val="9"/>
        <w:rPr>
          <w:rFonts w:hint="eastAsia" w:ascii="仿宋_GB2312" w:hAnsi="仿宋" w:eastAsia="仿宋_GB2312" w:cs="仿宋_GB2312"/>
          <w:kern w:val="2"/>
          <w:sz w:val="32"/>
          <w:szCs w:val="32"/>
        </w:rPr>
      </w:pPr>
      <w:r>
        <w:rPr>
          <w:rFonts w:hint="eastAsia" w:ascii="楷体_GB2312" w:eastAsia="楷体_GB2312"/>
          <w:b/>
          <w:sz w:val="32"/>
          <w:szCs w:val="32"/>
        </w:rPr>
        <w:t>（一）部门预算总体绩效分析。</w:t>
      </w:r>
      <w:r>
        <w:rPr>
          <w:rFonts w:hint="eastAsia" w:ascii="楷体_GB2312" w:hAnsi="楷体_GB2312" w:eastAsia="楷体_GB2312" w:cs="楷体_GB2312"/>
          <w:color w:val="000000"/>
          <w:kern w:val="0"/>
          <w:szCs w:val="32"/>
          <w:highlight w:val="none"/>
          <w:shd w:val="clear" w:color="auto" w:fill="FFFFFF"/>
          <w:lang w:val="en-US" w:eastAsia="zh-CN"/>
        </w:rPr>
        <w:t>1.</w:t>
      </w:r>
      <w:r>
        <w:rPr>
          <w:rFonts w:hint="eastAsia" w:ascii="楷体_GB2312" w:hAnsi="楷体_GB2312" w:eastAsia="楷体_GB2312" w:cs="楷体_GB2312"/>
          <w:color w:val="000000"/>
          <w:kern w:val="0"/>
          <w:szCs w:val="32"/>
          <w:highlight w:val="none"/>
          <w:shd w:val="clear" w:color="auto" w:fill="FFFFFF"/>
          <w:lang w:val="zh-CN"/>
        </w:rPr>
        <w:t>履职效能。</w:t>
      </w:r>
      <w:r>
        <w:rPr>
          <w:rFonts w:hint="eastAsia" w:ascii="仿宋_GB2312" w:hAnsi="宋体" w:eastAsia="仿宋_GB2312" w:cs="仿宋_GB2312"/>
          <w:kern w:val="2"/>
          <w:sz w:val="32"/>
          <w:szCs w:val="32"/>
        </w:rPr>
        <w:t>2023年，全县信访工作认真学习贯彻</w:t>
      </w:r>
      <w:r>
        <w:rPr>
          <w:rFonts w:hint="eastAsia" w:ascii="仿宋_GB2312" w:hAnsi="宋体" w:eastAsia="仿宋_GB2312" w:cs="仿宋_GB2312"/>
          <w:spacing w:val="0"/>
          <w:kern w:val="0"/>
          <w:sz w:val="32"/>
          <w:szCs w:val="32"/>
        </w:rPr>
        <w:t>习近平总书记关于加强和改进人民信访工作的重要思想，继承发扬新时代“枫桥经验”，认真践行“四下基层”工作方法，</w:t>
      </w:r>
      <w:r>
        <w:rPr>
          <w:rFonts w:hint="eastAsia" w:ascii="仿宋_GB2312" w:hAnsi="宋体" w:eastAsia="仿宋_GB2312" w:cs="仿宋_GB2312"/>
          <w:kern w:val="2"/>
          <w:sz w:val="32"/>
          <w:szCs w:val="32"/>
        </w:rPr>
        <w:t>守住了不发生进京到省非访、不发生信访恶性事件、不发生信访群体性事件、不发生因工作不当引起的负面炒作“四个不发生”的底线。</w:t>
      </w:r>
      <w:r>
        <w:rPr>
          <w:rFonts w:hint="eastAsia" w:ascii="楷体_GB2312" w:hAnsi="宋体" w:eastAsia="楷体_GB2312" w:cs="楷体_GB2312"/>
          <w:b/>
          <w:kern w:val="0"/>
          <w:sz w:val="32"/>
          <w:szCs w:val="32"/>
        </w:rPr>
        <w:t>一是认真做好信访案件办理工作。</w:t>
      </w:r>
      <w:r>
        <w:rPr>
          <w:rFonts w:hint="eastAsia" w:ascii="仿宋_GB2312" w:hAnsi="宋体" w:eastAsia="仿宋_GB2312" w:cs="仿宋_GB2312"/>
          <w:kern w:val="2"/>
          <w:sz w:val="32"/>
          <w:szCs w:val="32"/>
        </w:rPr>
        <w:t>全年共受理群众来信来访126件，办结126件。信访案件及时受理率、按期办结率为100%。参评群众对责任部门满意率为91.67%，高于全州89.23%的水平。</w:t>
      </w:r>
      <w:r>
        <w:rPr>
          <w:rFonts w:hint="eastAsia" w:ascii="楷体_GB2312" w:hAnsi="宋体" w:eastAsia="楷体_GB2312" w:cs="楷体_GB2312"/>
          <w:b/>
          <w:kern w:val="0"/>
          <w:sz w:val="32"/>
          <w:szCs w:val="32"/>
        </w:rPr>
        <w:t>二是认真做好隐患排解工作。</w:t>
      </w:r>
      <w:r>
        <w:rPr>
          <w:rFonts w:hint="eastAsia" w:ascii="仿宋_GB2312" w:hAnsi="宋体" w:eastAsia="仿宋_GB2312" w:cs="仿宋_GB2312"/>
          <w:kern w:val="2"/>
          <w:sz w:val="32"/>
          <w:szCs w:val="32"/>
        </w:rPr>
        <w:t>印发《集中开展信访矛盾纠纷排查化解工作的通知》《信访矛盾大起底大排查大化解工作方案》，依托“两联一进”“四下基层”等活动，常态开展信访隐患排查化解工作。共排查出45件，化解45件。</w:t>
      </w:r>
      <w:r>
        <w:rPr>
          <w:rFonts w:hint="eastAsia" w:ascii="楷体_GB2312" w:hAnsi="宋体" w:eastAsia="楷体_GB2312" w:cs="楷体_GB2312"/>
          <w:b/>
          <w:kern w:val="0"/>
          <w:sz w:val="32"/>
          <w:szCs w:val="32"/>
        </w:rPr>
        <w:t>三是认真做好疑难攻坚。</w:t>
      </w:r>
      <w:r>
        <w:rPr>
          <w:rFonts w:hint="eastAsia" w:ascii="仿宋_GB2312" w:hAnsi="宋体" w:eastAsia="仿宋_GB2312" w:cs="仿宋_GB2312"/>
          <w:kern w:val="2"/>
          <w:sz w:val="32"/>
          <w:szCs w:val="32"/>
        </w:rPr>
        <w:t>按期圆满办结中央信</w:t>
      </w:r>
      <w:r>
        <w:rPr>
          <w:rFonts w:hint="eastAsia" w:ascii="仿宋_GB2312" w:hAnsi="宋体" w:eastAsia="仿宋_GB2312" w:cs="仿宋_GB2312"/>
          <w:kern w:val="0"/>
          <w:sz w:val="32"/>
          <w:szCs w:val="32"/>
        </w:rPr>
        <w:t>访工作联席会议办公室交办我县的第三批“治重化积”信访案件3件，省信访联席会议办公室交办的信访案件1件。县信访联席会议办公室与县法院、县人社局通力合作，为原红原岷江运业23名员工讨回工资100余万元。</w:t>
      </w:r>
      <w:r>
        <w:rPr>
          <w:rFonts w:hint="eastAsia" w:ascii="楷体_GB2312" w:hAnsi="宋体" w:eastAsia="楷体_GB2312" w:cs="楷体_GB2312"/>
          <w:b/>
          <w:kern w:val="0"/>
          <w:sz w:val="32"/>
          <w:szCs w:val="32"/>
        </w:rPr>
        <w:t>四是认真做好人员管控工作。</w:t>
      </w:r>
      <w:r>
        <w:rPr>
          <w:rFonts w:hint="eastAsia" w:ascii="仿宋_GB2312" w:hAnsi="宋体" w:eastAsia="仿宋_GB2312" w:cs="仿宋_GB2312"/>
          <w:kern w:val="2"/>
          <w:sz w:val="32"/>
          <w:szCs w:val="32"/>
        </w:rPr>
        <w:t>县信联办按照“属地管理、分级负责，谁主管、谁负责”原则，针对我县信访重点人员、群体向有关乡镇、部门“点对点”发放管控函、提示单129份，压实管控责任，确保不滋事扰序、吸附在当地。</w:t>
      </w:r>
      <w:r>
        <w:rPr>
          <w:rFonts w:hint="eastAsia" w:ascii="楷体_GB2312" w:hAnsi="宋体" w:eastAsia="楷体_GB2312" w:cs="楷体_GB2312"/>
          <w:b/>
          <w:kern w:val="0"/>
          <w:sz w:val="32"/>
          <w:szCs w:val="32"/>
        </w:rPr>
        <w:t>五是</w:t>
      </w:r>
      <w:r>
        <w:rPr>
          <w:rFonts w:hint="eastAsia" w:ascii="楷体_GB2312" w:hAnsi="宋体" w:eastAsia="楷体_GB2312" w:cs="楷体_GB2312"/>
          <w:b/>
          <w:kern w:val="2"/>
          <w:sz w:val="32"/>
          <w:szCs w:val="32"/>
        </w:rPr>
        <w:t>认真做好宣传宣讲。</w:t>
      </w:r>
      <w:r>
        <w:rPr>
          <w:rFonts w:hint="eastAsia" w:ascii="仿宋_GB2312" w:hAnsi="宋体" w:eastAsia="仿宋_GB2312" w:cs="仿宋_GB2312"/>
          <w:kern w:val="2"/>
          <w:sz w:val="32"/>
          <w:szCs w:val="32"/>
        </w:rPr>
        <w:t>采取在红军广场集中宣传，组织小分队深入建筑工地定点宣传等方式，开展《信访工作条例》宣传活动。同时，将《信访工作条例》宣传宣讲融入到案件办理全过程。发放各类宣传资料900余份，为群众提供咨询服务50余人次。</w:t>
      </w:r>
      <w:r>
        <w:rPr>
          <w:rFonts w:hint="eastAsia" w:ascii="楷体_GB2312" w:hAnsi="宋体" w:eastAsia="楷体_GB2312" w:cs="楷体_GB2312"/>
          <w:b/>
          <w:kern w:val="0"/>
          <w:sz w:val="32"/>
          <w:szCs w:val="32"/>
        </w:rPr>
        <w:t>六是认真做好信访保障工作。</w:t>
      </w:r>
      <w:r>
        <w:rPr>
          <w:rFonts w:hint="eastAsia" w:ascii="仿宋_GB2312" w:hAnsi="宋体" w:eastAsia="仿宋_GB2312" w:cs="仿宋_GB2312"/>
          <w:kern w:val="2"/>
          <w:sz w:val="32"/>
          <w:szCs w:val="32"/>
        </w:rPr>
        <w:t>圆满完成全国、省州县“两会”、成都大运会、建州70周年庆祝及雅克音乐季系列活动等重要节会期间的信访安全保障工作任务。</w:t>
      </w:r>
      <w:r>
        <w:rPr>
          <w:rFonts w:hint="eastAsia" w:ascii="仿宋_GB2312" w:hAnsi="仿宋" w:eastAsia="仿宋_GB2312" w:cs="仿宋_GB2312"/>
          <w:kern w:val="2"/>
          <w:sz w:val="32"/>
          <w:szCs w:val="32"/>
        </w:rPr>
        <w:t>根据我局年初工作规划和重点性工作，较好的完成了年度工作目标。</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0" w:firstLineChars="200"/>
        <w:textAlignment w:val="auto"/>
        <w:rPr>
          <w:rFonts w:hint="eastAsia" w:ascii="仿宋_GB2312" w:hAnsi="仿宋" w:eastAsia="仿宋_GB2312" w:cs="宋体"/>
          <w:kern w:val="2"/>
          <w:sz w:val="32"/>
          <w:szCs w:val="32"/>
        </w:rPr>
      </w:pPr>
      <w:r>
        <w:rPr>
          <w:rFonts w:hint="eastAsia" w:ascii="楷体_GB2312" w:hAnsi="楷体_GB2312" w:eastAsia="楷体_GB2312" w:cs="楷体_GB2312"/>
          <w:color w:val="000000"/>
          <w:kern w:val="0"/>
          <w:sz w:val="32"/>
          <w:szCs w:val="32"/>
          <w:highlight w:val="none"/>
          <w:shd w:val="clear" w:color="auto" w:fill="FFFFFF"/>
          <w:lang w:val="en-US" w:eastAsia="zh-CN"/>
        </w:rPr>
        <w:t>2.</w:t>
      </w:r>
      <w:r>
        <w:rPr>
          <w:rFonts w:hint="default" w:ascii="楷体_GB2312" w:hAnsi="楷体_GB2312" w:eastAsia="楷体_GB2312" w:cs="楷体_GB2312"/>
          <w:color w:val="000000"/>
          <w:kern w:val="0"/>
          <w:sz w:val="32"/>
          <w:szCs w:val="32"/>
          <w:highlight w:val="none"/>
          <w:shd w:val="clear" w:color="auto" w:fill="FFFFFF"/>
          <w:lang w:val="zh-CN"/>
        </w:rPr>
        <w:t>预算管理</w:t>
      </w:r>
      <w:r>
        <w:rPr>
          <w:rFonts w:hint="eastAsia" w:ascii="楷体_GB2312" w:hAnsi="楷体_GB2312" w:eastAsia="楷体_GB2312" w:cs="楷体_GB2312"/>
          <w:color w:val="000000"/>
          <w:kern w:val="0"/>
          <w:sz w:val="32"/>
          <w:szCs w:val="32"/>
          <w:highlight w:val="none"/>
          <w:shd w:val="clear" w:color="auto" w:fill="FFFFFF"/>
          <w:lang w:val="zh-CN"/>
        </w:rPr>
        <w:t>。</w:t>
      </w:r>
      <w:r>
        <w:rPr>
          <w:rFonts w:hint="eastAsia" w:ascii="仿宋_GB2312" w:hAnsi="仿宋" w:eastAsia="仿宋_GB2312" w:cs="仿宋_GB2312"/>
          <w:kern w:val="2"/>
          <w:sz w:val="32"/>
          <w:szCs w:val="32"/>
        </w:rPr>
        <w:t>红原</w:t>
      </w:r>
      <w:r>
        <w:rPr>
          <w:rFonts w:hint="eastAsia" w:hAnsi="仿宋" w:cs="仿宋_GB2312"/>
          <w:kern w:val="2"/>
          <w:sz w:val="32"/>
          <w:szCs w:val="32"/>
          <w:lang w:eastAsia="zh-CN"/>
        </w:rPr>
        <w:t>县</w:t>
      </w:r>
      <w:r>
        <w:rPr>
          <w:rFonts w:hint="eastAsia" w:ascii="仿宋_GB2312" w:hAnsi="仿宋" w:eastAsia="仿宋_GB2312" w:cs="仿宋_GB2312"/>
          <w:kern w:val="2"/>
          <w:sz w:val="32"/>
          <w:szCs w:val="32"/>
        </w:rPr>
        <w:t>信访局</w:t>
      </w:r>
      <w:r>
        <w:rPr>
          <w:rFonts w:hint="eastAsia" w:ascii="仿宋_GB2312" w:hAnsi="仿宋" w:eastAsia="仿宋_GB2312" w:cs="宋体"/>
          <w:kern w:val="2"/>
          <w:sz w:val="32"/>
          <w:szCs w:val="32"/>
        </w:rPr>
        <w:t>2023年总支出217.68元，主要用于保障该部门机构正常运转、完成日常工作任务以及相关工作。支出217.68万元，支出按照基本支出215.52万元，项目支出2.16万元。人员经费194.15万元，公用经费21.36万元。其中：基本工资35.1万元，津贴补贴50.87万元、奖金45.52万元，养老保险18.45万元，职业年金9.22万元，职工医保9.81万元，医保补助1.72万元，住房公积金14.04万元，其他社会保障缴费1.75万元，办公费10.03万元，工会经费1.41万元，差旅费9.59万元，公务用车运维费0万元，取暖费：0.16万元，公务接待费：0.18万元。</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0" w:firstLineChars="200"/>
        <w:textAlignment w:val="auto"/>
        <w:rPr>
          <w:rFonts w:hint="eastAsia" w:ascii="仿宋_GB2312" w:hAnsi="仿宋" w:eastAsia="仿宋_GB2312" w:cs="宋体"/>
          <w:kern w:val="2"/>
          <w:sz w:val="32"/>
          <w:szCs w:val="32"/>
        </w:rPr>
      </w:pPr>
      <w:r>
        <w:rPr>
          <w:rFonts w:hint="eastAsia" w:ascii="仿宋_GB2312" w:hAnsi="仿宋" w:eastAsia="仿宋_GB2312" w:cs="仿宋_GB2312"/>
          <w:kern w:val="2"/>
          <w:sz w:val="32"/>
          <w:szCs w:val="32"/>
        </w:rPr>
        <w:t>根据我局年初工作规划和重点性工作，较好的完成了年度工作目标。通过加强预算收支的管理，不断建立健全内部管理制度，理顺内部管理流程，部门整体支出管理情况得到了提升。</w:t>
      </w:r>
      <w:r>
        <w:rPr>
          <w:rFonts w:hint="eastAsia" w:ascii="仿宋_GB2312" w:hAnsi="仿宋" w:eastAsia="仿宋_GB2312" w:cs="仿宋_GB2312"/>
          <w:b/>
          <w:bCs/>
          <w:kern w:val="2"/>
          <w:sz w:val="32"/>
          <w:szCs w:val="32"/>
        </w:rPr>
        <w:t>一是</w:t>
      </w:r>
      <w:r>
        <w:rPr>
          <w:rFonts w:hint="eastAsia" w:ascii="仿宋_GB2312" w:hAnsi="仿宋" w:eastAsia="仿宋_GB2312" w:cs="仿宋_GB2312"/>
          <w:kern w:val="2"/>
          <w:sz w:val="32"/>
          <w:szCs w:val="32"/>
        </w:rPr>
        <w:t>本年预算安排控制较好，财政供养人员控制率</w:t>
      </w:r>
      <w:r>
        <w:rPr>
          <w:rFonts w:hint="eastAsia" w:ascii="仿宋_GB2312" w:hAnsi="仿宋" w:eastAsia="仿宋_GB2312" w:cs="宋体"/>
          <w:kern w:val="2"/>
          <w:sz w:val="32"/>
          <w:szCs w:val="32"/>
        </w:rPr>
        <w:t>100%，控制在预算编制以内；</w:t>
      </w:r>
      <w:r>
        <w:rPr>
          <w:rFonts w:hint="eastAsia" w:ascii="仿宋_GB2312" w:hAnsi="仿宋" w:eastAsia="仿宋_GB2312" w:cs="宋体"/>
          <w:b/>
          <w:bCs/>
          <w:kern w:val="2"/>
          <w:sz w:val="32"/>
          <w:szCs w:val="32"/>
        </w:rPr>
        <w:t>二是</w:t>
      </w:r>
      <w:r>
        <w:rPr>
          <w:rFonts w:hint="eastAsia" w:ascii="仿宋_GB2312" w:hAnsi="仿宋" w:eastAsia="仿宋_GB2312" w:cs="宋体"/>
          <w:kern w:val="2"/>
          <w:sz w:val="32"/>
          <w:szCs w:val="32"/>
        </w:rPr>
        <w:t>预算执行方面，本年转移资金支付不存在截留或滞留专项资金情况。</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0" w:firstLineChars="200"/>
        <w:textAlignment w:val="auto"/>
        <w:rPr>
          <w:rFonts w:hint="eastAsia" w:ascii="仿宋_GB2312" w:hAnsi="仿宋" w:eastAsia="仿宋_GB2312" w:cs="仿宋_GB2312"/>
          <w:kern w:val="2"/>
          <w:sz w:val="32"/>
          <w:szCs w:val="32"/>
          <w:lang w:val="zh-CN"/>
        </w:rPr>
      </w:pPr>
      <w:r>
        <w:rPr>
          <w:rFonts w:hint="eastAsia" w:ascii="仿宋_GB2312" w:hAnsi="仿宋" w:eastAsia="仿宋_GB2312" w:cs="仿宋_GB2312"/>
          <w:kern w:val="2"/>
          <w:sz w:val="32"/>
          <w:szCs w:val="32"/>
          <w:lang w:val="en-US" w:eastAsia="zh-CN"/>
        </w:rPr>
        <w:t>3.</w:t>
      </w:r>
      <w:r>
        <w:rPr>
          <w:rFonts w:hint="default" w:ascii="仿宋_GB2312" w:hAnsi="仿宋" w:eastAsia="仿宋_GB2312" w:cs="仿宋_GB2312"/>
          <w:kern w:val="2"/>
          <w:sz w:val="32"/>
          <w:szCs w:val="32"/>
          <w:lang w:val="zh-CN"/>
        </w:rPr>
        <w:t>财务管理</w:t>
      </w:r>
      <w:r>
        <w:rPr>
          <w:rFonts w:hint="eastAsia" w:ascii="仿宋_GB2312" w:hAnsi="仿宋" w:eastAsia="仿宋_GB2312" w:cs="仿宋_GB2312"/>
          <w:kern w:val="2"/>
          <w:sz w:val="32"/>
          <w:szCs w:val="32"/>
          <w:lang w:val="zh-CN"/>
        </w:rPr>
        <w:t>。财务管理规范，制定财务制度，遵守财经纪律，严格各项报账、审核制度；绩效工作方面，以深入创建人民满意度窗口创建为主线，开展好来访接待办理工作，强化财务人员的管理评价，把资金预算好、管理好，使用好，把每笔公务经费合理合规合法安排，一年来，“三公”经反复无超支现象，各项工有序稳固推进；决算工作按照县级安排，有序组织会计人员做好决算的录入、上报等工作。</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0" w:firstLineChars="200"/>
        <w:textAlignment w:val="auto"/>
        <w:rPr>
          <w:rFonts w:hint="eastAsia" w:ascii="仿宋_GB2312" w:hAnsi="仿宋" w:eastAsia="仿宋_GB2312" w:cs="仿宋_GB2312"/>
          <w:kern w:val="2"/>
          <w:sz w:val="32"/>
          <w:szCs w:val="32"/>
          <w:lang w:val="zh-CN" w:eastAsia="zh-CN"/>
        </w:rPr>
      </w:pPr>
      <w:r>
        <w:rPr>
          <w:rFonts w:hint="eastAsia" w:ascii="仿宋_GB2312" w:hAnsi="仿宋" w:eastAsia="仿宋_GB2312" w:cs="仿宋_GB2312"/>
          <w:kern w:val="2"/>
          <w:sz w:val="32"/>
          <w:szCs w:val="32"/>
          <w:lang w:val="en-US" w:eastAsia="zh-CN"/>
        </w:rPr>
        <w:t>4.</w:t>
      </w:r>
      <w:r>
        <w:rPr>
          <w:rFonts w:hint="default" w:ascii="仿宋_GB2312" w:hAnsi="仿宋" w:eastAsia="仿宋_GB2312" w:cs="仿宋_GB2312"/>
          <w:kern w:val="2"/>
          <w:sz w:val="32"/>
          <w:szCs w:val="32"/>
          <w:lang w:val="zh-CN"/>
        </w:rPr>
        <w:t>资产管理</w:t>
      </w:r>
      <w:r>
        <w:rPr>
          <w:rFonts w:hint="eastAsia" w:ascii="仿宋_GB2312" w:hAnsi="仿宋" w:eastAsia="仿宋_GB2312" w:cs="仿宋_GB2312"/>
          <w:kern w:val="2"/>
          <w:sz w:val="32"/>
          <w:szCs w:val="32"/>
          <w:lang w:val="zh-CN"/>
        </w:rPr>
        <w:t>。</w:t>
      </w:r>
      <w:r>
        <w:rPr>
          <w:rFonts w:hint="eastAsia" w:ascii="仿宋_GB2312" w:hAnsi="仿宋" w:eastAsia="仿宋_GB2312" w:cs="仿宋_GB2312"/>
          <w:kern w:val="2"/>
          <w:sz w:val="32"/>
          <w:szCs w:val="32"/>
          <w:lang w:val="zh-CN" w:eastAsia="zh-CN"/>
        </w:rPr>
        <w:t>完善资产管理办法，建立资产台账，尤其在2023年对行政事业单位资产进行全面清查核实，进一步完善了资产信息系统，实现了对资产的动态管理。在会计控制方面，完善了单位的会计管理办法，强化会计人员管理制度，加强会计档案管理，明确会计凭证、会计账簿等处理程序。</w:t>
      </w:r>
      <w:r>
        <w:rPr>
          <w:rFonts w:hint="eastAsia" w:ascii="仿宋_GB2312" w:hAnsi="仿宋" w:eastAsia="仿宋_GB2312" w:cs="仿宋_GB2312"/>
          <w:kern w:val="2"/>
          <w:sz w:val="32"/>
          <w:szCs w:val="32"/>
          <w:lang w:val="en-US" w:eastAsia="zh-CN"/>
        </w:rPr>
        <w:t>2023年</w:t>
      </w:r>
      <w:r>
        <w:rPr>
          <w:rFonts w:hint="eastAsia" w:ascii="仿宋_GB2312" w:hAnsi="仿宋" w:eastAsia="仿宋_GB2312" w:cs="仿宋_GB2312"/>
          <w:kern w:val="2"/>
          <w:sz w:val="32"/>
          <w:szCs w:val="32"/>
          <w:lang w:val="zh-CN" w:eastAsia="zh-CN"/>
        </w:rPr>
        <w:t>固定资产原值26.54万元，折旧24.19万元，净值2.35万元，我单位公务用车1台，因未过户，资产值未入帐;银行存款结余0.56元，主要为利息。信访局无资产盘活。</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0" w:firstLineChars="200"/>
        <w:textAlignment w:val="auto"/>
        <w:rPr>
          <w:rFonts w:hint="eastAsia" w:ascii="仿宋_GB2312" w:hAnsi="仿宋" w:eastAsia="仿宋_GB2312" w:cs="仿宋_GB2312"/>
          <w:kern w:val="2"/>
          <w:sz w:val="32"/>
          <w:szCs w:val="32"/>
          <w:lang w:val="zh-CN"/>
        </w:rPr>
      </w:pPr>
      <w:r>
        <w:rPr>
          <w:rFonts w:hint="eastAsia" w:ascii="仿宋_GB2312" w:hAnsi="仿宋" w:eastAsia="仿宋_GB2312" w:cs="仿宋_GB2312"/>
          <w:kern w:val="2"/>
          <w:sz w:val="32"/>
          <w:szCs w:val="32"/>
          <w:lang w:val="en-US" w:eastAsia="zh-CN"/>
        </w:rPr>
        <w:t>5.</w:t>
      </w:r>
      <w:r>
        <w:rPr>
          <w:rFonts w:hint="default" w:ascii="仿宋_GB2312" w:hAnsi="仿宋" w:eastAsia="仿宋_GB2312" w:cs="仿宋_GB2312"/>
          <w:kern w:val="2"/>
          <w:sz w:val="32"/>
          <w:szCs w:val="32"/>
          <w:lang w:val="zh-CN"/>
        </w:rPr>
        <w:t>采购管理</w:t>
      </w:r>
      <w:r>
        <w:rPr>
          <w:rFonts w:hint="eastAsia" w:ascii="仿宋_GB2312" w:hAnsi="仿宋" w:eastAsia="仿宋_GB2312" w:cs="仿宋_GB2312"/>
          <w:kern w:val="2"/>
          <w:sz w:val="32"/>
          <w:szCs w:val="32"/>
          <w:lang w:val="zh-CN"/>
        </w:rPr>
        <w:t>。</w:t>
      </w:r>
      <w:r>
        <w:rPr>
          <w:rFonts w:hint="eastAsia" w:ascii="仿宋_GB2312" w:hAnsi="仿宋" w:eastAsia="仿宋_GB2312" w:cs="仿宋_GB2312"/>
          <w:kern w:val="2"/>
          <w:sz w:val="32"/>
          <w:szCs w:val="32"/>
          <w:lang w:val="en-US" w:eastAsia="zh-CN"/>
        </w:rPr>
        <w:t>2023年我单位无政府采购。</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3" w:firstLineChars="200"/>
        <w:textAlignment w:val="auto"/>
        <w:rPr>
          <w:rFonts w:hint="eastAsia" w:ascii="楷体_GB2312" w:hAnsi="Times New Roman" w:eastAsia="楷体_GB2312" w:cs="Times New Roman"/>
          <w:b/>
          <w:kern w:val="2"/>
          <w:sz w:val="32"/>
          <w:szCs w:val="32"/>
          <w:lang w:val="en-US" w:eastAsia="zh-CN" w:bidi="ar-SA"/>
        </w:rPr>
      </w:pPr>
      <w:r>
        <w:rPr>
          <w:rFonts w:hint="eastAsia" w:ascii="楷体_GB2312" w:hAnsi="Times New Roman" w:eastAsia="楷体_GB2312" w:cs="Times New Roman"/>
          <w:b/>
          <w:kern w:val="2"/>
          <w:sz w:val="32"/>
          <w:szCs w:val="32"/>
          <w:lang w:val="en-US" w:eastAsia="zh-CN" w:bidi="ar-SA"/>
        </w:rPr>
        <w:t>（二）部门预算项目绩效分析。</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640" w:firstLineChars="200"/>
        <w:textAlignment w:val="auto"/>
        <w:rPr>
          <w:rFonts w:hint="eastAsia" w:ascii="仿宋_GB2312" w:hAnsi="仿宋" w:eastAsia="仿宋_GB2312" w:cs="仿宋_GB2312"/>
          <w:kern w:val="2"/>
          <w:sz w:val="32"/>
          <w:szCs w:val="32"/>
          <w:lang w:val="zh-CN"/>
        </w:rPr>
      </w:pPr>
      <w:r>
        <w:rPr>
          <w:rFonts w:hint="eastAsia" w:ascii="仿宋_GB2312" w:hAnsi="仿宋" w:eastAsia="仿宋_GB2312" w:cs="仿宋_GB2312"/>
          <w:kern w:val="2"/>
          <w:sz w:val="32"/>
          <w:szCs w:val="32"/>
        </w:rPr>
        <w:t>我单位</w:t>
      </w:r>
      <w:r>
        <w:rPr>
          <w:rFonts w:hint="eastAsia" w:ascii="仿宋_GB2312" w:hAnsi="仿宋" w:eastAsia="仿宋_GB2312" w:cs="宋体"/>
          <w:kern w:val="2"/>
          <w:sz w:val="32"/>
          <w:szCs w:val="32"/>
        </w:rPr>
        <w:t>2023年项目为非基建项目，项目绩效目标无。</w:t>
      </w:r>
    </w:p>
    <w:p>
      <w:pPr>
        <w:pStyle w:val="2"/>
        <w:keepNext w:val="0"/>
        <w:keepLines w:val="0"/>
        <w:pageBreakBefore w:val="0"/>
        <w:widowControl w:val="0"/>
        <w:suppressLineNumbers w:val="0"/>
        <w:kinsoku/>
        <w:wordWrap/>
        <w:overflowPunct/>
        <w:topLinePunct w:val="0"/>
        <w:autoSpaceDE w:val="0"/>
        <w:autoSpaceDN/>
        <w:bidi w:val="0"/>
        <w:spacing w:after="0" w:afterAutospacing="0" w:line="576" w:lineRule="exact"/>
        <w:ind w:left="0" w:leftChars="0" w:firstLine="964" w:firstLineChars="300"/>
        <w:jc w:val="both"/>
        <w:textAlignment w:val="auto"/>
        <w:rPr>
          <w:rFonts w:hint="eastAsia" w:ascii="仿宋" w:hAnsi="仿宋" w:eastAsia="仿宋" w:cs="Times New Roman"/>
          <w:color w:val="000000"/>
          <w:kern w:val="2"/>
          <w:sz w:val="32"/>
          <w:szCs w:val="32"/>
          <w:lang w:val="en-US" w:eastAsia="zh-CN" w:bidi="ar-SA"/>
        </w:rPr>
      </w:pPr>
      <w:r>
        <w:rPr>
          <w:rFonts w:hint="eastAsia" w:ascii="楷体_GB2312" w:eastAsia="楷体_GB2312"/>
          <w:b/>
          <w:sz w:val="32"/>
          <w:szCs w:val="32"/>
        </w:rPr>
        <w:t>（三）重点领域绩效分析。</w:t>
      </w:r>
      <w:r>
        <w:rPr>
          <w:rFonts w:hint="eastAsia" w:ascii="仿宋" w:hAnsi="仿宋" w:eastAsia="仿宋" w:cs="Times New Roman"/>
          <w:b/>
          <w:bCs/>
          <w:color w:val="000000"/>
          <w:kern w:val="2"/>
          <w:sz w:val="32"/>
          <w:szCs w:val="32"/>
          <w:lang w:val="en-US" w:eastAsia="zh-CN" w:bidi="ar-SA"/>
        </w:rPr>
        <w:t>一是</w:t>
      </w:r>
      <w:r>
        <w:rPr>
          <w:rFonts w:hint="eastAsia" w:ascii="仿宋" w:hAnsi="仿宋" w:eastAsia="仿宋" w:cs="Times New Roman"/>
          <w:color w:val="000000"/>
          <w:kern w:val="2"/>
          <w:sz w:val="32"/>
          <w:szCs w:val="32"/>
          <w:lang w:val="en-US" w:eastAsia="zh-CN" w:bidi="ar-SA"/>
        </w:rPr>
        <w:t>年初召开全面工作安排部署会议，对党建、党风廉政建设、宣传思想等工作进行安排部署，细化责任分工、明确目标任务。</w:t>
      </w:r>
      <w:r>
        <w:rPr>
          <w:rFonts w:hint="eastAsia" w:ascii="仿宋" w:hAnsi="仿宋" w:eastAsia="仿宋" w:cs="Times New Roman"/>
          <w:b/>
          <w:bCs/>
          <w:color w:val="000000"/>
          <w:kern w:val="2"/>
          <w:sz w:val="32"/>
          <w:szCs w:val="32"/>
          <w:lang w:val="en-US" w:eastAsia="zh-CN" w:bidi="ar-SA"/>
        </w:rPr>
        <w:t>二是</w:t>
      </w:r>
      <w:r>
        <w:rPr>
          <w:rFonts w:hint="eastAsia" w:ascii="仿宋" w:hAnsi="仿宋" w:eastAsia="仿宋" w:cs="Times New Roman"/>
          <w:color w:val="000000"/>
          <w:kern w:val="2"/>
          <w:sz w:val="32"/>
          <w:szCs w:val="32"/>
          <w:lang w:val="en-US" w:eastAsia="zh-CN" w:bidi="ar-SA"/>
        </w:rPr>
        <w:t>召开党建、党风廉政建设专题会议2次，签订党风廉政责任书8份。</w:t>
      </w:r>
      <w:r>
        <w:rPr>
          <w:rFonts w:hint="eastAsia" w:ascii="楷体_GB2312" w:hAnsi="宋体" w:eastAsia="楷体_GB2312" w:cs="楷体_GB2312"/>
          <w:b/>
          <w:kern w:val="0"/>
          <w:sz w:val="32"/>
          <w:szCs w:val="32"/>
          <w:lang w:eastAsia="zh-CN"/>
        </w:rPr>
        <w:t>三</w:t>
      </w:r>
      <w:r>
        <w:rPr>
          <w:rFonts w:hint="eastAsia" w:ascii="楷体_GB2312" w:hAnsi="宋体" w:eastAsia="楷体_GB2312" w:cs="楷体_GB2312"/>
          <w:b/>
          <w:kern w:val="0"/>
          <w:sz w:val="32"/>
          <w:szCs w:val="32"/>
        </w:rPr>
        <w:t>是</w:t>
      </w:r>
      <w:r>
        <w:rPr>
          <w:rFonts w:hint="eastAsia" w:ascii="仿宋_GB2312" w:hAnsi="宋体" w:eastAsia="仿宋_GB2312" w:cs="仿宋_GB2312"/>
          <w:kern w:val="2"/>
          <w:sz w:val="32"/>
          <w:szCs w:val="32"/>
        </w:rPr>
        <w:t>全年共受理群众来信来访126件，办结126件。信访案件及时受理率、按期办结率为100%。参评群众对责任部门满意率为91.67%，高于全州89.23%的水平。</w:t>
      </w:r>
      <w:r>
        <w:rPr>
          <w:rFonts w:hint="eastAsia" w:ascii="楷体_GB2312" w:hAnsi="宋体" w:eastAsia="楷体_GB2312" w:cs="楷体_GB2312"/>
          <w:b/>
          <w:kern w:val="0"/>
          <w:sz w:val="32"/>
          <w:szCs w:val="32"/>
          <w:lang w:eastAsia="zh-CN"/>
        </w:rPr>
        <w:t>四</w:t>
      </w:r>
      <w:r>
        <w:rPr>
          <w:rFonts w:hint="eastAsia" w:ascii="楷体_GB2312" w:hAnsi="宋体" w:eastAsia="楷体_GB2312" w:cs="楷体_GB2312"/>
          <w:b/>
          <w:kern w:val="0"/>
          <w:sz w:val="32"/>
          <w:szCs w:val="32"/>
        </w:rPr>
        <w:t>是</w:t>
      </w:r>
      <w:r>
        <w:rPr>
          <w:rFonts w:hint="eastAsia" w:ascii="仿宋_GB2312" w:hAnsi="宋体" w:eastAsia="仿宋_GB2312" w:cs="仿宋_GB2312"/>
          <w:kern w:val="2"/>
          <w:sz w:val="32"/>
          <w:szCs w:val="32"/>
        </w:rPr>
        <w:t>印发《集中开展信访矛盾纠纷排查化解工作的通知》《信访矛盾大起底大排查大化解工作方案》，依托“两联一进”“四下基层”等活动，常态开展信访隐患排查化解工作。共排查出45件，化解45件。</w:t>
      </w:r>
      <w:r>
        <w:rPr>
          <w:rFonts w:hint="eastAsia" w:hAnsi="宋体" w:cs="仿宋_GB2312"/>
          <w:b/>
          <w:bCs/>
          <w:kern w:val="2"/>
          <w:sz w:val="32"/>
          <w:szCs w:val="32"/>
          <w:lang w:eastAsia="zh-CN"/>
        </w:rPr>
        <w:t>五</w:t>
      </w:r>
      <w:r>
        <w:rPr>
          <w:rFonts w:hint="eastAsia" w:ascii="楷体_GB2312" w:hAnsi="宋体" w:eastAsia="楷体_GB2312" w:cs="楷体_GB2312"/>
          <w:b/>
          <w:bCs/>
          <w:kern w:val="0"/>
          <w:sz w:val="32"/>
          <w:szCs w:val="32"/>
        </w:rPr>
        <w:t>是</w:t>
      </w:r>
      <w:r>
        <w:rPr>
          <w:rFonts w:hint="eastAsia" w:ascii="仿宋_GB2312" w:hAnsi="宋体" w:eastAsia="仿宋_GB2312" w:cs="仿宋_GB2312"/>
          <w:kern w:val="2"/>
          <w:sz w:val="32"/>
          <w:szCs w:val="32"/>
        </w:rPr>
        <w:t>按期圆满办结中央信</w:t>
      </w:r>
      <w:r>
        <w:rPr>
          <w:rFonts w:hint="eastAsia" w:ascii="仿宋_GB2312" w:hAnsi="宋体" w:eastAsia="仿宋_GB2312" w:cs="仿宋_GB2312"/>
          <w:kern w:val="0"/>
          <w:sz w:val="32"/>
          <w:szCs w:val="32"/>
        </w:rPr>
        <w:t>访工作联席会议办公室交办我县的第三批“治重化积”信访案件3件，省信访联席会议办公室交办的信访案件1件。县信访联席会议办公室与县法院、县人社局通力合作，为原红原岷江运业23名员工讨回工资100余万元。</w:t>
      </w:r>
      <w:r>
        <w:rPr>
          <w:rFonts w:hint="eastAsia" w:ascii="楷体_GB2312" w:hAnsi="宋体" w:eastAsia="楷体_GB2312" w:cs="楷体_GB2312"/>
          <w:b/>
          <w:kern w:val="0"/>
          <w:sz w:val="32"/>
          <w:szCs w:val="32"/>
        </w:rPr>
        <w:t>六是</w:t>
      </w:r>
      <w:r>
        <w:rPr>
          <w:rFonts w:hint="eastAsia" w:ascii="仿宋_GB2312" w:hAnsi="宋体" w:eastAsia="仿宋_GB2312" w:cs="仿宋_GB2312"/>
          <w:kern w:val="2"/>
          <w:sz w:val="32"/>
          <w:szCs w:val="32"/>
        </w:rPr>
        <w:t>圆满完成全国、省州县“两会”、成都大运会、建州70周年庆祝及雅克音乐季系列活动等重要节会期间的信访安全保障工作任务。</w:t>
      </w:r>
      <w:r>
        <w:rPr>
          <w:rFonts w:hint="eastAsia" w:ascii="仿宋_GB2312" w:hAnsi="仿宋" w:eastAsia="仿宋_GB2312" w:cs="仿宋_GB2312"/>
          <w:kern w:val="2"/>
          <w:sz w:val="32"/>
          <w:szCs w:val="32"/>
        </w:rPr>
        <w:t>根据我局年初工作规划和重点性工作，较好的完成了年度工作目标。</w:t>
      </w:r>
    </w:p>
    <w:p>
      <w:pPr>
        <w:ind w:firstLine="643" w:firstLineChars="200"/>
        <w:rPr>
          <w:rFonts w:eastAsia="仿宋_GB2312"/>
          <w:sz w:val="32"/>
          <w:szCs w:val="32"/>
          <w:lang w:val="zh-CN"/>
        </w:rPr>
      </w:pPr>
      <w:r>
        <w:rPr>
          <w:rFonts w:hint="eastAsia" w:ascii="楷体_GB2312" w:eastAsia="楷体_GB2312"/>
          <w:b/>
          <w:sz w:val="32"/>
          <w:szCs w:val="32"/>
        </w:rPr>
        <w:t>（四）绩效结果应用情况。</w:t>
      </w:r>
      <w:r>
        <w:rPr>
          <w:rFonts w:hint="eastAsia" w:ascii="Times New Roman" w:hAnsi="Times New Roman" w:eastAsia="仿宋_GB2312" w:cs="Times New Roman"/>
          <w:b w:val="0"/>
          <w:bCs w:val="0"/>
          <w:kern w:val="2"/>
          <w:sz w:val="32"/>
          <w:szCs w:val="32"/>
          <w:highlight w:val="none"/>
          <w:u w:val="none"/>
          <w:lang w:val="en-US" w:eastAsia="zh-CN" w:bidi="ar-SA"/>
        </w:rPr>
        <w:t>按照县级安排，按期公开工作情况。</w:t>
      </w:r>
      <w:r>
        <w:rPr>
          <w:rFonts w:hint="eastAsia" w:ascii="仿宋_GB2312" w:hAnsi="仿宋_GB2312" w:eastAsia="仿宋_GB2312" w:cs="仿宋_GB2312"/>
          <w:sz w:val="32"/>
        </w:rPr>
        <w:t>我局工作经费安排严格按照年初预算来执行</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整体支出绩效评价指标体系打分，自评得分</w:t>
      </w:r>
      <w:r>
        <w:rPr>
          <w:rFonts w:ascii="仿宋_GB2312" w:hAnsi="仿宋_GB2312" w:eastAsia="仿宋_GB2312" w:cs="仿宋_GB2312"/>
          <w:sz w:val="32"/>
        </w:rPr>
        <w:t>96.5</w:t>
      </w:r>
      <w:r>
        <w:rPr>
          <w:rFonts w:hint="eastAsia" w:ascii="仿宋_GB2312" w:hAnsi="仿宋_GB2312" w:eastAsia="仿宋_GB2312" w:cs="仿宋_GB2312"/>
          <w:sz w:val="32"/>
        </w:rPr>
        <w:t>分；认真学习财经法规，严格执行财经纪律，防止了违法违纪行为的发生。</w:t>
      </w:r>
    </w:p>
    <w:p>
      <w:pPr>
        <w:ind w:firstLine="640" w:firstLineChars="200"/>
        <w:rPr>
          <w:rFonts w:ascii="黑体" w:hAnsi="黑体" w:eastAsia="黑体"/>
          <w:sz w:val="32"/>
          <w:szCs w:val="32"/>
        </w:rPr>
      </w:pPr>
      <w:r>
        <w:rPr>
          <w:rFonts w:hint="eastAsia" w:ascii="黑体" w:hAnsi="黑体" w:eastAsia="黑体"/>
          <w:sz w:val="32"/>
          <w:szCs w:val="32"/>
        </w:rPr>
        <w:t>四、评价结论及建议</w:t>
      </w:r>
    </w:p>
    <w:p>
      <w:pPr>
        <w:ind w:firstLine="643" w:firstLineChars="200"/>
        <w:rPr>
          <w:rFonts w:hint="eastAsia" w:ascii="楷体_GB2312" w:eastAsia="楷体_GB2312"/>
          <w:b/>
          <w:sz w:val="32"/>
          <w:szCs w:val="32"/>
        </w:rPr>
      </w:pPr>
      <w:r>
        <w:rPr>
          <w:rFonts w:hint="eastAsia" w:ascii="楷体_GB2312" w:eastAsia="楷体_GB2312"/>
          <w:b/>
          <w:sz w:val="32"/>
          <w:szCs w:val="32"/>
        </w:rPr>
        <w:t>（一）评价结论。</w:t>
      </w:r>
    </w:p>
    <w:p>
      <w:pPr>
        <w:keepNext w:val="0"/>
        <w:keepLines w:val="0"/>
        <w:pageBreakBefore w:val="0"/>
        <w:kinsoku/>
        <w:wordWrap/>
        <w:overflowPunct/>
        <w:topLinePunct w:val="0"/>
        <w:autoSpaceDN/>
        <w:bidi w:val="0"/>
        <w:spacing w:afterAutospacing="0" w:line="576" w:lineRule="exact"/>
        <w:ind w:firstLine="640" w:firstLineChars="200"/>
        <w:textAlignment w:val="auto"/>
        <w:rPr>
          <w:rFonts w:hint="eastAsia"/>
        </w:rPr>
      </w:pPr>
      <w:r>
        <w:rPr>
          <w:rFonts w:ascii="仿宋_GB2312" w:hAnsi="仿宋_GB2312" w:eastAsia="仿宋_GB2312" w:cs="仿宋_GB2312"/>
          <w:sz w:val="32"/>
        </w:rPr>
        <w:t>202</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年我单位无政府性债务，无非税收执收，无项目，也未安排政府采购，资产管理严格按照相关规定执行，内控制度管理规范，按规定及时进行了信息公开，绩效评价合理，依法接受财政监督。我局严格按照年初预算批复认真组织实施</w:t>
      </w:r>
      <w:r>
        <w:rPr>
          <w:rFonts w:ascii="仿宋_GB2312" w:hAnsi="仿宋_GB2312" w:eastAsia="仿宋_GB2312" w:cs="仿宋_GB2312"/>
          <w:sz w:val="32"/>
        </w:rPr>
        <w:t xml:space="preserve">, </w:t>
      </w:r>
      <w:r>
        <w:rPr>
          <w:rFonts w:hint="eastAsia" w:ascii="仿宋_GB2312" w:hAnsi="仿宋_GB2312" w:eastAsia="仿宋_GB2312" w:cs="仿宋_GB2312"/>
          <w:sz w:val="32"/>
        </w:rPr>
        <w:t>严格执行财经纪律相关管理规定，做到各项收支安排使用符合预算计划和财政政策的要求，确保了单位正常运行。整体支出绩效评价指标体系打分，自评得分</w:t>
      </w:r>
      <w:r>
        <w:rPr>
          <w:rFonts w:ascii="仿宋_GB2312" w:hAnsi="仿宋_GB2312" w:eastAsia="仿宋_GB2312" w:cs="仿宋_GB2312"/>
          <w:sz w:val="32"/>
        </w:rPr>
        <w:t>96.5</w:t>
      </w:r>
      <w:r>
        <w:rPr>
          <w:rFonts w:hint="eastAsia" w:ascii="仿宋_GB2312" w:hAnsi="仿宋_GB2312" w:eastAsia="仿宋_GB2312" w:cs="仿宋_GB2312"/>
          <w:sz w:val="32"/>
        </w:rPr>
        <w:t>分</w:t>
      </w:r>
      <w:r>
        <w:rPr>
          <w:rFonts w:hint="eastAsia" w:ascii="仿宋_GB2312" w:hAnsi="仿宋_GB2312" w:cs="仿宋_GB2312"/>
          <w:sz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afterAutospacing="0" w:line="576" w:lineRule="exact"/>
        <w:ind w:firstLine="643" w:firstLineChars="200"/>
        <w:contextualSpacing/>
        <w:jc w:val="left"/>
        <w:textAlignment w:val="auto"/>
        <w:outlineLvl w:val="9"/>
        <w:rPr>
          <w:rFonts w:hint="eastAsia" w:ascii="仿宋_GB2312" w:hAnsi="仿宋_GB2312" w:eastAsia="仿宋_GB2312" w:cs="仿宋_GB2312"/>
          <w:sz w:val="32"/>
        </w:rPr>
      </w:pPr>
      <w:r>
        <w:rPr>
          <w:rFonts w:hint="eastAsia" w:ascii="楷体_GB2312" w:eastAsia="楷体_GB2312"/>
          <w:b/>
          <w:sz w:val="32"/>
          <w:szCs w:val="32"/>
        </w:rPr>
        <w:t>（二）存在问题。</w:t>
      </w:r>
      <w:r>
        <w:rPr>
          <w:rFonts w:hint="eastAsia" w:ascii="仿宋_GB2312" w:hAnsi="仿宋_GB2312" w:eastAsia="仿宋_GB2312" w:cs="仿宋_GB2312"/>
          <w:sz w:val="32"/>
        </w:rPr>
        <w:t>年初预算数与决算数差异较大，主要原因为人员任职增加以及人员经费增加，且事业人员调出1人，该问题因不可预因素造成。2</w:t>
      </w:r>
      <w:r>
        <w:rPr>
          <w:rFonts w:ascii="仿宋_GB2312" w:hAnsi="仿宋_GB2312" w:eastAsia="仿宋_GB2312" w:cs="仿宋_GB2312"/>
          <w:sz w:val="32"/>
        </w:rPr>
        <w:t>02</w:t>
      </w:r>
      <w:r>
        <w:rPr>
          <w:rFonts w:hint="eastAsia" w:ascii="仿宋_GB2312" w:hAnsi="仿宋_GB2312" w:eastAsia="仿宋_GB2312" w:cs="仿宋_GB2312"/>
          <w:sz w:val="32"/>
          <w:lang w:val="en-US" w:eastAsia="zh-CN"/>
        </w:rPr>
        <w:t>3</w:t>
      </w:r>
      <w:r>
        <w:rPr>
          <w:rFonts w:hint="eastAsia" w:ascii="仿宋_GB2312" w:hAnsi="仿宋_GB2312" w:eastAsia="仿宋_GB2312" w:cs="仿宋_GB2312"/>
          <w:sz w:val="32"/>
        </w:rPr>
        <w:t>年目标任务基完成，预算执行情况较好。</w:t>
      </w:r>
    </w:p>
    <w:p>
      <w:pPr>
        <w:keepNext w:val="0"/>
        <w:keepLines w:val="0"/>
        <w:pageBreakBefore w:val="0"/>
        <w:numPr>
          <w:ilvl w:val="0"/>
          <w:numId w:val="0"/>
        </w:numPr>
        <w:kinsoku/>
        <w:wordWrap/>
        <w:overflowPunct/>
        <w:topLinePunct w:val="0"/>
        <w:autoSpaceDN/>
        <w:bidi w:val="0"/>
        <w:spacing w:afterAutospacing="0" w:line="576" w:lineRule="exact"/>
        <w:ind w:firstLine="643" w:firstLineChars="200"/>
        <w:textAlignment w:val="auto"/>
        <w:rPr>
          <w:rFonts w:ascii="仿宋_GB2312" w:hAnsi="仿宋_GB2312" w:eastAsia="仿宋_GB2312" w:cs="仿宋_GB2312"/>
          <w:sz w:val="32"/>
          <w:lang w:val="zh-CN"/>
        </w:rPr>
      </w:pPr>
      <w:r>
        <w:rPr>
          <w:rFonts w:hint="eastAsia" w:ascii="楷体_GB2312" w:eastAsia="楷体_GB2312"/>
          <w:b/>
          <w:sz w:val="32"/>
          <w:szCs w:val="32"/>
        </w:rPr>
        <w:t>（三）改进建议。</w:t>
      </w:r>
      <w:r>
        <w:rPr>
          <w:rFonts w:ascii="仿宋_GB2312" w:hAnsi="仿宋_GB2312" w:eastAsia="仿宋_GB2312" w:cs="仿宋_GB2312"/>
          <w:sz w:val="32"/>
          <w:lang w:val="zh-CN"/>
        </w:rPr>
        <w:t>1.</w:t>
      </w:r>
      <w:r>
        <w:rPr>
          <w:rFonts w:hint="eastAsia" w:ascii="仿宋_GB2312" w:hAnsi="仿宋_GB2312" w:eastAsia="仿宋_GB2312" w:cs="仿宋_GB2312"/>
          <w:sz w:val="32"/>
          <w:lang w:val="zh-CN"/>
        </w:rPr>
        <w:t>加强业务知识、财经法规的自学。</w:t>
      </w:r>
    </w:p>
    <w:p>
      <w:pPr>
        <w:keepNext w:val="0"/>
        <w:keepLines w:val="0"/>
        <w:pageBreakBefore w:val="0"/>
        <w:widowControl/>
        <w:kinsoku/>
        <w:wordWrap/>
        <w:overflowPunct/>
        <w:topLinePunct w:val="0"/>
        <w:autoSpaceDE/>
        <w:autoSpaceDN/>
        <w:bidi w:val="0"/>
        <w:adjustRightInd w:val="0"/>
        <w:snapToGrid w:val="0"/>
        <w:spacing w:afterAutospacing="0" w:line="576" w:lineRule="exact"/>
        <w:ind w:firstLine="640" w:firstLineChars="200"/>
        <w:contextualSpacing/>
        <w:jc w:val="left"/>
        <w:textAlignment w:val="auto"/>
        <w:outlineLvl w:val="9"/>
        <w:rPr>
          <w:rFonts w:hint="eastAsia" w:ascii="仿宋_GB2312" w:hAnsi="仿宋_GB2312" w:eastAsia="仿宋_GB2312" w:cs="仿宋_GB2312"/>
          <w:b w:val="0"/>
          <w:bCs w:val="0"/>
          <w:kern w:val="0"/>
          <w:position w:val="0"/>
          <w:sz w:val="32"/>
          <w:szCs w:val="32"/>
          <w:highlight w:val="none"/>
          <w:lang w:val="en" w:eastAsia="zh-CN" w:bidi="ar-SA"/>
        </w:rPr>
      </w:pPr>
      <w:r>
        <w:rPr>
          <w:rFonts w:ascii="仿宋_GB2312" w:hAnsi="仿宋_GB2312" w:eastAsia="仿宋_GB2312" w:cs="仿宋_GB2312"/>
          <w:sz w:val="32"/>
          <w:lang w:val="zh-CN"/>
        </w:rPr>
        <w:t>2.</w:t>
      </w:r>
      <w:r>
        <w:rPr>
          <w:rFonts w:hint="eastAsia" w:ascii="仿宋_GB2312" w:hAnsi="仿宋_GB2312" w:eastAsia="仿宋_GB2312" w:cs="仿宋_GB2312"/>
          <w:sz w:val="32"/>
          <w:lang w:val="zh-CN"/>
        </w:rPr>
        <w:t>加强与其他单位财会人员沟通交流学习，进一步提高财会业务水平。</w:t>
      </w:r>
    </w:p>
    <w:p>
      <w:pPr>
        <w:keepNext w:val="0"/>
        <w:keepLines w:val="0"/>
        <w:pageBreakBefore w:val="0"/>
        <w:kinsoku/>
        <w:wordWrap/>
        <w:overflowPunct/>
        <w:topLinePunct w:val="0"/>
        <w:autoSpaceDE/>
        <w:autoSpaceDN/>
        <w:bidi w:val="0"/>
        <w:spacing w:afterAutospacing="0" w:line="576" w:lineRule="exact"/>
        <w:ind w:firstLine="420" w:firstLineChars="200"/>
        <w:textAlignment w:val="auto"/>
        <w:rPr>
          <w:rFonts w:hint="eastAsia" w:ascii="Times New Roman" w:hAnsi="Times New Roman" w:cs="Times New Roman"/>
          <w:color w:val="000000"/>
          <w:kern w:val="0"/>
          <w:szCs w:val="32"/>
          <w:highlight w:val="none"/>
          <w:shd w:val="clear" w:color="auto" w:fill="FFFFFF"/>
          <w:lang w:val="en-US" w:eastAsia="zh-CN"/>
        </w:rPr>
      </w:pPr>
    </w:p>
    <w:tbl>
      <w:tblPr>
        <w:tblStyle w:val="14"/>
        <w:tblW w:w="11038" w:type="dxa"/>
        <w:jc w:val="center"/>
        <w:tblInd w:w="-1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88"/>
        <w:gridCol w:w="1491"/>
        <w:gridCol w:w="1273"/>
        <w:gridCol w:w="1100"/>
        <w:gridCol w:w="1143"/>
        <w:gridCol w:w="1291"/>
        <w:gridCol w:w="1058"/>
        <w:gridCol w:w="926"/>
        <w:gridCol w:w="1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exact"/>
          <w:jc w:val="center"/>
        </w:trPr>
        <w:tc>
          <w:tcPr>
            <w:tcW w:w="11038" w:type="dxa"/>
            <w:gridSpan w:val="9"/>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1038" w:type="dxa"/>
            <w:gridSpan w:val="9"/>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1038" w:type="dxa"/>
            <w:gridSpan w:val="9"/>
            <w:tcBorders>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405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9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eastAsia="宋体" w:cs="Times New Roman"/>
                <w:i w:val="0"/>
                <w:color w:val="000000"/>
                <w:kern w:val="0"/>
                <w:sz w:val="24"/>
                <w:szCs w:val="24"/>
                <w:u w:val="none"/>
                <w:lang w:val="en-US" w:eastAsia="zh-CN" w:bidi="ar"/>
              </w:rPr>
              <w:t>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7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74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7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217.68</w:t>
            </w:r>
          </w:p>
        </w:tc>
        <w:tc>
          <w:tcPr>
            <w:tcW w:w="224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217.68</w:t>
            </w:r>
          </w:p>
        </w:tc>
        <w:tc>
          <w:tcPr>
            <w:tcW w:w="474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750" w:type="dxa"/>
            <w:gridSpan w:val="8"/>
            <w:tcBorders>
              <w:top w:val="single" w:color="000000" w:sz="4" w:space="0"/>
              <w:left w:val="single" w:color="000000" w:sz="4" w:space="0"/>
              <w:bottom w:val="single" w:color="000000" w:sz="4" w:space="0"/>
              <w:right w:val="single" w:color="000000" w:sz="4" w:space="0"/>
            </w:tcBorders>
            <w:noWrap w:val="0"/>
            <w:vAlign w:val="center"/>
          </w:tcPr>
          <w:tbl>
            <w:tblPr>
              <w:tblStyle w:val="14"/>
              <w:tblW w:w="11750" w:type="dxa"/>
              <w:tblInd w:w="-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45" w:hRule="atLeast"/>
              </w:trPr>
              <w:tc>
                <w:tcPr>
                  <w:tcW w:w="11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r>
                    <w:rPr>
                      <w:rFonts w:ascii="宋体" w:hAnsi="宋体" w:eastAsia="宋体" w:cs="宋体"/>
                      <w:i w:val="0"/>
                      <w:color w:val="000000"/>
                      <w:kern w:val="0"/>
                      <w:sz w:val="21"/>
                      <w:szCs w:val="21"/>
                      <w:u w:val="none"/>
                      <w:lang w:val="en-US" w:eastAsia="zh-CN" w:bidi="ar"/>
                    </w:rPr>
                    <w:t>1)代表县委、县政府受理人民的来信、来电，接待群众来访；(2)承办上级领导机关及其所属部门、单位和县委、县政府领导交办、转办的信访事项，并负责督办和上报查处结果；(3)根据县委、县政府领导意见，向各乡镇和县级各有关部门交办、转办信访事项，并负责督办和报告查处结果；(4)检查、指导、督查各乡镇、县级各部门的信访工作。（5）根据州局下达的指标，完成“三率”（及时受理率、按期办结率、满意度评价率目标任务。</w:t>
                  </w: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7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9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7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完成信访‘’三率”指标</w:t>
            </w:r>
          </w:p>
        </w:tc>
        <w:tc>
          <w:tcPr>
            <w:tcW w:w="69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及时受理率、按期办结率、满意度评价率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7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承办各类信访件</w:t>
            </w:r>
          </w:p>
        </w:tc>
        <w:tc>
          <w:tcPr>
            <w:tcW w:w="6986"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受理人民的来信、来电，接待群众来访以及交办、转办信访事项，并负责督办和上报查处结果。检查、指导、督查各乡镇、县级各部门的信访工作.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49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便民服务，远程接访次数</w:t>
            </w: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10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场次</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40</w:t>
            </w:r>
          </w:p>
        </w:tc>
        <w:tc>
          <w:tcPr>
            <w:tcW w:w="1468"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491"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推荐群众上访便民服务化及接访工作办理高质量</w:t>
            </w: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40</w:t>
            </w:r>
          </w:p>
        </w:tc>
        <w:tc>
          <w:tcPr>
            <w:tcW w:w="1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28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4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“三率”指标</w:t>
            </w:r>
          </w:p>
        </w:tc>
        <w:tc>
          <w:tcPr>
            <w:tcW w:w="11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12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ascii="宋体" w:hAnsi="宋体" w:eastAsia="宋体" w:cs="宋体"/>
                <w:i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4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bl>
    <w:p>
      <w:pPr>
        <w:ind w:firstLine="640" w:firstLineChars="200"/>
        <w:rPr>
          <w:rFonts w:eastAsia="仿宋_GB2312"/>
          <w:sz w:val="32"/>
          <w:szCs w:val="32"/>
          <w:lang w:val="zh-CN"/>
        </w:rPr>
      </w:pPr>
    </w:p>
    <w:p>
      <w:pPr>
        <w:pStyle w:val="4"/>
        <w:jc w:val="center"/>
        <w:rPr>
          <w:rFonts w:ascii="黑体" w:hAnsi="黑体" w:eastAsia="黑体"/>
        </w:rPr>
      </w:pPr>
      <w:r>
        <w:rPr>
          <w:rFonts w:hint="eastAsia" w:ascii="黑体" w:hAnsi="黑体" w:eastAsia="黑体"/>
        </w:rPr>
        <w:t>第五部分 附表</w:t>
      </w:r>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23</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4F5630"/>
    <w:multiLevelType w:val="singleLevel"/>
    <w:tmpl w:val="8B4F5630"/>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50774"/>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1B56AE"/>
    <w:rsid w:val="036F8141"/>
    <w:rsid w:val="03C678CE"/>
    <w:rsid w:val="03CD58BB"/>
    <w:rsid w:val="05B978C1"/>
    <w:rsid w:val="05E32B10"/>
    <w:rsid w:val="066E0107"/>
    <w:rsid w:val="07681C84"/>
    <w:rsid w:val="07996F6E"/>
    <w:rsid w:val="07DFD8BA"/>
    <w:rsid w:val="0A2032A3"/>
    <w:rsid w:val="0A6D2AAA"/>
    <w:rsid w:val="0D025D86"/>
    <w:rsid w:val="0D35B1ED"/>
    <w:rsid w:val="0E402C5B"/>
    <w:rsid w:val="0E507F0A"/>
    <w:rsid w:val="0E7ED1F5"/>
    <w:rsid w:val="0F98263C"/>
    <w:rsid w:val="0F997A7E"/>
    <w:rsid w:val="101860EC"/>
    <w:rsid w:val="10301C6B"/>
    <w:rsid w:val="10455542"/>
    <w:rsid w:val="10C055FF"/>
    <w:rsid w:val="118107EC"/>
    <w:rsid w:val="13D50BC4"/>
    <w:rsid w:val="13F5616D"/>
    <w:rsid w:val="142C66F7"/>
    <w:rsid w:val="14867352"/>
    <w:rsid w:val="156A694C"/>
    <w:rsid w:val="168D0CB2"/>
    <w:rsid w:val="16A91D66"/>
    <w:rsid w:val="16BB723D"/>
    <w:rsid w:val="17F9714D"/>
    <w:rsid w:val="1918F934"/>
    <w:rsid w:val="1A987C19"/>
    <w:rsid w:val="1BE82E83"/>
    <w:rsid w:val="1BE8440E"/>
    <w:rsid w:val="1D155CEE"/>
    <w:rsid w:val="1DFBC4B3"/>
    <w:rsid w:val="1E740ACF"/>
    <w:rsid w:val="1F19C781"/>
    <w:rsid w:val="1F2C622B"/>
    <w:rsid w:val="1F33FCE5"/>
    <w:rsid w:val="1F7F7398"/>
    <w:rsid w:val="1F9C58E0"/>
    <w:rsid w:val="1FD2DB6F"/>
    <w:rsid w:val="1FF35744"/>
    <w:rsid w:val="1FF6BC77"/>
    <w:rsid w:val="1FF9236D"/>
    <w:rsid w:val="2070137B"/>
    <w:rsid w:val="21954068"/>
    <w:rsid w:val="22523003"/>
    <w:rsid w:val="22F64BEC"/>
    <w:rsid w:val="2333840E"/>
    <w:rsid w:val="23860B96"/>
    <w:rsid w:val="240371BF"/>
    <w:rsid w:val="257C638F"/>
    <w:rsid w:val="27452BED"/>
    <w:rsid w:val="27E10FA8"/>
    <w:rsid w:val="28596193"/>
    <w:rsid w:val="29534275"/>
    <w:rsid w:val="29CA4B43"/>
    <w:rsid w:val="29FD04D3"/>
    <w:rsid w:val="2B754681"/>
    <w:rsid w:val="2B7A28ED"/>
    <w:rsid w:val="2BFF7BC6"/>
    <w:rsid w:val="2C8A61B5"/>
    <w:rsid w:val="2CD59C95"/>
    <w:rsid w:val="2DF04E50"/>
    <w:rsid w:val="2EDE2656"/>
    <w:rsid w:val="2EFD05E5"/>
    <w:rsid w:val="2F040D46"/>
    <w:rsid w:val="2F4F95CE"/>
    <w:rsid w:val="2F961DCB"/>
    <w:rsid w:val="2FACAFDD"/>
    <w:rsid w:val="2FAE5751"/>
    <w:rsid w:val="2FB1A395"/>
    <w:rsid w:val="2FCF0B76"/>
    <w:rsid w:val="2FD9A7D8"/>
    <w:rsid w:val="30CB5CC6"/>
    <w:rsid w:val="319F7F4E"/>
    <w:rsid w:val="32FA3C43"/>
    <w:rsid w:val="3304709D"/>
    <w:rsid w:val="340813E3"/>
    <w:rsid w:val="34EE4C15"/>
    <w:rsid w:val="34FC3897"/>
    <w:rsid w:val="35F12DB6"/>
    <w:rsid w:val="36222E4C"/>
    <w:rsid w:val="36A33431"/>
    <w:rsid w:val="36AA5135"/>
    <w:rsid w:val="36BE0DA7"/>
    <w:rsid w:val="3715348E"/>
    <w:rsid w:val="376B6AA6"/>
    <w:rsid w:val="376D39B2"/>
    <w:rsid w:val="37E16F03"/>
    <w:rsid w:val="37F53A3B"/>
    <w:rsid w:val="382219D3"/>
    <w:rsid w:val="38D469F0"/>
    <w:rsid w:val="38F78389"/>
    <w:rsid w:val="39597E8D"/>
    <w:rsid w:val="395F6AA9"/>
    <w:rsid w:val="397BAF1F"/>
    <w:rsid w:val="39E7B272"/>
    <w:rsid w:val="39F7642F"/>
    <w:rsid w:val="39FF7B37"/>
    <w:rsid w:val="3A2806BB"/>
    <w:rsid w:val="3AB79AF3"/>
    <w:rsid w:val="3AFDCB77"/>
    <w:rsid w:val="3B7EF35A"/>
    <w:rsid w:val="3B9FDB6C"/>
    <w:rsid w:val="3BF5BC2F"/>
    <w:rsid w:val="3BF7C23A"/>
    <w:rsid w:val="3BFF223E"/>
    <w:rsid w:val="3C6EC0A1"/>
    <w:rsid w:val="3CDB0824"/>
    <w:rsid w:val="3CEBA265"/>
    <w:rsid w:val="3D414A61"/>
    <w:rsid w:val="3D6A7F9F"/>
    <w:rsid w:val="3D7E7F4D"/>
    <w:rsid w:val="3D98207C"/>
    <w:rsid w:val="3D9CF30A"/>
    <w:rsid w:val="3DFF5A3E"/>
    <w:rsid w:val="3E101E14"/>
    <w:rsid w:val="3E78745D"/>
    <w:rsid w:val="3EEE77E9"/>
    <w:rsid w:val="3F394AF5"/>
    <w:rsid w:val="3FBE5714"/>
    <w:rsid w:val="3FDD8615"/>
    <w:rsid w:val="3FDFB2FF"/>
    <w:rsid w:val="3FF4CAE0"/>
    <w:rsid w:val="3FF75FAF"/>
    <w:rsid w:val="3FF7B227"/>
    <w:rsid w:val="40B30F0D"/>
    <w:rsid w:val="444646F8"/>
    <w:rsid w:val="44E268DA"/>
    <w:rsid w:val="457F4F6B"/>
    <w:rsid w:val="46B070FD"/>
    <w:rsid w:val="46B3411C"/>
    <w:rsid w:val="46FF5A5F"/>
    <w:rsid w:val="4737FB58"/>
    <w:rsid w:val="47A55C2B"/>
    <w:rsid w:val="47ECCB02"/>
    <w:rsid w:val="47FA6A3F"/>
    <w:rsid w:val="49AB1038"/>
    <w:rsid w:val="49D7AE48"/>
    <w:rsid w:val="4A3F6C7E"/>
    <w:rsid w:val="4A627F82"/>
    <w:rsid w:val="4B0E749A"/>
    <w:rsid w:val="4B4F25DA"/>
    <w:rsid w:val="4BBB4781"/>
    <w:rsid w:val="4BD709A5"/>
    <w:rsid w:val="4BDD9BFF"/>
    <w:rsid w:val="4BE068DB"/>
    <w:rsid w:val="4C7C5A8A"/>
    <w:rsid w:val="4D123C6A"/>
    <w:rsid w:val="4D577224"/>
    <w:rsid w:val="4DBF1CEB"/>
    <w:rsid w:val="4DBF6A6B"/>
    <w:rsid w:val="4DF6A672"/>
    <w:rsid w:val="4E895D84"/>
    <w:rsid w:val="4EAB630A"/>
    <w:rsid w:val="4ECE2238"/>
    <w:rsid w:val="4F7EA413"/>
    <w:rsid w:val="4FAB812F"/>
    <w:rsid w:val="4FE9BD67"/>
    <w:rsid w:val="4FEE4C07"/>
    <w:rsid w:val="4FFB052F"/>
    <w:rsid w:val="51C43285"/>
    <w:rsid w:val="537E6D0A"/>
    <w:rsid w:val="53AB6B88"/>
    <w:rsid w:val="53F74C96"/>
    <w:rsid w:val="5583522D"/>
    <w:rsid w:val="57BD3DD4"/>
    <w:rsid w:val="57F9CD1E"/>
    <w:rsid w:val="5AC461B0"/>
    <w:rsid w:val="5AE94127"/>
    <w:rsid w:val="5AF92295"/>
    <w:rsid w:val="5AF9D8E9"/>
    <w:rsid w:val="5BDD38BD"/>
    <w:rsid w:val="5BDD79E6"/>
    <w:rsid w:val="5BEFC772"/>
    <w:rsid w:val="5BFF5DFC"/>
    <w:rsid w:val="5C695CBC"/>
    <w:rsid w:val="5CD71FC4"/>
    <w:rsid w:val="5D1F11B5"/>
    <w:rsid w:val="5D3647F9"/>
    <w:rsid w:val="5DA644D4"/>
    <w:rsid w:val="5DAE1B18"/>
    <w:rsid w:val="5DE7D9E5"/>
    <w:rsid w:val="5EC5506E"/>
    <w:rsid w:val="5ECEC941"/>
    <w:rsid w:val="5EFF8FC6"/>
    <w:rsid w:val="5F5BA39A"/>
    <w:rsid w:val="5F7D3B79"/>
    <w:rsid w:val="5F7F4610"/>
    <w:rsid w:val="5FBF9FF3"/>
    <w:rsid w:val="5FCD4E2C"/>
    <w:rsid w:val="5FEF394A"/>
    <w:rsid w:val="5FF67715"/>
    <w:rsid w:val="60022FA4"/>
    <w:rsid w:val="60EA32E8"/>
    <w:rsid w:val="61CA71D5"/>
    <w:rsid w:val="627EE9EA"/>
    <w:rsid w:val="631C5BB3"/>
    <w:rsid w:val="63B23AA5"/>
    <w:rsid w:val="63F14173"/>
    <w:rsid w:val="646E66C2"/>
    <w:rsid w:val="647F5392"/>
    <w:rsid w:val="64E322C4"/>
    <w:rsid w:val="654F3F17"/>
    <w:rsid w:val="65FB93B9"/>
    <w:rsid w:val="6633C463"/>
    <w:rsid w:val="677E51B8"/>
    <w:rsid w:val="67D55B77"/>
    <w:rsid w:val="67EE7F84"/>
    <w:rsid w:val="67F367F9"/>
    <w:rsid w:val="686F5F53"/>
    <w:rsid w:val="6988720F"/>
    <w:rsid w:val="6AFFCEAF"/>
    <w:rsid w:val="6B96E9E6"/>
    <w:rsid w:val="6BA87492"/>
    <w:rsid w:val="6BBE1FE2"/>
    <w:rsid w:val="6BCE57B5"/>
    <w:rsid w:val="6BFEA4DB"/>
    <w:rsid w:val="6BFFB662"/>
    <w:rsid w:val="6C132F64"/>
    <w:rsid w:val="6C4A05C8"/>
    <w:rsid w:val="6C7E3BAF"/>
    <w:rsid w:val="6CFF4FB8"/>
    <w:rsid w:val="6D6BD6E0"/>
    <w:rsid w:val="6D77E73C"/>
    <w:rsid w:val="6DBF5E93"/>
    <w:rsid w:val="6DC965E4"/>
    <w:rsid w:val="6DFF077E"/>
    <w:rsid w:val="6E3B06DC"/>
    <w:rsid w:val="6E7E3605"/>
    <w:rsid w:val="6E7FDCC7"/>
    <w:rsid w:val="6ED6A62E"/>
    <w:rsid w:val="6EE00B15"/>
    <w:rsid w:val="6EE737B2"/>
    <w:rsid w:val="6EEB2329"/>
    <w:rsid w:val="6EECE67A"/>
    <w:rsid w:val="6F6F90A8"/>
    <w:rsid w:val="6F6FB3EB"/>
    <w:rsid w:val="6F8731EA"/>
    <w:rsid w:val="6F957A70"/>
    <w:rsid w:val="6FBC2ADD"/>
    <w:rsid w:val="6FD57C00"/>
    <w:rsid w:val="6FEFFFD8"/>
    <w:rsid w:val="6FF5CC65"/>
    <w:rsid w:val="6FFB47EC"/>
    <w:rsid w:val="6FFF034A"/>
    <w:rsid w:val="701A31F0"/>
    <w:rsid w:val="71142551"/>
    <w:rsid w:val="712A28F1"/>
    <w:rsid w:val="715C0E4B"/>
    <w:rsid w:val="71FFD401"/>
    <w:rsid w:val="72233669"/>
    <w:rsid w:val="72734D90"/>
    <w:rsid w:val="72C60675"/>
    <w:rsid w:val="7332FE48"/>
    <w:rsid w:val="73AD73D5"/>
    <w:rsid w:val="73B6EB34"/>
    <w:rsid w:val="73FA497D"/>
    <w:rsid w:val="744731E5"/>
    <w:rsid w:val="74BBD01D"/>
    <w:rsid w:val="74ED5379"/>
    <w:rsid w:val="75DEEEC2"/>
    <w:rsid w:val="76677B0D"/>
    <w:rsid w:val="767F479D"/>
    <w:rsid w:val="76E3355F"/>
    <w:rsid w:val="76F742AF"/>
    <w:rsid w:val="76F7BE7D"/>
    <w:rsid w:val="76FF5125"/>
    <w:rsid w:val="773570D3"/>
    <w:rsid w:val="77597F31"/>
    <w:rsid w:val="776F6FFA"/>
    <w:rsid w:val="7777A522"/>
    <w:rsid w:val="77858688"/>
    <w:rsid w:val="778769C8"/>
    <w:rsid w:val="77C223E8"/>
    <w:rsid w:val="77CB741A"/>
    <w:rsid w:val="77D7BE3A"/>
    <w:rsid w:val="77DC22F5"/>
    <w:rsid w:val="78CE2BD6"/>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CE7F85"/>
    <w:rsid w:val="7BF3FE4C"/>
    <w:rsid w:val="7BFB5035"/>
    <w:rsid w:val="7BFDE17E"/>
    <w:rsid w:val="7CBFC87B"/>
    <w:rsid w:val="7CFE0F48"/>
    <w:rsid w:val="7D3DE31C"/>
    <w:rsid w:val="7D7EC23E"/>
    <w:rsid w:val="7D7F8A13"/>
    <w:rsid w:val="7DBBCB01"/>
    <w:rsid w:val="7DC765D0"/>
    <w:rsid w:val="7DDB0EE0"/>
    <w:rsid w:val="7DFF51D8"/>
    <w:rsid w:val="7E137BA6"/>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347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table" w:styleId="15">
    <w:name w:val="Table Grid"/>
    <w:basedOn w:val="14"/>
    <w:semiHidden/>
    <w:unhideWhenUsed/>
    <w:qFormat/>
    <w:uiPriority w:val="9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字符"/>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字符"/>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字符"/>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字符"/>
    <w:basedOn w:val="16"/>
    <w:link w:val="4"/>
    <w:qFormat/>
    <w:uiPriority w:val="9"/>
    <w:rPr>
      <w:rFonts w:ascii="Times New Roman" w:hAnsi="Times New Roman"/>
      <w:b/>
      <w:bCs/>
      <w:kern w:val="44"/>
      <w:sz w:val="44"/>
      <w:szCs w:val="44"/>
    </w:rPr>
  </w:style>
  <w:style w:type="character" w:customStyle="1" w:styleId="29">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 w:type="paragraph" w:customStyle="1" w:styleId="35">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36">
    <w:name w:val="p0"/>
    <w:basedOn w:val="1"/>
    <w:qFormat/>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37">
    <w:name w:val="23"/>
    <w:basedOn w:val="16"/>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5.xml"/><Relationship Id="rId11" Type="http://schemas.openxmlformats.org/officeDocument/2006/relationships/image" Target="media/image2.png"/><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2200" b="1">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2022</a:t>
            </a:r>
            <a:r>
              <a:rPr altLang="en-US" sz="2200" b="1">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年与</a:t>
            </a:r>
            <a:r>
              <a:rPr lang="en-US" altLang="zh-CN" sz="2200" b="1">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2023</a:t>
            </a:r>
            <a:r>
              <a:rPr altLang="en-US" sz="2200" b="1">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年收入支出决算表</a:t>
            </a:r>
            <a:endParaRPr altLang="en-US" sz="2200" b="1">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manualLayout>
          <c:layoutTarget val="inner"/>
          <c:xMode val="edge"/>
          <c:yMode val="edge"/>
          <c:x val="0.09255"/>
          <c:y val="0.222910216718266"/>
          <c:w val="0.8562"/>
          <c:h val="0.608204334365325"/>
        </c:manualLayout>
      </c:layout>
      <c:barChart>
        <c:barDir val="col"/>
        <c:grouping val="clustered"/>
        <c:varyColors val="0"/>
        <c:ser>
          <c:idx val="1"/>
          <c:order val="0"/>
          <c:tx>
            <c:strRef>
              <c:f>Sheet1!$C$1</c:f>
              <c:strCache>
                <c:ptCount val="1"/>
                <c:pt idx="0">
                  <c:v>收入</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0">
                  <c:v>188.52</c:v>
                </c:pt>
                <c:pt idx="1">
                  <c:v>217.68</c:v>
                </c:pt>
              </c:numCache>
            </c:numRef>
          </c:val>
        </c:ser>
        <c:ser>
          <c:idx val="2"/>
          <c:order val="1"/>
          <c:tx>
            <c:strRef>
              <c:f>Sheet1!$D$1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Sheet1!$D$2:$D$3</c:f>
              <c:numCache>
                <c:formatCode>General</c:formatCode>
                <c:ptCount val="2"/>
                <c:pt idx="0">
                  <c:v>188.52</c:v>
                </c:pt>
                <c:pt idx="1">
                  <c:v>217.68</c:v>
                </c:pt>
              </c:numCache>
            </c:numRef>
          </c:val>
        </c:ser>
        <c:dLbls>
          <c:showLegendKey val="0"/>
          <c:showVal val="1"/>
          <c:showCatName val="0"/>
          <c:showSerName val="0"/>
          <c:showPercent val="0"/>
          <c:showBubbleSize val="0"/>
        </c:dLbls>
        <c:gapWidth val="219"/>
        <c:overlap val="-27"/>
        <c:axId val="389118250"/>
        <c:axId val="911451964"/>
      </c:barChart>
      <c:catAx>
        <c:axId val="38911825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1451964"/>
        <c:crosses val="autoZero"/>
        <c:auto val="1"/>
        <c:lblAlgn val="ctr"/>
        <c:lblOffset val="100"/>
        <c:noMultiLvlLbl val="0"/>
      </c:catAx>
      <c:valAx>
        <c:axId val="9114519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911825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22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2023年支出决算结构图</a:t>
            </a:r>
            <a:endParaRPr sz="22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2023年支出决算表</c:v>
                </c:pt>
              </c:strCache>
            </c:strRef>
          </c:tx>
          <c:spPr/>
          <c:explosion val="0"/>
          <c:dPt>
            <c:idx val="0"/>
            <c:bubble3D val="0"/>
            <c:explosion val="0"/>
            <c:spPr>
              <a:solidFill>
                <a:srgbClr val="00B050"/>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215.52</c:v>
                </c:pt>
                <c:pt idx="1">
                  <c:v>2.16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8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2022-2023</a:t>
            </a:r>
            <a:r>
              <a:rPr altLang="en-US" sz="18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年财政拨款收、支决算总计变动情况</a:t>
            </a:r>
            <a:endParaRPr altLang="en-US" sz="18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manualLayout>
          <c:layoutTarget val="inner"/>
          <c:xMode val="edge"/>
          <c:yMode val="edge"/>
          <c:x val="0.0652"/>
          <c:y val="0.216"/>
          <c:w val="0.905175"/>
          <c:h val="0.6279"/>
        </c:manualLayout>
      </c:layout>
      <c:barChart>
        <c:barDir val="col"/>
        <c:grouping val="clustered"/>
        <c:varyColors val="0"/>
        <c:ser>
          <c:idx val="1"/>
          <c:order val="0"/>
          <c:tx>
            <c:strRef>
              <c:f>Sheet1!$B$1</c:f>
              <c:strCache>
                <c:ptCount val="1"/>
                <c:pt idx="0">
                  <c:v>收入</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Sheet1!$B$2:$B$3</c:f>
              <c:numCache>
                <c:formatCode>General</c:formatCode>
                <c:ptCount val="2"/>
                <c:pt idx="0">
                  <c:v>188.52</c:v>
                </c:pt>
                <c:pt idx="1">
                  <c:v>217.68</c:v>
                </c:pt>
              </c:numCache>
            </c:numRef>
          </c:val>
        </c:ser>
        <c:ser>
          <c:idx val="2"/>
          <c:order val="1"/>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Sheet1!$C$2:$C$3</c:f>
              <c:numCache>
                <c:formatCode>General</c:formatCode>
                <c:ptCount val="2"/>
                <c:pt idx="0">
                  <c:v>188.52</c:v>
                </c:pt>
                <c:pt idx="1">
                  <c:v>217.68</c:v>
                </c:pt>
              </c:numCache>
            </c:numRef>
          </c:val>
        </c:ser>
        <c:dLbls>
          <c:showLegendKey val="0"/>
          <c:showVal val="1"/>
          <c:showCatName val="0"/>
          <c:showSerName val="0"/>
          <c:showPercent val="0"/>
          <c:showBubbleSize val="0"/>
        </c:dLbls>
        <c:gapWidth val="219"/>
        <c:overlap val="-27"/>
        <c:axId val="639100528"/>
        <c:axId val="128777342"/>
      </c:barChart>
      <c:catAx>
        <c:axId val="639100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777342"/>
        <c:crosses val="autoZero"/>
        <c:auto val="1"/>
        <c:lblAlgn val="ctr"/>
        <c:lblOffset val="100"/>
        <c:noMultiLvlLbl val="0"/>
      </c:catAx>
      <c:valAx>
        <c:axId val="1287773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10052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8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2022-2023</a:t>
            </a:r>
            <a:r>
              <a:rPr altLang="en-US" sz="18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rPr>
              <a:t>年一般公共预算财政部款支出决算变动情况</a:t>
            </a:r>
            <a:endParaRPr altLang="en-US" sz="1800">
              <a:solidFill>
                <a:sysClr val="windowText" lastClr="000000"/>
              </a:solidFill>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manualLayout>
          <c:layoutTarget val="inner"/>
          <c:xMode val="edge"/>
          <c:yMode val="edge"/>
          <c:x val="0.0652"/>
          <c:y val="0.216"/>
          <c:w val="0.905175"/>
          <c:h val="0.6279"/>
        </c:manualLayout>
      </c:layout>
      <c:barChart>
        <c:barDir val="col"/>
        <c:grouping val="clustered"/>
        <c:varyColors val="0"/>
        <c:ser>
          <c:idx val="2"/>
          <c:order val="0"/>
          <c:tx>
            <c:strRef>
              <c:f>Sheet1!$B$1</c:f>
              <c:strCache>
                <c:ptCount val="1"/>
                <c:pt idx="0">
                  <c:v>支出</c:v>
                </c:pt>
              </c:strCache>
            </c:strRef>
          </c:tx>
          <c:spPr>
            <a:solidFill>
              <a:srgbClr val="7030A0"/>
            </a:solidFill>
            <a:ln>
              <a:noFill/>
            </a:ln>
            <a:effectLst/>
          </c:spPr>
          <c:invertIfNegative val="0"/>
          <c:dPt>
            <c:idx val="1"/>
            <c:invertIfNegative val="0"/>
            <c:bubble3D val="0"/>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2022</c:v>
                </c:pt>
                <c:pt idx="1">
                  <c:v>2023</c:v>
                </c:pt>
              </c:numCache>
            </c:numRef>
          </c:cat>
          <c:val>
            <c:numRef>
              <c:f>Sheet1!$B$2:$B$3</c:f>
              <c:numCache>
                <c:formatCode>General</c:formatCode>
                <c:ptCount val="2"/>
                <c:pt idx="0">
                  <c:v>188.52</c:v>
                </c:pt>
                <c:pt idx="1">
                  <c:v>217.68</c:v>
                </c:pt>
              </c:numCache>
            </c:numRef>
          </c:val>
        </c:ser>
        <c:dLbls>
          <c:showLegendKey val="0"/>
          <c:showVal val="1"/>
          <c:showCatName val="0"/>
          <c:showSerName val="0"/>
          <c:showPercent val="0"/>
          <c:showBubbleSize val="0"/>
        </c:dLbls>
        <c:gapWidth val="219"/>
        <c:overlap val="-27"/>
        <c:axId val="639100528"/>
        <c:axId val="128777342"/>
      </c:barChart>
      <c:catAx>
        <c:axId val="639100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8777342"/>
        <c:crosses val="autoZero"/>
        <c:auto val="1"/>
        <c:lblAlgn val="ctr"/>
        <c:lblOffset val="100"/>
        <c:noMultiLvlLbl val="0"/>
      </c:catAx>
      <c:valAx>
        <c:axId val="1287773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1005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600">
                <a:latin typeface="方正小标宋简体" panose="02010601030101010101" pitchFamily="4" charset="-122"/>
                <a:ea typeface="方正小标宋简体" panose="02010601030101010101" pitchFamily="4" charset="-122"/>
                <a:cs typeface="方正小标宋简体" panose="02010601030101010101" pitchFamily="4" charset="-122"/>
              </a:rPr>
              <a:t>2023</a:t>
            </a:r>
            <a:r>
              <a:rPr altLang="en-US" sz="1600">
                <a:latin typeface="方正小标宋简体" panose="02010601030101010101" pitchFamily="4" charset="-122"/>
                <a:ea typeface="方正小标宋简体" panose="02010601030101010101" pitchFamily="4" charset="-122"/>
                <a:cs typeface="方正小标宋简体" panose="02010601030101010101" pitchFamily="4" charset="-122"/>
              </a:rPr>
              <a:t>年</a:t>
            </a:r>
            <a:r>
              <a:rPr sz="1600">
                <a:latin typeface="方正小标宋简体" panose="02010601030101010101" pitchFamily="4" charset="-122"/>
                <a:ea typeface="方正小标宋简体" panose="02010601030101010101" pitchFamily="4" charset="-122"/>
                <a:cs typeface="方正小标宋简体" panose="02010601030101010101" pitchFamily="4" charset="-122"/>
              </a:rPr>
              <a:t>“三公”经费财政拨款支出决算结构图</a:t>
            </a:r>
            <a:endParaRPr sz="1600">
              <a:latin typeface="方正小标宋简体" panose="02010601030101010101" pitchFamily="4" charset="-122"/>
              <a:ea typeface="方正小标宋简体" panose="02010601030101010101" pitchFamily="4" charset="-122"/>
              <a:cs typeface="方正小标宋简体" panose="02010601030101010101" pitchFamily="4" charset="-122"/>
            </a:endParaRPr>
          </a:p>
        </c:rich>
      </c:tx>
      <c:layout/>
      <c:overlay val="0"/>
      <c:spPr>
        <a:noFill/>
        <a:ln>
          <a:noFill/>
        </a:ln>
        <a:effectLst/>
      </c:spPr>
    </c:title>
    <c:autoTitleDeleted val="0"/>
    <c:plotArea>
      <c:layout/>
      <c:pieChart>
        <c:varyColors val="1"/>
        <c:ser>
          <c:idx val="0"/>
          <c:order val="0"/>
          <c:tx>
            <c:strRef>
              <c:f>Sheet1!$B$1</c:f>
              <c:strCache>
                <c:ptCount val="1"/>
                <c:pt idx="0">
                  <c:v>“三公”经费财政拨款支出决算结构图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6">
                  <a:lumMod val="75000"/>
                </a:schemeClr>
              </a:solidFill>
              <a:ln w="19050">
                <a:solidFill>
                  <a:schemeClr val="lt1"/>
                </a:solidFill>
              </a:ln>
              <a:effectLst/>
            </c:spPr>
          </c:dPt>
          <c:dLbls>
            <c:dLbl>
              <c:idx val="2"/>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General</c:formatCode>
                <c:ptCount val="3"/>
                <c:pt idx="0">
                  <c:v>0</c:v>
                </c:pt>
                <c:pt idx="1">
                  <c:v>0</c:v>
                </c:pt>
                <c:pt idx="2">
                  <c:v>0.18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11</TotalTime>
  <ScaleCrop>false</ScaleCrop>
  <LinksUpToDate>false</LinksUpToDate>
  <CharactersWithSpaces>10266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2024-11-19T06:08:58Z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