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B21E6">
      <w:pPr>
        <w:spacing w:line="600" w:lineRule="exact"/>
        <w:jc w:val="center"/>
        <w:outlineLvl w:val="0"/>
        <w:rPr>
          <w:rFonts w:ascii="方正小标宋简体" w:hAnsi="宋体" w:eastAsia="方正小标宋简体"/>
          <w:sz w:val="72"/>
          <w:szCs w:val="72"/>
        </w:rPr>
      </w:pPr>
      <w:bookmarkStart w:id="0" w:name="_Toc15396475"/>
      <w:bookmarkStart w:id="1" w:name="_Toc15378441"/>
      <w:bookmarkStart w:id="2" w:name="_Toc15396597"/>
      <w:bookmarkStart w:id="3" w:name="_Toc15377425"/>
      <w:bookmarkStart w:id="4" w:name="_Toc15377193"/>
      <w:bookmarkStart w:id="5" w:name="_Toc15306267"/>
    </w:p>
    <w:p w14:paraId="7C34218A">
      <w:pPr>
        <w:pStyle w:val="6"/>
        <w:spacing w:before="93"/>
      </w:pPr>
    </w:p>
    <w:p w14:paraId="3E01C0A2">
      <w:pPr>
        <w:spacing w:line="600" w:lineRule="exact"/>
        <w:jc w:val="center"/>
        <w:outlineLvl w:val="0"/>
        <w:rPr>
          <w:rFonts w:ascii="方正小标宋简体" w:hAnsi="宋体" w:eastAsia="方正小标宋简体"/>
          <w:sz w:val="72"/>
          <w:szCs w:val="72"/>
        </w:rPr>
      </w:pPr>
    </w:p>
    <w:p w14:paraId="7BF1388D">
      <w:pPr>
        <w:spacing w:line="600" w:lineRule="exact"/>
        <w:jc w:val="center"/>
        <w:outlineLvl w:val="0"/>
        <w:rPr>
          <w:rFonts w:ascii="方正小标宋简体" w:hAnsi="宋体" w:eastAsia="方正小标宋简体"/>
          <w:sz w:val="72"/>
          <w:szCs w:val="72"/>
        </w:rPr>
      </w:pPr>
    </w:p>
    <w:p w14:paraId="553F073F">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p>
    <w:p w14:paraId="6DBC08C4">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78442"/>
      <w:bookmarkStart w:id="7" w:name="_Toc15377426"/>
      <w:bookmarkStart w:id="8" w:name="_Toc15377194"/>
      <w:bookmarkStart w:id="9" w:name="_Toc15396598"/>
      <w:bookmarkStart w:id="10" w:name="_Toc15396476"/>
      <w:r>
        <w:rPr>
          <w:rFonts w:hint="eastAsia" w:ascii="方正小标宋简体" w:hAnsi="方正小标宋简体" w:eastAsia="方正小标宋简体" w:cs="方正小标宋简体"/>
          <w:sz w:val="72"/>
          <w:szCs w:val="72"/>
        </w:rPr>
        <w:t>四川省</w:t>
      </w:r>
      <w:bookmarkEnd w:id="5"/>
      <w:bookmarkStart w:id="11" w:name="_Toc15306268"/>
      <w:r>
        <w:rPr>
          <w:rFonts w:hint="eastAsia" w:ascii="方正小标宋简体" w:hAnsi="方正小标宋简体" w:eastAsia="方正小标宋简体" w:cs="方正小标宋简体"/>
          <w:sz w:val="72"/>
          <w:szCs w:val="72"/>
          <w:lang w:eastAsia="zh-CN"/>
        </w:rPr>
        <w:t>阿坝州红原县市场监督管理局</w:t>
      </w: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p>
    <w:p w14:paraId="565CC121">
      <w:pPr>
        <w:adjustRightInd w:val="0"/>
        <w:snapToGrid w:val="0"/>
        <w:spacing w:line="360" w:lineRule="auto"/>
        <w:jc w:val="center"/>
        <w:outlineLvl w:val="0"/>
        <w:rPr>
          <w:rFonts w:ascii="方正小标宋简体" w:hAnsi="宋体" w:eastAsia="方正小标宋简体"/>
          <w:sz w:val="52"/>
          <w:szCs w:val="52"/>
        </w:rPr>
      </w:pPr>
      <w:r>
        <w:rPr>
          <w:rFonts w:hint="eastAsia" w:ascii="方正小标宋简体" w:hAnsi="宋体" w:eastAsia="方正小标宋简体"/>
          <w:sz w:val="52"/>
          <w:szCs w:val="52"/>
        </w:rPr>
        <w:t>(部门公开范本)</w:t>
      </w:r>
    </w:p>
    <w:p w14:paraId="3C55AE0D">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744A1F9C">
      <w:pPr>
        <w:widowControl/>
        <w:jc w:val="center"/>
        <w:rPr>
          <w:rFonts w:ascii="黑体" w:hAnsi="黑体" w:eastAsia="黑体" w:cstheme="minorBidi"/>
          <w:sz w:val="28"/>
          <w:szCs w:val="28"/>
        </w:rPr>
      </w:pPr>
    </w:p>
    <w:p w14:paraId="085BD66F">
      <w:pPr>
        <w:pStyle w:val="11"/>
      </w:pPr>
      <w:r>
        <w:rPr>
          <w:rFonts w:hint="eastAsia"/>
        </w:rPr>
        <w:t>公开时间：2023年</w:t>
      </w:r>
      <w:r>
        <w:rPr>
          <w:rFonts w:hint="eastAsia"/>
          <w:lang w:val="en-US" w:eastAsia="zh-CN"/>
        </w:rPr>
        <w:t>11</w:t>
      </w:r>
      <w:r>
        <w:rPr>
          <w:rFonts w:hint="eastAsia"/>
        </w:rPr>
        <w:t xml:space="preserve">月 </w:t>
      </w:r>
      <w:r>
        <w:rPr>
          <w:rFonts w:hint="eastAsia"/>
          <w:lang w:val="en-US" w:eastAsia="zh-CN"/>
        </w:rPr>
        <w:t>12</w:t>
      </w:r>
      <w:r>
        <w:rPr>
          <w:rFonts w:hint="eastAsia"/>
        </w:rPr>
        <w:t xml:space="preserve"> 日</w:t>
      </w:r>
    </w:p>
    <w:p w14:paraId="08ACB22C"/>
    <w:p w14:paraId="0F011BFE">
      <w:pPr>
        <w:pStyle w:val="11"/>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0AC5B628">
      <w:pPr>
        <w:pStyle w:val="12"/>
        <w:adjustRightInd w:val="0"/>
        <w:snapToGrid w:val="0"/>
        <w:spacing w:line="440" w:lineRule="exact"/>
        <w:jc w:val="left"/>
        <w:rPr>
          <w:rFonts w:ascii="仿宋" w:hAnsi="仿宋" w:eastAsia="仿宋"/>
          <w:sz w:val="24"/>
        </w:rPr>
      </w:pPr>
      <w:r>
        <w:rPr>
          <w:rFonts w:hint="eastAsia"/>
          <w:sz w:val="24"/>
        </w:rPr>
        <w:t>一、部门职责</w:t>
      </w:r>
    </w:p>
    <w:p w14:paraId="36376A69">
      <w:pPr>
        <w:pStyle w:val="12"/>
        <w:adjustRightInd w:val="0"/>
        <w:snapToGrid w:val="0"/>
        <w:spacing w:line="440" w:lineRule="exact"/>
        <w:jc w:val="left"/>
        <w:rPr>
          <w:rFonts w:ascii="仿宋" w:hAnsi="仿宋" w:eastAsia="仿宋" w:cstheme="minorBidi"/>
          <w:sz w:val="24"/>
        </w:rPr>
      </w:pPr>
      <w:r>
        <w:rPr>
          <w:rFonts w:hint="eastAsia"/>
          <w:sz w:val="24"/>
        </w:rPr>
        <w:t>二、机构设置</w:t>
      </w:r>
    </w:p>
    <w:p w14:paraId="71D3CB2A">
      <w:pPr>
        <w:pStyle w:val="11"/>
        <w:adjustRightInd w:val="0"/>
        <w:snapToGrid w:val="0"/>
        <w:spacing w:before="0" w:line="440" w:lineRule="exact"/>
        <w:jc w:val="left"/>
        <w:rPr>
          <w:sz w:val="24"/>
          <w:szCs w:val="24"/>
        </w:rPr>
      </w:pPr>
      <w:r>
        <w:rPr>
          <w:rFonts w:hint="eastAsia"/>
          <w:sz w:val="24"/>
        </w:rPr>
        <w:t>第二部分 2023年度部门决算情况说明</w:t>
      </w:r>
    </w:p>
    <w:p w14:paraId="58C764A7">
      <w:pPr>
        <w:pStyle w:val="12"/>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14:paraId="14989239">
      <w:pPr>
        <w:pStyle w:val="12"/>
        <w:adjustRightInd w:val="0"/>
        <w:snapToGrid w:val="0"/>
        <w:spacing w:line="440" w:lineRule="exact"/>
        <w:jc w:val="left"/>
        <w:rPr>
          <w:rFonts w:ascii="仿宋" w:hAnsi="仿宋" w:eastAsia="仿宋" w:cstheme="minorBidi"/>
          <w:sz w:val="24"/>
        </w:rPr>
      </w:pPr>
      <w:r>
        <w:rPr>
          <w:rFonts w:hint="eastAsia"/>
          <w:sz w:val="24"/>
        </w:rPr>
        <w:t>二、收入决算情况说明</w:t>
      </w:r>
    </w:p>
    <w:p w14:paraId="28885CC8">
      <w:pPr>
        <w:pStyle w:val="12"/>
        <w:adjustRightInd w:val="0"/>
        <w:snapToGrid w:val="0"/>
        <w:spacing w:line="440" w:lineRule="exact"/>
        <w:jc w:val="left"/>
        <w:rPr>
          <w:rFonts w:ascii="仿宋" w:hAnsi="仿宋" w:eastAsia="仿宋" w:cstheme="minorBidi"/>
          <w:sz w:val="24"/>
        </w:rPr>
      </w:pPr>
      <w:r>
        <w:rPr>
          <w:rFonts w:hint="eastAsia"/>
          <w:sz w:val="24"/>
        </w:rPr>
        <w:t>三、支出决算情况说明</w:t>
      </w:r>
    </w:p>
    <w:p w14:paraId="1EA0611E">
      <w:pPr>
        <w:pStyle w:val="12"/>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14:paraId="3FBBC4CB">
      <w:pPr>
        <w:pStyle w:val="12"/>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14:paraId="404C9A4E">
      <w:pPr>
        <w:pStyle w:val="12"/>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14:paraId="3B37CD34">
      <w:pPr>
        <w:pStyle w:val="12"/>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p>
    <w:p w14:paraId="215AE126">
      <w:pPr>
        <w:pStyle w:val="12"/>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14:paraId="42C06A04">
      <w:pPr>
        <w:pStyle w:val="12"/>
        <w:adjustRightInd w:val="0"/>
        <w:snapToGrid w:val="0"/>
        <w:spacing w:line="440" w:lineRule="exact"/>
        <w:ind w:left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九、国有资本经营预算支出决算情况说明</w:t>
      </w:r>
    </w:p>
    <w:p w14:paraId="3C3307E7">
      <w:pPr>
        <w:adjustRightInd w:val="0"/>
        <w:snapToGrid w:val="0"/>
        <w:spacing w:line="440" w:lineRule="exact"/>
        <w:ind w:firstLine="420" w:firstLineChars="175"/>
        <w:jc w:val="left"/>
        <w:rPr>
          <w:rFonts w:asciiTheme="minorEastAsia" w:hAnsiTheme="minorEastAsia" w:eastAsiaTheme="minorEastAsia" w:cstheme="minorEastAsia"/>
          <w:sz w:val="24"/>
        </w:rPr>
      </w:pPr>
      <w:r>
        <w:rPr>
          <w:rStyle w:val="18"/>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hint="eastAsia" w:asciiTheme="minorEastAsia" w:hAnsiTheme="minorEastAsia" w:eastAsiaTheme="minorEastAsia" w:cstheme="minorEastAsia"/>
          <w:sz w:val="24"/>
        </w:rPr>
        <w:tab/>
      </w:r>
    </w:p>
    <w:p w14:paraId="4023CB12">
      <w:pPr>
        <w:pStyle w:val="11"/>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14:paraId="1DD214DC">
      <w:pPr>
        <w:pStyle w:val="11"/>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5AC273EC">
      <w:pPr>
        <w:pStyle w:val="11"/>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2F3FF6F9">
      <w:pPr>
        <w:pStyle w:val="12"/>
        <w:adjustRightInd w:val="0"/>
        <w:snapToGrid w:val="0"/>
        <w:spacing w:line="440" w:lineRule="exact"/>
        <w:jc w:val="left"/>
        <w:rPr>
          <w:sz w:val="24"/>
        </w:rPr>
      </w:pPr>
      <w:r>
        <w:rPr>
          <w:rFonts w:hint="eastAsia"/>
          <w:sz w:val="24"/>
        </w:rPr>
        <w:t>一、收入支出决算总表</w:t>
      </w:r>
    </w:p>
    <w:p w14:paraId="0EF5F820">
      <w:pPr>
        <w:pStyle w:val="12"/>
        <w:adjustRightInd w:val="0"/>
        <w:snapToGrid w:val="0"/>
        <w:spacing w:line="440" w:lineRule="exact"/>
        <w:jc w:val="left"/>
        <w:rPr>
          <w:sz w:val="24"/>
        </w:rPr>
      </w:pPr>
      <w:r>
        <w:rPr>
          <w:rFonts w:hint="eastAsia"/>
          <w:sz w:val="24"/>
        </w:rPr>
        <w:t>二、收入决算表</w:t>
      </w:r>
    </w:p>
    <w:p w14:paraId="63D2A95D">
      <w:pPr>
        <w:pStyle w:val="12"/>
        <w:adjustRightInd w:val="0"/>
        <w:snapToGrid w:val="0"/>
        <w:spacing w:line="440" w:lineRule="exact"/>
        <w:jc w:val="left"/>
        <w:rPr>
          <w:sz w:val="24"/>
        </w:rPr>
      </w:pPr>
      <w:r>
        <w:rPr>
          <w:rFonts w:hint="eastAsia"/>
          <w:sz w:val="24"/>
        </w:rPr>
        <w:t>三、支出决算表</w:t>
      </w:r>
    </w:p>
    <w:p w14:paraId="30B89CEA">
      <w:pPr>
        <w:pStyle w:val="12"/>
        <w:adjustRightInd w:val="0"/>
        <w:snapToGrid w:val="0"/>
        <w:spacing w:line="440" w:lineRule="exact"/>
        <w:jc w:val="left"/>
        <w:rPr>
          <w:sz w:val="24"/>
        </w:rPr>
      </w:pPr>
      <w:r>
        <w:rPr>
          <w:rFonts w:hint="eastAsia"/>
          <w:sz w:val="24"/>
        </w:rPr>
        <w:t>四、财政拨款收入支出决算总表</w:t>
      </w:r>
    </w:p>
    <w:p w14:paraId="3D660A32">
      <w:pPr>
        <w:pStyle w:val="12"/>
        <w:adjustRightInd w:val="0"/>
        <w:snapToGrid w:val="0"/>
        <w:spacing w:line="440" w:lineRule="exact"/>
        <w:jc w:val="left"/>
        <w:rPr>
          <w:sz w:val="24"/>
        </w:rPr>
      </w:pPr>
      <w:r>
        <w:rPr>
          <w:rFonts w:hint="eastAsia"/>
          <w:sz w:val="24"/>
        </w:rPr>
        <w:t>五、财政拨款支出决算明细表</w:t>
      </w:r>
    </w:p>
    <w:p w14:paraId="4B326DE4">
      <w:pPr>
        <w:pStyle w:val="12"/>
        <w:adjustRightInd w:val="0"/>
        <w:snapToGrid w:val="0"/>
        <w:spacing w:line="440" w:lineRule="exact"/>
        <w:jc w:val="left"/>
        <w:rPr>
          <w:sz w:val="24"/>
        </w:rPr>
      </w:pPr>
      <w:r>
        <w:rPr>
          <w:rFonts w:hint="eastAsia"/>
          <w:sz w:val="24"/>
        </w:rPr>
        <w:t>六、一般公共预算财政拨款支出决算表</w:t>
      </w:r>
    </w:p>
    <w:p w14:paraId="492425ED">
      <w:pPr>
        <w:pStyle w:val="12"/>
        <w:adjustRightInd w:val="0"/>
        <w:snapToGrid w:val="0"/>
        <w:spacing w:line="440" w:lineRule="exact"/>
        <w:jc w:val="left"/>
        <w:rPr>
          <w:sz w:val="24"/>
        </w:rPr>
      </w:pPr>
      <w:r>
        <w:rPr>
          <w:rFonts w:hint="eastAsia"/>
          <w:sz w:val="24"/>
        </w:rPr>
        <w:t>七、一般公共预算财政拨款支出决算明细表</w:t>
      </w:r>
    </w:p>
    <w:p w14:paraId="766D025C">
      <w:pPr>
        <w:pStyle w:val="12"/>
        <w:adjustRightInd w:val="0"/>
        <w:snapToGrid w:val="0"/>
        <w:spacing w:line="440" w:lineRule="exact"/>
        <w:jc w:val="left"/>
        <w:rPr>
          <w:sz w:val="24"/>
        </w:rPr>
      </w:pPr>
      <w:r>
        <w:rPr>
          <w:rFonts w:hint="eastAsia"/>
          <w:sz w:val="24"/>
        </w:rPr>
        <w:t>八、一般公共预算财政拨款基本支出决算明细表</w:t>
      </w:r>
    </w:p>
    <w:p w14:paraId="316F9600">
      <w:pPr>
        <w:pStyle w:val="12"/>
        <w:adjustRightInd w:val="0"/>
        <w:snapToGrid w:val="0"/>
        <w:spacing w:line="440" w:lineRule="exact"/>
        <w:jc w:val="left"/>
        <w:rPr>
          <w:sz w:val="24"/>
        </w:rPr>
      </w:pPr>
      <w:r>
        <w:rPr>
          <w:rFonts w:hint="eastAsia"/>
          <w:sz w:val="24"/>
        </w:rPr>
        <w:t>九、一般公共预算财政拨款项目支出决算表</w:t>
      </w:r>
    </w:p>
    <w:p w14:paraId="6AD50DCE">
      <w:pPr>
        <w:pStyle w:val="12"/>
        <w:adjustRightInd w:val="0"/>
        <w:snapToGrid w:val="0"/>
        <w:spacing w:line="440" w:lineRule="exact"/>
        <w:jc w:val="left"/>
        <w:rPr>
          <w:sz w:val="24"/>
        </w:rPr>
      </w:pPr>
      <w:r>
        <w:rPr>
          <w:rFonts w:hint="eastAsia"/>
          <w:sz w:val="24"/>
        </w:rPr>
        <w:t>十、政府性基金预算财政拨款收入支出决算表</w:t>
      </w:r>
    </w:p>
    <w:p w14:paraId="2B11BE93">
      <w:pPr>
        <w:pStyle w:val="12"/>
        <w:adjustRightInd w:val="0"/>
        <w:snapToGrid w:val="0"/>
        <w:spacing w:line="440" w:lineRule="exact"/>
        <w:jc w:val="left"/>
        <w:rPr>
          <w:sz w:val="24"/>
        </w:rPr>
      </w:pPr>
      <w:r>
        <w:rPr>
          <w:rFonts w:hint="eastAsia"/>
          <w:sz w:val="24"/>
        </w:rPr>
        <w:t>十一、国有资本经营预算财政拨款收入支出决算表</w:t>
      </w:r>
    </w:p>
    <w:p w14:paraId="219CECDF">
      <w:pPr>
        <w:pStyle w:val="12"/>
        <w:adjustRightInd w:val="0"/>
        <w:snapToGrid w:val="0"/>
        <w:spacing w:line="440" w:lineRule="exact"/>
        <w:jc w:val="left"/>
        <w:rPr>
          <w:sz w:val="24"/>
        </w:rPr>
      </w:pPr>
      <w:r>
        <w:rPr>
          <w:rFonts w:hint="eastAsia"/>
          <w:sz w:val="24"/>
        </w:rPr>
        <w:t>十二、国有资本经营预算财政拨款支出决算表</w:t>
      </w:r>
    </w:p>
    <w:p w14:paraId="71A2CF91">
      <w:pPr>
        <w:pStyle w:val="12"/>
        <w:adjustRightInd w:val="0"/>
        <w:snapToGrid w:val="0"/>
        <w:spacing w:line="440" w:lineRule="exact"/>
        <w:jc w:val="left"/>
        <w:rPr>
          <w:rFonts w:asciiTheme="minorEastAsia" w:hAnsiTheme="minorEastAsia" w:eastAsiaTheme="minorEastAsia" w:cstheme="minorEastAsia"/>
          <w:sz w:val="24"/>
        </w:rPr>
      </w:pPr>
      <w:r>
        <w:rPr>
          <w:rFonts w:hint="eastAsia"/>
          <w:sz w:val="24"/>
        </w:rPr>
        <w:t>十三、财政拨款“三公”经费支出决算表</w:t>
      </w:r>
    </w:p>
    <w:p w14:paraId="7174843D">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14:paraId="02414B21">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bookmarkEnd w:id="12"/>
    <w:bookmarkEnd w:id="13"/>
    <w:p w14:paraId="22AE4D29">
      <w:pPr>
        <w:pStyle w:val="3"/>
        <w:keepNext w:val="0"/>
        <w:keepLines w:val="0"/>
        <w:widowControl/>
        <w:suppressLineNumbers w:val="0"/>
        <w:jc w:val="center"/>
      </w:pPr>
      <w:r>
        <w:t>第一部分 部门概况</w:t>
      </w:r>
    </w:p>
    <w:p w14:paraId="6A55E6B2">
      <w:pPr>
        <w:pStyle w:val="4"/>
        <w:keepNext w:val="0"/>
        <w:keepLines w:val="0"/>
        <w:widowControl/>
        <w:numPr>
          <w:ilvl w:val="0"/>
          <w:numId w:val="1"/>
        </w:numPr>
        <w:suppressLineNumbers w:val="0"/>
      </w:pPr>
      <w:r>
        <w:t>基本职能及主要工作</w:t>
      </w:r>
    </w:p>
    <w:p w14:paraId="67CED750">
      <w:pPr>
        <w:pStyle w:val="4"/>
        <w:keepNext w:val="0"/>
        <w:keepLines w:val="0"/>
        <w:widowControl/>
        <w:numPr>
          <w:ilvl w:val="0"/>
          <w:numId w:val="0"/>
        </w:numPr>
        <w:suppressLineNumbers w:val="0"/>
        <w:outlineLvl w:val="1"/>
        <w:rPr>
          <w:rFonts w:hint="eastAsia" w:ascii="楷体_GB2312" w:hAnsi="楷体_GB2312" w:eastAsia="楷体_GB2312" w:cs="楷体_GB2312"/>
          <w:b/>
          <w:bCs w:val="0"/>
          <w:color w:val="000000"/>
          <w:sz w:val="32"/>
          <w:szCs w:val="32"/>
          <w:lang w:eastAsia="zh-CN"/>
        </w:rPr>
      </w:pPr>
      <w:r>
        <w:rPr>
          <w:rFonts w:hint="eastAsia" w:ascii="楷体_GB2312" w:hAnsi="楷体_GB2312" w:eastAsia="楷体_GB2312" w:cs="楷体_GB2312"/>
          <w:b/>
          <w:bCs w:val="0"/>
          <w:color w:val="000000"/>
          <w:sz w:val="32"/>
          <w:szCs w:val="32"/>
          <w:lang w:eastAsia="zh-CN"/>
        </w:rPr>
        <w:t>一、职能简介</w:t>
      </w:r>
    </w:p>
    <w:p w14:paraId="4F9DB6E2">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1.产权战略，拟订并组织实施全县食品安全等规划，规范和维护市场秩序，营造诚实守信、公平竞争的市场环境。</w:t>
      </w:r>
    </w:p>
    <w:p w14:paraId="62EBE51C">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负责全县市场主体统一登记注册。负责全县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14:paraId="16A73ED4">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3.负责组织和指导全县市场监督管理综合执法工作。负责全县市场监管综合执法队伍整合和建设，推动实行统一的市场监管。组织查处和督办大案要案、疑难案件、跨区域案件。规范市场监督管理行政执法行为。</w:t>
      </w:r>
    </w:p>
    <w:p w14:paraId="3A18A763">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负责全县反垄断统一执法。统筹推进竞争政策实施，按照权限指导实施公平竞争审查制度。依法依授权对经营者集中行为进行反垄断审查，负责垄断协议、滥用市场支配地位和滥用行政权力排除、限制竞争等反垄断执法工作。指导在县企业在国外的反垄断应诉工作。</w:t>
      </w:r>
    </w:p>
    <w:p w14:paraId="5DDF81F6">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负责监督管理全县市场秩序。依法监督管理市场交易、网络商品交易及有关服务的行为。组织指导查处价格收费违法违规、不正当竞争、违法直销、传销、侵犯商标专利知识产权和制售假冒伪劣行为。指导广告业发展，监督管理广告活动。依法查处无照生产经营和相关无证生产经营行为。依法开展消费者权益保护工作。建设12315行政执法体系。指导县保护消费者权益委员会开展工作。</w:t>
      </w:r>
    </w:p>
    <w:p w14:paraId="75481B70">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负责全县宏观质量管理。组织实施质量发展的制度措施。统筹全县质量基础设施建设与应用。会同有关部门组织实施重大工程设备质量监理制度，组织产品质量事故调查，贯彻实施缺陷产品召回制度，监督管理产品防伪工作。</w:t>
      </w:r>
    </w:p>
    <w:p w14:paraId="376C77CB">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7.负责全县产品质量安全监督管理。负责产品质量监督抽查和风险监控工作，组织实施质量分级制度、质量安全追溯制度。在权限和职责范围内负责工业产品生产许可管理。负责纤维质量监督工作。</w:t>
      </w:r>
    </w:p>
    <w:p w14:paraId="0DAD12E0">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8.负责全县特种设备安全监督管理。综合管理特种设备安全监察、监督工作，监督检查高耗能特种设备节能标准和锅炉产品环境保护标准的执行情况。</w:t>
      </w:r>
    </w:p>
    <w:p w14:paraId="4054D1AA">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9.负责全县食品安全监督管理综合协调。统筹指导全县食品安全工作。负责食品安全应急体系建设，组织指导食品安全事件应急处置和调查处理工作。建立健全食品安全重要信息直报制度。承担县食品安全委员会日常工作。</w:t>
      </w:r>
    </w:p>
    <w:p w14:paraId="37380652">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10.负责全县食品安全监督管理。建立覆盖食品生产、流通、消费全过程的监督检查制度和隐患排查治理机制并组织实施，防范区域性、系统性食品安全风险。推动建立食品生产经营者落实主体责任机制，健全食品安全追溯体系。指导督促食品生产经营企业的安全生产工作，组织开展食品安全监督抽检、风险监测、核查处置和风险预警、风险交流工作。组织实施特殊食品生产、流通、使用的监督管理。</w:t>
      </w:r>
    </w:p>
    <w:p w14:paraId="44AA6EE6">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11.负责全县药品（含中药、民族药，下同）、医疗器械和化妆品安全监督管理。贯彻执行国家有关药品、医疗器械和化妆品监督管理的方针政策和法律法规。贯彻落实国家鼓励药品、医疗器械和化妆品新技术新产品的管理与服务政策。</w:t>
      </w:r>
    </w:p>
    <w:p w14:paraId="4166E90C">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12.负责全县药品、医疗器械和化妆品标准执行管理。监督实施全县药品、医疗器械、化妆品标准和分类管理制度。配合实施国家基本药物制度。</w:t>
      </w:r>
    </w:p>
    <w:p w14:paraId="341D1E99">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13.负责全县药品、医疗器械和化妆品质量管理。依法依授权监督实施药品、医疗器械生产、经营、使用质量管理规范。</w:t>
      </w:r>
    </w:p>
    <w:p w14:paraId="33D26CF7">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14.负责全县药品、医疗器械和化妆品监督管理。负责药品、医疗器械、化妆品日常监督检查。依法依授权查处药品、医疗器械和化妆品生产、销售、使用的违法行为。依法承担药品、医疗器械和化妆品安全应急管理和投诉举报处置工作。</w:t>
      </w:r>
    </w:p>
    <w:p w14:paraId="572BC29B">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15.负责全县药品、医疗器械和化妆品风险管理。组织开展药品不良反应、医疗器械不良事件和化妆品不良反应的监测、评价和处置工作。依法承担药品、医疗器械和化妆品安全应急管理和投诉举报处置工作。</w:t>
      </w:r>
    </w:p>
    <w:p w14:paraId="6E14A7EA">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16.依法依授权承担我县执业药师注册管理工作，贯彻执行执业药师其他相关管理制度。</w:t>
      </w:r>
    </w:p>
    <w:p w14:paraId="54282326">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17.负责统一管理全县计量工作。推行法定计量单位，执行国家计量制度，管理计量器具及量值传递和比对工作。规范、监督商品量和计量行为。</w:t>
      </w:r>
    </w:p>
    <w:p w14:paraId="3F118653">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18.负责统一管理全县标准化工作。依法承担地方标准立项、编号和发布等工作，协调指导地方标准、团体标准制定工作，依法对标准制定和实施情况开展监督。</w:t>
      </w:r>
    </w:p>
    <w:p w14:paraId="5E4290C0">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19.负责统一管理全县检验检测工作。规范检验检测市场，完善检验检测体系，指导协调检验检测行业发展。</w:t>
      </w:r>
    </w:p>
    <w:p w14:paraId="5862ED28">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20.负责统一管理全县认证认可工作。监督管理认证认可和合格评定工作。</w:t>
      </w:r>
    </w:p>
    <w:p w14:paraId="1604319B">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21.负责市场监督管理科技和信息化建设、新闻宣传。</w:t>
      </w:r>
    </w:p>
    <w:p w14:paraId="7D720B55">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22.负责全县知识产权监督管理。贯彻落实国家、省、州知识产权战略、法规，拟订全县知识产权规划，负责知识产权的保护，负责组织实施商标、专利执法工作。</w:t>
      </w:r>
    </w:p>
    <w:p w14:paraId="4CF40681">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23.负责促进全县民营经济发展。负责全县民营经济发展工作的任务制定、调查研究、统筹协调、督促落实及民营企业合法权益维护。在县委组织部指导下，指导全县市场监督管理部门配合党委组织部门开展小微企业、个体工商户、专业市场的党建工作。</w:t>
      </w:r>
    </w:p>
    <w:p w14:paraId="18E1BB15">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24.负责职责范围内的安全生产和职业健康、生态环境保护、应急联动、审批服务便民化等工作。</w:t>
      </w:r>
    </w:p>
    <w:p w14:paraId="66B61BD6">
      <w:pPr>
        <w:numPr>
          <w:ilvl w:val="0"/>
          <w:numId w:val="0"/>
        </w:num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25.完成县委、县政府交办的其他任务。</w:t>
      </w:r>
    </w:p>
    <w:p w14:paraId="5955762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二、重点工作完成情况</w:t>
      </w:r>
    </w:p>
    <w:p w14:paraId="35A5C3F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eastAsia" w:ascii="方正楷体_GBK" w:hAnsi="方正楷体_GBK" w:eastAsia="方正楷体_GBK" w:cs="方正楷体_GBK"/>
          <w:b/>
          <w:bCs/>
          <w:sz w:val="32"/>
          <w:szCs w:val="32"/>
          <w:lang w:eastAsia="zh-CN"/>
        </w:rPr>
        <w:t>（一）深化改革，提升效率，充分激发市场活力。</w:t>
      </w:r>
      <w:r>
        <w:rPr>
          <w:rFonts w:hint="eastAsia" w:ascii="方正楷体_GBK" w:hAnsi="方正楷体_GBK" w:eastAsia="方正楷体_GBK" w:cs="方正楷体_GBK"/>
          <w:b/>
          <w:bCs/>
          <w:color w:val="auto"/>
          <w:sz w:val="32"/>
          <w:szCs w:val="32"/>
          <w:lang w:val="en-US" w:eastAsia="zh-CN"/>
        </w:rPr>
        <w:t>一是服务民营经济发展</w:t>
      </w:r>
      <w:r>
        <w:rPr>
          <w:rFonts w:hint="eastAsia" w:ascii="方正楷体_GBK" w:hAnsi="方正楷体_GBK" w:eastAsia="方正楷体_GBK" w:cs="方正楷体_GBK"/>
          <w:color w:val="auto"/>
          <w:sz w:val="32"/>
          <w:szCs w:val="32"/>
          <w:lang w:val="en-US" w:eastAsia="zh-CN"/>
        </w:rPr>
        <w:t>。</w:t>
      </w:r>
      <w:r>
        <w:rPr>
          <w:rFonts w:hint="eastAsia" w:ascii="Times New Roman" w:hAnsi="Times New Roman" w:eastAsia="方正仿宋_GBK" w:cs="Times New Roman"/>
          <w:color w:val="auto"/>
          <w:sz w:val="32"/>
          <w:szCs w:val="32"/>
          <w:lang w:eastAsia="zh-CN"/>
        </w:rPr>
        <w:t>2023年新登记注册个体工商户482户，新增注册资本5615.20万元。新登记注册各类企业共55户，新增注册资本22691.00万元。新登记注册农民专业合作社5户，注册资本1405.00万元。全程电子化登记注册共计536户</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bCs/>
          <w:color w:val="auto"/>
          <w:sz w:val="32"/>
          <w:szCs w:val="32"/>
          <w:lang w:val="en-US" w:eastAsia="zh-CN"/>
        </w:rPr>
        <w:t>二是持续推进“双随机、一公开”监管。</w:t>
      </w:r>
      <w:r>
        <w:rPr>
          <w:rFonts w:hint="eastAsia" w:ascii="Times New Roman" w:hAnsi="Times New Roman" w:eastAsia="方正仿宋_GBK" w:cs="Times New Roman"/>
          <w:color w:val="auto"/>
          <w:sz w:val="32"/>
          <w:szCs w:val="32"/>
          <w:lang w:val="en-US" w:eastAsia="zh-CN"/>
        </w:rPr>
        <w:t>以“互联网+监管”为依托，全面推进“双随机、一公开”监管工作，持续</w:t>
      </w:r>
      <w:r>
        <w:rPr>
          <w:rFonts w:hint="default" w:ascii="Times New Roman" w:hAnsi="Times New Roman" w:eastAsia="方正仿宋_GBK" w:cs="Times New Roman"/>
          <w:color w:val="auto"/>
          <w:sz w:val="32"/>
          <w:szCs w:val="32"/>
          <w:lang w:eastAsia="zh-CN"/>
        </w:rPr>
        <w:t>将双随机监管理念贯穿到执法检查各领域中，</w:t>
      </w:r>
      <w:r>
        <w:rPr>
          <w:rFonts w:hint="eastAsia" w:ascii="Times New Roman" w:hAnsi="Times New Roman" w:eastAsia="方正仿宋_GBK" w:cs="Times New Roman"/>
          <w:color w:val="auto"/>
          <w:sz w:val="32"/>
          <w:szCs w:val="32"/>
          <w:lang w:val="en-US" w:eastAsia="zh-CN"/>
        </w:rPr>
        <w:t>随机</w:t>
      </w:r>
      <w:r>
        <w:rPr>
          <w:rFonts w:hint="default" w:ascii="Times New Roman" w:hAnsi="Times New Roman" w:eastAsia="方正仿宋_GBK" w:cs="Times New Roman"/>
          <w:color w:val="auto"/>
          <w:sz w:val="32"/>
          <w:szCs w:val="32"/>
          <w:lang w:eastAsia="zh-CN"/>
        </w:rPr>
        <w:t>确定了抽查范围、抽查行业、抽查比例、抽查频次和被抽查概率。</w:t>
      </w:r>
      <w:r>
        <w:rPr>
          <w:rFonts w:hint="default" w:ascii="Times New Roman" w:hAnsi="Times New Roman" w:eastAsia="方正仿宋_GBK" w:cs="Times New Roman"/>
          <w:color w:val="auto"/>
          <w:sz w:val="32"/>
          <w:szCs w:val="32"/>
          <w:lang w:val="en-US" w:eastAsia="zh-CN"/>
        </w:rPr>
        <w:t>截止</w:t>
      </w:r>
      <w:r>
        <w:rPr>
          <w:rFonts w:hint="eastAsia" w:ascii="Times New Roman" w:hAnsi="Times New Roman" w:eastAsia="方正仿宋_GBK" w:cs="Times New Roman"/>
          <w:color w:val="auto"/>
          <w:sz w:val="32"/>
          <w:szCs w:val="32"/>
          <w:lang w:val="en-US" w:eastAsia="zh-CN"/>
        </w:rPr>
        <w:t>目前</w:t>
      </w:r>
      <w:r>
        <w:rPr>
          <w:rFonts w:hint="default" w:ascii="Times New Roman" w:hAnsi="Times New Roman" w:eastAsia="方正仿宋_GBK" w:cs="Times New Roman"/>
          <w:color w:val="auto"/>
          <w:sz w:val="32"/>
          <w:szCs w:val="32"/>
          <w:lang w:val="en-US" w:eastAsia="zh-CN"/>
        </w:rPr>
        <w:t>，制定随机抽查事项12项，实现“一次执法、全面检查”。多部门联合开展“双随机”执法</w:t>
      </w:r>
      <w:r>
        <w:rPr>
          <w:rFonts w:hint="eastAsia"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lang w:val="en-US" w:eastAsia="zh-CN"/>
        </w:rPr>
        <w:t>次，抽查各类市场主体</w:t>
      </w:r>
      <w:r>
        <w:rPr>
          <w:rFonts w:hint="eastAsia" w:ascii="Times New Roman" w:hAnsi="Times New Roman" w:eastAsia="方正仿宋_GBK" w:cs="Times New Roman"/>
          <w:color w:val="auto"/>
          <w:sz w:val="32"/>
          <w:szCs w:val="32"/>
          <w:lang w:val="en-US" w:eastAsia="zh-CN"/>
        </w:rPr>
        <w:t>10</w:t>
      </w:r>
      <w:r>
        <w:rPr>
          <w:rFonts w:hint="default" w:ascii="Times New Roman" w:hAnsi="Times New Roman" w:eastAsia="方正仿宋_GBK" w:cs="Times New Roman"/>
          <w:color w:val="auto"/>
          <w:sz w:val="32"/>
          <w:szCs w:val="32"/>
          <w:lang w:val="en-US" w:eastAsia="zh-CN"/>
        </w:rPr>
        <w:t>户。</w:t>
      </w:r>
    </w:p>
    <w:p w14:paraId="040B716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i w:val="0"/>
          <w:iCs w:val="0"/>
          <w:caps w:val="0"/>
          <w:color w:val="auto"/>
          <w:spacing w:val="0"/>
          <w:sz w:val="32"/>
          <w:szCs w:val="32"/>
          <w:shd w:val="clear" w:color="auto" w:fill="FFFFFF"/>
          <w:lang w:val="en-US" w:eastAsia="zh-CN"/>
        </w:rPr>
      </w:pPr>
      <w:r>
        <w:rPr>
          <w:rFonts w:hint="default" w:ascii="方正楷体_GBK" w:hAnsi="方正楷体_GBK" w:eastAsia="方正楷体_GBK" w:cs="方正楷体_GBK"/>
          <w:b/>
          <w:bCs/>
          <w:sz w:val="32"/>
          <w:szCs w:val="32"/>
          <w:lang w:val="en-US" w:eastAsia="zh-CN"/>
        </w:rPr>
        <w:t>（二）</w:t>
      </w:r>
      <w:r>
        <w:rPr>
          <w:rFonts w:hint="default" w:ascii="方正楷体_GBK" w:hAnsi="方正楷体_GBK" w:eastAsia="方正楷体_GBK" w:cs="方正楷体_GBK"/>
          <w:b/>
          <w:bCs/>
          <w:sz w:val="32"/>
          <w:szCs w:val="32"/>
          <w:lang w:eastAsia="zh-CN"/>
        </w:rPr>
        <w:t>加大宣传，维护权益，营造良好消费环境。</w:t>
      </w:r>
      <w:r>
        <w:rPr>
          <w:rFonts w:hint="default" w:ascii="方正楷体_GBK" w:hAnsi="方正楷体_GBK" w:eastAsia="方正楷体_GBK" w:cs="方正楷体_GBK"/>
          <w:b/>
          <w:bCs/>
          <w:sz w:val="32"/>
          <w:szCs w:val="32"/>
          <w:lang w:val="en-US" w:eastAsia="zh-CN"/>
        </w:rPr>
        <w:t>一是狠抓消费维权宣传营造良好氛围。</w:t>
      </w:r>
      <w:r>
        <w:rPr>
          <w:rFonts w:hint="default" w:ascii="Times New Roman" w:hAnsi="Times New Roman" w:eastAsia="方正仿宋_GBK" w:cs="Times New Roman"/>
          <w:color w:val="auto"/>
          <w:sz w:val="32"/>
          <w:szCs w:val="32"/>
        </w:rPr>
        <w:t>以“提振消费信心”为主题</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开展3.1</w:t>
      </w: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消费者</w:t>
      </w:r>
      <w:r>
        <w:rPr>
          <w:rFonts w:hint="default" w:ascii="Times New Roman" w:hAnsi="Times New Roman" w:eastAsia="方正仿宋_GBK" w:cs="Times New Roman"/>
          <w:color w:val="auto"/>
          <w:sz w:val="32"/>
          <w:szCs w:val="32"/>
          <w:lang w:val="en-US" w:eastAsia="zh-CN"/>
        </w:rPr>
        <w:t>维权</w:t>
      </w:r>
      <w:r>
        <w:rPr>
          <w:rFonts w:hint="default" w:ascii="Times New Roman" w:hAnsi="Times New Roman" w:eastAsia="方正仿宋_GBK" w:cs="Times New Roman"/>
          <w:color w:val="auto"/>
          <w:sz w:val="32"/>
          <w:szCs w:val="32"/>
        </w:rPr>
        <w:t>系列宣传</w:t>
      </w:r>
      <w:r>
        <w:rPr>
          <w:rFonts w:hint="default" w:ascii="Times New Roman" w:hAnsi="Times New Roman" w:eastAsia="方正仿宋_GBK" w:cs="Times New Roman"/>
          <w:color w:val="auto"/>
          <w:sz w:val="32"/>
          <w:szCs w:val="32"/>
          <w:lang w:val="en-US" w:eastAsia="zh-CN"/>
        </w:rPr>
        <w:t>活动，</w:t>
      </w:r>
      <w:r>
        <w:rPr>
          <w:rFonts w:hint="default" w:ascii="Times New Roman" w:hAnsi="Times New Roman" w:eastAsia="方正仿宋_GBK" w:cs="Times New Roman"/>
          <w:color w:val="auto"/>
          <w:sz w:val="32"/>
          <w:szCs w:val="32"/>
        </w:rPr>
        <w:t>发</w:t>
      </w:r>
      <w:r>
        <w:rPr>
          <w:rFonts w:hint="default" w:ascii="Times New Roman" w:hAnsi="Times New Roman" w:eastAsia="方正仿宋_GBK" w:cs="Times New Roman"/>
          <w:color w:val="auto"/>
          <w:sz w:val="32"/>
          <w:szCs w:val="32"/>
          <w:lang w:val="en-US" w:eastAsia="zh-CN"/>
        </w:rPr>
        <w:t>放</w:t>
      </w:r>
      <w:r>
        <w:rPr>
          <w:rFonts w:hint="default" w:ascii="Times New Roman" w:hAnsi="Times New Roman" w:eastAsia="方正仿宋_GBK" w:cs="Times New Roman"/>
          <w:i w:val="0"/>
          <w:iCs w:val="0"/>
          <w:caps w:val="0"/>
          <w:color w:val="000000"/>
          <w:spacing w:val="0"/>
          <w:kern w:val="2"/>
          <w:sz w:val="32"/>
          <w:szCs w:val="32"/>
          <w:shd w:val="clear" w:color="auto" w:fill="FFFFFF"/>
          <w:lang w:val="en-US" w:eastAsia="zh-CN" w:bidi="ar-SA"/>
        </w:rPr>
        <w:t>实用手册1200余份，宣传品2500余份，接受群众咨询500余人次，</w:t>
      </w:r>
      <w:r>
        <w:rPr>
          <w:rFonts w:hint="default" w:ascii="Times New Roman" w:hAnsi="Times New Roman" w:eastAsia="方正仿宋_GBK" w:cs="Times New Roman"/>
          <w:color w:val="auto"/>
          <w:sz w:val="32"/>
          <w:szCs w:val="32"/>
        </w:rPr>
        <w:t>公开</w:t>
      </w:r>
      <w:r>
        <w:rPr>
          <w:rFonts w:hint="default" w:ascii="Times New Roman" w:hAnsi="Times New Roman" w:eastAsia="方正仿宋_GBK" w:cs="Times New Roman"/>
          <w:color w:val="auto"/>
          <w:sz w:val="32"/>
          <w:szCs w:val="32"/>
          <w:lang w:eastAsia="zh-CN"/>
        </w:rPr>
        <w:t>集中销毁假冒伪劣、过期产品</w:t>
      </w:r>
      <w:r>
        <w:rPr>
          <w:rFonts w:hint="default" w:ascii="Times New Roman" w:hAnsi="Times New Roman" w:eastAsia="方正仿宋_GBK" w:cs="Times New Roman"/>
          <w:sz w:val="32"/>
          <w:szCs w:val="32"/>
          <w:lang w:val="en-US" w:eastAsia="zh-CN"/>
        </w:rPr>
        <w:t>200余件，货值3余万元，</w:t>
      </w:r>
      <w:r>
        <w:rPr>
          <w:rFonts w:hint="default" w:ascii="Times New Roman" w:hAnsi="Times New Roman" w:eastAsia="方正仿宋_GBK" w:cs="Times New Roman"/>
          <w:color w:val="auto"/>
          <w:sz w:val="32"/>
          <w:szCs w:val="32"/>
        </w:rPr>
        <w:t>切实提升了群众消费维权意识;</w:t>
      </w:r>
      <w:r>
        <w:rPr>
          <w:rFonts w:hint="default" w:ascii="Times New Roman" w:hAnsi="Times New Roman" w:eastAsia="方正仿宋_GBK" w:cs="Times New Roman"/>
          <w:b/>
          <w:bCs/>
          <w:sz w:val="32"/>
          <w:szCs w:val="32"/>
        </w:rPr>
        <w:t>二是推进放心消费行动。</w:t>
      </w:r>
      <w:r>
        <w:rPr>
          <w:rFonts w:hint="default" w:ascii="Times New Roman" w:hAnsi="Times New Roman" w:eastAsia="方正仿宋_GBK" w:cs="Times New Roman"/>
          <w:sz w:val="32"/>
          <w:szCs w:val="32"/>
          <w:lang w:val="en-US" w:eastAsia="zh-CN"/>
        </w:rPr>
        <w:t>不断创新消费维权机制，推进消费维权社会共治，改善消费环境，促进消费增长，深入推进12315体系建设。及时处理消费者投诉举报，切实维护消费者权益。截止目前，受理各类消费投诉举报</w:t>
      </w:r>
      <w:r>
        <w:rPr>
          <w:rFonts w:hint="eastAsia" w:ascii="Times New Roman" w:hAnsi="Times New Roman" w:eastAsia="方正仿宋_GBK" w:cs="Times New Roman"/>
          <w:sz w:val="32"/>
          <w:szCs w:val="32"/>
          <w:lang w:val="en-US" w:eastAsia="zh-CN"/>
        </w:rPr>
        <w:t>46</w:t>
      </w:r>
      <w:r>
        <w:rPr>
          <w:rFonts w:hint="default" w:ascii="Times New Roman" w:hAnsi="Times New Roman" w:eastAsia="方正仿宋_GBK" w:cs="Times New Roman"/>
          <w:sz w:val="32"/>
          <w:szCs w:val="32"/>
          <w:lang w:val="en-US" w:eastAsia="zh-CN"/>
        </w:rPr>
        <w:t>件，办结</w:t>
      </w:r>
      <w:r>
        <w:rPr>
          <w:rFonts w:hint="eastAsia" w:ascii="Times New Roman" w:hAnsi="Times New Roman" w:eastAsia="方正仿宋_GBK" w:cs="Times New Roman"/>
          <w:sz w:val="32"/>
          <w:szCs w:val="32"/>
          <w:lang w:val="en-US" w:eastAsia="zh-CN"/>
        </w:rPr>
        <w:t>40</w:t>
      </w:r>
      <w:r>
        <w:rPr>
          <w:rFonts w:hint="default" w:ascii="Times New Roman" w:hAnsi="Times New Roman" w:eastAsia="方正仿宋_GBK" w:cs="Times New Roman"/>
          <w:sz w:val="32"/>
          <w:szCs w:val="32"/>
          <w:lang w:val="en-US" w:eastAsia="zh-CN"/>
        </w:rPr>
        <w:t>件，办结率100%，挽回经济损失2.</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万余元，录入全国消费者协会投诉与咨询信息</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系统</w:t>
      </w:r>
      <w:r>
        <w:rPr>
          <w:rFonts w:hint="eastAsia" w:ascii="Times New Roman" w:hAnsi="Times New Roman" w:eastAsia="方正仿宋_GBK" w:cs="Times New Roman"/>
          <w:i w:val="0"/>
          <w:iCs w:val="0"/>
          <w:caps w:val="0"/>
          <w:color w:val="auto"/>
          <w:spacing w:val="0"/>
          <w:sz w:val="32"/>
          <w:szCs w:val="32"/>
          <w:shd w:val="clear" w:color="auto" w:fill="FFFFFF"/>
          <w:lang w:val="en-US" w:eastAsia="zh-CN"/>
        </w:rPr>
        <w:t>10</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件；</w:t>
      </w:r>
      <w:r>
        <w:rPr>
          <w:rFonts w:hint="default" w:ascii="Times New Roman" w:hAnsi="Times New Roman" w:eastAsia="方正仿宋_GBK" w:cs="Times New Roman"/>
          <w:b w:val="0"/>
          <w:bCs/>
          <w:sz w:val="32"/>
          <w:szCs w:val="36"/>
          <w:lang w:eastAsia="zh-CN" w:bidi="ar-SA"/>
        </w:rPr>
        <w:t>办理信访件</w:t>
      </w:r>
      <w:r>
        <w:rPr>
          <w:rFonts w:hint="eastAsia" w:ascii="Times New Roman" w:hAnsi="Times New Roman" w:eastAsia="方正仿宋_GBK" w:cs="Times New Roman"/>
          <w:b w:val="0"/>
          <w:bCs/>
          <w:sz w:val="32"/>
          <w:szCs w:val="36"/>
          <w:lang w:val="en-US" w:eastAsia="zh-CN" w:bidi="ar-SA"/>
        </w:rPr>
        <w:t>3</w:t>
      </w:r>
      <w:r>
        <w:rPr>
          <w:rFonts w:hint="default" w:ascii="Times New Roman" w:hAnsi="Times New Roman" w:eastAsia="方正仿宋_GBK" w:cs="Times New Roman"/>
          <w:b w:val="0"/>
          <w:bCs/>
          <w:sz w:val="32"/>
          <w:szCs w:val="36"/>
          <w:lang w:eastAsia="zh-CN" w:bidi="ar-SA"/>
        </w:rPr>
        <w:t>起，热线转办</w:t>
      </w:r>
      <w:r>
        <w:rPr>
          <w:rFonts w:hint="eastAsia" w:ascii="Times New Roman" w:hAnsi="Times New Roman" w:eastAsia="方正仿宋_GBK" w:cs="Times New Roman"/>
          <w:b w:val="0"/>
          <w:bCs/>
          <w:sz w:val="32"/>
          <w:szCs w:val="36"/>
          <w:lang w:val="en-US" w:eastAsia="zh-CN" w:bidi="ar-SA"/>
        </w:rPr>
        <w:t>6</w:t>
      </w:r>
      <w:r>
        <w:rPr>
          <w:rFonts w:hint="default" w:ascii="Times New Roman" w:hAnsi="Times New Roman" w:eastAsia="方正仿宋_GBK" w:cs="Times New Roman"/>
          <w:b w:val="0"/>
          <w:bCs/>
          <w:sz w:val="32"/>
          <w:szCs w:val="36"/>
          <w:lang w:eastAsia="zh-CN" w:bidi="ar-SA"/>
        </w:rPr>
        <w:t>件，按时答复率100%。</w:t>
      </w:r>
      <w:r>
        <w:rPr>
          <w:rFonts w:hint="eastAsia" w:ascii="Times New Roman" w:hAnsi="Times New Roman" w:eastAsia="方正仿宋_GBK" w:cs="Times New Roman"/>
          <w:b w:val="0"/>
          <w:bCs/>
          <w:sz w:val="32"/>
          <w:szCs w:val="36"/>
          <w:lang w:val="en-US" w:eastAsia="zh-CN" w:bidi="ar-SA"/>
        </w:rPr>
        <w:t>市场主体放心舒心创建工作复核50户，新增4户；</w:t>
      </w:r>
      <w:r>
        <w:rPr>
          <w:rFonts w:hint="default" w:ascii="Times New Roman" w:hAnsi="Times New Roman" w:eastAsia="方正仿宋_GBK" w:cs="Times New Roman"/>
          <w:b/>
          <w:bCs/>
          <w:sz w:val="32"/>
          <w:szCs w:val="32"/>
          <w:lang w:val="en-US" w:eastAsia="zh-CN"/>
        </w:rPr>
        <w:t>三是</w:t>
      </w:r>
      <w:r>
        <w:rPr>
          <w:rFonts w:hint="default" w:ascii="Times New Roman" w:hAnsi="Times New Roman" w:eastAsia="方正仿宋_GBK" w:cs="Times New Roman"/>
          <w:b/>
          <w:bCs/>
          <w:sz w:val="32"/>
          <w:szCs w:val="32"/>
          <w:lang w:eastAsia="zh-CN"/>
        </w:rPr>
        <w:t>积极</w:t>
      </w:r>
      <w:r>
        <w:rPr>
          <w:rFonts w:hint="default" w:ascii="Times New Roman" w:hAnsi="Times New Roman" w:eastAsia="方正仿宋_GBK" w:cs="Times New Roman"/>
          <w:b/>
          <w:bCs/>
          <w:sz w:val="32"/>
          <w:szCs w:val="32"/>
        </w:rPr>
        <w:t>开展</w:t>
      </w:r>
      <w:r>
        <w:rPr>
          <w:rFonts w:hint="default" w:ascii="Times New Roman" w:hAnsi="Times New Roman" w:eastAsia="方正仿宋_GBK" w:cs="Times New Roman"/>
          <w:b/>
          <w:bCs/>
          <w:sz w:val="32"/>
          <w:szCs w:val="32"/>
          <w:lang w:eastAsia="zh-CN"/>
        </w:rPr>
        <w:t>价格、公平竞争宣传引导工作</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围绕重要民生商品、公共服务、教育、医疗等重点民生领域及节假日加大价格、公平竞争监管力度，目前共出动执法人员</w:t>
      </w:r>
      <w:r>
        <w:rPr>
          <w:rFonts w:hint="eastAsia" w:ascii="Times New Roman" w:hAnsi="Times New Roman" w:eastAsia="方正仿宋_GBK" w:cs="Times New Roman"/>
          <w:i w:val="0"/>
          <w:iCs w:val="0"/>
          <w:caps w:val="0"/>
          <w:color w:val="auto"/>
          <w:spacing w:val="0"/>
          <w:sz w:val="32"/>
          <w:szCs w:val="32"/>
          <w:shd w:val="clear" w:color="auto" w:fill="FFFFFF"/>
          <w:lang w:val="en-US" w:eastAsia="zh-CN"/>
        </w:rPr>
        <w:t>74</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人次，车辆30台次，检查各类经营主体600余家，</w:t>
      </w:r>
      <w:r>
        <w:rPr>
          <w:rFonts w:hint="default" w:ascii="Times New Roman" w:hAnsi="Times New Roman" w:eastAsia="方正仿宋_GBK" w:cs="Times New Roman"/>
          <w:sz w:val="32"/>
          <w:szCs w:val="32"/>
          <w:lang w:val="en-US" w:eastAsia="zh-CN"/>
        </w:rPr>
        <w:t>检查涉旅市场主体</w:t>
      </w:r>
      <w:r>
        <w:rPr>
          <w:rFonts w:hint="eastAsia" w:ascii="Times New Roman" w:hAnsi="Times New Roman" w:eastAsia="方正仿宋_GBK" w:cs="Times New Roman"/>
          <w:color w:val="auto"/>
          <w:sz w:val="32"/>
          <w:szCs w:val="32"/>
          <w:lang w:val="en-US" w:eastAsia="zh-CN"/>
        </w:rPr>
        <w:t>320</w:t>
      </w:r>
      <w:r>
        <w:rPr>
          <w:rFonts w:hint="default" w:ascii="Times New Roman" w:hAnsi="Times New Roman" w:eastAsia="方正仿宋_GBK" w:cs="Times New Roman"/>
          <w:sz w:val="32"/>
          <w:szCs w:val="32"/>
          <w:lang w:val="en-US" w:eastAsia="zh-CN"/>
        </w:rPr>
        <w:t>余家，</w:t>
      </w:r>
      <w:r>
        <w:rPr>
          <w:rFonts w:hint="default" w:ascii="Times New Roman" w:hAnsi="Times New Roman" w:eastAsia="方正仿宋_GBK" w:cs="Times New Roman"/>
          <w:i w:val="0"/>
          <w:iCs w:val="0"/>
          <w:caps w:val="0"/>
          <w:color w:val="auto"/>
          <w:spacing w:val="0"/>
          <w:sz w:val="32"/>
          <w:szCs w:val="32"/>
          <w:shd w:val="clear" w:color="auto" w:fill="FFFFFF"/>
          <w:lang w:eastAsia="zh-CN"/>
        </w:rPr>
        <w:t>发</w:t>
      </w:r>
      <w:r>
        <w:rPr>
          <w:rFonts w:hint="default" w:ascii="Times New Roman" w:hAnsi="Times New Roman" w:eastAsia="方正仿宋_GBK" w:cs="Times New Roman"/>
          <w:i w:val="0"/>
          <w:iCs w:val="0"/>
          <w:caps w:val="0"/>
          <w:color w:val="auto"/>
          <w:spacing w:val="0"/>
          <w:sz w:val="32"/>
          <w:szCs w:val="32"/>
          <w:shd w:val="clear" w:color="auto" w:fill="FFFFFF"/>
        </w:rPr>
        <w:t>放标价签</w:t>
      </w:r>
      <w:r>
        <w:rPr>
          <w:rFonts w:hint="eastAsia" w:ascii="Times New Roman" w:hAnsi="Times New Roman" w:eastAsia="方正仿宋_GBK" w:cs="Times New Roman"/>
          <w:i w:val="0"/>
          <w:iCs w:val="0"/>
          <w:caps w:val="0"/>
          <w:color w:val="auto"/>
          <w:spacing w:val="0"/>
          <w:sz w:val="32"/>
          <w:szCs w:val="32"/>
          <w:shd w:val="clear" w:color="auto" w:fill="FFFFFF"/>
          <w:lang w:val="en-US" w:eastAsia="zh-CN"/>
        </w:rPr>
        <w:t>6</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万</w:t>
      </w:r>
      <w:r>
        <w:rPr>
          <w:rFonts w:hint="default" w:ascii="Times New Roman" w:hAnsi="Times New Roman" w:eastAsia="方正仿宋_GBK" w:cs="Times New Roman"/>
          <w:i w:val="0"/>
          <w:iCs w:val="0"/>
          <w:caps w:val="0"/>
          <w:color w:val="auto"/>
          <w:spacing w:val="0"/>
          <w:sz w:val="32"/>
          <w:szCs w:val="32"/>
          <w:shd w:val="clear" w:color="auto" w:fill="FFFFFF"/>
        </w:rPr>
        <w:t>余张</w:t>
      </w:r>
      <w:r>
        <w:rPr>
          <w:rFonts w:hint="default" w:ascii="Times New Roman" w:hAnsi="Times New Roman" w:eastAsia="方正仿宋_GBK" w:cs="Times New Roman"/>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bCs/>
          <w:i w:val="0"/>
          <w:iCs w:val="0"/>
          <w:caps w:val="0"/>
          <w:color w:val="auto"/>
          <w:spacing w:val="0"/>
          <w:sz w:val="32"/>
          <w:szCs w:val="32"/>
          <w:shd w:val="clear" w:color="auto" w:fill="FFFFFF"/>
          <w:lang w:eastAsia="zh-CN"/>
        </w:rPr>
        <w:t>四是扎实推进</w:t>
      </w:r>
      <w:r>
        <w:rPr>
          <w:rFonts w:hint="default" w:ascii="Times New Roman" w:hAnsi="Times New Roman" w:eastAsia="方正仿宋_GBK" w:cs="Times New Roman"/>
          <w:b/>
          <w:sz w:val="32"/>
          <w:szCs w:val="32"/>
          <w:lang w:eastAsia="zh-CN"/>
        </w:rPr>
        <w:t>诚信计量工作。</w:t>
      </w:r>
      <w:r>
        <w:rPr>
          <w:rFonts w:hint="default" w:ascii="Times New Roman" w:hAnsi="Times New Roman" w:eastAsia="方正仿宋_GBK" w:cs="Times New Roman"/>
          <w:kern w:val="2"/>
          <w:sz w:val="32"/>
          <w:szCs w:val="32"/>
          <w:lang w:val="en-US" w:eastAsia="zh-CN" w:bidi="ar-SA"/>
        </w:rPr>
        <w:t>持续强化集贸市场民生计量监管工作，结合5.20世界计量日组织联合开展普法宣传，督促市场主办方落实主体责任，履行计量监管在商品交易和市场稳定的职责，打击利用不合格及作弊计量器具坑害消费者利益的计量违法行为，截止目前，</w:t>
      </w:r>
      <w:r>
        <w:rPr>
          <w:rFonts w:hint="default" w:ascii="Times New Roman" w:hAnsi="Times New Roman" w:eastAsia="方正仿宋_GBK" w:cs="Times New Roman"/>
          <w:sz w:val="32"/>
          <w:szCs w:val="32"/>
        </w:rPr>
        <w:t>共检查</w:t>
      </w:r>
      <w:r>
        <w:rPr>
          <w:rFonts w:hint="default" w:ascii="Times New Roman" w:hAnsi="Times New Roman" w:eastAsia="方正仿宋_GBK" w:cs="Times New Roman"/>
          <w:sz w:val="32"/>
          <w:szCs w:val="32"/>
          <w:lang w:eastAsia="zh-CN"/>
        </w:rPr>
        <w:t>加油站</w:t>
      </w:r>
      <w:r>
        <w:rPr>
          <w:rFonts w:hint="default" w:ascii="Times New Roman" w:hAnsi="Times New Roman" w:eastAsia="方正仿宋_GBK" w:cs="Times New Roman"/>
          <w:sz w:val="32"/>
          <w:szCs w:val="32"/>
          <w:lang w:val="en-US" w:eastAsia="zh-CN"/>
        </w:rPr>
        <w:t>6家</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农贸市场</w:t>
      </w:r>
      <w:r>
        <w:rPr>
          <w:rFonts w:hint="default" w:ascii="Times New Roman" w:hAnsi="Times New Roman" w:eastAsia="方正仿宋_GBK" w:cs="Times New Roman"/>
          <w:sz w:val="32"/>
          <w:szCs w:val="32"/>
          <w:lang w:val="en-US" w:eastAsia="zh-CN"/>
        </w:rPr>
        <w:t>2个，各类经营户132家，</w:t>
      </w:r>
      <w:r>
        <w:rPr>
          <w:rFonts w:hint="default" w:ascii="Times New Roman" w:hAnsi="Times New Roman" w:eastAsia="方正仿宋_GBK" w:cs="Times New Roman"/>
          <w:kern w:val="2"/>
          <w:sz w:val="32"/>
          <w:szCs w:val="32"/>
          <w:lang w:val="en-US" w:eastAsia="zh-CN" w:bidi="ar-SA"/>
        </w:rPr>
        <w:t>发现使用未经检定计量器具</w:t>
      </w:r>
      <w:r>
        <w:rPr>
          <w:rFonts w:hint="eastAsia"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家，已立案查处。配合计量所技术人员为经营者提供计量器具检定服务156台次。突击检查流动水果摊贩8家次，查处不2合格计量器具流动水果摊贩1家，没收不合格计量器具1台。</w:t>
      </w:r>
    </w:p>
    <w:p w14:paraId="771FACC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方正楷体_GBK" w:hAnsi="方正楷体_GBK" w:eastAsia="方正楷体_GBK" w:cs="方正楷体_GBK"/>
          <w:b/>
          <w:bCs/>
          <w:sz w:val="32"/>
          <w:szCs w:val="32"/>
          <w:lang w:val="en-US" w:eastAsia="zh-CN"/>
        </w:rPr>
        <w:t>（三）狠抓重点</w:t>
      </w:r>
      <w:r>
        <w:rPr>
          <w:rFonts w:hint="default" w:ascii="方正楷体_GBK" w:hAnsi="方正楷体_GBK" w:eastAsia="方正楷体_GBK" w:cs="方正楷体_GBK"/>
          <w:b/>
          <w:bCs/>
          <w:sz w:val="32"/>
          <w:szCs w:val="32"/>
          <w:lang w:eastAsia="zh-CN"/>
        </w:rPr>
        <w:t>，加大案件整治，维护正常市场秩序。</w:t>
      </w:r>
      <w:r>
        <w:rPr>
          <w:rFonts w:hint="default" w:ascii="Times New Roman" w:hAnsi="Times New Roman" w:eastAsia="方正仿宋_GBK" w:cs="Times New Roman"/>
          <w:sz w:val="32"/>
          <w:szCs w:val="32"/>
          <w:lang w:val="en-US" w:eastAsia="zh-CN"/>
        </w:rPr>
        <w:t>以日常监管为切入点，结合“铁拳”行动、“春雷行动2023”等开展专项执法行动，以监督抽检为聚焦点，围绕涉及民生的重点领域，开展执法监督检查，</w:t>
      </w:r>
      <w:r>
        <w:rPr>
          <w:rFonts w:hint="default" w:ascii="Times New Roman" w:hAnsi="Times New Roman" w:eastAsia="方正仿宋_GBK" w:cs="Times New Roman"/>
          <w:sz w:val="32"/>
          <w:szCs w:val="32"/>
        </w:rPr>
        <w:t>严厉打击产品质量、市场秩序和食品药品领域违法</w:t>
      </w:r>
      <w:r>
        <w:rPr>
          <w:rFonts w:hint="default" w:ascii="Times New Roman" w:hAnsi="Times New Roman" w:eastAsia="方正仿宋_GBK" w:cs="Times New Roman"/>
          <w:sz w:val="32"/>
          <w:szCs w:val="32"/>
          <w:lang w:val="en-US" w:eastAsia="zh-CN"/>
        </w:rPr>
        <w:t>等监管领域</w:t>
      </w:r>
      <w:r>
        <w:rPr>
          <w:rFonts w:hint="default" w:ascii="Times New Roman" w:hAnsi="Times New Roman" w:eastAsia="方正仿宋_GBK" w:cs="Times New Roman"/>
          <w:sz w:val="32"/>
          <w:szCs w:val="32"/>
        </w:rPr>
        <w:t>犯罪行为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截止目前，</w:t>
      </w:r>
      <w:r>
        <w:rPr>
          <w:rFonts w:hint="default" w:ascii="Times New Roman" w:hAnsi="Times New Roman" w:eastAsia="方正仿宋_GBK" w:cs="Times New Roman"/>
          <w:color w:val="auto"/>
          <w:sz w:val="32"/>
          <w:szCs w:val="32"/>
        </w:rPr>
        <w:t>立案查处各类违法案件</w:t>
      </w:r>
      <w:r>
        <w:rPr>
          <w:rFonts w:hint="eastAsia" w:ascii="Times New Roman" w:hAnsi="Times New Roman" w:eastAsia="方正仿宋_GBK" w:cs="Times New Roman"/>
          <w:color w:val="auto"/>
          <w:sz w:val="32"/>
          <w:szCs w:val="32"/>
          <w:lang w:val="en-US" w:eastAsia="zh-CN"/>
        </w:rPr>
        <w:t>38</w:t>
      </w:r>
      <w:r>
        <w:rPr>
          <w:rFonts w:hint="default" w:ascii="Times New Roman" w:hAnsi="Times New Roman" w:eastAsia="方正仿宋_GBK" w:cs="Times New Roman"/>
          <w:color w:val="auto"/>
          <w:sz w:val="32"/>
          <w:szCs w:val="32"/>
        </w:rPr>
        <w:t>件</w:t>
      </w:r>
      <w:r>
        <w:rPr>
          <w:rFonts w:hint="default" w:ascii="Times New Roman" w:hAnsi="Times New Roman" w:eastAsia="方正仿宋_GBK" w:cs="Times New Roman"/>
          <w:color w:val="auto"/>
          <w:sz w:val="32"/>
          <w:szCs w:val="32"/>
          <w:lang w:eastAsia="zh-CN"/>
        </w:rPr>
        <w:t>，结案</w:t>
      </w:r>
      <w:r>
        <w:rPr>
          <w:rFonts w:hint="eastAsia" w:ascii="Times New Roman" w:hAnsi="Times New Roman" w:eastAsia="方正仿宋_GBK" w:cs="Times New Roman"/>
          <w:color w:val="auto"/>
          <w:sz w:val="32"/>
          <w:szCs w:val="32"/>
          <w:lang w:val="en-US" w:eastAsia="zh-CN"/>
        </w:rPr>
        <w:t>32</w:t>
      </w:r>
      <w:r>
        <w:rPr>
          <w:rFonts w:hint="default" w:ascii="Times New Roman" w:hAnsi="Times New Roman" w:eastAsia="方正仿宋_GBK" w:cs="Times New Roman"/>
          <w:color w:val="auto"/>
          <w:sz w:val="32"/>
          <w:szCs w:val="32"/>
          <w:lang w:val="en-US" w:eastAsia="zh-CN"/>
        </w:rPr>
        <w:t>件，罚没金额合计</w:t>
      </w:r>
      <w:r>
        <w:rPr>
          <w:rFonts w:hint="eastAsia"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05</w:t>
      </w:r>
      <w:r>
        <w:rPr>
          <w:rFonts w:hint="default" w:ascii="Times New Roman" w:hAnsi="Times New Roman" w:eastAsia="方正仿宋_GBK" w:cs="Times New Roman"/>
          <w:color w:val="auto"/>
          <w:sz w:val="32"/>
          <w:szCs w:val="32"/>
          <w:lang w:val="en-US" w:eastAsia="zh-CN"/>
        </w:rPr>
        <w:t>万元。其中，生产经营食品处罚案件</w:t>
      </w: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lang w:val="en-US" w:eastAsia="zh-CN"/>
        </w:rPr>
        <w:t>件，罚没合计2.</w:t>
      </w:r>
      <w:r>
        <w:rPr>
          <w:rFonts w:hint="eastAsia" w:ascii="Times New Roman" w:hAnsi="Times New Roman" w:eastAsia="方正仿宋_GBK" w:cs="Times New Roman"/>
          <w:color w:val="auto"/>
          <w:sz w:val="32"/>
          <w:szCs w:val="32"/>
          <w:lang w:val="en-US" w:eastAsia="zh-CN"/>
        </w:rPr>
        <w:t>32</w:t>
      </w:r>
      <w:r>
        <w:rPr>
          <w:rFonts w:hint="default" w:ascii="Times New Roman" w:hAnsi="Times New Roman" w:eastAsia="方正仿宋_GBK" w:cs="Times New Roman"/>
          <w:color w:val="auto"/>
          <w:sz w:val="32"/>
          <w:szCs w:val="32"/>
          <w:lang w:val="en-US" w:eastAsia="zh-CN"/>
        </w:rPr>
        <w:t>万元；涉及药品安全类案件</w:t>
      </w:r>
      <w:r>
        <w:rPr>
          <w:rFonts w:hint="eastAsia" w:ascii="Times New Roman" w:hAnsi="Times New Roman" w:eastAsia="方正仿宋_GBK" w:cs="Times New Roman"/>
          <w:color w:val="auto"/>
          <w:sz w:val="32"/>
          <w:szCs w:val="32"/>
          <w:lang w:val="en-US" w:eastAsia="zh-CN"/>
        </w:rPr>
        <w:t>11</w:t>
      </w:r>
      <w:r>
        <w:rPr>
          <w:rFonts w:hint="default" w:ascii="Times New Roman" w:hAnsi="Times New Roman" w:eastAsia="方正仿宋_GBK" w:cs="Times New Roman"/>
          <w:color w:val="auto"/>
          <w:sz w:val="32"/>
          <w:szCs w:val="32"/>
          <w:lang w:val="en-US" w:eastAsia="zh-CN"/>
        </w:rPr>
        <w:t>件，罚没金额</w:t>
      </w:r>
      <w:r>
        <w:rPr>
          <w:rFonts w:hint="eastAsia" w:ascii="Times New Roman" w:hAnsi="Times New Roman" w:eastAsia="方正仿宋_GBK" w:cs="Times New Roman"/>
          <w:color w:val="auto"/>
          <w:sz w:val="32"/>
          <w:szCs w:val="32"/>
          <w:lang w:val="en-US" w:eastAsia="zh-CN"/>
        </w:rPr>
        <w:t>5.43</w:t>
      </w:r>
      <w:r>
        <w:rPr>
          <w:rFonts w:hint="default" w:ascii="Times New Roman" w:hAnsi="Times New Roman" w:eastAsia="方正仿宋_GBK" w:cs="Times New Roman"/>
          <w:color w:val="auto"/>
          <w:sz w:val="32"/>
          <w:szCs w:val="32"/>
          <w:lang w:val="en-US" w:eastAsia="zh-CN"/>
        </w:rPr>
        <w:t>万元，涉及诚信计量案件4件，罚没金额0.07万元，涉及其他适用市场监管法律法规立案或查处9件，罚没金额0.2万元。</w:t>
      </w:r>
    </w:p>
    <w:p w14:paraId="09ACE17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i w:val="0"/>
          <w:iCs w:val="0"/>
          <w:caps w:val="0"/>
          <w:color w:val="auto"/>
          <w:spacing w:val="0"/>
          <w:sz w:val="32"/>
          <w:szCs w:val="32"/>
          <w:shd w:val="clear" w:color="auto" w:fill="FFFFFF"/>
          <w:lang w:eastAsia="zh-CN"/>
        </w:rPr>
      </w:pPr>
      <w:r>
        <w:rPr>
          <w:rFonts w:hint="default" w:ascii="方正楷体_GBK" w:hAnsi="方正楷体_GBK" w:eastAsia="方正楷体_GBK" w:cs="方正楷体_GBK"/>
          <w:b/>
          <w:bCs/>
          <w:sz w:val="32"/>
          <w:szCs w:val="32"/>
          <w:lang w:val="en-US" w:eastAsia="zh-CN"/>
        </w:rPr>
        <w:t>（三）严格监管，常抓常严，守牢“三品一特”安全底线。一是严守食品安全。</w:t>
      </w:r>
      <w:r>
        <w:rPr>
          <w:rFonts w:hint="default" w:ascii="Times New Roman" w:hAnsi="Times New Roman" w:eastAsia="方正仿宋_GBK" w:cs="Times New Roman"/>
          <w:color w:val="000000"/>
          <w:sz w:val="32"/>
          <w:szCs w:val="32"/>
          <w:lang w:val="en-US" w:eastAsia="zh-CN"/>
        </w:rPr>
        <w:t>强化</w:t>
      </w:r>
      <w:r>
        <w:rPr>
          <w:rFonts w:hint="default" w:ascii="Times New Roman" w:hAnsi="Times New Roman" w:eastAsia="方正仿宋_GBK" w:cs="Times New Roman"/>
          <w:color w:val="000000"/>
          <w:sz w:val="32"/>
          <w:szCs w:val="32"/>
          <w:lang w:eastAsia="zh-CN"/>
        </w:rPr>
        <w:t>食品安全“两个责任”</w:t>
      </w:r>
      <w:r>
        <w:rPr>
          <w:rFonts w:hint="default" w:ascii="Times New Roman" w:hAnsi="Times New Roman" w:eastAsia="方正仿宋_GBK" w:cs="Times New Roman"/>
          <w:color w:val="000000"/>
          <w:sz w:val="32"/>
          <w:szCs w:val="32"/>
          <w:lang w:val="en-US" w:eastAsia="zh-CN"/>
        </w:rPr>
        <w:t>落实</w:t>
      </w:r>
      <w:r>
        <w:rPr>
          <w:rFonts w:hint="default" w:ascii="Times New Roman" w:hAnsi="Times New Roman" w:eastAsia="方正仿宋_GBK" w:cs="Times New Roman"/>
          <w:color w:val="000000"/>
          <w:sz w:val="32"/>
          <w:szCs w:val="32"/>
          <w:lang w:eastAsia="zh-CN"/>
        </w:rPr>
        <w:t>工作，制定食品安全风险管控清单，建立健全日管控、周排查、月调度</w:t>
      </w:r>
      <w:r>
        <w:rPr>
          <w:rFonts w:hint="default" w:ascii="Times New Roman" w:hAnsi="Times New Roman" w:eastAsia="方正仿宋_GBK" w:cs="Times New Roman"/>
          <w:color w:val="000000"/>
          <w:spacing w:val="6"/>
          <w:kern w:val="2"/>
          <w:sz w:val="32"/>
          <w:szCs w:val="32"/>
          <w:lang w:val="en-US" w:eastAsia="zh-CN" w:bidi="ar-SA"/>
        </w:rPr>
        <w:t>工作机制，</w:t>
      </w:r>
      <w:r>
        <w:rPr>
          <w:rFonts w:hint="default" w:ascii="Times New Roman" w:hAnsi="Times New Roman" w:eastAsia="方正仿宋_GBK" w:cs="Times New Roman"/>
          <w:color w:val="000000"/>
          <w:sz w:val="32"/>
          <w:szCs w:val="32"/>
          <w:lang w:val="en-US" w:eastAsia="zh-CN"/>
        </w:rPr>
        <w:t>督导食品安全“两个责任”工作849家次，发现问题62个，现已整改完成；</w:t>
      </w:r>
      <w:r>
        <w:rPr>
          <w:rFonts w:hint="default" w:ascii="Times New Roman" w:hAnsi="Times New Roman" w:eastAsia="方正仿宋_GBK" w:cs="Times New Roman"/>
          <w:color w:val="auto"/>
          <w:sz w:val="32"/>
          <w:szCs w:val="32"/>
          <w:lang w:val="en-US" w:eastAsia="zh-CN"/>
        </w:rPr>
        <w:t>坚持对食品生产流通环节、餐饮服务环节和食用农产品全面抽检工作，完成</w:t>
      </w:r>
      <w:r>
        <w:rPr>
          <w:rFonts w:hint="default" w:ascii="Times New Roman" w:hAnsi="Times New Roman" w:eastAsia="方正仿宋_GBK" w:cs="Times New Roman"/>
          <w:color w:val="000000"/>
          <w:sz w:val="32"/>
          <w:szCs w:val="32"/>
          <w:lang w:val="en-US" w:eastAsia="zh-CN"/>
        </w:rPr>
        <w:t>州抽27批次、省抽26批次，完成民生工程食品安全抽样检测工作</w:t>
      </w:r>
      <w:r>
        <w:rPr>
          <w:rFonts w:hint="eastAsia" w:ascii="Times New Roman" w:hAnsi="Times New Roman" w:eastAsia="方正仿宋_GBK" w:cs="Times New Roman"/>
          <w:color w:val="000000"/>
          <w:sz w:val="32"/>
          <w:szCs w:val="32"/>
          <w:lang w:val="en-US" w:eastAsia="zh-CN"/>
        </w:rPr>
        <w:t>226</w:t>
      </w:r>
      <w:r>
        <w:rPr>
          <w:rFonts w:hint="default" w:ascii="Times New Roman" w:hAnsi="Times New Roman" w:eastAsia="方正仿宋_GBK" w:cs="Times New Roman"/>
          <w:color w:val="000000"/>
          <w:sz w:val="32"/>
          <w:szCs w:val="32"/>
          <w:lang w:val="en-US" w:eastAsia="zh-CN"/>
        </w:rPr>
        <w:t>批次，</w:t>
      </w:r>
      <w:r>
        <w:rPr>
          <w:rFonts w:hint="eastAsia" w:ascii="Times New Roman" w:hAnsi="Times New Roman" w:eastAsia="方正仿宋_GBK" w:cs="Times New Roman"/>
          <w:color w:val="000000"/>
          <w:sz w:val="32"/>
          <w:szCs w:val="32"/>
          <w:lang w:val="en-US" w:eastAsia="zh-CN"/>
        </w:rPr>
        <w:t>其中</w:t>
      </w:r>
      <w:r>
        <w:rPr>
          <w:rFonts w:hint="default" w:ascii="Times New Roman" w:hAnsi="Times New Roman" w:eastAsia="方正仿宋_GBK" w:cs="Times New Roman"/>
          <w:color w:val="000000"/>
          <w:sz w:val="32"/>
          <w:szCs w:val="32"/>
          <w:lang w:val="en-US" w:eastAsia="zh-CN"/>
        </w:rPr>
        <w:t>食用农产品</w:t>
      </w:r>
      <w:r>
        <w:rPr>
          <w:rFonts w:hint="eastAsia" w:ascii="Times New Roman" w:hAnsi="Times New Roman" w:eastAsia="方正仿宋_GBK" w:cs="Times New Roman"/>
          <w:color w:val="000000"/>
          <w:sz w:val="32"/>
          <w:szCs w:val="32"/>
          <w:lang w:val="en-US" w:eastAsia="zh-CN"/>
        </w:rPr>
        <w:t>160批次</w:t>
      </w:r>
      <w:r>
        <w:rPr>
          <w:rFonts w:hint="default" w:ascii="Times New Roman" w:hAnsi="Times New Roman" w:eastAsia="方正仿宋_GBK" w:cs="Times New Roman"/>
          <w:color w:val="000000"/>
          <w:sz w:val="32"/>
          <w:szCs w:val="32"/>
          <w:lang w:val="en-US" w:eastAsia="zh-CN"/>
        </w:rPr>
        <w:t>，</w:t>
      </w:r>
      <w:r>
        <w:rPr>
          <w:rFonts w:hint="eastAsia" w:ascii="Times New Roman" w:hAnsi="Times New Roman" w:eastAsia="方正仿宋_GBK" w:cs="Times New Roman"/>
          <w:color w:val="000000"/>
          <w:sz w:val="32"/>
          <w:szCs w:val="32"/>
          <w:lang w:val="en-US" w:eastAsia="zh-CN"/>
        </w:rPr>
        <w:t>不合格3批次，</w:t>
      </w:r>
      <w:r>
        <w:rPr>
          <w:rFonts w:hint="default" w:ascii="Times New Roman" w:hAnsi="Times New Roman" w:eastAsia="方正仿宋_GBK" w:cs="Times New Roman"/>
          <w:color w:val="auto"/>
          <w:sz w:val="32"/>
          <w:szCs w:val="32"/>
          <w:lang w:val="en-US" w:eastAsia="zh-CN"/>
        </w:rPr>
        <w:t>合格率</w:t>
      </w:r>
      <w:r>
        <w:rPr>
          <w:rFonts w:hint="eastAsia" w:ascii="Times New Roman" w:hAnsi="Times New Roman" w:eastAsia="方正仿宋_GBK" w:cs="Times New Roman"/>
          <w:color w:val="auto"/>
          <w:sz w:val="32"/>
          <w:szCs w:val="32"/>
          <w:lang w:val="en-US" w:eastAsia="zh-CN"/>
        </w:rPr>
        <w:t>98</w:t>
      </w:r>
      <w:r>
        <w:rPr>
          <w:rFonts w:hint="default" w:ascii="Times New Roman" w:hAnsi="Times New Roman" w:eastAsia="方正仿宋_GBK" w:cs="Times New Roman"/>
          <w:color w:val="auto"/>
          <w:sz w:val="32"/>
          <w:szCs w:val="32"/>
          <w:lang w:val="en-US" w:eastAsia="zh-CN"/>
        </w:rPr>
        <w:t>%，开展食品快速检测198批次。完成全县25家学校食堂及周边食品安全春秋开学季全覆盖检查，组织全县学校食堂从业人员141人参加食品安全业务培训，全力保障法定节日前、</w:t>
      </w:r>
      <w:r>
        <w:rPr>
          <w:rFonts w:hint="default" w:ascii="Times New Roman" w:hAnsi="Times New Roman" w:eastAsia="方正仿宋_GBK" w:cs="Times New Roman"/>
          <w:b w:val="0"/>
          <w:bCs w:val="0"/>
          <w:kern w:val="2"/>
          <w:sz w:val="32"/>
          <w:szCs w:val="32"/>
          <w:lang w:val="en-US" w:eastAsia="zh-CN" w:bidi="ar-SA"/>
        </w:rPr>
        <w:t>节日期间及重大活动食品安全监督检查，保障重大活动食品安全6家次。对6家</w:t>
      </w:r>
      <w:r>
        <w:rPr>
          <w:rFonts w:hint="default" w:ascii="Times New Roman" w:hAnsi="Times New Roman" w:eastAsia="方正仿宋_GBK" w:cs="Times New Roman"/>
          <w:b w:val="0"/>
          <w:bCs w:val="0"/>
          <w:color w:val="auto"/>
          <w:kern w:val="2"/>
          <w:sz w:val="32"/>
          <w:szCs w:val="32"/>
          <w:lang w:val="en-US" w:eastAsia="zh-CN" w:bidi="ar-SA"/>
        </w:rPr>
        <w:t>食品生产企检查18家次，检查食品经营单位236余家次，检查各类餐饮服务主体201家次，检查商超、小卖部132家次，检查各类经营主体78家次，下达责令整改8家，目前已整改完成</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bCs/>
          <w:color w:val="auto"/>
          <w:sz w:val="32"/>
          <w:szCs w:val="32"/>
          <w:lang w:val="en-US" w:eastAsia="zh-CN"/>
        </w:rPr>
        <w:t>二是严守药械化安全</w:t>
      </w:r>
      <w:r>
        <w:rPr>
          <w:rFonts w:hint="default" w:ascii="Times New Roman" w:hAnsi="Times New Roman" w:eastAsia="方正仿宋_GBK" w:cs="Times New Roman"/>
          <w:b/>
          <w:bCs/>
          <w:i w:val="0"/>
          <w:iCs w:val="0"/>
          <w:caps w:val="0"/>
          <w:color w:val="auto"/>
          <w:spacing w:val="0"/>
          <w:sz w:val="32"/>
          <w:szCs w:val="32"/>
          <w:shd w:val="clear" w:color="auto" w:fill="FFFFFF"/>
        </w:rPr>
        <w:t>。</w:t>
      </w:r>
      <w:r>
        <w:rPr>
          <w:rFonts w:hint="default" w:ascii="Times New Roman" w:hAnsi="Times New Roman" w:eastAsia="方正仿宋_GBK" w:cs="Times New Roman"/>
          <w:i w:val="0"/>
          <w:iCs w:val="0"/>
          <w:caps w:val="0"/>
          <w:color w:val="auto"/>
          <w:spacing w:val="0"/>
          <w:sz w:val="32"/>
          <w:szCs w:val="32"/>
          <w:shd w:val="clear" w:color="auto" w:fill="FFFFFF"/>
          <w:lang w:eastAsia="zh-CN"/>
        </w:rPr>
        <w:t>结合</w:t>
      </w:r>
      <w:r>
        <w:rPr>
          <w:rFonts w:hint="default" w:ascii="Times New Roman" w:hAnsi="Times New Roman" w:eastAsia="方正仿宋_GBK" w:cs="Times New Roman"/>
          <w:sz w:val="32"/>
          <w:szCs w:val="32"/>
          <w:lang w:val="en-US" w:eastAsia="zh-CN"/>
        </w:rPr>
        <w:t>药品安全专项、医疗器械质量安全监管风险排查整治行动，</w:t>
      </w:r>
      <w:r>
        <w:rPr>
          <w:rFonts w:hint="default" w:ascii="Times New Roman" w:hAnsi="Times New Roman" w:eastAsia="方正仿宋_GBK" w:cs="Times New Roman"/>
          <w:i w:val="0"/>
          <w:iCs w:val="0"/>
          <w:caps w:val="0"/>
          <w:color w:val="auto"/>
          <w:spacing w:val="0"/>
          <w:sz w:val="32"/>
          <w:szCs w:val="32"/>
          <w:shd w:val="clear" w:color="auto" w:fill="FFFFFF"/>
        </w:rPr>
        <w:t>在辖区内对</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21</w:t>
      </w:r>
      <w:r>
        <w:rPr>
          <w:rFonts w:hint="default" w:ascii="Times New Roman" w:hAnsi="Times New Roman" w:eastAsia="方正仿宋_GBK" w:cs="Times New Roman"/>
          <w:i w:val="0"/>
          <w:iCs w:val="0"/>
          <w:caps w:val="0"/>
          <w:color w:val="auto"/>
          <w:spacing w:val="0"/>
          <w:sz w:val="32"/>
          <w:szCs w:val="32"/>
          <w:shd w:val="clear" w:color="auto" w:fill="FFFFFF"/>
        </w:rPr>
        <w:t>家药品零售药店、</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22</w:t>
      </w:r>
      <w:r>
        <w:rPr>
          <w:rFonts w:hint="default" w:ascii="Times New Roman" w:hAnsi="Times New Roman" w:eastAsia="方正仿宋_GBK" w:cs="Times New Roman"/>
          <w:i w:val="0"/>
          <w:iCs w:val="0"/>
          <w:caps w:val="0"/>
          <w:color w:val="auto"/>
          <w:spacing w:val="0"/>
          <w:sz w:val="32"/>
          <w:szCs w:val="32"/>
          <w:shd w:val="clear" w:color="auto" w:fill="FFFFFF"/>
        </w:rPr>
        <w:t>家二类医疗器械经营企业和6家诊所、14家医疗机构、</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35</w:t>
      </w:r>
      <w:r>
        <w:rPr>
          <w:rFonts w:hint="default" w:ascii="Times New Roman" w:hAnsi="Times New Roman" w:eastAsia="方正仿宋_GBK" w:cs="Times New Roman"/>
          <w:i w:val="0"/>
          <w:iCs w:val="0"/>
          <w:caps w:val="0"/>
          <w:color w:val="auto"/>
          <w:spacing w:val="0"/>
          <w:sz w:val="32"/>
          <w:szCs w:val="32"/>
          <w:shd w:val="clear" w:color="auto" w:fill="FFFFFF"/>
        </w:rPr>
        <w:t>家化妆品经营使用单位的药品、医疗器械、化妆品经营、使用单位</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开展</w:t>
      </w:r>
      <w:r>
        <w:rPr>
          <w:rFonts w:hint="default" w:ascii="Times New Roman" w:hAnsi="Times New Roman" w:eastAsia="方正仿宋_GBK" w:cs="Times New Roman"/>
          <w:i w:val="0"/>
          <w:iCs w:val="0"/>
          <w:caps w:val="0"/>
          <w:color w:val="auto"/>
          <w:spacing w:val="0"/>
          <w:sz w:val="32"/>
          <w:szCs w:val="32"/>
          <w:shd w:val="clear" w:color="auto" w:fill="FFFFFF"/>
        </w:rPr>
        <w:t>各专项检查和日常监督检查</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221家次，给予警告6家次，立案查处药品相关相关违法违规案件8起，累计罚没1.01万元（其中查处使用过期药品1件），查处违规经营处方药案件5起，予以警告。查处违反药品经营质量管理案1起，予以警告）上报药品不良反应23份，医疗器械不良反应报告5份。开展药品抽检19批次、医疗器械抽检3批次、化妆品抽检4批次，目前未接到药品相关投诉举报；签订《医疗器械经营企业产品质量安全承诺书》22份；</w:t>
      </w:r>
      <w:r>
        <w:rPr>
          <w:rFonts w:hint="default" w:ascii="Times New Roman" w:hAnsi="Times New Roman" w:eastAsia="方正仿宋_GBK" w:cs="Times New Roman"/>
          <w:sz w:val="32"/>
          <w:szCs w:val="32"/>
          <w:lang w:val="en-US" w:eastAsia="zh-CN"/>
        </w:rPr>
        <w:t>三</w:t>
      </w:r>
      <w:r>
        <w:rPr>
          <w:rFonts w:hint="default" w:ascii="Times New Roman" w:hAnsi="Times New Roman" w:eastAsia="方正仿宋_GBK" w:cs="Times New Roman"/>
          <w:b/>
          <w:bCs/>
          <w:i w:val="0"/>
          <w:iCs w:val="0"/>
          <w:caps w:val="0"/>
          <w:color w:val="auto"/>
          <w:spacing w:val="0"/>
          <w:sz w:val="32"/>
          <w:szCs w:val="32"/>
          <w:shd w:val="clear" w:color="auto" w:fill="FFFFFF"/>
          <w:lang w:val="en-US" w:eastAsia="zh-CN"/>
        </w:rPr>
        <w:t>是严守产品质量安全。</w:t>
      </w:r>
      <w:r>
        <w:rPr>
          <w:rFonts w:hint="default" w:ascii="Times New Roman" w:hAnsi="Times New Roman" w:eastAsia="方正仿宋_GBK" w:cs="Times New Roman"/>
          <w:sz w:val="32"/>
          <w:szCs w:val="32"/>
          <w:lang w:eastAsia="zh-CN"/>
        </w:rPr>
        <w:t>梳理</w:t>
      </w:r>
      <w:r>
        <w:rPr>
          <w:rFonts w:hint="default" w:ascii="Times New Roman" w:hAnsi="Times New Roman" w:eastAsia="方正仿宋_GBK" w:cs="Times New Roman"/>
          <w:sz w:val="32"/>
          <w:szCs w:val="32"/>
          <w:lang w:val="en-US" w:eastAsia="zh-CN"/>
        </w:rPr>
        <w:t>县内辖区</w:t>
      </w:r>
      <w:r>
        <w:rPr>
          <w:rFonts w:hint="default" w:ascii="Times New Roman" w:hAnsi="Times New Roman" w:eastAsia="方正仿宋_GBK" w:cs="Times New Roman"/>
          <w:sz w:val="32"/>
          <w:szCs w:val="32"/>
          <w:lang w:eastAsia="zh-CN"/>
        </w:rPr>
        <w:t>产品质量监督抽查红名单，</w:t>
      </w:r>
      <w:r>
        <w:rPr>
          <w:rFonts w:hint="default" w:ascii="Times New Roman" w:hAnsi="Times New Roman" w:eastAsia="方正仿宋_GBK" w:cs="Times New Roman"/>
          <w:sz w:val="32"/>
          <w:szCs w:val="32"/>
          <w:lang w:val="en-US" w:eastAsia="zh-CN"/>
        </w:rPr>
        <w:t>配合省质检院、州质量监督检查所</w:t>
      </w:r>
      <w:r>
        <w:rPr>
          <w:rFonts w:hint="default" w:ascii="Times New Roman" w:hAnsi="Times New Roman" w:eastAsia="方正仿宋_GBK" w:cs="Times New Roman"/>
          <w:sz w:val="32"/>
          <w:szCs w:val="32"/>
          <w:lang w:eastAsia="zh-CN"/>
        </w:rPr>
        <w:t>开展</w:t>
      </w:r>
      <w:r>
        <w:rPr>
          <w:rFonts w:hint="default" w:ascii="Times New Roman" w:hAnsi="Times New Roman" w:eastAsia="方正仿宋_GBK" w:cs="Times New Roman"/>
          <w:sz w:val="32"/>
          <w:szCs w:val="32"/>
          <w:lang w:val="en-US" w:eastAsia="zh-CN"/>
        </w:rPr>
        <w:t>学校校服、工业产品质量安全抽检</w:t>
      </w:r>
      <w:r>
        <w:rPr>
          <w:rFonts w:hint="eastAsia" w:ascii="Times New Roman" w:hAnsi="Times New Roman" w:eastAsia="方正仿宋_GBK" w:cs="Times New Roman"/>
          <w:sz w:val="32"/>
          <w:szCs w:val="32"/>
          <w:lang w:val="en-US" w:eastAsia="zh-CN"/>
        </w:rPr>
        <w:t>31</w:t>
      </w:r>
      <w:r>
        <w:rPr>
          <w:rFonts w:hint="default" w:ascii="Times New Roman" w:hAnsi="Times New Roman" w:eastAsia="方正仿宋_GBK" w:cs="Times New Roman"/>
          <w:sz w:val="32"/>
          <w:szCs w:val="32"/>
          <w:lang w:val="en-US" w:eastAsia="zh-CN"/>
        </w:rPr>
        <w:t>批次；</w:t>
      </w:r>
      <w:r>
        <w:rPr>
          <w:rFonts w:hint="default" w:ascii="Times New Roman" w:hAnsi="Times New Roman" w:eastAsia="方正仿宋_GBK" w:cs="Times New Roman"/>
          <w:sz w:val="32"/>
          <w:szCs w:val="32"/>
          <w:lang w:eastAsia="zh-CN"/>
        </w:rPr>
        <w:t>聚焦市场监管领域</w:t>
      </w:r>
      <w:r>
        <w:rPr>
          <w:rFonts w:hint="default" w:ascii="Times New Roman" w:hAnsi="Times New Roman" w:eastAsia="方正仿宋_GBK" w:cs="Times New Roman"/>
          <w:sz w:val="32"/>
          <w:szCs w:val="32"/>
          <w:lang w:val="en-US" w:eastAsia="zh-CN"/>
        </w:rPr>
        <w:t>不合格瓶阀、调节阀、连接软管、</w:t>
      </w:r>
      <w:r>
        <w:rPr>
          <w:rFonts w:hint="default" w:ascii="Times New Roman" w:hAnsi="Times New Roman" w:eastAsia="方正仿宋_GBK" w:cs="Times New Roman"/>
          <w:sz w:val="32"/>
          <w:szCs w:val="32"/>
          <w:lang w:eastAsia="zh-CN"/>
        </w:rPr>
        <w:t>燃气灶具等燃气相关产品</w:t>
      </w:r>
      <w:r>
        <w:rPr>
          <w:rFonts w:hint="default" w:ascii="Times New Roman" w:hAnsi="Times New Roman" w:eastAsia="方正仿宋_GBK" w:cs="Times New Roman"/>
          <w:sz w:val="32"/>
          <w:szCs w:val="32"/>
          <w:lang w:val="en-US" w:eastAsia="zh-CN"/>
        </w:rPr>
        <w:t>质量安全，开展专项检查，检查销售单位</w:t>
      </w:r>
      <w:r>
        <w:rPr>
          <w:rFonts w:hint="eastAsia" w:ascii="Times New Roman" w:hAnsi="Times New Roman" w:eastAsia="方正仿宋_GBK" w:cs="Times New Roman"/>
          <w:sz w:val="32"/>
          <w:szCs w:val="32"/>
          <w:lang w:val="en-US" w:eastAsia="zh-CN"/>
        </w:rPr>
        <w:t>68</w:t>
      </w:r>
      <w:r>
        <w:rPr>
          <w:rFonts w:hint="default" w:ascii="Times New Roman" w:hAnsi="Times New Roman" w:eastAsia="方正仿宋_GBK" w:cs="Times New Roman"/>
          <w:sz w:val="32"/>
          <w:szCs w:val="32"/>
          <w:lang w:val="en-US" w:eastAsia="zh-CN"/>
        </w:rPr>
        <w:t>家次，出动执法人员</w:t>
      </w:r>
      <w:r>
        <w:rPr>
          <w:rFonts w:hint="eastAsia" w:ascii="Times New Roman" w:hAnsi="Times New Roman" w:eastAsia="方正仿宋_GBK" w:cs="Times New Roman"/>
          <w:sz w:val="32"/>
          <w:szCs w:val="32"/>
          <w:lang w:val="en-US" w:eastAsia="zh-CN"/>
        </w:rPr>
        <w:t>30</w:t>
      </w:r>
      <w:r>
        <w:rPr>
          <w:rFonts w:hint="default" w:ascii="Times New Roman" w:hAnsi="Times New Roman" w:eastAsia="方正仿宋_GBK" w:cs="Times New Roman"/>
          <w:sz w:val="32"/>
          <w:szCs w:val="32"/>
          <w:lang w:val="en-US" w:eastAsia="zh-CN"/>
        </w:rPr>
        <w:t>人次，联合应急管理局、住建局、公安局等多部门县内辖区开展全覆盖检查；</w:t>
      </w:r>
      <w:r>
        <w:rPr>
          <w:rFonts w:hint="eastAsia" w:ascii="Times New Roman" w:hAnsi="Times New Roman" w:eastAsia="方正仿宋_GBK" w:cs="Times New Roman"/>
          <w:b/>
          <w:bCs/>
          <w:i w:val="0"/>
          <w:iCs w:val="0"/>
          <w:caps w:val="0"/>
          <w:color w:val="auto"/>
          <w:spacing w:val="0"/>
          <w:sz w:val="32"/>
          <w:szCs w:val="32"/>
          <w:shd w:val="clear" w:color="auto" w:fill="FFFFFF"/>
          <w:lang w:val="en-US" w:eastAsia="zh-CN"/>
        </w:rPr>
        <w:t>四</w:t>
      </w:r>
      <w:r>
        <w:rPr>
          <w:rFonts w:hint="default" w:ascii="Times New Roman" w:hAnsi="Times New Roman" w:eastAsia="方正仿宋_GBK" w:cs="Times New Roman"/>
          <w:b/>
          <w:bCs/>
          <w:i w:val="0"/>
          <w:iCs w:val="0"/>
          <w:caps w:val="0"/>
          <w:color w:val="auto"/>
          <w:spacing w:val="0"/>
          <w:sz w:val="32"/>
          <w:szCs w:val="32"/>
          <w:shd w:val="clear" w:color="auto" w:fill="FFFFFF"/>
          <w:lang w:val="en-US" w:eastAsia="zh-CN"/>
        </w:rPr>
        <w:t>是严守特种设备安全。</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认真开展重要时段特种设备安全专项监督检查工作，对</w:t>
      </w:r>
      <w:r>
        <w:rPr>
          <w:rFonts w:hint="default" w:ascii="Times New Roman" w:hAnsi="Times New Roman" w:eastAsia="方正仿宋_GBK" w:cs="Times New Roman"/>
          <w:i w:val="0"/>
          <w:iCs w:val="0"/>
          <w:caps w:val="0"/>
          <w:color w:val="auto"/>
          <w:spacing w:val="0"/>
          <w:sz w:val="32"/>
          <w:szCs w:val="32"/>
          <w:shd w:val="clear" w:color="auto" w:fill="FFFFFF"/>
        </w:rPr>
        <w:t>辖区内特种设备使用单位现场全面检查率</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100</w:t>
      </w:r>
      <w:r>
        <w:rPr>
          <w:rFonts w:hint="default" w:ascii="Times New Roman" w:hAnsi="Times New Roman" w:eastAsia="方正仿宋_GBK" w:cs="Times New Roman"/>
          <w:i w:val="0"/>
          <w:iCs w:val="0"/>
          <w:caps w:val="0"/>
          <w:color w:val="auto"/>
          <w:spacing w:val="0"/>
          <w:sz w:val="32"/>
          <w:szCs w:val="32"/>
          <w:shd w:val="clear" w:color="auto" w:fill="FFFFFF"/>
        </w:rPr>
        <w:t>%，其中重点使用单位现场全面检查率100%，重点设备使用单位登记率100%。</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检查使用特种设备企业及单位共</w:t>
      </w:r>
      <w:r>
        <w:rPr>
          <w:rFonts w:hint="eastAsia" w:ascii="Times New Roman" w:hAnsi="Times New Roman" w:eastAsia="方正仿宋_GBK" w:cs="Times New Roman"/>
          <w:i w:val="0"/>
          <w:iCs w:val="0"/>
          <w:caps w:val="0"/>
          <w:color w:val="auto"/>
          <w:spacing w:val="0"/>
          <w:sz w:val="32"/>
          <w:szCs w:val="32"/>
          <w:shd w:val="clear" w:color="auto" w:fill="FFFFFF"/>
          <w:lang w:val="en-US" w:eastAsia="zh-CN"/>
        </w:rPr>
        <w:t>72</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家次,</w:t>
      </w:r>
      <w:r>
        <w:rPr>
          <w:rFonts w:hint="default" w:ascii="Times New Roman" w:hAnsi="Times New Roman" w:eastAsia="方正仿宋_GBK" w:cs="Times New Roman"/>
          <w:i w:val="0"/>
          <w:iCs w:val="0"/>
          <w:caps w:val="0"/>
          <w:color w:val="auto"/>
          <w:spacing w:val="0"/>
          <w:sz w:val="32"/>
          <w:szCs w:val="32"/>
          <w:shd w:val="clear" w:color="auto" w:fill="FFFFFF"/>
        </w:rPr>
        <w:t>共出动执法人员</w:t>
      </w:r>
      <w:r>
        <w:rPr>
          <w:rFonts w:hint="eastAsia" w:ascii="Times New Roman" w:hAnsi="Times New Roman" w:eastAsia="方正仿宋_GBK" w:cs="Times New Roman"/>
          <w:i w:val="0"/>
          <w:iCs w:val="0"/>
          <w:caps w:val="0"/>
          <w:color w:val="auto"/>
          <w:spacing w:val="0"/>
          <w:sz w:val="32"/>
          <w:szCs w:val="32"/>
          <w:shd w:val="clear" w:color="auto" w:fill="FFFFFF"/>
          <w:lang w:val="en-US" w:eastAsia="zh-CN"/>
        </w:rPr>
        <w:t>51</w:t>
      </w:r>
      <w:r>
        <w:rPr>
          <w:rFonts w:hint="default" w:ascii="Times New Roman" w:hAnsi="Times New Roman" w:eastAsia="方正仿宋_GBK" w:cs="Times New Roman"/>
          <w:i w:val="0"/>
          <w:iCs w:val="0"/>
          <w:caps w:val="0"/>
          <w:color w:val="auto"/>
          <w:spacing w:val="0"/>
          <w:sz w:val="32"/>
          <w:szCs w:val="32"/>
          <w:shd w:val="clear" w:color="auto" w:fill="FFFFFF"/>
        </w:rPr>
        <w:t>人次，执法车辆</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21余</w:t>
      </w:r>
      <w:r>
        <w:rPr>
          <w:rFonts w:hint="default" w:ascii="Times New Roman" w:hAnsi="Times New Roman" w:eastAsia="方正仿宋_GBK" w:cs="Times New Roman"/>
          <w:i w:val="0"/>
          <w:iCs w:val="0"/>
          <w:caps w:val="0"/>
          <w:color w:val="auto"/>
          <w:spacing w:val="0"/>
          <w:sz w:val="32"/>
          <w:szCs w:val="32"/>
          <w:shd w:val="clear" w:color="auto" w:fill="FFFFFF"/>
        </w:rPr>
        <w:t>台</w:t>
      </w:r>
      <w:r>
        <w:rPr>
          <w:rFonts w:hint="default" w:ascii="Times New Roman" w:hAnsi="Times New Roman" w:eastAsia="方正仿宋_GBK" w:cs="Times New Roman"/>
          <w:i w:val="0"/>
          <w:iCs w:val="0"/>
          <w:caps w:val="0"/>
          <w:color w:val="auto"/>
          <w:spacing w:val="0"/>
          <w:sz w:val="32"/>
          <w:szCs w:val="32"/>
          <w:shd w:val="clear" w:color="auto" w:fill="FFFFFF"/>
          <w:lang w:eastAsia="zh-CN"/>
        </w:rPr>
        <w:t>次</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w:t>
      </w:r>
      <w:r>
        <w:rPr>
          <w:rFonts w:hint="default" w:ascii="Times New Roman" w:hAnsi="Times New Roman" w:eastAsia="方正仿宋_GBK" w:cs="Times New Roman"/>
          <w:color w:val="auto"/>
          <w:sz w:val="32"/>
          <w:szCs w:val="32"/>
          <w:lang w:val="en-US" w:eastAsia="zh-CN"/>
        </w:rPr>
        <w:t>下达监察指令共计9份，已整改完成。截止目前，</w:t>
      </w:r>
      <w:r>
        <w:rPr>
          <w:rFonts w:hint="default" w:ascii="Times New Roman" w:hAnsi="Times New Roman" w:eastAsia="方正仿宋_GBK" w:cs="Times New Roman"/>
          <w:i w:val="0"/>
          <w:iCs w:val="0"/>
          <w:caps w:val="0"/>
          <w:color w:val="auto"/>
          <w:spacing w:val="0"/>
          <w:sz w:val="32"/>
          <w:szCs w:val="32"/>
          <w:shd w:val="clear" w:color="auto" w:fill="FFFFFF"/>
          <w:lang w:eastAsia="zh-CN"/>
        </w:rPr>
        <w:t>未发生特种设备安全事故。</w:t>
      </w:r>
    </w:p>
    <w:p w14:paraId="7C371FB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pPr>
      <w:r>
        <w:rPr>
          <w:rFonts w:hint="default" w:ascii="方正楷体_GBK" w:hAnsi="方正楷体_GBK" w:eastAsia="方正楷体_GBK" w:cs="方正楷体_GBK"/>
          <w:b/>
          <w:bCs/>
          <w:sz w:val="32"/>
          <w:szCs w:val="32"/>
          <w:lang w:val="en-US" w:eastAsia="zh-CN"/>
        </w:rPr>
        <w:t>(五）推动质量强县战略，聚力高质量发展。一是加强组织领导。</w:t>
      </w:r>
      <w:r>
        <w:rPr>
          <w:rFonts w:hint="default" w:ascii="Times New Roman" w:hAnsi="Times New Roman" w:eastAsia="方正仿宋_GBK" w:cs="Times New Roman"/>
          <w:color w:val="auto"/>
          <w:sz w:val="32"/>
          <w:szCs w:val="32"/>
          <w:lang w:val="en-US" w:eastAsia="zh-CN"/>
        </w:rPr>
        <w:t>成立以县长为组长的质量强县领导小组，全县上下形成了“党委领导、政府主导、部门联合、企业主责、社会参与”的大质量工作格局，制定方案，召开专题会议2次；</w:t>
      </w:r>
      <w:r>
        <w:rPr>
          <w:rFonts w:hint="default" w:ascii="Times New Roman" w:hAnsi="Times New Roman" w:eastAsia="方正仿宋_GBK" w:cs="Times New Roman"/>
          <w:b/>
          <w:bCs/>
          <w:color w:val="auto"/>
          <w:sz w:val="32"/>
          <w:szCs w:val="32"/>
          <w:lang w:val="en-US" w:eastAsia="zh-CN"/>
        </w:rPr>
        <w:t>二是强化宣传引导</w:t>
      </w:r>
      <w:r>
        <w:rPr>
          <w:rFonts w:hint="default" w:ascii="Times New Roman" w:hAnsi="Times New Roman" w:eastAsia="方正仿宋_GBK" w:cs="Times New Roman"/>
          <w:color w:val="auto"/>
          <w:sz w:val="32"/>
          <w:szCs w:val="32"/>
          <w:lang w:val="en-US" w:eastAsia="zh-CN"/>
        </w:rPr>
        <w:t>。持续开展“3·15消费者权益日”“5·20世界计量日“</w:t>
      </w:r>
      <w:r>
        <w:rPr>
          <w:rFonts w:hint="eastAsia" w:ascii="Times New Roman" w:hAnsi="Times New Roman" w:eastAsia="方正仿宋_GBK" w:cs="Times New Roman"/>
          <w:color w:val="auto"/>
          <w:sz w:val="32"/>
          <w:szCs w:val="32"/>
          <w:lang w:val="en-US" w:eastAsia="zh-CN"/>
        </w:rPr>
        <w:t>“质量月</w:t>
      </w:r>
      <w:r>
        <w:rPr>
          <w:rFonts w:hint="default" w:ascii="Times New Roman" w:hAnsi="Times New Roman" w:eastAsia="方正仿宋_GBK" w:cs="Times New Roman"/>
          <w:color w:val="auto"/>
          <w:sz w:val="32"/>
          <w:szCs w:val="32"/>
          <w:lang w:val="en-US" w:eastAsia="zh-CN"/>
        </w:rPr>
        <w:t>食品药品宣传周”等质量主题活动，多次举办“质量标杆”“质量服务</w:t>
      </w:r>
      <w:r>
        <w:rPr>
          <w:rFonts w:hint="default" w:ascii="Times New Roman" w:hAnsi="Times New Roman" w:eastAsia="方正仿宋_GBK" w:cs="Times New Roman"/>
        </w:rPr>
        <w:t>进校园、</w:t>
      </w:r>
      <w:r>
        <w:rPr>
          <w:rFonts w:hint="default" w:ascii="Times New Roman" w:hAnsi="Times New Roman" w:eastAsia="方正仿宋_GBK" w:cs="Times New Roman"/>
          <w:lang w:val="en-US" w:eastAsia="zh-CN"/>
        </w:rPr>
        <w:t>进乡村、进寺庙、</w:t>
      </w:r>
      <w:r>
        <w:rPr>
          <w:rFonts w:hint="default" w:ascii="Times New Roman" w:hAnsi="Times New Roman" w:eastAsia="方正仿宋_GBK" w:cs="Times New Roman"/>
        </w:rPr>
        <w:t>进社区、进企业</w:t>
      </w:r>
      <w:r>
        <w:rPr>
          <w:rFonts w:hint="default" w:ascii="Times New Roman" w:hAnsi="Times New Roman" w:eastAsia="方正仿宋_GBK" w:cs="Times New Roman"/>
          <w:color w:val="auto"/>
          <w:sz w:val="32"/>
          <w:szCs w:val="32"/>
          <w:lang w:val="en-US" w:eastAsia="zh-CN"/>
        </w:rPr>
        <w:t>等活动，从而营造了全社会关注质量、追求质量、崇尚质量的良好氛围；</w:t>
      </w:r>
      <w:r>
        <w:rPr>
          <w:rFonts w:hint="default" w:ascii="Times New Roman" w:hAnsi="Times New Roman" w:eastAsia="方正仿宋_GBK" w:cs="Times New Roman"/>
          <w:b/>
          <w:bCs/>
          <w:color w:val="auto"/>
          <w:sz w:val="32"/>
          <w:szCs w:val="32"/>
          <w:lang w:val="en-US" w:eastAsia="zh-CN"/>
        </w:rPr>
        <w:t>三是做好政府质量奖评选</w:t>
      </w:r>
      <w:r>
        <w:rPr>
          <w:rFonts w:hint="default" w:ascii="Times New Roman" w:hAnsi="Times New Roman" w:eastAsia="方正仿宋_GBK" w:cs="Times New Roman"/>
          <w:color w:val="auto"/>
          <w:sz w:val="32"/>
          <w:szCs w:val="32"/>
          <w:lang w:val="en-US" w:eastAsia="zh-CN"/>
        </w:rPr>
        <w:t>。</w:t>
      </w:r>
      <w:r>
        <w:rPr>
          <w:rFonts w:hint="eastAsia" w:ascii="仿宋_GB2312" w:hAnsi="仿宋_GB2312" w:eastAsia="仿宋_GB2312" w:cs="仿宋_GB2312"/>
          <w:sz w:val="32"/>
          <w:szCs w:val="32"/>
        </w:rPr>
        <w:t>充分发挥“政府质量奖”品牌引领作用，把政府质量奖培育和评审作为引领高质量发展、夯实质量强县基础的重要抓手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截至目前，已申报推荐牦牛乳业有限责任公司参加政府质量奖评选，配合阿坝州质量奖评审小组开展现场评审工作1次。</w:t>
      </w:r>
    </w:p>
    <w:p w14:paraId="6435C170">
      <w:pPr>
        <w:pStyle w:val="4"/>
        <w:rPr>
          <w:rStyle w:val="31"/>
          <w:b w:val="0"/>
          <w:bCs w:val="0"/>
        </w:rPr>
      </w:pPr>
      <w:bookmarkStart w:id="14" w:name="_Toc15396601"/>
      <w:bookmarkStart w:id="15" w:name="_Toc15377200"/>
      <w:r>
        <w:rPr>
          <w:rFonts w:hint="eastAsia" w:ascii="黑体" w:eastAsia="黑体"/>
          <w:b w:val="0"/>
        </w:rPr>
        <w:t>二、</w:t>
      </w:r>
      <w:r>
        <w:rPr>
          <w:rFonts w:hint="eastAsia" w:ascii="黑体" w:hAnsi="黑体" w:eastAsia="黑体"/>
          <w:b w:val="0"/>
        </w:rPr>
        <w:t>机</w:t>
      </w:r>
      <w:r>
        <w:rPr>
          <w:rStyle w:val="31"/>
          <w:rFonts w:hint="eastAsia" w:ascii="黑体" w:hAnsi="黑体" w:eastAsia="黑体"/>
          <w:b w:val="0"/>
          <w:bCs w:val="0"/>
        </w:rPr>
        <w:t>构设置</w:t>
      </w:r>
      <w:bookmarkEnd w:id="14"/>
      <w:bookmarkEnd w:id="15"/>
    </w:p>
    <w:p w14:paraId="5BE8F474">
      <w:pPr>
        <w:pStyle w:val="4"/>
        <w:keepNext w:val="0"/>
        <w:keepLines w:val="0"/>
        <w:widowControl/>
        <w:suppressLineNumbers w:val="0"/>
        <w:ind w:firstLine="640" w:firstLineChars="200"/>
      </w:pPr>
      <w:r>
        <w:rPr>
          <w:rFonts w:hint="eastAsia" w:ascii="方正仿宋_GBK" w:hAnsi="方正仿宋_GBK" w:eastAsia="方正仿宋_GBK" w:cs="方正仿宋_GBK"/>
          <w:b w:val="0"/>
          <w:bCs/>
          <w:sz w:val="32"/>
          <w:szCs w:val="32"/>
        </w:rPr>
        <w:t>阿坝州红原县市场监督管理局（汇总）下属二级单位</w:t>
      </w:r>
      <w:r>
        <w:rPr>
          <w:rFonts w:hint="eastAsia" w:ascii="方正仿宋_GBK" w:hAnsi="方正仿宋_GBK" w:eastAsia="方正仿宋_GBK" w:cs="方正仿宋_GBK"/>
          <w:b w:val="0"/>
          <w:bCs/>
          <w:sz w:val="32"/>
          <w:szCs w:val="32"/>
          <w:lang w:val="en-US" w:eastAsia="zh-CN"/>
        </w:rPr>
        <w:t>0</w:t>
      </w:r>
      <w:r>
        <w:rPr>
          <w:rFonts w:hint="eastAsia" w:ascii="方正仿宋_GBK" w:hAnsi="方正仿宋_GBK" w:eastAsia="方正仿宋_GBK" w:cs="方正仿宋_GBK"/>
          <w:b w:val="0"/>
          <w:bCs/>
          <w:sz w:val="32"/>
          <w:szCs w:val="32"/>
        </w:rPr>
        <w:t>个，其中行政单位</w:t>
      </w:r>
      <w:r>
        <w:rPr>
          <w:rFonts w:hint="eastAsia" w:ascii="方正仿宋_GBK" w:hAnsi="方正仿宋_GBK" w:eastAsia="方正仿宋_GBK" w:cs="方正仿宋_GBK"/>
          <w:b w:val="0"/>
          <w:bCs/>
          <w:sz w:val="32"/>
          <w:szCs w:val="32"/>
          <w:lang w:val="en-US" w:eastAsia="zh-CN"/>
        </w:rPr>
        <w:t>0</w:t>
      </w:r>
      <w:r>
        <w:rPr>
          <w:rFonts w:hint="eastAsia" w:ascii="方正仿宋_GBK" w:hAnsi="方正仿宋_GBK" w:eastAsia="方正仿宋_GBK" w:cs="方正仿宋_GBK"/>
          <w:b w:val="0"/>
          <w:bCs/>
          <w:sz w:val="32"/>
          <w:szCs w:val="32"/>
        </w:rPr>
        <w:t>个，参照公务员法管理的事业单位</w:t>
      </w:r>
      <w:r>
        <w:rPr>
          <w:rFonts w:hint="eastAsia" w:ascii="方正仿宋_GBK" w:hAnsi="方正仿宋_GBK" w:eastAsia="方正仿宋_GBK" w:cs="方正仿宋_GBK"/>
          <w:b w:val="0"/>
          <w:bCs/>
          <w:sz w:val="32"/>
          <w:szCs w:val="32"/>
          <w:lang w:val="en-US" w:eastAsia="zh-CN"/>
        </w:rPr>
        <w:t>0</w:t>
      </w:r>
      <w:r>
        <w:rPr>
          <w:rFonts w:hint="eastAsia" w:ascii="方正仿宋_GBK" w:hAnsi="方正仿宋_GBK" w:eastAsia="方正仿宋_GBK" w:cs="方正仿宋_GBK"/>
          <w:b w:val="0"/>
          <w:bCs/>
          <w:sz w:val="32"/>
          <w:szCs w:val="32"/>
        </w:rPr>
        <w:t>个，其他事业单位</w:t>
      </w:r>
      <w:r>
        <w:rPr>
          <w:rFonts w:hint="eastAsia" w:ascii="方正仿宋_GBK" w:hAnsi="方正仿宋_GBK" w:eastAsia="方正仿宋_GBK" w:cs="方正仿宋_GBK"/>
          <w:b w:val="0"/>
          <w:bCs/>
          <w:sz w:val="32"/>
          <w:szCs w:val="32"/>
          <w:lang w:val="en-US" w:eastAsia="zh-CN"/>
        </w:rPr>
        <w:t>0</w:t>
      </w:r>
      <w:r>
        <w:rPr>
          <w:rFonts w:hint="eastAsia" w:ascii="方正仿宋_GBK" w:hAnsi="方正仿宋_GBK" w:eastAsia="方正仿宋_GBK" w:cs="方正仿宋_GBK"/>
          <w:b w:val="0"/>
          <w:bCs/>
          <w:sz w:val="32"/>
          <w:szCs w:val="32"/>
        </w:rPr>
        <w:t>个。纳入阿坝州红原县市场监督管理局（汇总）202</w:t>
      </w:r>
      <w:r>
        <w:rPr>
          <w:rFonts w:hint="eastAsia" w:ascii="方正仿宋_GBK" w:hAnsi="方正仿宋_GBK" w:eastAsia="方正仿宋_GBK" w:cs="方正仿宋_GBK"/>
          <w:b w:val="0"/>
          <w:bCs/>
          <w:sz w:val="32"/>
          <w:szCs w:val="32"/>
          <w:lang w:val="en-US" w:eastAsia="zh-CN"/>
        </w:rPr>
        <w:t>3</w:t>
      </w:r>
      <w:r>
        <w:rPr>
          <w:rFonts w:hint="eastAsia" w:ascii="方正仿宋_GBK" w:hAnsi="方正仿宋_GBK" w:eastAsia="方正仿宋_GBK" w:cs="方正仿宋_GBK"/>
          <w:b w:val="0"/>
          <w:bCs/>
          <w:sz w:val="32"/>
          <w:szCs w:val="32"/>
        </w:rPr>
        <w:t>年度部门决算编制范围的二级预算</w:t>
      </w:r>
      <w:r>
        <w:rPr>
          <w:rFonts w:hint="eastAsia" w:ascii="方正仿宋_GBK" w:hAnsi="方正仿宋_GBK" w:eastAsia="方正仿宋_GBK" w:cs="方正仿宋_GBK"/>
          <w:b w:val="0"/>
          <w:bCs/>
          <w:sz w:val="32"/>
          <w:szCs w:val="32"/>
          <w:lang w:eastAsia="zh-CN"/>
        </w:rPr>
        <w:t>机构</w:t>
      </w:r>
      <w:r>
        <w:rPr>
          <w:rFonts w:hint="eastAsia" w:ascii="方正仿宋_GBK" w:hAnsi="方正仿宋_GBK" w:eastAsia="方正仿宋_GBK" w:cs="方正仿宋_GBK"/>
          <w:b w:val="0"/>
          <w:bCs/>
          <w:sz w:val="32"/>
          <w:szCs w:val="32"/>
        </w:rPr>
        <w:t>包括：</w:t>
      </w:r>
      <w:r>
        <w:rPr>
          <w:rFonts w:hint="eastAsia" w:ascii="方正仿宋_GBK" w:hAnsi="方正仿宋_GBK" w:eastAsia="方正仿宋_GBK" w:cs="方正仿宋_GBK"/>
          <w:b w:val="0"/>
          <w:bCs/>
          <w:kern w:val="2"/>
          <w:sz w:val="32"/>
          <w:szCs w:val="32"/>
          <w:lang w:val="en-US" w:eastAsia="zh-CN" w:bidi="ar-SA"/>
        </w:rPr>
        <w:t>红原县知识产权局、红原县价格监督检查分局、红原县食品安全委员会办公室、红原县民营经济发展局和三个派出所。红原县市场监督管理局部门内设股室5个，分别是：办公室、食品药品监督管理股(设食安委办公室)、市场监督管理股、质量监督管理股、价格监督股。</w:t>
      </w:r>
      <w:r>
        <w:t> </w:t>
      </w:r>
    </w:p>
    <w:p w14:paraId="6FC45FE1">
      <w:pPr>
        <w:widowControl/>
        <w:jc w:val="left"/>
        <w:rPr>
          <w:rFonts w:ascii="仿宋" w:hAnsi="仿宋" w:eastAsia="仿宋"/>
          <w:kern w:val="0"/>
          <w:sz w:val="32"/>
          <w:szCs w:val="32"/>
        </w:rPr>
      </w:pPr>
      <w:r>
        <w:rPr>
          <w:rFonts w:ascii="仿宋" w:hAnsi="仿宋" w:eastAsia="仿宋"/>
          <w:sz w:val="32"/>
          <w:szCs w:val="32"/>
        </w:rPr>
        <w:br w:type="page"/>
      </w:r>
    </w:p>
    <w:p w14:paraId="232BC3A6">
      <w:pPr>
        <w:pStyle w:val="3"/>
        <w:ind w:right="440"/>
        <w:jc w:val="center"/>
        <w:rPr>
          <w:rStyle w:val="30"/>
          <w:rFonts w:ascii="黑体" w:hAnsi="黑体" w:eastAsia="黑体"/>
          <w:b w:val="0"/>
          <w:bCs/>
        </w:rPr>
      </w:pPr>
      <w:bookmarkStart w:id="16" w:name="_Toc15396602"/>
      <w:bookmarkStart w:id="17" w:name="_Toc15377204"/>
      <w:r>
        <w:rPr>
          <w:rFonts w:hint="eastAsia" w:ascii="黑体" w:hAnsi="黑体" w:eastAsia="黑体"/>
          <w:b w:val="0"/>
        </w:rPr>
        <w:t>第二部分 2023年度</w:t>
      </w:r>
      <w:r>
        <w:rPr>
          <w:rStyle w:val="30"/>
          <w:rFonts w:hint="eastAsia" w:ascii="黑体" w:hAnsi="黑体" w:eastAsia="黑体"/>
          <w:b w:val="0"/>
          <w:bCs/>
        </w:rPr>
        <w:t>部门决算情况说明</w:t>
      </w:r>
      <w:bookmarkEnd w:id="16"/>
      <w:bookmarkEnd w:id="17"/>
    </w:p>
    <w:p w14:paraId="2731D1BA"/>
    <w:p w14:paraId="44613555">
      <w:pPr>
        <w:pStyle w:val="29"/>
        <w:numPr>
          <w:ilvl w:val="0"/>
          <w:numId w:val="2"/>
        </w:numPr>
        <w:spacing w:line="600" w:lineRule="exact"/>
        <w:ind w:firstLineChars="0"/>
        <w:outlineLvl w:val="1"/>
        <w:rPr>
          <w:rStyle w:val="31"/>
          <w:rFonts w:ascii="黑体" w:hAnsi="黑体" w:eastAsia="黑体"/>
          <w:b w:val="0"/>
        </w:rPr>
      </w:pPr>
      <w:bookmarkStart w:id="18" w:name="_Toc15377205"/>
      <w:bookmarkStart w:id="19" w:name="_Toc15396603"/>
      <w:r>
        <w:rPr>
          <w:rFonts w:hint="eastAsia" w:ascii="黑体" w:hAnsi="黑体" w:eastAsia="黑体"/>
          <w:sz w:val="32"/>
          <w:szCs w:val="32"/>
        </w:rPr>
        <w:t>收</w:t>
      </w:r>
      <w:r>
        <w:rPr>
          <w:rStyle w:val="31"/>
          <w:rFonts w:hint="eastAsia" w:ascii="黑体" w:hAnsi="黑体" w:eastAsia="黑体"/>
          <w:b w:val="0"/>
        </w:rPr>
        <w:t>入支出决算总体情况说明</w:t>
      </w:r>
      <w:bookmarkEnd w:id="18"/>
      <w:bookmarkEnd w:id="19"/>
    </w:p>
    <w:p w14:paraId="06A3ECC7">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2023年度收、支总计均为</w:t>
      </w:r>
      <w:r>
        <w:rPr>
          <w:rFonts w:hint="eastAsia"/>
          <w:sz w:val="32"/>
          <w:szCs w:val="32"/>
        </w:rPr>
        <w:t>997.29</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与2022年度相比，收、支总计减少</w:t>
      </w:r>
      <w:r>
        <w:rPr>
          <w:rFonts w:hint="eastAsia" w:ascii="仿宋" w:hAnsi="仿宋" w:eastAsia="仿宋"/>
          <w:sz w:val="32"/>
          <w:szCs w:val="32"/>
          <w:lang w:val="en-US" w:eastAsia="zh-CN"/>
        </w:rPr>
        <w:t>13.42</w:t>
      </w:r>
      <w:r>
        <w:rPr>
          <w:rFonts w:hint="eastAsia" w:ascii="仿宋" w:hAnsi="仿宋" w:eastAsia="仿宋"/>
          <w:sz w:val="32"/>
          <w:szCs w:val="32"/>
        </w:rPr>
        <w:t>万元，下降</w:t>
      </w:r>
      <w:r>
        <w:rPr>
          <w:rFonts w:hint="eastAsia" w:ascii="仿宋" w:hAnsi="仿宋" w:eastAsia="仿宋"/>
          <w:sz w:val="32"/>
          <w:szCs w:val="32"/>
          <w:lang w:val="en-US" w:eastAsia="zh-CN"/>
        </w:rPr>
        <w:t>1.33</w:t>
      </w:r>
      <w:r>
        <w:rPr>
          <w:rFonts w:ascii="仿宋" w:hAnsi="仿宋" w:eastAsia="仿宋"/>
          <w:sz w:val="32"/>
          <w:szCs w:val="32"/>
        </w:rPr>
        <w:t>%</w:t>
      </w:r>
      <w:r>
        <w:rPr>
          <w:rFonts w:hint="eastAsia" w:ascii="仿宋" w:hAnsi="仿宋" w:eastAsia="仿宋"/>
          <w:sz w:val="32"/>
          <w:szCs w:val="32"/>
        </w:rPr>
        <w:t>。主要变动原因是</w:t>
      </w:r>
      <w:r>
        <w:rPr>
          <w:rFonts w:hint="eastAsia" w:ascii="方正仿宋_GBK" w:hAnsi="方正仿宋_GBK" w:eastAsia="方正仿宋_GBK" w:cs="方正仿宋_GBK"/>
          <w:sz w:val="32"/>
          <w:szCs w:val="32"/>
          <w:lang w:eastAsia="zh-CN"/>
        </w:rPr>
        <w:t>人员调整和专项经费支出减少</w:t>
      </w:r>
      <w:r>
        <w:rPr>
          <w:rFonts w:hint="eastAsia" w:ascii="仿宋" w:hAnsi="仿宋" w:eastAsia="仿宋"/>
          <w:sz w:val="32"/>
          <w:szCs w:val="32"/>
        </w:rPr>
        <w:t>。</w:t>
      </w:r>
    </w:p>
    <w:p w14:paraId="62F8904D">
      <w:pPr>
        <w:pStyle w:val="14"/>
        <w:rPr>
          <w:rFonts w:hint="eastAsia" w:ascii="仿宋" w:hAnsi="仿宋" w:eastAsia="仿宋"/>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59264" behindDoc="1" locked="0" layoutInCell="1" allowOverlap="1">
            <wp:simplePos x="0" y="0"/>
            <wp:positionH relativeFrom="column">
              <wp:posOffset>-26035</wp:posOffset>
            </wp:positionH>
            <wp:positionV relativeFrom="paragraph">
              <wp:posOffset>25400</wp:posOffset>
            </wp:positionV>
            <wp:extent cx="5054600" cy="2159000"/>
            <wp:effectExtent l="4445" t="4445" r="15875" b="15875"/>
            <wp:wrapTight wrapText="bothSides">
              <wp:wrapPolygon>
                <wp:start x="-19" y="-44"/>
                <wp:lineTo x="-19" y="21454"/>
                <wp:lineTo x="21538" y="21454"/>
                <wp:lineTo x="21538" y="-44"/>
                <wp:lineTo x="-19" y="-44"/>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2BD50786">
      <w:pPr>
        <w:pStyle w:val="14"/>
        <w:rPr>
          <w:rFonts w:hint="eastAsia" w:ascii="仿宋" w:hAnsi="仿宋" w:eastAsia="仿宋"/>
          <w:sz w:val="32"/>
          <w:szCs w:val="32"/>
        </w:rPr>
      </w:pPr>
    </w:p>
    <w:p w14:paraId="201A8CCE">
      <w:pPr>
        <w:pStyle w:val="14"/>
        <w:rPr>
          <w:rFonts w:hint="eastAsia" w:ascii="仿宋" w:hAnsi="仿宋" w:eastAsia="仿宋"/>
          <w:sz w:val="32"/>
          <w:szCs w:val="32"/>
        </w:rPr>
      </w:pPr>
    </w:p>
    <w:p w14:paraId="13C35D93">
      <w:pPr>
        <w:pStyle w:val="14"/>
        <w:rPr>
          <w:rFonts w:hint="eastAsia" w:ascii="仿宋" w:hAnsi="仿宋" w:eastAsia="仿宋"/>
          <w:sz w:val="32"/>
          <w:szCs w:val="32"/>
        </w:rPr>
      </w:pPr>
    </w:p>
    <w:p w14:paraId="72B9C698">
      <w:pPr>
        <w:pStyle w:val="14"/>
        <w:rPr>
          <w:rFonts w:hint="eastAsia" w:ascii="仿宋" w:hAnsi="仿宋" w:eastAsia="仿宋"/>
          <w:sz w:val="32"/>
          <w:szCs w:val="32"/>
        </w:rPr>
      </w:pPr>
    </w:p>
    <w:p w14:paraId="386252B4">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46600B8D">
      <w:pPr>
        <w:spacing w:line="600" w:lineRule="exact"/>
        <w:ind w:firstLine="640" w:firstLineChars="200"/>
        <w:jc w:val="left"/>
        <w:rPr>
          <w:rFonts w:ascii="仿宋_GB2312" w:eastAsia="仿宋_GB2312"/>
          <w:sz w:val="32"/>
          <w:szCs w:val="32"/>
        </w:rPr>
      </w:pPr>
    </w:p>
    <w:p w14:paraId="1CDFB534">
      <w:pPr>
        <w:pStyle w:val="29"/>
        <w:numPr>
          <w:ilvl w:val="0"/>
          <w:numId w:val="2"/>
        </w:numPr>
        <w:spacing w:line="600" w:lineRule="exact"/>
        <w:ind w:firstLineChars="0"/>
        <w:outlineLvl w:val="1"/>
        <w:rPr>
          <w:rStyle w:val="31"/>
          <w:rFonts w:ascii="黑体" w:hAnsi="黑体" w:eastAsia="黑体"/>
          <w:b w:val="0"/>
        </w:rPr>
      </w:pPr>
      <w:bookmarkStart w:id="20" w:name="_Toc15396604"/>
      <w:bookmarkStart w:id="21" w:name="_Toc15377206"/>
      <w:r>
        <w:rPr>
          <w:rFonts w:hint="eastAsia" w:ascii="黑体" w:hAnsi="黑体" w:eastAsia="黑体"/>
          <w:sz w:val="32"/>
          <w:szCs w:val="32"/>
        </w:rPr>
        <w:t>收</w:t>
      </w:r>
      <w:r>
        <w:rPr>
          <w:rStyle w:val="31"/>
          <w:rFonts w:hint="eastAsia" w:ascii="黑体" w:hAnsi="黑体" w:eastAsia="黑体"/>
          <w:b w:val="0"/>
        </w:rPr>
        <w:t>入决算情况说明</w:t>
      </w:r>
      <w:bookmarkEnd w:id="20"/>
      <w:bookmarkEnd w:id="21"/>
    </w:p>
    <w:p w14:paraId="01173199">
      <w:pPr>
        <w:spacing w:line="600" w:lineRule="exact"/>
        <w:ind w:firstLine="640" w:firstLineChars="200"/>
        <w:jc w:val="left"/>
        <w:outlineLvl w:val="1"/>
        <w:rPr>
          <w:rFonts w:ascii="仿宋" w:hAnsi="仿宋" w:eastAsia="仿宋"/>
          <w:sz w:val="32"/>
          <w:szCs w:val="32"/>
        </w:rPr>
      </w:pPr>
      <w:r>
        <w:rPr>
          <w:rFonts w:hint="eastAsia" w:ascii="仿宋" w:hAnsi="仿宋" w:eastAsia="仿宋"/>
          <w:sz w:val="32"/>
          <w:szCs w:val="32"/>
        </w:rPr>
        <w:t>2023年度本年收入合计</w:t>
      </w:r>
      <w:r>
        <w:rPr>
          <w:sz w:val="32"/>
          <w:szCs w:val="32"/>
        </w:rPr>
        <w:t>997.29</w:t>
      </w:r>
      <w:r>
        <w:rPr>
          <w:rFonts w:hint="eastAsia" w:ascii="仿宋" w:hAnsi="仿宋" w:eastAsia="仿宋"/>
          <w:sz w:val="32"/>
          <w:szCs w:val="32"/>
        </w:rPr>
        <w:t>万元，其中：一般公共预算财政拨款收入</w:t>
      </w:r>
      <w:r>
        <w:rPr>
          <w:sz w:val="32"/>
          <w:szCs w:val="32"/>
        </w:rPr>
        <w:t>997.29</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1FDEE845">
      <w:pPr>
        <w:spacing w:line="600" w:lineRule="exact"/>
        <w:ind w:firstLine="640" w:firstLineChars="200"/>
        <w:outlineLvl w:val="1"/>
        <w:rPr>
          <w:rFonts w:ascii="仿宋" w:hAnsi="仿宋" w:eastAsia="仿宋"/>
          <w:b/>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0288" behindDoc="1" locked="0" layoutInCell="1" allowOverlap="1">
            <wp:simplePos x="0" y="0"/>
            <wp:positionH relativeFrom="column">
              <wp:posOffset>499745</wp:posOffset>
            </wp:positionH>
            <wp:positionV relativeFrom="paragraph">
              <wp:posOffset>-909955</wp:posOffset>
            </wp:positionV>
            <wp:extent cx="4757420" cy="2003425"/>
            <wp:effectExtent l="4445" t="4445" r="8255" b="19050"/>
            <wp:wrapTight wrapText="bothSides">
              <wp:wrapPolygon>
                <wp:start x="-20" y="-48"/>
                <wp:lineTo x="-20" y="21477"/>
                <wp:lineTo x="21568" y="21477"/>
                <wp:lineTo x="21568" y="-48"/>
                <wp:lineTo x="-20" y="-48"/>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71C192B8">
      <w:pPr>
        <w:spacing w:line="600" w:lineRule="exact"/>
        <w:ind w:firstLine="320" w:firstLineChars="100"/>
        <w:rPr>
          <w:rFonts w:ascii="仿宋" w:hAnsi="仿宋" w:eastAsia="仿宋"/>
          <w:sz w:val="32"/>
          <w:szCs w:val="32"/>
        </w:rPr>
      </w:pPr>
      <w:r>
        <w:rPr>
          <w:rFonts w:hint="eastAsia" w:ascii="仿宋" w:hAnsi="仿宋" w:eastAsia="仿宋"/>
          <w:sz w:val="32"/>
          <w:szCs w:val="32"/>
        </w:rPr>
        <w:t>（图2：收入决算结构图）（饼状图）</w:t>
      </w:r>
    </w:p>
    <w:p w14:paraId="5F4435FB">
      <w:pPr>
        <w:spacing w:line="600" w:lineRule="exact"/>
        <w:ind w:firstLine="640" w:firstLineChars="200"/>
        <w:rPr>
          <w:rFonts w:ascii="仿宋_GB2312" w:eastAsia="仿宋_GB2312"/>
          <w:sz w:val="32"/>
          <w:szCs w:val="32"/>
        </w:rPr>
      </w:pPr>
    </w:p>
    <w:p w14:paraId="08831A1A">
      <w:pPr>
        <w:pStyle w:val="29"/>
        <w:numPr>
          <w:ilvl w:val="0"/>
          <w:numId w:val="2"/>
        </w:numPr>
        <w:spacing w:line="600" w:lineRule="exact"/>
        <w:ind w:firstLineChars="0"/>
        <w:outlineLvl w:val="1"/>
        <w:rPr>
          <w:rStyle w:val="31"/>
          <w:rFonts w:ascii="黑体" w:hAnsi="黑体" w:eastAsia="黑体"/>
          <w:b w:val="0"/>
        </w:rPr>
      </w:pPr>
      <w:bookmarkStart w:id="22" w:name="_Toc15377207"/>
      <w:bookmarkStart w:id="23" w:name="_Toc15396605"/>
      <w:r>
        <w:rPr>
          <w:rFonts w:hint="eastAsia" w:ascii="黑体" w:hAnsi="黑体" w:eastAsia="黑体"/>
          <w:sz w:val="32"/>
          <w:szCs w:val="32"/>
        </w:rPr>
        <w:t>支</w:t>
      </w:r>
      <w:r>
        <w:rPr>
          <w:rStyle w:val="31"/>
          <w:rFonts w:hint="eastAsia" w:ascii="黑体" w:hAnsi="黑体" w:eastAsia="黑体"/>
          <w:b w:val="0"/>
        </w:rPr>
        <w:t>出决算情况说明</w:t>
      </w:r>
      <w:bookmarkEnd w:id="22"/>
      <w:bookmarkEnd w:id="23"/>
    </w:p>
    <w:p w14:paraId="2F6D8604">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2023年度本年支出合计</w:t>
      </w:r>
      <w:r>
        <w:rPr>
          <w:sz w:val="32"/>
          <w:szCs w:val="32"/>
        </w:rPr>
        <w:t>997.29</w:t>
      </w:r>
      <w:r>
        <w:rPr>
          <w:rFonts w:hint="eastAsia" w:ascii="仿宋" w:hAnsi="仿宋" w:eastAsia="仿宋"/>
          <w:sz w:val="32"/>
          <w:szCs w:val="32"/>
        </w:rPr>
        <w:t>万元，其中：基本支出</w:t>
      </w:r>
      <w:r>
        <w:rPr>
          <w:sz w:val="32"/>
          <w:szCs w:val="32"/>
        </w:rPr>
        <w:t>905.78</w:t>
      </w:r>
      <w:r>
        <w:rPr>
          <w:rFonts w:hint="eastAsia" w:ascii="仿宋" w:hAnsi="仿宋" w:eastAsia="仿宋"/>
          <w:sz w:val="32"/>
          <w:szCs w:val="32"/>
        </w:rPr>
        <w:t>万元，占</w:t>
      </w:r>
      <w:r>
        <w:rPr>
          <w:sz w:val="32"/>
          <w:szCs w:val="32"/>
        </w:rPr>
        <w:t>90.82</w:t>
      </w:r>
      <w:r>
        <w:rPr>
          <w:rFonts w:ascii="仿宋" w:hAnsi="仿宋" w:eastAsia="仿宋"/>
          <w:sz w:val="32"/>
          <w:szCs w:val="32"/>
        </w:rPr>
        <w:t>%</w:t>
      </w:r>
      <w:r>
        <w:rPr>
          <w:rFonts w:hint="eastAsia" w:ascii="仿宋" w:hAnsi="仿宋" w:eastAsia="仿宋"/>
          <w:sz w:val="32"/>
          <w:szCs w:val="32"/>
        </w:rPr>
        <w:t>；项目支出</w:t>
      </w:r>
      <w:r>
        <w:rPr>
          <w:sz w:val="32"/>
          <w:szCs w:val="32"/>
        </w:rPr>
        <w:t>91.5</w:t>
      </w:r>
      <w:r>
        <w:rPr>
          <w:rFonts w:hint="eastAsia" w:ascii="仿宋" w:hAnsi="仿宋" w:eastAsia="仿宋"/>
          <w:sz w:val="32"/>
          <w:szCs w:val="32"/>
        </w:rPr>
        <w:t>万元，占</w:t>
      </w:r>
      <w:r>
        <w:rPr>
          <w:sz w:val="32"/>
          <w:szCs w:val="32"/>
        </w:rPr>
        <w:t>9.17</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3F8585C9">
      <w:pPr>
        <w:spacing w:line="600" w:lineRule="exact"/>
        <w:ind w:firstLine="640" w:firstLineChars="200"/>
        <w:outlineLvl w:val="1"/>
        <w:rPr>
          <w:rFonts w:ascii="仿宋" w:hAnsi="仿宋" w:eastAsia="仿宋"/>
          <w:b/>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1312" behindDoc="1" locked="0" layoutInCell="1" allowOverlap="1">
            <wp:simplePos x="0" y="0"/>
            <wp:positionH relativeFrom="column">
              <wp:posOffset>364490</wp:posOffset>
            </wp:positionH>
            <wp:positionV relativeFrom="paragraph">
              <wp:posOffset>533400</wp:posOffset>
            </wp:positionV>
            <wp:extent cx="4815840" cy="1490345"/>
            <wp:effectExtent l="5080" t="5080" r="10160" b="13335"/>
            <wp:wrapTight wrapText="bothSides">
              <wp:wrapPolygon>
                <wp:start x="-23" y="-74"/>
                <wp:lineTo x="-23" y="21352"/>
                <wp:lineTo x="21577" y="21352"/>
                <wp:lineTo x="21577" y="-74"/>
                <wp:lineTo x="-23" y="-74"/>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4FE3A919">
      <w:pPr>
        <w:spacing w:line="600" w:lineRule="exact"/>
        <w:ind w:firstLine="640"/>
        <w:rPr>
          <w:rFonts w:ascii="仿宋" w:hAnsi="仿宋" w:eastAsia="仿宋"/>
          <w:sz w:val="32"/>
          <w:szCs w:val="32"/>
          <w:shd w:val="pct10" w:color="auto" w:fill="FFFFFF"/>
        </w:rPr>
      </w:pPr>
    </w:p>
    <w:p w14:paraId="2BD4EE5A">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14:paraId="20789644">
      <w:pPr>
        <w:spacing w:line="600" w:lineRule="exact"/>
        <w:ind w:firstLine="640" w:firstLineChars="200"/>
        <w:rPr>
          <w:rFonts w:ascii="仿宋_GB2312" w:eastAsia="仿宋_GB2312"/>
          <w:sz w:val="32"/>
          <w:szCs w:val="32"/>
        </w:rPr>
      </w:pPr>
    </w:p>
    <w:p w14:paraId="5D73945C">
      <w:pPr>
        <w:spacing w:line="600" w:lineRule="exact"/>
        <w:ind w:firstLine="640" w:firstLineChars="200"/>
        <w:outlineLvl w:val="1"/>
        <w:rPr>
          <w:rStyle w:val="31"/>
          <w:rFonts w:ascii="黑体" w:hAnsi="黑体" w:eastAsia="黑体"/>
          <w:b w:val="0"/>
        </w:rPr>
      </w:pPr>
      <w:bookmarkStart w:id="24" w:name="_Toc15377208"/>
      <w:bookmarkStart w:id="25" w:name="_Toc15396606"/>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24"/>
      <w:bookmarkEnd w:id="25"/>
    </w:p>
    <w:p w14:paraId="65394B41">
      <w:pPr>
        <w:spacing w:line="600" w:lineRule="exact"/>
        <w:ind w:firstLine="640"/>
        <w:rPr>
          <w:rFonts w:hint="eastAsia" w:ascii="仿宋" w:hAnsi="仿宋" w:eastAsia="仿宋"/>
          <w:sz w:val="32"/>
          <w:szCs w:val="32"/>
          <w:lang w:eastAsia="zh-CN"/>
        </w:rPr>
      </w:pPr>
      <w:r>
        <w:rPr>
          <w:rFonts w:hint="eastAsia" w:ascii="仿宋" w:hAnsi="仿宋" w:eastAsia="仿宋"/>
          <w:sz w:val="32"/>
          <w:szCs w:val="32"/>
        </w:rPr>
        <w:t>2023年度财政拨款收、支总计均为</w:t>
      </w:r>
      <w:r>
        <w:rPr>
          <w:sz w:val="32"/>
          <w:szCs w:val="32"/>
        </w:rPr>
        <w:t>997.29</w:t>
      </w:r>
      <w:r>
        <w:rPr>
          <w:rFonts w:hint="eastAsia" w:ascii="仿宋" w:hAnsi="仿宋" w:eastAsia="仿宋"/>
          <w:sz w:val="32"/>
          <w:szCs w:val="32"/>
        </w:rPr>
        <w:t>万元。与2022年度相比，财政拨款收、支总计各减少</w:t>
      </w:r>
      <w:r>
        <w:rPr>
          <w:rFonts w:hint="eastAsia" w:ascii="仿宋" w:hAnsi="仿宋" w:eastAsia="仿宋"/>
          <w:sz w:val="32"/>
          <w:szCs w:val="32"/>
          <w:lang w:val="en-US" w:eastAsia="zh-CN"/>
        </w:rPr>
        <w:t>13.42</w:t>
      </w:r>
      <w:r>
        <w:rPr>
          <w:rFonts w:hint="eastAsia" w:ascii="仿宋" w:hAnsi="仿宋" w:eastAsia="仿宋"/>
          <w:sz w:val="32"/>
          <w:szCs w:val="32"/>
        </w:rPr>
        <w:t>万元，下降</w:t>
      </w:r>
      <w:r>
        <w:rPr>
          <w:rFonts w:hint="eastAsia" w:ascii="仿宋" w:hAnsi="仿宋" w:eastAsia="仿宋"/>
          <w:sz w:val="32"/>
          <w:szCs w:val="32"/>
          <w:lang w:val="en-US" w:eastAsia="zh-CN"/>
        </w:rPr>
        <w:t>1.33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人员变动。</w:t>
      </w:r>
    </w:p>
    <w:p w14:paraId="75DBB2E6">
      <w:pPr>
        <w:spacing w:line="600" w:lineRule="exact"/>
        <w:rPr>
          <w:rFonts w:ascii="仿宋" w:hAnsi="仿宋" w:eastAsia="仿宋"/>
          <w:sz w:val="32"/>
          <w:szCs w:val="32"/>
        </w:rPr>
      </w:pPr>
      <w:r>
        <w:rPr>
          <w:rFonts w:hint="eastAsia" w:ascii="仿宋" w:hAnsi="仿宋" w:eastAsia="仿宋"/>
          <w:color w:val="000000" w:themeColor="text1"/>
          <w:sz w:val="32"/>
          <w:szCs w:val="32"/>
          <w:highlight w:val="none"/>
          <w:lang w:eastAsia="zh-CN"/>
          <w14:textFill>
            <w14:solidFill>
              <w14:schemeClr w14:val="tx1"/>
            </w14:solidFill>
          </w14:textFill>
        </w:rPr>
        <w:drawing>
          <wp:anchor distT="0" distB="0" distL="114935" distR="114935" simplePos="0" relativeHeight="251662336" behindDoc="1" locked="0" layoutInCell="1" allowOverlap="1">
            <wp:simplePos x="0" y="0"/>
            <wp:positionH relativeFrom="column">
              <wp:posOffset>568325</wp:posOffset>
            </wp:positionH>
            <wp:positionV relativeFrom="paragraph">
              <wp:posOffset>5080</wp:posOffset>
            </wp:positionV>
            <wp:extent cx="4761865" cy="2578100"/>
            <wp:effectExtent l="4445" t="5080" r="19050" b="7620"/>
            <wp:wrapTight wrapText="bothSides">
              <wp:wrapPolygon>
                <wp:start x="-20" y="-43"/>
                <wp:lineTo x="-20" y="21536"/>
                <wp:lineTo x="21548" y="21536"/>
                <wp:lineTo x="21548" y="-43"/>
                <wp:lineTo x="-20" y="-43"/>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4378AA63">
      <w:pPr>
        <w:pStyle w:val="14"/>
        <w:rPr>
          <w:rFonts w:ascii="仿宋" w:hAnsi="仿宋" w:eastAsia="仿宋"/>
          <w:sz w:val="32"/>
          <w:szCs w:val="32"/>
        </w:rPr>
      </w:pPr>
    </w:p>
    <w:p w14:paraId="7001FAD1">
      <w:pPr>
        <w:pStyle w:val="14"/>
        <w:rPr>
          <w:rFonts w:ascii="仿宋" w:hAnsi="仿宋" w:eastAsia="仿宋"/>
          <w:sz w:val="32"/>
          <w:szCs w:val="32"/>
        </w:rPr>
      </w:pPr>
    </w:p>
    <w:p w14:paraId="7625238A">
      <w:pPr>
        <w:spacing w:line="600" w:lineRule="exact"/>
        <w:rPr>
          <w:rFonts w:ascii="仿宋" w:hAnsi="仿宋" w:eastAsia="仿宋"/>
          <w:sz w:val="32"/>
          <w:szCs w:val="32"/>
        </w:rPr>
      </w:pPr>
      <w:r>
        <w:rPr>
          <w:rFonts w:hint="eastAsia" w:ascii="仿宋" w:hAnsi="仿宋" w:eastAsia="仿宋"/>
          <w:sz w:val="32"/>
          <w:szCs w:val="32"/>
        </w:rPr>
        <w:t>（图4：财政拨款收、支决算总计变动情况）（柱状图）</w:t>
      </w:r>
    </w:p>
    <w:p w14:paraId="7F98A96C">
      <w:pPr>
        <w:spacing w:line="600" w:lineRule="exact"/>
        <w:ind w:firstLine="640"/>
        <w:rPr>
          <w:rFonts w:ascii="仿宋" w:hAnsi="仿宋" w:eastAsia="仿宋"/>
          <w:b/>
          <w:sz w:val="32"/>
          <w:szCs w:val="32"/>
        </w:rPr>
      </w:pPr>
    </w:p>
    <w:p w14:paraId="37F20D3B">
      <w:pPr>
        <w:spacing w:line="600" w:lineRule="exact"/>
        <w:ind w:firstLine="640" w:firstLineChars="200"/>
        <w:outlineLvl w:val="1"/>
        <w:rPr>
          <w:rStyle w:val="31"/>
          <w:rFonts w:ascii="黑体" w:hAnsi="黑体" w:eastAsia="黑体"/>
          <w:b w:val="0"/>
        </w:rPr>
      </w:pPr>
      <w:bookmarkStart w:id="26" w:name="_Toc15396607"/>
      <w:bookmarkStart w:id="27" w:name="_Toc15377209"/>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26"/>
      <w:bookmarkEnd w:id="27"/>
    </w:p>
    <w:p w14:paraId="10B7C02B">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14:paraId="66ACB90A">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2023年度一般公共预算财政拨款支出</w:t>
      </w:r>
      <w:r>
        <w:rPr>
          <w:sz w:val="32"/>
          <w:szCs w:val="32"/>
        </w:rPr>
        <w:t>997.29</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。与2022年度相比，一般公共预算财政拨款支出减少</w:t>
      </w:r>
      <w:r>
        <w:rPr>
          <w:rFonts w:hint="eastAsia" w:ascii="仿宋" w:hAnsi="仿宋" w:eastAsia="仿宋"/>
          <w:sz w:val="32"/>
          <w:szCs w:val="32"/>
          <w:lang w:val="en-US" w:eastAsia="zh-CN"/>
        </w:rPr>
        <w:t>13.42</w:t>
      </w:r>
      <w:r>
        <w:rPr>
          <w:rFonts w:hint="eastAsia" w:ascii="仿宋" w:hAnsi="仿宋" w:eastAsia="仿宋"/>
          <w:sz w:val="32"/>
          <w:szCs w:val="32"/>
        </w:rPr>
        <w:t>万元，下降</w:t>
      </w:r>
      <w:r>
        <w:rPr>
          <w:rFonts w:hint="eastAsia" w:ascii="仿宋" w:hAnsi="仿宋" w:eastAsia="仿宋"/>
          <w:sz w:val="32"/>
          <w:szCs w:val="32"/>
          <w:lang w:val="en-US" w:eastAsia="zh-CN"/>
        </w:rPr>
        <w:t>1.33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人员变动。</w:t>
      </w:r>
    </w:p>
    <w:p w14:paraId="0CC79D78">
      <w:pPr>
        <w:pStyle w:val="14"/>
        <w:rPr>
          <w:rFonts w:hint="eastAsia" w:ascii="仿宋" w:hAnsi="仿宋" w:eastAsia="仿宋"/>
          <w:sz w:val="32"/>
          <w:szCs w:val="32"/>
          <w:lang w:eastAsia="zh-CN"/>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3360" behindDoc="1" locked="0" layoutInCell="1" allowOverlap="1">
            <wp:simplePos x="0" y="0"/>
            <wp:positionH relativeFrom="column">
              <wp:posOffset>264160</wp:posOffset>
            </wp:positionH>
            <wp:positionV relativeFrom="paragraph">
              <wp:posOffset>462280</wp:posOffset>
            </wp:positionV>
            <wp:extent cx="5059045" cy="3130550"/>
            <wp:effectExtent l="12700" t="12700" r="18415" b="26670"/>
            <wp:wrapTight wrapText="bothSides">
              <wp:wrapPolygon>
                <wp:start x="-54" y="-88"/>
                <wp:lineTo x="-54" y="21574"/>
                <wp:lineTo x="21614" y="21574"/>
                <wp:lineTo x="21614" y="-88"/>
                <wp:lineTo x="-54" y="-88"/>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F14DC79">
      <w:pPr>
        <w:pStyle w:val="14"/>
        <w:rPr>
          <w:rFonts w:hint="eastAsia" w:ascii="仿宋" w:hAnsi="仿宋" w:eastAsia="仿宋"/>
          <w:sz w:val="32"/>
          <w:szCs w:val="32"/>
          <w:lang w:eastAsia="zh-CN"/>
        </w:rPr>
      </w:pPr>
    </w:p>
    <w:p w14:paraId="136ED5CE">
      <w:pPr>
        <w:pStyle w:val="14"/>
        <w:rPr>
          <w:rFonts w:hint="eastAsia" w:ascii="仿宋" w:hAnsi="仿宋" w:eastAsia="仿宋"/>
          <w:sz w:val="32"/>
          <w:szCs w:val="32"/>
          <w:lang w:eastAsia="zh-CN"/>
        </w:rPr>
      </w:pPr>
    </w:p>
    <w:p w14:paraId="71F22616">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0C6531D5">
      <w:pPr>
        <w:spacing w:line="600" w:lineRule="exact"/>
        <w:ind w:firstLine="640" w:firstLineChars="200"/>
        <w:rPr>
          <w:rFonts w:ascii="仿宋" w:hAnsi="仿宋" w:eastAsia="仿宋"/>
          <w:sz w:val="32"/>
          <w:szCs w:val="32"/>
        </w:rPr>
      </w:pPr>
    </w:p>
    <w:p w14:paraId="7FBAAA16">
      <w:pPr>
        <w:spacing w:line="600" w:lineRule="exact"/>
        <w:ind w:firstLine="643" w:firstLineChars="2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14:paraId="20A8CF76">
      <w:pPr>
        <w:spacing w:line="600" w:lineRule="exact"/>
        <w:ind w:firstLine="64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997.29</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778.74</w:t>
      </w:r>
      <w:r>
        <w:rPr>
          <w:rFonts w:hint="eastAsia" w:ascii="仿宋" w:hAnsi="仿宋" w:eastAsia="仿宋"/>
          <w:sz w:val="32"/>
          <w:szCs w:val="32"/>
        </w:rPr>
        <w:t>万元，占</w:t>
      </w:r>
      <w:r>
        <w:rPr>
          <w:rFonts w:hint="eastAsia" w:ascii="仿宋" w:hAnsi="仿宋" w:eastAsia="仿宋"/>
          <w:sz w:val="32"/>
          <w:szCs w:val="32"/>
          <w:lang w:val="en-US" w:eastAsia="zh-CN"/>
        </w:rPr>
        <w:t>78.09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113.57</w:t>
      </w:r>
      <w:r>
        <w:rPr>
          <w:rFonts w:hint="eastAsia" w:ascii="仿宋" w:hAnsi="仿宋" w:eastAsia="仿宋"/>
          <w:sz w:val="32"/>
          <w:szCs w:val="32"/>
        </w:rPr>
        <w:t>万元，占</w:t>
      </w:r>
      <w:r>
        <w:rPr>
          <w:rFonts w:hint="eastAsia" w:ascii="仿宋" w:hAnsi="仿宋" w:eastAsia="仿宋"/>
          <w:sz w:val="32"/>
          <w:szCs w:val="32"/>
          <w:lang w:val="en-US" w:eastAsia="zh-CN"/>
        </w:rPr>
        <w:t>11.39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49.02</w:t>
      </w:r>
      <w:r>
        <w:rPr>
          <w:rFonts w:hint="eastAsia" w:ascii="仿宋" w:hAnsi="仿宋" w:eastAsia="仿宋"/>
          <w:sz w:val="32"/>
          <w:szCs w:val="32"/>
        </w:rPr>
        <w:t>万元，占</w:t>
      </w:r>
      <w:r>
        <w:rPr>
          <w:rFonts w:hint="eastAsia" w:ascii="仿宋" w:hAnsi="仿宋" w:eastAsia="仿宋"/>
          <w:sz w:val="32"/>
          <w:szCs w:val="32"/>
          <w:lang w:val="en-US" w:eastAsia="zh-CN"/>
        </w:rPr>
        <w:t>4.92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55.96</w:t>
      </w:r>
      <w:r>
        <w:rPr>
          <w:rFonts w:hint="eastAsia" w:ascii="仿宋" w:hAnsi="仿宋" w:eastAsia="仿宋"/>
          <w:sz w:val="32"/>
          <w:szCs w:val="32"/>
        </w:rPr>
        <w:t>万元，占</w:t>
      </w:r>
      <w:r>
        <w:rPr>
          <w:rFonts w:hint="eastAsia" w:ascii="仿宋" w:hAnsi="仿宋" w:eastAsia="仿宋"/>
          <w:sz w:val="32"/>
          <w:szCs w:val="32"/>
          <w:lang w:val="en-US" w:eastAsia="zh-CN"/>
        </w:rPr>
        <w:t>5.61</w:t>
      </w:r>
      <w:r>
        <w:rPr>
          <w:rFonts w:ascii="仿宋" w:hAnsi="仿宋" w:eastAsia="仿宋"/>
          <w:sz w:val="32"/>
          <w:szCs w:val="32"/>
        </w:rPr>
        <w:t>%</w:t>
      </w:r>
      <w:r>
        <w:rPr>
          <w:rFonts w:hint="eastAsia" w:ascii="仿宋" w:hAnsi="仿宋" w:eastAsia="仿宋"/>
          <w:sz w:val="32"/>
          <w:szCs w:val="32"/>
        </w:rPr>
        <w:t>。</w:t>
      </w:r>
    </w:p>
    <w:p w14:paraId="1364CCC8">
      <w:pPr>
        <w:pStyle w:val="14"/>
        <w:rPr>
          <w:rFonts w:ascii="仿宋" w:hAnsi="仿宋" w:eastAsia="仿宋"/>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4384" behindDoc="0" locked="0" layoutInCell="1" allowOverlap="1">
            <wp:simplePos x="0" y="0"/>
            <wp:positionH relativeFrom="column">
              <wp:posOffset>15240</wp:posOffset>
            </wp:positionH>
            <wp:positionV relativeFrom="paragraph">
              <wp:posOffset>-739140</wp:posOffset>
            </wp:positionV>
            <wp:extent cx="5236845" cy="1958975"/>
            <wp:effectExtent l="5080" t="4445" r="15875" b="1778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574DF196">
      <w:pPr>
        <w:pStyle w:val="14"/>
        <w:rPr>
          <w:rFonts w:ascii="仿宋" w:hAnsi="仿宋" w:eastAsia="仿宋"/>
          <w:sz w:val="32"/>
          <w:szCs w:val="32"/>
        </w:rPr>
      </w:pPr>
    </w:p>
    <w:p w14:paraId="65419E6F">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14:paraId="58A9D199">
      <w:pPr>
        <w:spacing w:line="600" w:lineRule="exact"/>
        <w:ind w:firstLine="640" w:firstLineChars="200"/>
        <w:rPr>
          <w:rFonts w:ascii="仿宋" w:hAnsi="仿宋" w:eastAsia="仿宋"/>
          <w:sz w:val="32"/>
          <w:szCs w:val="32"/>
        </w:rPr>
      </w:pPr>
    </w:p>
    <w:p w14:paraId="2B91F232">
      <w:pPr>
        <w:spacing w:line="600" w:lineRule="exact"/>
        <w:ind w:firstLine="643"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14:paraId="7DEBF7A7">
      <w:pPr>
        <w:spacing w:line="600" w:lineRule="exact"/>
        <w:ind w:firstLine="643" w:firstLineChars="200"/>
        <w:outlineLvl w:val="2"/>
        <w:rPr>
          <w:rFonts w:ascii="仿宋" w:hAnsi="仿宋" w:eastAsia="仿宋"/>
          <w:sz w:val="32"/>
          <w:szCs w:val="32"/>
        </w:rPr>
      </w:pPr>
      <w:bookmarkStart w:id="31" w:name="_Toc15377444"/>
      <w:bookmarkStart w:id="32" w:name="_Toc15377213"/>
      <w:bookmarkStart w:id="33" w:name="_Toc15378460"/>
      <w:r>
        <w:rPr>
          <w:rFonts w:hint="eastAsia" w:ascii="仿宋" w:hAnsi="仿宋" w:eastAsia="仿宋"/>
          <w:b/>
          <w:sz w:val="32"/>
          <w:szCs w:val="32"/>
        </w:rPr>
        <w:t>2023年度一般公共预算支出决算数为</w:t>
      </w:r>
      <w:r>
        <w:rPr>
          <w:sz w:val="32"/>
          <w:szCs w:val="32"/>
        </w:rPr>
        <w:t>997.29</w:t>
      </w:r>
      <w:r>
        <w:rPr>
          <w:rFonts w:hint="eastAsia" w:ascii="仿宋" w:hAnsi="仿宋" w:eastAsia="仿宋"/>
          <w:sz w:val="32"/>
          <w:szCs w:val="32"/>
        </w:rPr>
        <w:t>，</w:t>
      </w:r>
      <w:r>
        <w:rPr>
          <w:rStyle w:val="17"/>
          <w:rFonts w:hint="eastAsia" w:ascii="仿宋" w:hAnsi="仿宋" w:eastAsia="仿宋"/>
          <w:bCs/>
          <w:sz w:val="32"/>
          <w:szCs w:val="32"/>
        </w:rPr>
        <w:t>完成预算</w:t>
      </w:r>
      <w:r>
        <w:rPr>
          <w:rStyle w:val="17"/>
          <w:rFonts w:hint="eastAsia" w:ascii="仿宋" w:hAnsi="仿宋" w:eastAsia="仿宋"/>
          <w:bCs/>
          <w:sz w:val="32"/>
          <w:szCs w:val="32"/>
          <w:lang w:val="en-US" w:eastAsia="zh-CN"/>
        </w:rPr>
        <w:t>100</w:t>
      </w:r>
      <w:r>
        <w:rPr>
          <w:rStyle w:val="17"/>
          <w:rFonts w:ascii="仿宋" w:hAnsi="仿宋" w:eastAsia="仿宋"/>
          <w:bCs/>
          <w:sz w:val="32"/>
          <w:szCs w:val="32"/>
        </w:rPr>
        <w:t>%</w:t>
      </w:r>
      <w:r>
        <w:rPr>
          <w:rStyle w:val="17"/>
          <w:rFonts w:hint="eastAsia" w:ascii="仿宋" w:hAnsi="仿宋" w:eastAsia="仿宋"/>
          <w:bCs/>
          <w:sz w:val="32"/>
          <w:szCs w:val="32"/>
        </w:rPr>
        <w:t>。其中：</w:t>
      </w:r>
      <w:bookmarkEnd w:id="31"/>
      <w:bookmarkEnd w:id="32"/>
      <w:bookmarkEnd w:id="33"/>
    </w:p>
    <w:p w14:paraId="7ECF4BD3">
      <w:pPr>
        <w:spacing w:line="600" w:lineRule="exact"/>
        <w:ind w:firstLine="643" w:firstLineChars="200"/>
        <w:rPr>
          <w:rFonts w:ascii="仿宋" w:hAnsi="仿宋" w:eastAsia="仿宋"/>
          <w:b/>
          <w:sz w:val="32"/>
          <w:szCs w:val="32"/>
        </w:rPr>
      </w:pPr>
      <w:r>
        <w:rPr>
          <w:rStyle w:val="17"/>
          <w:rFonts w:ascii="仿宋" w:hAnsi="仿宋" w:eastAsia="仿宋"/>
          <w:bCs/>
          <w:sz w:val="32"/>
          <w:szCs w:val="32"/>
        </w:rPr>
        <w:t>1.</w:t>
      </w:r>
      <w:r>
        <w:rPr>
          <w:rStyle w:val="17"/>
          <w:rFonts w:hint="eastAsia" w:ascii="仿宋" w:hAnsi="仿宋" w:eastAsia="仿宋"/>
          <w:bCs/>
          <w:sz w:val="32"/>
          <w:szCs w:val="32"/>
        </w:rPr>
        <w:t>一般公共服务（类）</w:t>
      </w:r>
      <w:r>
        <w:rPr>
          <w:rStyle w:val="17"/>
          <w:rFonts w:hint="eastAsia" w:ascii="仿宋" w:hAnsi="仿宋" w:eastAsia="仿宋"/>
          <w:bCs/>
          <w:sz w:val="32"/>
          <w:szCs w:val="32"/>
          <w:lang w:val="en-US" w:eastAsia="zh-CN"/>
        </w:rPr>
        <w:t>201</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778.74</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w:t>
      </w:r>
      <w:r>
        <w:rPr>
          <w:rStyle w:val="17"/>
          <w:rFonts w:hint="eastAsia" w:ascii="方正仿宋_GBK" w:hAnsi="方正仿宋_GBK" w:eastAsia="方正仿宋_GBK" w:cs="方正仿宋_GBK"/>
          <w:b w:val="0"/>
          <w:bCs/>
          <w:sz w:val="32"/>
          <w:szCs w:val="32"/>
        </w:rPr>
        <w:t>决算数等于预算数</w:t>
      </w:r>
      <w:r>
        <w:rPr>
          <w:rStyle w:val="17"/>
          <w:rFonts w:hint="eastAsia" w:ascii="仿宋" w:hAnsi="仿宋" w:eastAsia="仿宋"/>
          <w:b w:val="0"/>
          <w:bCs/>
          <w:sz w:val="32"/>
          <w:szCs w:val="32"/>
        </w:rPr>
        <w:t>。</w:t>
      </w:r>
    </w:p>
    <w:p w14:paraId="18058D0A">
      <w:pPr>
        <w:spacing w:line="600" w:lineRule="exact"/>
        <w:ind w:firstLine="643" w:firstLineChars="200"/>
        <w:rPr>
          <w:rFonts w:ascii="仿宋" w:hAnsi="仿宋" w:eastAsia="仿宋"/>
          <w:b/>
          <w:sz w:val="32"/>
          <w:szCs w:val="32"/>
        </w:rPr>
      </w:pPr>
      <w:r>
        <w:rPr>
          <w:rStyle w:val="17"/>
          <w:rFonts w:hint="eastAsia" w:ascii="仿宋" w:hAnsi="仿宋" w:eastAsia="仿宋"/>
          <w:bCs/>
          <w:sz w:val="32"/>
          <w:szCs w:val="32"/>
          <w:lang w:val="en-US" w:eastAsia="zh-CN"/>
        </w:rPr>
        <w:t>2</w:t>
      </w:r>
      <w:r>
        <w:rPr>
          <w:rStyle w:val="17"/>
          <w:rFonts w:ascii="仿宋" w:hAnsi="仿宋" w:eastAsia="仿宋"/>
          <w:bCs/>
          <w:sz w:val="32"/>
          <w:szCs w:val="32"/>
        </w:rPr>
        <w:t>.</w:t>
      </w: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208</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113.57</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14:paraId="61BE2314">
      <w:pPr>
        <w:spacing w:line="600" w:lineRule="exact"/>
        <w:ind w:firstLine="643" w:firstLineChars="200"/>
        <w:rPr>
          <w:rStyle w:val="17"/>
          <w:rFonts w:hint="eastAsia" w:ascii="仿宋" w:hAnsi="仿宋" w:eastAsia="仿宋"/>
          <w:b w:val="0"/>
          <w:bCs/>
          <w:sz w:val="32"/>
          <w:szCs w:val="32"/>
        </w:rPr>
      </w:pPr>
      <w:r>
        <w:rPr>
          <w:rStyle w:val="17"/>
          <w:rFonts w:hint="eastAsia" w:ascii="仿宋" w:hAnsi="仿宋" w:eastAsia="仿宋"/>
          <w:bCs/>
          <w:sz w:val="32"/>
          <w:szCs w:val="32"/>
          <w:lang w:val="en-US" w:eastAsia="zh-CN"/>
        </w:rPr>
        <w:t>3</w:t>
      </w:r>
      <w:r>
        <w:rPr>
          <w:rStyle w:val="17"/>
          <w:rFonts w:ascii="仿宋" w:hAnsi="仿宋" w:eastAsia="仿宋"/>
          <w:bCs/>
          <w:sz w:val="32"/>
          <w:szCs w:val="32"/>
        </w:rPr>
        <w:t>.</w:t>
      </w:r>
      <w:r>
        <w:rPr>
          <w:rFonts w:hint="eastAsia" w:ascii="仿宋" w:hAnsi="仿宋" w:eastAsia="仿宋"/>
          <w:b/>
          <w:bCs/>
          <w:sz w:val="32"/>
          <w:szCs w:val="32"/>
        </w:rPr>
        <w:t>卫生健康</w:t>
      </w:r>
      <w:r>
        <w:rPr>
          <w:rStyle w:val="17"/>
          <w:rFonts w:hint="eastAsia" w:ascii="仿宋" w:hAnsi="仿宋" w:eastAsia="仿宋"/>
          <w:bCs/>
          <w:sz w:val="32"/>
          <w:szCs w:val="32"/>
        </w:rPr>
        <w:t>（类）</w:t>
      </w:r>
      <w:r>
        <w:rPr>
          <w:rStyle w:val="17"/>
          <w:rFonts w:hint="eastAsia" w:ascii="仿宋" w:hAnsi="仿宋" w:eastAsia="仿宋"/>
          <w:bCs/>
          <w:sz w:val="32"/>
          <w:szCs w:val="32"/>
          <w:lang w:val="en-US" w:eastAsia="zh-CN"/>
        </w:rPr>
        <w:t>210</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49.02</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14:paraId="3688087C">
      <w:pPr>
        <w:spacing w:line="600" w:lineRule="exact"/>
        <w:ind w:firstLine="643" w:firstLineChars="200"/>
        <w:rPr>
          <w:rFonts w:ascii="仿宋" w:hAnsi="仿宋" w:eastAsia="仿宋"/>
          <w:b/>
          <w:sz w:val="32"/>
          <w:szCs w:val="32"/>
        </w:rPr>
      </w:pPr>
      <w:r>
        <w:rPr>
          <w:rFonts w:hint="eastAsia" w:ascii="仿宋" w:hAnsi="仿宋" w:eastAsia="仿宋"/>
          <w:b/>
          <w:color w:val="000000" w:themeColor="text1"/>
          <w:sz w:val="32"/>
          <w:szCs w:val="32"/>
          <w:lang w:val="en-US" w:eastAsia="zh-CN"/>
          <w14:textFill>
            <w14:solidFill>
              <w14:schemeClr w14:val="tx1"/>
            </w14:solidFill>
          </w14:textFill>
        </w:rPr>
        <w:t>4.</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221项：</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b w:val="0"/>
          <w:bCs w:val="0"/>
          <w:color w:val="000000" w:themeColor="text1"/>
          <w:sz w:val="32"/>
          <w:szCs w:val="32"/>
          <w:lang w:eastAsia="zh-CN"/>
          <w14:textFill>
            <w14:solidFill>
              <w14:schemeClr w14:val="tx1"/>
            </w14:solidFill>
          </w14:textFill>
        </w:rPr>
        <w:t>决算为</w:t>
      </w:r>
      <w:r>
        <w:rPr>
          <w:rFonts w:hint="eastAsia" w:ascii="仿宋" w:hAnsi="仿宋" w:eastAsia="仿宋"/>
          <w:b w:val="0"/>
          <w:bCs w:val="0"/>
          <w:color w:val="000000" w:themeColor="text1"/>
          <w:sz w:val="32"/>
          <w:szCs w:val="32"/>
          <w:lang w:val="en-US" w:eastAsia="zh-CN"/>
          <w14:textFill>
            <w14:solidFill>
              <w14:schemeClr w14:val="tx1"/>
            </w14:solidFill>
          </w14:textFill>
        </w:rPr>
        <w:t>55.96万元，完成预算100%，决算数等于预算数。</w:t>
      </w:r>
    </w:p>
    <w:p w14:paraId="2EB7214A">
      <w:pPr>
        <w:tabs>
          <w:tab w:val="right" w:pos="8306"/>
        </w:tabs>
        <w:spacing w:line="600" w:lineRule="exact"/>
        <w:ind w:firstLine="640"/>
        <w:outlineLvl w:val="1"/>
        <w:rPr>
          <w:rStyle w:val="31"/>
        </w:rPr>
      </w:pPr>
      <w:bookmarkStart w:id="34" w:name="_Toc15377214"/>
      <w:bookmarkStart w:id="35"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34"/>
      <w:bookmarkEnd w:id="35"/>
      <w:r>
        <w:rPr>
          <w:rStyle w:val="31"/>
          <w:rFonts w:ascii="黑体" w:hAnsi="黑体" w:eastAsia="黑体"/>
          <w:b w:val="0"/>
        </w:rPr>
        <w:tab/>
      </w:r>
    </w:p>
    <w:p w14:paraId="55BA3ED0">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905.78</w:t>
      </w:r>
      <w:r>
        <w:rPr>
          <w:rFonts w:hint="eastAsia" w:ascii="仿宋" w:hAnsi="仿宋" w:eastAsia="仿宋"/>
          <w:sz w:val="32"/>
          <w:szCs w:val="32"/>
        </w:rPr>
        <w:t>万元，其中：</w:t>
      </w:r>
    </w:p>
    <w:p w14:paraId="49C75286">
      <w:pPr>
        <w:spacing w:line="600" w:lineRule="exact"/>
        <w:ind w:firstLine="645"/>
        <w:rPr>
          <w:rFonts w:hint="eastAsia" w:ascii="仿宋" w:hAnsi="仿宋" w:eastAsia="仿宋"/>
          <w:sz w:val="32"/>
          <w:szCs w:val="32"/>
          <w:lang w:eastAsia="zh-CN"/>
        </w:rPr>
      </w:pPr>
      <w:r>
        <w:rPr>
          <w:rFonts w:hint="eastAsia" w:ascii="仿宋" w:hAnsi="仿宋" w:eastAsia="仿宋"/>
          <w:sz w:val="32"/>
          <w:szCs w:val="32"/>
        </w:rPr>
        <w:t>人员经费</w:t>
      </w:r>
      <w:r>
        <w:rPr>
          <w:sz w:val="32"/>
          <w:szCs w:val="32"/>
        </w:rPr>
        <w:t>833.27</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727EE273">
      <w:pPr>
        <w:spacing w:line="600" w:lineRule="exact"/>
        <w:ind w:firstLine="645"/>
        <w:rPr>
          <w:rFonts w:ascii="仿宋" w:hAnsi="仿宋" w:eastAsia="仿宋"/>
          <w:sz w:val="32"/>
          <w:szCs w:val="32"/>
        </w:rPr>
      </w:pPr>
      <w:r>
        <w:rPr>
          <w:rFonts w:hint="eastAsia" w:ascii="仿宋" w:hAnsi="仿宋" w:eastAsia="仿宋"/>
          <w:sz w:val="32"/>
          <w:szCs w:val="32"/>
        </w:rPr>
        <w:t>　　公用经费</w:t>
      </w:r>
      <w:r>
        <w:rPr>
          <w:sz w:val="32"/>
          <w:szCs w:val="32"/>
        </w:rPr>
        <w:t>72.51</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8C87C4A">
      <w:pPr>
        <w:spacing w:line="600" w:lineRule="exact"/>
        <w:ind w:firstLine="640"/>
        <w:rPr>
          <w:rFonts w:ascii="仿宋" w:hAnsi="仿宋" w:eastAsia="仿宋"/>
          <w:b/>
          <w:sz w:val="32"/>
          <w:szCs w:val="32"/>
        </w:rPr>
      </w:pPr>
    </w:p>
    <w:p w14:paraId="624377AD">
      <w:pPr>
        <w:spacing w:line="600" w:lineRule="exact"/>
        <w:ind w:firstLine="640"/>
        <w:outlineLvl w:val="1"/>
        <w:rPr>
          <w:rStyle w:val="31"/>
          <w:rFonts w:ascii="黑体" w:hAnsi="黑体" w:eastAsia="黑体"/>
          <w:b w:val="0"/>
        </w:rPr>
      </w:pPr>
      <w:bookmarkStart w:id="36" w:name="_Toc15396609"/>
      <w:bookmarkStart w:id="37" w:name="_Toc15377215"/>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36"/>
      <w:bookmarkEnd w:id="37"/>
    </w:p>
    <w:p w14:paraId="7FDB9840">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14:paraId="7E0A4126">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sz w:val="32"/>
          <w:szCs w:val="32"/>
        </w:rPr>
        <w:t>19.01</w:t>
      </w:r>
      <w:r>
        <w:rPr>
          <w:rFonts w:hint="eastAsia" w:ascii="仿宋" w:hAnsi="仿宋" w:eastAsia="仿宋"/>
          <w:sz w:val="32"/>
          <w:szCs w:val="32"/>
        </w:rPr>
        <w:t>万元，完成预算</w:t>
      </w:r>
      <w:r>
        <w:rPr>
          <w:sz w:val="32"/>
          <w:szCs w:val="32"/>
        </w:rPr>
        <w:t>99.96</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4.81</w:t>
      </w:r>
      <w:r>
        <w:rPr>
          <w:rFonts w:hint="eastAsia" w:ascii="仿宋" w:hAnsi="仿宋" w:eastAsia="仿宋"/>
          <w:sz w:val="32"/>
          <w:szCs w:val="32"/>
        </w:rPr>
        <w:t>万元，增长</w:t>
      </w:r>
      <w:r>
        <w:rPr>
          <w:rFonts w:hint="eastAsia" w:ascii="仿宋" w:hAnsi="仿宋" w:eastAsia="仿宋"/>
          <w:sz w:val="32"/>
          <w:szCs w:val="32"/>
          <w:lang w:val="en-US" w:eastAsia="zh-CN"/>
        </w:rPr>
        <w:t>25.3</w:t>
      </w:r>
      <w:r>
        <w:rPr>
          <w:rFonts w:hint="eastAsia" w:ascii="仿宋" w:hAnsi="仿宋" w:eastAsia="仿宋"/>
          <w:sz w:val="32"/>
          <w:szCs w:val="32"/>
        </w:rPr>
        <w:t>%。决算数小于预算数的主要原因是</w:t>
      </w:r>
      <w:r>
        <w:rPr>
          <w:rFonts w:hint="eastAsia" w:ascii="仿宋" w:hAnsi="仿宋" w:eastAsia="仿宋"/>
          <w:sz w:val="32"/>
          <w:szCs w:val="32"/>
          <w:lang w:eastAsia="zh-CN"/>
        </w:rPr>
        <w:t>坚持厉行节约</w:t>
      </w:r>
      <w:r>
        <w:rPr>
          <w:rFonts w:hint="eastAsia" w:ascii="仿宋" w:hAnsi="仿宋" w:eastAsia="仿宋"/>
          <w:sz w:val="32"/>
          <w:szCs w:val="32"/>
        </w:rPr>
        <w:t>。</w:t>
      </w:r>
    </w:p>
    <w:p w14:paraId="6A423D0C">
      <w:pPr>
        <w:spacing w:line="600" w:lineRule="exact"/>
        <w:ind w:firstLine="640"/>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14:paraId="3524BF74">
      <w:pPr>
        <w:spacing w:line="600" w:lineRule="exact"/>
        <w:ind w:firstLine="640"/>
        <w:rPr>
          <w:rFonts w:hint="eastAsia"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18.39</w:t>
      </w:r>
      <w:r>
        <w:rPr>
          <w:rFonts w:hint="eastAsia" w:ascii="仿宋" w:hAnsi="仿宋" w:eastAsia="仿宋"/>
          <w:sz w:val="32"/>
          <w:szCs w:val="32"/>
        </w:rPr>
        <w:t>万元，占</w:t>
      </w:r>
      <w:r>
        <w:rPr>
          <w:sz w:val="32"/>
          <w:szCs w:val="32"/>
        </w:rPr>
        <w:t>96.73</w:t>
      </w:r>
      <w:r>
        <w:rPr>
          <w:rFonts w:ascii="仿宋" w:hAnsi="仿宋" w:eastAsia="仿宋"/>
          <w:sz w:val="32"/>
          <w:szCs w:val="32"/>
        </w:rPr>
        <w:t>%</w:t>
      </w:r>
      <w:r>
        <w:rPr>
          <w:rFonts w:hint="eastAsia" w:ascii="仿宋" w:hAnsi="仿宋" w:eastAsia="仿宋"/>
          <w:sz w:val="32"/>
          <w:szCs w:val="32"/>
        </w:rPr>
        <w:t>；公务接待费支出决算</w:t>
      </w:r>
      <w:r>
        <w:rPr>
          <w:sz w:val="32"/>
          <w:szCs w:val="32"/>
        </w:rPr>
        <w:t>0.62</w:t>
      </w:r>
      <w:r>
        <w:rPr>
          <w:rFonts w:hint="eastAsia" w:ascii="仿宋" w:hAnsi="仿宋" w:eastAsia="仿宋"/>
          <w:sz w:val="32"/>
          <w:szCs w:val="32"/>
        </w:rPr>
        <w:t>万元，占</w:t>
      </w:r>
      <w:r>
        <w:rPr>
          <w:sz w:val="32"/>
          <w:szCs w:val="32"/>
        </w:rPr>
        <w:t>3.26</w:t>
      </w:r>
      <w:r>
        <w:rPr>
          <w:rFonts w:ascii="仿宋" w:hAnsi="仿宋" w:eastAsia="仿宋"/>
          <w:sz w:val="32"/>
          <w:szCs w:val="32"/>
        </w:rPr>
        <w:t>%</w:t>
      </w:r>
      <w:r>
        <w:rPr>
          <w:rFonts w:hint="eastAsia" w:ascii="仿宋" w:hAnsi="仿宋" w:eastAsia="仿宋"/>
          <w:sz w:val="32"/>
          <w:szCs w:val="32"/>
        </w:rPr>
        <w:t>。具体情况如下：</w:t>
      </w:r>
    </w:p>
    <w:p w14:paraId="7D34AAAF">
      <w:pPr>
        <w:pStyle w:val="14"/>
        <w:rPr>
          <w:rFonts w:hint="eastAsia" w:ascii="仿宋" w:hAnsi="仿宋" w:eastAsia="仿宋"/>
          <w:sz w:val="32"/>
          <w:szCs w:val="32"/>
        </w:rPr>
      </w:pPr>
    </w:p>
    <w:p w14:paraId="472B1299">
      <w:pPr>
        <w:pStyle w:val="14"/>
        <w:rPr>
          <w:rFonts w:hint="eastAsia" w:ascii="仿宋" w:hAnsi="仿宋" w:eastAsia="仿宋"/>
          <w:sz w:val="32"/>
          <w:szCs w:val="32"/>
        </w:rPr>
      </w:pPr>
      <w:r>
        <w:rPr>
          <w:rFonts w:hint="eastAsia" w:ascii="仿宋" w:hAnsi="仿宋" w:eastAsia="仿宋"/>
          <w:color w:val="000000"/>
          <w:sz w:val="32"/>
          <w:szCs w:val="32"/>
          <w:lang w:eastAsia="zh-CN"/>
        </w:rPr>
        <w:drawing>
          <wp:anchor distT="0" distB="0" distL="114300" distR="114300" simplePos="0" relativeHeight="251665408" behindDoc="1" locked="0" layoutInCell="1" allowOverlap="1">
            <wp:simplePos x="0" y="0"/>
            <wp:positionH relativeFrom="column">
              <wp:posOffset>194945</wp:posOffset>
            </wp:positionH>
            <wp:positionV relativeFrom="paragraph">
              <wp:posOffset>65405</wp:posOffset>
            </wp:positionV>
            <wp:extent cx="4841240" cy="2237740"/>
            <wp:effectExtent l="4445" t="4445" r="15875" b="13335"/>
            <wp:wrapTight wrapText="bothSides">
              <wp:wrapPolygon>
                <wp:start x="-20" y="-43"/>
                <wp:lineTo x="-20" y="21435"/>
                <wp:lineTo x="21535" y="21435"/>
                <wp:lineTo x="21535" y="-43"/>
                <wp:lineTo x="-20" y="-43"/>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428236B">
      <w:pPr>
        <w:pStyle w:val="14"/>
        <w:rPr>
          <w:rFonts w:hint="eastAsia" w:ascii="仿宋" w:hAnsi="仿宋" w:eastAsia="仿宋"/>
          <w:sz w:val="32"/>
          <w:szCs w:val="32"/>
        </w:rPr>
      </w:pPr>
    </w:p>
    <w:p w14:paraId="665DFEE8">
      <w:pPr>
        <w:pStyle w:val="14"/>
        <w:rPr>
          <w:rFonts w:hint="eastAsia" w:ascii="仿宋" w:hAnsi="仿宋" w:eastAsia="仿宋"/>
          <w:sz w:val="32"/>
          <w:szCs w:val="32"/>
        </w:rPr>
      </w:pPr>
    </w:p>
    <w:p w14:paraId="2521AE1C">
      <w:pPr>
        <w:pStyle w:val="14"/>
        <w:rPr>
          <w:rFonts w:hint="eastAsia" w:ascii="仿宋" w:hAnsi="仿宋" w:eastAsia="仿宋"/>
          <w:sz w:val="32"/>
          <w:szCs w:val="32"/>
        </w:rPr>
      </w:pPr>
    </w:p>
    <w:p w14:paraId="3CEEF910">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14:paraId="3403ED4E">
      <w:pPr>
        <w:numPr>
          <w:ilvl w:val="0"/>
          <w:numId w:val="3"/>
        </w:numPr>
        <w:spacing w:line="600" w:lineRule="exact"/>
        <w:ind w:firstLine="640"/>
        <w:rPr>
          <w:rFonts w:hint="eastAsia" w:ascii="仿宋_GB2312" w:eastAsia="仿宋_GB2312"/>
          <w:sz w:val="32"/>
          <w:szCs w:val="32"/>
        </w:rPr>
      </w:pP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人。因公出国（境）支出决算比2022年增加</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hint="eastAsia" w:ascii="仿宋_GB2312" w:eastAsia="仿宋_GB2312"/>
          <w:sz w:val="32"/>
          <w:szCs w:val="32"/>
          <w:lang w:val="en-US" w:eastAsia="zh-CN"/>
        </w:rPr>
        <w:t>0.00</w:t>
      </w:r>
      <w:r>
        <w:rPr>
          <w:rFonts w:ascii="仿宋_GB2312" w:eastAsia="仿宋_GB2312"/>
          <w:sz w:val="32"/>
          <w:szCs w:val="32"/>
        </w:rPr>
        <w:t>%</w:t>
      </w:r>
      <w:r>
        <w:rPr>
          <w:rFonts w:hint="eastAsia" w:ascii="仿宋_GB2312" w:eastAsia="仿宋_GB2312"/>
          <w:sz w:val="32"/>
          <w:szCs w:val="32"/>
        </w:rPr>
        <w:t>。</w:t>
      </w:r>
    </w:p>
    <w:p w14:paraId="3344151E">
      <w:pPr>
        <w:numPr>
          <w:ilvl w:val="0"/>
          <w:numId w:val="0"/>
        </w:numPr>
        <w:spacing w:line="600" w:lineRule="exact"/>
        <w:ind w:firstLine="321" w:firstLineChars="10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18.39</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99.96</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hint="eastAsia" w:ascii="仿宋_GB2312" w:eastAsia="仿宋_GB2312"/>
          <w:sz w:val="32"/>
          <w:szCs w:val="32"/>
          <w:lang w:val="en-US" w:eastAsia="zh-CN"/>
        </w:rPr>
        <w:t>4.63</w:t>
      </w:r>
      <w:r>
        <w:rPr>
          <w:rFonts w:hint="eastAsia" w:ascii="仿宋_GB2312" w:eastAsia="仿宋_GB2312"/>
          <w:sz w:val="32"/>
          <w:szCs w:val="32"/>
        </w:rPr>
        <w:t>万元，增长</w:t>
      </w:r>
      <w:r>
        <w:rPr>
          <w:rFonts w:hint="eastAsia" w:ascii="仿宋_GB2312" w:eastAsia="仿宋_GB2312"/>
          <w:sz w:val="32"/>
          <w:szCs w:val="32"/>
          <w:lang w:val="en-US" w:eastAsia="zh-CN"/>
        </w:rPr>
        <w:t>25.18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下乡专项检查及出差培训增加</w:t>
      </w:r>
      <w:r>
        <w:rPr>
          <w:rFonts w:hint="eastAsia" w:ascii="仿宋_GB2312" w:eastAsia="仿宋_GB2312"/>
          <w:sz w:val="32"/>
          <w:szCs w:val="32"/>
        </w:rPr>
        <w:t>。</w:t>
      </w:r>
    </w:p>
    <w:p w14:paraId="3B1C801A">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w:t>
      </w:r>
      <w:r>
        <w:rPr>
          <w:rFonts w:hint="eastAsia" w:ascii="方正仿宋_GBK" w:hAnsi="方正仿宋_GBK" w:eastAsia="方正仿宋_GBK" w:cs="方正仿宋_GBK"/>
          <w:sz w:val="32"/>
          <w:szCs w:val="32"/>
        </w:rPr>
        <w:t>全年按规定更新购置公务用车0辆。截至202</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年12月底，单位共有公务用车4辆，其中：</w:t>
      </w:r>
      <w:r>
        <w:rPr>
          <w:rFonts w:hint="eastAsia" w:ascii="仿宋_GB2312" w:eastAsia="仿宋_GB2312"/>
          <w:sz w:val="32"/>
          <w:szCs w:val="32"/>
        </w:rPr>
        <w:t>公务用车</w:t>
      </w:r>
      <w:r>
        <w:rPr>
          <w:rFonts w:hint="eastAsia" w:ascii="仿宋_GB2312" w:eastAsia="仿宋_GB2312"/>
          <w:sz w:val="32"/>
          <w:szCs w:val="32"/>
          <w:lang w:val="en-US" w:eastAsia="zh-CN"/>
        </w:rPr>
        <w:t>2</w:t>
      </w:r>
      <w:r>
        <w:rPr>
          <w:rFonts w:hint="eastAsia" w:ascii="仿宋_GB2312" w:eastAsia="仿宋_GB2312"/>
          <w:sz w:val="32"/>
          <w:szCs w:val="32"/>
        </w:rPr>
        <w:t>辆，</w:t>
      </w:r>
      <w:r>
        <w:rPr>
          <w:rFonts w:hint="eastAsia" w:ascii="仿宋_GB2312" w:eastAsia="仿宋_GB2312"/>
          <w:sz w:val="32"/>
          <w:szCs w:val="32"/>
          <w:lang w:eastAsia="zh-CN"/>
        </w:rPr>
        <w:t>特种设备用车</w:t>
      </w:r>
      <w:r>
        <w:rPr>
          <w:rFonts w:hint="eastAsia" w:ascii="仿宋_GB2312" w:eastAsia="仿宋_GB2312"/>
          <w:sz w:val="32"/>
          <w:szCs w:val="32"/>
          <w:lang w:val="en-US" w:eastAsia="zh-CN"/>
        </w:rPr>
        <w:t>1辆，皮卡车1辆。</w:t>
      </w:r>
    </w:p>
    <w:p w14:paraId="602AB322">
      <w:pPr>
        <w:pStyle w:val="13"/>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hint="eastAsia" w:ascii="方正仿宋_GBK" w:hAnsi="方正仿宋_GBK" w:eastAsia="方正仿宋_GBK" w:cs="方正仿宋_GBK"/>
          <w:sz w:val="32"/>
          <w:szCs w:val="32"/>
        </w:rPr>
      </w:pPr>
      <w:r>
        <w:rPr>
          <w:rFonts w:hint="eastAsia" w:ascii="仿宋_GB2312" w:eastAsia="仿宋_GB2312"/>
          <w:b/>
          <w:sz w:val="32"/>
          <w:szCs w:val="32"/>
        </w:rPr>
        <w:t>公务用车运行维护费支出</w:t>
      </w:r>
      <w:r>
        <w:rPr>
          <w:sz w:val="32"/>
          <w:szCs w:val="32"/>
        </w:rPr>
        <w:t>18.39</w:t>
      </w:r>
      <w:r>
        <w:rPr>
          <w:rFonts w:hint="eastAsia" w:ascii="仿宋_GB2312" w:eastAsia="仿宋_GB2312"/>
          <w:sz w:val="32"/>
          <w:szCs w:val="32"/>
        </w:rPr>
        <w:t>万元。主要用于</w:t>
      </w:r>
      <w:r>
        <w:rPr>
          <w:rFonts w:hint="eastAsia" w:ascii="方正仿宋_GBK" w:hAnsi="方正仿宋_GBK" w:eastAsia="方正仿宋_GBK" w:cs="方正仿宋_GBK"/>
          <w:sz w:val="32"/>
          <w:szCs w:val="32"/>
        </w:rPr>
        <w:t>主要用于</w:t>
      </w:r>
      <w:r>
        <w:rPr>
          <w:rFonts w:hint="eastAsia" w:ascii="仿宋_GB2312" w:eastAsia="仿宋_GB2312"/>
          <w:sz w:val="32"/>
          <w:szCs w:val="32"/>
          <w:lang w:eastAsia="zh-CN"/>
        </w:rPr>
        <w:t>出差、下乡专项检查</w:t>
      </w:r>
      <w:r>
        <w:rPr>
          <w:rFonts w:hint="eastAsia" w:ascii="方正仿宋_GBK" w:hAnsi="方正仿宋_GBK" w:eastAsia="方正仿宋_GBK" w:cs="方正仿宋_GBK"/>
          <w:sz w:val="32"/>
          <w:szCs w:val="32"/>
        </w:rPr>
        <w:t>等所需的公务用车燃料费、维修费、过路过桥费、保险费等支出。</w:t>
      </w:r>
    </w:p>
    <w:p w14:paraId="7B20F5DF">
      <w:pPr>
        <w:pStyle w:val="13"/>
        <w:keepNext w:val="0"/>
        <w:keepLines w:val="0"/>
        <w:pageBreakBefore w:val="0"/>
        <w:widowControl/>
        <w:suppressLineNumbers w:val="0"/>
        <w:kinsoku/>
        <w:wordWrap/>
        <w:overflowPunct/>
        <w:topLinePunct w:val="0"/>
        <w:autoSpaceDE/>
        <w:autoSpaceDN/>
        <w:bidi w:val="0"/>
        <w:adjustRightInd/>
        <w:snapToGrid/>
        <w:spacing w:line="570" w:lineRule="exact"/>
        <w:textAlignment w:val="auto"/>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0.62</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100%</w:t>
      </w:r>
      <w:r>
        <w:rPr>
          <w:rStyle w:val="17"/>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hint="eastAsia" w:ascii="仿宋_GB2312" w:eastAsia="仿宋_GB2312"/>
          <w:sz w:val="32"/>
          <w:szCs w:val="32"/>
          <w:lang w:val="en-US" w:eastAsia="zh-CN"/>
        </w:rPr>
        <w:t>0.18</w:t>
      </w:r>
      <w:r>
        <w:rPr>
          <w:rFonts w:hint="eastAsia" w:ascii="仿宋_GB2312" w:eastAsia="仿宋_GB2312"/>
          <w:sz w:val="32"/>
          <w:szCs w:val="32"/>
        </w:rPr>
        <w:t>万元，增长</w:t>
      </w:r>
      <w:r>
        <w:rPr>
          <w:rFonts w:hint="eastAsia" w:ascii="仿宋_GB2312" w:eastAsia="仿宋_GB2312"/>
          <w:sz w:val="32"/>
          <w:szCs w:val="32"/>
          <w:lang w:val="en-US" w:eastAsia="zh-CN"/>
        </w:rPr>
        <w:t>29.03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正常接待</w:t>
      </w:r>
      <w:r>
        <w:rPr>
          <w:rFonts w:hint="eastAsia" w:ascii="仿宋_GB2312" w:eastAsia="仿宋_GB2312"/>
          <w:sz w:val="32"/>
          <w:szCs w:val="32"/>
        </w:rPr>
        <w:t>。其中：</w:t>
      </w:r>
      <w:r>
        <w:rPr>
          <w:rFonts w:hint="eastAsia" w:ascii="仿宋" w:hAnsi="仿宋" w:eastAsia="仿宋"/>
          <w:b/>
          <w:sz w:val="32"/>
          <w:szCs w:val="32"/>
        </w:rPr>
        <w:t>国内公务接待支出</w:t>
      </w:r>
      <w:r>
        <w:rPr>
          <w:rFonts w:hint="eastAsia" w:ascii="仿宋" w:hAnsi="仿宋" w:eastAsia="仿宋"/>
          <w:b/>
          <w:sz w:val="32"/>
          <w:szCs w:val="32"/>
          <w:lang w:val="en-US" w:eastAsia="zh-CN"/>
        </w:rPr>
        <w:t>0.44</w:t>
      </w:r>
      <w:r>
        <w:rPr>
          <w:rFonts w:hint="eastAsia" w:ascii="仿宋_GB2312" w:eastAsia="仿宋_GB2312"/>
          <w:sz w:val="32"/>
          <w:szCs w:val="32"/>
        </w:rPr>
        <w:t>万元，</w:t>
      </w:r>
      <w:r>
        <w:rPr>
          <w:rFonts w:hint="eastAsia" w:ascii="方正仿宋_GBK" w:hAnsi="方正仿宋_GBK" w:eastAsia="方正仿宋_GBK" w:cs="方正仿宋_GBK"/>
          <w:sz w:val="32"/>
          <w:szCs w:val="32"/>
        </w:rPr>
        <w:t>主要用于执行公务、开展业务活动开支的用餐费。</w:t>
      </w:r>
      <w:r>
        <w:rPr>
          <w:rFonts w:hint="eastAsia" w:ascii="仿宋_GB2312" w:eastAsia="仿宋_GB2312"/>
          <w:sz w:val="32"/>
          <w:szCs w:val="32"/>
        </w:rPr>
        <w:t>国内公务接待</w:t>
      </w:r>
      <w:r>
        <w:rPr>
          <w:rFonts w:hint="eastAsia" w:ascii="仿宋_GB2312" w:eastAsia="仿宋_GB2312"/>
          <w:sz w:val="32"/>
          <w:szCs w:val="32"/>
          <w:lang w:val="en-US" w:eastAsia="zh-CN"/>
        </w:rPr>
        <w:t>4</w:t>
      </w:r>
      <w:r>
        <w:rPr>
          <w:rFonts w:hint="eastAsia" w:ascii="仿宋_GB2312" w:eastAsia="仿宋_GB2312"/>
          <w:sz w:val="32"/>
          <w:szCs w:val="32"/>
        </w:rPr>
        <w:t>批次，</w:t>
      </w:r>
      <w:r>
        <w:rPr>
          <w:rFonts w:hint="eastAsia" w:ascii="仿宋_GB2312" w:eastAsia="仿宋_GB2312"/>
          <w:sz w:val="32"/>
          <w:szCs w:val="32"/>
          <w:lang w:val="en-US" w:eastAsia="zh-CN"/>
        </w:rPr>
        <w:t>56</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0.44</w:t>
      </w:r>
      <w:r>
        <w:rPr>
          <w:rFonts w:hint="eastAsia" w:ascii="仿宋_GB2312" w:eastAsia="仿宋_GB2312"/>
          <w:sz w:val="32"/>
          <w:szCs w:val="32"/>
        </w:rPr>
        <w:t>万元，具体内容包括：</w:t>
      </w:r>
      <w:r>
        <w:rPr>
          <w:rFonts w:hint="eastAsia" w:ascii="方正仿宋_GBK" w:hAnsi="方正仿宋_GBK" w:eastAsia="方正仿宋_GBK" w:cs="方正仿宋_GBK"/>
          <w:sz w:val="32"/>
          <w:szCs w:val="32"/>
        </w:rPr>
        <w:t>主要用于执行公务、开展业务活动开支的用餐费。</w:t>
      </w:r>
    </w:p>
    <w:p w14:paraId="0B7BE5C1">
      <w:pPr>
        <w:spacing w:line="600" w:lineRule="exact"/>
        <w:ind w:firstLine="640"/>
        <w:outlineLvl w:val="1"/>
        <w:rPr>
          <w:rFonts w:ascii="黑体" w:eastAsia="黑体"/>
          <w:sz w:val="32"/>
          <w:szCs w:val="32"/>
        </w:rPr>
      </w:pPr>
      <w:bookmarkStart w:id="40" w:name="_Toc15396610"/>
      <w:bookmarkStart w:id="41" w:name="_Toc15377218"/>
    </w:p>
    <w:p w14:paraId="6612FA86">
      <w:pPr>
        <w:spacing w:line="600" w:lineRule="exact"/>
        <w:ind w:firstLine="640"/>
        <w:outlineLvl w:val="1"/>
        <w:rPr>
          <w:rStyle w:val="31"/>
          <w:rFonts w:ascii="黑体" w:hAnsi="黑体" w:eastAsia="黑体"/>
        </w:rPr>
      </w:pPr>
      <w:r>
        <w:rPr>
          <w:rFonts w:hint="eastAsia" w:ascii="黑体" w:eastAsia="黑体"/>
          <w:sz w:val="32"/>
          <w:szCs w:val="32"/>
        </w:rPr>
        <w:t>八、</w:t>
      </w:r>
      <w:r>
        <w:rPr>
          <w:rStyle w:val="31"/>
          <w:rFonts w:hint="eastAsia" w:ascii="黑体" w:hAnsi="黑体" w:eastAsia="黑体"/>
          <w:b w:val="0"/>
        </w:rPr>
        <w:t>政府性基金预算支出决算情况说明</w:t>
      </w:r>
      <w:bookmarkEnd w:id="40"/>
      <w:bookmarkEnd w:id="41"/>
    </w:p>
    <w:p w14:paraId="7255A554">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0</w:t>
      </w:r>
      <w:r>
        <w:rPr>
          <w:rFonts w:hint="eastAsia" w:ascii="仿宋_GB2312" w:eastAsia="仿宋_GB2312"/>
          <w:sz w:val="32"/>
          <w:szCs w:val="32"/>
        </w:rPr>
        <w:t>万元。</w:t>
      </w:r>
    </w:p>
    <w:p w14:paraId="0AC4C637">
      <w:pPr>
        <w:numPr>
          <w:ilvl w:val="0"/>
          <w:numId w:val="4"/>
        </w:numPr>
        <w:spacing w:line="600" w:lineRule="exact"/>
        <w:ind w:firstLine="640"/>
        <w:outlineLvl w:val="1"/>
        <w:rPr>
          <w:rStyle w:val="31"/>
          <w:rFonts w:ascii="黑体" w:hAnsi="黑体" w:eastAsia="黑体"/>
          <w:b w:val="0"/>
        </w:rPr>
      </w:pPr>
      <w:bookmarkStart w:id="42" w:name="_Toc15396611"/>
      <w:bookmarkStart w:id="43" w:name="_Toc15377219"/>
      <w:r>
        <w:rPr>
          <w:rStyle w:val="31"/>
          <w:rFonts w:hint="eastAsia" w:ascii="黑体" w:hAnsi="黑体" w:eastAsia="黑体"/>
          <w:b w:val="0"/>
        </w:rPr>
        <w:t>国有资本经营预算支出决算情况说明</w:t>
      </w:r>
      <w:bookmarkEnd w:id="42"/>
      <w:bookmarkEnd w:id="43"/>
    </w:p>
    <w:p w14:paraId="6C1236FD">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14:paraId="2A319F5E">
      <w:pPr>
        <w:numPr>
          <w:ilvl w:val="0"/>
          <w:numId w:val="4"/>
        </w:numPr>
        <w:spacing w:line="600" w:lineRule="exact"/>
        <w:ind w:firstLine="640"/>
        <w:outlineLvl w:val="1"/>
        <w:rPr>
          <w:rStyle w:val="31"/>
          <w:rFonts w:ascii="黑体" w:hAnsi="黑体" w:eastAsia="黑体"/>
          <w:b w:val="0"/>
        </w:rPr>
      </w:pPr>
      <w:bookmarkStart w:id="44" w:name="_Toc15396612"/>
      <w:bookmarkStart w:id="45" w:name="_Toc15377221"/>
      <w:r>
        <w:rPr>
          <w:rStyle w:val="31"/>
          <w:rFonts w:hint="eastAsia" w:ascii="黑体" w:hAnsi="黑体" w:eastAsia="黑体"/>
          <w:b w:val="0"/>
        </w:rPr>
        <w:t>其他重要事项的情况说明</w:t>
      </w:r>
      <w:bookmarkEnd w:id="44"/>
      <w:bookmarkEnd w:id="45"/>
    </w:p>
    <w:p w14:paraId="4B865106">
      <w:pPr>
        <w:numPr>
          <w:ilvl w:val="0"/>
          <w:numId w:val="5"/>
        </w:numPr>
        <w:spacing w:line="600" w:lineRule="exact"/>
        <w:ind w:firstLine="643" w:firstLineChars="200"/>
        <w:outlineLvl w:val="2"/>
        <w:rPr>
          <w:rFonts w:hint="eastAsia" w:ascii="仿宋" w:hAnsi="仿宋" w:eastAsia="仿宋"/>
          <w:b/>
          <w:sz w:val="32"/>
          <w:szCs w:val="32"/>
        </w:rPr>
      </w:pPr>
      <w:bookmarkStart w:id="46" w:name="_Toc15377222"/>
      <w:r>
        <w:rPr>
          <w:rFonts w:hint="eastAsia" w:ascii="仿宋" w:hAnsi="仿宋" w:eastAsia="仿宋"/>
          <w:b/>
          <w:sz w:val="32"/>
          <w:szCs w:val="32"/>
        </w:rPr>
        <w:t>机关运行经费支出情况</w:t>
      </w:r>
      <w:bookmarkEnd w:id="46"/>
    </w:p>
    <w:p w14:paraId="0525FF12">
      <w:pPr>
        <w:numPr>
          <w:ilvl w:val="0"/>
          <w:numId w:val="0"/>
        </w:numPr>
        <w:spacing w:line="600" w:lineRule="exact"/>
        <w:ind w:firstLine="640" w:firstLineChars="200"/>
        <w:outlineLvl w:val="2"/>
        <w:rPr>
          <w:rFonts w:hint="eastAsia" w:ascii="方正仿宋_GBK" w:hAnsi="方正仿宋_GBK" w:eastAsia="方正仿宋_GBK" w:cs="方正仿宋_GBK"/>
          <w:sz w:val="32"/>
          <w:szCs w:val="32"/>
        </w:rPr>
      </w:pPr>
      <w:r>
        <w:rPr>
          <w:rFonts w:hint="eastAsia" w:ascii="仿宋_GB2312" w:eastAsia="仿宋_GB2312"/>
          <w:sz w:val="32"/>
          <w:szCs w:val="32"/>
        </w:rPr>
        <w:t>2023年度，</w:t>
      </w:r>
      <w:r>
        <w:rPr>
          <w:rFonts w:hint="eastAsia"/>
          <w:sz w:val="32"/>
          <w:szCs w:val="32"/>
        </w:rPr>
        <w:t>红原县市场监督管理局</w:t>
      </w:r>
      <w:r>
        <w:rPr>
          <w:rFonts w:hint="eastAsia" w:ascii="仿宋_GB2312" w:eastAsia="仿宋_GB2312"/>
          <w:sz w:val="32"/>
          <w:szCs w:val="32"/>
        </w:rPr>
        <w:t>机关运行经费支出</w:t>
      </w:r>
      <w:r>
        <w:rPr>
          <w:sz w:val="32"/>
          <w:szCs w:val="32"/>
        </w:rPr>
        <w:t>67.44</w:t>
      </w:r>
      <w:r>
        <w:rPr>
          <w:rFonts w:hint="eastAsia" w:ascii="仿宋_GB2312" w:eastAsia="仿宋_GB2312"/>
          <w:sz w:val="32"/>
          <w:szCs w:val="32"/>
        </w:rPr>
        <w:t>万元，比2022年度增加</w:t>
      </w:r>
      <w:r>
        <w:rPr>
          <w:rFonts w:hint="eastAsia" w:ascii="仿宋_GB2312" w:eastAsia="仿宋_GB2312"/>
          <w:sz w:val="32"/>
          <w:szCs w:val="32"/>
          <w:lang w:val="en-US" w:eastAsia="zh-CN"/>
        </w:rPr>
        <w:t>8.75</w:t>
      </w:r>
      <w:r>
        <w:rPr>
          <w:rFonts w:hint="eastAsia" w:ascii="仿宋_GB2312" w:eastAsia="仿宋_GB2312"/>
          <w:sz w:val="32"/>
          <w:szCs w:val="32"/>
        </w:rPr>
        <w:t>万元，增长</w:t>
      </w:r>
      <w:r>
        <w:rPr>
          <w:rFonts w:hint="eastAsia" w:ascii="仿宋_GB2312" w:eastAsia="仿宋_GB2312"/>
          <w:sz w:val="32"/>
          <w:szCs w:val="32"/>
          <w:lang w:val="en-US" w:eastAsia="zh-CN"/>
        </w:rPr>
        <w:t>11.48</w:t>
      </w:r>
      <w:r>
        <w:rPr>
          <w:rFonts w:ascii="仿宋_GB2312" w:eastAsia="仿宋_GB2312"/>
          <w:sz w:val="32"/>
          <w:szCs w:val="32"/>
        </w:rPr>
        <w:t>%</w:t>
      </w:r>
      <w:r>
        <w:rPr>
          <w:rFonts w:hint="eastAsia" w:ascii="仿宋_GB2312" w:eastAsia="仿宋_GB2312"/>
          <w:sz w:val="32"/>
          <w:szCs w:val="32"/>
        </w:rPr>
        <w:t>。主要原因是</w:t>
      </w:r>
      <w:r>
        <w:rPr>
          <w:rFonts w:hint="eastAsia" w:ascii="方正仿宋_GBK" w:hAnsi="方正仿宋_GBK" w:eastAsia="方正仿宋_GBK" w:cs="方正仿宋_GBK"/>
          <w:sz w:val="32"/>
          <w:szCs w:val="32"/>
          <w:lang w:eastAsia="zh-CN"/>
        </w:rPr>
        <w:t>人员经费和业务工作经费增加。</w:t>
      </w:r>
    </w:p>
    <w:p w14:paraId="58EB31C8">
      <w:pPr>
        <w:autoSpaceDE w:val="0"/>
        <w:autoSpaceDN w:val="0"/>
        <w:adjustRightInd w:val="0"/>
        <w:spacing w:line="600" w:lineRule="exact"/>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14:paraId="45AA645D">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红原县市场监督管理局</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3D6545B3">
      <w:pPr>
        <w:autoSpaceDE w:val="0"/>
        <w:autoSpaceDN w:val="0"/>
        <w:adjustRightInd w:val="0"/>
        <w:spacing w:line="600" w:lineRule="exact"/>
        <w:jc w:val="left"/>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14:paraId="36C51F62">
      <w:pPr>
        <w:pStyle w:val="13"/>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eastAsia" w:ascii="方正仿宋_GBK" w:hAnsi="方正仿宋_GBK" w:eastAsia="方正仿宋_GBK" w:cs="方正仿宋_GBK"/>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红原县市场监督管理局</w:t>
      </w:r>
      <w:r>
        <w:rPr>
          <w:rFonts w:hint="eastAsia" w:ascii="仿宋_GB2312" w:eastAsia="仿宋_GB2312"/>
          <w:sz w:val="32"/>
          <w:szCs w:val="32"/>
        </w:rPr>
        <w:t>共有车辆</w:t>
      </w:r>
      <w:r>
        <w:rPr>
          <w:rFonts w:ascii="仿宋_GB2312" w:eastAsia="仿宋_GB2312"/>
          <w:sz w:val="32"/>
          <w:szCs w:val="32"/>
        </w:rPr>
        <w:t>4</w:t>
      </w:r>
      <w:r>
        <w:rPr>
          <w:rFonts w:hint="eastAsia" w:ascii="仿宋_GB2312" w:eastAsia="仿宋_GB2312"/>
          <w:sz w:val="32"/>
          <w:szCs w:val="32"/>
        </w:rPr>
        <w:t>辆，</w:t>
      </w:r>
      <w:r>
        <w:rPr>
          <w:rFonts w:hint="eastAsia" w:ascii="方正仿宋_GBK" w:hAnsi="方正仿宋_GBK" w:eastAsia="方正仿宋_GBK" w:cs="方正仿宋_GBK"/>
          <w:sz w:val="32"/>
          <w:szCs w:val="32"/>
        </w:rPr>
        <w:t>其中：</w:t>
      </w:r>
      <w:r>
        <w:rPr>
          <w:rFonts w:hint="eastAsia" w:ascii="方正仿宋_GBK" w:hAnsi="方正仿宋_GBK" w:eastAsia="方正仿宋_GBK" w:cs="方正仿宋_GBK"/>
          <w:sz w:val="32"/>
          <w:szCs w:val="32"/>
          <w:lang w:eastAsia="zh-CN"/>
        </w:rPr>
        <w:t>执法用车</w:t>
      </w:r>
      <w:r>
        <w:rPr>
          <w:rFonts w:hint="eastAsia" w:ascii="方正仿宋_GBK" w:hAnsi="方正仿宋_GBK" w:eastAsia="方正仿宋_GBK" w:cs="方正仿宋_GBK"/>
          <w:sz w:val="32"/>
          <w:szCs w:val="32"/>
          <w:lang w:val="en-US" w:eastAsia="zh-CN"/>
        </w:rPr>
        <w:t>3辆，特种设备用车1辆。</w:t>
      </w:r>
    </w:p>
    <w:p w14:paraId="33459AAC">
      <w:pPr>
        <w:autoSpaceDE w:val="0"/>
        <w:autoSpaceDN w:val="0"/>
        <w:adjustRightInd w:val="0"/>
        <w:spacing w:line="600" w:lineRule="exact"/>
        <w:jc w:val="left"/>
        <w:outlineLvl w:val="2"/>
        <w:rPr>
          <w:rFonts w:ascii="仿宋" w:hAnsi="仿宋" w:eastAsia="仿宋"/>
          <w:b/>
          <w:sz w:val="32"/>
          <w:szCs w:val="32"/>
        </w:rPr>
      </w:pPr>
      <w:r>
        <w:rPr>
          <w:rFonts w:hint="eastAsia" w:ascii="仿宋" w:hAnsi="仿宋" w:eastAsia="仿宋"/>
          <w:b/>
          <w:sz w:val="32"/>
          <w:szCs w:val="32"/>
        </w:rPr>
        <w:t>（四）预算绩效管理情况</w:t>
      </w:r>
    </w:p>
    <w:p w14:paraId="03866F5A">
      <w:pPr>
        <w:keepNext w:val="0"/>
        <w:keepLines w:val="0"/>
        <w:pageBreakBefore w:val="0"/>
        <w:widowControl/>
        <w:kinsoku/>
        <w:wordWrap/>
        <w:overflowPunct/>
        <w:topLinePunct w:val="0"/>
        <w:autoSpaceDE/>
        <w:autoSpaceDN/>
        <w:bidi w:val="0"/>
        <w:spacing w:line="576" w:lineRule="exact"/>
        <w:contextualSpacing/>
        <w:jc w:val="center"/>
        <w:textAlignment w:val="auto"/>
        <w:rPr>
          <w:rFonts w:hint="eastAsia" w:ascii="方正小标宋_GBK" w:hAnsi="方正小标宋_GBK" w:eastAsia="方正小标宋_GBK" w:cs="方正小标宋_GBK"/>
          <w:b w:val="0"/>
          <w:bCs/>
          <w:sz w:val="44"/>
          <w:szCs w:val="44"/>
          <w:shd w:val="clear" w:color="auto" w:fill="FFFFFF"/>
          <w:lang w:eastAsia="zh-CN"/>
        </w:rPr>
      </w:pPr>
      <w:r>
        <w:rPr>
          <w:rFonts w:hint="eastAsia" w:ascii="方正小标宋_GBK" w:hAnsi="方正小标宋_GBK" w:eastAsia="方正小标宋_GBK" w:cs="方正小标宋_GBK"/>
          <w:b w:val="0"/>
          <w:bCs/>
          <w:sz w:val="44"/>
          <w:szCs w:val="44"/>
          <w:shd w:val="clear" w:color="auto" w:fill="FFFFFF"/>
          <w:lang w:eastAsia="zh-CN"/>
        </w:rPr>
        <w:t>红原县市场监督管理局</w:t>
      </w:r>
    </w:p>
    <w:p w14:paraId="2C9AA09A">
      <w:pPr>
        <w:keepNext w:val="0"/>
        <w:keepLines w:val="0"/>
        <w:pageBreakBefore w:val="0"/>
        <w:widowControl/>
        <w:kinsoku/>
        <w:wordWrap/>
        <w:overflowPunct/>
        <w:topLinePunct w:val="0"/>
        <w:autoSpaceDE/>
        <w:autoSpaceDN/>
        <w:bidi w:val="0"/>
        <w:spacing w:line="576" w:lineRule="exact"/>
        <w:contextualSpacing/>
        <w:jc w:val="center"/>
        <w:textAlignment w:val="auto"/>
        <w:rPr>
          <w:rFonts w:hint="eastAsia" w:ascii="方正小标宋_GBK" w:hAnsi="方正小标宋_GBK" w:eastAsia="方正小标宋_GBK" w:cs="方正小标宋_GBK"/>
          <w:b w:val="0"/>
          <w:bCs/>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023</w:t>
      </w:r>
      <w:r>
        <w:rPr>
          <w:rFonts w:hint="eastAsia" w:ascii="方正小标宋_GBK" w:hAnsi="方正小标宋_GBK" w:eastAsia="方正小标宋_GBK" w:cs="方正小标宋_GBK"/>
          <w:b w:val="0"/>
          <w:bCs/>
          <w:sz w:val="44"/>
          <w:szCs w:val="44"/>
          <w:shd w:val="clear" w:color="auto" w:fill="FFFFFF"/>
        </w:rPr>
        <w:t>年</w:t>
      </w:r>
      <w:r>
        <w:rPr>
          <w:rFonts w:hint="eastAsia" w:ascii="方正小标宋_GBK" w:hAnsi="方正小标宋_GBK" w:eastAsia="方正小标宋_GBK" w:cs="方正小标宋_GBK"/>
          <w:b w:val="0"/>
          <w:bCs/>
          <w:sz w:val="44"/>
          <w:szCs w:val="44"/>
          <w:shd w:val="clear" w:color="auto" w:fill="FFFFFF"/>
          <w:lang w:eastAsia="zh-CN"/>
        </w:rPr>
        <w:t>度</w:t>
      </w:r>
      <w:r>
        <w:rPr>
          <w:rFonts w:hint="eastAsia" w:ascii="方正小标宋_GBK" w:hAnsi="方正小标宋_GBK" w:eastAsia="方正小标宋_GBK" w:cs="方正小标宋_GBK"/>
          <w:b w:val="0"/>
          <w:bCs/>
          <w:sz w:val="44"/>
          <w:szCs w:val="44"/>
          <w:shd w:val="clear" w:color="auto" w:fill="FFFFFF"/>
        </w:rPr>
        <w:t>部门整体支出绩效评价</w:t>
      </w: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14:paraId="202F21C0">
      <w:pPr>
        <w:keepNext w:val="0"/>
        <w:keepLines w:val="0"/>
        <w:pageBreakBefore w:val="0"/>
        <w:widowControl/>
        <w:kinsoku/>
        <w:wordWrap/>
        <w:overflowPunct/>
        <w:topLinePunct w:val="0"/>
        <w:autoSpaceDE/>
        <w:autoSpaceDN/>
        <w:bidi w:val="0"/>
        <w:adjustRightInd w:val="0"/>
        <w:snapToGrid w:val="0"/>
        <w:spacing w:line="576" w:lineRule="exact"/>
        <w:ind w:firstLine="480" w:firstLineChars="200"/>
        <w:contextualSpacing/>
        <w:jc w:val="left"/>
        <w:textAlignment w:val="auto"/>
        <w:rPr>
          <w:rFonts w:ascii="黑体" w:hAnsi="宋体" w:eastAsia="黑体" w:cs="宋体"/>
          <w:color w:val="000000"/>
          <w:kern w:val="0"/>
          <w:sz w:val="24"/>
          <w:szCs w:val="32"/>
          <w:shd w:val="clear" w:color="auto" w:fill="FFFFFF"/>
        </w:rPr>
      </w:pPr>
    </w:p>
    <w:p w14:paraId="4343039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zh-CN"/>
        </w:rPr>
        <w:t>部门（单位）概况</w:t>
      </w:r>
    </w:p>
    <w:p w14:paraId="03121BC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方正楷体_GBK" w:hAnsi="方正楷体_GBK" w:eastAsia="方正楷体_GBK" w:cs="方正楷体_GBK"/>
          <w:b/>
          <w:bCs/>
          <w:sz w:val="32"/>
          <w:szCs w:val="32"/>
          <w:lang w:val="zh-CN"/>
        </w:rPr>
      </w:pPr>
      <w:r>
        <w:rPr>
          <w:rFonts w:hint="eastAsia" w:ascii="方正楷体_GBK" w:hAnsi="方正楷体_GBK" w:eastAsia="方正楷体_GBK" w:cs="方正楷体_GBK"/>
          <w:b/>
          <w:bCs/>
          <w:sz w:val="32"/>
          <w:szCs w:val="32"/>
          <w:lang w:val="zh-CN"/>
        </w:rPr>
        <w:t>（一）机构组成</w:t>
      </w:r>
    </w:p>
    <w:p w14:paraId="387F1160">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我单位独立编制单位机构1个，独立核算机构1个。</w:t>
      </w:r>
    </w:p>
    <w:p w14:paraId="4D7215A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方正楷体_GBK" w:hAnsi="方正楷体_GBK" w:eastAsia="方正楷体_GBK" w:cs="方正楷体_GBK"/>
          <w:b/>
          <w:bCs/>
          <w:sz w:val="32"/>
          <w:szCs w:val="32"/>
          <w:lang w:val="zh-CN"/>
        </w:rPr>
      </w:pPr>
      <w:r>
        <w:rPr>
          <w:rFonts w:hint="default" w:ascii="方正楷体_GBK" w:hAnsi="方正楷体_GBK" w:eastAsia="方正楷体_GBK" w:cs="方正楷体_GBK"/>
          <w:b/>
          <w:bCs/>
          <w:sz w:val="32"/>
          <w:szCs w:val="32"/>
          <w:lang w:val="zh-CN"/>
        </w:rPr>
        <w:t>（二）机构职能</w:t>
      </w:r>
    </w:p>
    <w:p w14:paraId="1FC796F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val="en-US" w:eastAsia="zh-CN"/>
        </w:rPr>
        <w:t>1.</w:t>
      </w:r>
      <w:r>
        <w:rPr>
          <w:rFonts w:hint="eastAsia" w:ascii="Times New Roman" w:hAnsi="Times New Roman" w:eastAsia="方正仿宋_GBK" w:cs="Times New Roman"/>
          <w:b/>
          <w:bCs/>
          <w:sz w:val="32"/>
          <w:szCs w:val="32"/>
        </w:rPr>
        <w:t>负责全县市场综合监督管理工作。</w:t>
      </w:r>
      <w:r>
        <w:rPr>
          <w:rFonts w:hint="default" w:ascii="Times New Roman" w:hAnsi="Times New Roman" w:eastAsia="方正仿宋_GBK" w:cs="Times New Roman"/>
          <w:sz w:val="32"/>
          <w:szCs w:val="32"/>
        </w:rPr>
        <w:t>组织实施质量强县、食品安全、标准化和知识产权战略，拟订并组织实施全县食品安全等规划，规范和维护市场秩序，营造诚实守信、公平竞争的市场环境。</w:t>
      </w:r>
    </w:p>
    <w:p w14:paraId="2464F42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2.负责全县市场主体统一登记注册。</w:t>
      </w:r>
      <w:r>
        <w:rPr>
          <w:rFonts w:hint="default" w:ascii="Times New Roman" w:hAnsi="Times New Roman" w:eastAsia="方正仿宋_GBK" w:cs="Times New Roman"/>
          <w:sz w:val="32"/>
          <w:szCs w:val="32"/>
        </w:rPr>
        <w:t>负责全县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14:paraId="0E39F5C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3.负责组织和指导全县市场监督管理综合执法工作。</w:t>
      </w:r>
      <w:r>
        <w:rPr>
          <w:rFonts w:hint="default" w:ascii="Times New Roman" w:hAnsi="Times New Roman" w:eastAsia="方正仿宋_GBK" w:cs="Times New Roman"/>
          <w:sz w:val="32"/>
          <w:szCs w:val="32"/>
        </w:rPr>
        <w:t>负责全县市场监管综合执法队伍整合和建设，推动实行统一的市场监管。组织查处和督办大案要案、疑难案件、跨区域案件。规范市场监督管理行政执法行为。</w:t>
      </w:r>
    </w:p>
    <w:p w14:paraId="3044357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4.负责全县反垄断统一执法。</w:t>
      </w:r>
      <w:r>
        <w:rPr>
          <w:rFonts w:hint="default" w:ascii="Times New Roman" w:hAnsi="Times New Roman" w:eastAsia="方正仿宋_GBK" w:cs="Times New Roman"/>
          <w:sz w:val="32"/>
          <w:szCs w:val="32"/>
        </w:rPr>
        <w:t>统筹推进竞争政策实施，按照权限指导实施公平竞争审查制度。依法依授权对经营者集中行为进行反垄断审查，负责垄断协议、滥用市场支配地位和滥用行政权力排除、限制竞争等反垄断执法工作。指导在县企业在国外的反垄断应诉工作。</w:t>
      </w:r>
    </w:p>
    <w:p w14:paraId="5676AEE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5.负责监督管理全县市场秩序。</w:t>
      </w:r>
      <w:r>
        <w:rPr>
          <w:rFonts w:hint="default" w:ascii="Times New Roman" w:hAnsi="Times New Roman" w:eastAsia="方正仿宋_GBK" w:cs="Times New Roman"/>
          <w:sz w:val="32"/>
          <w:szCs w:val="32"/>
        </w:rPr>
        <w:t>依法监督管理市场交易、网络商品交易及有关服务的行为。组织指导查处价格收费违法违规、不正当竞争、违法直销、传销、侵犯商标专利知识产权和制售假冒伪劣行为。指导广告业发展，监督管理广告活动。依法查处无照生产经营和相关无证生产经营行为。依法开展消费者权益保护工作。建设12315行政执法体系。指导县保护消费者权益委员会开展工作。</w:t>
      </w:r>
    </w:p>
    <w:p w14:paraId="73D0AEC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6.负责全县宏观质量管理。</w:t>
      </w:r>
      <w:r>
        <w:rPr>
          <w:rFonts w:hint="default" w:ascii="Times New Roman" w:hAnsi="Times New Roman" w:eastAsia="方正仿宋_GBK" w:cs="Times New Roman"/>
          <w:sz w:val="32"/>
          <w:szCs w:val="32"/>
        </w:rPr>
        <w:t>组织实施质量发展的制度措施。统筹全县质量基础设施建设与应用。会同有关部门组织实施重大工程设备质量监理制度，组织产品质量事故调查，贯彻实施缺陷产品召回制度，监督管理产品防伪工作。</w:t>
      </w:r>
    </w:p>
    <w:p w14:paraId="2D590F9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7.负责全县产品质量安全监督管理。</w:t>
      </w:r>
      <w:r>
        <w:rPr>
          <w:rFonts w:hint="default" w:ascii="Times New Roman" w:hAnsi="Times New Roman" w:eastAsia="方正仿宋_GBK" w:cs="Times New Roman"/>
          <w:sz w:val="32"/>
          <w:szCs w:val="32"/>
        </w:rPr>
        <w:t>负责产品质量监督抽查和风险监控工作，组织实施质量分级制度、质量安全追溯制度。在权限和职责范围内负责工业产品生产许可管理。负责纤维质量监督工作。</w:t>
      </w:r>
    </w:p>
    <w:p w14:paraId="1DDA7A3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8.负责全县特种设备安全监督管理。</w:t>
      </w:r>
      <w:r>
        <w:rPr>
          <w:rFonts w:hint="default" w:ascii="Times New Roman" w:hAnsi="Times New Roman" w:eastAsia="方正仿宋_GBK" w:cs="Times New Roman"/>
          <w:sz w:val="32"/>
          <w:szCs w:val="32"/>
        </w:rPr>
        <w:t>综合管理特种设备安全监察、监督工作，监督检查高耗能特种设备节能标准和锅炉产品环境保护标准的执行情况。</w:t>
      </w:r>
    </w:p>
    <w:p w14:paraId="47E327A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9.负责全县食品安全监督管理综合协调。</w:t>
      </w:r>
      <w:r>
        <w:rPr>
          <w:rFonts w:hint="default" w:ascii="Times New Roman" w:hAnsi="Times New Roman" w:eastAsia="方正仿宋_GBK" w:cs="Times New Roman"/>
          <w:sz w:val="32"/>
          <w:szCs w:val="32"/>
        </w:rPr>
        <w:t>统筹指导全县食品安全工作。负责食品安全应急体系建设，组织指导食品安全事件应急处置和调查处理工作。建立健全食品安全重要信息直报制度。承担县食品安全委员会日常工作。</w:t>
      </w:r>
    </w:p>
    <w:p w14:paraId="56E4A79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10.负责全县食品安全监督管理。</w:t>
      </w:r>
      <w:r>
        <w:rPr>
          <w:rFonts w:hint="default" w:ascii="Times New Roman" w:hAnsi="Times New Roman" w:eastAsia="方正仿宋_GBK" w:cs="Times New Roman"/>
          <w:sz w:val="32"/>
          <w:szCs w:val="32"/>
        </w:rPr>
        <w:t>建立覆盖食品生产、流通、消费全过程的监督检查制度和隐患排查治理机制并组织实施，防范区域性、系统性食品安全风险。推动建立食品生产经营者落实主体责任机制，健全食品安全追溯体系。指导督促食品生产经营企业的安全生产工作，组织开展食品安全监督抽检、风险监测、核查处置和风险预警、风险交流工作。组织实施特殊食品生产、流通、使用的监督管理。</w:t>
      </w:r>
    </w:p>
    <w:p w14:paraId="6D2CA64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11.负责全县药品（含中药、民族药，下同）、医疗器械和化妆品安全监督管理。</w:t>
      </w:r>
      <w:r>
        <w:rPr>
          <w:rFonts w:hint="default" w:ascii="Times New Roman" w:hAnsi="Times New Roman" w:eastAsia="方正仿宋_GBK" w:cs="Times New Roman"/>
          <w:sz w:val="32"/>
          <w:szCs w:val="32"/>
        </w:rPr>
        <w:t>贯彻执行国家有关药品、医疗器械和化妆品监督管理的方针政策和法律法规。贯彻落实国家鼓励药品、医疗器械和化妆品新技术新产品的管理与服务政策。</w:t>
      </w:r>
    </w:p>
    <w:p w14:paraId="2B522F2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12.</w:t>
      </w:r>
      <w:r>
        <w:rPr>
          <w:rFonts w:hint="default" w:ascii="Times New Roman" w:hAnsi="Times New Roman" w:eastAsia="方正仿宋_GBK" w:cs="Times New Roman"/>
          <w:b/>
          <w:bCs/>
          <w:sz w:val="32"/>
          <w:szCs w:val="32"/>
        </w:rPr>
        <w:t>负责全县药品、医疗器械和化妆品标准执行管理。</w:t>
      </w:r>
      <w:r>
        <w:rPr>
          <w:rFonts w:hint="default" w:ascii="Times New Roman" w:hAnsi="Times New Roman" w:eastAsia="方正仿宋_GBK" w:cs="Times New Roman"/>
          <w:sz w:val="32"/>
          <w:szCs w:val="32"/>
        </w:rPr>
        <w:t>监督实施全县药品、医疗器械、化妆品标准和分类管理制度。配合实施国家基本药物制度。</w:t>
      </w:r>
    </w:p>
    <w:p w14:paraId="57942BB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13.</w:t>
      </w:r>
      <w:r>
        <w:rPr>
          <w:rFonts w:hint="default" w:ascii="Times New Roman" w:hAnsi="Times New Roman" w:eastAsia="方正仿宋_GBK" w:cs="Times New Roman"/>
          <w:b/>
          <w:bCs/>
          <w:sz w:val="32"/>
          <w:szCs w:val="32"/>
        </w:rPr>
        <w:t>负责全县药品、医疗器械和化妆品质量管理。</w:t>
      </w:r>
      <w:r>
        <w:rPr>
          <w:rFonts w:hint="default" w:ascii="Times New Roman" w:hAnsi="Times New Roman" w:eastAsia="方正仿宋_GBK" w:cs="Times New Roman"/>
          <w:sz w:val="32"/>
          <w:szCs w:val="32"/>
        </w:rPr>
        <w:t>依法依授权监督实施药品、医疗器械生产、经营、使用质量管理规范。</w:t>
      </w:r>
    </w:p>
    <w:p w14:paraId="4B158AE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14.负责全县药品、医疗器械和化妆品监督管理。负责药品、医疗器械、化妆品日常监督检查。</w:t>
      </w:r>
      <w:r>
        <w:rPr>
          <w:rFonts w:hint="default" w:ascii="Times New Roman" w:hAnsi="Times New Roman" w:eastAsia="方正仿宋_GBK" w:cs="Times New Roman"/>
          <w:sz w:val="32"/>
          <w:szCs w:val="32"/>
        </w:rPr>
        <w:t>依法依授权查处药品、医疗器械和化妆品生产、销售、使用的违法行为。依法承担药品、医疗器械和化妆品安全应急管理和投诉举报处置工作。</w:t>
      </w:r>
    </w:p>
    <w:p w14:paraId="76B89FF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15.负责全县药品、医疗器械和化妆品风险管理。</w:t>
      </w:r>
      <w:r>
        <w:rPr>
          <w:rFonts w:hint="default" w:ascii="Times New Roman" w:hAnsi="Times New Roman" w:eastAsia="方正仿宋_GBK" w:cs="Times New Roman"/>
          <w:sz w:val="32"/>
          <w:szCs w:val="32"/>
        </w:rPr>
        <w:t>组织开展药品不良反应、医疗器械不良事件和化妆品不良反应的监测、评价和处置工作。依法承担药品、医疗器械和化妆品安全应急管理和投诉举报处置工作。</w:t>
      </w:r>
    </w:p>
    <w:p w14:paraId="0490A42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16.依法依授权承担我县执业药师注册管理工作，贯彻执行执业药师其他相关管理制度。</w:t>
      </w:r>
    </w:p>
    <w:p w14:paraId="086D9FE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17.负责统一管理全县计量工作。</w:t>
      </w:r>
      <w:r>
        <w:rPr>
          <w:rFonts w:hint="default" w:ascii="Times New Roman" w:hAnsi="Times New Roman" w:eastAsia="方正仿宋_GBK" w:cs="Times New Roman"/>
          <w:sz w:val="32"/>
          <w:szCs w:val="32"/>
        </w:rPr>
        <w:t>推行法定计量单位，执行国家计量制度，管理计量器具及量值传递和比对工作。规范、监督商品量和计量行为。</w:t>
      </w:r>
    </w:p>
    <w:p w14:paraId="2930029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18.负责统一管理全县标准化工作。</w:t>
      </w:r>
      <w:r>
        <w:rPr>
          <w:rFonts w:hint="default" w:ascii="Times New Roman" w:hAnsi="Times New Roman" w:eastAsia="方正仿宋_GBK" w:cs="Times New Roman"/>
          <w:sz w:val="32"/>
          <w:szCs w:val="32"/>
        </w:rPr>
        <w:t>依法承担地方标准立项、编号和发布等工作，协调指导地方标准、团体标准制定工作，依法对标准制定和实施情况开展监督。</w:t>
      </w:r>
    </w:p>
    <w:p w14:paraId="5F03A09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19.负责统一管理全县检验检测工作。</w:t>
      </w:r>
      <w:r>
        <w:rPr>
          <w:rFonts w:hint="default" w:ascii="Times New Roman" w:hAnsi="Times New Roman" w:eastAsia="方正仿宋_GBK" w:cs="Times New Roman"/>
          <w:sz w:val="32"/>
          <w:szCs w:val="32"/>
        </w:rPr>
        <w:t>规范检验检测市场，完善检验检测体系，指导协调检验检测行业发展。</w:t>
      </w:r>
    </w:p>
    <w:p w14:paraId="3153DC9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20.负责统一管理全县认证认可工作。</w:t>
      </w:r>
      <w:r>
        <w:rPr>
          <w:rFonts w:hint="default" w:ascii="Times New Roman" w:hAnsi="Times New Roman" w:eastAsia="方正仿宋_GBK" w:cs="Times New Roman"/>
          <w:sz w:val="32"/>
          <w:szCs w:val="32"/>
        </w:rPr>
        <w:t>监督管理认证认可和合格评定工作。</w:t>
      </w:r>
    </w:p>
    <w:p w14:paraId="1C20ACB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21.负责市场监督管理科技和信息化建设、新闻宣传。</w:t>
      </w:r>
    </w:p>
    <w:p w14:paraId="1416263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22.负责全县知识产权监督管理。</w:t>
      </w:r>
      <w:r>
        <w:rPr>
          <w:rFonts w:hint="default" w:ascii="Times New Roman" w:hAnsi="Times New Roman" w:eastAsia="方正仿宋_GBK" w:cs="Times New Roman"/>
          <w:sz w:val="32"/>
          <w:szCs w:val="32"/>
        </w:rPr>
        <w:t>贯彻落实国家、省、州知识产权战略、法规，拟订全县知识产权规划，负责知识产权的保护，负责组织实施商标、专利执法工作。</w:t>
      </w:r>
    </w:p>
    <w:p w14:paraId="18CE7EF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23.负责促进全县民营经济发展。</w:t>
      </w:r>
      <w:r>
        <w:rPr>
          <w:rFonts w:hint="default" w:ascii="Times New Roman" w:hAnsi="Times New Roman" w:eastAsia="方正仿宋_GBK" w:cs="Times New Roman"/>
          <w:sz w:val="32"/>
          <w:szCs w:val="32"/>
        </w:rPr>
        <w:t>负责全县民营经济发展工作的任务制定、调查研究、统筹协调、督促落实及民营企业合法权益维护。在县委组织部指导下，指导全县市场监督管理部门配合党委组织部门开展小微企业、个体工商户、专业市场的党建工作。</w:t>
      </w:r>
    </w:p>
    <w:p w14:paraId="6B5CBAA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24.负责职责范围内的安全生产和职业健康、生态环境保护、应急联动、审批服务便民化等工作。</w:t>
      </w:r>
    </w:p>
    <w:p w14:paraId="7E12071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25.完成县委、县政府交办的其他任务。</w:t>
      </w:r>
    </w:p>
    <w:p w14:paraId="3CFF160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方正楷体_GBK" w:hAnsi="方正楷体_GBK" w:eastAsia="方正楷体_GBK" w:cs="方正楷体_GBK"/>
          <w:b/>
          <w:bCs/>
          <w:sz w:val="32"/>
          <w:szCs w:val="32"/>
          <w:lang w:val="zh-CN"/>
        </w:rPr>
      </w:pPr>
      <w:r>
        <w:rPr>
          <w:rFonts w:hint="default" w:ascii="方正楷体_GBK" w:hAnsi="方正楷体_GBK" w:eastAsia="方正楷体_GBK" w:cs="方正楷体_GBK"/>
          <w:b/>
          <w:bCs/>
          <w:sz w:val="32"/>
          <w:szCs w:val="32"/>
          <w:lang w:val="zh-CN"/>
        </w:rPr>
        <w:t>（三）人员概况</w:t>
      </w:r>
    </w:p>
    <w:p w14:paraId="202D5746">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红原县市场监督管理局属于一级预算单位，其中内设机构4个，下设所3个，下属二级单位2个，其中行政单位0个，参照公务员法管理的事业单位0个，其他事业单位2个。</w:t>
      </w:r>
    </w:p>
    <w:p w14:paraId="5DD3A7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黑体_GBK" w:hAnsi="方正黑体_GBK" w:eastAsia="方正黑体_GBK" w:cs="方正黑体_GBK"/>
          <w:sz w:val="32"/>
          <w:szCs w:val="32"/>
          <w:lang w:val="zh-CN"/>
        </w:rPr>
      </w:pPr>
      <w:r>
        <w:rPr>
          <w:rFonts w:hint="default" w:ascii="方正黑体_GBK" w:hAnsi="方正黑体_GBK" w:eastAsia="方正黑体_GBK" w:cs="方正黑体_GBK"/>
          <w:sz w:val="32"/>
          <w:szCs w:val="32"/>
          <w:lang w:val="zh-CN"/>
        </w:rPr>
        <w:t>二、部门财政资金收支情况</w:t>
      </w:r>
    </w:p>
    <w:p w14:paraId="43B0C8B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方正楷体_GBK" w:hAnsi="方正楷体_GBK" w:eastAsia="方正楷体_GBK" w:cs="方正楷体_GBK"/>
          <w:b/>
          <w:bCs/>
          <w:sz w:val="32"/>
          <w:szCs w:val="32"/>
          <w:lang w:val="zh-CN"/>
        </w:rPr>
      </w:pPr>
      <w:r>
        <w:rPr>
          <w:rFonts w:hint="eastAsia" w:ascii="方正楷体_GBK" w:hAnsi="方正楷体_GBK" w:eastAsia="方正楷体_GBK" w:cs="方正楷体_GBK"/>
          <w:b/>
          <w:bCs/>
          <w:sz w:val="32"/>
          <w:szCs w:val="32"/>
          <w:lang w:val="zh-CN"/>
        </w:rPr>
        <w:t>（一）部门财政资金收入情况</w:t>
      </w:r>
    </w:p>
    <w:p w14:paraId="10C6770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2023年收入997.29万元，其中：一般公共预算财政拨款收入997.29万元。</w:t>
      </w:r>
    </w:p>
    <w:p w14:paraId="197AD64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方正楷体_GBK" w:hAnsi="方正楷体_GBK" w:eastAsia="方正楷体_GBK" w:cs="方正楷体_GBK"/>
          <w:b/>
          <w:bCs/>
          <w:sz w:val="32"/>
          <w:szCs w:val="32"/>
          <w:lang w:val="zh-CN"/>
        </w:rPr>
      </w:pPr>
      <w:r>
        <w:rPr>
          <w:rFonts w:hint="eastAsia" w:ascii="方正楷体_GBK" w:hAnsi="方正楷体_GBK" w:eastAsia="方正楷体_GBK" w:cs="方正楷体_GBK"/>
          <w:b/>
          <w:bCs/>
          <w:sz w:val="32"/>
          <w:szCs w:val="32"/>
          <w:lang w:val="zh-CN"/>
        </w:rPr>
        <w:t>（二）</w:t>
      </w:r>
      <w:r>
        <w:rPr>
          <w:rFonts w:hint="default" w:ascii="方正楷体_GBK" w:hAnsi="方正楷体_GBK" w:eastAsia="方正楷体_GBK" w:cs="方正楷体_GBK"/>
          <w:b/>
          <w:bCs/>
          <w:sz w:val="32"/>
          <w:szCs w:val="32"/>
          <w:lang w:val="zh-CN"/>
        </w:rPr>
        <w:t>部门财政资金支出情况</w:t>
      </w:r>
    </w:p>
    <w:p w14:paraId="323BE927">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2023年一般公共预算财政拨款支出997.29万元。主要用于以下方面: 其中基本工资142.06万元，津补贴243.19万元，奖金191.12万元，绩效工资11.90万元，机关事业单位基本养老保险缴费75.71万元，职业年金缴费37.86万元，职工基本医疗缴费36.60万元，公务员医疗补助缴费12.42万元，其他社会保障缴费7.74万元，住房公积金55.96万元，医疗费4.9万元，办公费97.89万元，印刷费0万元，水费0.17万元，电费2万元，邮电费3万元，取暖费0万元，差旅费9.13万元，维修（护）费0万元，培训费2.66万元，劳务费0.35万元，公务接待费0.62万元，委托业务18.9万元，公务用车运行维护费18.39万元，专用材料费0万元，工会经费5.90万元，生活补助11.78万元，医疗补助2.04万元，奖励金0万元，办公设备购置费0万元，对企业的费用补助5万元。</w:t>
      </w:r>
    </w:p>
    <w:p w14:paraId="798FE82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黑体_GBK" w:hAnsi="方正黑体_GBK" w:eastAsia="方正黑体_GBK" w:cs="方正黑体_GBK"/>
          <w:sz w:val="32"/>
          <w:szCs w:val="32"/>
          <w:lang w:val="zh-CN"/>
        </w:rPr>
      </w:pPr>
      <w:r>
        <w:rPr>
          <w:rFonts w:hint="default" w:ascii="方正黑体_GBK" w:hAnsi="方正黑体_GBK" w:eastAsia="方正黑体_GBK" w:cs="方正黑体_GBK"/>
          <w:sz w:val="32"/>
          <w:szCs w:val="32"/>
          <w:lang w:val="en-US" w:eastAsia="zh-CN"/>
        </w:rPr>
        <w:t xml:space="preserve"> </w:t>
      </w:r>
      <w:r>
        <w:rPr>
          <w:rFonts w:hint="default" w:ascii="方正黑体_GBK" w:hAnsi="方正黑体_GBK" w:eastAsia="方正黑体_GBK" w:cs="方正黑体_GBK"/>
          <w:sz w:val="32"/>
          <w:szCs w:val="32"/>
          <w:lang w:val="zh-CN"/>
        </w:rPr>
        <w:t>三、部门整体预算绩效管理情况</w:t>
      </w:r>
    </w:p>
    <w:p w14:paraId="4154E1B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方正楷体_GBK" w:hAnsi="方正楷体_GBK" w:eastAsia="方正楷体_GBK" w:cs="方正楷体_GBK"/>
          <w:b/>
          <w:bCs/>
          <w:sz w:val="32"/>
          <w:szCs w:val="32"/>
          <w:lang w:val="zh-CN" w:eastAsia="zh-CN"/>
        </w:rPr>
      </w:pPr>
      <w:r>
        <w:rPr>
          <w:rFonts w:hint="default" w:ascii="方正楷体_GBK" w:hAnsi="方正楷体_GBK" w:eastAsia="方正楷体_GBK" w:cs="方正楷体_GBK"/>
          <w:b/>
          <w:bCs/>
          <w:sz w:val="32"/>
          <w:szCs w:val="32"/>
          <w:lang w:val="zh-CN" w:eastAsia="zh-CN"/>
        </w:rPr>
        <w:t>（一）预算编制情况</w:t>
      </w:r>
    </w:p>
    <w:p w14:paraId="7E0C975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我单位严格按照相关编制要求、编制程序及时组织财务人员进行部门预算编制。对本年度预算款项进行及时清理和处理，做到账账相符、账实相符、账证相符,按先有预算再有支出的原则，及时处理相关事务；对绩效目标进行季度梳理和年度分析，及时上报相关报表；对专项预算提前细化，分科目上报，做到收支平衡。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lang w:val="zh-CN" w:eastAsia="zh-CN"/>
        </w:rPr>
        <w:t>年收入预算总额为</w:t>
      </w:r>
      <w:r>
        <w:rPr>
          <w:rFonts w:hint="default" w:ascii="Times New Roman" w:hAnsi="Times New Roman" w:eastAsia="方正仿宋_GBK" w:cs="Times New Roman"/>
          <w:sz w:val="32"/>
          <w:szCs w:val="32"/>
          <w:lang w:val="en-US" w:eastAsia="zh-CN"/>
        </w:rPr>
        <w:t>1050.44</w:t>
      </w:r>
      <w:r>
        <w:rPr>
          <w:rFonts w:hint="default" w:ascii="Times New Roman" w:hAnsi="Times New Roman" w:eastAsia="方正仿宋_GBK" w:cs="Times New Roman"/>
          <w:sz w:val="32"/>
          <w:szCs w:val="32"/>
          <w:lang w:val="zh-CN" w:eastAsia="zh-CN"/>
        </w:rPr>
        <w:t>万元。</w:t>
      </w:r>
    </w:p>
    <w:p w14:paraId="7C51616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lang w:val="zh-CN" w:eastAsia="zh-CN"/>
        </w:rPr>
      </w:pPr>
      <w:r>
        <w:rPr>
          <w:rFonts w:hint="default" w:ascii="方正楷体_GBK" w:hAnsi="方正楷体_GBK" w:eastAsia="方正楷体_GBK" w:cs="方正楷体_GBK"/>
          <w:b/>
          <w:bCs/>
          <w:sz w:val="32"/>
          <w:szCs w:val="32"/>
          <w:lang w:val="zh-CN" w:eastAsia="zh-CN"/>
        </w:rPr>
        <w:t>（二）执行管理情况</w:t>
      </w:r>
      <w:r>
        <w:rPr>
          <w:rFonts w:hint="default" w:ascii="Times New Roman" w:hAnsi="Times New Roman" w:eastAsia="方正仿宋_GBK" w:cs="Times New Roman"/>
          <w:sz w:val="32"/>
          <w:szCs w:val="32"/>
          <w:lang w:val="zh-CN" w:eastAsia="zh-CN"/>
        </w:rPr>
        <w:tab/>
      </w:r>
    </w:p>
    <w:p w14:paraId="16DCE61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我单位按照县财政的要求，及时上报相应计划，待财政审核通过后，严格按计划执行，各季度执行情况良好。20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lang w:val="zh-CN" w:eastAsia="zh-CN"/>
        </w:rPr>
        <w:t>年支出总额控制在预算总额以内，除专项预算的追加和政策性工资绩效预算的追加外，未进行预算相关事项的调整。截止20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lang w:val="zh-CN" w:eastAsia="zh-CN"/>
        </w:rPr>
        <w:t>年底支出总额控制在预算总额以内，未进行相关事项的调整追加和调整。</w:t>
      </w:r>
    </w:p>
    <w:p w14:paraId="02C34A89">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zh-CN" w:eastAsia="zh-CN"/>
        </w:rPr>
        <w:tab/>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zh-CN" w:eastAsia="zh-CN"/>
        </w:rPr>
        <w:t>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lang w:val="zh-CN" w:eastAsia="zh-CN"/>
        </w:rPr>
        <w:t>年支出决算数为</w:t>
      </w:r>
      <w:r>
        <w:rPr>
          <w:rFonts w:hint="default" w:ascii="Times New Roman" w:hAnsi="Times New Roman" w:eastAsia="方正仿宋_GBK" w:cs="Times New Roman"/>
          <w:sz w:val="32"/>
          <w:szCs w:val="32"/>
          <w:lang w:val="en-US" w:eastAsia="zh-CN"/>
        </w:rPr>
        <w:t>997.29</w:t>
      </w:r>
      <w:r>
        <w:rPr>
          <w:rFonts w:hint="default" w:ascii="Times New Roman" w:hAnsi="Times New Roman" w:eastAsia="方正仿宋_GBK" w:cs="Times New Roman"/>
          <w:sz w:val="32"/>
          <w:szCs w:val="32"/>
          <w:lang w:val="zh-CN" w:eastAsia="zh-CN"/>
        </w:rPr>
        <w:t>万元，完成预算</w:t>
      </w:r>
      <w:r>
        <w:rPr>
          <w:rFonts w:hint="default" w:ascii="Times New Roman" w:hAnsi="Times New Roman" w:eastAsia="方正仿宋_GBK" w:cs="Times New Roman"/>
          <w:sz w:val="32"/>
          <w:szCs w:val="32"/>
          <w:lang w:val="en-US" w:eastAsia="zh-CN"/>
        </w:rPr>
        <w:t>94.94</w:t>
      </w:r>
      <w:r>
        <w:rPr>
          <w:rFonts w:hint="default" w:ascii="Times New Roman" w:hAnsi="Times New Roman" w:eastAsia="方正仿宋_GBK" w:cs="Times New Roman"/>
          <w:sz w:val="32"/>
          <w:szCs w:val="32"/>
          <w:lang w:val="zh-CN" w:eastAsia="zh-CN"/>
        </w:rPr>
        <w:t>%。其中：</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zh-CN" w:eastAsia="zh-CN"/>
        </w:rPr>
        <w:t>一般公共服务支出（</w:t>
      </w:r>
      <w:r>
        <w:rPr>
          <w:rFonts w:hint="default" w:ascii="Times New Roman" w:hAnsi="Times New Roman" w:eastAsia="方正仿宋_GBK" w:cs="Times New Roman"/>
          <w:sz w:val="32"/>
          <w:szCs w:val="32"/>
          <w:lang w:val="en-US" w:eastAsia="zh-CN"/>
        </w:rPr>
        <w:t>201</w:t>
      </w:r>
      <w:r>
        <w:rPr>
          <w:rFonts w:hint="default" w:ascii="Times New Roman" w:hAnsi="Times New Roman" w:eastAsia="方正仿宋_GBK" w:cs="Times New Roman"/>
          <w:sz w:val="32"/>
          <w:szCs w:val="32"/>
          <w:lang w:val="zh-CN" w:eastAsia="zh-CN"/>
        </w:rPr>
        <w:t>）决算为</w:t>
      </w:r>
      <w:r>
        <w:rPr>
          <w:rFonts w:hint="default" w:ascii="Times New Roman" w:hAnsi="Times New Roman" w:eastAsia="方正仿宋_GBK" w:cs="Times New Roman"/>
          <w:sz w:val="32"/>
          <w:szCs w:val="32"/>
          <w:lang w:val="en-US" w:eastAsia="zh-CN"/>
        </w:rPr>
        <w:t>778.74</w:t>
      </w:r>
      <w:r>
        <w:rPr>
          <w:rFonts w:hint="default" w:ascii="Times New Roman" w:hAnsi="Times New Roman" w:eastAsia="方正仿宋_GBK" w:cs="Times New Roman"/>
          <w:sz w:val="32"/>
          <w:szCs w:val="32"/>
          <w:lang w:val="zh-CN" w:eastAsia="zh-CN"/>
        </w:rPr>
        <w:t>万元，完成预算</w:t>
      </w:r>
      <w:r>
        <w:rPr>
          <w:rFonts w:hint="default" w:ascii="Times New Roman" w:hAnsi="Times New Roman" w:eastAsia="方正仿宋_GBK" w:cs="Times New Roman"/>
          <w:sz w:val="32"/>
          <w:szCs w:val="32"/>
          <w:lang w:val="en-US" w:eastAsia="zh-CN"/>
        </w:rPr>
        <w:t>总额74.13</w:t>
      </w:r>
      <w:r>
        <w:rPr>
          <w:rFonts w:hint="default" w:ascii="Times New Roman" w:hAnsi="Times New Roman" w:eastAsia="方正仿宋_GBK" w:cs="Times New Roman"/>
          <w:sz w:val="32"/>
          <w:szCs w:val="32"/>
          <w:lang w:val="zh-CN" w:eastAsia="zh-CN"/>
        </w:rPr>
        <w:t>%。社会保障和就业支出（</w:t>
      </w:r>
      <w:r>
        <w:rPr>
          <w:rFonts w:hint="default" w:ascii="Times New Roman" w:hAnsi="Times New Roman" w:eastAsia="方正仿宋_GBK" w:cs="Times New Roman"/>
          <w:sz w:val="32"/>
          <w:szCs w:val="32"/>
          <w:lang w:val="en-US" w:eastAsia="zh-CN"/>
        </w:rPr>
        <w:t>208</w:t>
      </w: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113.57万元，</w:t>
      </w:r>
      <w:r>
        <w:rPr>
          <w:rFonts w:hint="default" w:ascii="Times New Roman" w:hAnsi="Times New Roman" w:eastAsia="方正仿宋_GBK" w:cs="Times New Roman"/>
          <w:sz w:val="32"/>
          <w:szCs w:val="32"/>
          <w:lang w:val="zh-CN" w:eastAsia="zh-CN"/>
        </w:rPr>
        <w:t>完成预算</w:t>
      </w:r>
      <w:r>
        <w:rPr>
          <w:rFonts w:hint="default" w:ascii="Times New Roman" w:hAnsi="Times New Roman" w:eastAsia="方正仿宋_GBK" w:cs="Times New Roman"/>
          <w:sz w:val="32"/>
          <w:szCs w:val="32"/>
          <w:lang w:val="en-US" w:eastAsia="zh-CN"/>
        </w:rPr>
        <w:t>总额10.81</w:t>
      </w:r>
      <w:r>
        <w:rPr>
          <w:rFonts w:hint="default" w:ascii="Times New Roman" w:hAnsi="Times New Roman" w:eastAsia="方正仿宋_GBK" w:cs="Times New Roman"/>
          <w:sz w:val="32"/>
          <w:szCs w:val="32"/>
          <w:lang w:val="zh-CN" w:eastAsia="zh-CN"/>
        </w:rPr>
        <w:t>%。卫生健康支出（</w:t>
      </w:r>
      <w:r>
        <w:rPr>
          <w:rFonts w:hint="default" w:ascii="Times New Roman" w:hAnsi="Times New Roman" w:eastAsia="方正仿宋_GBK" w:cs="Times New Roman"/>
          <w:sz w:val="32"/>
          <w:szCs w:val="32"/>
          <w:lang w:val="en-US" w:eastAsia="zh-CN"/>
        </w:rPr>
        <w:t>210</w:t>
      </w: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49.02万元，</w:t>
      </w:r>
      <w:r>
        <w:rPr>
          <w:rFonts w:hint="default" w:ascii="Times New Roman" w:hAnsi="Times New Roman" w:eastAsia="方正仿宋_GBK" w:cs="Times New Roman"/>
          <w:sz w:val="32"/>
          <w:szCs w:val="32"/>
          <w:lang w:val="zh-CN" w:eastAsia="zh-CN"/>
        </w:rPr>
        <w:t>完成预算</w:t>
      </w:r>
      <w:r>
        <w:rPr>
          <w:rFonts w:hint="default" w:ascii="Times New Roman" w:hAnsi="Times New Roman" w:eastAsia="方正仿宋_GBK" w:cs="Times New Roman"/>
          <w:sz w:val="32"/>
          <w:szCs w:val="32"/>
          <w:lang w:val="en-US" w:eastAsia="zh-CN"/>
        </w:rPr>
        <w:t>总额4.67</w:t>
      </w:r>
      <w:r>
        <w:rPr>
          <w:rFonts w:hint="default" w:ascii="Times New Roman" w:hAnsi="Times New Roman" w:eastAsia="方正仿宋_GBK" w:cs="Times New Roman"/>
          <w:sz w:val="32"/>
          <w:szCs w:val="32"/>
          <w:lang w:val="zh-CN" w:eastAsia="zh-CN"/>
        </w:rPr>
        <w:t>%。住房保障支出（</w:t>
      </w:r>
      <w:r>
        <w:rPr>
          <w:rFonts w:hint="default" w:ascii="Times New Roman" w:hAnsi="Times New Roman" w:eastAsia="方正仿宋_GBK" w:cs="Times New Roman"/>
          <w:sz w:val="32"/>
          <w:szCs w:val="32"/>
          <w:lang w:val="en-US" w:eastAsia="zh-CN"/>
        </w:rPr>
        <w:t>221</w:t>
      </w: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55.96万元，</w:t>
      </w:r>
      <w:r>
        <w:rPr>
          <w:rFonts w:hint="default" w:ascii="Times New Roman" w:hAnsi="Times New Roman" w:eastAsia="方正仿宋_GBK" w:cs="Times New Roman"/>
          <w:sz w:val="32"/>
          <w:szCs w:val="32"/>
          <w:lang w:val="zh-CN" w:eastAsia="zh-CN"/>
        </w:rPr>
        <w:t>完成预算</w:t>
      </w:r>
      <w:r>
        <w:rPr>
          <w:rFonts w:hint="default" w:ascii="Times New Roman" w:hAnsi="Times New Roman" w:eastAsia="方正仿宋_GBK" w:cs="Times New Roman"/>
          <w:sz w:val="32"/>
          <w:szCs w:val="32"/>
          <w:lang w:val="en-US" w:eastAsia="zh-CN"/>
        </w:rPr>
        <w:t>总额5.33</w:t>
      </w:r>
      <w:r>
        <w:rPr>
          <w:rFonts w:hint="default" w:ascii="Times New Roman" w:hAnsi="Times New Roman" w:eastAsia="方正仿宋_GBK" w:cs="Times New Roman"/>
          <w:sz w:val="32"/>
          <w:szCs w:val="32"/>
          <w:lang w:val="zh-CN" w:eastAsia="zh-CN"/>
        </w:rPr>
        <w:t>%。</w:t>
      </w:r>
    </w:p>
    <w:p w14:paraId="63CC04D5">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我局认真执行中央八项规定，厉行节约，严格控制三公经费支出。20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lang w:val="zh-CN" w:eastAsia="zh-CN"/>
        </w:rPr>
        <w:t>年“三公”经费财政拨款支出决算为</w:t>
      </w:r>
      <w:r>
        <w:rPr>
          <w:rFonts w:hint="default" w:ascii="Times New Roman" w:hAnsi="Times New Roman" w:eastAsia="方正仿宋_GBK" w:cs="Times New Roman"/>
          <w:sz w:val="32"/>
          <w:szCs w:val="32"/>
          <w:lang w:val="en-US" w:eastAsia="zh-CN"/>
        </w:rPr>
        <w:t>19.01</w:t>
      </w:r>
      <w:r>
        <w:rPr>
          <w:rFonts w:hint="default" w:ascii="Times New Roman" w:hAnsi="Times New Roman" w:eastAsia="方正仿宋_GBK" w:cs="Times New Roman"/>
          <w:sz w:val="32"/>
          <w:szCs w:val="32"/>
          <w:lang w:val="zh-CN" w:eastAsia="zh-CN"/>
        </w:rPr>
        <w:t>万元，完成预算100%，决算数等于预算数。</w:t>
      </w:r>
    </w:p>
    <w:p w14:paraId="3847C8F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方正楷体_GBK" w:hAnsi="方正楷体_GBK" w:eastAsia="方正楷体_GBK" w:cs="方正楷体_GBK"/>
          <w:b/>
          <w:bCs/>
          <w:sz w:val="32"/>
          <w:szCs w:val="32"/>
          <w:lang w:val="zh-CN" w:eastAsia="zh-CN"/>
        </w:rPr>
      </w:pPr>
      <w:r>
        <w:rPr>
          <w:rFonts w:hint="default" w:ascii="方正楷体_GBK" w:hAnsi="方正楷体_GBK" w:eastAsia="方正楷体_GBK" w:cs="方正楷体_GBK"/>
          <w:b/>
          <w:bCs/>
          <w:sz w:val="32"/>
          <w:szCs w:val="32"/>
          <w:lang w:val="zh-CN" w:eastAsia="zh-CN"/>
        </w:rPr>
        <w:t>（三）综合管理情况</w:t>
      </w:r>
    </w:p>
    <w:p w14:paraId="3FCD02A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b/>
          <w:bCs/>
          <w:sz w:val="32"/>
          <w:szCs w:val="32"/>
          <w:lang w:val="zh-CN" w:eastAsia="zh-CN"/>
        </w:rPr>
        <w:t>预决算公开：</w:t>
      </w:r>
      <w:r>
        <w:rPr>
          <w:rFonts w:hint="default" w:ascii="Times New Roman" w:hAnsi="Times New Roman" w:eastAsia="方正仿宋_GBK" w:cs="Times New Roman"/>
          <w:sz w:val="32"/>
          <w:szCs w:val="32"/>
          <w:lang w:val="zh-CN" w:eastAsia="zh-CN"/>
        </w:rPr>
        <w:t>我局按照上级的要求，在财政批复后20日内在指定网站公开</w:t>
      </w:r>
      <w:r>
        <w:rPr>
          <w:rFonts w:hint="default" w:ascii="Times New Roman" w:hAnsi="Times New Roman" w:eastAsia="方正仿宋_GBK" w:cs="Times New Roman"/>
          <w:sz w:val="32"/>
          <w:szCs w:val="32"/>
          <w:lang w:val="en-US" w:eastAsia="zh-CN"/>
        </w:rPr>
        <w:t>2023</w:t>
      </w:r>
      <w:r>
        <w:rPr>
          <w:rFonts w:hint="default" w:ascii="Times New Roman" w:hAnsi="Times New Roman" w:eastAsia="方正仿宋_GBK" w:cs="Times New Roman"/>
          <w:sz w:val="32"/>
          <w:szCs w:val="32"/>
          <w:lang w:val="zh-CN" w:eastAsia="zh-CN"/>
        </w:rPr>
        <w:t>年度预决算信息。</w:t>
      </w:r>
    </w:p>
    <w:p w14:paraId="151E04D9">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内部管理制度建设情况：201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zh-CN" w:eastAsia="zh-CN"/>
        </w:rPr>
        <w:t>年以来，我局制定了机关内部控制工作实施方案，并不断完善了“预算管理办法”、“合同管理制度”、“收支管理办法”、“资产管理制度”等一系列内部制度。</w:t>
      </w:r>
    </w:p>
    <w:p w14:paraId="60AAF8F4">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绩效评价：根据绩效评价的要求，我们成立了自评工作领导小组，对照自评方案进行研究和布署，按照自评方案的要求，对照各实施项目的内容逐条逐项自评。</w:t>
      </w:r>
    </w:p>
    <w:p w14:paraId="23A6500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方正楷体_GBK" w:hAnsi="方正楷体_GBK" w:eastAsia="方正楷体_GBK" w:cs="方正楷体_GBK"/>
          <w:b/>
          <w:bCs/>
          <w:sz w:val="32"/>
          <w:szCs w:val="32"/>
          <w:lang w:val="zh-CN" w:eastAsia="zh-CN"/>
        </w:rPr>
      </w:pPr>
      <w:r>
        <w:rPr>
          <w:rFonts w:hint="default" w:ascii="方正楷体_GBK" w:hAnsi="方正楷体_GBK" w:eastAsia="方正楷体_GBK" w:cs="方正楷体_GBK"/>
          <w:b/>
          <w:bCs/>
          <w:sz w:val="32"/>
          <w:szCs w:val="32"/>
          <w:lang w:val="zh-CN" w:eastAsia="zh-CN"/>
        </w:rPr>
        <w:t>（四）整体绩效</w:t>
      </w:r>
    </w:p>
    <w:p w14:paraId="60AF07D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从整体情况来看，我局严格按照年初预算进行部门整体支出，在支出过程中，能严格遵守各项规章制度。“三公经费”明显下降。所有项目都详细制定了方案，严格按方案组织实施，并加强了监督。尤其是在专项经费支出上，我们能专款专用，严格审批程序，按的进度情况进行资金拨付，无截留、无挪用等现象，保障了资金安全。实行了先有预算、后有执行的新常态。</w:t>
      </w:r>
    </w:p>
    <w:p w14:paraId="4F861AA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黑体_GBK" w:hAnsi="方正黑体_GBK" w:eastAsia="方正黑体_GBK" w:cs="方正黑体_GBK"/>
          <w:sz w:val="32"/>
          <w:szCs w:val="32"/>
          <w:lang w:val="en-US"/>
        </w:rPr>
      </w:pPr>
      <w:r>
        <w:rPr>
          <w:rFonts w:hint="default" w:ascii="方正黑体_GBK" w:hAnsi="方正黑体_GBK" w:eastAsia="方正黑体_GBK" w:cs="方正黑体_GBK"/>
          <w:sz w:val="32"/>
          <w:szCs w:val="32"/>
          <w:lang w:val="en-US" w:eastAsia="zh-CN"/>
        </w:rPr>
        <w:t>四、评价结论及建议</w:t>
      </w:r>
    </w:p>
    <w:p w14:paraId="76C8B61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方正楷体_GBK" w:hAnsi="方正楷体_GBK" w:eastAsia="方正楷体_GBK" w:cs="方正楷体_GBK"/>
          <w:b/>
          <w:bCs/>
          <w:sz w:val="32"/>
          <w:szCs w:val="32"/>
          <w:lang w:val="zh-CN" w:eastAsia="zh-CN"/>
        </w:rPr>
      </w:pPr>
      <w:r>
        <w:rPr>
          <w:rFonts w:hint="default" w:ascii="方正楷体_GBK" w:hAnsi="方正楷体_GBK" w:eastAsia="方正楷体_GBK" w:cs="方正楷体_GBK"/>
          <w:b/>
          <w:bCs/>
          <w:sz w:val="32"/>
          <w:szCs w:val="32"/>
          <w:lang w:val="zh-CN" w:eastAsia="zh-CN"/>
        </w:rPr>
        <w:t>（一）评价结论</w:t>
      </w:r>
    </w:p>
    <w:p w14:paraId="186681D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按照预算绩效管理要求，本部门对2023年整体支出情况开展绩效自评，自评得分95分。</w:t>
      </w:r>
    </w:p>
    <w:p w14:paraId="52D6895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方正楷体_GBK" w:hAnsi="方正楷体_GBK" w:eastAsia="方正楷体_GBK" w:cs="方正楷体_GBK"/>
          <w:b/>
          <w:bCs/>
          <w:sz w:val="32"/>
          <w:szCs w:val="32"/>
          <w:lang w:val="zh-CN" w:eastAsia="zh-CN"/>
        </w:rPr>
      </w:pPr>
      <w:r>
        <w:rPr>
          <w:rFonts w:hint="default" w:ascii="方正楷体_GBK" w:hAnsi="方正楷体_GBK" w:eastAsia="方正楷体_GBK" w:cs="方正楷体_GBK"/>
          <w:b/>
          <w:bCs/>
          <w:sz w:val="32"/>
          <w:szCs w:val="32"/>
          <w:lang w:val="zh-CN" w:eastAsia="zh-CN"/>
        </w:rPr>
        <w:t>（二）存在问题</w:t>
      </w:r>
    </w:p>
    <w:p w14:paraId="6E5C61F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sz w:val="32"/>
          <w:szCs w:val="32"/>
          <w:lang w:val="en-US" w:eastAsia="zh-CN"/>
        </w:rPr>
        <w:t>资金使用效益专项资金执行进度有待进一步提高和加强；</w:t>
      </w: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sz w:val="32"/>
          <w:szCs w:val="32"/>
          <w:lang w:val="en-US" w:eastAsia="zh-CN"/>
        </w:rPr>
        <w:t>对固定资产的管理应进一步加强；</w:t>
      </w:r>
      <w:r>
        <w:rPr>
          <w:rFonts w:hint="default" w:ascii="Times New Roman" w:hAnsi="Times New Roman" w:eastAsia="方正仿宋_GBK" w:cs="Times New Roman"/>
          <w:b/>
          <w:bCs/>
          <w:sz w:val="32"/>
          <w:szCs w:val="32"/>
          <w:lang w:val="en-US" w:eastAsia="zh-CN"/>
        </w:rPr>
        <w:t>三是</w:t>
      </w:r>
      <w:r>
        <w:rPr>
          <w:rFonts w:hint="default" w:ascii="Times New Roman" w:hAnsi="Times New Roman" w:eastAsia="方正仿宋_GBK" w:cs="Times New Roman"/>
          <w:sz w:val="32"/>
          <w:szCs w:val="32"/>
          <w:lang w:val="en-US" w:eastAsia="zh-CN"/>
        </w:rPr>
        <w:t>要进一步规范单位财务管理及监控制度，制定对本单位行之有效的措施。</w:t>
      </w:r>
    </w:p>
    <w:p w14:paraId="03AC7FD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方正楷体_GBK" w:hAnsi="方正楷体_GBK" w:eastAsia="方正楷体_GBK" w:cs="方正楷体_GBK"/>
          <w:b/>
          <w:bCs/>
          <w:sz w:val="32"/>
          <w:szCs w:val="32"/>
          <w:lang w:val="zh-CN" w:eastAsia="zh-CN"/>
        </w:rPr>
      </w:pPr>
      <w:r>
        <w:rPr>
          <w:rFonts w:hint="default" w:ascii="方正楷体_GBK" w:hAnsi="方正楷体_GBK" w:eastAsia="方正楷体_GBK" w:cs="方正楷体_GBK"/>
          <w:b/>
          <w:bCs/>
          <w:sz w:val="32"/>
          <w:szCs w:val="32"/>
          <w:lang w:val="zh-CN" w:eastAsia="zh-CN"/>
        </w:rPr>
        <w:t>（三）改进建议</w:t>
      </w:r>
    </w:p>
    <w:p w14:paraId="637716C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sz w:val="32"/>
          <w:szCs w:val="32"/>
          <w:lang w:val="en-US" w:eastAsia="zh-CN"/>
        </w:rPr>
        <w:t>认真做好预算的编制，细化预算编制；</w:t>
      </w: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sz w:val="32"/>
          <w:szCs w:val="32"/>
          <w:lang w:val="en-US" w:eastAsia="zh-CN"/>
        </w:rPr>
        <w:t>加强对固定资产的管理和处置工作，严格财务审核，及时录入新增固定资产。</w:t>
      </w:r>
      <w:r>
        <w:rPr>
          <w:rFonts w:hint="default" w:ascii="Times New Roman" w:hAnsi="Times New Roman" w:eastAsia="方正仿宋_GBK" w:cs="Times New Roman"/>
          <w:b/>
          <w:bCs/>
          <w:sz w:val="32"/>
          <w:szCs w:val="32"/>
          <w:lang w:val="en-US" w:eastAsia="zh-CN"/>
        </w:rPr>
        <w:t>三是</w:t>
      </w:r>
      <w:r>
        <w:rPr>
          <w:rFonts w:hint="default" w:ascii="Times New Roman" w:hAnsi="Times New Roman" w:eastAsia="方正仿宋_GBK" w:cs="Times New Roman"/>
          <w:sz w:val="32"/>
          <w:szCs w:val="32"/>
          <w:lang w:val="en-US" w:eastAsia="zh-CN"/>
        </w:rPr>
        <w:t>应进一步细化“三公经费”，减少不必要的开支。</w:t>
      </w:r>
      <w:r>
        <w:rPr>
          <w:rFonts w:hint="default" w:ascii="Times New Roman" w:hAnsi="Times New Roman" w:eastAsia="方正仿宋_GBK" w:cs="Times New Roman"/>
          <w:b/>
          <w:bCs/>
          <w:sz w:val="32"/>
          <w:szCs w:val="32"/>
          <w:lang w:val="en-US" w:eastAsia="zh-CN"/>
        </w:rPr>
        <w:t>四是</w:t>
      </w:r>
      <w:r>
        <w:rPr>
          <w:rFonts w:hint="default" w:ascii="Times New Roman" w:hAnsi="Times New Roman" w:eastAsia="方正仿宋_GBK" w:cs="Times New Roman"/>
          <w:sz w:val="32"/>
          <w:szCs w:val="32"/>
          <w:lang w:val="en-US" w:eastAsia="zh-CN"/>
        </w:rPr>
        <w:t>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14:paraId="3B098845">
      <w:pPr>
        <w:pStyle w:val="3"/>
        <w:jc w:val="center"/>
      </w:pPr>
      <w:r>
        <w:rPr>
          <w:rFonts w:hint="eastAsia"/>
        </w:rPr>
        <w:t>第三部分 名词解释</w:t>
      </w:r>
    </w:p>
    <w:p w14:paraId="1D936FAD"/>
    <w:p w14:paraId="3691E887">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14:paraId="759CD2F8">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2.事业收入：指事业单位开展专业业务活动及辅助活动取得的收入。如…（二级预算单位事业收入情况）等。</w:t>
      </w:r>
    </w:p>
    <w:p w14:paraId="572A8039">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3.经营收入：指事业单位在专业业务活动及其辅助活动之外开展非独立核算经营活动取得的收入。如…（二级预算单位经营收入情况）等。</w:t>
      </w:r>
    </w:p>
    <w:p w14:paraId="6CB9523F">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4.其他收入：指单位取得的除上述收入以外的各项收入。主要是…（收入类型）等。 </w:t>
      </w:r>
    </w:p>
    <w:p w14:paraId="544C8F51">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14:paraId="7ED399C4">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067D51D9">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14:paraId="07C361D2">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4255F380">
      <w:pPr>
        <w:ind w:firstLine="640" w:firstLineChars="200"/>
        <w:rPr>
          <w:rFonts w:hint="eastAsia" w:ascii="仿宋_GB2312" w:eastAsia="仿宋_GB2312"/>
          <w:sz w:val="32"/>
          <w:szCs w:val="32"/>
        </w:rPr>
      </w:pPr>
      <w:r>
        <w:rPr>
          <w:rFonts w:hint="eastAsia" w:ascii="仿宋_GB2312" w:eastAsia="仿宋_GB2312"/>
          <w:sz w:val="32"/>
          <w:szCs w:val="32"/>
        </w:rPr>
        <w:t>9.一般公共服务（类）…（款）…（项）：指……。</w:t>
      </w:r>
    </w:p>
    <w:p w14:paraId="11C1AEFE">
      <w:pPr>
        <w:ind w:firstLine="640" w:firstLineChars="200"/>
        <w:rPr>
          <w:rFonts w:hint="eastAsia" w:ascii="仿宋_GB2312" w:eastAsia="仿宋_GB2312"/>
          <w:sz w:val="32"/>
          <w:szCs w:val="32"/>
        </w:rPr>
      </w:pPr>
      <w:r>
        <w:rPr>
          <w:rFonts w:hint="eastAsia" w:ascii="仿宋_GB2312" w:eastAsia="仿宋_GB2312"/>
          <w:sz w:val="32"/>
          <w:szCs w:val="32"/>
        </w:rPr>
        <w:t>10.外交（类）…（款）…（项）：指……。</w:t>
      </w:r>
    </w:p>
    <w:p w14:paraId="042D8516">
      <w:pPr>
        <w:ind w:firstLine="640" w:firstLineChars="200"/>
        <w:rPr>
          <w:rFonts w:hint="eastAsia" w:ascii="仿宋_GB2312" w:eastAsia="仿宋_GB2312"/>
          <w:sz w:val="32"/>
          <w:szCs w:val="32"/>
        </w:rPr>
      </w:pPr>
      <w:r>
        <w:rPr>
          <w:rFonts w:hint="eastAsia" w:ascii="仿宋_GB2312" w:eastAsia="仿宋_GB2312"/>
          <w:sz w:val="32"/>
          <w:szCs w:val="32"/>
        </w:rPr>
        <w:t>11.公共安全（类）…（款）…（项）：指……。</w:t>
      </w:r>
    </w:p>
    <w:p w14:paraId="235BDED7">
      <w:pPr>
        <w:ind w:firstLine="640" w:firstLineChars="200"/>
        <w:rPr>
          <w:rFonts w:hint="eastAsia" w:ascii="仿宋_GB2312" w:eastAsia="仿宋_GB2312"/>
          <w:sz w:val="32"/>
          <w:szCs w:val="32"/>
        </w:rPr>
      </w:pPr>
      <w:r>
        <w:rPr>
          <w:rFonts w:hint="eastAsia" w:ascii="仿宋_GB2312" w:eastAsia="仿宋_GB2312"/>
          <w:sz w:val="32"/>
          <w:szCs w:val="32"/>
        </w:rPr>
        <w:t>12.教育（类）…（款）…（项）：指……。</w:t>
      </w:r>
    </w:p>
    <w:p w14:paraId="0EE9DFAB">
      <w:pPr>
        <w:ind w:firstLine="640" w:firstLineChars="200"/>
        <w:rPr>
          <w:rFonts w:hint="eastAsia" w:ascii="仿宋_GB2312" w:eastAsia="仿宋_GB2312"/>
          <w:sz w:val="32"/>
          <w:szCs w:val="32"/>
        </w:rPr>
      </w:pPr>
      <w:r>
        <w:rPr>
          <w:rFonts w:hint="eastAsia" w:ascii="仿宋_GB2312" w:eastAsia="仿宋_GB2312"/>
          <w:sz w:val="32"/>
          <w:szCs w:val="32"/>
        </w:rPr>
        <w:t>13.科学技术（类）…（款）…（项）：指……。</w:t>
      </w:r>
    </w:p>
    <w:p w14:paraId="6180E109">
      <w:pPr>
        <w:ind w:firstLine="640" w:firstLineChars="200"/>
        <w:rPr>
          <w:rFonts w:hint="eastAsia" w:ascii="仿宋_GB2312" w:eastAsia="仿宋_GB2312"/>
          <w:sz w:val="32"/>
          <w:szCs w:val="32"/>
        </w:rPr>
      </w:pPr>
      <w:r>
        <w:rPr>
          <w:rFonts w:hint="eastAsia" w:ascii="仿宋_GB2312" w:eastAsia="仿宋_GB2312"/>
          <w:sz w:val="32"/>
          <w:szCs w:val="32"/>
        </w:rPr>
        <w:t>14.文化旅游体育与传媒（类）…（款）…（项）：指……。</w:t>
      </w:r>
    </w:p>
    <w:p w14:paraId="51F9D001">
      <w:pPr>
        <w:ind w:firstLine="640" w:firstLineChars="200"/>
        <w:rPr>
          <w:rFonts w:hint="eastAsia" w:ascii="仿宋_GB2312" w:eastAsia="仿宋_GB2312"/>
          <w:sz w:val="32"/>
          <w:szCs w:val="32"/>
        </w:rPr>
      </w:pPr>
      <w:r>
        <w:rPr>
          <w:rFonts w:hint="eastAsia" w:ascii="仿宋_GB2312" w:eastAsia="仿宋_GB2312"/>
          <w:sz w:val="32"/>
          <w:szCs w:val="32"/>
        </w:rPr>
        <w:t>15.社会保障和就业（类）…（款）…（项）：指……。</w:t>
      </w:r>
    </w:p>
    <w:p w14:paraId="5C2A310E">
      <w:pPr>
        <w:ind w:firstLine="640" w:firstLineChars="200"/>
        <w:rPr>
          <w:rFonts w:hint="eastAsia" w:ascii="仿宋_GB2312" w:eastAsia="仿宋_GB2312"/>
          <w:sz w:val="32"/>
          <w:szCs w:val="32"/>
        </w:rPr>
      </w:pPr>
      <w:r>
        <w:rPr>
          <w:rFonts w:hint="eastAsia" w:ascii="仿宋_GB2312" w:eastAsia="仿宋_GB2312"/>
          <w:sz w:val="32"/>
          <w:szCs w:val="32"/>
        </w:rPr>
        <w:t>16.卫生健康（类）…（款）…（项）：指……。</w:t>
      </w:r>
    </w:p>
    <w:p w14:paraId="1E20EAA3">
      <w:pPr>
        <w:ind w:firstLine="640" w:firstLineChars="200"/>
        <w:rPr>
          <w:rFonts w:hint="eastAsia" w:ascii="仿宋_GB2312" w:eastAsia="仿宋_GB2312"/>
          <w:sz w:val="32"/>
          <w:szCs w:val="32"/>
        </w:rPr>
      </w:pPr>
      <w:r>
        <w:rPr>
          <w:rFonts w:hint="eastAsia" w:ascii="仿宋_GB2312" w:eastAsia="仿宋_GB2312"/>
          <w:sz w:val="32"/>
          <w:szCs w:val="32"/>
        </w:rPr>
        <w:t>17.节能环保（类）…（款）…（项）：指……。</w:t>
      </w:r>
    </w:p>
    <w:p w14:paraId="165D9577">
      <w:pPr>
        <w:ind w:firstLine="640" w:firstLineChars="200"/>
        <w:rPr>
          <w:rFonts w:hint="eastAsia" w:ascii="仿宋_GB2312" w:eastAsia="仿宋_GB2312"/>
          <w:sz w:val="32"/>
          <w:szCs w:val="32"/>
        </w:rPr>
      </w:pPr>
      <w:r>
        <w:rPr>
          <w:rFonts w:hint="eastAsia" w:ascii="仿宋_GB2312" w:eastAsia="仿宋_GB2312"/>
          <w:sz w:val="32"/>
          <w:szCs w:val="32"/>
        </w:rPr>
        <w:t>18.城乡社区（类）…（款）…（项）：指……。</w:t>
      </w:r>
    </w:p>
    <w:p w14:paraId="64717AD0">
      <w:pPr>
        <w:ind w:firstLine="640" w:firstLineChars="200"/>
        <w:rPr>
          <w:rFonts w:hint="eastAsia" w:ascii="仿宋_GB2312" w:eastAsia="仿宋_GB2312"/>
          <w:sz w:val="32"/>
          <w:szCs w:val="32"/>
        </w:rPr>
      </w:pPr>
      <w:r>
        <w:rPr>
          <w:rFonts w:hint="eastAsia" w:ascii="仿宋_GB2312" w:eastAsia="仿宋_GB2312"/>
          <w:sz w:val="32"/>
          <w:szCs w:val="32"/>
        </w:rPr>
        <w:t>19.农林水（类）…（款）…（项）：指……。</w:t>
      </w:r>
    </w:p>
    <w:p w14:paraId="600770AE">
      <w:pPr>
        <w:ind w:firstLine="640" w:firstLineChars="200"/>
        <w:rPr>
          <w:rFonts w:hint="eastAsia" w:ascii="仿宋_GB2312" w:eastAsia="仿宋_GB2312"/>
          <w:sz w:val="32"/>
          <w:szCs w:val="32"/>
        </w:rPr>
      </w:pPr>
      <w:r>
        <w:rPr>
          <w:rFonts w:hint="eastAsia" w:ascii="仿宋_GB2312" w:eastAsia="仿宋_GB2312"/>
          <w:sz w:val="32"/>
          <w:szCs w:val="32"/>
        </w:rPr>
        <w:t>20.交通运输（类）…（款）…（项）：指……。</w:t>
      </w:r>
    </w:p>
    <w:p w14:paraId="38C6BEA9">
      <w:pPr>
        <w:ind w:firstLine="640" w:firstLineChars="200"/>
        <w:rPr>
          <w:rFonts w:hint="eastAsia" w:ascii="仿宋_GB2312" w:eastAsia="仿宋_GB2312"/>
          <w:sz w:val="32"/>
          <w:szCs w:val="32"/>
        </w:rPr>
      </w:pPr>
      <w:r>
        <w:rPr>
          <w:rFonts w:hint="eastAsia" w:ascii="仿宋_GB2312" w:eastAsia="仿宋_GB2312"/>
          <w:sz w:val="32"/>
          <w:szCs w:val="32"/>
        </w:rPr>
        <w:t>21.资源勘探工业信息等（类）…（款）…（项）：指……。</w:t>
      </w:r>
    </w:p>
    <w:p w14:paraId="7408C01D">
      <w:pPr>
        <w:ind w:firstLine="640" w:firstLineChars="200"/>
        <w:rPr>
          <w:rFonts w:hint="eastAsia" w:ascii="仿宋_GB2312" w:eastAsia="仿宋_GB2312"/>
          <w:sz w:val="32"/>
          <w:szCs w:val="32"/>
        </w:rPr>
      </w:pPr>
      <w:r>
        <w:rPr>
          <w:rFonts w:hint="eastAsia" w:ascii="仿宋_GB2312" w:eastAsia="仿宋_GB2312"/>
          <w:sz w:val="32"/>
          <w:szCs w:val="32"/>
        </w:rPr>
        <w:t>22.商业服务业（类）…（款）…（项）：指……。</w:t>
      </w:r>
    </w:p>
    <w:p w14:paraId="5001D4E7">
      <w:pPr>
        <w:ind w:firstLine="640" w:firstLineChars="200"/>
        <w:rPr>
          <w:rFonts w:hint="eastAsia" w:ascii="仿宋_GB2312" w:eastAsia="仿宋_GB2312"/>
          <w:sz w:val="32"/>
          <w:szCs w:val="32"/>
        </w:rPr>
      </w:pPr>
      <w:r>
        <w:rPr>
          <w:rFonts w:hint="eastAsia" w:ascii="仿宋_GB2312" w:eastAsia="仿宋_GB2312"/>
          <w:sz w:val="32"/>
          <w:szCs w:val="32"/>
        </w:rPr>
        <w:t>23.金融（类）…（款）…（项）：指……。</w:t>
      </w:r>
    </w:p>
    <w:p w14:paraId="11AEF391">
      <w:pPr>
        <w:ind w:firstLine="640" w:firstLineChars="200"/>
        <w:rPr>
          <w:rFonts w:hint="eastAsia" w:ascii="仿宋_GB2312" w:eastAsia="仿宋_GB2312"/>
          <w:sz w:val="32"/>
          <w:szCs w:val="32"/>
        </w:rPr>
      </w:pPr>
      <w:r>
        <w:rPr>
          <w:rFonts w:hint="eastAsia" w:ascii="仿宋_GB2312" w:eastAsia="仿宋_GB2312"/>
          <w:sz w:val="32"/>
          <w:szCs w:val="32"/>
        </w:rPr>
        <w:t>24.自然资源海洋气象等（类）…（款）…（项）：指……。</w:t>
      </w:r>
    </w:p>
    <w:p w14:paraId="71F7B023">
      <w:pPr>
        <w:ind w:firstLine="640" w:firstLineChars="200"/>
        <w:rPr>
          <w:rFonts w:hint="eastAsia" w:ascii="仿宋_GB2312" w:eastAsia="仿宋_GB2312"/>
          <w:sz w:val="32"/>
          <w:szCs w:val="32"/>
        </w:rPr>
      </w:pPr>
      <w:r>
        <w:rPr>
          <w:rFonts w:hint="eastAsia" w:ascii="仿宋_GB2312" w:eastAsia="仿宋_GB2312"/>
          <w:sz w:val="32"/>
          <w:szCs w:val="32"/>
        </w:rPr>
        <w:t>25.住房保障（类）…（款）…（项）：指……。</w:t>
      </w:r>
    </w:p>
    <w:p w14:paraId="7BD6EB99">
      <w:pPr>
        <w:ind w:firstLine="640" w:firstLineChars="200"/>
        <w:rPr>
          <w:rFonts w:hint="eastAsia" w:ascii="仿宋_GB2312" w:eastAsia="仿宋_GB2312"/>
          <w:sz w:val="32"/>
          <w:szCs w:val="32"/>
        </w:rPr>
      </w:pPr>
      <w:r>
        <w:rPr>
          <w:rFonts w:hint="eastAsia" w:ascii="仿宋_GB2312" w:eastAsia="仿宋_GB2312"/>
          <w:sz w:val="32"/>
          <w:szCs w:val="32"/>
        </w:rPr>
        <w:t>26.粮油物资储备（类）…（款）…（项）：指……。</w:t>
      </w:r>
    </w:p>
    <w:p w14:paraId="508F249A">
      <w:pPr>
        <w:ind w:firstLine="640" w:firstLineChars="200"/>
        <w:rPr>
          <w:rFonts w:hint="eastAsia" w:ascii="仿宋_GB2312" w:eastAsia="仿宋_GB2312"/>
          <w:sz w:val="32"/>
          <w:szCs w:val="32"/>
        </w:rPr>
      </w:pPr>
      <w:r>
        <w:rPr>
          <w:rFonts w:hint="eastAsia" w:ascii="仿宋_GB2312" w:eastAsia="仿宋_GB2312"/>
          <w:sz w:val="32"/>
          <w:szCs w:val="32"/>
        </w:rPr>
        <w:t>……</w:t>
      </w:r>
    </w:p>
    <w:p w14:paraId="6FBC792B">
      <w:pPr>
        <w:ind w:firstLine="640" w:firstLineChars="200"/>
        <w:rPr>
          <w:rFonts w:hint="eastAsia" w:ascii="仿宋_GB2312" w:eastAsia="仿宋_GB2312"/>
          <w:sz w:val="32"/>
          <w:szCs w:val="32"/>
        </w:rPr>
      </w:pPr>
      <w:r>
        <w:rPr>
          <w:rFonts w:hint="eastAsia" w:ascii="仿宋_GB2312" w:eastAsia="仿宋_GB2312"/>
          <w:sz w:val="32"/>
          <w:szCs w:val="32"/>
        </w:rPr>
        <w:t>……</w:t>
      </w:r>
    </w:p>
    <w:p w14:paraId="21A7596E">
      <w:pPr>
        <w:ind w:firstLine="640" w:firstLineChars="200"/>
        <w:rPr>
          <w:rFonts w:hint="eastAsia" w:ascii="仿宋_GB2312" w:eastAsia="仿宋_GB2312"/>
          <w:sz w:val="32"/>
          <w:szCs w:val="32"/>
        </w:rPr>
      </w:pPr>
      <w:r>
        <w:rPr>
          <w:rFonts w:hint="eastAsia" w:ascii="仿宋_GB2312" w:eastAsia="仿宋_GB2312"/>
          <w:sz w:val="32"/>
          <w:szCs w:val="32"/>
        </w:rPr>
        <w:t>……</w:t>
      </w:r>
    </w:p>
    <w:p w14:paraId="5E06421B">
      <w:pPr>
        <w:ind w:firstLine="643" w:firstLineChars="200"/>
        <w:rPr>
          <w:rFonts w:ascii="仿宋" w:hAnsi="仿宋" w:eastAsia="仿宋"/>
          <w:b/>
          <w:sz w:val="32"/>
          <w:szCs w:val="32"/>
        </w:rPr>
      </w:pPr>
      <w:r>
        <w:rPr>
          <w:rFonts w:hint="eastAsia" w:ascii="仿宋" w:hAnsi="仿宋" w:eastAsia="仿宋"/>
          <w:b/>
          <w:sz w:val="32"/>
          <w:szCs w:val="32"/>
        </w:rPr>
        <w:t>（解释本部门决算报表中涉及的全部功能分类科目至项级，不涉及的科目请自行删除。请参照《2023年政府收支分类科目》增减内容。）</w:t>
      </w:r>
    </w:p>
    <w:p w14:paraId="75E065DD">
      <w:pPr>
        <w:ind w:firstLine="640" w:firstLineChars="200"/>
        <w:rPr>
          <w:rFonts w:ascii="仿宋_GB2312" w:eastAsia="仿宋_GB2312"/>
          <w:sz w:val="32"/>
          <w:szCs w:val="32"/>
        </w:rPr>
      </w:pPr>
      <w:r>
        <w:rPr>
          <w:rFonts w:hint="eastAsia" w:ascii="仿宋_GB2312" w:eastAsia="仿宋_GB2312"/>
          <w:sz w:val="32"/>
          <w:szCs w:val="32"/>
        </w:rPr>
        <w:t>27.基本支出：指为保障机构正常运转、完成日常工作任务而发生的人员支出和公用支出。</w:t>
      </w:r>
    </w:p>
    <w:p w14:paraId="4C0F26F1">
      <w:pPr>
        <w:ind w:firstLine="640" w:firstLineChars="200"/>
        <w:rPr>
          <w:rFonts w:ascii="仿宋_GB2312" w:eastAsia="仿宋_GB2312"/>
          <w:sz w:val="32"/>
          <w:szCs w:val="32"/>
        </w:rPr>
      </w:pPr>
      <w:r>
        <w:rPr>
          <w:rFonts w:hint="eastAsia" w:ascii="仿宋_GB2312" w:eastAsia="仿宋_GB2312"/>
          <w:sz w:val="32"/>
          <w:szCs w:val="32"/>
        </w:rPr>
        <w:t xml:space="preserve">28.项目支出：指在基本支出之外为完成特定行政任务和事业发展目标所发生的支出。 </w:t>
      </w:r>
    </w:p>
    <w:p w14:paraId="5203345A">
      <w:pPr>
        <w:ind w:firstLine="640" w:firstLineChars="200"/>
        <w:rPr>
          <w:rFonts w:ascii="仿宋_GB2312" w:eastAsia="仿宋_GB2312"/>
          <w:sz w:val="32"/>
          <w:szCs w:val="32"/>
        </w:rPr>
      </w:pPr>
      <w:r>
        <w:rPr>
          <w:rFonts w:hint="eastAsia" w:ascii="仿宋_GB2312" w:eastAsia="仿宋_GB2312"/>
          <w:sz w:val="32"/>
          <w:szCs w:val="32"/>
        </w:rPr>
        <w:t>29.经营支出：指事业单位在专业业务活动及其辅助活动之外开展非独立核算经营活动发生的支出。</w:t>
      </w:r>
    </w:p>
    <w:p w14:paraId="70FAC0F7">
      <w:pPr>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474ECE3">
      <w:pPr>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DCE87BB">
      <w:pPr>
        <w:ind w:firstLine="640" w:firstLineChars="200"/>
        <w:rPr>
          <w:rFonts w:ascii="仿宋_GB2312" w:eastAsia="仿宋_GB2312"/>
          <w:sz w:val="32"/>
          <w:szCs w:val="32"/>
        </w:rPr>
      </w:pPr>
      <w:r>
        <w:rPr>
          <w:rFonts w:hint="eastAsia" w:ascii="仿宋_GB2312" w:eastAsia="仿宋_GB2312"/>
          <w:sz w:val="32"/>
          <w:szCs w:val="32"/>
        </w:rPr>
        <w:t>32.……。</w:t>
      </w:r>
    </w:p>
    <w:p w14:paraId="6D1DF0B1">
      <w:pPr>
        <w:ind w:firstLine="420" w:firstLineChars="200"/>
      </w:pPr>
    </w:p>
    <w:p w14:paraId="5F334104">
      <w:pPr>
        <w:ind w:firstLine="643" w:firstLineChars="200"/>
        <w:rPr>
          <w:rFonts w:ascii="仿宋" w:hAnsi="仿宋" w:eastAsia="仿宋"/>
          <w:b/>
          <w:sz w:val="32"/>
          <w:szCs w:val="32"/>
        </w:rPr>
      </w:pPr>
      <w:r>
        <w:rPr>
          <w:rFonts w:hint="eastAsia" w:ascii="仿宋" w:hAnsi="仿宋" w:eastAsia="仿宋"/>
          <w:b/>
          <w:sz w:val="32"/>
          <w:szCs w:val="32"/>
        </w:rPr>
        <w:t>（名词解释部分请根据各部门实际列支情况罗列，并根据本部门职责职能增减名词解释内容。）</w:t>
      </w:r>
      <w:r>
        <w:rPr>
          <w:rFonts w:ascii="仿宋" w:hAnsi="仿宋" w:eastAsia="仿宋"/>
          <w:b/>
          <w:sz w:val="32"/>
          <w:szCs w:val="32"/>
        </w:rPr>
        <w:br w:type="page"/>
      </w:r>
    </w:p>
    <w:p w14:paraId="7DC5401C">
      <w:pPr>
        <w:pStyle w:val="3"/>
        <w:jc w:val="center"/>
        <w:rPr>
          <w:rFonts w:ascii="黑体" w:hAnsi="黑体" w:eastAsia="黑体"/>
          <w:b w:val="0"/>
        </w:rPr>
      </w:pPr>
      <w:r>
        <w:rPr>
          <w:rFonts w:hint="eastAsia" w:ascii="黑体" w:hAnsi="黑体" w:eastAsia="黑体"/>
          <w:b w:val="0"/>
        </w:rPr>
        <w:t>第四部分 附件</w:t>
      </w:r>
    </w:p>
    <w:p w14:paraId="0139ED44"/>
    <w:p w14:paraId="3410050A">
      <w:pPr>
        <w:widowControl/>
        <w:spacing w:line="578" w:lineRule="exact"/>
        <w:contextualSpacing/>
        <w:jc w:val="center"/>
        <w:rPr>
          <w:rFonts w:hint="eastAsia" w:eastAsia="方正小标宋简体"/>
          <w:bCs/>
          <w:sz w:val="44"/>
          <w:szCs w:val="44"/>
          <w:shd w:val="clear" w:color="auto" w:fill="FFFFFF"/>
        </w:rPr>
      </w:pPr>
      <w:r>
        <w:rPr>
          <w:rFonts w:hint="eastAsia" w:eastAsia="方正小标宋简体"/>
          <w:bCs/>
          <w:sz w:val="44"/>
          <w:szCs w:val="44"/>
          <w:shd w:val="clear" w:color="auto" w:fill="FFFFFF"/>
        </w:rPr>
        <w:t>红原县市场监督管理局</w:t>
      </w:r>
    </w:p>
    <w:p w14:paraId="327BDA04">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643DD507">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25B7B932">
      <w:pPr>
        <w:widowControl/>
        <w:adjustRightInd w:val="0"/>
        <w:snapToGrid w:val="0"/>
        <w:spacing w:line="576"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一、部门（单位）基本情况</w:t>
      </w:r>
    </w:p>
    <w:p w14:paraId="660F14CE">
      <w:pPr>
        <w:pStyle w:val="13"/>
        <w:widowControl/>
        <w:spacing w:before="0" w:beforeAutospacing="0" w:line="576" w:lineRule="exact"/>
        <w:ind w:firstLine="643" w:firstLineChars="200"/>
        <w:rPr>
          <w:rFonts w:hint="eastAsia" w:ascii="仿宋_GB2312" w:hAnsi="仿宋_GB2312" w:eastAsia="仿宋_GB2312" w:cs="仿宋_GB2312"/>
          <w:b/>
          <w:bCs/>
          <w:color w:val="000000"/>
          <w:sz w:val="32"/>
          <w:szCs w:val="32"/>
          <w:shd w:val="clear" w:color="auto" w:fill="FFFFFF"/>
          <w:lang w:val="zh-CN"/>
        </w:rPr>
      </w:pPr>
      <w:r>
        <w:rPr>
          <w:rFonts w:hint="eastAsia" w:ascii="仿宋_GB2312" w:hAnsi="仿宋_GB2312" w:eastAsia="仿宋_GB2312" w:cs="仿宋_GB2312"/>
          <w:b/>
          <w:bCs/>
          <w:color w:val="000000"/>
          <w:sz w:val="32"/>
          <w:szCs w:val="32"/>
          <w:shd w:val="clear" w:color="auto" w:fill="FFFFFF"/>
          <w:lang w:val="zh-CN"/>
        </w:rPr>
        <w:t>（一）机构组成。</w:t>
      </w:r>
    </w:p>
    <w:p w14:paraId="20538052">
      <w:pPr>
        <w:spacing w:line="576"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红原县</w:t>
      </w:r>
      <w:r>
        <w:rPr>
          <w:rFonts w:hint="eastAsia" w:ascii="仿宋_GB2312" w:hAnsi="仿宋_GB2312" w:eastAsia="仿宋_GB2312" w:cs="仿宋_GB2312"/>
          <w:sz w:val="32"/>
          <w:szCs w:val="32"/>
        </w:rPr>
        <w:t>市场监督管理局</w:t>
      </w:r>
      <w:r>
        <w:rPr>
          <w:rFonts w:hint="eastAsia" w:ascii="仿宋_GB2312" w:hAnsi="仿宋_GB2312" w:eastAsia="仿宋_GB2312" w:cs="仿宋_GB2312"/>
          <w:sz w:val="32"/>
          <w:szCs w:val="32"/>
          <w:lang w:val="zh-CN"/>
        </w:rPr>
        <w:t>是行政单位，执行行政单位会计制度，我局下属二级决算单位</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个，其中行政单位</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个，参照公务员法管理的事业单位</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个，其他事业单位0个。</w:t>
      </w:r>
    </w:p>
    <w:p w14:paraId="6F194FDC">
      <w:pPr>
        <w:numPr>
          <w:ilvl w:val="0"/>
          <w:numId w:val="6"/>
        </w:numPr>
        <w:spacing w:before="93" w:line="559" w:lineRule="auto"/>
        <w:ind w:firstLine="672"/>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机构职能。</w:t>
      </w:r>
    </w:p>
    <w:p w14:paraId="7DED0D0B">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1.负责全县市场综合监督管理工作。组织实施质量强县、食品安全、标准化和知识产权战略，拟订并组织实施全县食品安全等规划，规范和维护市场秩序，营造诚实守信、公平竞争的市场环境。</w:t>
      </w:r>
    </w:p>
    <w:p w14:paraId="71AE46CA">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全县市场主体统一登记注册。负责全县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14:paraId="2093FC6D">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3.负责组织和指导全县市场监督管理综合执法工作。负责全县市场监管综合执法队伍整合和建设，推动实行统一的市场监管。组织查处和督办大案要案、疑难案件、跨区域案件。规范市场监督管理行政执法行为。</w:t>
      </w:r>
    </w:p>
    <w:p w14:paraId="49AD544D">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全县反垄断统一执法。统筹推进竞争政策实施，按照权限指导实施公平竞争审查制度。依法依授权对经营者集中行为进行反垄断审查，负责垄断协议、滥用市场支配地位和滥用行政权力排除、限制竞争等反垄断执法工作。指导在县企业在国外的反垄断应诉工作。</w:t>
      </w:r>
    </w:p>
    <w:p w14:paraId="43511FA8">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监督管理全县市场秩序。依法监督管理市场交易、网络商品交易及有关服务的行为。组织指导查处价格收费违法违规、不正当竞争、违法直销、传销、侵犯商标专利知识产权和制售假冒伪劣行为。指导广告业发展，监督管理广告活动。依法查处无照生产经营和相关无证生产经营行为。依法开展消费者权益保护工作。建设12315行政执法体系。指导县保护消费者权益委员会开展工作。</w:t>
      </w:r>
    </w:p>
    <w:p w14:paraId="5F756221">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全县宏观质量管理。组织实施质量发展的制度措施。统筹全县质量基础设施建设与应用。会同有关部门组织实施重大工程设备质量监理制度，组织产品质量事故调查，贯彻实施缺陷产品召回制度，监督管理产品防伪工作。</w:t>
      </w:r>
    </w:p>
    <w:p w14:paraId="20698664">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7.负责全县产品质量安全监督管理。负责产品质量监督抽查和风险监控工作，组织实施质量分级制度、质量安全追溯制度。在权限和职责范围内负责工业产品生产许可管理。负责纤维质量监督工作。</w:t>
      </w:r>
    </w:p>
    <w:p w14:paraId="08DE2F5B">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8.负责全县特种设备安全监督管理。综合管理特种设备安全监察、监督工作，监督检查高耗能特种设备节能标准和锅炉产品环境保护标准的执行情况。</w:t>
      </w:r>
    </w:p>
    <w:p w14:paraId="68726D89">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全县食品安全监督管理综合协调。统筹指导全县食品安全工作。负责食品安全应急体系建设，组织指导食品安全事件应急处置和调查处理工作。建立健全食品安全重要信息直报制度。承担县食品安全委员会日常工作。</w:t>
      </w:r>
    </w:p>
    <w:p w14:paraId="68A0B850">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全县食品安全监督管理。建立覆盖食品生产、流通、消费全过程的监督检查制度和隐患排查治理机制并组织实施，防范区域性、系统性食品安全风险。推动建立食品生产经营者落实主体责任机制，健全食品安全追溯体系。指导督促食品生产经营企业的安全生产工作，组织开展食品安全监督抽检、风险监测、核查处置和风险预警、风险交流工作。组织实施特殊食品生产、流通、使用的监督管理。</w:t>
      </w:r>
    </w:p>
    <w:p w14:paraId="4CE463C5">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负责全县药品（含中药、民族药，下同）、医疗器械和化妆品安全监督管理。贯彻执行国家有关药品、医疗器械和化妆品监督管理的方针政策和法律法规。贯彻落实国家鼓励药品、医疗器械和化妆品新技术新产品的管理与服务政策。</w:t>
      </w:r>
    </w:p>
    <w:p w14:paraId="188635C8">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12.负责全县药品、医疗器械和化妆品标准执行管理。监督实施全县药品、医疗器械、化妆品标准和分类管理制度。配合实施国家基本药物制度。</w:t>
      </w:r>
    </w:p>
    <w:p w14:paraId="1FBC4ABE">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13.负责全县药品、医疗器械和化妆品质量管理。依法依授权监督实施药品、医疗器械生产、经营、使用质量管理规范。</w:t>
      </w:r>
    </w:p>
    <w:p w14:paraId="30820121">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负责全县药品、医疗器械和化妆品监督管理。负责药品、医疗器械、化妆品日常监督检查。依法依授权查处药品、医疗器械和化妆品生产、销售、使用的违法行为。依法承担药品、医疗器械和化妆品安全应急管理和投诉举报处置工作。</w:t>
      </w:r>
    </w:p>
    <w:p w14:paraId="36FAC82B">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15.负责全县药品、医疗器械和化妆品风险管理。组织开展药品不良反应、医疗器械不良事件和化妆品不良反应的监测、评价和处置工作。依法承担药品、医疗器械和化妆品安全应急管理和投诉举报处置工作。</w:t>
      </w:r>
    </w:p>
    <w:p w14:paraId="4E2E93F8">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16.依法依授权承担我县执业药师注册管理工作，贯彻执行执业药师其他相关管理制度。</w:t>
      </w:r>
    </w:p>
    <w:p w14:paraId="6B8CA07A">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17.负责统一管理全县计量工作。推行法定计量单位，执行国家计量制度，管理计量器具及量值传递和比对工作。规范、监督商品量和计量行为。</w:t>
      </w:r>
    </w:p>
    <w:p w14:paraId="6534C88D">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18.负责统一管理全县标准化工作。依法承担地方标准立项、编号和发布等工作，协调指导地方标准、团体标准制定工作，依法对标准制定和实施情况开展监督。</w:t>
      </w:r>
    </w:p>
    <w:p w14:paraId="543CAA67">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19.负责统一管理全县检验检测工作。规范检验检测市场，完善检验检测体系，指导协调检验检测行业发展。</w:t>
      </w:r>
    </w:p>
    <w:p w14:paraId="6FBF2BDE">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20.负责统一管理全县认证认可工作。监督管理认证认可和合格评定工作。</w:t>
      </w:r>
    </w:p>
    <w:p w14:paraId="17413107">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21.负责市场监督管理科技和信息化建设、新闻宣传。</w:t>
      </w:r>
    </w:p>
    <w:p w14:paraId="528E3887">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22.负责全县知识产权监督管理。贯彻落实国家、省、州知识产权战略、法规，拟订全县知识产权规划，负责知识产权的保护，负责组织实施商标、专利执法工作。</w:t>
      </w:r>
    </w:p>
    <w:p w14:paraId="42BDD1CE">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负责促进全县民营经济发展。负责全县民营经济发展工作的任务制定、调查研究、统筹协调、督促落实及民营企业合法权益维护。在县委组织部指导下，指导全县市场监督管理部门配合党委组织部门开展小微企业、个体工商户、专业市场的党建工作。</w:t>
      </w:r>
    </w:p>
    <w:p w14:paraId="61DF6779">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24.负责职责范围内的安全生产和职业健康、生态环境保护、应急联动、审批服务便民化等工作。</w:t>
      </w:r>
    </w:p>
    <w:p w14:paraId="37060329">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25.完成县委、县政府交办的其他任务。</w:t>
      </w:r>
    </w:p>
    <w:p w14:paraId="45E4E3FB">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二、部门资金收支情况</w:t>
      </w:r>
    </w:p>
    <w:p w14:paraId="4A9CD0E5">
      <w:pPr>
        <w:widowControl/>
        <w:adjustRightInd w:val="0"/>
        <w:snapToGrid w:val="0"/>
        <w:spacing w:line="578" w:lineRule="exact"/>
        <w:ind w:firstLine="643"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shd w:val="clear" w:color="auto" w:fill="FFFFFF"/>
          <w:lang w:val="zh-CN"/>
        </w:rPr>
        <w:t>（一）收入情况。</w:t>
      </w:r>
      <w:r>
        <w:rPr>
          <w:rFonts w:hint="eastAsia" w:ascii="仿宋_GB2312" w:hAnsi="仿宋_GB2312" w:eastAsia="仿宋_GB2312" w:cs="仿宋_GB2312"/>
          <w:sz w:val="32"/>
          <w:szCs w:val="32"/>
        </w:rPr>
        <w:t>本单位2023年收入全年预算数为997.29万元，收入决算数为997.29万元，预算完成度为100%。</w:t>
      </w: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rPr>
        <w:t>总</w:t>
      </w:r>
      <w:r>
        <w:rPr>
          <w:rFonts w:hint="eastAsia" w:ascii="仿宋_GB2312" w:hAnsi="仿宋_GB2312" w:eastAsia="仿宋_GB2312" w:cs="仿宋_GB2312"/>
          <w:sz w:val="32"/>
          <w:szCs w:val="32"/>
          <w:lang w:val="zh-CN"/>
        </w:rPr>
        <w:t>收入</w:t>
      </w:r>
      <w:r>
        <w:rPr>
          <w:rFonts w:hint="eastAsia" w:ascii="仿宋_GB2312" w:hAnsi="仿宋_GB2312" w:eastAsia="仿宋_GB2312" w:cs="仿宋_GB2312"/>
          <w:sz w:val="32"/>
          <w:szCs w:val="32"/>
        </w:rPr>
        <w:t>997.29</w:t>
      </w:r>
      <w:r>
        <w:rPr>
          <w:rFonts w:hint="eastAsia" w:ascii="仿宋_GB2312" w:hAnsi="仿宋_GB2312" w:eastAsia="仿宋_GB2312" w:cs="仿宋_GB2312"/>
          <w:sz w:val="32"/>
          <w:szCs w:val="32"/>
          <w:lang w:val="zh-CN"/>
        </w:rPr>
        <w:t>万元，其中：财政拨款收入</w:t>
      </w:r>
      <w:r>
        <w:rPr>
          <w:rFonts w:hint="eastAsia" w:ascii="仿宋_GB2312" w:hAnsi="仿宋_GB2312" w:eastAsia="仿宋_GB2312" w:cs="仿宋_GB2312"/>
          <w:sz w:val="32"/>
          <w:szCs w:val="32"/>
        </w:rPr>
        <w:t>997.29</w:t>
      </w:r>
      <w:r>
        <w:rPr>
          <w:rFonts w:hint="eastAsia" w:ascii="仿宋_GB2312" w:hAnsi="仿宋_GB2312" w:eastAsia="仿宋_GB2312" w:cs="仿宋_GB2312"/>
          <w:sz w:val="32"/>
          <w:szCs w:val="32"/>
          <w:lang w:val="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w:t>
      </w:r>
    </w:p>
    <w:p w14:paraId="74506C15">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shd w:val="clear" w:color="auto" w:fill="FFFFFF"/>
          <w:lang w:val="zh-CN"/>
        </w:rPr>
        <w:t>（二）支出情况。</w:t>
      </w:r>
      <w:r>
        <w:rPr>
          <w:rFonts w:hint="eastAsia" w:ascii="仿宋_GB2312" w:hAnsi="仿宋_GB2312" w:eastAsia="仿宋_GB2312" w:cs="仿宋_GB2312"/>
          <w:sz w:val="32"/>
          <w:szCs w:val="32"/>
        </w:rPr>
        <w:t>本单位2023年支出全年预算数为997.29万元，支出决算数为997.29万元，预算完成度为100%。</w:t>
      </w:r>
      <w:r>
        <w:rPr>
          <w:rFonts w:hint="eastAsia" w:ascii="仿宋_GB2312" w:hAnsi="仿宋_GB2312" w:eastAsia="仿宋_GB2312" w:cs="仿宋_GB2312"/>
          <w:color w:val="000000"/>
          <w:kern w:val="0"/>
          <w:sz w:val="32"/>
          <w:szCs w:val="32"/>
          <w:lang w:val="zh-CN" w:bidi="ar"/>
        </w:rPr>
        <w:t>20</w:t>
      </w:r>
      <w:r>
        <w:rPr>
          <w:rFonts w:hint="eastAsia" w:ascii="仿宋_GB2312" w:hAnsi="仿宋_GB2312" w:eastAsia="仿宋_GB2312" w:cs="仿宋_GB2312"/>
          <w:color w:val="000000"/>
          <w:kern w:val="0"/>
          <w:sz w:val="32"/>
          <w:szCs w:val="32"/>
          <w:lang w:bidi="ar"/>
        </w:rPr>
        <w:t>23</w:t>
      </w:r>
      <w:r>
        <w:rPr>
          <w:rFonts w:hint="eastAsia" w:ascii="仿宋_GB2312" w:hAnsi="仿宋_GB2312" w:eastAsia="仿宋_GB2312" w:cs="仿宋_GB2312"/>
          <w:color w:val="000000"/>
          <w:kern w:val="0"/>
          <w:sz w:val="32"/>
          <w:szCs w:val="32"/>
          <w:lang w:val="zh-CN" w:bidi="ar"/>
        </w:rPr>
        <w:t>年支出合计</w:t>
      </w:r>
      <w:r>
        <w:rPr>
          <w:rFonts w:hint="eastAsia" w:ascii="仿宋_GB2312" w:hAnsi="仿宋_GB2312" w:eastAsia="仿宋_GB2312" w:cs="仿宋_GB2312"/>
          <w:color w:val="000000"/>
          <w:kern w:val="0"/>
          <w:sz w:val="32"/>
          <w:szCs w:val="32"/>
          <w:lang w:bidi="ar"/>
        </w:rPr>
        <w:t>997.29</w:t>
      </w:r>
      <w:r>
        <w:rPr>
          <w:rFonts w:hint="eastAsia" w:ascii="仿宋_GB2312" w:hAnsi="仿宋_GB2312" w:eastAsia="仿宋_GB2312" w:cs="仿宋_GB2312"/>
          <w:color w:val="000000"/>
          <w:kern w:val="0"/>
          <w:sz w:val="32"/>
          <w:szCs w:val="32"/>
          <w:lang w:val="zh-CN" w:bidi="ar"/>
        </w:rPr>
        <w:t>万元，</w:t>
      </w:r>
      <w:r>
        <w:rPr>
          <w:rFonts w:hint="eastAsia" w:ascii="仿宋_GB2312" w:hAnsi="仿宋_GB2312" w:eastAsia="仿宋_GB2312" w:cs="仿宋_GB2312"/>
          <w:sz w:val="32"/>
          <w:szCs w:val="32"/>
          <w:lang w:val="zh-CN"/>
        </w:rPr>
        <w:t>其中：一般公共服务支出（</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778.74</w:t>
      </w:r>
      <w:r>
        <w:rPr>
          <w:rFonts w:hint="eastAsia" w:ascii="仿宋_GB2312" w:hAnsi="仿宋_GB2312" w:eastAsia="仿宋_GB2312" w:cs="仿宋_GB2312"/>
          <w:sz w:val="32"/>
          <w:szCs w:val="32"/>
          <w:lang w:val="zh-CN"/>
        </w:rPr>
        <w:t>万元，完成预算</w:t>
      </w:r>
      <w:r>
        <w:rPr>
          <w:rFonts w:hint="eastAsia" w:ascii="仿宋_GB2312" w:hAnsi="仿宋_GB2312" w:eastAsia="仿宋_GB2312" w:cs="仿宋_GB2312"/>
          <w:sz w:val="32"/>
          <w:szCs w:val="32"/>
        </w:rPr>
        <w:t>总额74.13</w:t>
      </w:r>
      <w:r>
        <w:rPr>
          <w:rFonts w:hint="eastAsia" w:ascii="仿宋_GB2312" w:hAnsi="仿宋_GB2312" w:eastAsia="仿宋_GB2312" w:cs="仿宋_GB2312"/>
          <w:sz w:val="32"/>
          <w:szCs w:val="32"/>
          <w:lang w:val="zh-CN"/>
        </w:rPr>
        <w:t>%。社会保障和就业支出（</w:t>
      </w:r>
      <w:r>
        <w:rPr>
          <w:rFonts w:hint="eastAsia" w:ascii="仿宋_GB2312" w:hAnsi="仿宋_GB2312" w:eastAsia="仿宋_GB2312" w:cs="仿宋_GB2312"/>
          <w:sz w:val="32"/>
          <w:szCs w:val="32"/>
        </w:rPr>
        <w:t>208</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113.57万元，</w:t>
      </w:r>
      <w:r>
        <w:rPr>
          <w:rFonts w:hint="eastAsia" w:ascii="仿宋_GB2312" w:hAnsi="仿宋_GB2312" w:eastAsia="仿宋_GB2312" w:cs="仿宋_GB2312"/>
          <w:sz w:val="32"/>
          <w:szCs w:val="32"/>
          <w:lang w:val="zh-CN"/>
        </w:rPr>
        <w:t>完成预算</w:t>
      </w:r>
      <w:r>
        <w:rPr>
          <w:rFonts w:hint="eastAsia" w:ascii="仿宋_GB2312" w:hAnsi="仿宋_GB2312" w:eastAsia="仿宋_GB2312" w:cs="仿宋_GB2312"/>
          <w:sz w:val="32"/>
          <w:szCs w:val="32"/>
        </w:rPr>
        <w:t>总额10.81</w:t>
      </w:r>
      <w:r>
        <w:rPr>
          <w:rFonts w:hint="eastAsia" w:ascii="仿宋_GB2312" w:hAnsi="仿宋_GB2312" w:eastAsia="仿宋_GB2312" w:cs="仿宋_GB2312"/>
          <w:sz w:val="32"/>
          <w:szCs w:val="32"/>
          <w:lang w:val="zh-CN"/>
        </w:rPr>
        <w:t>%。卫生健康支出（</w:t>
      </w:r>
      <w:r>
        <w:rPr>
          <w:rFonts w:hint="eastAsia" w:ascii="仿宋_GB2312" w:hAnsi="仿宋_GB2312" w:eastAsia="仿宋_GB2312" w:cs="仿宋_GB2312"/>
          <w:sz w:val="32"/>
          <w:szCs w:val="32"/>
        </w:rPr>
        <w:t>210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49.02万元，</w:t>
      </w:r>
      <w:r>
        <w:rPr>
          <w:rFonts w:hint="eastAsia" w:ascii="仿宋_GB2312" w:hAnsi="仿宋_GB2312" w:eastAsia="仿宋_GB2312" w:cs="仿宋_GB2312"/>
          <w:sz w:val="32"/>
          <w:szCs w:val="32"/>
          <w:lang w:val="zh-CN"/>
        </w:rPr>
        <w:t>完成预算</w:t>
      </w:r>
      <w:r>
        <w:rPr>
          <w:rFonts w:hint="eastAsia" w:ascii="仿宋_GB2312" w:hAnsi="仿宋_GB2312" w:eastAsia="仿宋_GB2312" w:cs="仿宋_GB2312"/>
          <w:sz w:val="32"/>
          <w:szCs w:val="32"/>
        </w:rPr>
        <w:t>总额4.67</w:t>
      </w:r>
      <w:r>
        <w:rPr>
          <w:rFonts w:hint="eastAsia" w:ascii="仿宋_GB2312" w:hAnsi="仿宋_GB2312" w:eastAsia="仿宋_GB2312" w:cs="仿宋_GB2312"/>
          <w:sz w:val="32"/>
          <w:szCs w:val="32"/>
          <w:lang w:val="zh-CN"/>
        </w:rPr>
        <w:t>%。住房保障支出（</w:t>
      </w:r>
      <w:r>
        <w:rPr>
          <w:rFonts w:hint="eastAsia" w:ascii="仿宋_GB2312" w:hAnsi="仿宋_GB2312" w:eastAsia="仿宋_GB2312" w:cs="仿宋_GB2312"/>
          <w:sz w:val="32"/>
          <w:szCs w:val="32"/>
        </w:rPr>
        <w:t>221</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55.96万元，</w:t>
      </w:r>
      <w:r>
        <w:rPr>
          <w:rFonts w:hint="eastAsia" w:ascii="仿宋_GB2312" w:hAnsi="仿宋_GB2312" w:eastAsia="仿宋_GB2312" w:cs="仿宋_GB2312"/>
          <w:sz w:val="32"/>
          <w:szCs w:val="32"/>
          <w:lang w:val="zh-CN"/>
        </w:rPr>
        <w:t>完成预算</w:t>
      </w:r>
      <w:r>
        <w:rPr>
          <w:rFonts w:hint="eastAsia" w:ascii="仿宋_GB2312" w:hAnsi="仿宋_GB2312" w:eastAsia="仿宋_GB2312" w:cs="仿宋_GB2312"/>
          <w:sz w:val="32"/>
          <w:szCs w:val="32"/>
        </w:rPr>
        <w:t>总额5.33</w:t>
      </w:r>
      <w:r>
        <w:rPr>
          <w:rFonts w:hint="eastAsia" w:ascii="仿宋_GB2312" w:hAnsi="仿宋_GB2312" w:eastAsia="仿宋_GB2312" w:cs="仿宋_GB2312"/>
          <w:sz w:val="32"/>
          <w:szCs w:val="32"/>
          <w:lang w:val="zh-CN"/>
        </w:rPr>
        <w:t>%。</w:t>
      </w:r>
    </w:p>
    <w:p w14:paraId="371C3AB3">
      <w:pPr>
        <w:widowControl/>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bCs/>
          <w:color w:val="000000"/>
          <w:kern w:val="0"/>
          <w:sz w:val="32"/>
          <w:szCs w:val="32"/>
          <w:shd w:val="clear" w:color="auto" w:fill="FFFFFF"/>
          <w:lang w:val="zh-CN"/>
        </w:rPr>
        <w:t>（三）</w:t>
      </w:r>
      <w:r>
        <w:rPr>
          <w:rFonts w:hint="eastAsia" w:ascii="仿宋_GB2312" w:hAnsi="仿宋_GB2312" w:eastAsia="仿宋_GB2312" w:cs="仿宋_GB2312"/>
          <w:b/>
          <w:sz w:val="32"/>
          <w:szCs w:val="32"/>
        </w:rPr>
        <w:t>结余分配和结转结余情况。</w:t>
      </w:r>
    </w:p>
    <w:p w14:paraId="29940646">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bidi="ar"/>
        </w:rPr>
        <w:t>红原县市场监督管理局2023年决算报表结转结余为0元。</w:t>
      </w:r>
    </w:p>
    <w:p w14:paraId="7288A534">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三、部门预算绩效分析</w:t>
      </w:r>
    </w:p>
    <w:p w14:paraId="14D21CB5">
      <w:pPr>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（一）部门预算总体绩效分析。</w:t>
      </w:r>
      <w:r>
        <w:rPr>
          <w:rFonts w:hint="eastAsia" w:ascii="仿宋_GB2312" w:hAnsi="仿宋_GB2312" w:eastAsia="仿宋_GB2312" w:cs="仿宋_GB2312"/>
          <w:color w:val="000000"/>
          <w:kern w:val="0"/>
          <w:sz w:val="32"/>
          <w:szCs w:val="32"/>
          <w:shd w:val="clear" w:color="auto" w:fill="FFFFFF"/>
          <w:lang w:val="zh-CN"/>
        </w:rPr>
        <w:t>根据部门预算绩效评价指标体系“总体绩效”涉及二、三级指标进行逐项绩效分析并评分，依次包括履职效能、预算管理、财务管理、资产管理、采购管理等情况。</w:t>
      </w:r>
    </w:p>
    <w:p w14:paraId="7DE7379F">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履职效能。</w:t>
      </w:r>
    </w:p>
    <w:p w14:paraId="002C82FB">
      <w:pPr>
        <w:spacing w:line="578"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产出指标：数量指标，药品安全监管风险排查企业数，≥21家，全年完成值应保尽保。</w:t>
      </w:r>
    </w:p>
    <w:p w14:paraId="17DA013E">
      <w:pPr>
        <w:spacing w:line="578"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产出指标：数量指标，医疗器械质量安全监管企业数，≥22家，全年完成值应保尽保。</w:t>
      </w:r>
    </w:p>
    <w:p w14:paraId="322E677D">
      <w:pPr>
        <w:spacing w:line="578"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产出指标：质量指标，食用农产品抽检合格率，≥85%，全年完成值100%。</w:t>
      </w:r>
    </w:p>
    <w:p w14:paraId="354576D1">
      <w:pPr>
        <w:pStyle w:val="2"/>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产出指标：质量指标，特种设备安全监督检查覆盖率，=100%，全年完成值100%。</w:t>
      </w:r>
    </w:p>
    <w:p w14:paraId="738D218B">
      <w:pPr>
        <w:pStyle w:val="2"/>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产出指标：质量指标，药品质量安全监督检查覆盖率，=100%，全年完成值100%。</w:t>
      </w:r>
    </w:p>
    <w:p w14:paraId="016902A8">
      <w:pPr>
        <w:spacing w:line="578"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效益指标：社会效益指标，辖区内重大食品安全、药品安全、特种设备安全事故发生次数，=0次，全年完成值100%。</w:t>
      </w:r>
    </w:p>
    <w:p w14:paraId="5EB42F67">
      <w:pPr>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满意度指标：服务对象满意度指标，群众满意度调查，≥90%，全年完成值100%。</w:t>
      </w:r>
    </w:p>
    <w:p w14:paraId="5D254F5C">
      <w:pPr>
        <w:numPr>
          <w:ilvl w:val="0"/>
          <w:numId w:val="7"/>
        </w:numPr>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预算管理。</w:t>
      </w:r>
    </w:p>
    <w:p w14:paraId="6CB1C9FE">
      <w:pPr>
        <w:spacing w:line="578"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预算编制质量：实际收入与预算收入无差异，实际支出与预算支出无差异。所有应纳入预算的项目被涵盖</w:t>
      </w:r>
      <w:r>
        <w:rPr>
          <w:rFonts w:hint="eastAsia" w:ascii="仿宋_GB2312" w:hAnsi="仿宋_GB2312" w:eastAsia="仿宋_GB2312" w:cs="仿宋_GB2312"/>
          <w:color w:val="000000"/>
          <w:kern w:val="0"/>
          <w:sz w:val="32"/>
          <w:szCs w:val="32"/>
          <w:shd w:val="clear" w:color="auto" w:fill="FFFFFF"/>
        </w:rPr>
        <w:t>100%，预算分配与单位的年度总体目标相匹配。预算编制符合法律法规和内部政策制度。</w:t>
      </w:r>
    </w:p>
    <w:p w14:paraId="17529FD3">
      <w:pPr>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单位收入统筹：</w:t>
      </w:r>
      <w:r>
        <w:rPr>
          <w:rFonts w:hint="eastAsia" w:ascii="仿宋_GB2312" w:hAnsi="仿宋_GB2312" w:eastAsia="仿宋_GB2312" w:cs="仿宋_GB2312"/>
          <w:color w:val="000000"/>
          <w:kern w:val="0"/>
          <w:sz w:val="32"/>
          <w:szCs w:val="32"/>
          <w:shd w:val="clear" w:color="auto" w:fill="FFFFFF"/>
        </w:rPr>
        <w:t>本单位2023年收入全年预算数为997.29万元，收入决算数为997.29万元，预算完成度为100%。</w:t>
      </w:r>
      <w:r>
        <w:rPr>
          <w:rFonts w:hint="eastAsia"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rPr>
        <w:t>23</w:t>
      </w:r>
      <w:r>
        <w:rPr>
          <w:rFonts w:hint="eastAsia" w:ascii="仿宋_GB2312" w:hAnsi="仿宋_GB2312" w:eastAsia="仿宋_GB2312" w:cs="仿宋_GB2312"/>
          <w:color w:val="000000"/>
          <w:kern w:val="0"/>
          <w:sz w:val="32"/>
          <w:szCs w:val="32"/>
          <w:shd w:val="clear" w:color="auto" w:fill="FFFFFF"/>
          <w:lang w:val="zh-CN"/>
        </w:rPr>
        <w:t>年度总收入</w:t>
      </w:r>
      <w:r>
        <w:rPr>
          <w:rFonts w:hint="eastAsia" w:ascii="仿宋_GB2312" w:hAnsi="仿宋_GB2312" w:eastAsia="仿宋_GB2312" w:cs="仿宋_GB2312"/>
          <w:color w:val="000000"/>
          <w:kern w:val="0"/>
          <w:sz w:val="32"/>
          <w:szCs w:val="32"/>
          <w:shd w:val="clear" w:color="auto" w:fill="FFFFFF"/>
        </w:rPr>
        <w:t>997.29</w:t>
      </w:r>
      <w:r>
        <w:rPr>
          <w:rFonts w:hint="eastAsia" w:ascii="仿宋_GB2312" w:hAnsi="仿宋_GB2312" w:eastAsia="仿宋_GB2312" w:cs="仿宋_GB2312"/>
          <w:color w:val="000000"/>
          <w:kern w:val="0"/>
          <w:sz w:val="32"/>
          <w:szCs w:val="32"/>
          <w:shd w:val="clear" w:color="auto" w:fill="FFFFFF"/>
          <w:lang w:val="zh-CN"/>
        </w:rPr>
        <w:t>万元，其中：财政拨款收入</w:t>
      </w:r>
      <w:r>
        <w:rPr>
          <w:rFonts w:hint="eastAsia" w:ascii="仿宋_GB2312" w:hAnsi="仿宋_GB2312" w:eastAsia="仿宋_GB2312" w:cs="仿宋_GB2312"/>
          <w:color w:val="000000"/>
          <w:kern w:val="0"/>
          <w:sz w:val="32"/>
          <w:szCs w:val="32"/>
          <w:shd w:val="clear" w:color="auto" w:fill="FFFFFF"/>
        </w:rPr>
        <w:t>997.29</w:t>
      </w:r>
      <w:r>
        <w:rPr>
          <w:rFonts w:hint="eastAsia" w:ascii="仿宋_GB2312" w:hAnsi="仿宋_GB2312" w:eastAsia="仿宋_GB2312" w:cs="仿宋_GB2312"/>
          <w:color w:val="000000"/>
          <w:kern w:val="0"/>
          <w:sz w:val="32"/>
          <w:szCs w:val="32"/>
          <w:shd w:val="clear" w:color="auto" w:fill="FFFFFF"/>
          <w:lang w:val="zh-CN"/>
        </w:rPr>
        <w:t>万元，占</w:t>
      </w:r>
      <w:r>
        <w:rPr>
          <w:rFonts w:hint="eastAsia" w:ascii="仿宋_GB2312" w:hAnsi="仿宋_GB2312" w:eastAsia="仿宋_GB2312" w:cs="仿宋_GB2312"/>
          <w:color w:val="000000"/>
          <w:kern w:val="0"/>
          <w:sz w:val="32"/>
          <w:szCs w:val="32"/>
          <w:shd w:val="clear" w:color="auto" w:fill="FFFFFF"/>
        </w:rPr>
        <w:t>100</w:t>
      </w:r>
      <w:r>
        <w:rPr>
          <w:rFonts w:hint="eastAsia" w:ascii="仿宋_GB2312" w:hAnsi="仿宋_GB2312" w:eastAsia="仿宋_GB2312" w:cs="仿宋_GB2312"/>
          <w:color w:val="000000"/>
          <w:kern w:val="0"/>
          <w:sz w:val="32"/>
          <w:szCs w:val="32"/>
          <w:shd w:val="clear" w:color="auto" w:fill="FFFFFF"/>
          <w:lang w:val="zh-CN"/>
        </w:rPr>
        <w:t>%；政府性基金预算财政拨款</w:t>
      </w:r>
      <w:r>
        <w:rPr>
          <w:rFonts w:hint="eastAsia"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lang w:val="zh-CN"/>
        </w:rPr>
        <w:t>万元，占</w:t>
      </w:r>
      <w:r>
        <w:rPr>
          <w:rFonts w:hint="eastAsia"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lang w:val="zh-CN"/>
        </w:rPr>
        <w:t>%；其他收入</w:t>
      </w:r>
      <w:r>
        <w:rPr>
          <w:rFonts w:hint="eastAsia"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lang w:val="zh-CN"/>
        </w:rPr>
        <w:t>万元，占</w:t>
      </w:r>
      <w:r>
        <w:rPr>
          <w:rFonts w:hint="eastAsia"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lang w:val="zh-CN"/>
        </w:rPr>
        <w:t>%；上级补助收入0万元，占0%；事业收入0万元，占0%；经营收入0万元，占0%；附属单位上缴收入0万元，占0%；上年项目支出结转和结余</w:t>
      </w:r>
      <w:r>
        <w:rPr>
          <w:rFonts w:hint="eastAsia"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lang w:val="zh-CN"/>
        </w:rPr>
        <w:t>万元，占</w:t>
      </w:r>
      <w:r>
        <w:rPr>
          <w:rFonts w:hint="eastAsia"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lang w:val="zh-CN"/>
        </w:rPr>
        <w:t>%。</w:t>
      </w:r>
    </w:p>
    <w:p w14:paraId="0D1546E0">
      <w:pPr>
        <w:spacing w:line="578"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支出执行进度：</w:t>
      </w:r>
      <w:r>
        <w:rPr>
          <w:rFonts w:hint="eastAsia" w:ascii="仿宋_GB2312" w:hAnsi="仿宋_GB2312" w:eastAsia="仿宋_GB2312" w:cs="仿宋_GB2312"/>
          <w:color w:val="000000"/>
          <w:kern w:val="0"/>
          <w:sz w:val="32"/>
          <w:szCs w:val="32"/>
          <w:shd w:val="clear" w:color="auto" w:fill="FFFFFF"/>
        </w:rPr>
        <w:t>2023年度支出全年预算数为997.29万元，支出决算数为997.29万元，预算完成度为100%，执行进度100%。</w:t>
      </w:r>
    </w:p>
    <w:p w14:paraId="58208848">
      <w:pPr>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预算年终结余：无。</w:t>
      </w:r>
    </w:p>
    <w:p w14:paraId="1E99BFDF">
      <w:pPr>
        <w:numPr>
          <w:ilvl w:val="0"/>
          <w:numId w:val="7"/>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财务管理。围绕财务管理制度、财务岗位设置、资金使用规范进行绩效分析。</w:t>
      </w:r>
    </w:p>
    <w:p w14:paraId="29D168F3">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14:paraId="0AC298A6">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14:paraId="1AF044FF">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A</w:t>
      </w:r>
      <w:r>
        <w:rPr>
          <w:rFonts w:hint="eastAsia" w:ascii="仿宋_GB2312" w:hAnsi="仿宋_GB2312" w:eastAsia="仿宋_GB2312" w:cs="仿宋_GB2312"/>
          <w:color w:val="000000"/>
          <w:kern w:val="0"/>
          <w:sz w:val="32"/>
          <w:szCs w:val="32"/>
          <w:shd w:val="clear" w:color="auto" w:fill="FFFFFF"/>
          <w:lang w:val="zh-CN"/>
        </w:rPr>
        <w:t>、明确了记账人员与审批人员、经办人员的职责权限，使其相互分离、相互制约，以明确责任，防止舞弊，各项业务事项得以有序进行。</w:t>
      </w:r>
    </w:p>
    <w:p w14:paraId="0426CCD5">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B</w:t>
      </w:r>
      <w:r>
        <w:rPr>
          <w:rFonts w:hint="eastAsia" w:ascii="仿宋_GB2312" w:hAnsi="仿宋_GB2312" w:eastAsia="仿宋_GB2312" w:cs="仿宋_GB2312"/>
          <w:color w:val="000000"/>
          <w:kern w:val="0"/>
          <w:sz w:val="32"/>
          <w:szCs w:val="32"/>
          <w:shd w:val="clear" w:color="auto" w:fill="FFFFFF"/>
          <w:lang w:val="zh-CN"/>
        </w:rPr>
        <w:t>、明确了财务收支审批程序和审批人的权限和责任，规范了各项资金的使用，提高了资金使用效益。</w:t>
      </w:r>
    </w:p>
    <w:p w14:paraId="5B6478ED">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C</w:t>
      </w:r>
      <w:r>
        <w:rPr>
          <w:rFonts w:hint="eastAsia" w:ascii="仿宋_GB2312" w:hAnsi="仿宋_GB2312" w:eastAsia="仿宋_GB2312" w:cs="仿宋_GB2312"/>
          <w:color w:val="000000"/>
          <w:kern w:val="0"/>
          <w:sz w:val="32"/>
          <w:szCs w:val="32"/>
          <w:shd w:val="clear" w:color="auto" w:fill="FFFFFF"/>
          <w:lang w:val="zh-CN"/>
        </w:rPr>
        <w:t>、明确经费支出的范围和开支标准，采取各种有效措施控制经费开支，杜绝了浪费现象的发生。</w:t>
      </w:r>
    </w:p>
    <w:p w14:paraId="705E4FE4">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D</w:t>
      </w:r>
      <w:r>
        <w:rPr>
          <w:rFonts w:hint="eastAsia" w:ascii="仿宋_GB2312" w:hAnsi="仿宋_GB2312" w:eastAsia="仿宋_GB2312" w:cs="仿宋_GB2312"/>
          <w:color w:val="000000"/>
          <w:kern w:val="0"/>
          <w:sz w:val="32"/>
          <w:szCs w:val="32"/>
          <w:shd w:val="clear" w:color="auto" w:fill="FFFFFF"/>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14:paraId="7040DB50">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资产管理。</w:t>
      </w:r>
    </w:p>
    <w:p w14:paraId="0AB9D8DB">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人均资产变化率：无变化。</w:t>
      </w:r>
    </w:p>
    <w:p w14:paraId="43260C77">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资产利用率：</w:t>
      </w:r>
      <w:r>
        <w:rPr>
          <w:rFonts w:hint="eastAsia" w:ascii="仿宋_GB2312" w:hAnsi="仿宋_GB2312" w:eastAsia="仿宋_GB2312" w:cs="仿宋_GB2312"/>
          <w:color w:val="000000"/>
          <w:kern w:val="0"/>
          <w:sz w:val="32"/>
          <w:szCs w:val="32"/>
          <w:shd w:val="clear" w:color="auto" w:fill="FFFFFF"/>
        </w:rPr>
        <w:t>100%。</w:t>
      </w:r>
    </w:p>
    <w:p w14:paraId="2D7E4342">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资产盘活率：</w:t>
      </w:r>
      <w:r>
        <w:rPr>
          <w:rFonts w:hint="eastAsia" w:ascii="仿宋_GB2312" w:hAnsi="仿宋_GB2312" w:eastAsia="仿宋_GB2312" w:cs="仿宋_GB2312"/>
          <w:color w:val="000000"/>
          <w:kern w:val="0"/>
          <w:sz w:val="32"/>
          <w:szCs w:val="32"/>
          <w:shd w:val="clear" w:color="auto" w:fill="FFFFFF"/>
        </w:rPr>
        <w:t>95%。</w:t>
      </w:r>
    </w:p>
    <w:p w14:paraId="75325930">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14:paraId="0186A47C">
      <w:pPr>
        <w:numPr>
          <w:ilvl w:val="0"/>
          <w:numId w:val="7"/>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采购管理。围绕支持中小企业发展、采购执行率进行绩效分析。</w:t>
      </w:r>
    </w:p>
    <w:p w14:paraId="6F85882E">
      <w:pPr>
        <w:pStyle w:val="14"/>
        <w:ind w:left="64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本单位无采购。</w:t>
      </w:r>
    </w:p>
    <w:p w14:paraId="6472D6FE">
      <w:pPr>
        <w:widowControl/>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lang w:val="zh-CN"/>
        </w:rPr>
        <w:t>（二）部门预算项目绩效分析。</w:t>
      </w:r>
      <w:r>
        <w:rPr>
          <w:rFonts w:hint="eastAsia" w:ascii="仿宋_GB2312" w:hAnsi="仿宋_GB2312" w:eastAsia="仿宋_GB2312" w:cs="仿宋_GB2312"/>
          <w:color w:val="000000"/>
          <w:kern w:val="0"/>
          <w:sz w:val="32"/>
          <w:szCs w:val="32"/>
          <w:shd w:val="clear" w:color="auto" w:fill="FFFFFF"/>
          <w:lang w:val="zh-CN"/>
        </w:rPr>
        <w:t>填报以下数据，并根据部门预算绩效评价指标体系“项目绩效”涉及二、三级指标进行逐项绩效分析并评分，依次包括项目</w:t>
      </w:r>
      <w:r>
        <w:rPr>
          <w:rFonts w:hint="eastAsia" w:ascii="仿宋_GB2312" w:hAnsi="仿宋_GB2312" w:eastAsia="仿宋_GB2312" w:cs="仿宋_GB2312"/>
          <w:color w:val="000000"/>
          <w:kern w:val="0"/>
          <w:sz w:val="32"/>
          <w:szCs w:val="32"/>
          <w:shd w:val="clear" w:color="auto" w:fill="FFFFFF"/>
        </w:rPr>
        <w:t>决策、项目执行、目标实现等情况。</w:t>
      </w:r>
    </w:p>
    <w:p w14:paraId="7228AE9A">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常年项目绩效分析。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rPr>
        <w:t>11</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rPr>
        <w:t xml:space="preserve">   91.95</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rPr>
        <w:t>87.99</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个。</w:t>
      </w:r>
    </w:p>
    <w:p w14:paraId="509D8B87">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阶段（一次性）项目绩效分析。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rPr>
        <w:t>18.90</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rPr>
        <w:t>100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lang w:val="zh-CN"/>
        </w:rPr>
        <w:t>个。</w:t>
      </w:r>
    </w:p>
    <w:p w14:paraId="122DB4C5">
      <w:pPr>
        <w:numPr>
          <w:ilvl w:val="0"/>
          <w:numId w:val="8"/>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项目决策。</w:t>
      </w:r>
    </w:p>
    <w:p w14:paraId="17F5EBE0">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决策程序：</w:t>
      </w:r>
      <w:r>
        <w:rPr>
          <w:rFonts w:hint="eastAsia" w:ascii="仿宋_GB2312" w:hAnsi="仿宋_GB2312" w:eastAsia="仿宋_GB2312" w:cs="仿宋_GB2312"/>
          <w:color w:val="000000"/>
          <w:kern w:val="0"/>
          <w:sz w:val="32"/>
          <w:szCs w:val="32"/>
          <w:shd w:val="clear" w:color="auto" w:fill="FFFFFF"/>
        </w:rPr>
        <w:t>加强对领导机关、领导干部特别是各级领导班子主要负责人的监督。认真检查党的路线、方针、政策和决议的执行情况，监督民主集中制及领导班子议事规则落实情况，反属重大决策、重要干部任免、重大项目安排和大额度资金的使用，必须由领导班子集体作出决定。</w:t>
      </w:r>
    </w:p>
    <w:p w14:paraId="790A5B07">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目标设置：夯实基础、强化组织保障、落实责任、提升能力、强化效能，推动食品药品安全监管、市场管理、质量监督水平 在上新台阶。一时优化服务，保障经济发展，持续建立清单化管理制度和更新机制，持续提升营商环境；二是全面履职尽责，严防安全底线，持续全面加强食品安全监管，全力保障重大活动食品安全工作，保障用药、用械、用妆安全，加强特种设备监管，开展计量工作监督检查；三是加大执法，保障公平竞争，开展旅游市场价格行为监管，加强网络旅游经营行为监管，加大案件查处力度。</w:t>
      </w:r>
    </w:p>
    <w:p w14:paraId="4CCDA3D6">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项目入库：</w:t>
      </w:r>
      <w:r>
        <w:rPr>
          <w:rFonts w:hint="eastAsia" w:ascii="仿宋_GB2312" w:hAnsi="仿宋_GB2312" w:eastAsia="仿宋_GB2312" w:cs="仿宋_GB2312"/>
          <w:color w:val="000000"/>
          <w:kern w:val="0"/>
          <w:sz w:val="32"/>
          <w:szCs w:val="32"/>
          <w:shd w:val="clear" w:color="auto" w:fill="FFFFFF"/>
        </w:rPr>
        <w:t>严格</w:t>
      </w:r>
      <w:r>
        <w:rPr>
          <w:rFonts w:hint="eastAsia" w:ascii="仿宋_GB2312" w:hAnsi="仿宋_GB2312" w:eastAsia="仿宋_GB2312" w:cs="仿宋_GB2312"/>
          <w:color w:val="000000"/>
          <w:kern w:val="0"/>
          <w:sz w:val="32"/>
          <w:szCs w:val="32"/>
          <w:shd w:val="clear" w:color="auto" w:fill="FFFFFF"/>
          <w:lang w:val="zh-CN"/>
        </w:rPr>
        <w:t>按照程序以及要求，项目在资金使用前必须进行项目入库。</w:t>
      </w:r>
    </w:p>
    <w:p w14:paraId="712128B4">
      <w:pPr>
        <w:numPr>
          <w:ilvl w:val="0"/>
          <w:numId w:val="8"/>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项目执行</w:t>
      </w:r>
      <w:r>
        <w:rPr>
          <w:rFonts w:hint="eastAsia" w:ascii="仿宋_GB2312" w:hAnsi="仿宋_GB2312" w:eastAsia="仿宋_GB2312" w:cs="仿宋_GB2312"/>
          <w:color w:val="000000"/>
          <w:kern w:val="0"/>
          <w:sz w:val="32"/>
          <w:szCs w:val="32"/>
          <w:shd w:val="clear" w:color="auto" w:fill="FFFFFF"/>
          <w:lang w:val="zh-CN"/>
        </w:rPr>
        <w:t>。</w:t>
      </w:r>
    </w:p>
    <w:p w14:paraId="68AEA92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2023年预算决算总收入997.29万元，2023年支出合计997.29万元，资金使用率100%。</w:t>
      </w:r>
      <w:r>
        <w:rPr>
          <w:rFonts w:hint="eastAsia" w:ascii="仿宋_GB2312" w:hAnsi="仿宋_GB2312" w:eastAsia="仿宋_GB2312" w:cs="仿宋_GB2312"/>
          <w:sz w:val="32"/>
          <w:szCs w:val="32"/>
          <w:lang w:val="zh-CN"/>
        </w:rPr>
        <w:t>其中：一般公共服务支出（</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zh-CN"/>
        </w:rPr>
        <w:t>）决算为</w:t>
      </w:r>
      <w:r>
        <w:rPr>
          <w:rFonts w:hint="eastAsia" w:ascii="仿宋_GB2312" w:hAnsi="仿宋_GB2312" w:eastAsia="仿宋_GB2312" w:cs="仿宋_GB2312"/>
          <w:sz w:val="32"/>
          <w:szCs w:val="32"/>
        </w:rPr>
        <w:t>778.74</w:t>
      </w:r>
      <w:r>
        <w:rPr>
          <w:rFonts w:hint="eastAsia" w:ascii="仿宋_GB2312" w:hAnsi="仿宋_GB2312" w:eastAsia="仿宋_GB2312" w:cs="仿宋_GB2312"/>
          <w:sz w:val="32"/>
          <w:szCs w:val="32"/>
          <w:lang w:val="zh-CN"/>
        </w:rPr>
        <w:t>万元，完成预算</w:t>
      </w:r>
      <w:r>
        <w:rPr>
          <w:rFonts w:hint="eastAsia" w:ascii="仿宋_GB2312" w:hAnsi="仿宋_GB2312" w:eastAsia="仿宋_GB2312" w:cs="仿宋_GB2312"/>
          <w:sz w:val="32"/>
          <w:szCs w:val="32"/>
        </w:rPr>
        <w:t>总额74.13</w:t>
      </w:r>
      <w:r>
        <w:rPr>
          <w:rFonts w:hint="eastAsia" w:ascii="仿宋_GB2312" w:hAnsi="仿宋_GB2312" w:eastAsia="仿宋_GB2312" w:cs="仿宋_GB2312"/>
          <w:sz w:val="32"/>
          <w:szCs w:val="32"/>
          <w:lang w:val="zh-CN"/>
        </w:rPr>
        <w:t>%。社会保障和就业支出（</w:t>
      </w:r>
      <w:r>
        <w:rPr>
          <w:rFonts w:hint="eastAsia" w:ascii="仿宋_GB2312" w:hAnsi="仿宋_GB2312" w:eastAsia="仿宋_GB2312" w:cs="仿宋_GB2312"/>
          <w:sz w:val="32"/>
          <w:szCs w:val="32"/>
        </w:rPr>
        <w:t>208</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113.57万元，</w:t>
      </w:r>
      <w:r>
        <w:rPr>
          <w:rFonts w:hint="eastAsia" w:ascii="仿宋_GB2312" w:hAnsi="仿宋_GB2312" w:eastAsia="仿宋_GB2312" w:cs="仿宋_GB2312"/>
          <w:sz w:val="32"/>
          <w:szCs w:val="32"/>
          <w:lang w:val="zh-CN"/>
        </w:rPr>
        <w:t>完成预算</w:t>
      </w:r>
      <w:r>
        <w:rPr>
          <w:rFonts w:hint="eastAsia" w:ascii="仿宋_GB2312" w:hAnsi="仿宋_GB2312" w:eastAsia="仿宋_GB2312" w:cs="仿宋_GB2312"/>
          <w:sz w:val="32"/>
          <w:szCs w:val="32"/>
        </w:rPr>
        <w:t>总额10.81</w:t>
      </w:r>
      <w:r>
        <w:rPr>
          <w:rFonts w:hint="eastAsia" w:ascii="仿宋_GB2312" w:hAnsi="仿宋_GB2312" w:eastAsia="仿宋_GB2312" w:cs="仿宋_GB2312"/>
          <w:sz w:val="32"/>
          <w:szCs w:val="32"/>
          <w:lang w:val="zh-CN"/>
        </w:rPr>
        <w:t>%。卫生健康支出（</w:t>
      </w:r>
      <w:r>
        <w:rPr>
          <w:rFonts w:hint="eastAsia" w:ascii="仿宋_GB2312" w:hAnsi="仿宋_GB2312" w:eastAsia="仿宋_GB2312" w:cs="仿宋_GB2312"/>
          <w:sz w:val="32"/>
          <w:szCs w:val="32"/>
        </w:rPr>
        <w:t>210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49.02万元，</w:t>
      </w:r>
      <w:r>
        <w:rPr>
          <w:rFonts w:hint="eastAsia" w:ascii="仿宋_GB2312" w:hAnsi="仿宋_GB2312" w:eastAsia="仿宋_GB2312" w:cs="仿宋_GB2312"/>
          <w:sz w:val="32"/>
          <w:szCs w:val="32"/>
          <w:lang w:val="zh-CN"/>
        </w:rPr>
        <w:t>完成预算</w:t>
      </w:r>
      <w:r>
        <w:rPr>
          <w:rFonts w:hint="eastAsia" w:ascii="仿宋_GB2312" w:hAnsi="仿宋_GB2312" w:eastAsia="仿宋_GB2312" w:cs="仿宋_GB2312"/>
          <w:sz w:val="32"/>
          <w:szCs w:val="32"/>
        </w:rPr>
        <w:t>总额4.67</w:t>
      </w:r>
      <w:r>
        <w:rPr>
          <w:rFonts w:hint="eastAsia" w:ascii="仿宋_GB2312" w:hAnsi="仿宋_GB2312" w:eastAsia="仿宋_GB2312" w:cs="仿宋_GB2312"/>
          <w:sz w:val="32"/>
          <w:szCs w:val="32"/>
          <w:lang w:val="zh-CN"/>
        </w:rPr>
        <w:t>%。住房保障支出（</w:t>
      </w:r>
      <w:r>
        <w:rPr>
          <w:rFonts w:hint="eastAsia" w:ascii="仿宋_GB2312" w:hAnsi="仿宋_GB2312" w:eastAsia="仿宋_GB2312" w:cs="仿宋_GB2312"/>
          <w:sz w:val="32"/>
          <w:szCs w:val="32"/>
        </w:rPr>
        <w:t>221</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55.96万元，</w:t>
      </w:r>
      <w:r>
        <w:rPr>
          <w:rFonts w:hint="eastAsia" w:ascii="仿宋_GB2312" w:hAnsi="仿宋_GB2312" w:eastAsia="仿宋_GB2312" w:cs="仿宋_GB2312"/>
          <w:sz w:val="32"/>
          <w:szCs w:val="32"/>
          <w:lang w:val="zh-CN"/>
        </w:rPr>
        <w:t>完成预算</w:t>
      </w:r>
      <w:r>
        <w:rPr>
          <w:rFonts w:hint="eastAsia" w:ascii="仿宋_GB2312" w:hAnsi="仿宋_GB2312" w:eastAsia="仿宋_GB2312" w:cs="仿宋_GB2312"/>
          <w:sz w:val="32"/>
          <w:szCs w:val="32"/>
        </w:rPr>
        <w:t>总额5.33</w:t>
      </w:r>
      <w:r>
        <w:rPr>
          <w:rFonts w:hint="eastAsia" w:ascii="仿宋_GB2312" w:hAnsi="仿宋_GB2312" w:eastAsia="仿宋_GB2312" w:cs="仿宋_GB2312"/>
          <w:sz w:val="32"/>
          <w:szCs w:val="32"/>
          <w:lang w:val="zh-CN"/>
        </w:rPr>
        <w:t>%。</w:t>
      </w:r>
    </w:p>
    <w:p w14:paraId="6A73DD20">
      <w:pPr>
        <w:numPr>
          <w:ilvl w:val="0"/>
          <w:numId w:val="8"/>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目标实现。围绕目标完成、目标偏离、实现效果进行绩效分析。</w:t>
      </w:r>
    </w:p>
    <w:p w14:paraId="67717EAD">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2023年</w:t>
      </w:r>
      <w:r>
        <w:rPr>
          <w:rFonts w:hint="eastAsia" w:ascii="仿宋_GB2312" w:hAnsi="仿宋_GB2312" w:eastAsia="仿宋_GB2312" w:cs="仿宋_GB2312"/>
          <w:color w:val="000000"/>
          <w:kern w:val="0"/>
          <w:sz w:val="32"/>
          <w:szCs w:val="32"/>
          <w:shd w:val="clear" w:color="auto" w:fill="FFFFFF"/>
          <w:lang w:val="zh-CN"/>
        </w:rPr>
        <w:t>我局</w:t>
      </w:r>
      <w:r>
        <w:rPr>
          <w:rFonts w:hint="eastAsia" w:ascii="仿宋_GB2312" w:hAnsi="仿宋_GB2312" w:eastAsia="仿宋_GB2312" w:cs="仿宋_GB2312"/>
          <w:color w:val="000000"/>
          <w:kern w:val="0"/>
          <w:sz w:val="32"/>
          <w:szCs w:val="32"/>
          <w:shd w:val="clear" w:color="auto" w:fill="FFFFFF"/>
        </w:rPr>
        <w:t>目标完成100%，未偏离目标。</w:t>
      </w:r>
      <w:r>
        <w:rPr>
          <w:rFonts w:hint="eastAsia" w:ascii="仿宋_GB2312" w:hAnsi="仿宋_GB2312" w:eastAsia="仿宋_GB2312" w:cs="仿宋_GB2312"/>
          <w:color w:val="000000"/>
          <w:kern w:val="0"/>
          <w:sz w:val="32"/>
          <w:szCs w:val="32"/>
          <w:shd w:val="clear" w:color="auto" w:fill="FFFFFF"/>
          <w:lang w:val="zh-CN"/>
        </w:rPr>
        <w:t>夯实基础、强化组织保障、落实责任、提升能力、强化效能，推动食品药品安全监管、市场管理、质量监督水平 在上新台阶。一时优化服务，保障经济发展，持续建立清单化管理制度和更新机制，持续提升营商环境；二是全面履职尽责，严防安全底线，持续全面加强食品安全监管，全力保障重大活动食品安全工作，保障用药、用械、用妆安全，加强特种设备监管，开展计量工作监督检查；三是加大执法，保障公平竞争，开展旅游市场价格行为监管，加强网络旅游经营行为监管，加大案件查处力度。</w:t>
      </w:r>
    </w:p>
    <w:p w14:paraId="44D52D09">
      <w:pPr>
        <w:widowControl/>
        <w:numPr>
          <w:ilvl w:val="0"/>
          <w:numId w:val="9"/>
        </w:numPr>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重点领域绩效分析。</w:t>
      </w:r>
    </w:p>
    <w:p w14:paraId="1DF82D26">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sz w:val="32"/>
          <w:szCs w:val="32"/>
        </w:rPr>
        <w:t>我单位2023年未涉及重点领域事项。</w:t>
      </w:r>
    </w:p>
    <w:p w14:paraId="049426F5">
      <w:pPr>
        <w:numPr>
          <w:ilvl w:val="0"/>
          <w:numId w:val="9"/>
        </w:numPr>
        <w:snapToGrid w:val="0"/>
        <w:spacing w:line="600" w:lineRule="exact"/>
        <w:ind w:firstLine="643"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sz w:val="32"/>
          <w:szCs w:val="32"/>
          <w:lang w:val="zh-CN"/>
        </w:rPr>
        <w:t>绩效结果应用情况。</w:t>
      </w:r>
    </w:p>
    <w:p w14:paraId="68913C7E">
      <w:pPr>
        <w:spacing w:line="56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zh-CN"/>
        </w:rPr>
        <w:t>我局部门绩效结果应用到了下一年的绩效目标设定与调整。根据支出预决算，为下一年度的预算提供了基础预算数据。优化了</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zh-CN"/>
        </w:rPr>
        <w:t>资金的使用率。保障了机关日常正常运转，专项资金保障了食品</w:t>
      </w:r>
      <w:r>
        <w:rPr>
          <w:rFonts w:hint="eastAsia" w:ascii="仿宋_GB2312" w:hAnsi="仿宋_GB2312" w:eastAsia="仿宋_GB2312" w:cs="仿宋_GB2312"/>
          <w:sz w:val="32"/>
          <w:szCs w:val="32"/>
        </w:rPr>
        <w:t>药品</w:t>
      </w:r>
      <w:r>
        <w:rPr>
          <w:rFonts w:hint="eastAsia" w:ascii="仿宋_GB2312" w:hAnsi="仿宋_GB2312" w:eastAsia="仿宋_GB2312" w:cs="仿宋_GB2312"/>
          <w:sz w:val="32"/>
          <w:szCs w:val="32"/>
          <w:lang w:val="zh-CN"/>
        </w:rPr>
        <w:t>安全工作，同时在维护少数民族地区的社会稳定，提高人民生活水平，改善人民生活质量等方面有着极其重要的意义，有力促进了社会和谐发展，为全县及乡镇的经济发展作出了应有的贡献，</w:t>
      </w:r>
      <w:r>
        <w:rPr>
          <w:rFonts w:hint="eastAsia" w:ascii="仿宋_GB2312" w:hAnsi="仿宋_GB2312" w:eastAsia="仿宋_GB2312" w:cs="仿宋_GB2312"/>
          <w:sz w:val="32"/>
          <w:szCs w:val="32"/>
        </w:rPr>
        <w:t>2023年预算及决算已在政府信息公开网站进行了公开。</w:t>
      </w:r>
    </w:p>
    <w:p w14:paraId="10D27B34">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四、评价结论及建议</w:t>
      </w:r>
    </w:p>
    <w:p w14:paraId="6C1F2BEE">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（一）评价结论。</w:t>
      </w:r>
      <w:bookmarkStart w:id="49" w:name="_GoBack"/>
      <w:bookmarkEnd w:id="49"/>
    </w:p>
    <w:p w14:paraId="4C8224DA">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我局部门支出预算，保障了机关日常正常运转，专项资金保障了食品</w:t>
      </w:r>
      <w:r>
        <w:rPr>
          <w:rFonts w:hint="eastAsia" w:ascii="仿宋_GB2312" w:hAnsi="仿宋_GB2312" w:eastAsia="仿宋_GB2312" w:cs="仿宋_GB2312"/>
          <w:sz w:val="32"/>
          <w:szCs w:val="32"/>
        </w:rPr>
        <w:t>药品</w:t>
      </w:r>
      <w:r>
        <w:rPr>
          <w:rFonts w:hint="eastAsia" w:ascii="仿宋_GB2312" w:hAnsi="仿宋_GB2312" w:eastAsia="仿宋_GB2312" w:cs="仿宋_GB2312"/>
          <w:sz w:val="32"/>
          <w:szCs w:val="32"/>
          <w:lang w:val="zh-CN"/>
        </w:rPr>
        <w:t>安全工作，同时在维护少数民族地区的社会稳定，提高人民生活水平，改善人民生活质量等方面有着极其重要的意义，有力促进了社会和谐发展，为全县及乡镇的经济发展作出了应有的贡献，部门整体支出绩效自评等级为优秀。</w:t>
      </w:r>
    </w:p>
    <w:p w14:paraId="2B050D5A">
      <w:pPr>
        <w:numPr>
          <w:ilvl w:val="0"/>
          <w:numId w:val="10"/>
        </w:numPr>
        <w:autoSpaceDE w:val="0"/>
        <w:spacing w:line="560" w:lineRule="exact"/>
        <w:ind w:firstLine="643" w:firstLineChars="200"/>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存在问题。</w:t>
      </w:r>
    </w:p>
    <w:p w14:paraId="352D5D73">
      <w:pPr>
        <w:autoSpaceDE w:val="0"/>
        <w:spacing w:line="560" w:lineRule="exact"/>
        <w:ind w:firstLine="640" w:firstLineChars="200"/>
        <w:jc w:val="left"/>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由于财政支出的多样性和复杂性，绩效评价指标体系设置难度大，即使可以量化，但实际操作中很多项目间缺乏可比性且指标本身也在逐步变化，需要逐步完善。</w:t>
      </w:r>
    </w:p>
    <w:p w14:paraId="70A8861E">
      <w:pPr>
        <w:autoSpaceDE w:val="0"/>
        <w:spacing w:line="560" w:lineRule="exact"/>
        <w:ind w:firstLine="640" w:firstLineChars="200"/>
        <w:jc w:val="left"/>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bidi="ar"/>
        </w:rPr>
        <w:t xml:space="preserve">    在平时工作推进过程中，缺乏技术人员进行专业指导及培训，工作推进存在一定困难，预算编制还需更加精准。</w:t>
      </w:r>
    </w:p>
    <w:p w14:paraId="253F0A82">
      <w:pPr>
        <w:numPr>
          <w:ilvl w:val="0"/>
          <w:numId w:val="10"/>
        </w:numPr>
        <w:autoSpaceDE w:val="0"/>
        <w:spacing w:line="560" w:lineRule="exact"/>
        <w:ind w:firstLine="643" w:firstLineChars="200"/>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改进建议。</w:t>
      </w:r>
    </w:p>
    <w:p w14:paraId="22DE53B4">
      <w:pPr>
        <w:autoSpaceDE w:val="0"/>
        <w:spacing w:line="560" w:lineRule="exact"/>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1.通过各种途径加强绩效管理学习，科学合理编制预算，严格执行预算。</w:t>
      </w:r>
    </w:p>
    <w:p w14:paraId="10189A59">
      <w:pPr>
        <w:autoSpaceDE w:val="0"/>
        <w:spacing w:line="560" w:lineRule="exact"/>
        <w:ind w:firstLine="640" w:firstLineChars="200"/>
        <w:jc w:val="left"/>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bidi="ar"/>
        </w:rPr>
        <w:t>2.规范账务处理，提高财务信息质量。</w:t>
      </w:r>
    </w:p>
    <w:p w14:paraId="1CA1A338"/>
    <w:p w14:paraId="7DD17426">
      <w:pPr>
        <w:rPr>
          <w:rFonts w:ascii="黑体" w:hAnsi="黑体" w:eastAsia="黑体"/>
          <w:sz w:val="32"/>
          <w:szCs w:val="32"/>
        </w:rPr>
      </w:pPr>
      <w:r>
        <w:rPr>
          <w:rFonts w:hint="eastAsia" w:ascii="黑体" w:hAnsi="黑体" w:eastAsia="黑体"/>
          <w:sz w:val="32"/>
          <w:szCs w:val="32"/>
        </w:rPr>
        <w:t>附件2</w:t>
      </w:r>
    </w:p>
    <w:p w14:paraId="707070AB">
      <w:pPr>
        <w:pStyle w:val="36"/>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红原县市场监督管理局</w:t>
      </w:r>
    </w:p>
    <w:p w14:paraId="67D9CC9E">
      <w:pPr>
        <w:pStyle w:val="36"/>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lang w:val="en-US" w:eastAsia="zh-CN"/>
        </w:rPr>
        <w:t>2023年</w:t>
      </w:r>
      <w:r>
        <w:rPr>
          <w:rFonts w:hint="eastAsia" w:ascii="方正小标宋简体" w:hAnsi="宋体" w:eastAsia="方正小标宋简体"/>
          <w:sz w:val="44"/>
          <w:szCs w:val="44"/>
          <w:lang w:eastAsia="zh-CN"/>
        </w:rPr>
        <w:t>专项预算项目支出</w:t>
      </w:r>
      <w:r>
        <w:rPr>
          <w:rFonts w:hint="eastAsia" w:ascii="方正小标宋简体" w:hAnsi="宋体" w:eastAsia="方正小标宋简体"/>
          <w:sz w:val="44"/>
          <w:szCs w:val="44"/>
        </w:rPr>
        <w:t>绩效自评</w:t>
      </w:r>
    </w:p>
    <w:p w14:paraId="3D6B44E9">
      <w:pPr>
        <w:pStyle w:val="36"/>
        <w:keepNext w:val="0"/>
        <w:keepLines w:val="0"/>
        <w:pageBreakBefore w:val="0"/>
        <w:widowControl w:val="0"/>
        <w:kinsoku/>
        <w:wordWrap/>
        <w:overflowPunct/>
        <w:topLinePunct w:val="0"/>
        <w:autoSpaceDE/>
        <w:autoSpaceDN/>
        <w:bidi w:val="0"/>
        <w:spacing w:line="560" w:lineRule="exact"/>
        <w:jc w:val="center"/>
        <w:textAlignment w:val="auto"/>
        <w:rPr>
          <w:rFonts w:ascii="仿宋_GB2312" w:hAnsi="宋体" w:eastAsia="仿宋_GB2312"/>
          <w:color w:val="auto"/>
          <w:kern w:val="2"/>
          <w:sz w:val="32"/>
          <w:szCs w:val="32"/>
        </w:rPr>
      </w:pPr>
      <w:r>
        <w:rPr>
          <w:rFonts w:hint="eastAsia" w:ascii="方正小标宋简体" w:hAnsi="宋体" w:eastAsia="方正小标宋简体"/>
          <w:sz w:val="44"/>
          <w:szCs w:val="44"/>
        </w:rPr>
        <w:t>报告</w:t>
      </w:r>
    </w:p>
    <w:p w14:paraId="53B80BFC">
      <w:pPr>
        <w:pStyle w:val="36"/>
        <w:keepNext w:val="0"/>
        <w:keepLines w:val="0"/>
        <w:pageBreakBefore w:val="0"/>
        <w:widowControl w:val="0"/>
        <w:kinsoku/>
        <w:wordWrap/>
        <w:overflowPunct/>
        <w:topLinePunct w:val="0"/>
        <w:autoSpaceDE/>
        <w:autoSpaceDN/>
        <w:bidi w:val="0"/>
        <w:spacing w:line="560" w:lineRule="exact"/>
        <w:ind w:firstLine="640"/>
        <w:jc w:val="center"/>
        <w:textAlignment w:val="auto"/>
        <w:rPr>
          <w:rFonts w:ascii="宋体" w:hAnsi="宋体"/>
          <w:color w:val="auto"/>
          <w:kern w:val="2"/>
          <w:sz w:val="32"/>
          <w:szCs w:val="32"/>
        </w:rPr>
      </w:pPr>
    </w:p>
    <w:p w14:paraId="3B61B15F">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14:paraId="165ED1C5">
      <w:pPr>
        <w:pStyle w:val="13"/>
        <w:widowControl/>
        <w:spacing w:before="226" w:line="375" w:lineRule="atLeast"/>
        <w:ind w:firstLine="624" w:firstLineChars="200"/>
        <w:rPr>
          <w:rFonts w:hint="eastAsia" w:ascii="仿宋_GB2312" w:hAnsi="仿宋_GB2312" w:eastAsia="仿宋_GB2312" w:cs="仿宋_GB2312"/>
          <w:spacing w:val="-4"/>
          <w:kern w:val="2"/>
          <w:sz w:val="32"/>
          <w:szCs w:val="32"/>
        </w:rPr>
      </w:pPr>
      <w:r>
        <w:rPr>
          <w:rFonts w:hint="eastAsia" w:ascii="仿宋_GB2312" w:hAnsi="仿宋_GB2312" w:eastAsia="仿宋_GB2312" w:cs="仿宋_GB2312"/>
          <w:spacing w:val="-4"/>
          <w:kern w:val="2"/>
          <w:sz w:val="32"/>
          <w:szCs w:val="32"/>
        </w:rPr>
        <w:t>根据省财政厅《关于下达202</w:t>
      </w:r>
      <w:r>
        <w:rPr>
          <w:rFonts w:hint="eastAsia" w:ascii="仿宋_GB2312" w:hAnsi="仿宋_GB2312" w:eastAsia="仿宋_GB2312" w:cs="仿宋_GB2312"/>
          <w:spacing w:val="-4"/>
          <w:kern w:val="2"/>
          <w:sz w:val="32"/>
          <w:szCs w:val="32"/>
          <w:lang w:val="en-US" w:eastAsia="zh-CN"/>
        </w:rPr>
        <w:t>3</w:t>
      </w:r>
      <w:r>
        <w:rPr>
          <w:rFonts w:hint="eastAsia" w:ascii="仿宋_GB2312" w:hAnsi="仿宋_GB2312" w:eastAsia="仿宋_GB2312" w:cs="仿宋_GB2312"/>
          <w:spacing w:val="-4"/>
          <w:kern w:val="2"/>
          <w:sz w:val="32"/>
          <w:szCs w:val="32"/>
        </w:rPr>
        <w:t>年</w:t>
      </w:r>
      <w:r>
        <w:rPr>
          <w:rFonts w:hint="eastAsia" w:ascii="仿宋_GB2312" w:hAnsi="仿宋_GB2312" w:eastAsia="仿宋_GB2312" w:cs="仿宋_GB2312"/>
          <w:spacing w:val="-4"/>
          <w:kern w:val="2"/>
          <w:sz w:val="32"/>
          <w:szCs w:val="32"/>
          <w:lang w:val="en-US" w:eastAsia="zh-CN"/>
        </w:rPr>
        <w:t>市场监管专项资</w:t>
      </w:r>
      <w:r>
        <w:rPr>
          <w:rFonts w:hint="eastAsia" w:ascii="仿宋_GB2312" w:hAnsi="仿宋_GB2312" w:eastAsia="仿宋_GB2312" w:cs="仿宋_GB2312"/>
          <w:spacing w:val="-4"/>
          <w:kern w:val="2"/>
          <w:sz w:val="32"/>
          <w:szCs w:val="32"/>
        </w:rPr>
        <w:t>金预算的通知》，202</w:t>
      </w:r>
      <w:r>
        <w:rPr>
          <w:rFonts w:hint="eastAsia" w:ascii="仿宋_GB2312" w:hAnsi="仿宋_GB2312" w:eastAsia="仿宋_GB2312" w:cs="仿宋_GB2312"/>
          <w:spacing w:val="-4"/>
          <w:kern w:val="2"/>
          <w:sz w:val="32"/>
          <w:szCs w:val="32"/>
          <w:lang w:val="en-US" w:eastAsia="zh-CN"/>
        </w:rPr>
        <w:t>3</w:t>
      </w:r>
      <w:r>
        <w:rPr>
          <w:rFonts w:hint="eastAsia" w:ascii="仿宋_GB2312" w:hAnsi="仿宋_GB2312" w:eastAsia="仿宋_GB2312" w:cs="仿宋_GB2312"/>
          <w:spacing w:val="-4"/>
          <w:kern w:val="2"/>
          <w:sz w:val="32"/>
          <w:szCs w:val="32"/>
        </w:rPr>
        <w:t>年下达</w:t>
      </w:r>
      <w:r>
        <w:rPr>
          <w:rFonts w:hint="eastAsia" w:ascii="仿宋_GB2312" w:hAnsi="仿宋_GB2312" w:eastAsia="仿宋_GB2312" w:cs="仿宋_GB2312"/>
          <w:spacing w:val="-4"/>
          <w:kern w:val="2"/>
          <w:sz w:val="32"/>
          <w:szCs w:val="32"/>
          <w:lang w:val="en-US" w:eastAsia="zh-CN"/>
        </w:rPr>
        <w:t>市场监管</w:t>
      </w:r>
      <w:r>
        <w:rPr>
          <w:rFonts w:hint="eastAsia" w:ascii="仿宋_GB2312" w:hAnsi="仿宋_GB2312" w:eastAsia="仿宋_GB2312" w:cs="仿宋_GB2312"/>
          <w:spacing w:val="-4"/>
          <w:kern w:val="2"/>
          <w:sz w:val="32"/>
          <w:szCs w:val="32"/>
        </w:rPr>
        <w:t>资金</w:t>
      </w:r>
      <w:r>
        <w:rPr>
          <w:rFonts w:hint="eastAsia" w:ascii="仿宋_GB2312" w:hAnsi="仿宋_GB2312" w:eastAsia="仿宋_GB2312" w:cs="仿宋_GB2312"/>
          <w:spacing w:val="-4"/>
          <w:kern w:val="2"/>
          <w:sz w:val="32"/>
          <w:szCs w:val="32"/>
          <w:lang w:val="en-US" w:eastAsia="zh-CN"/>
        </w:rPr>
        <w:t>30.4</w:t>
      </w:r>
      <w:r>
        <w:rPr>
          <w:rFonts w:hint="eastAsia" w:ascii="仿宋_GB2312" w:hAnsi="仿宋_GB2312" w:eastAsia="仿宋_GB2312" w:cs="仿宋_GB2312"/>
          <w:spacing w:val="-4"/>
          <w:kern w:val="2"/>
          <w:sz w:val="32"/>
          <w:szCs w:val="32"/>
        </w:rPr>
        <w:t>万元，专项用于</w:t>
      </w:r>
      <w:r>
        <w:rPr>
          <w:rFonts w:hint="eastAsia" w:ascii="仿宋_GB2312" w:hAnsi="仿宋_GB2312" w:eastAsia="仿宋_GB2312" w:cs="仿宋_GB2312"/>
          <w:spacing w:val="-4"/>
          <w:kern w:val="2"/>
          <w:sz w:val="32"/>
          <w:szCs w:val="32"/>
          <w:lang w:val="en-US" w:eastAsia="zh-CN"/>
        </w:rPr>
        <w:t>开展继续强化食品抽检监测工作、深入推动放心舒心消费环境建设、加强食品安全监管、深化商事制度改革、提高市场监管综合水平等工作任务</w:t>
      </w:r>
      <w:r>
        <w:rPr>
          <w:rFonts w:hint="eastAsia" w:ascii="仿宋_GB2312" w:hAnsi="仿宋_GB2312" w:eastAsia="仿宋_GB2312" w:cs="仿宋_GB2312"/>
          <w:spacing w:val="-4"/>
          <w:kern w:val="2"/>
          <w:sz w:val="32"/>
          <w:szCs w:val="32"/>
        </w:rPr>
        <w:t>。</w:t>
      </w:r>
    </w:p>
    <w:p w14:paraId="28FBEFF6">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项目资金申报及批复情况。</w:t>
      </w:r>
    </w:p>
    <w:p w14:paraId="52AE543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24" w:firstLineChars="200"/>
        <w:textAlignment w:val="auto"/>
        <w:rPr>
          <w:rFonts w:hint="eastAsia" w:ascii="仿宋_GB2312" w:hAnsi="仿宋_GB2312" w:eastAsia="仿宋_GB2312" w:cs="仿宋_GB2312"/>
          <w:b/>
          <w:sz w:val="32"/>
          <w:szCs w:val="32"/>
          <w:lang w:val="zh-CN" w:eastAsia="zh-CN"/>
        </w:rPr>
      </w:pPr>
      <w:r>
        <w:rPr>
          <w:rFonts w:hint="eastAsia" w:ascii="仿宋_GB2312" w:hAnsi="仿宋_GB2312" w:eastAsia="仿宋_GB2312" w:cs="仿宋_GB2312"/>
          <w:spacing w:val="-4"/>
          <w:kern w:val="2"/>
          <w:sz w:val="32"/>
          <w:szCs w:val="32"/>
        </w:rPr>
        <w:t>根据省财政厅《关于下达202</w:t>
      </w:r>
      <w:r>
        <w:rPr>
          <w:rFonts w:hint="eastAsia" w:ascii="仿宋_GB2312" w:hAnsi="仿宋_GB2312" w:eastAsia="仿宋_GB2312" w:cs="仿宋_GB2312"/>
          <w:spacing w:val="-4"/>
          <w:kern w:val="2"/>
          <w:sz w:val="32"/>
          <w:szCs w:val="32"/>
          <w:lang w:val="en-US" w:eastAsia="zh-CN"/>
        </w:rPr>
        <w:t>3</w:t>
      </w:r>
      <w:r>
        <w:rPr>
          <w:rFonts w:hint="eastAsia" w:ascii="仿宋_GB2312" w:hAnsi="仿宋_GB2312" w:eastAsia="仿宋_GB2312" w:cs="仿宋_GB2312"/>
          <w:spacing w:val="-4"/>
          <w:kern w:val="2"/>
          <w:sz w:val="32"/>
          <w:szCs w:val="32"/>
        </w:rPr>
        <w:t>年</w:t>
      </w:r>
      <w:r>
        <w:rPr>
          <w:rFonts w:hint="eastAsia" w:ascii="仿宋_GB2312" w:hAnsi="仿宋_GB2312" w:eastAsia="仿宋_GB2312" w:cs="仿宋_GB2312"/>
          <w:spacing w:val="-4"/>
          <w:kern w:val="2"/>
          <w:sz w:val="32"/>
          <w:szCs w:val="32"/>
          <w:lang w:val="en-US" w:eastAsia="zh-CN"/>
        </w:rPr>
        <w:t>市场监管专项资</w:t>
      </w:r>
      <w:r>
        <w:rPr>
          <w:rFonts w:hint="eastAsia" w:ascii="仿宋_GB2312" w:hAnsi="仿宋_GB2312" w:eastAsia="仿宋_GB2312" w:cs="仿宋_GB2312"/>
          <w:spacing w:val="-4"/>
          <w:kern w:val="2"/>
          <w:sz w:val="32"/>
          <w:szCs w:val="32"/>
        </w:rPr>
        <w:t>金预算的通知》，202</w:t>
      </w:r>
      <w:r>
        <w:rPr>
          <w:rFonts w:hint="eastAsia" w:ascii="仿宋_GB2312" w:hAnsi="仿宋_GB2312" w:eastAsia="仿宋_GB2312" w:cs="仿宋_GB2312"/>
          <w:spacing w:val="-4"/>
          <w:kern w:val="2"/>
          <w:sz w:val="32"/>
          <w:szCs w:val="32"/>
          <w:lang w:val="en-US" w:eastAsia="zh-CN"/>
        </w:rPr>
        <w:t>3</w:t>
      </w:r>
      <w:r>
        <w:rPr>
          <w:rFonts w:hint="eastAsia" w:ascii="仿宋_GB2312" w:hAnsi="仿宋_GB2312" w:eastAsia="仿宋_GB2312" w:cs="仿宋_GB2312"/>
          <w:spacing w:val="-4"/>
          <w:kern w:val="2"/>
          <w:sz w:val="32"/>
          <w:szCs w:val="32"/>
        </w:rPr>
        <w:t>年下达</w:t>
      </w:r>
      <w:r>
        <w:rPr>
          <w:rFonts w:hint="eastAsia" w:ascii="仿宋_GB2312" w:hAnsi="仿宋_GB2312" w:eastAsia="仿宋_GB2312" w:cs="仿宋_GB2312"/>
          <w:spacing w:val="-4"/>
          <w:kern w:val="2"/>
          <w:sz w:val="32"/>
          <w:szCs w:val="32"/>
          <w:lang w:val="en-US" w:eastAsia="zh-CN"/>
        </w:rPr>
        <w:t>市场监管</w:t>
      </w:r>
      <w:r>
        <w:rPr>
          <w:rFonts w:hint="eastAsia" w:ascii="仿宋_GB2312" w:hAnsi="仿宋_GB2312" w:eastAsia="仿宋_GB2312" w:cs="仿宋_GB2312"/>
          <w:spacing w:val="-4"/>
          <w:kern w:val="2"/>
          <w:sz w:val="32"/>
          <w:szCs w:val="32"/>
        </w:rPr>
        <w:t>资金</w:t>
      </w:r>
      <w:r>
        <w:rPr>
          <w:rFonts w:hint="eastAsia" w:ascii="仿宋_GB2312" w:hAnsi="仿宋_GB2312" w:eastAsia="仿宋_GB2312" w:cs="仿宋_GB2312"/>
          <w:spacing w:val="-4"/>
          <w:kern w:val="2"/>
          <w:sz w:val="32"/>
          <w:szCs w:val="32"/>
          <w:lang w:val="en-US" w:eastAsia="zh-CN"/>
        </w:rPr>
        <w:t>30.4</w:t>
      </w:r>
      <w:r>
        <w:rPr>
          <w:rFonts w:hint="eastAsia" w:ascii="仿宋_GB2312" w:hAnsi="仿宋_GB2312" w:eastAsia="仿宋_GB2312" w:cs="仿宋_GB2312"/>
          <w:spacing w:val="-4"/>
          <w:kern w:val="2"/>
          <w:sz w:val="32"/>
          <w:szCs w:val="32"/>
        </w:rPr>
        <w:t>万元</w:t>
      </w:r>
      <w:r>
        <w:rPr>
          <w:rFonts w:hint="eastAsia" w:ascii="仿宋_GB2312" w:hAnsi="仿宋_GB2312" w:eastAsia="仿宋_GB2312" w:cs="仿宋_GB2312"/>
          <w:spacing w:val="-4"/>
          <w:kern w:val="2"/>
          <w:sz w:val="32"/>
          <w:szCs w:val="32"/>
          <w:lang w:eastAsia="zh-CN"/>
        </w:rPr>
        <w:t>。</w:t>
      </w:r>
    </w:p>
    <w:p w14:paraId="6B617A23">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leftChars="0" w:firstLine="720" w:firstLineChars="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项目绩效目标。</w:t>
      </w:r>
    </w:p>
    <w:p w14:paraId="057C8622">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2023年对全县食品进行抽检，开展市场监管工作，此项目</w:t>
      </w:r>
      <w:r>
        <w:rPr>
          <w:rFonts w:hint="eastAsia" w:ascii="仿宋_GB2312" w:hAnsi="仿宋_GB2312" w:eastAsia="仿宋_GB2312" w:cs="仿宋_GB2312"/>
          <w:sz w:val="32"/>
          <w:szCs w:val="32"/>
          <w:lang w:val="zh-CN"/>
        </w:rPr>
        <w:t>申报内容与实际相符，申报目标合理可行。</w:t>
      </w:r>
    </w:p>
    <w:p w14:paraId="63E4BA5B">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leftChars="0" w:firstLine="720" w:firstLineChars="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项目资金申报相符性。</w:t>
      </w:r>
    </w:p>
    <w:p w14:paraId="6B19104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720" w:leftChars="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项目申报内容与预期相符，</w:t>
      </w:r>
      <w:r>
        <w:rPr>
          <w:rFonts w:hint="eastAsia" w:ascii="仿宋_GB2312" w:hAnsi="仿宋_GB2312" w:eastAsia="仿宋_GB2312" w:cs="仿宋_GB2312"/>
          <w:sz w:val="32"/>
          <w:szCs w:val="32"/>
          <w:lang w:val="zh-CN"/>
        </w:rPr>
        <w:t>申报目标合理可行。</w:t>
      </w:r>
    </w:p>
    <w:p w14:paraId="48BF3A8F">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二、项目实施及管理情况</w:t>
      </w:r>
    </w:p>
    <w:p w14:paraId="7F1AFF2A">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14:paraId="7BADFCC8">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1．资金计划。</w:t>
      </w:r>
      <w:r>
        <w:rPr>
          <w:rFonts w:hint="eastAsia" w:ascii="仿宋_GB2312" w:hAnsi="仿宋_GB2312" w:eastAsia="仿宋_GB2312" w:cs="仿宋_GB2312"/>
          <w:sz w:val="32"/>
          <w:szCs w:val="32"/>
          <w:lang w:val="en-US" w:eastAsia="zh-CN"/>
        </w:rPr>
        <w:t>2023年市场监管补助预计30.4万元。</w:t>
      </w:r>
    </w:p>
    <w:p w14:paraId="62DEAA29">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2．资金到位。</w:t>
      </w:r>
      <w:r>
        <w:rPr>
          <w:rFonts w:hint="eastAsia" w:ascii="仿宋_GB2312" w:hAnsi="仿宋_GB2312" w:eastAsia="仿宋_GB2312" w:cs="仿宋_GB2312"/>
          <w:sz w:val="32"/>
          <w:szCs w:val="32"/>
          <w:lang w:val="en-US" w:eastAsia="zh-CN"/>
        </w:rPr>
        <w:t>2023年省级下达我局市场监管资金30.4万元。其中:阿州财行【2023】37号8.8万元，阿州财行【2023】58号15万元，阿州财行【2023】107号6.6万元，2023年资金全部到位。</w:t>
      </w:r>
    </w:p>
    <w:p w14:paraId="5F697B6F">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3．资金使用。</w:t>
      </w:r>
    </w:p>
    <w:p w14:paraId="66B1DF5C">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2023年市场监管资金已支付23.7899万元，未支付6.6万元。</w:t>
      </w:r>
    </w:p>
    <w:p w14:paraId="423F85CC">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（二）项目财务管理情况。</w:t>
      </w:r>
    </w:p>
    <w:p w14:paraId="74DC3097">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我局按照专款专用管理要求，建立专项核算，按绩效目标任务开展专项工作。</w:t>
      </w:r>
    </w:p>
    <w:p w14:paraId="3F04FAED">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项目组织实施情况。</w:t>
      </w:r>
    </w:p>
    <w:p w14:paraId="7CE0DAC5">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一是召开项目实施会议，明确专门人员负责具体工作</w:t>
      </w:r>
    </w:p>
    <w:p w14:paraId="7C567392">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二是及时组织内部业务股室应积极配合做好有关工作。</w:t>
      </w:r>
    </w:p>
    <w:p w14:paraId="211F4FD8">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三是根据已设定的目标，认真总结2023年市场监管各项任务完成情况，按时完成工作。</w:t>
      </w:r>
    </w:p>
    <w:p w14:paraId="4F80857F">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三、项目绩效情况</w:t>
      </w:r>
      <w:r>
        <w:rPr>
          <w:rFonts w:hint="eastAsia" w:ascii="仿宋_GB2312" w:hAnsi="仿宋_GB2312" w:eastAsia="仿宋_GB2312" w:cs="仿宋_GB2312"/>
          <w:sz w:val="32"/>
          <w:szCs w:val="32"/>
          <w:lang w:val="zh-CN" w:eastAsia="zh-CN"/>
        </w:rPr>
        <w:tab/>
      </w:r>
    </w:p>
    <w:p w14:paraId="55906D6B">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（一）项目完成情况。</w:t>
      </w:r>
    </w:p>
    <w:p w14:paraId="61B90AA8">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对食品生产流通环节、餐饮服务环节和食用农产品全面抽检工作，完成州抽27批次、省抽26批次，完成民生工程食品安全抽样检测工作226批次，其中食用农产品160批次，不合格3批次，合格率98%，开展食品快速检测198批次，均达到年初预期指标值。</w:t>
      </w:r>
    </w:p>
    <w:p w14:paraId="18E63A4B">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围绕重要民生商品、公共服务、教育、医疗等重点民生领域及节假日加大价格、公平竞争监管力度，目前共出动执法人员74人次，车辆30台次，检查各类经营主体600余家，检查涉旅市场主体320余家，发放标价签6万余张。</w:t>
      </w:r>
    </w:p>
    <w:p w14:paraId="75590660">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以“提振消费信心”为主题，开展3.15消费者维权系列宣传活动，发放实用手册1200余份，宣传品2500余份，接受群众咨询500余人次，公开集中销毁假冒伪劣、过期产品200余件，货值3余万元，切实提升了群众消费维权意识。</w:t>
      </w:r>
    </w:p>
    <w:p w14:paraId="42996C9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14:paraId="7F367678">
      <w:pPr>
        <w:pStyle w:val="13"/>
        <w:keepNext w:val="0"/>
        <w:keepLines w:val="0"/>
        <w:widowControl/>
        <w:suppressLineNumbers w:val="0"/>
        <w:shd w:val="clear" w:fill="FFFFFF"/>
        <w:spacing w:before="0" w:beforeAutospacing="0" w:after="0" w:afterAutospacing="0" w:line="540" w:lineRule="atLeast"/>
        <w:ind w:right="0"/>
        <w:jc w:val="both"/>
        <w:rPr>
          <w:rFonts w:hint="eastAsia" w:ascii="仿宋_GB2312" w:hAnsi="仿宋_GB2312" w:eastAsia="仿宋_GB2312" w:cs="仿宋_GB2312"/>
          <w:spacing w:val="-4"/>
          <w:kern w:val="2"/>
          <w:sz w:val="32"/>
          <w:szCs w:val="32"/>
          <w:lang w:val="en-US" w:eastAsia="zh-CN" w:bidi="ar-SA"/>
        </w:rPr>
      </w:pPr>
      <w:r>
        <w:rPr>
          <w:rFonts w:hint="eastAsia" w:ascii="仿宋_GB2312" w:hAnsi="仿宋_GB2312" w:eastAsia="仿宋_GB2312" w:cs="仿宋_GB2312"/>
          <w:spacing w:val="-4"/>
          <w:kern w:val="2"/>
          <w:sz w:val="32"/>
          <w:szCs w:val="32"/>
          <w:lang w:val="en-US" w:eastAsia="zh-CN" w:bidi="ar-SA"/>
        </w:rPr>
        <w:t>（1）经济效益指标。</w:t>
      </w:r>
    </w:p>
    <w:p w14:paraId="5920713D">
      <w:pPr>
        <w:pStyle w:val="13"/>
        <w:keepNext w:val="0"/>
        <w:keepLines w:val="0"/>
        <w:widowControl/>
        <w:suppressLineNumbers w:val="0"/>
        <w:shd w:val="clear" w:fill="FFFFFF"/>
        <w:spacing w:before="0" w:beforeAutospacing="0" w:after="0" w:afterAutospacing="0" w:line="540" w:lineRule="atLeast"/>
        <w:ind w:left="0" w:right="0" w:firstLine="0"/>
        <w:jc w:val="both"/>
        <w:rPr>
          <w:rFonts w:hint="eastAsia" w:ascii="仿宋_GB2312" w:hAnsi="仿宋_GB2312" w:eastAsia="仿宋_GB2312" w:cs="仿宋_GB2312"/>
          <w:spacing w:val="-4"/>
          <w:kern w:val="2"/>
          <w:sz w:val="32"/>
          <w:szCs w:val="32"/>
          <w:lang w:val="en-US" w:eastAsia="zh-CN" w:bidi="ar-SA"/>
        </w:rPr>
      </w:pPr>
      <w:r>
        <w:rPr>
          <w:rFonts w:hint="eastAsia" w:ascii="仿宋_GB2312" w:hAnsi="仿宋_GB2312" w:eastAsia="仿宋_GB2312" w:cs="仿宋_GB2312"/>
          <w:spacing w:val="-4"/>
          <w:kern w:val="2"/>
          <w:sz w:val="32"/>
          <w:szCs w:val="32"/>
          <w:lang w:val="en-US" w:eastAsia="zh-CN" w:bidi="ar-SA"/>
        </w:rPr>
        <w:t>      辖区食品产业健康有序发展的活力逐步提高。</w:t>
      </w:r>
    </w:p>
    <w:p w14:paraId="1D9C1A0B">
      <w:pPr>
        <w:pStyle w:val="13"/>
        <w:keepNext w:val="0"/>
        <w:keepLines w:val="0"/>
        <w:widowControl/>
        <w:suppressLineNumbers w:val="0"/>
        <w:shd w:val="clear" w:fill="FFFFFF"/>
        <w:spacing w:before="0" w:beforeAutospacing="0" w:after="0" w:afterAutospacing="0" w:line="540" w:lineRule="atLeast"/>
        <w:ind w:right="0"/>
        <w:jc w:val="both"/>
        <w:rPr>
          <w:rFonts w:hint="eastAsia" w:ascii="仿宋_GB2312" w:hAnsi="仿宋_GB2312" w:eastAsia="仿宋_GB2312" w:cs="仿宋_GB2312"/>
          <w:spacing w:val="-4"/>
          <w:kern w:val="2"/>
          <w:sz w:val="32"/>
          <w:szCs w:val="32"/>
          <w:lang w:val="en-US" w:eastAsia="zh-CN" w:bidi="ar-SA"/>
        </w:rPr>
      </w:pPr>
      <w:r>
        <w:rPr>
          <w:rFonts w:hint="eastAsia" w:ascii="仿宋_GB2312" w:hAnsi="仿宋_GB2312" w:eastAsia="仿宋_GB2312" w:cs="仿宋_GB2312"/>
          <w:spacing w:val="-4"/>
          <w:kern w:val="2"/>
          <w:sz w:val="32"/>
          <w:szCs w:val="32"/>
          <w:lang w:val="en-US" w:eastAsia="zh-CN" w:bidi="ar-SA"/>
        </w:rPr>
        <w:t>（2）社会效益指标。</w:t>
      </w:r>
    </w:p>
    <w:p w14:paraId="1B3CB372">
      <w:pPr>
        <w:pStyle w:val="13"/>
        <w:keepNext w:val="0"/>
        <w:keepLines w:val="0"/>
        <w:widowControl/>
        <w:suppressLineNumbers w:val="0"/>
        <w:shd w:val="clear" w:fill="FFFFFF"/>
        <w:spacing w:before="0" w:beforeAutospacing="0" w:after="0" w:afterAutospacing="0" w:line="540" w:lineRule="atLeast"/>
        <w:ind w:left="0" w:right="0" w:firstLine="0"/>
        <w:jc w:val="both"/>
        <w:rPr>
          <w:rFonts w:hint="eastAsia" w:ascii="仿宋_GB2312" w:hAnsi="仿宋_GB2312" w:eastAsia="仿宋_GB2312" w:cs="仿宋_GB2312"/>
          <w:spacing w:val="-4"/>
          <w:kern w:val="2"/>
          <w:sz w:val="32"/>
          <w:szCs w:val="32"/>
          <w:lang w:val="en-US" w:eastAsia="zh-CN" w:bidi="ar-SA"/>
        </w:rPr>
      </w:pPr>
      <w:r>
        <w:rPr>
          <w:rFonts w:hint="eastAsia" w:ascii="仿宋_GB2312" w:hAnsi="仿宋_GB2312" w:eastAsia="仿宋_GB2312" w:cs="仿宋_GB2312"/>
          <w:spacing w:val="-4"/>
          <w:kern w:val="2"/>
          <w:sz w:val="32"/>
          <w:szCs w:val="32"/>
          <w:lang w:val="en-US" w:eastAsia="zh-CN" w:bidi="ar-SA"/>
        </w:rPr>
        <w:t>     全县与补助资金相关的重大食品监管责任事故发生数为0，公众饮食安全科普知识素养逐步提高，假冒伪劣产品制售行为不断降低，对市场监管的相关知识熟悉。</w:t>
      </w:r>
    </w:p>
    <w:p w14:paraId="4330E76E">
      <w:pPr>
        <w:pStyle w:val="13"/>
        <w:keepNext w:val="0"/>
        <w:keepLines w:val="0"/>
        <w:widowControl/>
        <w:suppressLineNumbers w:val="0"/>
        <w:shd w:val="clear" w:fill="FFFFFF"/>
        <w:spacing w:before="0" w:beforeAutospacing="0" w:after="0" w:afterAutospacing="0" w:line="540" w:lineRule="atLeast"/>
        <w:ind w:right="0"/>
        <w:jc w:val="both"/>
        <w:rPr>
          <w:rFonts w:hint="eastAsia" w:ascii="仿宋_GB2312" w:hAnsi="仿宋_GB2312" w:eastAsia="仿宋_GB2312" w:cs="仿宋_GB2312"/>
          <w:spacing w:val="-4"/>
          <w:kern w:val="2"/>
          <w:sz w:val="32"/>
          <w:szCs w:val="32"/>
          <w:lang w:val="en-US" w:eastAsia="zh-CN" w:bidi="ar-SA"/>
        </w:rPr>
      </w:pPr>
      <w:r>
        <w:rPr>
          <w:rFonts w:hint="eastAsia" w:ascii="仿宋_GB2312" w:hAnsi="仿宋_GB2312" w:eastAsia="仿宋_GB2312" w:cs="仿宋_GB2312"/>
          <w:spacing w:val="-4"/>
          <w:kern w:val="2"/>
          <w:sz w:val="32"/>
          <w:szCs w:val="32"/>
          <w:lang w:val="en-US" w:eastAsia="zh-CN" w:bidi="ar-SA"/>
        </w:rPr>
        <w:t>（3）可持续影响指标。</w:t>
      </w:r>
    </w:p>
    <w:p w14:paraId="04CFD561">
      <w:pPr>
        <w:pStyle w:val="13"/>
        <w:keepNext w:val="0"/>
        <w:keepLines w:val="0"/>
        <w:widowControl/>
        <w:suppressLineNumbers w:val="0"/>
        <w:shd w:val="clear" w:fill="FFFFFF"/>
        <w:spacing w:before="0" w:beforeAutospacing="0" w:after="0" w:afterAutospacing="0" w:line="540" w:lineRule="atLeast"/>
        <w:ind w:left="0" w:right="0" w:firstLine="624"/>
        <w:jc w:val="both"/>
        <w:rPr>
          <w:rFonts w:hint="eastAsia" w:ascii="仿宋_GB2312" w:hAnsi="仿宋_GB2312" w:eastAsia="仿宋_GB2312" w:cs="仿宋_GB2312"/>
          <w:spacing w:val="-4"/>
          <w:kern w:val="2"/>
          <w:sz w:val="32"/>
          <w:szCs w:val="32"/>
          <w:lang w:val="en-US" w:eastAsia="zh-CN" w:bidi="ar-SA"/>
        </w:rPr>
      </w:pPr>
      <w:r>
        <w:rPr>
          <w:rFonts w:hint="eastAsia" w:ascii="仿宋_GB2312" w:hAnsi="仿宋_GB2312" w:eastAsia="仿宋_GB2312" w:cs="仿宋_GB2312"/>
          <w:spacing w:val="-4"/>
          <w:kern w:val="2"/>
          <w:sz w:val="32"/>
          <w:szCs w:val="32"/>
          <w:lang w:val="en-US" w:eastAsia="zh-CN" w:bidi="ar-SA"/>
        </w:rPr>
        <w:t>食品安全基层监管队伍整体素质和装备配置水平逐年提高，均达到年初下达指标数。</w:t>
      </w:r>
    </w:p>
    <w:p w14:paraId="06D136AE">
      <w:pPr>
        <w:pStyle w:val="13"/>
        <w:keepNext w:val="0"/>
        <w:keepLines w:val="0"/>
        <w:widowControl/>
        <w:suppressLineNumbers w:val="0"/>
        <w:shd w:val="clear" w:fill="FFFFFF"/>
        <w:spacing w:before="0" w:beforeAutospacing="0" w:after="0" w:afterAutospacing="0" w:line="540" w:lineRule="atLeast"/>
        <w:ind w:right="0"/>
        <w:jc w:val="both"/>
        <w:rPr>
          <w:rFonts w:hint="eastAsia" w:ascii="仿宋_GB2312" w:hAnsi="仿宋_GB2312" w:eastAsia="仿宋_GB2312" w:cs="仿宋_GB2312"/>
          <w:spacing w:val="-4"/>
          <w:kern w:val="2"/>
          <w:sz w:val="32"/>
          <w:szCs w:val="32"/>
          <w:lang w:val="en-US" w:eastAsia="zh-CN" w:bidi="ar-SA"/>
        </w:rPr>
      </w:pPr>
      <w:r>
        <w:rPr>
          <w:rFonts w:hint="eastAsia" w:ascii="仿宋_GB2312" w:hAnsi="仿宋_GB2312" w:eastAsia="仿宋_GB2312" w:cs="仿宋_GB2312"/>
          <w:spacing w:val="-4"/>
          <w:kern w:val="2"/>
          <w:sz w:val="32"/>
          <w:szCs w:val="32"/>
          <w:lang w:val="en-US" w:eastAsia="zh-CN" w:bidi="ar-SA"/>
        </w:rPr>
        <w:t>（4）满意度指标。</w:t>
      </w:r>
    </w:p>
    <w:p w14:paraId="1490BCE5">
      <w:pPr>
        <w:pStyle w:val="13"/>
        <w:keepNext w:val="0"/>
        <w:keepLines w:val="0"/>
        <w:widowControl/>
        <w:suppressLineNumbers w:val="0"/>
        <w:shd w:val="clear" w:fill="FFFFFF"/>
        <w:spacing w:before="0" w:beforeAutospacing="0" w:after="0" w:afterAutospacing="0" w:line="540" w:lineRule="atLeast"/>
        <w:ind w:left="0" w:right="0" w:firstLine="615"/>
        <w:jc w:val="both"/>
        <w:rPr>
          <w:rFonts w:hint="eastAsia" w:ascii="仿宋_GB2312" w:hAnsi="仿宋_GB2312" w:eastAsia="仿宋_GB2312" w:cs="仿宋_GB2312"/>
          <w:spacing w:val="-4"/>
          <w:kern w:val="2"/>
          <w:sz w:val="32"/>
          <w:szCs w:val="32"/>
          <w:lang w:val="en-US" w:eastAsia="zh-CN" w:bidi="ar-SA"/>
        </w:rPr>
      </w:pPr>
      <w:r>
        <w:rPr>
          <w:rFonts w:hint="eastAsia" w:ascii="仿宋_GB2312" w:hAnsi="仿宋_GB2312" w:eastAsia="仿宋_GB2312" w:cs="仿宋_GB2312"/>
          <w:spacing w:val="-4"/>
          <w:kern w:val="2"/>
          <w:sz w:val="32"/>
          <w:szCs w:val="32"/>
          <w:lang w:val="en-US" w:eastAsia="zh-CN" w:bidi="ar-SA"/>
        </w:rPr>
        <w:t>一是重大活动食品安全保障对象满意度均达到年初预期指标值。</w:t>
      </w:r>
    </w:p>
    <w:p w14:paraId="49421CA6">
      <w:pPr>
        <w:pStyle w:val="13"/>
        <w:keepNext w:val="0"/>
        <w:keepLines w:val="0"/>
        <w:widowControl/>
        <w:suppressLineNumbers w:val="0"/>
        <w:shd w:val="clear" w:fill="FFFFFF"/>
        <w:spacing w:before="0" w:beforeAutospacing="0" w:after="0" w:afterAutospacing="0" w:line="540" w:lineRule="atLeast"/>
        <w:ind w:left="0" w:right="0" w:firstLine="615"/>
        <w:jc w:val="both"/>
        <w:rPr>
          <w:rFonts w:hint="eastAsia" w:ascii="仿宋_GB2312" w:hAnsi="仿宋_GB2312" w:eastAsia="仿宋_GB2312" w:cs="仿宋_GB2312"/>
          <w:spacing w:val="-4"/>
          <w:kern w:val="2"/>
          <w:sz w:val="32"/>
          <w:szCs w:val="32"/>
          <w:lang w:val="zh-CN" w:eastAsia="zh-CN" w:bidi="ar-SA"/>
        </w:rPr>
      </w:pPr>
      <w:r>
        <w:rPr>
          <w:rFonts w:hint="eastAsia" w:ascii="仿宋_GB2312" w:hAnsi="仿宋_GB2312" w:eastAsia="仿宋_GB2312" w:cs="仿宋_GB2312"/>
          <w:spacing w:val="-4"/>
          <w:kern w:val="2"/>
          <w:sz w:val="32"/>
          <w:szCs w:val="32"/>
          <w:lang w:val="en-US" w:eastAsia="zh-CN" w:bidi="ar-SA"/>
        </w:rPr>
        <w:t>二是对市场监管的相关业务的了解逐步提高。</w:t>
      </w:r>
    </w:p>
    <w:p w14:paraId="5F6EA6B5">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四、问题及建议</w:t>
      </w:r>
    </w:p>
    <w:p w14:paraId="2EFE8783">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14:paraId="6BAA865E">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14:paraId="7B12C0F5">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相关建议。</w:t>
      </w:r>
    </w:p>
    <w:p w14:paraId="3692C0C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960" w:firstLineChars="3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无</w:t>
      </w:r>
    </w:p>
    <w:p w14:paraId="58CBE101">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仿宋_GB2312" w:hAnsi="仿宋_GB2312" w:eastAsia="仿宋_GB2312" w:cs="仿宋_GB2312"/>
          <w:sz w:val="30"/>
          <w:szCs w:val="30"/>
          <w:lang w:val="en-US" w:eastAsia="zh-CN"/>
        </w:rPr>
      </w:pPr>
    </w:p>
    <w:p w14:paraId="17D9BFFC">
      <w:pPr>
        <w:pStyle w:val="3"/>
        <w:jc w:val="center"/>
        <w:rPr>
          <w:rFonts w:ascii="黑体" w:hAnsi="黑体" w:eastAsia="黑体"/>
        </w:rPr>
      </w:pPr>
      <w:r>
        <w:rPr>
          <w:rFonts w:hint="eastAsia" w:ascii="黑体" w:hAnsi="黑体" w:eastAsia="黑体"/>
        </w:rPr>
        <w:t>第五部分 附表</w:t>
      </w:r>
    </w:p>
    <w:p w14:paraId="04186CB3">
      <w:pPr>
        <w:rPr>
          <w:rFonts w:ascii="仿宋" w:hAnsi="仿宋" w:eastAsia="仿宋"/>
          <w:sz w:val="32"/>
          <w:szCs w:val="32"/>
        </w:rPr>
      </w:pPr>
      <w:r>
        <w:rPr>
          <w:rFonts w:hint="eastAsia" w:ascii="仿宋" w:hAnsi="仿宋" w:eastAsia="仿宋"/>
          <w:sz w:val="32"/>
          <w:szCs w:val="32"/>
        </w:rPr>
        <w:t>一、收入支出决算总表</w:t>
      </w:r>
    </w:p>
    <w:p w14:paraId="73E895CC">
      <w:pPr>
        <w:rPr>
          <w:rFonts w:ascii="仿宋" w:hAnsi="仿宋" w:eastAsia="仿宋"/>
          <w:sz w:val="32"/>
          <w:szCs w:val="32"/>
        </w:rPr>
      </w:pPr>
      <w:r>
        <w:rPr>
          <w:rFonts w:hint="eastAsia" w:ascii="仿宋" w:hAnsi="仿宋" w:eastAsia="仿宋"/>
          <w:sz w:val="32"/>
          <w:szCs w:val="32"/>
        </w:rPr>
        <w:t>二、收入决算表</w:t>
      </w:r>
    </w:p>
    <w:p w14:paraId="2727FC51">
      <w:pPr>
        <w:rPr>
          <w:rFonts w:ascii="仿宋" w:hAnsi="仿宋" w:eastAsia="仿宋"/>
          <w:sz w:val="32"/>
          <w:szCs w:val="32"/>
        </w:rPr>
      </w:pPr>
      <w:r>
        <w:rPr>
          <w:rFonts w:hint="eastAsia" w:ascii="仿宋" w:hAnsi="仿宋" w:eastAsia="仿宋"/>
          <w:sz w:val="32"/>
          <w:szCs w:val="32"/>
        </w:rPr>
        <w:t>三、支出决算表</w:t>
      </w:r>
    </w:p>
    <w:p w14:paraId="414D4183">
      <w:pPr>
        <w:rPr>
          <w:rFonts w:ascii="仿宋" w:hAnsi="仿宋" w:eastAsia="仿宋"/>
          <w:sz w:val="32"/>
          <w:szCs w:val="32"/>
        </w:rPr>
      </w:pPr>
      <w:r>
        <w:rPr>
          <w:rFonts w:hint="eastAsia" w:ascii="仿宋" w:hAnsi="仿宋" w:eastAsia="仿宋"/>
          <w:sz w:val="32"/>
          <w:szCs w:val="32"/>
        </w:rPr>
        <w:t>四、财政拨款收入支出决算总表</w:t>
      </w:r>
    </w:p>
    <w:p w14:paraId="7DDA5379">
      <w:pPr>
        <w:rPr>
          <w:rFonts w:ascii="仿宋" w:hAnsi="仿宋" w:eastAsia="仿宋"/>
          <w:sz w:val="32"/>
          <w:szCs w:val="32"/>
        </w:rPr>
      </w:pPr>
      <w:r>
        <w:rPr>
          <w:rFonts w:hint="eastAsia" w:ascii="仿宋" w:hAnsi="仿宋" w:eastAsia="仿宋"/>
          <w:sz w:val="32"/>
          <w:szCs w:val="32"/>
        </w:rPr>
        <w:t>五、财政拨款支出决算明细表</w:t>
      </w:r>
    </w:p>
    <w:p w14:paraId="26EB3EA0">
      <w:pPr>
        <w:rPr>
          <w:rFonts w:ascii="仿宋" w:hAnsi="仿宋" w:eastAsia="仿宋"/>
          <w:sz w:val="32"/>
          <w:szCs w:val="32"/>
        </w:rPr>
      </w:pPr>
      <w:r>
        <w:rPr>
          <w:rFonts w:hint="eastAsia" w:ascii="仿宋" w:hAnsi="仿宋" w:eastAsia="仿宋"/>
          <w:sz w:val="32"/>
          <w:szCs w:val="32"/>
        </w:rPr>
        <w:t>六、一般公共预算财政拨款支出决算表</w:t>
      </w:r>
    </w:p>
    <w:p w14:paraId="3477DBAC">
      <w:pPr>
        <w:rPr>
          <w:rFonts w:ascii="仿宋" w:hAnsi="仿宋" w:eastAsia="仿宋"/>
          <w:sz w:val="32"/>
          <w:szCs w:val="32"/>
        </w:rPr>
      </w:pPr>
      <w:r>
        <w:rPr>
          <w:rFonts w:hint="eastAsia" w:ascii="仿宋" w:hAnsi="仿宋" w:eastAsia="仿宋"/>
          <w:sz w:val="32"/>
          <w:szCs w:val="32"/>
        </w:rPr>
        <w:t>七、一般公共预算财政拨款支出决算明细表</w:t>
      </w:r>
    </w:p>
    <w:p w14:paraId="156A9CCD">
      <w:pPr>
        <w:rPr>
          <w:rFonts w:ascii="仿宋" w:hAnsi="仿宋" w:eastAsia="仿宋"/>
          <w:sz w:val="32"/>
          <w:szCs w:val="32"/>
        </w:rPr>
      </w:pPr>
      <w:r>
        <w:rPr>
          <w:rFonts w:hint="eastAsia" w:ascii="仿宋" w:hAnsi="仿宋" w:eastAsia="仿宋"/>
          <w:sz w:val="32"/>
          <w:szCs w:val="32"/>
        </w:rPr>
        <w:t>八、一般公共预算财政拨款基本支出决算表</w:t>
      </w:r>
    </w:p>
    <w:p w14:paraId="4994E710">
      <w:pPr>
        <w:rPr>
          <w:rFonts w:ascii="仿宋" w:hAnsi="仿宋" w:eastAsia="仿宋"/>
          <w:sz w:val="32"/>
          <w:szCs w:val="32"/>
        </w:rPr>
      </w:pPr>
      <w:r>
        <w:rPr>
          <w:rFonts w:hint="eastAsia" w:ascii="仿宋" w:hAnsi="仿宋" w:eastAsia="仿宋"/>
          <w:sz w:val="32"/>
          <w:szCs w:val="32"/>
        </w:rPr>
        <w:t>九、一般公共预算财政拨款项目支出决算表</w:t>
      </w:r>
    </w:p>
    <w:p w14:paraId="6F9B5321">
      <w:pPr>
        <w:rPr>
          <w:rFonts w:ascii="仿宋" w:hAnsi="仿宋" w:eastAsia="仿宋"/>
          <w:sz w:val="32"/>
          <w:szCs w:val="32"/>
        </w:rPr>
      </w:pPr>
      <w:r>
        <w:rPr>
          <w:rFonts w:hint="eastAsia" w:ascii="仿宋" w:hAnsi="仿宋" w:eastAsia="仿宋"/>
          <w:sz w:val="32"/>
          <w:szCs w:val="32"/>
        </w:rPr>
        <w:t>十、政府性基金预算财政拨款收入支出决算表</w:t>
      </w:r>
    </w:p>
    <w:p w14:paraId="24B7634B">
      <w:pPr>
        <w:rPr>
          <w:rFonts w:ascii="仿宋" w:hAnsi="仿宋" w:eastAsia="仿宋"/>
          <w:sz w:val="32"/>
          <w:szCs w:val="32"/>
        </w:rPr>
      </w:pPr>
      <w:r>
        <w:rPr>
          <w:rFonts w:hint="eastAsia" w:ascii="仿宋" w:hAnsi="仿宋" w:eastAsia="仿宋"/>
          <w:sz w:val="32"/>
          <w:szCs w:val="32"/>
        </w:rPr>
        <w:t>十一、国有资本经营预算财政拨款收入支出决算表</w:t>
      </w:r>
    </w:p>
    <w:p w14:paraId="1F4ED990">
      <w:pPr>
        <w:rPr>
          <w:rFonts w:ascii="仿宋" w:hAnsi="仿宋" w:eastAsia="仿宋"/>
          <w:sz w:val="32"/>
          <w:szCs w:val="32"/>
        </w:rPr>
      </w:pPr>
      <w:r>
        <w:rPr>
          <w:rFonts w:hint="eastAsia" w:ascii="仿宋" w:hAnsi="仿宋" w:eastAsia="仿宋"/>
          <w:sz w:val="32"/>
          <w:szCs w:val="32"/>
        </w:rPr>
        <w:t>十二、国有资本经营预算财政拨款支出决算表</w:t>
      </w:r>
    </w:p>
    <w:p w14:paraId="16ADA475">
      <w:pPr>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1111632">
        <w:pPr>
          <w:pStyle w:val="2"/>
          <w:jc w:val="center"/>
        </w:pPr>
        <w:r>
          <w:fldChar w:fldCharType="begin"/>
        </w:r>
        <w:r>
          <w:instrText xml:space="preserve">PAGE   \* MERGEFORMAT</w:instrText>
        </w:r>
        <w:r>
          <w:fldChar w:fldCharType="separate"/>
        </w:r>
        <w:r>
          <w:rPr>
            <w:lang w:val="zh-CN"/>
          </w:rPr>
          <w:t>23</w:t>
        </w:r>
        <w:r>
          <w:fldChar w:fldCharType="end"/>
        </w:r>
      </w:p>
    </w:sdtContent>
  </w:sdt>
  <w:p w14:paraId="04B0576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C5A25">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1331F"/>
    <w:multiLevelType w:val="singleLevel"/>
    <w:tmpl w:val="85A1331F"/>
    <w:lvl w:ilvl="0" w:tentative="0">
      <w:start w:val="3"/>
      <w:numFmt w:val="chineseCounting"/>
      <w:suff w:val="nothing"/>
      <w:lvlText w:val="（%1）"/>
      <w:lvlJc w:val="left"/>
      <w:rPr>
        <w:rFonts w:hint="eastAsia"/>
      </w:rPr>
    </w:lvl>
  </w:abstractNum>
  <w:abstractNum w:abstractNumId="1">
    <w:nsid w:val="8B959E64"/>
    <w:multiLevelType w:val="singleLevel"/>
    <w:tmpl w:val="8B959E64"/>
    <w:lvl w:ilvl="0" w:tentative="0">
      <w:start w:val="2"/>
      <w:numFmt w:val="chineseCounting"/>
      <w:suff w:val="nothing"/>
      <w:lvlText w:val="（%1）"/>
      <w:lvlJc w:val="left"/>
      <w:rPr>
        <w:rFonts w:hint="eastAsia"/>
      </w:rPr>
    </w:lvl>
  </w:abstractNum>
  <w:abstractNum w:abstractNumId="2">
    <w:nsid w:val="BAABFE38"/>
    <w:multiLevelType w:val="singleLevel"/>
    <w:tmpl w:val="BAABFE38"/>
    <w:lvl w:ilvl="0" w:tentative="0">
      <w:start w:val="1"/>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D29A6AA9"/>
    <w:multiLevelType w:val="singleLevel"/>
    <w:tmpl w:val="D29A6AA9"/>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4299365"/>
    <w:multiLevelType w:val="singleLevel"/>
    <w:tmpl w:val="14299365"/>
    <w:lvl w:ilvl="0" w:tentative="0">
      <w:start w:val="1"/>
      <w:numFmt w:val="chineseCounting"/>
      <w:suff w:val="nothing"/>
      <w:lvlText w:val="（%1）"/>
      <w:lvlJc w:val="left"/>
      <w:rPr>
        <w:rFonts w:hint="eastAsia"/>
      </w:rPr>
    </w:lvl>
  </w:abstractNum>
  <w:abstractNum w:abstractNumId="7">
    <w:nsid w:val="161C804A"/>
    <w:multiLevelType w:val="singleLevel"/>
    <w:tmpl w:val="161C804A"/>
    <w:lvl w:ilvl="0" w:tentative="0">
      <w:start w:val="1"/>
      <w:numFmt w:val="chineseCounting"/>
      <w:suff w:val="nothing"/>
      <w:lvlText w:val="（%1）"/>
      <w:lvlJc w:val="left"/>
      <w:rPr>
        <w:rFonts w:hint="eastAsia"/>
      </w:rPr>
    </w:lvl>
  </w:abstractNum>
  <w:abstractNum w:abstractNumId="8">
    <w:nsid w:val="27DCCDC8"/>
    <w:multiLevelType w:val="singleLevel"/>
    <w:tmpl w:val="27DCCDC8"/>
    <w:lvl w:ilvl="0" w:tentative="0">
      <w:start w:val="1"/>
      <w:numFmt w:val="decimal"/>
      <w:lvlText w:val="%1."/>
      <w:lvlJc w:val="left"/>
      <w:pPr>
        <w:tabs>
          <w:tab w:val="left" w:pos="312"/>
        </w:tabs>
      </w:pPr>
    </w:lvl>
  </w:abstractNum>
  <w:abstractNum w:abstractNumId="9">
    <w:nsid w:val="50B7E5F5"/>
    <w:multiLevelType w:val="singleLevel"/>
    <w:tmpl w:val="50B7E5F5"/>
    <w:lvl w:ilvl="0" w:tentative="0">
      <w:start w:val="2"/>
      <w:numFmt w:val="chineseCounting"/>
      <w:suff w:val="nothing"/>
      <w:lvlText w:val="（%1）"/>
      <w:lvlJc w:val="left"/>
      <w:rPr>
        <w:rFonts w:hint="eastAsia"/>
      </w:rPr>
    </w:lvl>
  </w:abstractNum>
  <w:abstractNum w:abstractNumId="10">
    <w:nsid w:val="5ABF83A3"/>
    <w:multiLevelType w:val="singleLevel"/>
    <w:tmpl w:val="5ABF83A3"/>
    <w:lvl w:ilvl="0" w:tentative="0">
      <w:start w:val="2"/>
      <w:numFmt w:val="decimal"/>
      <w:lvlText w:val="%1."/>
      <w:lvlJc w:val="left"/>
      <w:pPr>
        <w:tabs>
          <w:tab w:val="left" w:pos="312"/>
        </w:tabs>
      </w:pPr>
    </w:lvl>
  </w:abstractNum>
  <w:abstractNum w:abstractNumId="11">
    <w:nsid w:val="69C559BD"/>
    <w:multiLevelType w:val="singleLevel"/>
    <w:tmpl w:val="69C559BD"/>
    <w:lvl w:ilvl="0" w:tentative="0">
      <w:start w:val="1"/>
      <w:numFmt w:val="decimal"/>
      <w:lvlText w:val="%1."/>
      <w:lvlJc w:val="left"/>
      <w:pPr>
        <w:tabs>
          <w:tab w:val="left" w:pos="312"/>
        </w:tabs>
      </w:pPr>
    </w:lvl>
  </w:abstractNum>
  <w:num w:numId="1">
    <w:abstractNumId w:val="2"/>
  </w:num>
  <w:num w:numId="2">
    <w:abstractNumId w:val="5"/>
  </w:num>
  <w:num w:numId="3">
    <w:abstractNumId w:val="8"/>
  </w:num>
  <w:num w:numId="4">
    <w:abstractNumId w:val="3"/>
  </w:num>
  <w:num w:numId="5">
    <w:abstractNumId w:val="7"/>
  </w:num>
  <w:num w:numId="6">
    <w:abstractNumId w:val="9"/>
  </w:num>
  <w:num w:numId="7">
    <w:abstractNumId w:val="10"/>
  </w:num>
  <w:num w:numId="8">
    <w:abstractNumId w:val="11"/>
  </w:num>
  <w:num w:numId="9">
    <w:abstractNumId w:val="0"/>
  </w:num>
  <w:num w:numId="10">
    <w:abstractNumId w:val="1"/>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iMDZiMWQwMDkzYTU0NjBjM2RkZTA4ZjQyOTI3Y2M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BA0A21"/>
    <w:rsid w:val="02FEBE30"/>
    <w:rsid w:val="036F8141"/>
    <w:rsid w:val="066E0107"/>
    <w:rsid w:val="07996F6E"/>
    <w:rsid w:val="079F5331"/>
    <w:rsid w:val="07DFD8BA"/>
    <w:rsid w:val="08FB56C2"/>
    <w:rsid w:val="092108CB"/>
    <w:rsid w:val="0A2032A3"/>
    <w:rsid w:val="0CCE287E"/>
    <w:rsid w:val="0D35B1ED"/>
    <w:rsid w:val="0D993821"/>
    <w:rsid w:val="0E7ED1F5"/>
    <w:rsid w:val="0F98263C"/>
    <w:rsid w:val="101860EC"/>
    <w:rsid w:val="106B257C"/>
    <w:rsid w:val="10C055FF"/>
    <w:rsid w:val="118107EC"/>
    <w:rsid w:val="13D50BC4"/>
    <w:rsid w:val="13F5616D"/>
    <w:rsid w:val="15212807"/>
    <w:rsid w:val="16BB723D"/>
    <w:rsid w:val="17F9714D"/>
    <w:rsid w:val="1918F934"/>
    <w:rsid w:val="1BE8440E"/>
    <w:rsid w:val="1CC67E42"/>
    <w:rsid w:val="1D155CEE"/>
    <w:rsid w:val="1DFBC4B3"/>
    <w:rsid w:val="1E740ACF"/>
    <w:rsid w:val="1F19C781"/>
    <w:rsid w:val="1F33FCE5"/>
    <w:rsid w:val="1F7F7398"/>
    <w:rsid w:val="1FD2DB6F"/>
    <w:rsid w:val="1FF35744"/>
    <w:rsid w:val="1FF6BC77"/>
    <w:rsid w:val="1FF9236D"/>
    <w:rsid w:val="21A60DE7"/>
    <w:rsid w:val="231219E4"/>
    <w:rsid w:val="2333840E"/>
    <w:rsid w:val="23860B96"/>
    <w:rsid w:val="240371BF"/>
    <w:rsid w:val="257C638F"/>
    <w:rsid w:val="29FD04D3"/>
    <w:rsid w:val="2AB03A71"/>
    <w:rsid w:val="2BFF7BC6"/>
    <w:rsid w:val="2C8A61B5"/>
    <w:rsid w:val="2CD59C95"/>
    <w:rsid w:val="2DF04E50"/>
    <w:rsid w:val="2EFD05E5"/>
    <w:rsid w:val="2F040D46"/>
    <w:rsid w:val="2F4F95CE"/>
    <w:rsid w:val="2FACAFDD"/>
    <w:rsid w:val="2FAE5751"/>
    <w:rsid w:val="2FB1A395"/>
    <w:rsid w:val="2FCF0B76"/>
    <w:rsid w:val="2FD9A7D8"/>
    <w:rsid w:val="319F7F4E"/>
    <w:rsid w:val="3304709D"/>
    <w:rsid w:val="34EE405C"/>
    <w:rsid w:val="35DB21A4"/>
    <w:rsid w:val="36AA5135"/>
    <w:rsid w:val="36BE0DA7"/>
    <w:rsid w:val="376B6AA6"/>
    <w:rsid w:val="376D39B2"/>
    <w:rsid w:val="37E16F03"/>
    <w:rsid w:val="37F53A3B"/>
    <w:rsid w:val="38D469F0"/>
    <w:rsid w:val="38F78389"/>
    <w:rsid w:val="397BAF1F"/>
    <w:rsid w:val="39E7B272"/>
    <w:rsid w:val="39F7642F"/>
    <w:rsid w:val="39FF7B37"/>
    <w:rsid w:val="3A5345B0"/>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4E268DA"/>
    <w:rsid w:val="457F4F6B"/>
    <w:rsid w:val="4589392D"/>
    <w:rsid w:val="4737FB58"/>
    <w:rsid w:val="47ECCB02"/>
    <w:rsid w:val="47FA6A3F"/>
    <w:rsid w:val="49D7AE48"/>
    <w:rsid w:val="4A3F6C7E"/>
    <w:rsid w:val="4A627F82"/>
    <w:rsid w:val="4B0E749A"/>
    <w:rsid w:val="4B4F25DA"/>
    <w:rsid w:val="4BBB4781"/>
    <w:rsid w:val="4BD709A5"/>
    <w:rsid w:val="4BDD9BFF"/>
    <w:rsid w:val="4BE068DB"/>
    <w:rsid w:val="4D577224"/>
    <w:rsid w:val="4DBF1CEB"/>
    <w:rsid w:val="4DBF6A6B"/>
    <w:rsid w:val="4DF6A672"/>
    <w:rsid w:val="4EAB630A"/>
    <w:rsid w:val="4ECE2238"/>
    <w:rsid w:val="4F7EA413"/>
    <w:rsid w:val="4FAB812F"/>
    <w:rsid w:val="4FE9BD67"/>
    <w:rsid w:val="4FEE4C07"/>
    <w:rsid w:val="4FFB052F"/>
    <w:rsid w:val="534D3630"/>
    <w:rsid w:val="537E6D0A"/>
    <w:rsid w:val="53AB6B88"/>
    <w:rsid w:val="53F74C96"/>
    <w:rsid w:val="55325341"/>
    <w:rsid w:val="5583522D"/>
    <w:rsid w:val="57BD3DD4"/>
    <w:rsid w:val="57F9CD1E"/>
    <w:rsid w:val="5AF92295"/>
    <w:rsid w:val="5AF9D8E9"/>
    <w:rsid w:val="5B3101C3"/>
    <w:rsid w:val="5BDD38BD"/>
    <w:rsid w:val="5BDD79E6"/>
    <w:rsid w:val="5BEFC772"/>
    <w:rsid w:val="5BFF5DFC"/>
    <w:rsid w:val="5C700ABB"/>
    <w:rsid w:val="5CD71FC4"/>
    <w:rsid w:val="5D1F11B5"/>
    <w:rsid w:val="5D3647F9"/>
    <w:rsid w:val="5DA644D4"/>
    <w:rsid w:val="5DAE1B18"/>
    <w:rsid w:val="5DE7D9E5"/>
    <w:rsid w:val="5E447F2B"/>
    <w:rsid w:val="5ECEC941"/>
    <w:rsid w:val="5EFF8FC6"/>
    <w:rsid w:val="5F5BA39A"/>
    <w:rsid w:val="5F7D3B79"/>
    <w:rsid w:val="5F7F4610"/>
    <w:rsid w:val="5FBF9FF3"/>
    <w:rsid w:val="5FCD4E2C"/>
    <w:rsid w:val="5FEF394A"/>
    <w:rsid w:val="5FF67715"/>
    <w:rsid w:val="61CA71D5"/>
    <w:rsid w:val="621A5BE1"/>
    <w:rsid w:val="627EE9EA"/>
    <w:rsid w:val="62E669B8"/>
    <w:rsid w:val="63B23AA5"/>
    <w:rsid w:val="647F5392"/>
    <w:rsid w:val="64E322C4"/>
    <w:rsid w:val="65FB93B9"/>
    <w:rsid w:val="6633C463"/>
    <w:rsid w:val="67B75C50"/>
    <w:rsid w:val="67D55B77"/>
    <w:rsid w:val="67EE7F84"/>
    <w:rsid w:val="686F5F53"/>
    <w:rsid w:val="691C47A5"/>
    <w:rsid w:val="6AFFCEAF"/>
    <w:rsid w:val="6B96E9E6"/>
    <w:rsid w:val="6BCE57B5"/>
    <w:rsid w:val="6BFEA4DB"/>
    <w:rsid w:val="6BFFB662"/>
    <w:rsid w:val="6C4A05C8"/>
    <w:rsid w:val="6CFF4FB8"/>
    <w:rsid w:val="6D2618DE"/>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247AB1"/>
    <w:rsid w:val="7332FE48"/>
    <w:rsid w:val="73AD73D5"/>
    <w:rsid w:val="73B6EB34"/>
    <w:rsid w:val="73FA497D"/>
    <w:rsid w:val="744731E5"/>
    <w:rsid w:val="74903E66"/>
    <w:rsid w:val="749D5A8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7E0232"/>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semiHidden/>
    <w:unhideWhenUsed/>
    <w:qFormat/>
    <w:uiPriority w:val="99"/>
    <w:rPr>
      <w:sz w:val="18"/>
      <w:szCs w:val="18"/>
    </w:rPr>
  </w:style>
  <w:style w:type="paragraph" w:styleId="10">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7"/>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章标题"/>
    <w:basedOn w:val="1"/>
    <w:next w:val="20"/>
    <w:qFormat/>
    <w:uiPriority w:val="99"/>
    <w:pPr>
      <w:widowControl/>
      <w:spacing w:before="158" w:after="153" w:line="323" w:lineRule="atLeast"/>
      <w:ind w:right="-120"/>
      <w:jc w:val="center"/>
      <w:textAlignment w:val="baseline"/>
    </w:pPr>
    <w:rPr>
      <w:color w:val="FF0000"/>
      <w:sz w:val="18"/>
    </w:rPr>
  </w:style>
  <w:style w:type="paragraph" w:customStyle="1" w:styleId="20">
    <w:name w:val="节标题"/>
    <w:basedOn w:val="1"/>
    <w:next w:val="1"/>
    <w:qFormat/>
    <w:uiPriority w:val="99"/>
    <w:pPr>
      <w:widowControl/>
      <w:spacing w:line="289" w:lineRule="atLeast"/>
      <w:jc w:val="center"/>
      <w:textAlignment w:val="baseline"/>
    </w:pPr>
    <w:rPr>
      <w:color w:val="000000"/>
      <w:sz w:val="28"/>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6"/>
    <w:semiHidden/>
    <w:qFormat/>
    <w:uiPriority w:val="99"/>
    <w:rPr>
      <w:rFonts w:ascii="Times New Roman" w:hAnsi="Times New Roman"/>
      <w:sz w:val="18"/>
      <w:szCs w:val="18"/>
    </w:rPr>
  </w:style>
  <w:style w:type="character" w:customStyle="1" w:styleId="23">
    <w:name w:val="页眉 字符"/>
    <w:link w:val="10"/>
    <w:semiHidden/>
    <w:qFormat/>
    <w:locked/>
    <w:uiPriority w:val="99"/>
    <w:rPr>
      <w:sz w:val="18"/>
    </w:rPr>
  </w:style>
  <w:style w:type="character" w:customStyle="1" w:styleId="24">
    <w:name w:val="Footer Char"/>
    <w:basedOn w:val="16"/>
    <w:semiHidden/>
    <w:qFormat/>
    <w:uiPriority w:val="99"/>
    <w:rPr>
      <w:rFonts w:ascii="Times New Roman" w:hAnsi="Times New Roman"/>
      <w:sz w:val="18"/>
      <w:szCs w:val="18"/>
    </w:rPr>
  </w:style>
  <w:style w:type="character" w:customStyle="1" w:styleId="25">
    <w:name w:val="页脚 字符"/>
    <w:link w:val="2"/>
    <w:qFormat/>
    <w:locked/>
    <w:uiPriority w:val="99"/>
    <w:rPr>
      <w:sz w:val="18"/>
    </w:rPr>
  </w:style>
  <w:style w:type="character" w:customStyle="1" w:styleId="26">
    <w:name w:val="Body Text Char"/>
    <w:basedOn w:val="16"/>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6"/>
    <w:link w:val="3"/>
    <w:qFormat/>
    <w:uiPriority w:val="9"/>
    <w:rPr>
      <w:rFonts w:ascii="Times New Roman" w:hAnsi="Times New Roman"/>
      <w:b/>
      <w:bCs/>
      <w:kern w:val="44"/>
      <w:sz w:val="44"/>
      <w:szCs w:val="44"/>
    </w:rPr>
  </w:style>
  <w:style w:type="character" w:customStyle="1" w:styleId="31">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6"/>
    <w:link w:val="9"/>
    <w:semiHidden/>
    <w:qFormat/>
    <w:uiPriority w:val="99"/>
    <w:rPr>
      <w:rFonts w:ascii="Times New Roman" w:hAnsi="Times New Roman"/>
      <w:kern w:val="2"/>
      <w:sz w:val="18"/>
      <w:szCs w:val="18"/>
    </w:rPr>
  </w:style>
  <w:style w:type="character" w:customStyle="1" w:styleId="34">
    <w:name w:val="标题 3 字符"/>
    <w:basedOn w:val="16"/>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03015075376884"/>
          <c:y val="0.144705882352941"/>
          <c:w val="0.907462311557789"/>
          <c:h val="0.790705882352941"/>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manualLayout>
                  <c:x val="-0.0100502512562814"/>
                  <c:y val="0"/>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997.29</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Sheet1!$B$2</c:f>
              <c:numCache>
                <c:formatCode>General</c:formatCode>
                <c:ptCount val="1"/>
                <c:pt idx="0">
                  <c:v>997.29</c:v>
                </c:pt>
              </c:numCache>
            </c:numRef>
          </c:val>
        </c:ser>
        <c:ser>
          <c:idx val="1"/>
          <c:order val="1"/>
          <c:tx>
            <c:strRef>
              <c:f>Sheet1!$C$1</c:f>
              <c:strCache>
                <c:ptCount val="1"/>
                <c:pt idx="0">
                  <c:v>支出</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997.29</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Sheet1!$C$2</c:f>
              <c:numCache>
                <c:formatCode>General</c:formatCode>
                <c:ptCount val="1"/>
                <c:pt idx="0">
                  <c:v>997.29</c:v>
                </c:pt>
              </c:numCache>
            </c:numRef>
          </c:val>
        </c:ser>
        <c:ser>
          <c:idx val="2"/>
          <c:order val="2"/>
          <c:tx>
            <c:strRef>
              <c:f>Sheet1!#REF!</c:f>
              <c:strCache>
                <c:ptCount val="1"/>
                <c:pt idx="0">
                  <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elete val="1"/>
          </c:dLbls>
          <c:cat>
            <c:numRef>
              <c:f>Sheet1!#REF!</c:f>
              <c:numCache>
                <c:ptCount val="0"/>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64"/>
        <c:overlap val="-22"/>
        <c:axId val="968769396"/>
        <c:axId val="842422400"/>
      </c:barChart>
      <c:catAx>
        <c:axId val="9687693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422400"/>
        <c:crosses val="autoZero"/>
        <c:auto val="1"/>
        <c:lblAlgn val="ctr"/>
        <c:lblOffset val="100"/>
        <c:noMultiLvlLbl val="0"/>
      </c:catAx>
      <c:valAx>
        <c:axId val="842422400"/>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769396"/>
        <c:crosses val="autoZero"/>
        <c:crossBetween val="between"/>
      </c:valAx>
      <c:spPr>
        <a:noFill/>
        <a:ln>
          <a:noFill/>
        </a:ln>
        <a:effectLst/>
      </c:spPr>
    </c:plotArea>
    <c:legend>
      <c:legendPos val="r"/>
      <c:legendEntry>
        <c:idx val="2"/>
        <c:delete val="1"/>
      </c:legendEntry>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4522e25-3b91-4c3e-9c37-0401f17b9c2d}"/>
      </c:ext>
    </c:extLst>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收入决算结构图</c:v>
                </c:pt>
              </c:strCache>
            </c:strRef>
          </c:tx>
          <c:spPr>
            <a:effectLst/>
          </c:spPr>
          <c:explosion val="0"/>
          <c:dPt>
            <c:idx val="0"/>
            <c:bubble3D val="0"/>
            <c:explosion val="0"/>
            <c:spPr>
              <a:solidFill>
                <a:schemeClr val="accent1"/>
              </a:solidFill>
              <a:ln w="2540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1010.71</c:v>
                </c:pt>
              </c:numCache>
            </c:numRef>
          </c:val>
        </c:ser>
        <c:dLbls>
          <c:showLegendKey val="0"/>
          <c:showVal val="0"/>
          <c:showCatName val="0"/>
          <c:showSerName val="0"/>
          <c:showPercent val="1"/>
          <c:showBubbleSize val="0"/>
        </c:dLbls>
      </c:pie3DChart>
      <c:spPr>
        <a:no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a922afc-9880-4474-a6a2-f3354bf7dc6a}"/>
      </c:ext>
    </c:extLst>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90.82%</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9.17%</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一般公共服务支出</c:v>
                </c:pt>
                <c:pt idx="1">
                  <c:v>项目支出</c:v>
                </c:pt>
              </c:strCache>
            </c:strRef>
          </c:cat>
          <c:val>
            <c:numRef>
              <c:f>Sheet1!$B$2:$B$3</c:f>
              <c:numCache>
                <c:formatCode>General</c:formatCode>
                <c:ptCount val="2"/>
                <c:pt idx="0">
                  <c:v>90.82</c:v>
                </c:pt>
                <c:pt idx="1">
                  <c:v>9.17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b57111f-2783-4dea-9ae2-a3144df7c262}"/>
      </c:ext>
    </c:extLst>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900" b="1" i="0" u="none" strike="noStrike" kern="1200" cap="all" spc="150" baseline="0">
                <a:solidFill>
                  <a:schemeClr val="tx1">
                    <a:lumMod val="50000"/>
                    <a:lumOff val="50000"/>
                  </a:schemeClr>
                </a:solidFill>
                <a:latin typeface="+mn-lt"/>
                <a:ea typeface="+mn-ea"/>
                <a:cs typeface="+mn-cs"/>
              </a:defRPr>
            </a:pPr>
            <a:r>
              <a:rPr sz="900"/>
              <a:t>20</a:t>
            </a:r>
            <a:r>
              <a:rPr lang="en-US" altLang="zh-CN" sz="900"/>
              <a:t>22</a:t>
            </a:r>
            <a:r>
              <a:rPr altLang="en-US" sz="900"/>
              <a:t>、</a:t>
            </a:r>
            <a:r>
              <a:rPr lang="en-US" altLang="zh-CN" sz="900"/>
              <a:t>2023</a:t>
            </a:r>
            <a:r>
              <a:rPr sz="900"/>
              <a:t>年度财政拨款收、支决算总计变动情况图</a:t>
            </a:r>
            <a:endParaRPr sz="900"/>
          </a:p>
        </c:rich>
      </c:tx>
      <c:layout/>
      <c:overlay val="0"/>
      <c:spPr>
        <a:noFill/>
        <a:ln>
          <a:noFill/>
        </a:ln>
        <a:effectLst/>
      </c:spPr>
    </c:title>
    <c:autoTitleDeleted val="0"/>
    <c:plotArea>
      <c:layout>
        <c:manualLayout>
          <c:layoutTarget val="inner"/>
          <c:xMode val="edge"/>
          <c:yMode val="edge"/>
          <c:x val="0.0813595641281629"/>
          <c:y val="0.348065080543756"/>
          <c:w val="0.855387234042553"/>
          <c:h val="0.466290928609769"/>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tx>
                <c:rich>
                  <a:bodyPr rot="0" spcFirstLastPara="0" vertOverflow="ellipsis" vert="horz" wrap="square" lIns="38100" tIns="19050" rIns="38100" bIns="19050" anchor="ctr" anchorCtr="1"/>
                  <a:lstStyle/>
                  <a:p>
                    <a:pPr defTabSz="914400">
                      <a:defRPr lang="zh-CN" sz="750" b="0" i="0" u="none" strike="noStrike" kern="1200" baseline="0">
                        <a:solidFill>
                          <a:schemeClr val="tx1">
                            <a:lumMod val="75000"/>
                            <a:lumOff val="25000"/>
                          </a:schemeClr>
                        </a:solidFill>
                        <a:latin typeface="+mn-lt"/>
                        <a:ea typeface="+mn-ea"/>
                        <a:cs typeface="+mn-cs"/>
                      </a:defRPr>
                    </a:pPr>
                    <a:r>
                      <a:rPr lang="en-US" altLang="zh-CN"/>
                      <a:t>1010.71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750" b="0" i="0" u="none" strike="noStrike" kern="1200" baseline="0">
                        <a:solidFill>
                          <a:schemeClr val="tx1">
                            <a:lumMod val="75000"/>
                            <a:lumOff val="25000"/>
                          </a:schemeClr>
                        </a:solidFill>
                        <a:latin typeface="+mn-lt"/>
                        <a:ea typeface="+mn-ea"/>
                        <a:cs typeface="+mn-cs"/>
                      </a:defRPr>
                    </a:pPr>
                    <a:r>
                      <a:rPr lang="en-US" altLang="zh-CN"/>
                      <a:t>997.29</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2022年</c:v>
                </c:pt>
                <c:pt idx="1">
                  <c:v>2023年</c:v>
                </c:pt>
              </c:strCache>
            </c:strRef>
          </c:cat>
          <c:val>
            <c:numRef>
              <c:f>Sheet1!$B$2:$B$3</c:f>
              <c:numCache>
                <c:formatCode>General</c:formatCode>
                <c:ptCount val="2"/>
                <c:pt idx="0">
                  <c:v>1010.71</c:v>
                </c:pt>
                <c:pt idx="1">
                  <c:v>997.29</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ser>
          <c:idx val="2"/>
          <c:order val="2"/>
          <c:tx>
            <c:strRef>
              <c:f>Sheet1!$C$1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Lbl>
              <c:idx val="0"/>
              <c:layout>
                <c:manualLayout>
                  <c:x val="0.00480064008534471"/>
                  <c:y val="0.00591133004926108"/>
                </c:manualLayout>
              </c:layout>
              <c:tx>
                <c:rich>
                  <a:bodyPr rot="0" spcFirstLastPara="0" vertOverflow="ellipsis" vert="horz" wrap="square" lIns="38100" tIns="19050" rIns="38100" bIns="19050" anchor="ctr" anchorCtr="1"/>
                  <a:lstStyle/>
                  <a:p>
                    <a:pPr defTabSz="914400">
                      <a:defRPr lang="zh-CN" sz="750" b="0" i="0" u="none" strike="noStrike" kern="1200" baseline="0">
                        <a:solidFill>
                          <a:schemeClr val="tx1">
                            <a:lumMod val="75000"/>
                            <a:lumOff val="25000"/>
                          </a:schemeClr>
                        </a:solidFill>
                        <a:latin typeface="+mn-lt"/>
                        <a:ea typeface="+mn-ea"/>
                        <a:cs typeface="+mn-cs"/>
                      </a:defRPr>
                    </a:pPr>
                    <a:r>
                      <a:rPr lang="en-US" altLang="zh-CN"/>
                      <a:t>1010.71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750" b="0" i="0" u="none" strike="noStrike" kern="1200" baseline="0">
                        <a:solidFill>
                          <a:schemeClr val="tx1">
                            <a:lumMod val="75000"/>
                            <a:lumOff val="25000"/>
                          </a:schemeClr>
                        </a:solidFill>
                        <a:latin typeface="+mn-lt"/>
                        <a:ea typeface="+mn-ea"/>
                        <a:cs typeface="+mn-cs"/>
                      </a:defRPr>
                    </a:pPr>
                    <a:r>
                      <a:rPr lang="en-US" altLang="zh-CN"/>
                      <a:t>997.29</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2022年</c:v>
                </c:pt>
                <c:pt idx="1">
                  <c:v>2023年</c:v>
                </c:pt>
              </c:strCache>
            </c:strRef>
          </c:cat>
          <c:val>
            <c:numRef>
              <c:f>Sheet1!$C$2:$C$3</c:f>
              <c:numCache>
                <c:formatCode>General</c:formatCode>
                <c:ptCount val="2"/>
                <c:pt idx="0">
                  <c:v>1010.71</c:v>
                </c:pt>
                <c:pt idx="1">
                  <c:v>997.29</c:v>
                </c:pt>
              </c:numCache>
            </c:numRef>
          </c:val>
        </c:ser>
        <c:dLbls>
          <c:showLegendKey val="0"/>
          <c:showVal val="1"/>
          <c:showCatName val="0"/>
          <c:showSerName val="0"/>
          <c:showPercent val="0"/>
          <c:showBubbleSize val="0"/>
        </c:dLbls>
        <c:gapWidth val="164"/>
        <c:overlap val="-22"/>
        <c:axId val="812231112"/>
        <c:axId val="567768063"/>
      </c:barChart>
      <c:catAx>
        <c:axId val="8122311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567768063"/>
        <c:crosses val="autoZero"/>
        <c:auto val="1"/>
        <c:lblAlgn val="ctr"/>
        <c:lblOffset val="100"/>
        <c:noMultiLvlLbl val="0"/>
      </c:catAx>
      <c:valAx>
        <c:axId val="567768063"/>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812231112"/>
        <c:crosses val="autoZero"/>
        <c:crossBetween val="between"/>
      </c:valAx>
      <c:spPr>
        <a:noFill/>
        <a:ln>
          <a:noFill/>
        </a:ln>
        <a:effectLst/>
      </c:spPr>
    </c:plotArea>
    <c:legend>
      <c:legendPos val="b"/>
      <c:legendEntry>
        <c:idx val="0"/>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egendEntry>
        <c:idx val="1"/>
        <c:delete val="1"/>
      </c:legendEntry>
      <c:legendEntry>
        <c:idx val="2"/>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73388619201726"/>
          <c:y val="0.923479561316052"/>
        </c:manualLayout>
      </c:layout>
      <c:overlay val="0"/>
      <c:spPr>
        <a:noFill/>
        <a:ln>
          <a:noFill/>
        </a:ln>
        <a:effectLst/>
      </c:spPr>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3701e19-68ac-47b5-9dc4-8318f2b47a29}"/>
      </c:ext>
    </c:extLst>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75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40" b="1" i="0" u="none" strike="noStrike" kern="1200" cap="all" spc="150" baseline="0">
                <a:solidFill>
                  <a:schemeClr val="dk1"/>
                </a:solidFill>
                <a:latin typeface="+mn-lt"/>
                <a:ea typeface="+mn-ea"/>
                <a:cs typeface="+mn-cs"/>
              </a:defRPr>
            </a:pPr>
            <a:r>
              <a:rPr lang="en-US" altLang="zh-CN" sz="1440">
                <a:solidFill>
                  <a:schemeClr val="dk1"/>
                </a:solidFill>
                <a:latin typeface="+mn-lt"/>
                <a:ea typeface="+mn-ea"/>
                <a:cs typeface="+mn-cs"/>
              </a:rPr>
              <a:t>2022</a:t>
            </a:r>
            <a:r>
              <a:rPr sz="1440">
                <a:solidFill>
                  <a:schemeClr val="dk1"/>
                </a:solidFill>
                <a:latin typeface="+mn-lt"/>
                <a:ea typeface="+mn-ea"/>
                <a:cs typeface="+mn-cs"/>
              </a:rPr>
              <a:t>、</a:t>
            </a:r>
            <a:r>
              <a:rPr lang="en-US" altLang="zh-CN" sz="1440">
                <a:solidFill>
                  <a:schemeClr val="dk1"/>
                </a:solidFill>
                <a:latin typeface="+mn-lt"/>
                <a:ea typeface="+mn-ea"/>
                <a:cs typeface="+mn-cs"/>
              </a:rPr>
              <a:t>2023</a:t>
            </a:r>
            <a:r>
              <a:rPr sz="1440">
                <a:solidFill>
                  <a:schemeClr val="dk1"/>
                </a:solidFill>
                <a:latin typeface="+mn-lt"/>
                <a:ea typeface="+mn-ea"/>
                <a:cs typeface="+mn-cs"/>
              </a:rPr>
              <a:t>年度一般公共预算财政拨款支出决算变动情况图</a:t>
            </a:r>
            <a:endParaRPr sz="1440">
              <a:solidFill>
                <a:schemeClr val="dk1"/>
              </a:solidFill>
              <a:latin typeface="+mn-lt"/>
              <a:ea typeface="+mn-ea"/>
              <a:cs typeface="+mn-cs"/>
            </a:endParaRPr>
          </a:p>
        </c:rich>
      </c:tx>
      <c:layout>
        <c:manualLayout>
          <c:xMode val="edge"/>
          <c:yMode val="edge"/>
          <c:x val="0.117296347433162"/>
          <c:y val="0.0273833671399594"/>
        </c:manualLayout>
      </c:layout>
      <c:overlay val="0"/>
      <c:spPr>
        <a:noFill/>
        <a:ln>
          <a:noFill/>
        </a:ln>
        <a:effectLst/>
      </c:spPr>
    </c:title>
    <c:autoTitleDeleted val="0"/>
    <c:plotArea>
      <c:layout>
        <c:manualLayout>
          <c:layoutTarget val="inner"/>
          <c:xMode val="edge"/>
          <c:yMode val="edge"/>
          <c:x val="0.106790510857287"/>
          <c:y val="0.346754563894523"/>
          <c:w val="0.870867327726873"/>
          <c:h val="0.529148073022312"/>
        </c:manualLayout>
      </c:layout>
      <c:barChart>
        <c:barDir val="col"/>
        <c:grouping val="clustered"/>
        <c:varyColors val="0"/>
        <c:ser>
          <c:idx val="0"/>
          <c:order val="0"/>
          <c:tx>
            <c:strRef>
              <c:f>Sheet1!#REF!</c:f>
              <c:strCache>
                <c:ptCount val="1"/>
                <c:pt idx="0">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ser>
          <c:idx val="2"/>
          <c:order val="2"/>
          <c:tx>
            <c:strRef>
              <c:f>Sheet1!$B$1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200" b="0" i="0" u="none" strike="noStrike" kern="1200" baseline="0">
                    <a:solidFill>
                      <a:schemeClr val="dk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Sheet1!$A$2:$A$3</c:f>
              <c:strCache>
                <c:ptCount val="2"/>
                <c:pt idx="0">
                  <c:v>2022年</c:v>
                </c:pt>
                <c:pt idx="1">
                  <c:v>2023年</c:v>
                </c:pt>
              </c:strCache>
            </c:strRef>
          </c:cat>
          <c:val>
            <c:numRef>
              <c:f>Sheet1!$B$2:$B$3</c:f>
              <c:numCache>
                <c:formatCode>General</c:formatCode>
                <c:ptCount val="2"/>
                <c:pt idx="0">
                  <c:v>1010.71</c:v>
                </c:pt>
                <c:pt idx="1">
                  <c:v>997.29</c:v>
                </c:pt>
              </c:numCache>
            </c:numRef>
          </c:val>
        </c:ser>
        <c:dLbls>
          <c:showLegendKey val="0"/>
          <c:showVal val="1"/>
          <c:showCatName val="0"/>
          <c:showSerName val="0"/>
          <c:showPercent val="0"/>
          <c:showBubbleSize val="0"/>
        </c:dLbls>
        <c:gapWidth val="164"/>
        <c:overlap val="-22"/>
        <c:axId val="973666578"/>
        <c:axId val="135195795"/>
      </c:barChart>
      <c:catAx>
        <c:axId val="973666578"/>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crossAx val="135195795"/>
        <c:crosses val="autoZero"/>
        <c:auto val="1"/>
        <c:lblAlgn val="ctr"/>
        <c:lblOffset val="100"/>
        <c:noMultiLvlLbl val="0"/>
      </c:catAx>
      <c:valAx>
        <c:axId val="135195795"/>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crossAx val="973666578"/>
        <c:crosses val="autoZero"/>
        <c:crossBetween val="between"/>
      </c:valAx>
      <c:spPr>
        <a:noFill/>
        <a:ln>
          <a:noFill/>
        </a:ln>
        <a:effectLst/>
      </c:spPr>
    </c:plotArea>
    <c:legend>
      <c:legendPos val="t"/>
      <c:legendEntry>
        <c:idx val="0"/>
        <c:delete val="1"/>
      </c:legendEntry>
      <c:legendEntry>
        <c:idx val="1"/>
        <c:delete val="1"/>
      </c:legendEntry>
      <c:legendEntry>
        <c:idx val="2"/>
        <c:txPr>
          <a:bodyPr rot="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legendEntry>
      <c:layout/>
      <c:overlay val="0"/>
      <c:spPr>
        <a:noFill/>
        <a:ln>
          <a:noFill/>
        </a:ln>
        <a:effectLst/>
      </c:spPr>
      <c:txPr>
        <a:bodyPr rot="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legend>
    <c:plotVisOnly val="1"/>
    <c:dispBlanksAs val="gap"/>
    <c:showDLblsOverMax val="0"/>
    <c:extLst>
      <c:ext uri="{0b15fc19-7d7d-44ad-8c2d-2c3a37ce22c3}">
        <chartProps xmlns="https://web.wps.cn/et/2018/main" chartId="{e2fbfd6d-e078-4ce8-91c3-de431cb3346a}"/>
      </c:ext>
    </c:extLst>
  </c:chart>
  <c:spPr>
    <a:solidFill>
      <a:schemeClr val="accent1"/>
    </a:solidFill>
    <a:ln w="25400" cap="flat" cmpd="sng" algn="ctr">
      <a:solidFill>
        <a:schemeClr val="dk1"/>
      </a:solidFill>
      <a:prstDash val="solid"/>
      <a:round/>
    </a:ln>
    <a:effectLst/>
    <a:sp3d>
      <a:extrusionClr>
        <a:srgbClr val="FFFFFF"/>
      </a:extrusionClr>
      <a:contourClr>
        <a:srgbClr val="FFFFFF"/>
      </a:contourClr>
    </a:sp3d>
  </c:spPr>
  <c:txPr>
    <a:bodyPr rot="0" spcFirstLastPara="0" vertOverflow="ellipsis" horzOverflow="overflow" vert="horz" wrap="square" anchor="ctr" anchorCtr="1"/>
    <a:lstStyle/>
    <a:p>
      <a:pPr>
        <a:defRPr lang="zh-CN" sz="1200">
          <a:solidFill>
            <a:schemeClr val="dk1"/>
          </a:solidFill>
          <a:latin typeface="+mn-lt"/>
          <a:ea typeface="+mn-ea"/>
          <a:cs typeface="+mn-c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600" b="1" i="0" u="none" strike="noStrike" kern="1200" cap="all" baseline="0">
                <a:solidFill>
                  <a:schemeClr val="tx1">
                    <a:lumMod val="65000"/>
                    <a:lumOff val="3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manualLayout>
          <c:layoutTarget val="inner"/>
          <c:xMode val="edge"/>
          <c:yMode val="edge"/>
          <c:x val="0.093175700254638"/>
          <c:y val="0.11257698541329"/>
          <c:w val="0.833049593791682"/>
          <c:h val="0.586191247974068"/>
        </c:manualLayout>
      </c:layout>
      <c:ofPieChart>
        <c:ofPieType val="pie"/>
        <c:varyColors val="1"/>
        <c:ser>
          <c:idx val="0"/>
          <c:order val="0"/>
          <c:tx>
            <c:strRef>
              <c:f>Sheet1!$B$1</c:f>
              <c:strCache>
                <c:ptCount val="1"/>
                <c:pt idx="0">
                  <c:v>支出</c:v>
                </c:pt>
              </c:strCache>
            </c:strRef>
          </c:tx>
          <c:spPr/>
          <c:explosion val="0"/>
          <c:dPt>
            <c:idx val="0"/>
            <c:bubble3D val="0"/>
            <c:explosion val="0"/>
            <c:spPr>
              <a:solidFill>
                <a:schemeClr val="accent1"/>
              </a:solidFill>
              <a:ln>
                <a:noFill/>
              </a:ln>
              <a:effectLst>
                <a:outerShdw blurRad="63500" sx="102000" sy="102000" algn="ctr" rotWithShape="0">
                  <a:prstClr val="black">
                    <a:alpha val="20000"/>
                  </a:prstClr>
                </a:outerShdw>
              </a:effectLst>
            </c:spPr>
          </c:dPt>
          <c:dPt>
            <c:idx val="1"/>
            <c:bubble3D val="0"/>
            <c:explosion val="0"/>
            <c:spPr>
              <a:solidFill>
                <a:schemeClr val="accent2"/>
              </a:solidFill>
              <a:ln>
                <a:noFill/>
              </a:ln>
              <a:effectLst>
                <a:outerShdw blurRad="63500" sx="102000" sy="102000" algn="ctr" rotWithShape="0">
                  <a:prstClr val="black">
                    <a:alpha val="20000"/>
                  </a:prstClr>
                </a:outerShdw>
              </a:effectLst>
            </c:spPr>
          </c:dPt>
          <c:dPt>
            <c:idx val="2"/>
            <c:bubble3D val="0"/>
            <c:explosion val="0"/>
            <c:spPr>
              <a:solidFill>
                <a:schemeClr val="accent3"/>
              </a:solidFill>
              <a:ln>
                <a:noFill/>
              </a:ln>
              <a:effectLst>
                <a:outerShdw blurRad="63500" sx="102000" sy="102000" algn="ctr" rotWithShape="0">
                  <a:prstClr val="black">
                    <a:alpha val="20000"/>
                  </a:prstClr>
                </a:outerShdw>
              </a:effectLst>
            </c:spPr>
          </c:dPt>
          <c:dPt>
            <c:idx val="3"/>
            <c:bubble3D val="0"/>
            <c:explosion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一般公共服务</a:t>
                    </a:r>
                  </a:p>
                  <a:p>
                    <a:pPr defTabSz="914400">
                      <a:defRPr lang="zh-CN" sz="1000" b="1" i="0" u="none" strike="noStrike" kern="1200" spc="0" baseline="0">
                        <a:solidFill>
                          <a:schemeClr val="accent1"/>
                        </a:solidFill>
                        <a:latin typeface="+mn-lt"/>
                        <a:ea typeface="+mn-ea"/>
                        <a:cs typeface="+mn-cs"/>
                      </a:defRPr>
                    </a:pPr>
                    <a:r>
                      <a:rPr lang="en-US" altLang="zh-CN"/>
                      <a:t>78.09</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4"/>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5"/>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6"/>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lumMod val="6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一般公共服务</c:v>
                </c:pt>
                <c:pt idx="1">
                  <c:v>社会保障和就业</c:v>
                </c:pt>
                <c:pt idx="2">
                  <c:v>卫生健康</c:v>
                </c:pt>
                <c:pt idx="3">
                  <c:v>住房保障</c:v>
                </c:pt>
              </c:strCache>
            </c:strRef>
          </c:cat>
          <c:val>
            <c:numRef>
              <c:f>Sheet1!$B$2:$B$7</c:f>
              <c:numCache>
                <c:formatCode>General</c:formatCode>
                <c:ptCount val="6"/>
                <c:pt idx="0">
                  <c:v>778.74</c:v>
                </c:pt>
                <c:pt idx="1">
                  <c:v>113.57</c:v>
                </c:pt>
                <c:pt idx="2">
                  <c:v>49.02</c:v>
                </c:pt>
                <c:pt idx="3">
                  <c:v>55.96</c:v>
                </c:pt>
              </c:numCache>
            </c:numRef>
          </c:val>
        </c:ser>
        <c:dLbls>
          <c:showLegendKey val="0"/>
          <c:showVal val="0"/>
          <c:showCatName val="1"/>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extLst>
      <c:ext uri="{0b15fc19-7d7d-44ad-8c2d-2c3a37ce22c3}">
        <chartProps xmlns="https://web.wps.cn/et/2018/main" chartId="{193b5fed-f4ac-4c3c-90df-bd4d88e84b88}"/>
      </c:ext>
    </c:extLst>
  </c:chart>
  <c:spPr>
    <a:solidFill>
      <a:schemeClr val="bg1"/>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t>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公务用车运行维护费</c:v>
                </c:pt>
                <c:pt idx="1">
                  <c:v>接待费</c:v>
                </c:pt>
              </c:strCache>
            </c:strRef>
          </c:cat>
          <c:val>
            <c:numRef>
              <c:f>Sheet1!$B$2:$B$3</c:f>
              <c:numCache>
                <c:formatCode>General</c:formatCode>
                <c:ptCount val="2"/>
                <c:pt idx="0">
                  <c:v>13.76</c:v>
                </c:pt>
                <c:pt idx="1">
                  <c:v>0.44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84d68b9-5d53-4c6c-829f-37dede241e9b}"/>
      </c:ext>
    </c:extLst>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47</Pages>
  <Words>500</Words>
  <Characters>511</Characters>
  <Lines>72</Lines>
  <Paragraphs>20</Paragraphs>
  <TotalTime>0</TotalTime>
  <ScaleCrop>false</ScaleCrop>
  <LinksUpToDate>false</LinksUpToDate>
  <CharactersWithSpaces>520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花红易衰</cp:lastModifiedBy>
  <cp:lastPrinted>2023-08-03T10:35:00Z</cp:lastPrinted>
  <dcterms:modified xsi:type="dcterms:W3CDTF">2024-11-29T08:23:06Z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1415484E7B424591AC1A11B57F6B675E_12</vt:lpwstr>
  </property>
</Properties>
</file>