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E8151">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7D1D1D5A">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62341E03">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64B1411E">
      <w:pPr>
        <w:keepNext w:val="0"/>
        <w:keepLines w:val="0"/>
        <w:widowControl/>
        <w:suppressLineNumbers w:val="0"/>
        <w:snapToGrid w:val="0"/>
        <w:spacing w:before="0" w:beforeAutospacing="0" w:after="0" w:afterAutospacing="0" w:line="576" w:lineRule="exact"/>
        <w:ind w:left="0" w:right="0"/>
        <w:jc w:val="both"/>
        <w:outlineLvl w:val="9"/>
        <w:rPr>
          <w:rFonts w:hint="default" w:ascii="Times New Roman" w:hAnsi="Times New Roman" w:eastAsia="方正小标宋简体" w:cs="Times New Roman"/>
          <w:color w:val="000000"/>
          <w:kern w:val="0"/>
          <w:sz w:val="72"/>
          <w:szCs w:val="72"/>
        </w:rPr>
      </w:pPr>
    </w:p>
    <w:p w14:paraId="4C9B53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right="0" w:firstLine="3360" w:firstLineChars="600"/>
        <w:jc w:val="both"/>
        <w:textAlignment w:val="auto"/>
        <w:outlineLvl w:val="0"/>
        <w:rPr>
          <w:rFonts w:hint="default" w:ascii="Times New Roman" w:hAnsi="Times New Roman" w:eastAsia="方正小标宋简体" w:cs="Times New Roman"/>
          <w:color w:val="000000"/>
          <w:kern w:val="0"/>
          <w:sz w:val="56"/>
          <w:szCs w:val="56"/>
        </w:rPr>
      </w:pPr>
      <w:bookmarkStart w:id="0" w:name="_Toc15377425"/>
      <w:bookmarkEnd w:id="0"/>
      <w:bookmarkStart w:id="1" w:name="_Toc15378441"/>
      <w:bookmarkEnd w:id="1"/>
      <w:bookmarkStart w:id="2" w:name="_Toc15396475"/>
      <w:bookmarkEnd w:id="2"/>
      <w:bookmarkStart w:id="3" w:name="_Toc15396597"/>
      <w:bookmarkEnd w:id="3"/>
      <w:bookmarkStart w:id="4" w:name="_Toc15377193"/>
      <w:bookmarkEnd w:id="4"/>
      <w:bookmarkStart w:id="5" w:name="_Toc1674"/>
      <w:r>
        <w:rPr>
          <w:rFonts w:hint="default" w:ascii="Times New Roman" w:hAnsi="Times New Roman" w:eastAsia="方正小标宋简体" w:cs="Times New Roman"/>
          <w:color w:val="000000"/>
          <w:kern w:val="0"/>
          <w:sz w:val="56"/>
          <w:szCs w:val="56"/>
          <w:lang w:val="en-US" w:eastAsia="zh-CN" w:bidi="ar"/>
        </w:rPr>
        <w:t>20</w:t>
      </w:r>
      <w:bookmarkEnd w:id="5"/>
      <w:r>
        <w:rPr>
          <w:rFonts w:hint="default" w:ascii="Times New Roman" w:hAnsi="Times New Roman" w:eastAsia="方正小标宋简体" w:cs="Times New Roman"/>
          <w:color w:val="000000"/>
          <w:kern w:val="0"/>
          <w:sz w:val="56"/>
          <w:szCs w:val="56"/>
          <w:lang w:val="en-US" w:eastAsia="zh-CN" w:bidi="ar"/>
        </w:rPr>
        <w:t>2</w:t>
      </w:r>
      <w:r>
        <w:rPr>
          <w:rFonts w:hint="eastAsia" w:eastAsia="方正小标宋简体" w:cs="Times New Roman"/>
          <w:color w:val="000000"/>
          <w:kern w:val="0"/>
          <w:sz w:val="56"/>
          <w:szCs w:val="56"/>
          <w:lang w:val="en-US" w:eastAsia="zh-CN" w:bidi="ar"/>
        </w:rPr>
        <w:t>3</w:t>
      </w:r>
      <w:r>
        <w:rPr>
          <w:rFonts w:hint="default" w:ascii="Times New Roman" w:hAnsi="Times New Roman" w:eastAsia="方正小标宋简体" w:cs="Times New Roman"/>
          <w:color w:val="000000"/>
          <w:kern w:val="0"/>
          <w:sz w:val="56"/>
          <w:szCs w:val="56"/>
          <w:lang w:val="en-US" w:eastAsia="zh-CN" w:bidi="ar"/>
        </w:rPr>
        <w:t>年度</w:t>
      </w:r>
      <w:bookmarkStart w:id="6" w:name="_Toc15396476"/>
      <w:bookmarkEnd w:id="6"/>
      <w:bookmarkStart w:id="7" w:name="_Toc15377194"/>
      <w:bookmarkEnd w:id="7"/>
      <w:bookmarkStart w:id="8" w:name="_Toc15378442"/>
      <w:bookmarkEnd w:id="8"/>
      <w:bookmarkStart w:id="9" w:name="_Toc15396598"/>
      <w:bookmarkEnd w:id="9"/>
      <w:bookmarkStart w:id="10" w:name="_Toc15377426"/>
      <w:bookmarkEnd w:id="10"/>
    </w:p>
    <w:p w14:paraId="25EF12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left="0" w:right="0"/>
        <w:jc w:val="both"/>
        <w:textAlignment w:val="auto"/>
        <w:outlineLvl w:val="0"/>
        <w:rPr>
          <w:rFonts w:hint="default" w:ascii="Times New Roman" w:hAnsi="Times New Roman" w:eastAsia="方正小标宋简体" w:cs="Times New Roman"/>
          <w:color w:val="000000"/>
          <w:kern w:val="0"/>
          <w:sz w:val="56"/>
          <w:szCs w:val="56"/>
          <w:lang w:val="en-US" w:eastAsia="zh-CN" w:bidi="ar"/>
        </w:rPr>
      </w:pPr>
      <w:bookmarkStart w:id="11" w:name="_Toc25940"/>
      <w:bookmarkEnd w:id="11"/>
      <w:r>
        <w:rPr>
          <w:rFonts w:hint="default" w:ascii="Times New Roman" w:hAnsi="Times New Roman" w:eastAsia="方正小标宋简体" w:cs="Times New Roman"/>
          <w:color w:val="000000"/>
          <w:kern w:val="0"/>
          <w:sz w:val="56"/>
          <w:szCs w:val="56"/>
          <w:lang w:val="en-US" w:eastAsia="zh-CN" w:bidi="ar"/>
        </w:rPr>
        <w:t>四川省阿坝州红原县</w:t>
      </w:r>
      <w:bookmarkStart w:id="12" w:name="_Toc15306268"/>
      <w:r>
        <w:rPr>
          <w:rFonts w:hint="default" w:ascii="Times New Roman" w:hAnsi="Times New Roman" w:eastAsia="方正小标宋简体" w:cs="Times New Roman"/>
          <w:color w:val="000000"/>
          <w:kern w:val="0"/>
          <w:sz w:val="56"/>
          <w:szCs w:val="56"/>
          <w:lang w:val="en-US" w:eastAsia="zh-CN" w:bidi="ar"/>
        </w:rPr>
        <w:t>麦洼乡</w:t>
      </w:r>
    </w:p>
    <w:p w14:paraId="4975EF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700" w:lineRule="exact"/>
        <w:ind w:right="0" w:firstLine="2240" w:firstLineChars="400"/>
        <w:jc w:val="both"/>
        <w:textAlignment w:val="auto"/>
        <w:outlineLvl w:val="0"/>
        <w:rPr>
          <w:rFonts w:hint="default" w:ascii="Times New Roman" w:hAnsi="Times New Roman" w:eastAsia="方正小标宋简体" w:cs="Times New Roman"/>
          <w:color w:val="000000"/>
          <w:kern w:val="0"/>
          <w:sz w:val="56"/>
          <w:szCs w:val="56"/>
        </w:rPr>
      </w:pPr>
      <w:r>
        <w:rPr>
          <w:rFonts w:hint="default" w:ascii="Times New Roman" w:hAnsi="Times New Roman" w:eastAsia="方正小标宋简体" w:cs="Times New Roman"/>
          <w:color w:val="000000"/>
          <w:kern w:val="0"/>
          <w:sz w:val="56"/>
          <w:szCs w:val="56"/>
          <w:lang w:val="en-US" w:eastAsia="zh-CN" w:bidi="ar"/>
        </w:rPr>
        <w:t>人民政府部门决算</w:t>
      </w:r>
      <w:bookmarkEnd w:id="12"/>
    </w:p>
    <w:p w14:paraId="5E6CDBDE">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p>
    <w:p w14:paraId="0AFBE4DF">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51F41C33">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1B2F23C1">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174E53F8">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rPr>
      </w:pPr>
      <w:r>
        <w:rPr>
          <w:rFonts w:hint="default" w:ascii="Times New Roman" w:hAnsi="Times New Roman" w:eastAsia="方正小标宋简体" w:cs="Times New Roman"/>
          <w:color w:val="000000"/>
          <w:kern w:val="0"/>
          <w:sz w:val="36"/>
          <w:szCs w:val="36"/>
          <w:lang w:val="en-US" w:eastAsia="zh-CN" w:bidi="ar"/>
        </w:rPr>
        <w:t xml:space="preserve"> </w:t>
      </w:r>
    </w:p>
    <w:p w14:paraId="6D981D4D">
      <w:pPr>
        <w:pStyle w:val="46"/>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800" w:lineRule="exact"/>
        <w:ind w:left="0" w:firstLine="1276"/>
        <w:jc w:val="center"/>
        <w:textAlignment w:val="auto"/>
        <w:outlineLvl w:val="0"/>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pPr>
      <w:bookmarkStart w:id="13" w:name="_Toc25310"/>
      <w:bookmarkStart w:id="14" w:name="_Toc17922"/>
      <w:bookmarkStart w:id="15" w:name="_Toc20690"/>
      <w:bookmarkStart w:id="16" w:name="_Toc13752"/>
      <w:bookmarkStart w:id="17" w:name="_Toc18961"/>
      <w:bookmarkStart w:id="18" w:name="_Toc22333"/>
      <w:r>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t>已经保密审查，内容审定，同意对外公开</w:t>
      </w:r>
      <w:bookmarkEnd w:id="13"/>
      <w:bookmarkEnd w:id="14"/>
      <w:bookmarkEnd w:id="15"/>
      <w:bookmarkEnd w:id="16"/>
      <w:bookmarkEnd w:id="17"/>
      <w:bookmarkEnd w:id="18"/>
    </w:p>
    <w:p w14:paraId="6DB34B84">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2C29AC5D">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085CEF8F">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0F8EACA3">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1FF54506">
      <w:pPr>
        <w:pStyle w:val="27"/>
        <w:keepNext w:val="0"/>
        <w:keepLines w:val="0"/>
        <w:widowControl/>
        <w:suppressLineNumbers w:val="0"/>
        <w:autoSpaceDE w:val="0"/>
        <w:autoSpaceDN/>
        <w:snapToGrid w:val="0"/>
        <w:spacing w:before="0" w:beforeAutospacing="0" w:line="576" w:lineRule="exact"/>
        <w:jc w:val="both"/>
        <w:rPr>
          <w:rFonts w:hint="default" w:ascii="Times New Roman" w:hAnsi="Times New Roman" w:eastAsia="仿宋_GB2312" w:cs="Times New Roman"/>
          <w:b/>
          <w:bCs/>
          <w:kern w:val="0"/>
          <w:sz w:val="44"/>
          <w:szCs w:val="44"/>
        </w:rPr>
      </w:pPr>
      <w:r>
        <w:rPr>
          <w:rFonts w:hint="default" w:ascii="Times New Roman" w:hAnsi="Times New Roman" w:eastAsia="仿宋_GB2312" w:cs="Times New Roman"/>
          <w:b/>
          <w:bCs/>
          <w:kern w:val="0"/>
          <w:sz w:val="44"/>
          <w:szCs w:val="44"/>
        </w:rPr>
        <w:t xml:space="preserve"> </w:t>
      </w:r>
    </w:p>
    <w:p w14:paraId="6EABEB91">
      <w:pPr>
        <w:pStyle w:val="27"/>
        <w:keepNext w:val="0"/>
        <w:keepLines w:val="0"/>
        <w:widowControl/>
        <w:suppressLineNumbers w:val="0"/>
        <w:autoSpaceDE w:val="0"/>
        <w:autoSpaceDN/>
        <w:snapToGrid w:val="0"/>
        <w:spacing w:before="0" w:beforeAutospacing="0" w:line="576" w:lineRule="exact"/>
        <w:jc w:val="both"/>
        <w:rPr>
          <w:rStyle w:val="36"/>
          <w:rFonts w:hint="default" w:ascii="Times New Roman" w:hAnsi="Times New Roman" w:eastAsia="仿宋_GB2312" w:cs="Times New Roman"/>
          <w:b/>
          <w:bCs/>
          <w:sz w:val="44"/>
          <w:szCs w:val="44"/>
          <w:shd w:val="clear" w:fill="FFFFFF"/>
        </w:rPr>
      </w:pPr>
      <w:r>
        <w:rPr>
          <w:rFonts w:hint="default" w:ascii="Times New Roman" w:hAnsi="Times New Roman" w:eastAsia="仿宋_GB2312" w:cs="Times New Roman"/>
          <w:b/>
          <w:bCs/>
          <w:kern w:val="0"/>
          <w:sz w:val="44"/>
          <w:szCs w:val="44"/>
        </w:rPr>
        <w:t xml:space="preserve"> </w:t>
      </w:r>
    </w:p>
    <w:p w14:paraId="386474AF">
      <w:pPr>
        <w:pStyle w:val="17"/>
        <w:keepNext w:val="0"/>
        <w:keepLines w:val="0"/>
        <w:pageBreakBefore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color w:val="000000"/>
          <w:kern w:val="2"/>
          <w:sz w:val="44"/>
          <w:szCs w:val="44"/>
          <w:shd w:val="clear" w:color="auto" w:fill="auto"/>
        </w:rPr>
        <w:sectPr>
          <w:pgSz w:w="11906" w:h="16838"/>
          <w:pgMar w:top="1440" w:right="1800" w:bottom="1440" w:left="1800" w:header="851" w:footer="992" w:gutter="0"/>
          <w:pgNumType w:fmt="numberInDash" w:start="1"/>
          <w:cols w:space="425" w:num="1"/>
          <w:docGrid w:type="lines" w:linePitch="312" w:charSpace="0"/>
        </w:sectPr>
      </w:pPr>
    </w:p>
    <w:p w14:paraId="1D8794DB">
      <w:pPr>
        <w:pStyle w:val="17"/>
        <w:keepNext w:val="0"/>
        <w:keepLines w:val="0"/>
        <w:pageBreakBefore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kern w:val="2"/>
          <w:sz w:val="44"/>
          <w:szCs w:val="44"/>
          <w:shd w:val="clear" w:color="auto" w:fill="auto"/>
        </w:rPr>
      </w:pPr>
      <w:r>
        <w:rPr>
          <w:rFonts w:hint="default" w:ascii="Times New Roman" w:hAnsi="Times New Roman" w:eastAsia="方正小标宋_GBK" w:cs="Times New Roman"/>
          <w:color w:val="000000"/>
          <w:kern w:val="2"/>
          <w:sz w:val="44"/>
          <w:szCs w:val="44"/>
          <w:shd w:val="clear" w:color="auto" w:fill="auto"/>
        </w:rPr>
        <w:t>目</w:t>
      </w:r>
      <w:r>
        <w:rPr>
          <w:rFonts w:hint="default" w:ascii="Times New Roman" w:hAnsi="Times New Roman" w:eastAsia="方正小标宋_GBK" w:cs="Times New Roman"/>
          <w:color w:val="000000"/>
          <w:kern w:val="2"/>
          <w:sz w:val="44"/>
          <w:szCs w:val="44"/>
          <w:shd w:val="clear" w:color="auto" w:fill="auto"/>
          <w:lang w:val="en-US" w:eastAsia="zh-CN"/>
        </w:rPr>
        <w:t xml:space="preserve">  </w:t>
      </w:r>
      <w:r>
        <w:rPr>
          <w:rFonts w:hint="default" w:ascii="Times New Roman" w:hAnsi="Times New Roman" w:eastAsia="方正小标宋_GBK" w:cs="Times New Roman"/>
          <w:color w:val="000000"/>
          <w:kern w:val="2"/>
          <w:sz w:val="44"/>
          <w:szCs w:val="44"/>
          <w:shd w:val="clear" w:color="auto" w:fill="auto"/>
        </w:rPr>
        <w:t>录</w:t>
      </w:r>
    </w:p>
    <w:p w14:paraId="5AE0DDB7">
      <w:pPr>
        <w:pStyle w:val="12"/>
        <w:outlineLvl w:val="0"/>
        <w:rPr>
          <w:rFonts w:hint="default" w:eastAsia="方正小标宋_GBK"/>
          <w:lang w:val="en-US" w:eastAsia="zh-CN"/>
        </w:rPr>
      </w:pPr>
      <w:r>
        <w:rPr>
          <w:rFonts w:hint="eastAsia" w:ascii="黑体" w:hAnsi="黑体" w:eastAsia="黑体" w:cs="黑体"/>
          <w:color w:val="000000"/>
          <w:kern w:val="2"/>
          <w:sz w:val="32"/>
          <w:szCs w:val="32"/>
          <w:shd w:val="clear" w:color="auto" w:fill="auto"/>
          <w:lang w:val="en-US" w:eastAsia="zh-CN"/>
        </w:rPr>
        <w:t>第一部分 部门概况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01</w:t>
      </w:r>
    </w:p>
    <w:p w14:paraId="434AD74B">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一、基本职能及主要工作</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1DF7DB1A">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（一）主要职能</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6EF6D45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（二）202</w:t>
      </w:r>
      <w:r>
        <w:rPr>
          <w:rFonts w:hint="eastAsia" w:eastAsia="仿宋_GB2312" w:cs="Times New Roman"/>
          <w:b/>
          <w:bCs/>
          <w:color w:val="000000"/>
          <w:kern w:val="0"/>
          <w:sz w:val="32"/>
          <w:szCs w:val="32"/>
          <w:lang w:val="en-US" w:eastAsia="zh-CN" w:bidi="ar"/>
        </w:rPr>
        <w:t>3</w:t>
      </w:r>
      <w:r>
        <w:rPr>
          <w:rFonts w:hint="default" w:ascii="Times New Roman" w:hAnsi="Times New Roman" w:eastAsia="仿宋_GB2312" w:cs="Times New Roman"/>
          <w:b/>
          <w:bCs/>
          <w:color w:val="000000"/>
          <w:kern w:val="0"/>
          <w:sz w:val="32"/>
          <w:szCs w:val="32"/>
          <w:lang w:val="en-US" w:eastAsia="zh-CN" w:bidi="ar"/>
        </w:rPr>
        <w:t>年重点工作完成情况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01</w:t>
      </w:r>
    </w:p>
    <w:p w14:paraId="77BC1240">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二、</w:t>
      </w:r>
      <w:r>
        <w:rPr>
          <w:rFonts w:hint="default" w:ascii="方正楷体_GBK" w:hAnsi="方正楷体_GBK" w:eastAsia="方正楷体_GBK" w:cs="方正楷体_GBK"/>
          <w:b/>
          <w:bCs/>
          <w:color w:val="000000"/>
          <w:kern w:val="0"/>
          <w:sz w:val="32"/>
          <w:szCs w:val="32"/>
          <w:lang w:val="en-US" w:eastAsia="zh-CN" w:bidi="ar"/>
        </w:rPr>
        <w:t>机构设置</w:t>
      </w:r>
      <w:r>
        <w:rPr>
          <w:rFonts w:hint="eastAsia" w:ascii="方正楷体_GBK" w:hAnsi="方正楷体_GBK" w:eastAsia="方正楷体_GBK" w:cs="方正楷体_GBK"/>
          <w:b/>
          <w:bCs/>
          <w:color w:val="000000"/>
          <w:kern w:val="0"/>
          <w:sz w:val="32"/>
          <w:szCs w:val="32"/>
          <w:lang w:val="en-US" w:eastAsia="zh-CN" w:bidi="ar"/>
        </w:rPr>
        <w:t>及人员情况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w:t>
      </w:r>
      <w:r>
        <w:rPr>
          <w:rFonts w:hint="eastAsia" w:eastAsia="仿宋_GB2312" w:cs="Times New Roman"/>
          <w:color w:val="000000"/>
          <w:kern w:val="0"/>
          <w:sz w:val="32"/>
          <w:szCs w:val="32"/>
          <w:lang w:val="en-US" w:eastAsia="zh-CN" w:bidi="ar"/>
        </w:rPr>
        <w:t>6</w:t>
      </w:r>
    </w:p>
    <w:p w14:paraId="02CB4097">
      <w:pPr>
        <w:outlineLvl w:val="0"/>
        <w:rPr>
          <w:rFonts w:hint="default" w:ascii="黑体" w:hAnsi="黑体" w:eastAsia="黑体" w:cs="黑体"/>
          <w:lang w:val="en-US" w:eastAsia="zh-CN"/>
        </w:rPr>
      </w:pPr>
      <w:r>
        <w:rPr>
          <w:rFonts w:hint="eastAsia" w:ascii="黑体" w:hAnsi="黑体" w:eastAsia="黑体" w:cs="黑体"/>
          <w:color w:val="000000"/>
          <w:kern w:val="0"/>
          <w:sz w:val="32"/>
          <w:szCs w:val="32"/>
          <w:lang w:val="en-US" w:eastAsia="zh-CN" w:bidi="ar"/>
        </w:rPr>
        <w:t>第二部分 2023年度部门决算情况说明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06</w:t>
      </w:r>
    </w:p>
    <w:p w14:paraId="6D011658">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outlineLvl w:val="1"/>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一、收入支出决算总体情况说明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06</w:t>
      </w:r>
    </w:p>
    <w:p w14:paraId="718E9C62">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（一）收入</w:t>
      </w:r>
      <w:r>
        <w:rPr>
          <w:rFonts w:hint="eastAsia" w:ascii="Times New Roman" w:hAnsi="Times New Roman" w:eastAsia="仿宋_GB2312" w:cs="Times New Roman"/>
          <w:b/>
          <w:bCs/>
          <w:color w:val="000000"/>
          <w:kern w:val="0"/>
          <w:sz w:val="32"/>
          <w:szCs w:val="32"/>
          <w:lang w:val="en-US" w:eastAsia="zh-CN" w:bidi="ar"/>
        </w:rPr>
        <w:t>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07</w:t>
      </w:r>
    </w:p>
    <w:p w14:paraId="0AA36554">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（二）支出</w:t>
      </w:r>
      <w:r>
        <w:rPr>
          <w:rFonts w:hint="eastAsia" w:ascii="Times New Roman" w:hAnsi="Times New Roman" w:eastAsia="仿宋_GB2312" w:cs="Times New Roman"/>
          <w:b/>
          <w:bCs/>
          <w:color w:val="000000"/>
          <w:kern w:val="0"/>
          <w:sz w:val="32"/>
          <w:szCs w:val="32"/>
          <w:lang w:val="en-US" w:eastAsia="zh-CN" w:bidi="ar"/>
        </w:rPr>
        <w:t>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08</w:t>
      </w:r>
    </w:p>
    <w:p w14:paraId="57E76599">
      <w:pPr>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二、财政拨款收入支出决算总体情况说明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...09</w:t>
      </w:r>
    </w:p>
    <w:p w14:paraId="7146EC81">
      <w:pPr>
        <w:pStyle w:val="10"/>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三、一般公共预算财政拨款支出决算情况说明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...09</w:t>
      </w:r>
    </w:p>
    <w:p w14:paraId="774EB010">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（一）一般公共预算财政拨款支出决算总体情况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...09</w:t>
      </w:r>
    </w:p>
    <w:p w14:paraId="29242329">
      <w:pPr>
        <w:pStyle w:val="10"/>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（二）一般公共预算财政拨款支出决算结构情况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...10</w:t>
      </w:r>
    </w:p>
    <w:p w14:paraId="36CAE6F9">
      <w:pPr>
        <w:ind w:left="640" w:leftChars="200" w:firstLine="0" w:firstLineChars="0"/>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（三）一般公共预算财政拨款支出决算具体情况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0ABD59FF">
      <w:pPr>
        <w:ind w:left="640" w:leftChars="200" w:firstLine="0" w:firstLineChars="0"/>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四、一般公共预算财政拨款基本支出决算情况说明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...11</w:t>
      </w:r>
    </w:p>
    <w:p w14:paraId="200B083E">
      <w:pPr>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五、“三公”经费财政拨款支出决算总体情况说明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...12</w:t>
      </w:r>
    </w:p>
    <w:p w14:paraId="22D8FE59">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（一）“三公”经费财政拨款支出决算总体情况说明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...12</w:t>
      </w:r>
    </w:p>
    <w:p w14:paraId="4002DF64">
      <w:pPr>
        <w:ind w:left="640" w:leftChars="200" w:firstLine="0" w:firstLineChars="0"/>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（二）“三公”经费财政拨款支出决算具体情况说明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...12</w:t>
      </w:r>
    </w:p>
    <w:p w14:paraId="6FADFC06">
      <w:pPr>
        <w:ind w:left="640" w:leftChars="200" w:firstLine="0" w:firstLineChars="0"/>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六、政府性基金预算支出决算情况说明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...13</w:t>
      </w:r>
    </w:p>
    <w:p w14:paraId="33E663B8">
      <w:pPr>
        <w:rPr>
          <w:rFonts w:hint="default" w:ascii="方正楷体_GBK" w:hAnsi="方正楷体_GBK" w:eastAsia="方正楷体_GBK" w:cs="方正楷体_GBK"/>
          <w:b/>
          <w:bCs/>
          <w:color w:val="000000"/>
          <w:kern w:val="0"/>
          <w:sz w:val="32"/>
          <w:szCs w:val="32"/>
          <w:lang w:val="en-US" w:eastAsia="zh-CN" w:bidi="ar"/>
        </w:rPr>
        <w:sectPr>
          <w:footerReference r:id="rId5" w:type="default"/>
          <w:pgSz w:w="11906" w:h="16838"/>
          <w:pgMar w:top="2098" w:right="1474" w:bottom="1984" w:left="1587" w:header="851" w:footer="992" w:gutter="0"/>
          <w:pgNumType w:fmt="numberInDash" w:start="1"/>
          <w:cols w:space="425" w:num="1"/>
          <w:docGrid w:type="lines" w:linePitch="312" w:charSpace="0"/>
        </w:sectPr>
      </w:pPr>
      <w:r>
        <w:rPr>
          <w:rFonts w:hint="eastAsia" w:ascii="方正楷体_GBK" w:hAnsi="方正楷体_GBK" w:eastAsia="方正楷体_GBK" w:cs="方正楷体_GBK"/>
          <w:b/>
          <w:bCs/>
          <w:color w:val="000000"/>
          <w:kern w:val="0"/>
          <w:sz w:val="32"/>
          <w:szCs w:val="32"/>
          <w:lang w:val="en-US" w:eastAsia="zh-CN" w:bidi="ar"/>
        </w:rPr>
        <w:t>七、国有资本经营预算支出决算情况说明</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...13</w:t>
      </w:r>
    </w:p>
    <w:p w14:paraId="6440BAEF">
      <w:pPr>
        <w:pStyle w:val="10"/>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t>八、其他重要事项的情况说明</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13</w:t>
      </w:r>
    </w:p>
    <w:p w14:paraId="08F13355">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（一）机关运行经费支出情况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13</w:t>
      </w:r>
    </w:p>
    <w:p w14:paraId="6C8EA788">
      <w:pPr>
        <w:pStyle w:val="10"/>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（二）政府采购支出情况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13</w:t>
      </w:r>
    </w:p>
    <w:p w14:paraId="087AA0F4">
      <w:pPr>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（三）国有资产占有使用情况</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13</w:t>
      </w:r>
    </w:p>
    <w:p w14:paraId="1D394D25">
      <w:pPr>
        <w:pStyle w:val="10"/>
        <w:rPr>
          <w:rFonts w:hint="default" w:ascii="Times New Roman" w:hAnsi="Times New Roman" w:eastAsia="仿宋_GB2312" w:cs="Times New Roman"/>
          <w:b/>
          <w:bCs/>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（四）预算绩效管理情况</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14</w:t>
      </w:r>
    </w:p>
    <w:p w14:paraId="13C3306A">
      <w:pPr>
        <w:rPr>
          <w:rFonts w:hint="default"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第三部分 名词解释</w:t>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..14</w:t>
      </w:r>
    </w:p>
    <w:p w14:paraId="0515F767">
      <w:pPr>
        <w:pStyle w:val="10"/>
        <w:rPr>
          <w:rFonts w:hint="default"/>
          <w:lang w:val="en-US" w:eastAsia="zh-CN"/>
        </w:rPr>
      </w:pPr>
      <w:r>
        <w:rPr>
          <w:rFonts w:hint="eastAsia" w:ascii="黑体" w:hAnsi="黑体" w:eastAsia="黑体" w:cs="黑体"/>
          <w:color w:val="000000"/>
          <w:kern w:val="0"/>
          <w:sz w:val="32"/>
          <w:szCs w:val="32"/>
          <w:lang w:val="en-US" w:eastAsia="zh-CN" w:bidi="ar"/>
        </w:rPr>
        <w:t>第四部分 附件</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..17</w:t>
      </w:r>
    </w:p>
    <w:p w14:paraId="7ECD9A61">
      <w:pPr>
        <w:pStyle w:val="15"/>
        <w:tabs>
          <w:tab w:val="right" w:leader="dot" w:pos="8315"/>
        </w:tabs>
        <w:rPr>
          <w:rFonts w:hint="default"/>
          <w:lang w:val="en-US"/>
        </w:rPr>
      </w:pPr>
      <w:r>
        <w:fldChar w:fldCharType="begin"/>
      </w:r>
      <w:r>
        <w:instrText xml:space="preserve"> HYPERLINK \l _Toc14070 </w:instrText>
      </w:r>
      <w:r>
        <w:fldChar w:fldCharType="separate"/>
      </w:r>
      <w:r>
        <w:rPr>
          <w:rFonts w:hint="eastAsia" w:ascii="黑体" w:hAnsi="Times New Roman" w:eastAsia="黑体" w:cs="宋体"/>
          <w:snapToGrid/>
          <w:spacing w:val="0"/>
          <w:w w:val="100"/>
          <w:kern w:val="44"/>
          <w:position w:val="0"/>
          <w:szCs w:val="44"/>
          <w:shd w:val="clear" w:color="auto" w:fill="auto"/>
          <w:vertAlign w:val="baseline"/>
          <w:lang w:val="en-US" w:eastAsia="zh-CN" w:bidi="ar-SA"/>
        </w:rPr>
        <w:t>第五部分 附表</w:t>
      </w:r>
      <w: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7B6AB1C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_Toc27813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一、收入支出决算总表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40BF5A16">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_Toc18782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二、收入决算表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7FEA5E21">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_Toc4242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三、支出决算表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5500C47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_Toc24269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四、财政拨款收入支出决算总表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0A938765">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_Toc5324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五、财政拨款支出决算明细表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708360A2">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_Toc11309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六、一般公共预算财政拨款支出决算表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731A616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_Toc10139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七、一般公共预算财政拨款支出决算明细表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554C9017">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_Toc26509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八、一般公共预算财政拨款基本支出决算表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32FD8319">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_Toc27697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九、一般公共预算财政拨款项目支出决算表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1B92E329">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_Toc16203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十、一般公共预算财政拨款“三公”经费支出决算表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14259FBA">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_Toc22429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十一、政府性基金预算财政拨款收入支出决算表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264355D8">
      <w:pPr>
        <w:rPr>
          <w:rFonts w:hint="default"/>
          <w:lang w:val="en-US" w:eastAsia="zh-CN"/>
        </w:rPr>
      </w:pPr>
      <w:r>
        <w:rPr>
          <w:rFonts w:hint="eastAsia" w:ascii="方正楷体_GBK" w:hAnsi="方正楷体_GBK" w:eastAsia="方正楷体_GBK" w:cs="方正楷体_GBK"/>
          <w:b/>
          <w:bCs/>
          <w:color w:val="000000"/>
          <w:kern w:val="0"/>
          <w:sz w:val="32"/>
          <w:szCs w:val="32"/>
          <w:lang w:val="en-US" w:eastAsia="zh-CN" w:bidi="ar"/>
        </w:rPr>
        <w:t>十二、</w:t>
      </w:r>
      <w:r>
        <w:rPr>
          <w:rFonts w:hint="eastAsia" w:ascii="方正楷体_GBK" w:hAnsi="方正楷体_GBK" w:eastAsia="方正楷体_GBK" w:cs="方正楷体_GBK"/>
          <w:b/>
          <w:bCs/>
          <w:color w:val="000000"/>
          <w:spacing w:val="-20"/>
          <w:w w:val="95"/>
          <w:kern w:val="0"/>
          <w:sz w:val="32"/>
          <w:szCs w:val="32"/>
          <w:lang w:val="en-US" w:eastAsia="zh-CN" w:bidi="ar"/>
        </w:rPr>
        <w:t>政府性基金预算财政拨款“三公”经费支出决算表</w:t>
      </w:r>
      <w:r>
        <w:rPr>
          <w:rFonts w:hint="eastAsia" w:ascii="方正楷体_GBK" w:hAnsi="方正楷体_GBK" w:eastAsia="方正楷体_GBK" w:cs="方正楷体_GBK"/>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0CADFA53">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Fonts w:hint="default" w:ascii="方正楷体_GBK" w:hAnsi="方正楷体_GBK" w:eastAsia="方正楷体_GBK" w:cs="方正楷体_GBK"/>
          <w:b/>
          <w:bCs/>
          <w:color w:val="000000"/>
          <w:kern w:val="0"/>
          <w:sz w:val="32"/>
          <w:szCs w:val="32"/>
          <w:lang w:val="en-US" w:eastAsia="zh-CN" w:bidi="ar"/>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_Toc8802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十三、国有资本经营预算财政拨款收入支出决算表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5CEE86EB">
      <w:pPr>
        <w:pStyle w:val="16"/>
        <w:keepNext w:val="0"/>
        <w:keepLines w:val="0"/>
        <w:pageBreakBefore w:val="0"/>
        <w:widowControl w:val="0"/>
        <w:numPr>
          <w:ilvl w:val="0"/>
          <w:numId w:val="0"/>
        </w:numPr>
        <w:tabs>
          <w:tab w:val="right" w:leader="dot" w:pos="8305"/>
        </w:tabs>
        <w:kinsoku/>
        <w:wordWrap/>
        <w:overflowPunct/>
        <w:topLinePunct w:val="0"/>
        <w:autoSpaceDE/>
        <w:autoSpaceDN/>
        <w:bidi w:val="0"/>
        <w:adjustRightInd/>
        <w:snapToGrid/>
        <w:spacing w:line="560" w:lineRule="exact"/>
        <w:ind w:leftChars="200"/>
        <w:jc w:val="both"/>
        <w:textAlignment w:val="auto"/>
        <w:rPr>
          <w:rStyle w:val="36"/>
          <w:rFonts w:hint="default" w:ascii="Times New Roman" w:hAnsi="Times New Roman" w:eastAsia="方正小标宋_GBK" w:cs="Times New Roman"/>
          <w:b w:val="0"/>
          <w:bCs w:val="0"/>
          <w:sz w:val="44"/>
          <w:szCs w:val="44"/>
          <w:shd w:val="clear" w:fill="FFFFFF"/>
          <w:lang w:val="en-US" w:eastAsia="zh-CN"/>
        </w:rPr>
      </w:pPr>
      <w:r>
        <w:rPr>
          <w:rFonts w:hint="eastAsia" w:ascii="方正楷体_GBK" w:hAnsi="方正楷体_GBK" w:eastAsia="方正楷体_GBK" w:cs="方正楷体_GBK"/>
          <w:b/>
          <w:bCs/>
          <w:color w:val="000000"/>
          <w:kern w:val="0"/>
          <w:sz w:val="32"/>
          <w:szCs w:val="32"/>
          <w:lang w:val="en-US" w:eastAsia="zh-CN" w:bidi="ar"/>
        </w:rPr>
        <w:fldChar w:fldCharType="begin"/>
      </w:r>
      <w:r>
        <w:rPr>
          <w:rFonts w:hint="eastAsia" w:ascii="方正楷体_GBK" w:hAnsi="方正楷体_GBK" w:eastAsia="方正楷体_GBK" w:cs="方正楷体_GBK"/>
          <w:b/>
          <w:bCs/>
          <w:color w:val="000000"/>
          <w:kern w:val="0"/>
          <w:sz w:val="32"/>
          <w:szCs w:val="32"/>
          <w:lang w:val="en-US" w:eastAsia="zh-CN" w:bidi="ar"/>
        </w:rPr>
        <w:instrText xml:space="preserve"> HYPERLINK \l _Toc9949 </w:instrText>
      </w:r>
      <w:r>
        <w:rPr>
          <w:rFonts w:hint="eastAsia" w:ascii="方正楷体_GBK" w:hAnsi="方正楷体_GBK" w:eastAsia="方正楷体_GBK" w:cs="方正楷体_GBK"/>
          <w:b/>
          <w:bCs/>
          <w:color w:val="000000"/>
          <w:kern w:val="0"/>
          <w:sz w:val="32"/>
          <w:szCs w:val="32"/>
          <w:lang w:val="en-US" w:eastAsia="zh-CN" w:bidi="ar"/>
        </w:rPr>
        <w:fldChar w:fldCharType="separate"/>
      </w:r>
      <w:r>
        <w:rPr>
          <w:rFonts w:hint="eastAsia" w:ascii="方正楷体_GBK" w:hAnsi="方正楷体_GBK" w:eastAsia="方正楷体_GBK" w:cs="方正楷体_GBK"/>
          <w:b/>
          <w:bCs/>
          <w:color w:val="000000"/>
          <w:kern w:val="0"/>
          <w:sz w:val="32"/>
          <w:szCs w:val="32"/>
          <w:lang w:val="en-US" w:eastAsia="zh-CN" w:bidi="ar"/>
        </w:rPr>
        <w:t>十四、国有资本经营预算财政拨款支出决算表</w:t>
      </w:r>
      <w:r>
        <w:rPr>
          <w:rFonts w:hint="eastAsia" w:ascii="方正楷体_GBK" w:hAnsi="方正楷体_GBK" w:eastAsia="方正楷体_GBK" w:cs="方正楷体_GBK"/>
          <w:b/>
          <w:bCs/>
          <w:color w:val="000000"/>
          <w:kern w:val="0"/>
          <w:sz w:val="32"/>
          <w:szCs w:val="32"/>
          <w:lang w:val="en-US" w:eastAsia="zh-CN" w:bidi="ar"/>
        </w:rPr>
        <w:fldChar w:fldCharType="end"/>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s="Times New Roman"/>
          <w:color w:val="000000"/>
          <w:kern w:val="0"/>
          <w:sz w:val="32"/>
          <w:szCs w:val="32"/>
          <w:lang w:val="en-US" w:eastAsia="zh-CN" w:bidi="ar"/>
        </w:rPr>
        <w:t>23</w:t>
      </w:r>
    </w:p>
    <w:p w14:paraId="050C5088">
      <w:pPr>
        <w:pStyle w:val="16"/>
        <w:ind w:left="0" w:leftChars="0" w:firstLine="0" w:firstLineChars="0"/>
        <w:jc w:val="both"/>
        <w:rPr>
          <w:rStyle w:val="36"/>
          <w:rFonts w:hint="default" w:ascii="Times New Roman" w:hAnsi="Times New Roman" w:eastAsia="方正小标宋_GBK" w:cs="Times New Roman"/>
          <w:b w:val="0"/>
          <w:bCs w:val="0"/>
          <w:sz w:val="44"/>
          <w:szCs w:val="44"/>
          <w:shd w:val="clear" w:fill="FFFFFF"/>
          <w:lang w:val="en-US" w:eastAsia="zh-CN"/>
        </w:rPr>
        <w:sectPr>
          <w:footerReference r:id="rId6" w:type="default"/>
          <w:pgSz w:w="11906" w:h="16838"/>
          <w:pgMar w:top="2098" w:right="1474" w:bottom="1984" w:left="1587" w:header="851" w:footer="992" w:gutter="0"/>
          <w:pgNumType w:fmt="numberInDash" w:start="1"/>
          <w:cols w:space="425" w:num="1"/>
          <w:docGrid w:type="lines" w:linePitch="312" w:charSpace="0"/>
        </w:sectPr>
      </w:pPr>
    </w:p>
    <w:p w14:paraId="37CE34A0">
      <w:pPr>
        <w:pStyle w:val="16"/>
        <w:keepNext w:val="0"/>
        <w:keepLines w:val="0"/>
        <w:pageBreakBefore w:val="0"/>
        <w:kinsoku/>
        <w:wordWrap/>
        <w:overflowPunct/>
        <w:topLinePunct w:val="0"/>
        <w:autoSpaceDN/>
        <w:bidi w:val="0"/>
        <w:adjustRightInd/>
        <w:snapToGrid/>
        <w:spacing w:line="576" w:lineRule="exact"/>
        <w:ind w:left="0" w:leftChars="0" w:firstLine="0" w:firstLineChars="0"/>
        <w:jc w:val="center"/>
        <w:textAlignment w:val="auto"/>
        <w:outlineLvl w:val="0"/>
        <w:rPr>
          <w:rStyle w:val="36"/>
          <w:rFonts w:hint="default" w:ascii="Times New Roman" w:hAnsi="Times New Roman" w:eastAsia="方正小标宋_GBK" w:cs="Times New Roman"/>
          <w:b w:val="0"/>
          <w:bCs w:val="0"/>
          <w:sz w:val="44"/>
          <w:szCs w:val="44"/>
          <w:shd w:val="clear" w:fill="FFFFFF"/>
          <w:lang w:val="en-US" w:eastAsia="zh-CN"/>
        </w:rPr>
      </w:pPr>
      <w:r>
        <w:rPr>
          <w:rStyle w:val="36"/>
          <w:rFonts w:hint="default" w:ascii="Times New Roman" w:hAnsi="Times New Roman" w:eastAsia="方正小标宋_GBK" w:cs="Times New Roman"/>
          <w:b w:val="0"/>
          <w:bCs w:val="0"/>
          <w:sz w:val="44"/>
          <w:szCs w:val="44"/>
          <w:shd w:val="clear" w:fill="FFFFFF"/>
          <w:lang w:val="en-US" w:eastAsia="zh-CN"/>
        </w:rPr>
        <w:t>第一部分  部门概况</w:t>
      </w:r>
    </w:p>
    <w:p w14:paraId="44181014">
      <w:pPr>
        <w:keepNext w:val="0"/>
        <w:keepLines w:val="0"/>
        <w:pageBreakBefore w:val="0"/>
        <w:kinsoku/>
        <w:wordWrap/>
        <w:overflowPunct/>
        <w:topLinePunct w:val="0"/>
        <w:autoSpaceDN/>
        <w:bidi w:val="0"/>
        <w:adjustRightInd/>
        <w:snapToGrid/>
        <w:spacing w:line="576" w:lineRule="exact"/>
        <w:jc w:val="both"/>
        <w:textAlignment w:val="auto"/>
        <w:rPr>
          <w:rFonts w:hint="default" w:ascii="Times New Roman" w:hAnsi="Times New Roman" w:cs="Times New Roman"/>
        </w:rPr>
      </w:pPr>
    </w:p>
    <w:p w14:paraId="463FC3A2">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lang w:val="en-US" w:eastAsia="zh-CN"/>
        </w:rPr>
      </w:pPr>
      <w:r>
        <w:rPr>
          <w:rFonts w:hint="default" w:ascii="Times New Roman" w:hAnsi="Times New Roman" w:eastAsia="黑体" w:cs="Times New Roman"/>
          <w:b w:val="0"/>
          <w:bCs w:val="0"/>
          <w:kern w:val="0"/>
          <w:sz w:val="32"/>
          <w:szCs w:val="32"/>
          <w:shd w:val="clear" w:fill="FFFFFF"/>
        </w:rPr>
        <w:t>一、</w:t>
      </w:r>
      <w:r>
        <w:rPr>
          <w:rFonts w:hint="default" w:ascii="Times New Roman" w:hAnsi="Times New Roman" w:eastAsia="黑体" w:cs="Times New Roman"/>
          <w:b w:val="0"/>
          <w:bCs w:val="0"/>
          <w:kern w:val="0"/>
          <w:sz w:val="32"/>
          <w:szCs w:val="32"/>
          <w:shd w:val="clear" w:fill="FFFFFF"/>
          <w:lang w:val="en-US" w:eastAsia="zh-CN"/>
        </w:rPr>
        <w:t>基本职能及主要工作</w:t>
      </w:r>
    </w:p>
    <w:p w14:paraId="03B1B6F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Fonts w:hint="default" w:ascii="Times New Roman" w:hAnsi="Times New Roman" w:eastAsia="方正楷体_GBK" w:cs="Times New Roman"/>
          <w:b/>
          <w:bCs/>
          <w:kern w:val="0"/>
          <w:sz w:val="32"/>
          <w:szCs w:val="32"/>
          <w:shd w:val="clear" w:fill="FFFFFF"/>
        </w:rPr>
      </w:pPr>
      <w:r>
        <w:rPr>
          <w:rStyle w:val="36"/>
          <w:rFonts w:hint="default" w:ascii="Times New Roman" w:hAnsi="Times New Roman" w:eastAsia="方正楷体_GBK" w:cs="Times New Roman"/>
          <w:b/>
          <w:bCs/>
          <w:sz w:val="32"/>
          <w:szCs w:val="32"/>
          <w:shd w:val="clear" w:fill="FFFFFF"/>
        </w:rPr>
        <w:t>（一）</w:t>
      </w:r>
      <w:r>
        <w:rPr>
          <w:rStyle w:val="36"/>
          <w:rFonts w:hint="default" w:ascii="Times New Roman" w:hAnsi="Times New Roman" w:eastAsia="方正楷体_GBK" w:cs="Times New Roman"/>
          <w:b/>
          <w:bCs/>
          <w:sz w:val="32"/>
          <w:szCs w:val="32"/>
          <w:shd w:val="clear" w:fill="FFFFFF"/>
          <w:lang w:val="en-US" w:eastAsia="zh-CN"/>
        </w:rPr>
        <w:t>主要职能</w:t>
      </w:r>
    </w:p>
    <w:p w14:paraId="20546D60">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eastAsia="仿宋_GB2312" w:cs="Times New Roman"/>
          <w:b w:val="0"/>
          <w:bCs w:val="0"/>
          <w:kern w:val="0"/>
          <w:sz w:val="32"/>
          <w:szCs w:val="32"/>
          <w:shd w:val="clear" w:fill="FFFFFF"/>
          <w:lang w:val="en-US" w:eastAsia="zh-CN"/>
        </w:rPr>
        <w:t>1.</w:t>
      </w:r>
      <w:r>
        <w:rPr>
          <w:rFonts w:hint="default" w:ascii="Times New Roman" w:hAnsi="Times New Roman" w:eastAsia="仿宋_GB2312" w:cs="Times New Roman"/>
          <w:b w:val="0"/>
          <w:bCs w:val="0"/>
          <w:kern w:val="0"/>
          <w:sz w:val="32"/>
          <w:szCs w:val="32"/>
          <w:shd w:val="clear" w:fill="FFFFFF"/>
        </w:rPr>
        <w:t>落实国家政策，严格依法行政，发挥经济管理职能，加强政策引导，制定发展规划，服务市场主体和营造发展环境，搞好市场监管，大力促进社会事业发展，发展</w:t>
      </w:r>
      <w:r>
        <w:rPr>
          <w:rFonts w:hint="eastAsia" w:ascii="Times New Roman" w:hAnsi="Times New Roman" w:eastAsia="仿宋_GB2312" w:cs="Times New Roman"/>
          <w:b w:val="0"/>
          <w:bCs w:val="0"/>
          <w:kern w:val="0"/>
          <w:sz w:val="32"/>
          <w:szCs w:val="32"/>
          <w:shd w:val="clear" w:fill="FFFFFF"/>
          <w:lang w:val="en-US" w:eastAsia="zh-CN"/>
        </w:rPr>
        <w:t>乡</w:t>
      </w:r>
      <w:r>
        <w:rPr>
          <w:rFonts w:hint="default" w:ascii="Times New Roman" w:hAnsi="Times New Roman" w:eastAsia="仿宋_GB2312" w:cs="Times New Roman"/>
          <w:b w:val="0"/>
          <w:bCs w:val="0"/>
          <w:kern w:val="0"/>
          <w:sz w:val="32"/>
          <w:szCs w:val="32"/>
          <w:shd w:val="clear" w:fill="FFFFFF"/>
        </w:rPr>
        <w:t>村经济、文化和社会事业，提供公共服务，维护社会稳定，构建社会主义和谐社会</w:t>
      </w:r>
      <w:r>
        <w:rPr>
          <w:rFonts w:hint="default" w:ascii="Times New Roman" w:hAnsi="Times New Roman" w:eastAsia="仿宋_GB2312" w:cs="Times New Roman"/>
          <w:b w:val="0"/>
          <w:bCs w:val="0"/>
          <w:kern w:val="0"/>
          <w:sz w:val="32"/>
          <w:szCs w:val="32"/>
          <w:shd w:val="clear" w:fill="FFFFFF"/>
          <w:lang w:eastAsia="zh-CN"/>
        </w:rPr>
        <w:t>；</w:t>
      </w:r>
    </w:p>
    <w:p w14:paraId="1687D17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3"/>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2.</w:t>
      </w:r>
      <w:r>
        <w:rPr>
          <w:rFonts w:hint="default" w:ascii="Times New Roman" w:hAnsi="Times New Roman" w:eastAsia="仿宋_GB2312" w:cs="Times New Roman"/>
          <w:b w:val="0"/>
          <w:bCs w:val="0"/>
          <w:kern w:val="0"/>
          <w:sz w:val="32"/>
          <w:szCs w:val="32"/>
          <w:shd w:val="clear" w:fill="FFFFFF"/>
        </w:rPr>
        <w:t>宣传、实施上级主管部门以及相关单位的有关政策</w:t>
      </w:r>
      <w:r>
        <w:rPr>
          <w:rFonts w:hint="default" w:ascii="Times New Roman" w:hAnsi="Times New Roman" w:eastAsia="仿宋_GB2312" w:cs="Times New Roman"/>
          <w:b w:val="0"/>
          <w:bCs w:val="0"/>
          <w:kern w:val="0"/>
          <w:sz w:val="32"/>
          <w:szCs w:val="32"/>
          <w:shd w:val="clear" w:fill="FFFFFF"/>
          <w:lang w:eastAsia="zh-CN"/>
        </w:rPr>
        <w:t>；</w:t>
      </w:r>
    </w:p>
    <w:p w14:paraId="17A1569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rPr>
      </w:pPr>
      <w:r>
        <w:rPr>
          <w:rFonts w:hint="default" w:ascii="Times New Roman" w:hAnsi="Times New Roman" w:cs="Times New Roman"/>
          <w:b w:val="0"/>
          <w:bCs w:val="0"/>
          <w:kern w:val="0"/>
          <w:sz w:val="32"/>
          <w:szCs w:val="32"/>
          <w:shd w:val="clear" w:fill="FFFFFF"/>
          <w:lang w:val="en-US" w:eastAsia="zh-CN"/>
        </w:rPr>
        <w:t>3.</w:t>
      </w:r>
      <w:r>
        <w:rPr>
          <w:rFonts w:hint="default" w:ascii="Times New Roman" w:hAnsi="Times New Roman" w:eastAsia="仿宋_GB2312" w:cs="Times New Roman"/>
          <w:b w:val="0"/>
          <w:bCs w:val="0"/>
          <w:kern w:val="0"/>
          <w:sz w:val="32"/>
          <w:szCs w:val="32"/>
          <w:shd w:val="clear" w:fill="FFFFFF"/>
        </w:rPr>
        <w:t>执行本行政区域内的经济和社会发展计划、预算、管理本行政区域内的经济、教育、科学、文化、卫生、体育事业和财政、民政、公安、司法行政、计划生育等行政工作</w:t>
      </w:r>
      <w:r>
        <w:rPr>
          <w:rFonts w:hint="default" w:ascii="Times New Roman" w:hAnsi="Times New Roman" w:eastAsia="宋体" w:cs="Times New Roman"/>
          <w:b w:val="0"/>
          <w:bCs w:val="0"/>
          <w:kern w:val="0"/>
          <w:sz w:val="32"/>
          <w:szCs w:val="32"/>
          <w:shd w:val="clear" w:fill="FFFFFF"/>
        </w:rPr>
        <w:t>;</w:t>
      </w:r>
    </w:p>
    <w:p w14:paraId="38396D3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4.</w:t>
      </w:r>
      <w:r>
        <w:rPr>
          <w:rFonts w:hint="default" w:ascii="Times New Roman" w:hAnsi="Times New Roman" w:eastAsia="仿宋_GB2312" w:cs="Times New Roman"/>
          <w:b w:val="0"/>
          <w:bCs w:val="0"/>
          <w:kern w:val="0"/>
          <w:sz w:val="32"/>
          <w:szCs w:val="32"/>
          <w:shd w:val="clear" w:fill="FFFFFF"/>
        </w:rPr>
        <w:t>保护各种经济组织的合法权益</w:t>
      </w:r>
      <w:r>
        <w:rPr>
          <w:rFonts w:hint="default" w:ascii="Times New Roman" w:hAnsi="Times New Roman" w:eastAsia="仿宋_GB2312" w:cs="Times New Roman"/>
          <w:b w:val="0"/>
          <w:bCs w:val="0"/>
          <w:kern w:val="0"/>
          <w:sz w:val="32"/>
          <w:szCs w:val="32"/>
          <w:shd w:val="clear" w:fill="FFFFFF"/>
          <w:lang w:eastAsia="zh-CN"/>
        </w:rPr>
        <w:t>；</w:t>
      </w:r>
    </w:p>
    <w:p w14:paraId="75556C48">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5.</w:t>
      </w:r>
      <w:r>
        <w:rPr>
          <w:rFonts w:hint="default" w:ascii="Times New Roman" w:hAnsi="Times New Roman" w:eastAsia="仿宋_GB2312" w:cs="Times New Roman"/>
          <w:b w:val="0"/>
          <w:bCs w:val="0"/>
          <w:kern w:val="0"/>
          <w:sz w:val="32"/>
          <w:szCs w:val="32"/>
          <w:shd w:val="clear" w:fill="FFFFFF"/>
        </w:rPr>
        <w:t>保障少数民族的权利和尊重少数民族的风俗习惯</w:t>
      </w:r>
      <w:r>
        <w:rPr>
          <w:rFonts w:hint="default" w:ascii="Times New Roman" w:hAnsi="Times New Roman" w:eastAsia="仿宋_GB2312" w:cs="Times New Roman"/>
          <w:b w:val="0"/>
          <w:bCs w:val="0"/>
          <w:kern w:val="0"/>
          <w:sz w:val="32"/>
          <w:szCs w:val="32"/>
          <w:shd w:val="clear" w:fill="FFFFFF"/>
          <w:lang w:eastAsia="zh-CN"/>
        </w:rPr>
        <w:t>，</w:t>
      </w:r>
    </w:p>
    <w:p w14:paraId="024661F7">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rPr>
          <w:rFonts w:hint="default" w:ascii="Times New Roman" w:hAnsi="Times New Roman" w:eastAsia="仿宋_GB2312" w:cs="Times New Roman"/>
          <w:b w:val="0"/>
          <w:bCs w:val="0"/>
          <w:kern w:val="0"/>
          <w:sz w:val="32"/>
          <w:szCs w:val="32"/>
          <w:shd w:val="clear" w:fill="FFFFFF"/>
          <w:lang w:eastAsia="zh-CN"/>
        </w:rPr>
      </w:pPr>
      <w:r>
        <w:rPr>
          <w:rFonts w:hint="default" w:ascii="Times New Roman" w:hAnsi="Times New Roman" w:cs="Times New Roman"/>
          <w:b w:val="0"/>
          <w:bCs w:val="0"/>
          <w:kern w:val="0"/>
          <w:sz w:val="32"/>
          <w:szCs w:val="32"/>
          <w:shd w:val="clear" w:fill="FFFFFF"/>
          <w:lang w:val="en-US" w:eastAsia="zh-CN"/>
        </w:rPr>
        <w:t>6.</w:t>
      </w:r>
      <w:r>
        <w:rPr>
          <w:rFonts w:hint="default" w:ascii="Times New Roman" w:hAnsi="Times New Roman" w:eastAsia="仿宋_GB2312" w:cs="Times New Roman"/>
          <w:b w:val="0"/>
          <w:bCs w:val="0"/>
          <w:kern w:val="0"/>
          <w:sz w:val="32"/>
          <w:szCs w:val="32"/>
          <w:shd w:val="clear" w:fill="FFFFFF"/>
        </w:rPr>
        <w:t>保护社会主义的全民所有的财产和劳动群众集体所有的财产，保护公民私人所有的合法财产，维护社会秩序，保障公民的人身权利、民主权利和</w:t>
      </w:r>
      <w:r>
        <w:rPr>
          <w:rFonts w:hint="default" w:ascii="Times New Roman" w:hAnsi="Times New Roman" w:eastAsia="仿宋_GB2312" w:cs="Times New Roman"/>
          <w:b w:val="0"/>
          <w:bCs w:val="0"/>
          <w:kern w:val="0"/>
          <w:sz w:val="32"/>
          <w:szCs w:val="32"/>
          <w:shd w:val="clear" w:fill="FFFFFF"/>
        </w:rPr>
        <w:fldChar w:fldCharType="begin"/>
      </w:r>
      <w:r>
        <w:rPr>
          <w:rFonts w:hint="default" w:ascii="Times New Roman" w:hAnsi="Times New Roman" w:eastAsia="仿宋_GB2312" w:cs="Times New Roman"/>
          <w:b w:val="0"/>
          <w:bCs w:val="0"/>
          <w:kern w:val="0"/>
          <w:sz w:val="32"/>
          <w:szCs w:val="32"/>
          <w:shd w:val="clear" w:fill="FFFFFF"/>
        </w:rPr>
        <w:instrText xml:space="preserve"> HYPERLINK "http://www.oh100.com/qita/" </w:instrText>
      </w:r>
      <w:r>
        <w:rPr>
          <w:rFonts w:hint="default" w:ascii="Times New Roman" w:hAnsi="Times New Roman" w:eastAsia="仿宋_GB2312" w:cs="Times New Roman"/>
          <w:b w:val="0"/>
          <w:bCs w:val="0"/>
          <w:kern w:val="0"/>
          <w:sz w:val="32"/>
          <w:szCs w:val="32"/>
          <w:shd w:val="clear" w:fill="FFFFFF"/>
        </w:rPr>
        <w:fldChar w:fldCharType="separate"/>
      </w:r>
      <w:r>
        <w:rPr>
          <w:rFonts w:hint="default" w:ascii="Times New Roman" w:hAnsi="Times New Roman" w:eastAsia="仿宋_GB2312" w:cs="Times New Roman"/>
          <w:b w:val="0"/>
          <w:bCs w:val="0"/>
          <w:kern w:val="0"/>
          <w:sz w:val="32"/>
          <w:szCs w:val="32"/>
          <w:shd w:val="clear" w:fill="FFFFFF"/>
        </w:rPr>
        <w:t>其他</w:t>
      </w:r>
      <w:r>
        <w:rPr>
          <w:rFonts w:hint="default" w:ascii="Times New Roman" w:hAnsi="Times New Roman" w:eastAsia="仿宋_GB2312" w:cs="Times New Roman"/>
          <w:b w:val="0"/>
          <w:bCs w:val="0"/>
          <w:kern w:val="0"/>
          <w:sz w:val="32"/>
          <w:szCs w:val="32"/>
          <w:shd w:val="clear" w:fill="FFFFFF"/>
        </w:rPr>
        <w:fldChar w:fldCharType="end"/>
      </w:r>
      <w:r>
        <w:rPr>
          <w:rFonts w:hint="default" w:ascii="Times New Roman" w:hAnsi="Times New Roman" w:eastAsia="仿宋_GB2312" w:cs="Times New Roman"/>
          <w:b w:val="0"/>
          <w:bCs w:val="0"/>
          <w:kern w:val="0"/>
          <w:sz w:val="32"/>
          <w:szCs w:val="32"/>
          <w:shd w:val="clear" w:fill="FFFFFF"/>
        </w:rPr>
        <w:t>权利</w:t>
      </w:r>
      <w:r>
        <w:rPr>
          <w:rFonts w:hint="default" w:ascii="Times New Roman" w:hAnsi="Times New Roman" w:eastAsia="仿宋_GB2312" w:cs="Times New Roman"/>
          <w:b w:val="0"/>
          <w:bCs w:val="0"/>
          <w:kern w:val="0"/>
          <w:sz w:val="32"/>
          <w:szCs w:val="32"/>
          <w:shd w:val="clear" w:fill="FFFFFF"/>
          <w:lang w:eastAsia="zh-CN"/>
        </w:rPr>
        <w:t>。</w:t>
      </w:r>
    </w:p>
    <w:p w14:paraId="5B22537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default" w:ascii="Times New Roman" w:hAnsi="Times New Roman" w:eastAsia="方正楷体_GBK" w:cs="Times New Roman"/>
          <w:b/>
          <w:bCs/>
          <w:sz w:val="32"/>
          <w:szCs w:val="32"/>
          <w:shd w:val="clear" w:fill="FFFFFF"/>
        </w:rPr>
      </w:pPr>
      <w:r>
        <w:rPr>
          <w:rStyle w:val="36"/>
          <w:rFonts w:hint="default" w:ascii="Times New Roman" w:hAnsi="Times New Roman" w:eastAsia="方正楷体_GBK" w:cs="Times New Roman"/>
          <w:b/>
          <w:bCs/>
          <w:sz w:val="32"/>
          <w:szCs w:val="32"/>
          <w:shd w:val="clear" w:fill="FFFFFF"/>
        </w:rPr>
        <w:t>（二）</w:t>
      </w:r>
      <w:r>
        <w:rPr>
          <w:rStyle w:val="36"/>
          <w:rFonts w:hint="default" w:ascii="Times New Roman" w:hAnsi="Times New Roman" w:eastAsia="方正楷体_GBK" w:cs="Times New Roman"/>
          <w:b/>
          <w:bCs/>
          <w:sz w:val="32"/>
          <w:szCs w:val="32"/>
          <w:shd w:val="clear" w:fill="FFFFFF"/>
          <w:lang w:val="en-US" w:eastAsia="zh-CN"/>
        </w:rPr>
        <w:t>202</w:t>
      </w:r>
      <w:r>
        <w:rPr>
          <w:rStyle w:val="36"/>
          <w:rFonts w:hint="eastAsia" w:ascii="Times New Roman" w:hAnsi="Times New Roman" w:eastAsia="方正楷体_GBK" w:cs="Times New Roman"/>
          <w:b/>
          <w:bCs/>
          <w:sz w:val="32"/>
          <w:szCs w:val="32"/>
          <w:shd w:val="clear" w:fill="FFFFFF"/>
          <w:lang w:val="en-US" w:eastAsia="zh-CN"/>
        </w:rPr>
        <w:t>3</w:t>
      </w:r>
      <w:r>
        <w:rPr>
          <w:rStyle w:val="36"/>
          <w:rFonts w:hint="default" w:ascii="Times New Roman" w:hAnsi="Times New Roman" w:eastAsia="方正楷体_GBK" w:cs="Times New Roman"/>
          <w:b/>
          <w:bCs/>
          <w:sz w:val="32"/>
          <w:szCs w:val="32"/>
          <w:shd w:val="clear" w:fill="FFFFFF"/>
          <w:lang w:val="en-US" w:eastAsia="zh-CN"/>
        </w:rPr>
        <w:t>年重点工作完成情况</w:t>
      </w:r>
      <w:r>
        <w:rPr>
          <w:rStyle w:val="36"/>
          <w:rFonts w:hint="default" w:ascii="Times New Roman" w:hAnsi="Times New Roman" w:eastAsia="方正楷体_GBK" w:cs="Times New Roman"/>
          <w:b/>
          <w:bCs/>
          <w:sz w:val="32"/>
          <w:szCs w:val="32"/>
          <w:shd w:val="clear" w:fill="FFFFFF"/>
        </w:rPr>
        <w:t>。</w:t>
      </w:r>
    </w:p>
    <w:p w14:paraId="0AA47B42">
      <w:pPr>
        <w:keepNext w:val="0"/>
        <w:keepLines w:val="0"/>
        <w:pageBreakBefore w:val="0"/>
        <w:kinsoku/>
        <w:wordWrap/>
        <w:overflowPunct/>
        <w:topLinePunct w:val="0"/>
        <w:autoSpaceDE/>
        <w:autoSpaceDN/>
        <w:bidi w:val="0"/>
        <w:adjustRightInd/>
        <w:snapToGrid/>
        <w:spacing w:line="540" w:lineRule="exact"/>
        <w:ind w:firstLine="643" w:firstLineChars="200"/>
        <w:rPr>
          <w:rFonts w:ascii="仿宋_GB2312" w:hAnsi="仿宋_GB2312" w:eastAsia="仿宋_GB2312" w:cs="仿宋_GB2312"/>
          <w:sz w:val="32"/>
          <w:szCs w:val="32"/>
        </w:rPr>
      </w:pPr>
      <w:r>
        <w:rPr>
          <w:rFonts w:hint="eastAsia" w:ascii="Times New Roman" w:hAnsi="Times New Roman" w:eastAsia="楷体_GB2312" w:cs="Times New Roman"/>
          <w:b/>
          <w:bCs/>
          <w:color w:val="000000"/>
          <w:sz w:val="32"/>
          <w:szCs w:val="32"/>
          <w:lang w:val="en-US" w:eastAsia="zh-CN"/>
        </w:rPr>
        <w:t>1.</w:t>
      </w:r>
      <w:r>
        <w:rPr>
          <w:rFonts w:hint="default" w:ascii="Times New Roman" w:hAnsi="Times New Roman" w:eastAsia="方正楷体_GBK" w:cs="Times New Roman"/>
          <w:b/>
          <w:bCs/>
          <w:color w:val="000000"/>
          <w:sz w:val="32"/>
          <w:szCs w:val="32"/>
          <w:lang w:val="en-US" w:eastAsia="zh-CN"/>
        </w:rPr>
        <w:t>坚持</w:t>
      </w:r>
      <w:r>
        <w:rPr>
          <w:rFonts w:hint="default" w:ascii="Times New Roman" w:hAnsi="Times New Roman" w:eastAsia="方正楷体_GBK" w:cs="Times New Roman"/>
          <w:b/>
          <w:bCs/>
          <w:color w:val="000000"/>
          <w:sz w:val="32"/>
          <w:szCs w:val="32"/>
          <w:lang w:eastAsia="zh-CN"/>
        </w:rPr>
        <w:t>党建引领，</w:t>
      </w:r>
      <w:r>
        <w:rPr>
          <w:rFonts w:hint="eastAsia" w:eastAsia="方正楷体_GBK" w:cs="Times New Roman"/>
          <w:b/>
          <w:bCs/>
          <w:color w:val="000000"/>
          <w:sz w:val="32"/>
          <w:szCs w:val="32"/>
          <w:lang w:eastAsia="zh-CN"/>
        </w:rPr>
        <w:t>抓实基层党组织建设。</w:t>
      </w:r>
      <w:r>
        <w:rPr>
          <w:rFonts w:hint="default" w:ascii="方正楷体_GBK" w:hAnsi="方正楷体_GBK" w:eastAsia="方正楷体_GBK" w:cs="方正楷体_GBK"/>
          <w:b/>
          <w:bCs/>
          <w:sz w:val="32"/>
          <w:szCs w:val="32"/>
          <w:lang w:val="en-US" w:eastAsia="zh-CN"/>
        </w:rPr>
        <w:t>一是</w:t>
      </w:r>
      <w:r>
        <w:rPr>
          <w:rFonts w:hint="eastAsia" w:ascii="方正楷体_GBK" w:hAnsi="方正楷体_GBK" w:eastAsia="方正楷体_GBK" w:cs="方正楷体_GBK"/>
          <w:b/>
          <w:bCs/>
          <w:sz w:val="32"/>
          <w:szCs w:val="32"/>
          <w:lang w:val="en-US" w:eastAsia="zh-CN"/>
        </w:rPr>
        <w:t>强化思想教育，夯实</w:t>
      </w:r>
      <w:r>
        <w:rPr>
          <w:rFonts w:hint="default" w:ascii="方正楷体_GBK" w:hAnsi="方正楷体_GBK" w:eastAsia="方正楷体_GBK" w:cs="方正楷体_GBK"/>
          <w:b/>
          <w:bCs/>
          <w:sz w:val="32"/>
          <w:szCs w:val="32"/>
          <w:lang w:val="en-US" w:eastAsia="zh-CN"/>
        </w:rPr>
        <w:t>组织引领作用。</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sz w:val="32"/>
          <w:szCs w:val="32"/>
        </w:rPr>
        <w:t>023年以来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开展中心组专题学习会</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次，党的二十大精神宣讲会</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val="en-US" w:eastAsia="zh-CN"/>
        </w:rPr>
        <w:t>主题教育学习会14次，</w:t>
      </w:r>
      <w:r>
        <w:rPr>
          <w:rFonts w:hint="eastAsia" w:ascii="仿宋_GB2312" w:hAnsi="仿宋_GB2312" w:eastAsia="仿宋_GB2312" w:cs="仿宋_GB2312"/>
          <w:color w:val="auto"/>
          <w:sz w:val="32"/>
          <w:szCs w:val="32"/>
        </w:rPr>
        <w:t>专题学习贯彻</w:t>
      </w:r>
      <w:r>
        <w:rPr>
          <w:rFonts w:hint="eastAsia" w:ascii="仿宋_GB2312" w:hAnsi="仿宋_GB2312" w:eastAsia="仿宋_GB2312" w:cs="仿宋_GB2312"/>
          <w:color w:val="auto"/>
          <w:sz w:val="32"/>
          <w:szCs w:val="32"/>
          <w:lang w:val="en-US" w:eastAsia="zh-CN"/>
        </w:rPr>
        <w:t>习近平新时代中国特色社会主义思想主题教育相关会议精神、</w:t>
      </w:r>
      <w:r>
        <w:rPr>
          <w:rFonts w:hint="eastAsia" w:ascii="仿宋_GB2312" w:hAnsi="仿宋_GB2312" w:eastAsia="仿宋_GB2312" w:cs="仿宋_GB2312"/>
          <w:color w:val="auto"/>
          <w:sz w:val="32"/>
          <w:szCs w:val="32"/>
        </w:rPr>
        <w:t>习近平总书记来川视察重要指示精神、省州县全会精神，确保了习近平新时代中国特色社</w:t>
      </w:r>
      <w:r>
        <w:rPr>
          <w:rFonts w:hint="eastAsia" w:ascii="仿宋_GB2312" w:hAnsi="仿宋_GB2312" w:eastAsia="仿宋_GB2312" w:cs="仿宋_GB2312"/>
          <w:sz w:val="32"/>
          <w:szCs w:val="32"/>
        </w:rPr>
        <w:t>会主义思想在麦洼大地上落地生根、开花结果。</w:t>
      </w:r>
      <w:r>
        <w:rPr>
          <w:rFonts w:hint="eastAsia" w:ascii="方正楷体_GBK" w:hAnsi="方正楷体_GBK" w:eastAsia="方正楷体_GBK" w:cs="方正楷体_GBK"/>
          <w:b/>
          <w:bCs/>
          <w:sz w:val="32"/>
          <w:szCs w:val="32"/>
          <w:lang w:val="en-US" w:eastAsia="zh-CN"/>
        </w:rPr>
        <w:t>二是</w:t>
      </w:r>
      <w:r>
        <w:rPr>
          <w:rFonts w:hint="eastAsia" w:ascii="方正楷体_GBK" w:hAnsi="方正楷体_GBK" w:eastAsia="方正楷体_GBK" w:cs="方正楷体_GBK"/>
          <w:b/>
          <w:bCs/>
          <w:sz w:val="32"/>
          <w:szCs w:val="32"/>
        </w:rPr>
        <w:t>强化组织建设，夯实党建根基。</w:t>
      </w:r>
      <w:r>
        <w:rPr>
          <w:rFonts w:hint="eastAsia" w:ascii="仿宋_GB2312" w:hAnsi="仿宋_GB2312" w:eastAsia="仿宋_GB2312" w:cs="仿宋_GB2312"/>
          <w:sz w:val="32"/>
          <w:szCs w:val="32"/>
        </w:rPr>
        <w:t>抓好党员发展工作，持续壮大</w:t>
      </w:r>
      <w:r>
        <w:rPr>
          <w:rFonts w:hint="eastAsia" w:ascii="仿宋_GB2312" w:hAnsi="仿宋_GB2312" w:eastAsia="仿宋_GB2312" w:cs="仿宋_GB2312"/>
          <w:sz w:val="32"/>
          <w:szCs w:val="32"/>
          <w:lang w:val="en-US" w:eastAsia="zh-CN"/>
        </w:rPr>
        <w:t>队伍建设</w:t>
      </w:r>
      <w:r>
        <w:rPr>
          <w:rFonts w:hint="eastAsia" w:ascii="仿宋_GB2312" w:hAnsi="仿宋_GB2312" w:eastAsia="仿宋_GB2312" w:cs="仿宋_GB2312"/>
          <w:sz w:val="32"/>
          <w:szCs w:val="32"/>
        </w:rPr>
        <w:t>，今年以来</w:t>
      </w:r>
      <w:r>
        <w:rPr>
          <w:rFonts w:hint="eastAsia" w:ascii="仿宋_GB2312" w:hAnsi="仿宋_GB2312" w:eastAsia="仿宋_GB2312" w:cs="仿宋_GB2312"/>
          <w:sz w:val="32"/>
          <w:szCs w:val="32"/>
          <w:lang w:eastAsia="zh-CN"/>
        </w:rPr>
        <w:t>，</w:t>
      </w:r>
      <w:r>
        <w:rPr>
          <w:rFonts w:hint="default" w:ascii="Times New Roman" w:hAnsi="Times New Roman" w:eastAsia="方正仿宋_GBK" w:cs="Times New Roman"/>
          <w:color w:val="000000"/>
          <w:sz w:val="32"/>
          <w:szCs w:val="32"/>
          <w:lang w:val="en-US" w:eastAsia="zh-CN"/>
        </w:rPr>
        <w:t>开展乡村干部培训40余人次，干部</w:t>
      </w:r>
      <w:r>
        <w:rPr>
          <w:rFonts w:hint="eastAsia" w:eastAsia="方正仿宋_GBK" w:cs="Times New Roman"/>
          <w:color w:val="000000"/>
          <w:sz w:val="32"/>
          <w:szCs w:val="32"/>
          <w:lang w:val="en-US" w:eastAsia="zh-CN"/>
        </w:rPr>
        <w:t>全覆盖</w:t>
      </w:r>
      <w:r>
        <w:rPr>
          <w:rFonts w:hint="default" w:ascii="Times New Roman" w:hAnsi="Times New Roman" w:eastAsia="方正仿宋_GBK" w:cs="Times New Roman"/>
          <w:color w:val="000000"/>
          <w:sz w:val="32"/>
          <w:szCs w:val="32"/>
          <w:lang w:val="en-US" w:eastAsia="zh-CN"/>
        </w:rPr>
        <w:t>谈心谈话2次</w:t>
      </w:r>
      <w:r>
        <w:rPr>
          <w:rFonts w:hint="eastAsia"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lang w:val="en-US" w:eastAsia="zh-CN"/>
        </w:rPr>
        <w:t>发展</w:t>
      </w:r>
      <w:r>
        <w:rPr>
          <w:rFonts w:hint="eastAsia" w:eastAsia="方正仿宋_GBK" w:cs="Times New Roman"/>
          <w:color w:val="000000"/>
          <w:sz w:val="32"/>
          <w:szCs w:val="32"/>
          <w:lang w:val="en-US" w:eastAsia="zh-CN"/>
        </w:rPr>
        <w:t>农村</w:t>
      </w:r>
      <w:r>
        <w:rPr>
          <w:rFonts w:hint="default" w:ascii="Times New Roman" w:hAnsi="Times New Roman" w:eastAsia="方正仿宋_GBK" w:cs="Times New Roman"/>
          <w:color w:val="000000"/>
          <w:sz w:val="32"/>
          <w:szCs w:val="32"/>
          <w:lang w:val="en-US" w:eastAsia="zh-CN"/>
        </w:rPr>
        <w:t>党员</w:t>
      </w:r>
      <w:r>
        <w:rPr>
          <w:rFonts w:hint="eastAsia"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lang w:val="en-US" w:eastAsia="zh-CN"/>
        </w:rPr>
        <w:t>名</w:t>
      </w:r>
      <w:r>
        <w:rPr>
          <w:rFonts w:hint="eastAsia" w:eastAsia="方正仿宋_GBK" w:cs="Times New Roman"/>
          <w:color w:val="000000"/>
          <w:sz w:val="32"/>
          <w:szCs w:val="32"/>
          <w:lang w:val="en-US" w:eastAsia="zh-CN"/>
        </w:rPr>
        <w:t>。</w:t>
      </w:r>
      <w:r>
        <w:rPr>
          <w:rFonts w:hint="eastAsia" w:ascii="仿宋_GB2312" w:hAnsi="仿宋_GB2312" w:eastAsia="仿宋_GB2312" w:cs="仿宋_GB2312"/>
          <w:sz w:val="32"/>
          <w:szCs w:val="32"/>
        </w:rPr>
        <w:t>全面完成了全乡3个党支部198名党员的信息录入工作。</w:t>
      </w:r>
      <w:r>
        <w:rPr>
          <w:rFonts w:hint="default" w:ascii="Times New Roman" w:hAnsi="Times New Roman" w:eastAsia="方正仿宋_GBK" w:cs="Times New Roman"/>
          <w:color w:val="000000"/>
          <w:sz w:val="32"/>
          <w:szCs w:val="32"/>
          <w:lang w:val="en-US" w:eastAsia="zh-CN"/>
        </w:rPr>
        <w:t>2023年</w:t>
      </w:r>
      <w:r>
        <w:rPr>
          <w:rFonts w:hint="eastAsia" w:eastAsia="方正仿宋_GBK" w:cs="Times New Roman"/>
          <w:color w:val="000000"/>
          <w:sz w:val="32"/>
          <w:szCs w:val="32"/>
          <w:lang w:val="en-US" w:eastAsia="zh-CN"/>
        </w:rPr>
        <w:t>麦洼</w:t>
      </w:r>
      <w:r>
        <w:rPr>
          <w:rFonts w:hint="default" w:ascii="Times New Roman" w:hAnsi="Times New Roman" w:eastAsia="方正仿宋_GBK" w:cs="Times New Roman"/>
          <w:color w:val="000000"/>
          <w:sz w:val="32"/>
          <w:szCs w:val="32"/>
          <w:lang w:eastAsia="zh-CN"/>
        </w:rPr>
        <w:t>乡机关支部被县委评为优秀基层</w:t>
      </w:r>
      <w:r>
        <w:rPr>
          <w:rFonts w:hint="eastAsia" w:eastAsia="方正仿宋_GBK" w:cs="Times New Roman"/>
          <w:color w:val="000000"/>
          <w:sz w:val="32"/>
          <w:szCs w:val="32"/>
          <w:lang w:eastAsia="zh-CN"/>
        </w:rPr>
        <w:t>党</w:t>
      </w:r>
      <w:r>
        <w:rPr>
          <w:rFonts w:hint="default" w:ascii="Times New Roman" w:hAnsi="Times New Roman" w:eastAsia="方正仿宋_GBK" w:cs="Times New Roman"/>
          <w:color w:val="000000"/>
          <w:sz w:val="32"/>
          <w:szCs w:val="32"/>
          <w:lang w:eastAsia="zh-CN"/>
        </w:rPr>
        <w:t>组织。</w:t>
      </w:r>
      <w:r>
        <w:rPr>
          <w:rFonts w:hint="eastAsia" w:ascii="方正楷体_GBK" w:hAnsi="方正楷体_GBK" w:eastAsia="方正楷体_GBK" w:cs="方正楷体_GBK"/>
          <w:b/>
          <w:bCs/>
          <w:sz w:val="32"/>
          <w:szCs w:val="32"/>
          <w:lang w:val="en-US" w:eastAsia="zh-CN"/>
        </w:rPr>
        <w:t>三是</w:t>
      </w:r>
      <w:r>
        <w:rPr>
          <w:rFonts w:hint="eastAsia" w:ascii="方正楷体_GBK" w:hAnsi="方正楷体_GBK" w:eastAsia="方正楷体_GBK" w:cs="方正楷体_GBK"/>
          <w:b/>
          <w:bCs/>
          <w:sz w:val="32"/>
          <w:szCs w:val="32"/>
        </w:rPr>
        <w:t>筑牢意识形态，把牢政治方向。</w:t>
      </w:r>
      <w:r>
        <w:rPr>
          <w:rFonts w:hint="eastAsia" w:ascii="仿宋_GB2312" w:hAnsi="仿宋_GB2312" w:eastAsia="仿宋_GB2312" w:cs="仿宋_GB2312"/>
          <w:sz w:val="32"/>
          <w:szCs w:val="32"/>
        </w:rPr>
        <w:t>始终坚持党对意识形态工作的领导权，专题研究意识形态工作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次，分析研判思想文化领域突出问题，对重大事件、重要情况中的苗头倾向性问题，有针对性地进行引导。完成辖区内25网络人士备案工作。</w:t>
      </w:r>
      <w:r>
        <w:rPr>
          <w:rFonts w:hint="eastAsia" w:ascii="仿宋_GB2312" w:hAnsi="仿宋_GB2312" w:eastAsia="仿宋_GB2312" w:cs="仿宋_GB2312"/>
          <w:sz w:val="32"/>
          <w:szCs w:val="32"/>
          <w:lang w:eastAsia="zh-CN"/>
        </w:rPr>
        <w:t>充分发挥</w:t>
      </w:r>
      <w:r>
        <w:rPr>
          <w:rFonts w:hint="eastAsia" w:ascii="仿宋_GB2312" w:hAnsi="仿宋_GB2312" w:eastAsia="仿宋_GB2312" w:cs="仿宋_GB2312"/>
          <w:sz w:val="32"/>
          <w:szCs w:val="32"/>
        </w:rPr>
        <w:t>州舆情信息直报点</w:t>
      </w:r>
      <w:r>
        <w:rPr>
          <w:rFonts w:hint="eastAsia" w:ascii="仿宋_GB2312" w:hAnsi="仿宋_GB2312" w:eastAsia="仿宋_GB2312" w:cs="仿宋_GB2312"/>
          <w:sz w:val="32"/>
          <w:szCs w:val="32"/>
          <w:lang w:eastAsia="zh-CN"/>
        </w:rPr>
        <w:t>作用</w:t>
      </w:r>
      <w:r>
        <w:rPr>
          <w:rFonts w:hint="eastAsia" w:ascii="仿宋_GB2312" w:hAnsi="仿宋_GB2312" w:eastAsia="仿宋_GB2312" w:cs="仿宋_GB2312"/>
          <w:sz w:val="32"/>
          <w:szCs w:val="32"/>
        </w:rPr>
        <w:t>，上报舆情信息</w:t>
      </w:r>
      <w:r>
        <w:rPr>
          <w:rFonts w:hint="eastAsia" w:ascii="仿宋_GB2312" w:hAnsi="仿宋_GB2312" w:eastAsia="仿宋_GB2312" w:cs="仿宋_GB2312"/>
          <w:sz w:val="32"/>
          <w:szCs w:val="32"/>
          <w:lang w:val="en-US" w:eastAsia="zh-CN"/>
        </w:rPr>
        <w:t>60余</w:t>
      </w:r>
      <w:r>
        <w:rPr>
          <w:rFonts w:hint="eastAsia" w:ascii="仿宋_GB2312" w:hAnsi="仿宋_GB2312" w:eastAsia="仿宋_GB2312" w:cs="仿宋_GB2312"/>
          <w:sz w:val="32"/>
          <w:szCs w:val="32"/>
        </w:rPr>
        <w:t>篇，州委宣传部宣采纳25篇、省委宣传部采纳3篇。</w:t>
      </w:r>
    </w:p>
    <w:p w14:paraId="7D76BED5">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b/>
          <w:bCs/>
          <w:sz w:val="32"/>
          <w:szCs w:val="32"/>
          <w:lang w:val="en-US" w:eastAsia="zh-CN"/>
        </w:rPr>
        <w:t>2.深化廉政教育，提升工作</w:t>
      </w:r>
      <w:r>
        <w:rPr>
          <w:rFonts w:hint="eastAsia" w:ascii="方正楷体_GBK" w:hAnsi="方正楷体_GBK" w:eastAsia="方正楷体_GBK" w:cs="方正楷体_GBK"/>
          <w:b/>
          <w:bCs/>
          <w:sz w:val="32"/>
          <w:szCs w:val="32"/>
        </w:rPr>
        <w:t>作风建设</w:t>
      </w: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lang w:val="en-US" w:eastAsia="zh-CN"/>
        </w:rPr>
        <w:t>一是</w:t>
      </w:r>
      <w:r>
        <w:rPr>
          <w:rFonts w:hint="eastAsia" w:ascii="方正楷体_GBK" w:hAnsi="方正楷体_GBK" w:eastAsia="方正楷体_GBK" w:cs="方正楷体_GBK"/>
          <w:b/>
          <w:bCs/>
          <w:sz w:val="32"/>
          <w:szCs w:val="32"/>
        </w:rPr>
        <w:t>落实主体责任，切实履职尽责担当。</w:t>
      </w:r>
      <w:r>
        <w:rPr>
          <w:rFonts w:hint="eastAsia" w:ascii="仿宋_GB2312" w:hAnsi="仿宋_GB2312" w:eastAsia="仿宋_GB2312" w:cs="仿宋_GB2312"/>
          <w:sz w:val="32"/>
          <w:szCs w:val="32"/>
          <w:lang w:val="en-US" w:eastAsia="zh-CN"/>
        </w:rPr>
        <w:t>切实履行主体责任和“一岗双责”,自觉把党风廉政建设各项规定落实到工作各方面各环节，</w:t>
      </w:r>
      <w:r>
        <w:rPr>
          <w:rFonts w:hint="eastAsia" w:ascii="仿宋_GB2312" w:hAnsi="仿宋_GB2312" w:eastAsia="仿宋_GB2312" w:cs="仿宋_GB2312"/>
          <w:sz w:val="32"/>
          <w:szCs w:val="32"/>
        </w:rPr>
        <w:t>召开党风廉政建设专题会议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次，研究部署重点工作，细化工作责任，分析形势任务，找薄弱、定措施，党委书记坚持重要工作亲自部署、重大问题亲自过问、重点环节亲自协调。</w:t>
      </w:r>
      <w:r>
        <w:rPr>
          <w:rFonts w:hint="eastAsia" w:ascii="方正楷体_GBK" w:hAnsi="方正楷体_GBK" w:eastAsia="方正楷体_GBK" w:cs="方正楷体_GBK"/>
          <w:b/>
          <w:bCs/>
          <w:sz w:val="32"/>
          <w:szCs w:val="32"/>
          <w:lang w:val="en-US" w:eastAsia="zh-CN"/>
        </w:rPr>
        <w:t>二是</w:t>
      </w:r>
      <w:r>
        <w:rPr>
          <w:rFonts w:hint="eastAsia" w:ascii="楷体_GB2312" w:hAnsi="楷体_GB2312" w:eastAsia="楷体_GB2312" w:cs="楷体_GB2312"/>
          <w:b/>
          <w:bCs/>
          <w:sz w:val="32"/>
          <w:szCs w:val="32"/>
          <w:lang w:val="en-US" w:eastAsia="zh-CN"/>
        </w:rPr>
        <w:t>聚焦重点工作，加大执纪监督力度。</w:t>
      </w:r>
      <w:r>
        <w:rPr>
          <w:rFonts w:hint="eastAsia" w:ascii="仿宋_GB2312" w:hAnsi="仿宋_GB2312" w:eastAsia="仿宋_GB2312" w:cs="仿宋_GB2312"/>
          <w:sz w:val="32"/>
          <w:szCs w:val="32"/>
          <w:lang w:val="en-US" w:eastAsia="zh-CN"/>
        </w:rPr>
        <w:t>始终保持高压态势，强化“不敢”的氛围，严格落实乡村振兴领域作风管控，紧盯重点领域、关键环节，制定专项监督检查方案，结合</w:t>
      </w:r>
      <w:r>
        <w:rPr>
          <w:rFonts w:hint="eastAsia" w:ascii="仿宋_GB2312" w:hAnsi="仿宋_GB2312" w:eastAsia="仿宋_GB2312" w:cs="仿宋_GB2312"/>
          <w:sz w:val="32"/>
          <w:szCs w:val="32"/>
        </w:rPr>
        <w:t>“4+N”专项督查</w:t>
      </w:r>
      <w:r>
        <w:rPr>
          <w:rFonts w:hint="eastAsia" w:ascii="仿宋_GB2312" w:hAnsi="仿宋_GB2312" w:eastAsia="仿宋_GB2312" w:cs="仿宋_GB2312"/>
          <w:sz w:val="32"/>
          <w:szCs w:val="32"/>
          <w:lang w:val="en-US" w:eastAsia="zh-CN"/>
        </w:rPr>
        <w:t>，开展脱贫攻坚与乡村振兴有效衔接的专项监督检查等10余次，实现问责常态化目标。加强村“三务”及项目工程定期及时公开，确保了“公开、透明、廉洁”。</w:t>
      </w:r>
    </w:p>
    <w:p w14:paraId="070334B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Times New Roman" w:hAnsi="Times New Roman" w:eastAsia="楷体_GB2312" w:cs="Times New Roman"/>
          <w:b/>
          <w:bCs/>
          <w:color w:val="000000"/>
          <w:kern w:val="2"/>
          <w:sz w:val="32"/>
          <w:szCs w:val="32"/>
          <w:lang w:val="en-US" w:eastAsia="zh-CN" w:bidi="ar-SA"/>
        </w:rPr>
        <w:t>3.</w:t>
      </w:r>
      <w:r>
        <w:rPr>
          <w:rFonts w:hint="default" w:ascii="Times New Roman" w:hAnsi="Times New Roman" w:eastAsia="楷体_GB2312" w:cs="Times New Roman"/>
          <w:b/>
          <w:bCs/>
          <w:color w:val="000000"/>
          <w:kern w:val="2"/>
          <w:sz w:val="32"/>
          <w:szCs w:val="32"/>
          <w:lang w:val="en-US" w:eastAsia="zh-CN" w:bidi="ar-SA"/>
        </w:rPr>
        <w:t>抓点示范创建，生态环境不断完善</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方正仿宋_GBK" w:cs="Times New Roman"/>
          <w:color w:val="000000"/>
          <w:sz w:val="32"/>
          <w:szCs w:val="32"/>
        </w:rPr>
        <w:t>积极融入若尔盖国家湿地公园创建工作，</w:t>
      </w:r>
      <w:r>
        <w:rPr>
          <w:rFonts w:hint="eastAsia" w:ascii="仿宋_GB2312" w:hAnsi="仿宋_GB2312" w:eastAsia="仿宋_GB2312" w:cs="仿宋_GB2312"/>
          <w:sz w:val="32"/>
          <w:szCs w:val="32"/>
        </w:rPr>
        <w:t>配合省林科院等相关部门实地进行走访调研45人次，组织村民代表、两代表一委员、个体工商户、乡村干部等进行问卷调查50余份，</w:t>
      </w:r>
      <w:r>
        <w:rPr>
          <w:rFonts w:hint="default" w:ascii="Times New Roman" w:hAnsi="Times New Roman" w:eastAsia="方正仿宋_GBK" w:cs="Times New Roman"/>
          <w:color w:val="000000"/>
          <w:sz w:val="32"/>
          <w:szCs w:val="32"/>
        </w:rPr>
        <w:t>了解辖区牧民群众</w:t>
      </w:r>
      <w:r>
        <w:rPr>
          <w:rFonts w:hint="default" w:ascii="Times New Roman" w:hAnsi="Times New Roman" w:eastAsia="方正仿宋_GBK" w:cs="Times New Roman"/>
          <w:color w:val="000000"/>
          <w:sz w:val="32"/>
          <w:szCs w:val="32"/>
          <w:lang w:val="en-US" w:eastAsia="zh-CN"/>
        </w:rPr>
        <w:t>对生产生活、就业的需求和产业发展转型</w:t>
      </w:r>
      <w:r>
        <w:rPr>
          <w:rFonts w:hint="default" w:ascii="Times New Roman" w:hAnsi="Times New Roman" w:eastAsia="方正仿宋_GBK" w:cs="Times New Roman"/>
          <w:color w:val="000000"/>
          <w:sz w:val="32"/>
          <w:szCs w:val="32"/>
          <w:lang w:eastAsia="zh-CN"/>
        </w:rPr>
        <w:t>的</w:t>
      </w:r>
      <w:r>
        <w:rPr>
          <w:rFonts w:hint="default" w:ascii="Times New Roman" w:hAnsi="Times New Roman" w:eastAsia="方正仿宋_GBK" w:cs="Times New Roman"/>
          <w:color w:val="000000"/>
          <w:sz w:val="32"/>
          <w:szCs w:val="32"/>
        </w:rPr>
        <w:t>方向</w:t>
      </w:r>
      <w:r>
        <w:rPr>
          <w:rFonts w:hint="default" w:ascii="Times New Roman" w:hAnsi="Times New Roman" w:eastAsia="方正仿宋_GBK" w:cs="Times New Roman"/>
          <w:color w:val="000000"/>
          <w:sz w:val="32"/>
          <w:szCs w:val="32"/>
          <w:lang w:eastAsia="zh-CN"/>
        </w:rPr>
        <w:t>。</w:t>
      </w:r>
      <w:r>
        <w:rPr>
          <w:rFonts w:hint="default" w:ascii="楷体_GB2312" w:hAnsi="楷体_GB2312" w:eastAsia="楷体_GB2312" w:cs="楷体_GB2312"/>
          <w:b/>
          <w:bCs/>
          <w:sz w:val="32"/>
          <w:szCs w:val="32"/>
          <w:lang w:val="en-US" w:eastAsia="zh-CN"/>
        </w:rPr>
        <w:t>一是</w:t>
      </w:r>
      <w:r>
        <w:rPr>
          <w:rFonts w:hint="eastAsia" w:ascii="楷体_GB2312" w:hAnsi="楷体_GB2312" w:eastAsia="楷体_GB2312" w:cs="楷体_GB2312"/>
          <w:b/>
          <w:bCs/>
          <w:sz w:val="32"/>
          <w:szCs w:val="32"/>
          <w:lang w:eastAsia="zh-CN"/>
        </w:rPr>
        <w:t>超载过牧治理稳步推进。</w:t>
      </w:r>
      <w:r>
        <w:rPr>
          <w:rFonts w:hint="default" w:ascii="Times New Roman" w:hAnsi="Times New Roman" w:eastAsia="方正仿宋_GBK" w:cs="Times New Roman"/>
          <w:color w:val="000000"/>
          <w:sz w:val="32"/>
          <w:szCs w:val="32"/>
        </w:rPr>
        <w:t>始终坚持“责任在乡、措施在村、任务在户”的减畜工作理念不动摇，结合全乡超载牲畜实际，</w:t>
      </w:r>
      <w:r>
        <w:rPr>
          <w:rFonts w:hint="default" w:ascii="Times New Roman" w:hAnsi="Times New Roman" w:eastAsia="方正仿宋_GBK" w:cs="Times New Roman"/>
          <w:color w:val="000000"/>
          <w:sz w:val="32"/>
          <w:szCs w:val="32"/>
          <w:lang w:val="en-US" w:eastAsia="zh-CN"/>
        </w:rPr>
        <w:t>精准施策，</w:t>
      </w:r>
      <w:r>
        <w:rPr>
          <w:rFonts w:hint="default" w:ascii="Times New Roman" w:hAnsi="Times New Roman" w:eastAsia="方正仿宋_GBK" w:cs="Times New Roman"/>
          <w:color w:val="000000"/>
          <w:sz w:val="32"/>
          <w:szCs w:val="32"/>
        </w:rPr>
        <w:t>严格按照超载过牧治理工作要求，扎实</w:t>
      </w:r>
      <w:r>
        <w:rPr>
          <w:rFonts w:hint="default" w:ascii="Times New Roman" w:hAnsi="Times New Roman" w:eastAsia="方正仿宋_GBK" w:cs="Times New Roman"/>
          <w:color w:val="000000"/>
          <w:sz w:val="32"/>
          <w:szCs w:val="32"/>
          <w:lang w:val="en-US" w:eastAsia="zh-CN"/>
        </w:rPr>
        <w:t>推进</w:t>
      </w:r>
      <w:r>
        <w:rPr>
          <w:rFonts w:hint="default" w:ascii="Times New Roman" w:hAnsi="Times New Roman" w:eastAsia="方正仿宋_GBK" w:cs="Times New Roman"/>
          <w:color w:val="000000"/>
          <w:sz w:val="32"/>
          <w:szCs w:val="32"/>
        </w:rPr>
        <w:t>减畜工作</w:t>
      </w:r>
      <w:r>
        <w:rPr>
          <w:rFonts w:hint="default" w:ascii="Times New Roman" w:hAnsi="Times New Roman" w:eastAsia="方正仿宋_GBK" w:cs="Times New Roman"/>
          <w:color w:val="000000"/>
          <w:sz w:val="32"/>
          <w:szCs w:val="32"/>
          <w:lang w:eastAsia="zh-CN"/>
        </w:rPr>
        <w:t>。</w:t>
      </w:r>
      <w:r>
        <w:rPr>
          <w:rFonts w:hint="eastAsia" w:ascii="仿宋_GB2312" w:hAnsi="仿宋_GB2312" w:eastAsia="仿宋_GB2312" w:cs="仿宋_GB2312"/>
          <w:sz w:val="32"/>
          <w:szCs w:val="32"/>
        </w:rPr>
        <w:t>出动乡村干部50余名，逐户摸底核实牲畜数量，签订减畜责任书789份。</w:t>
      </w:r>
      <w:r>
        <w:rPr>
          <w:rFonts w:hint="default" w:ascii="Times New Roman" w:hAnsi="Times New Roman" w:eastAsia="方正仿宋_GBK" w:cs="Times New Roman"/>
          <w:color w:val="000000"/>
          <w:sz w:val="32"/>
          <w:szCs w:val="32"/>
        </w:rPr>
        <w:t>截止目前，出栏量共计</w:t>
      </w:r>
      <w:r>
        <w:rPr>
          <w:rFonts w:hint="eastAsia" w:ascii="Times New Roman" w:hAnsi="Times New Roman" w:eastAsia="方正仿宋_GBK" w:cs="Times New Roman"/>
          <w:color w:val="000000"/>
          <w:sz w:val="32"/>
          <w:szCs w:val="32"/>
          <w:lang w:val="en-US" w:eastAsia="zh-CN"/>
        </w:rPr>
        <w:t>20680</w:t>
      </w:r>
      <w:r>
        <w:rPr>
          <w:rFonts w:hint="default" w:ascii="Times New Roman" w:hAnsi="Times New Roman" w:eastAsia="方正仿宋_GBK" w:cs="Times New Roman"/>
          <w:color w:val="000000"/>
          <w:sz w:val="32"/>
          <w:szCs w:val="32"/>
        </w:rPr>
        <w:t>头，其中检疫发票开具完成</w:t>
      </w:r>
      <w:r>
        <w:rPr>
          <w:rFonts w:hint="eastAsia" w:ascii="Times New Roman" w:hAnsi="Times New Roman" w:eastAsia="方正仿宋_GBK" w:cs="Times New Roman"/>
          <w:color w:val="000000"/>
          <w:sz w:val="32"/>
          <w:szCs w:val="32"/>
          <w:lang w:val="en-US" w:eastAsia="zh-CN"/>
        </w:rPr>
        <w:t>18010</w:t>
      </w:r>
      <w:r>
        <w:rPr>
          <w:rFonts w:hint="default" w:ascii="Times New Roman" w:hAnsi="Times New Roman" w:eastAsia="方正仿宋_GBK" w:cs="Times New Roman"/>
          <w:color w:val="000000"/>
          <w:sz w:val="32"/>
          <w:szCs w:val="32"/>
        </w:rPr>
        <w:t>头，牧户交易及死亡2670头。</w:t>
      </w:r>
      <w:r>
        <w:rPr>
          <w:rFonts w:hint="default" w:ascii="Times New Roman" w:hAnsi="Times New Roman" w:eastAsia="方正仿宋_GBK" w:cs="Times New Roman"/>
          <w:b w:val="0"/>
          <w:bCs w:val="0"/>
          <w:color w:val="000000"/>
          <w:sz w:val="32"/>
          <w:szCs w:val="32"/>
          <w:lang w:val="en-US" w:eastAsia="zh-CN"/>
        </w:rPr>
        <w:t>同时，</w:t>
      </w:r>
      <w:r>
        <w:rPr>
          <w:rFonts w:hint="default" w:ascii="Times New Roman" w:hAnsi="Times New Roman" w:eastAsia="方正仿宋_GBK" w:cs="Times New Roman"/>
          <w:b w:val="0"/>
          <w:bCs w:val="0"/>
          <w:color w:val="000000"/>
          <w:sz w:val="32"/>
          <w:szCs w:val="32"/>
        </w:rPr>
        <w:t>实施</w:t>
      </w:r>
      <w:r>
        <w:rPr>
          <w:rFonts w:hint="default" w:ascii="Times New Roman" w:hAnsi="Times New Roman" w:eastAsia="方正仿宋_GBK" w:cs="Times New Roman"/>
          <w:color w:val="000000"/>
          <w:sz w:val="32"/>
          <w:szCs w:val="32"/>
        </w:rPr>
        <w:t>种草项目，完成种草6万亩</w:t>
      </w:r>
      <w:r>
        <w:rPr>
          <w:rFonts w:hint="eastAsia" w:ascii="Times New Roman" w:hAnsi="Times New Roman" w:eastAsia="方正仿宋_GBK" w:cs="Times New Roman"/>
          <w:color w:val="000000"/>
          <w:sz w:val="32"/>
          <w:szCs w:val="32"/>
          <w:lang w:eastAsia="zh-CN"/>
        </w:rPr>
        <w:t>。</w:t>
      </w:r>
      <w:r>
        <w:rPr>
          <w:rFonts w:hint="default" w:ascii="楷体_GB2312" w:hAnsi="楷体_GB2312" w:eastAsia="楷体_GB2312" w:cs="楷体_GB2312"/>
          <w:b/>
          <w:bCs/>
          <w:sz w:val="32"/>
          <w:szCs w:val="32"/>
          <w:lang w:val="en-US" w:eastAsia="zh-CN"/>
        </w:rPr>
        <w:t>二是全面贯彻落实我县农牧民增收政策，确保农牧民收入持续增长。</w:t>
      </w:r>
      <w:r>
        <w:rPr>
          <w:rFonts w:hint="default" w:ascii="Times New Roman" w:hAnsi="Times New Roman" w:eastAsia="方正仿宋_GBK" w:cs="Times New Roman"/>
          <w:color w:val="000000"/>
          <w:sz w:val="32"/>
          <w:szCs w:val="32"/>
          <w:lang w:val="en-US" w:eastAsia="zh-CN"/>
        </w:rPr>
        <w:t>根据科农局《关于2023年助农增收工作安排的通知》，结合季度指标任务分解目标，</w:t>
      </w:r>
      <w:r>
        <w:rPr>
          <w:rFonts w:hint="default" w:ascii="Times New Roman" w:hAnsi="Times New Roman" w:eastAsia="方正仿宋_GBK" w:cs="Times New Roman"/>
          <w:color w:val="000000"/>
          <w:sz w:val="32"/>
          <w:szCs w:val="32"/>
        </w:rPr>
        <w:t>我乡一季度农村居民可支配收入3624.5元，二季度农村居民可支配收入8020.5元，三季度农村居民可支配收入16038.9元，根据季度增长态势，结合牧区增收实际。</w:t>
      </w:r>
      <w:r>
        <w:rPr>
          <w:rFonts w:hint="default" w:ascii="仿宋_GB2312" w:hAnsi="仿宋_GB2312" w:eastAsia="仿宋_GB2312" w:cs="仿宋_GB2312"/>
          <w:sz w:val="32"/>
          <w:szCs w:val="32"/>
        </w:rPr>
        <w:t>第四季度可实现农村人均可支配收入21000元以上、实现增速12%目标任务</w:t>
      </w:r>
      <w:r>
        <w:rPr>
          <w:rFonts w:hint="eastAsia" w:ascii="仿宋_GB2312" w:hAnsi="仿宋_GB2312" w:eastAsia="仿宋_GB2312" w:cs="仿宋_GB2312"/>
          <w:sz w:val="32"/>
          <w:szCs w:val="32"/>
          <w:lang w:eastAsia="zh-CN"/>
        </w:rPr>
        <w:t>。</w:t>
      </w:r>
      <w:r>
        <w:rPr>
          <w:rFonts w:hint="default" w:ascii="楷体_GB2312" w:hAnsi="楷体_GB2312" w:eastAsia="楷体_GB2312" w:cs="楷体_GB2312"/>
          <w:b/>
          <w:bCs/>
          <w:sz w:val="32"/>
          <w:szCs w:val="32"/>
          <w:lang w:val="en-US" w:eastAsia="zh-CN"/>
        </w:rPr>
        <w:t>三是积极融入全域无垃圾示范县建设，</w:t>
      </w:r>
      <w:r>
        <w:rPr>
          <w:rFonts w:hint="default" w:ascii="Times New Roman" w:hAnsi="Times New Roman" w:eastAsia="方正仿宋_GBK" w:cs="Times New Roman"/>
          <w:color w:val="000000"/>
          <w:sz w:val="32"/>
          <w:szCs w:val="32"/>
          <w:lang w:val="en-US" w:eastAsia="zh-CN"/>
        </w:rPr>
        <w:t>扎实</w:t>
      </w:r>
      <w:r>
        <w:rPr>
          <w:rFonts w:hint="default" w:ascii="Times New Roman" w:hAnsi="Times New Roman" w:eastAsia="方正仿宋_GBK" w:cs="Times New Roman"/>
          <w:color w:val="000000"/>
          <w:sz w:val="32"/>
          <w:szCs w:val="32"/>
        </w:rPr>
        <w:t>开展</w:t>
      </w:r>
      <w:r>
        <w:rPr>
          <w:rFonts w:hint="default" w:ascii="Times New Roman" w:hAnsi="Times New Roman" w:eastAsia="方正仿宋_GBK" w:cs="Times New Roman"/>
          <w:color w:val="000000"/>
          <w:sz w:val="32"/>
          <w:szCs w:val="32"/>
          <w:lang w:val="en-US" w:eastAsia="zh-CN"/>
        </w:rPr>
        <w:t>黄河上游</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全域全员全天</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生态环境综合治理活动</w:t>
      </w:r>
      <w:r>
        <w:rPr>
          <w:rFonts w:hint="eastAsia" w:ascii="Times New Roman" w:hAnsi="Times New Roman" w:eastAsia="方正仿宋_GBK" w:cs="Times New Roman"/>
          <w:color w:val="000000"/>
          <w:sz w:val="32"/>
          <w:szCs w:val="32"/>
          <w:lang w:val="en-US" w:eastAsia="zh-CN"/>
        </w:rPr>
        <w:t>10余次</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发动干部群众1200余人次</w:t>
      </w:r>
      <w:r>
        <w:rPr>
          <w:rFonts w:hint="default" w:ascii="Times New Roman" w:hAnsi="Times New Roman" w:eastAsia="方正仿宋_GBK" w:cs="Times New Roman"/>
          <w:color w:val="000000"/>
          <w:sz w:val="32"/>
          <w:szCs w:val="32"/>
          <w:lang w:val="en-US" w:eastAsia="zh-CN"/>
        </w:rPr>
        <w:t>，清理废旧经幡、水源地河道淤泥、生活垃圾等50余吨</w:t>
      </w:r>
      <w:r>
        <w:rPr>
          <w:rFonts w:hint="eastAsia" w:ascii="Times New Roman" w:hAnsi="Times New Roman" w:eastAsia="方正仿宋_GBK" w:cs="Times New Roman"/>
          <w:color w:val="000000"/>
          <w:sz w:val="32"/>
          <w:szCs w:val="32"/>
          <w:lang w:val="en-US" w:eastAsia="zh-CN"/>
        </w:rPr>
        <w:t>，</w:t>
      </w:r>
      <w:r>
        <w:rPr>
          <w:rFonts w:hint="eastAsia" w:eastAsia="仿宋_GB2312"/>
          <w:sz w:val="32"/>
          <w:szCs w:val="32"/>
        </w:rPr>
        <w:t>辖区环境焕然一新</w:t>
      </w:r>
      <w:r>
        <w:rPr>
          <w:rFonts w:hint="eastAsia" w:eastAsia="仿宋_GB2312" w:cs="Times New Roman"/>
          <w:sz w:val="32"/>
          <w:szCs w:val="32"/>
        </w:rPr>
        <w:t>。</w:t>
      </w:r>
    </w:p>
    <w:p w14:paraId="7322839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楷体_GB2312" w:cs="Times New Roman"/>
          <w:b/>
          <w:bCs/>
          <w:color w:val="000000"/>
          <w:sz w:val="32"/>
          <w:szCs w:val="32"/>
          <w:lang w:val="en-US" w:eastAsia="zh-CN"/>
        </w:rPr>
        <w:t>4.</w:t>
      </w:r>
      <w:r>
        <w:rPr>
          <w:rFonts w:hint="default" w:ascii="Times New Roman" w:hAnsi="Times New Roman" w:eastAsia="楷体_GB2312" w:cs="Times New Roman"/>
          <w:b/>
          <w:bCs/>
          <w:color w:val="000000"/>
          <w:sz w:val="32"/>
          <w:szCs w:val="32"/>
        </w:rPr>
        <w:t>守牢返贫底线</w:t>
      </w:r>
      <w:r>
        <w:rPr>
          <w:rFonts w:hint="default" w:ascii="Times New Roman" w:hAnsi="Times New Roman" w:eastAsia="楷体_GB2312" w:cs="Times New Roman"/>
          <w:b/>
          <w:bCs/>
          <w:color w:val="000000"/>
          <w:sz w:val="32"/>
          <w:szCs w:val="32"/>
          <w:lang w:eastAsia="zh-CN"/>
        </w:rPr>
        <w:t>，</w:t>
      </w:r>
      <w:r>
        <w:rPr>
          <w:rFonts w:hint="default" w:ascii="Times New Roman" w:hAnsi="Times New Roman" w:eastAsia="楷体_GB2312" w:cs="Times New Roman"/>
          <w:b/>
          <w:bCs/>
          <w:color w:val="000000"/>
          <w:sz w:val="32"/>
          <w:szCs w:val="32"/>
          <w:lang w:val="en-US" w:eastAsia="zh-CN"/>
        </w:rPr>
        <w:t>乡村振兴稳步推进。</w:t>
      </w:r>
      <w:r>
        <w:rPr>
          <w:rFonts w:hint="default" w:ascii="Times New Roman" w:hAnsi="Times New Roman" w:eastAsia="楷体_GB2312" w:cs="Times New Roman"/>
          <w:b/>
          <w:bCs/>
          <w:color w:val="000000"/>
          <w:kern w:val="2"/>
          <w:sz w:val="32"/>
          <w:szCs w:val="32"/>
          <w:lang w:val="en-US" w:eastAsia="zh-CN" w:bidi="ar-SA"/>
        </w:rPr>
        <w:t>一是严格落实“四个不摘”工作要求</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方正仿宋_GBK" w:cs="Times New Roman"/>
          <w:bCs/>
          <w:color w:val="000000"/>
          <w:sz w:val="32"/>
          <w:highlight w:val="none"/>
          <w:lang w:val="en-US" w:eastAsia="zh-CN"/>
        </w:rPr>
        <w:t>建立健全防止返贫动态监测和帮扶机制工作，强化驻村工作管理，通过入户核查、民政医保等部门预警推送等方</w:t>
      </w:r>
      <w:r>
        <w:rPr>
          <w:rFonts w:hint="default" w:ascii="Times New Roman" w:hAnsi="Times New Roman" w:eastAsia="方正仿宋_GBK" w:cs="Times New Roman"/>
          <w:color w:val="000000"/>
          <w:sz w:val="32"/>
          <w:highlight w:val="none"/>
          <w:lang w:val="en-US" w:eastAsia="zh-CN"/>
        </w:rPr>
        <w:t>式，全覆盖开展防返贫排查2次，对风险等级实行动态监测、网格管理，形成“对象发现、风险预警、及时纳入、动态帮扶、问题消除”的全闭环管理。</w:t>
      </w:r>
      <w:r>
        <w:rPr>
          <w:rFonts w:hint="default" w:ascii="Times New Roman" w:hAnsi="Times New Roman" w:eastAsia="楷体_GB2312" w:cs="Times New Roman"/>
          <w:b/>
          <w:bCs/>
          <w:color w:val="000000"/>
          <w:kern w:val="2"/>
          <w:sz w:val="32"/>
          <w:szCs w:val="32"/>
          <w:lang w:val="en-US" w:eastAsia="zh-CN" w:bidi="ar-SA"/>
        </w:rPr>
        <w:t>二是坚持用好教育、医疗、低保、公益性岗位等保障性政策</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方正仿宋_GBK" w:cs="Times New Roman"/>
          <w:color w:val="000000"/>
          <w:sz w:val="32"/>
          <w:highlight w:val="none"/>
          <w:lang w:val="en-US" w:eastAsia="zh-CN"/>
        </w:rPr>
        <w:t>新设置公益性岗位40人，实现脱贫人口就业297人，</w:t>
      </w:r>
      <w:r>
        <w:rPr>
          <w:rFonts w:hint="default" w:ascii="Times New Roman" w:hAnsi="Times New Roman" w:eastAsia="方正仿宋_GBK" w:cs="Times New Roman"/>
          <w:color w:val="000000"/>
          <w:sz w:val="32"/>
          <w:szCs w:val="32"/>
        </w:rPr>
        <w:t>确保226户脱贫户医保参率为100%，落实雨露计划学生11</w:t>
      </w:r>
      <w:r>
        <w:rPr>
          <w:rFonts w:hint="default" w:ascii="Times New Roman" w:hAnsi="Times New Roman" w:eastAsia="方正仿宋_GBK" w:cs="Times New Roman"/>
          <w:color w:val="000000"/>
          <w:sz w:val="32"/>
          <w:szCs w:val="32"/>
          <w:lang w:val="en-US" w:eastAsia="zh-CN"/>
        </w:rPr>
        <w:t>人，</w:t>
      </w:r>
      <w:r>
        <w:rPr>
          <w:rFonts w:hint="default" w:ascii="Times New Roman" w:hAnsi="Times New Roman" w:eastAsia="方正仿宋_GBK" w:cs="Times New Roman"/>
          <w:color w:val="000000"/>
          <w:sz w:val="32"/>
          <w:szCs w:val="32"/>
        </w:rPr>
        <w:t>申请脱贫户教育扶贫救助基金198</w:t>
      </w:r>
      <w:r>
        <w:rPr>
          <w:rFonts w:hint="default" w:ascii="Times New Roman" w:hAnsi="Times New Roman" w:eastAsia="方正仿宋_GBK" w:cs="Times New Roman"/>
          <w:color w:val="000000"/>
          <w:sz w:val="32"/>
          <w:szCs w:val="32"/>
          <w:lang w:val="en-US" w:eastAsia="zh-CN"/>
        </w:rPr>
        <w:t>人，</w:t>
      </w:r>
      <w:r>
        <w:rPr>
          <w:rFonts w:hint="default" w:ascii="Times New Roman" w:hAnsi="Times New Roman" w:eastAsia="方正仿宋_GBK" w:cs="Times New Roman"/>
          <w:color w:val="000000"/>
          <w:sz w:val="32"/>
          <w:szCs w:val="32"/>
        </w:rPr>
        <w:t>对口帮扶资金资助2023年大学新生</w:t>
      </w:r>
      <w:r>
        <w:rPr>
          <w:rFonts w:hint="default" w:ascii="Times New Roman" w:hAnsi="Times New Roman" w:eastAsia="方正仿宋_GBK" w:cs="Times New Roman"/>
          <w:bCs/>
          <w:color w:val="000000"/>
          <w:sz w:val="32"/>
          <w:highlight w:val="none"/>
          <w:lang w:val="en-US" w:eastAsia="zh-CN"/>
        </w:rPr>
        <w:t>21人。</w:t>
      </w:r>
      <w:r>
        <w:rPr>
          <w:rFonts w:hint="default" w:ascii="Times New Roman" w:hAnsi="Times New Roman" w:eastAsia="楷体_GB2312" w:cs="Times New Roman"/>
          <w:b/>
          <w:bCs/>
          <w:color w:val="000000"/>
          <w:kern w:val="2"/>
          <w:sz w:val="32"/>
          <w:szCs w:val="32"/>
          <w:lang w:val="en-US" w:eastAsia="zh-CN" w:bidi="ar-SA"/>
        </w:rPr>
        <w:t>三是持续壮大集体经济，创建农民合作社州级示范社</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方正仿宋_GBK" w:cs="Times New Roman"/>
          <w:bCs/>
          <w:color w:val="000000"/>
          <w:sz w:val="32"/>
          <w:highlight w:val="none"/>
          <w:lang w:val="en-US" w:eastAsia="zh-CN"/>
        </w:rPr>
        <w:t>建设“阿坝州红原县畜牧产业振兴联合示范牧场”，</w:t>
      </w:r>
      <w:r>
        <w:rPr>
          <w:rFonts w:hint="default" w:ascii="Times New Roman" w:hAnsi="Times New Roman" w:eastAsia="仿宋_GB2312" w:cs="Times New Roman"/>
          <w:sz w:val="32"/>
          <w:highlight w:val="none"/>
          <w:lang w:val="en-US" w:eastAsia="zh-CN"/>
        </w:rPr>
        <w:t>推进以“企业+集体经济+牧户”的发展模式</w:t>
      </w:r>
      <w:r>
        <w:rPr>
          <w:rFonts w:hint="eastAsia" w:ascii="Times New Roman" w:hAnsi="Times New Roman" w:eastAsia="仿宋_GB2312" w:cs="Times New Roman"/>
          <w:sz w:val="32"/>
          <w:highlight w:val="none"/>
          <w:lang w:val="en-US" w:eastAsia="zh-CN"/>
        </w:rPr>
        <w:t>，</w:t>
      </w:r>
      <w:r>
        <w:rPr>
          <w:rFonts w:hint="default" w:ascii="Times New Roman" w:hAnsi="Times New Roman" w:eastAsia="方正仿宋_GBK" w:cs="Times New Roman"/>
          <w:bCs/>
          <w:color w:val="000000"/>
          <w:sz w:val="32"/>
          <w:highlight w:val="none"/>
          <w:lang w:val="en-US" w:eastAsia="zh-CN"/>
        </w:rPr>
        <w:t>引领传统牧场向现代畜牧业发展模式转变,</w:t>
      </w:r>
      <w:r>
        <w:rPr>
          <w:rFonts w:hint="eastAsia" w:ascii="仿宋_GB2312" w:hAnsi="仿宋_GB2312" w:eastAsia="仿宋_GB2312" w:cs="仿宋_GB2312"/>
          <w:sz w:val="32"/>
          <w:szCs w:val="32"/>
          <w:lang w:val="en-US" w:eastAsia="zh-CN"/>
        </w:rPr>
        <w:t>不断壮大集体经济规模和经营范围，实现持续增收。</w:t>
      </w:r>
      <w:r>
        <w:rPr>
          <w:rFonts w:hint="default" w:ascii="Times New Roman" w:hAnsi="Times New Roman" w:eastAsia="方正仿宋_GBK" w:cs="Times New Roman"/>
          <w:bCs/>
          <w:color w:val="000000"/>
          <w:sz w:val="32"/>
          <w:highlight w:val="none"/>
          <w:lang w:val="en-US" w:eastAsia="zh-CN"/>
        </w:rPr>
        <w:t>今年脱贫户人均纯收入预计达到1.10万元，增幅17.78%，持续巩固了脱贫攻坚成果。</w:t>
      </w:r>
    </w:p>
    <w:p w14:paraId="1624AF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方正仿宋_GBK" w:cs="Times New Roman"/>
          <w:color w:val="000000"/>
          <w:sz w:val="32"/>
          <w:szCs w:val="32"/>
          <w:lang w:eastAsia="zh-CN"/>
        </w:rPr>
      </w:pPr>
      <w:r>
        <w:rPr>
          <w:rFonts w:hint="eastAsia" w:ascii="Times New Roman" w:hAnsi="Times New Roman" w:eastAsia="楷体_GB2312" w:cs="Times New Roman"/>
          <w:b/>
          <w:bCs/>
          <w:color w:val="000000"/>
          <w:sz w:val="32"/>
          <w:szCs w:val="32"/>
          <w:lang w:val="en-US" w:eastAsia="zh-CN"/>
        </w:rPr>
        <w:t>5.</w:t>
      </w:r>
      <w:r>
        <w:rPr>
          <w:rFonts w:hint="default" w:ascii="Times New Roman" w:hAnsi="Times New Roman" w:eastAsia="楷体_GB2312" w:cs="Times New Roman"/>
          <w:b/>
          <w:bCs/>
          <w:color w:val="000000"/>
          <w:sz w:val="32"/>
          <w:szCs w:val="32"/>
          <w:lang w:val="en-US" w:eastAsia="zh-CN"/>
        </w:rPr>
        <w:t>强化基层治理</w:t>
      </w:r>
      <w:r>
        <w:rPr>
          <w:rStyle w:val="48"/>
          <w:rFonts w:hint="default" w:ascii="Times New Roman" w:hAnsi="Times New Roman" w:eastAsia="楷体_GB2312" w:cs="Times New Roman"/>
          <w:b/>
          <w:color w:val="000000"/>
          <w:lang w:eastAsia="zh-CN"/>
        </w:rPr>
        <w:t>，</w:t>
      </w:r>
      <w:r>
        <w:rPr>
          <w:rStyle w:val="48"/>
          <w:rFonts w:hint="default" w:ascii="Times New Roman" w:hAnsi="Times New Roman" w:eastAsia="楷体_GB2312" w:cs="Times New Roman"/>
          <w:b/>
          <w:color w:val="000000"/>
          <w:lang w:val="en-US" w:eastAsia="zh-CN"/>
        </w:rPr>
        <w:t>社会大局平稳有序</w:t>
      </w:r>
      <w:r>
        <w:rPr>
          <w:rStyle w:val="48"/>
          <w:rFonts w:hint="default" w:ascii="Times New Roman" w:hAnsi="Times New Roman" w:eastAsia="楷体_GB2312" w:cs="Times New Roman"/>
          <w:b/>
          <w:color w:val="000000"/>
        </w:rPr>
        <w:t>。</w:t>
      </w:r>
      <w:r>
        <w:rPr>
          <w:rStyle w:val="48"/>
          <w:rFonts w:hint="default" w:ascii="Times New Roman" w:hAnsi="Times New Roman" w:eastAsia="楷体_GB2312" w:cs="Times New Roman"/>
          <w:b/>
          <w:color w:val="000000"/>
          <w:lang w:val="en-US" w:eastAsia="zh-CN"/>
        </w:rPr>
        <w:t>一是持续巩固基层组织建设</w:t>
      </w:r>
      <w:r>
        <w:rPr>
          <w:rStyle w:val="48"/>
          <w:rFonts w:hint="eastAsia" w:ascii="Times New Roman" w:hAnsi="Times New Roman" w:eastAsia="楷体_GB2312" w:cs="Times New Roman"/>
          <w:b/>
          <w:color w:val="000000"/>
          <w:lang w:val="en-US" w:eastAsia="zh-CN"/>
        </w:rPr>
        <w:t>。</w:t>
      </w:r>
      <w:r>
        <w:rPr>
          <w:rFonts w:hint="default" w:ascii="Times New Roman" w:hAnsi="Times New Roman" w:eastAsia="方正仿宋_GBK" w:cs="Times New Roman"/>
          <w:color w:val="000000"/>
          <w:sz w:val="32"/>
          <w:szCs w:val="32"/>
        </w:rPr>
        <w:t>按照“乡指导、村主导、群众主体”的原则，</w:t>
      </w:r>
      <w:r>
        <w:rPr>
          <w:rFonts w:hint="default" w:ascii="Times New Roman" w:hAnsi="Times New Roman" w:eastAsia="方正仿宋_GBK" w:cs="Times New Roman"/>
          <w:color w:val="000000"/>
          <w:sz w:val="32"/>
          <w:szCs w:val="32"/>
          <w:lang w:val="en-US" w:eastAsia="zh-CN"/>
        </w:rPr>
        <w:t>以社会治理能力体系现代化建设为目标，以“积分制”为抓手，</w:t>
      </w:r>
      <w:r>
        <w:rPr>
          <w:rFonts w:hint="eastAsia" w:ascii="仿宋_GB2312" w:hAnsi="仿宋_GB2312" w:eastAsia="仿宋_GB2312" w:cs="仿宋_GB2312"/>
          <w:sz w:val="32"/>
          <w:szCs w:val="32"/>
        </w:rPr>
        <w:t>充分发挥基层组织战斗堡垒和党员的先锋模范作用</w:t>
      </w:r>
      <w:r>
        <w:rPr>
          <w:rFonts w:hint="eastAsia" w:ascii="仿宋_GB2312" w:hAnsi="仿宋_GB2312" w:eastAsia="仿宋_GB2312" w:cs="仿宋_GB2312"/>
          <w:sz w:val="32"/>
          <w:szCs w:val="32"/>
          <w:lang w:eastAsia="zh-CN"/>
        </w:rPr>
        <w:t>，</w:t>
      </w:r>
      <w:r>
        <w:rPr>
          <w:rFonts w:hint="default" w:ascii="Times New Roman" w:hAnsi="Times New Roman" w:eastAsia="方正仿宋_GBK" w:cs="Times New Roman"/>
          <w:color w:val="000000"/>
          <w:sz w:val="32"/>
          <w:szCs w:val="32"/>
          <w:lang w:val="en-US" w:eastAsia="zh-CN"/>
        </w:rPr>
        <w:t>不断</w:t>
      </w:r>
      <w:r>
        <w:rPr>
          <w:rFonts w:hint="default" w:ascii="Times New Roman" w:hAnsi="Times New Roman" w:eastAsia="方正仿宋_GBK" w:cs="Times New Roman"/>
          <w:color w:val="000000"/>
          <w:sz w:val="32"/>
          <w:szCs w:val="32"/>
        </w:rPr>
        <w:t>修订完善村规民约</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进一步</w:t>
      </w:r>
      <w:r>
        <w:rPr>
          <w:rFonts w:hint="default" w:ascii="Times New Roman" w:hAnsi="Times New Roman" w:eastAsia="方正仿宋_GBK" w:cs="Times New Roman"/>
          <w:color w:val="000000"/>
          <w:sz w:val="32"/>
          <w:szCs w:val="32"/>
        </w:rPr>
        <w:t>完善“基层善治”</w:t>
      </w:r>
      <w:r>
        <w:rPr>
          <w:rFonts w:hint="default" w:ascii="Times New Roman" w:hAnsi="Times New Roman" w:eastAsia="方正仿宋_GBK" w:cs="Times New Roman"/>
          <w:color w:val="000000"/>
          <w:sz w:val="32"/>
          <w:szCs w:val="32"/>
          <w:lang w:val="en-US" w:eastAsia="zh-CN"/>
        </w:rPr>
        <w:t>体系</w:t>
      </w:r>
      <w:r>
        <w:rPr>
          <w:rFonts w:hint="eastAsia" w:ascii="Times New Roman" w:hAnsi="Times New Roman" w:eastAsia="方正仿宋_GBK" w:cs="Times New Roman"/>
          <w:color w:val="000000"/>
          <w:sz w:val="32"/>
          <w:szCs w:val="32"/>
          <w:lang w:val="en-US" w:eastAsia="zh-CN"/>
        </w:rPr>
        <w:t>。</w:t>
      </w:r>
      <w:r>
        <w:rPr>
          <w:rStyle w:val="48"/>
          <w:rFonts w:hint="default" w:ascii="Times New Roman" w:hAnsi="Times New Roman" w:eastAsia="楷体_GB2312" w:cs="Times New Roman"/>
          <w:b/>
          <w:color w:val="000000"/>
          <w:lang w:val="en-US" w:eastAsia="zh-CN"/>
        </w:rPr>
        <w:t>二是</w:t>
      </w:r>
      <w:r>
        <w:rPr>
          <w:rStyle w:val="48"/>
          <w:rFonts w:hint="eastAsia" w:ascii="Times New Roman" w:hAnsi="Times New Roman" w:eastAsia="楷体_GB2312" w:cs="Times New Roman"/>
          <w:b/>
          <w:color w:val="000000"/>
          <w:lang w:val="en-US" w:eastAsia="zh-CN"/>
        </w:rPr>
        <w:t>持续巩固党的群众基础。</w:t>
      </w:r>
      <w:r>
        <w:rPr>
          <w:rFonts w:hint="eastAsia" w:ascii="Times New Roman" w:hAnsi="Times New Roman" w:eastAsia="方正仿宋_GBK" w:cs="Times New Roman"/>
          <w:color w:val="000000"/>
          <w:sz w:val="32"/>
          <w:szCs w:val="32"/>
          <w:lang w:val="en-US" w:eastAsia="zh-CN"/>
        </w:rPr>
        <w:t>统筹县级联系领导、联系单位、全乡干部职工、驻村工作队员力量，开展“联户联情”500余人次，覆盖群众1095户5003人，开展</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联寺联僧</w:t>
      </w:r>
      <w:r>
        <w:rPr>
          <w:rFonts w:hint="default"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val="en-US" w:eastAsia="zh-CN"/>
        </w:rPr>
        <w:t>40余人次，覆盖僧尼80余人次，收集社情民意和困难问题200余条，办理民生诉求200余件</w:t>
      </w:r>
      <w:r>
        <w:rPr>
          <w:rFonts w:hint="default" w:ascii="Times New Roman" w:hAnsi="Times New Roman" w:eastAsia="方正仿宋_GBK" w:cs="Times New Roman"/>
          <w:color w:val="000000"/>
          <w:sz w:val="32"/>
          <w:highlight w:val="none"/>
          <w:lang w:val="en-US" w:eastAsia="zh-CN"/>
        </w:rPr>
        <w:t>。</w:t>
      </w:r>
      <w:r>
        <w:rPr>
          <w:rStyle w:val="48"/>
          <w:rFonts w:hint="default" w:ascii="Times New Roman" w:hAnsi="Times New Roman" w:eastAsia="楷体_GB2312" w:cs="Times New Roman"/>
          <w:b/>
          <w:color w:val="000000"/>
          <w:lang w:val="en-US" w:eastAsia="zh-CN"/>
        </w:rPr>
        <w:t>三是</w:t>
      </w:r>
      <w:r>
        <w:rPr>
          <w:rStyle w:val="48"/>
          <w:rFonts w:hint="eastAsia" w:ascii="Times New Roman" w:hAnsi="Times New Roman" w:eastAsia="楷体_GB2312" w:cs="Times New Roman"/>
          <w:b/>
          <w:color w:val="000000"/>
          <w:lang w:val="en-US" w:eastAsia="zh-CN"/>
        </w:rPr>
        <w:t>扎实推进平安建设。</w:t>
      </w:r>
      <w:r>
        <w:rPr>
          <w:rFonts w:hint="default" w:ascii="Times New Roman" w:hAnsi="Times New Roman" w:eastAsia="方正仿宋_GBK" w:cs="Times New Roman"/>
          <w:color w:val="000000"/>
          <w:sz w:val="32"/>
          <w:szCs w:val="32"/>
          <w:lang w:val="en-US" w:eastAsia="zh-CN"/>
        </w:rPr>
        <w:t>积极贯彻各级政法综治及平安建设会议精神，扎实推进“六无”平安村建设。重点围绕扫黑除恶斗争、扫黄禁毒、打击整治养老诈骗、电信诈</w:t>
      </w:r>
      <w:r>
        <w:rPr>
          <w:rFonts w:hint="default" w:ascii="Times New Roman" w:hAnsi="Times New Roman" w:eastAsia="方正仿宋_GBK" w:cs="Times New Roman"/>
          <w:color w:val="000000"/>
          <w:sz w:val="32"/>
          <w:szCs w:val="32"/>
        </w:rPr>
        <w:t>骗、维护公共安全等，</w:t>
      </w:r>
      <w:r>
        <w:rPr>
          <w:rFonts w:hint="default" w:ascii="Times New Roman" w:hAnsi="Times New Roman" w:eastAsia="方正仿宋_GBK" w:cs="Times New Roman"/>
          <w:color w:val="000000"/>
          <w:sz w:val="32"/>
          <w:szCs w:val="32"/>
          <w:lang w:val="en-US" w:eastAsia="zh-CN"/>
        </w:rPr>
        <w:t>结合</w:t>
      </w:r>
      <w:r>
        <w:rPr>
          <w:rFonts w:hint="default" w:ascii="Times New Roman" w:hAnsi="Times New Roman" w:eastAsia="方正仿宋_GBK" w:cs="Times New Roman"/>
          <w:color w:val="000000"/>
          <w:sz w:val="32"/>
          <w:szCs w:val="32"/>
        </w:rPr>
        <w:t>悬挂横幅</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张贴标语</w:t>
      </w:r>
      <w:r>
        <w:rPr>
          <w:rFonts w:hint="default" w:ascii="Times New Roman" w:hAnsi="Times New Roman" w:eastAsia="方正仿宋_GBK" w:cs="Times New Roman"/>
          <w:color w:val="000000"/>
          <w:sz w:val="32"/>
          <w:szCs w:val="32"/>
          <w:lang w:val="en-US" w:eastAsia="zh-CN"/>
        </w:rPr>
        <w:t>、</w:t>
      </w:r>
      <w:r>
        <w:rPr>
          <w:rFonts w:hint="default" w:ascii="Times New Roman" w:hAnsi="Times New Roman" w:eastAsia="方正仿宋_GBK" w:cs="Times New Roman"/>
          <w:color w:val="000000"/>
          <w:sz w:val="32"/>
          <w:szCs w:val="32"/>
        </w:rPr>
        <w:t>普法宣讲</w:t>
      </w:r>
      <w:r>
        <w:rPr>
          <w:rFonts w:hint="default" w:ascii="Times New Roman" w:hAnsi="Times New Roman" w:eastAsia="方正仿宋_GBK" w:cs="Times New Roman"/>
          <w:color w:val="000000"/>
          <w:sz w:val="32"/>
          <w:szCs w:val="32"/>
          <w:lang w:val="en-US" w:eastAsia="zh-CN"/>
        </w:rPr>
        <w:t>等方式</w:t>
      </w:r>
      <w:r>
        <w:rPr>
          <w:rFonts w:hint="default" w:ascii="Times New Roman" w:hAnsi="Times New Roman" w:eastAsia="方正仿宋_GBK" w:cs="Times New Roman"/>
          <w:color w:val="000000"/>
          <w:sz w:val="32"/>
          <w:szCs w:val="32"/>
        </w:rPr>
        <w:t>积极引导群众，</w:t>
      </w:r>
      <w:r>
        <w:rPr>
          <w:rFonts w:hint="eastAsia" w:ascii="Times New Roman" w:hAnsi="Times New Roman" w:eastAsia="方正仿宋_GBK" w:cs="Times New Roman"/>
          <w:color w:val="000000"/>
          <w:sz w:val="32"/>
          <w:szCs w:val="32"/>
          <w:lang w:val="en-US" w:eastAsia="zh-CN"/>
        </w:rPr>
        <w:t>覆盖群众500余户，发放资料1100余份，</w:t>
      </w:r>
      <w:r>
        <w:rPr>
          <w:rFonts w:hint="default" w:ascii="Times New Roman" w:hAnsi="Times New Roman" w:eastAsia="方正仿宋_GBK" w:cs="Times New Roman"/>
          <w:color w:val="000000"/>
          <w:sz w:val="32"/>
          <w:szCs w:val="32"/>
        </w:rPr>
        <w:t>促进社会和谐稳定</w:t>
      </w:r>
      <w:r>
        <w:rPr>
          <w:rFonts w:hint="eastAsia" w:ascii="Times New Roman" w:hAnsi="Times New Roman" w:eastAsia="方正仿宋_GBK" w:cs="Times New Roman"/>
          <w:color w:val="000000"/>
          <w:sz w:val="32"/>
          <w:szCs w:val="32"/>
          <w:lang w:eastAsia="zh-CN"/>
        </w:rPr>
        <w:t>。</w:t>
      </w:r>
    </w:p>
    <w:p w14:paraId="15815C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Times New Roman" w:hAnsi="Times New Roman" w:eastAsia="楷体_GB2312" w:cs="Times New Roman"/>
          <w:b/>
          <w:bCs/>
          <w:color w:val="000000"/>
          <w:kern w:val="2"/>
          <w:sz w:val="32"/>
          <w:szCs w:val="32"/>
          <w:lang w:val="en-US" w:eastAsia="zh-CN" w:bidi="ar-SA"/>
        </w:rPr>
        <w:t>6.</w:t>
      </w:r>
      <w:r>
        <w:rPr>
          <w:rFonts w:hint="default" w:ascii="Times New Roman" w:hAnsi="Times New Roman" w:eastAsia="楷体_GB2312" w:cs="Times New Roman"/>
          <w:b/>
          <w:bCs/>
          <w:color w:val="000000"/>
          <w:kern w:val="2"/>
          <w:sz w:val="32"/>
          <w:szCs w:val="32"/>
          <w:lang w:val="en-US" w:eastAsia="zh-CN" w:bidi="ar-SA"/>
        </w:rPr>
        <w:t>聚焦项目建设，经济发展稳中有进。</w:t>
      </w:r>
      <w:r>
        <w:rPr>
          <w:rFonts w:hint="eastAsia" w:ascii="仿宋_GB2312" w:hAnsi="仿宋_GB2312" w:eastAsia="仿宋_GB2312" w:cs="仿宋_GB2312"/>
          <w:color w:val="auto"/>
          <w:sz w:val="32"/>
          <w:szCs w:val="32"/>
        </w:rPr>
        <w:t>制定《麦洼乡“三家园”抓点示范工程建设实施方案》，建立“三家园”工程建设工作专班，</w:t>
      </w:r>
      <w:r>
        <w:rPr>
          <w:rFonts w:hint="default" w:ascii="仿宋_GB2312" w:hAnsi="仿宋_GB2312" w:eastAsia="仿宋_GB2312" w:cs="仿宋_GB2312"/>
          <w:color w:val="auto"/>
          <w:sz w:val="32"/>
          <w:szCs w:val="32"/>
        </w:rPr>
        <w:t>形成上下联动、齐抓共管、各负其责的组织体系</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val="en-US" w:eastAsia="zh-CN"/>
        </w:rPr>
        <w:t>按照“生态优先、夯实基础、种源保护、转型发展、教育实践”的发展思路，实施产业发展、人居环境改善、基础设施提升、生态环保等4大类项</w:t>
      </w:r>
      <w:r>
        <w:rPr>
          <w:rFonts w:hint="eastAsia" w:ascii="仿宋_GB2312" w:hAnsi="仿宋_GB2312" w:eastAsia="仿宋_GB2312" w:cs="仿宋_GB2312"/>
          <w:color w:val="auto"/>
          <w:sz w:val="32"/>
          <w:szCs w:val="32"/>
          <w:lang w:val="en-US" w:eastAsia="zh-CN"/>
        </w:rPr>
        <w:t>目</w:t>
      </w:r>
      <w:r>
        <w:rPr>
          <w:rFonts w:hint="eastAsia" w:ascii="仿宋_GB2312" w:hAnsi="仿宋_GB2312" w:eastAsia="仿宋_GB2312" w:cs="仿宋_GB2312"/>
          <w:color w:val="auto"/>
          <w:sz w:val="32"/>
          <w:szCs w:val="32"/>
        </w:rPr>
        <w:t>共1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个项目，着力打造“麦洼牦牛”种源保护核心带、国家公园生态教育基地、畜牧业转型升级示范区。</w:t>
      </w:r>
      <w:r>
        <w:rPr>
          <w:rFonts w:hint="default" w:ascii="仿宋_GB2312" w:hAnsi="仿宋_GB2312" w:eastAsia="仿宋_GB2312" w:cs="仿宋_GB2312"/>
          <w:color w:val="auto"/>
          <w:sz w:val="32"/>
          <w:szCs w:val="32"/>
          <w:lang w:val="en-US" w:eastAsia="zh-CN"/>
        </w:rPr>
        <w:t>扎实推进“三家园”建设，助推乡域经济高质量发展。实施人居环境提升整治项目，塑造美丽乡村新风貌，目前总工程量已完成96%，资金拨付率70%，预计11月底全面完工。实施庭院整治提升项目</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卫生户厕建设项</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村内入户路提升项</w:t>
      </w:r>
      <w:r>
        <w:rPr>
          <w:rFonts w:hint="eastAsia" w:ascii="仿宋_GB2312" w:hAnsi="仿宋_GB2312" w:eastAsia="仿宋_GB2312" w:cs="仿宋_GB2312"/>
          <w:color w:val="auto"/>
          <w:sz w:val="32"/>
          <w:szCs w:val="32"/>
          <w:lang w:val="en-US" w:eastAsia="zh-CN"/>
        </w:rPr>
        <w:t>目、</w:t>
      </w:r>
      <w:r>
        <w:rPr>
          <w:rFonts w:hint="default" w:ascii="仿宋_GB2312" w:hAnsi="仿宋_GB2312" w:eastAsia="仿宋_GB2312" w:cs="仿宋_GB2312"/>
          <w:color w:val="auto"/>
          <w:sz w:val="32"/>
          <w:szCs w:val="32"/>
          <w:lang w:val="en-US" w:eastAsia="zh-CN"/>
        </w:rPr>
        <w:t>安全饮水巩固提升项目，</w:t>
      </w:r>
      <w:r>
        <w:rPr>
          <w:rFonts w:hint="eastAsia" w:ascii="仿宋_GB2312" w:hAnsi="仿宋_GB2312" w:eastAsia="仿宋_GB2312" w:cs="仿宋_GB2312"/>
          <w:color w:val="auto"/>
          <w:sz w:val="32"/>
          <w:szCs w:val="32"/>
          <w:lang w:val="en-US" w:eastAsia="zh-CN"/>
        </w:rPr>
        <w:t>均已竣工，</w:t>
      </w:r>
      <w:r>
        <w:rPr>
          <w:rFonts w:hint="default" w:ascii="仿宋_GB2312" w:hAnsi="仿宋_GB2312" w:eastAsia="仿宋_GB2312" w:cs="仿宋_GB2312"/>
          <w:color w:val="auto"/>
          <w:sz w:val="32"/>
          <w:szCs w:val="32"/>
          <w:lang w:val="en-US" w:eastAsia="zh-CN"/>
        </w:rPr>
        <w:t>完善基础设施、提高</w:t>
      </w:r>
      <w:r>
        <w:rPr>
          <w:rFonts w:hint="eastAsia" w:ascii="仿宋_GB2312" w:hAnsi="仿宋_GB2312" w:eastAsia="仿宋_GB2312" w:cs="仿宋_GB2312"/>
          <w:color w:val="auto"/>
          <w:sz w:val="32"/>
          <w:szCs w:val="32"/>
          <w:lang w:val="en-US" w:eastAsia="zh-CN"/>
        </w:rPr>
        <w:t>群众生活保障、</w:t>
      </w:r>
      <w:r>
        <w:rPr>
          <w:rFonts w:hint="default" w:ascii="仿宋_GB2312" w:hAnsi="仿宋_GB2312" w:eastAsia="仿宋_GB2312" w:cs="仿宋_GB2312"/>
          <w:color w:val="auto"/>
          <w:sz w:val="32"/>
          <w:szCs w:val="32"/>
          <w:lang w:val="en-US" w:eastAsia="zh-CN"/>
        </w:rPr>
        <w:t>居住环境条件、提升群众幸福感。</w:t>
      </w:r>
    </w:p>
    <w:p w14:paraId="71618079">
      <w:pPr>
        <w:keepNext w:val="0"/>
        <w:keepLines w:val="0"/>
        <w:pageBreakBefore w:val="0"/>
        <w:kinsoku/>
        <w:wordWrap/>
        <w:overflowPunct/>
        <w:topLinePunct w:val="0"/>
        <w:autoSpaceDE/>
        <w:autoSpaceDN/>
        <w:bidi w:val="0"/>
        <w:adjustRightInd/>
        <w:snapToGrid/>
        <w:spacing w:line="576" w:lineRule="exact"/>
        <w:ind w:firstLine="643" w:firstLineChars="200"/>
        <w:rPr>
          <w:rFonts w:hint="eastAsia"/>
        </w:rPr>
      </w:pPr>
      <w:r>
        <w:rPr>
          <w:rFonts w:hint="eastAsia" w:ascii="Times New Roman" w:hAnsi="Times New Roman" w:eastAsia="方正楷体_GBK" w:cs="方正楷体_GBK"/>
          <w:b/>
          <w:bCs/>
          <w:sz w:val="32"/>
          <w:szCs w:val="32"/>
          <w:lang w:val="en-US" w:eastAsia="zh-CN"/>
        </w:rPr>
        <w:t>7.保障民生需求</w:t>
      </w:r>
      <w:r>
        <w:rPr>
          <w:rFonts w:hint="eastAsia" w:ascii="Times New Roman" w:hAnsi="Times New Roman" w:eastAsia="方正楷体_GBK" w:cs="方正楷体_GBK"/>
          <w:b/>
          <w:bCs/>
          <w:sz w:val="32"/>
          <w:szCs w:val="32"/>
          <w:lang w:eastAsia="zh-CN"/>
        </w:rPr>
        <w:t>，</w:t>
      </w:r>
      <w:r>
        <w:rPr>
          <w:rFonts w:hint="eastAsia" w:ascii="Times New Roman" w:hAnsi="Times New Roman" w:eastAsia="方正楷体_GBK" w:cs="方正楷体_GBK"/>
          <w:b/>
          <w:bCs/>
          <w:sz w:val="32"/>
          <w:szCs w:val="32"/>
          <w:lang w:val="en-US" w:eastAsia="zh-CN"/>
        </w:rPr>
        <w:t>提高群众幸福感。</w:t>
      </w:r>
      <w:r>
        <w:rPr>
          <w:rFonts w:hint="eastAsia" w:ascii="楷体_GB2312" w:hAnsi="楷体_GB2312" w:eastAsia="楷体_GB2312" w:cs="楷体_GB2312"/>
          <w:b/>
          <w:bCs/>
          <w:sz w:val="32"/>
          <w:szCs w:val="32"/>
          <w:lang w:val="en-US" w:eastAsia="zh-CN"/>
        </w:rPr>
        <w:t>一是</w:t>
      </w:r>
      <w:r>
        <w:rPr>
          <w:rFonts w:hint="eastAsia" w:ascii="楷体_GB2312" w:hAnsi="楷体_GB2312" w:eastAsia="楷体_GB2312" w:cs="楷体_GB2312"/>
          <w:b/>
          <w:bCs/>
          <w:sz w:val="32"/>
          <w:szCs w:val="32"/>
        </w:rPr>
        <w:t>基本民生得到有效保障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便民</w:t>
      </w:r>
      <w:r>
        <w:rPr>
          <w:rFonts w:hint="eastAsia" w:ascii="仿宋_GB2312" w:hAnsi="仿宋_GB2312" w:eastAsia="仿宋_GB2312" w:cs="仿宋_GB2312"/>
          <w:sz w:val="32"/>
          <w:szCs w:val="32"/>
        </w:rPr>
        <w:t>窗口服务内容涵盖社会救助、计划生育服务、就业援助、法律服务、定期补助金、养老保险、医疗保险、农业畜牧、综合及办不成事等。每日接待群众50余人次，</w:t>
      </w:r>
      <w:r>
        <w:rPr>
          <w:rFonts w:hint="eastAsia" w:ascii="仿宋_GB2312" w:hAnsi="仿宋_GB2312" w:eastAsia="仿宋_GB2312" w:cs="仿宋_GB2312"/>
          <w:sz w:val="32"/>
          <w:szCs w:val="32"/>
          <w:lang w:val="en-US" w:eastAsia="zh-CN"/>
        </w:rPr>
        <w:t>每月</w:t>
      </w:r>
      <w:r>
        <w:rPr>
          <w:rFonts w:hint="eastAsia" w:ascii="仿宋_GB2312" w:hAnsi="仿宋_GB2312" w:eastAsia="仿宋_GB2312" w:cs="仿宋_GB2312"/>
          <w:sz w:val="32"/>
          <w:szCs w:val="32"/>
        </w:rPr>
        <w:t>办理</w:t>
      </w:r>
      <w:r>
        <w:rPr>
          <w:rFonts w:hint="eastAsia" w:ascii="仿宋_GB2312" w:hAnsi="仿宋_GB2312" w:eastAsia="仿宋_GB2312" w:cs="仿宋_GB2312"/>
          <w:sz w:val="32"/>
          <w:szCs w:val="32"/>
          <w:lang w:val="en-US" w:eastAsia="zh-CN"/>
        </w:rPr>
        <w:t>各类业务300余人次</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接待群众窗口咨询54</w:t>
      </w:r>
      <w:r>
        <w:rPr>
          <w:rFonts w:hint="eastAsia" w:ascii="仿宋_GB2312" w:hAnsi="仿宋_GB2312" w:eastAsia="仿宋_GB2312" w:cs="仿宋_GB2312"/>
          <w:sz w:val="32"/>
          <w:szCs w:val="32"/>
          <w:lang w:val="en-US" w:eastAsia="zh-CN"/>
        </w:rPr>
        <w:t>00余</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b/>
          <w:bCs/>
          <w:sz w:val="32"/>
          <w:szCs w:val="32"/>
          <w:lang w:val="en-US" w:eastAsia="zh-CN"/>
        </w:rPr>
        <w:t>二是</w:t>
      </w:r>
      <w:r>
        <w:rPr>
          <w:rFonts w:hint="eastAsia" w:ascii="楷体_GB2312" w:hAnsi="楷体_GB2312" w:eastAsia="楷体_GB2312" w:cs="楷体_GB2312"/>
          <w:b/>
          <w:bCs/>
          <w:sz w:val="32"/>
          <w:szCs w:val="32"/>
        </w:rPr>
        <w:t>便民服务更加高效。</w:t>
      </w:r>
      <w:r>
        <w:rPr>
          <w:rFonts w:hint="eastAsia" w:ascii="仿宋_GB2312" w:hAnsi="仿宋_GB2312" w:eastAsia="仿宋_GB2312" w:cs="仿宋_GB2312"/>
          <w:sz w:val="32"/>
          <w:szCs w:val="32"/>
        </w:rPr>
        <w:t>提升便民服务品质，完善便民服务功能，打造一支“诺尔央”流动便民服务队，从“坐等群众上门”变为“上门服务群众”，将“便民服务大厅”变为“移动大厅”深入远牧点、各联户组，畅通联系群众。</w:t>
      </w:r>
      <w:r>
        <w:rPr>
          <w:rFonts w:hint="eastAsia" w:ascii="楷体_GB2312" w:hAnsi="楷体_GB2312" w:eastAsia="楷体_GB2312" w:cs="楷体_GB2312"/>
          <w:b/>
          <w:bCs/>
          <w:sz w:val="32"/>
          <w:szCs w:val="32"/>
          <w:lang w:val="en-US" w:eastAsia="zh-CN"/>
        </w:rPr>
        <w:t>三是</w:t>
      </w:r>
      <w:r>
        <w:rPr>
          <w:rFonts w:hint="eastAsia" w:ascii="楷体_GB2312" w:hAnsi="楷体_GB2312" w:eastAsia="楷体_GB2312" w:cs="楷体_GB2312"/>
          <w:b/>
          <w:bCs/>
          <w:sz w:val="32"/>
          <w:szCs w:val="32"/>
        </w:rPr>
        <w:t>医保服务水平不断提升。</w:t>
      </w:r>
      <w:r>
        <w:rPr>
          <w:rFonts w:hint="eastAsia" w:ascii="仿宋_GB2312" w:hAnsi="仿宋_GB2312" w:eastAsia="仿宋_GB2312" w:cs="仿宋_GB2312"/>
          <w:sz w:val="32"/>
          <w:szCs w:val="32"/>
        </w:rPr>
        <w:t>扎实推进医保电子凭证的推广和应用，通过集中办理、上门服务、包户联系进村入户动员、指导牧民群众激活、申领电子医保，覆盖3000余人，截止日前激活率达到61.98%。</w:t>
      </w:r>
    </w:p>
    <w:p w14:paraId="1688089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shd w:val="clear" w:fill="FFFFFF"/>
          <w:lang w:val="en-US" w:eastAsia="zh-CN"/>
        </w:rPr>
      </w:pPr>
      <w:r>
        <w:rPr>
          <w:rFonts w:hint="default" w:ascii="Times New Roman" w:hAnsi="Times New Roman" w:eastAsia="黑体" w:cs="Times New Roman"/>
          <w:b w:val="0"/>
          <w:bCs w:val="0"/>
          <w:kern w:val="0"/>
          <w:sz w:val="32"/>
          <w:szCs w:val="32"/>
          <w:shd w:val="clear" w:fill="FFFFFF"/>
          <w:lang w:val="en-US" w:eastAsia="zh-CN"/>
        </w:rPr>
        <w:t>二、机构设置</w:t>
      </w:r>
      <w:r>
        <w:rPr>
          <w:rFonts w:hint="eastAsia" w:ascii="Times New Roman" w:hAnsi="Times New Roman" w:eastAsia="黑体" w:cs="Times New Roman"/>
          <w:b w:val="0"/>
          <w:bCs w:val="0"/>
          <w:kern w:val="0"/>
          <w:sz w:val="32"/>
          <w:szCs w:val="32"/>
          <w:shd w:val="clear" w:fill="FFFFFF"/>
          <w:lang w:val="en-US" w:eastAsia="zh-CN"/>
        </w:rPr>
        <w:t>及人员情况</w:t>
      </w:r>
      <w:r>
        <w:rPr>
          <w:rFonts w:hint="default" w:ascii="Times New Roman" w:hAnsi="Times New Roman" w:eastAsia="黑体" w:cs="Times New Roman"/>
          <w:b w:val="0"/>
          <w:bCs w:val="0"/>
          <w:kern w:val="0"/>
          <w:sz w:val="32"/>
          <w:szCs w:val="32"/>
          <w:shd w:val="clear" w:fill="FFFFFF"/>
          <w:lang w:val="en-US" w:eastAsia="zh-CN"/>
        </w:rPr>
        <w:t>。</w:t>
      </w:r>
    </w:p>
    <w:p w14:paraId="7A7D99AF">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bookmarkStart w:id="19" w:name="_Toc15396602"/>
      <w:bookmarkStart w:id="20" w:name="_Toc15377204"/>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一</w:t>
      </w: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机构设置。</w:t>
      </w:r>
    </w:p>
    <w:p w14:paraId="089116DA">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eastAsia="仿宋_GB2312" w:cs="仿宋_GB2312"/>
          <w:kern w:val="2"/>
          <w:sz w:val="32"/>
          <w:szCs w:val="32"/>
          <w:shd w:val="clear" w:color="auto" w:fill="auto"/>
          <w:lang w:val="en-US" w:eastAsia="zh-CN"/>
        </w:rPr>
      </w:pPr>
      <w:r>
        <w:rPr>
          <w:rFonts w:hint="eastAsia" w:ascii="仿宋_GB2312" w:eastAsia="仿宋_GB2312" w:cs="仿宋_GB2312"/>
          <w:kern w:val="2"/>
          <w:sz w:val="32"/>
          <w:szCs w:val="32"/>
          <w:shd w:val="clear" w:color="auto" w:fill="auto"/>
          <w:lang w:val="en-US" w:eastAsia="zh-CN"/>
        </w:rPr>
        <w:t>本单位</w:t>
      </w:r>
      <w:r>
        <w:rPr>
          <w:rFonts w:hint="eastAsia" w:ascii="仿宋_GB2312" w:eastAsia="仿宋_GB2312" w:cs="仿宋_GB2312"/>
          <w:b w:val="0"/>
          <w:bCs w:val="0"/>
          <w:i w:val="0"/>
          <w:iCs w:val="0"/>
          <w:sz w:val="32"/>
          <w:szCs w:val="32"/>
          <w:shd w:val="clear" w:fill="FFFFFF"/>
        </w:rPr>
        <w:t>本年度纳入本套决算编制范围的独立编制机构数共2个，比上年增加0个；独立核算机构数共2个，比上年增加0个</w:t>
      </w:r>
      <w:r>
        <w:rPr>
          <w:rFonts w:hint="eastAsia" w:ascii="仿宋_GB2312" w:eastAsia="仿宋_GB2312" w:cs="仿宋_GB2312"/>
          <w:b w:val="0"/>
          <w:bCs w:val="0"/>
          <w:i w:val="0"/>
          <w:iCs w:val="0"/>
          <w:sz w:val="32"/>
          <w:szCs w:val="32"/>
          <w:shd w:val="clear" w:fill="FFFFFF"/>
          <w:lang w:eastAsia="zh-CN"/>
        </w:rPr>
        <w:t>。</w:t>
      </w:r>
      <w:r>
        <w:rPr>
          <w:rFonts w:hint="eastAsia" w:ascii="仿宋_GB2312" w:eastAsia="仿宋_GB2312" w:cs="仿宋_GB2312"/>
          <w:kern w:val="2"/>
          <w:sz w:val="32"/>
          <w:szCs w:val="32"/>
          <w:shd w:val="clear" w:color="auto" w:fill="auto"/>
          <w:lang w:val="en-US" w:eastAsia="zh-CN"/>
        </w:rPr>
        <w:t>根据职能职责本单位</w:t>
      </w:r>
      <w:r>
        <w:rPr>
          <w:rFonts w:hint="eastAsia" w:ascii="仿宋_GB2312" w:eastAsia="仿宋_GB2312" w:cs="仿宋_GB2312"/>
          <w:kern w:val="2"/>
          <w:sz w:val="32"/>
          <w:szCs w:val="32"/>
          <w:shd w:val="clear" w:color="auto" w:fill="auto"/>
        </w:rPr>
        <w:t>设</w:t>
      </w:r>
      <w:r>
        <w:rPr>
          <w:rFonts w:hint="eastAsia" w:ascii="仿宋_GB2312" w:eastAsia="仿宋_GB2312" w:cs="仿宋_GB2312"/>
          <w:kern w:val="2"/>
          <w:sz w:val="32"/>
          <w:szCs w:val="32"/>
          <w:shd w:val="clear" w:color="auto" w:fill="auto"/>
          <w:lang w:val="en-US" w:eastAsia="zh-CN"/>
        </w:rPr>
        <w:t>6</w:t>
      </w:r>
      <w:r>
        <w:rPr>
          <w:rFonts w:hint="eastAsia" w:ascii="仿宋_GB2312" w:eastAsia="仿宋_GB2312" w:cs="仿宋_GB2312"/>
          <w:kern w:val="2"/>
          <w:sz w:val="32"/>
          <w:szCs w:val="32"/>
          <w:shd w:val="clear" w:color="auto" w:fill="auto"/>
        </w:rPr>
        <w:t>个</w:t>
      </w:r>
      <w:r>
        <w:rPr>
          <w:rFonts w:hint="eastAsia" w:ascii="仿宋_GB2312" w:eastAsia="仿宋_GB2312" w:cs="仿宋_GB2312"/>
          <w:kern w:val="2"/>
          <w:sz w:val="32"/>
          <w:szCs w:val="32"/>
          <w:shd w:val="clear" w:color="auto" w:fill="auto"/>
          <w:lang w:val="en-US" w:eastAsia="zh-CN"/>
        </w:rPr>
        <w:t>内设机构</w:t>
      </w:r>
      <w:r>
        <w:rPr>
          <w:rFonts w:hint="eastAsia" w:ascii="仿宋_GB2312" w:eastAsia="仿宋_GB2312" w:cs="仿宋_GB2312"/>
          <w:kern w:val="2"/>
          <w:sz w:val="32"/>
          <w:szCs w:val="32"/>
          <w:shd w:val="clear" w:color="auto" w:fill="auto"/>
        </w:rPr>
        <w:t>，</w:t>
      </w:r>
      <w:r>
        <w:rPr>
          <w:rFonts w:hint="eastAsia" w:ascii="仿宋_GB2312" w:eastAsia="仿宋_GB2312" w:cs="仿宋_GB2312"/>
          <w:kern w:val="2"/>
          <w:sz w:val="32"/>
          <w:szCs w:val="32"/>
          <w:shd w:val="clear" w:color="auto" w:fill="auto"/>
          <w:lang w:val="en-US" w:eastAsia="zh-CN"/>
        </w:rPr>
        <w:t>4个直属事业机构。</w:t>
      </w:r>
    </w:p>
    <w:p w14:paraId="62EB8749">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rPr>
          <w:rFonts w:hint="default" w:ascii="Times New Roman" w:hAnsi="Times New Roman" w:eastAsia="方正小标宋_GBK" w:cs="Times New Roman"/>
          <w:kern w:val="0"/>
          <w:sz w:val="44"/>
          <w:szCs w:val="44"/>
          <w:shd w:val="clear" w:color="040000" w:fill="FFFFFF"/>
          <w:lang w:val="en-US" w:eastAsia="zh-CN"/>
        </w:rPr>
      </w:pP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二</w:t>
      </w:r>
      <w:r>
        <w:rPr>
          <w:rStyle w:val="36"/>
          <w:rFonts w:hint="eastAsia" w:ascii="Times New Roman" w:hAnsi="Times New Roman" w:eastAsia="方正楷体_GBK" w:cs="Times New Roman"/>
          <w:b/>
          <w:bCs/>
          <w:sz w:val="32"/>
          <w:szCs w:val="32"/>
          <w:shd w:val="clear" w:fill="FFFFFF"/>
          <w:lang w:eastAsia="zh-CN"/>
        </w:rPr>
        <w:t>）</w:t>
      </w:r>
      <w:r>
        <w:rPr>
          <w:rStyle w:val="36"/>
          <w:rFonts w:hint="eastAsia" w:ascii="Times New Roman" w:hAnsi="Times New Roman" w:eastAsia="方正楷体_GBK" w:cs="Times New Roman"/>
          <w:b/>
          <w:bCs/>
          <w:sz w:val="32"/>
          <w:szCs w:val="32"/>
          <w:shd w:val="clear" w:fill="FFFFFF"/>
          <w:lang w:val="en-US" w:eastAsia="zh-CN"/>
        </w:rPr>
        <w:t>人员情况。</w:t>
      </w:r>
      <w:r>
        <w:rPr>
          <w:rFonts w:hint="default" w:ascii="Times New Roman" w:hAnsi="Times New Roman" w:eastAsia="仿宋_GB2312" w:cs="Times New Roman"/>
          <w:color w:val="auto"/>
          <w:sz w:val="32"/>
          <w:szCs w:val="32"/>
        </w:rPr>
        <w:t>截止</w:t>
      </w: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我单位共有编制</w:t>
      </w: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个，其中公务员编制</w:t>
      </w:r>
      <w:r>
        <w:rPr>
          <w:rFonts w:hint="eastAsia"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个，其中行政工勤编制</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仿宋_GB2312" w:cs="Times New Roman"/>
          <w:color w:val="auto"/>
          <w:sz w:val="32"/>
          <w:szCs w:val="32"/>
        </w:rPr>
        <w:t>个，事业编制</w:t>
      </w: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个</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实际</w:t>
      </w:r>
      <w:r>
        <w:rPr>
          <w:rFonts w:hint="default" w:ascii="Times New Roman" w:hAnsi="Times New Roman" w:eastAsia="仿宋_GB2312" w:cs="Times New Roman"/>
          <w:color w:val="auto"/>
          <w:sz w:val="32"/>
          <w:szCs w:val="32"/>
        </w:rPr>
        <w:t>在职</w:t>
      </w:r>
      <w:r>
        <w:rPr>
          <w:rFonts w:hint="default" w:ascii="Times New Roman" w:hAnsi="Times New Roman" w:eastAsia="方正仿宋_GBK" w:cs="Times New Roman"/>
          <w:color w:val="auto"/>
          <w:sz w:val="32"/>
          <w:szCs w:val="32"/>
          <w:lang w:val="en-US" w:eastAsia="zh-CN"/>
        </w:rPr>
        <w:t>34</w:t>
      </w:r>
      <w:r>
        <w:rPr>
          <w:rFonts w:hint="default"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增加1人，其中：新录入事业编制1人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年减少</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人。</w:t>
      </w:r>
      <w:bookmarkEnd w:id="19"/>
      <w:bookmarkEnd w:id="20"/>
    </w:p>
    <w:p w14:paraId="22C8838B">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leftChars="0" w:firstLine="0" w:firstLineChars="0"/>
        <w:jc w:val="center"/>
        <w:textAlignment w:val="auto"/>
        <w:outlineLvl w:val="0"/>
        <w:rPr>
          <w:rFonts w:hint="default" w:ascii="Times New Roman" w:hAnsi="Times New Roman" w:eastAsia="方正小标宋_GBK" w:cs="Times New Roman"/>
          <w:kern w:val="0"/>
          <w:sz w:val="44"/>
          <w:szCs w:val="44"/>
          <w:shd w:val="clear" w:color="040000" w:fill="FFFFFF"/>
          <w:lang w:val="en-US" w:eastAsia="zh-CN"/>
        </w:rPr>
      </w:pPr>
      <w:r>
        <w:rPr>
          <w:rFonts w:hint="default" w:ascii="Times New Roman" w:hAnsi="Times New Roman" w:eastAsia="方正小标宋_GBK" w:cs="Times New Roman"/>
          <w:kern w:val="0"/>
          <w:sz w:val="44"/>
          <w:szCs w:val="44"/>
          <w:shd w:val="clear" w:color="040000" w:fill="FFFFFF"/>
          <w:lang w:val="en-US" w:eastAsia="zh-CN"/>
        </w:rPr>
        <w:t>第二部分 202</w:t>
      </w:r>
      <w:r>
        <w:rPr>
          <w:rFonts w:hint="eastAsia" w:ascii="Times New Roman" w:hAnsi="Times New Roman" w:eastAsia="方正小标宋_GBK" w:cs="Times New Roman"/>
          <w:kern w:val="0"/>
          <w:sz w:val="44"/>
          <w:szCs w:val="44"/>
          <w:shd w:val="clear" w:color="040000" w:fill="FFFFFF"/>
          <w:lang w:val="en-US" w:eastAsia="zh-CN"/>
        </w:rPr>
        <w:t>3</w:t>
      </w:r>
      <w:r>
        <w:rPr>
          <w:rFonts w:hint="default" w:ascii="Times New Roman" w:hAnsi="Times New Roman" w:eastAsia="方正小标宋_GBK" w:cs="Times New Roman"/>
          <w:kern w:val="0"/>
          <w:sz w:val="44"/>
          <w:szCs w:val="44"/>
          <w:shd w:val="clear" w:color="040000" w:fill="FFFFFF"/>
          <w:lang w:val="en-US" w:eastAsia="zh-CN"/>
        </w:rPr>
        <w:t>年度部门决算情况说明</w:t>
      </w:r>
    </w:p>
    <w:p w14:paraId="5CBB1D8E">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default" w:ascii="Times New Roman" w:hAnsi="Times New Roman" w:eastAsia="黑体" w:cs="Times New Roman"/>
          <w:b w:val="0"/>
          <w:bCs w:val="0"/>
          <w:kern w:val="0"/>
          <w:sz w:val="32"/>
          <w:szCs w:val="32"/>
          <w:shd w:val="clear" w:fill="FFFFFF"/>
        </w:rPr>
      </w:pPr>
      <w:r>
        <w:rPr>
          <w:rFonts w:hint="default" w:ascii="Times New Roman" w:hAnsi="Times New Roman" w:eastAsia="黑体" w:cs="Times New Roman"/>
          <w:b w:val="0"/>
          <w:bCs w:val="0"/>
          <w:kern w:val="0"/>
          <w:sz w:val="32"/>
          <w:szCs w:val="32"/>
          <w:shd w:val="clear" w:fill="FFFFFF"/>
          <w:lang w:val="en-US" w:eastAsia="zh-CN"/>
        </w:rPr>
        <w:t>一、</w:t>
      </w:r>
      <w:r>
        <w:rPr>
          <w:rFonts w:hint="default" w:ascii="Times New Roman" w:hAnsi="Times New Roman" w:eastAsia="黑体" w:cs="Times New Roman"/>
          <w:b w:val="0"/>
          <w:bCs w:val="0"/>
          <w:kern w:val="0"/>
          <w:sz w:val="32"/>
          <w:szCs w:val="32"/>
          <w:shd w:val="clear" w:fill="FFFFFF"/>
        </w:rPr>
        <w:t>收入支出</w:t>
      </w:r>
      <w:r>
        <w:rPr>
          <w:rFonts w:hint="default" w:ascii="Times New Roman" w:hAnsi="Times New Roman" w:eastAsia="黑体" w:cs="Times New Roman"/>
          <w:b w:val="0"/>
          <w:bCs w:val="0"/>
          <w:kern w:val="0"/>
          <w:sz w:val="32"/>
          <w:szCs w:val="32"/>
          <w:shd w:val="clear" w:fill="FFFFFF"/>
          <w:lang w:val="en-US" w:eastAsia="zh-CN"/>
        </w:rPr>
        <w:t>决算总体情况说明</w:t>
      </w:r>
    </w:p>
    <w:p w14:paraId="5A1BA9A5">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Style w:val="33"/>
          <w:rFonts w:hint="eastAsia" w:ascii="宋体" w:hAnsi="宋体" w:eastAsia="宋体" w:cs="宋体"/>
          <w:b w:val="0"/>
          <w:bCs w:val="0"/>
          <w:color w:val="auto"/>
          <w:sz w:val="32"/>
          <w:szCs w:val="32"/>
          <w:u w:val="none"/>
          <w:shd w:val="clear" w:fill="FFFFFF"/>
        </w:rPr>
      </w:pPr>
      <w:r>
        <w:rPr>
          <w:rFonts w:hint="eastAsia" w:ascii="仿宋_GB2312" w:eastAsia="仿宋_GB2312" w:cs="仿宋_GB2312"/>
          <w:b w:val="0"/>
          <w:bCs w:val="0"/>
          <w:i w:val="0"/>
          <w:iCs w:val="0"/>
          <w:sz w:val="32"/>
          <w:szCs w:val="32"/>
          <w:shd w:val="clear" w:fill="FFFFFF"/>
        </w:rPr>
        <w:t>本单位本年度收入的为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i w:val="0"/>
          <w:iCs w:val="0"/>
          <w:sz w:val="32"/>
          <w:szCs w:val="32"/>
          <w:shd w:val="clear" w:fill="FFFFFF"/>
        </w:rPr>
        <w:t>万元，上年度收入为</w:t>
      </w:r>
      <w:r>
        <w:rPr>
          <w:rFonts w:hint="eastAsia" w:ascii="仿宋_GB2312" w:eastAsia="仿宋_GB2312" w:cs="仿宋_GB2312"/>
          <w:b w:val="0"/>
          <w:bCs w:val="0"/>
          <w:i w:val="0"/>
          <w:iCs w:val="0"/>
          <w:sz w:val="32"/>
          <w:szCs w:val="32"/>
          <w:shd w:val="clear" w:fill="FFFFFF"/>
          <w:lang w:val="en-US" w:eastAsia="zh-CN"/>
        </w:rPr>
        <w:t>1258.71</w:t>
      </w:r>
      <w:r>
        <w:rPr>
          <w:rFonts w:hint="eastAsia" w:ascii="仿宋_GB2312" w:eastAsia="仿宋_GB2312" w:cs="仿宋_GB2312"/>
          <w:b w:val="0"/>
          <w:bCs w:val="0"/>
          <w:i w:val="0"/>
          <w:iCs w:val="0"/>
          <w:sz w:val="32"/>
          <w:szCs w:val="32"/>
          <w:shd w:val="clear" w:fill="FFFFFF"/>
        </w:rPr>
        <w:t>万元。差异为</w:t>
      </w:r>
      <w:r>
        <w:rPr>
          <w:rFonts w:hint="eastAsia" w:cs="宋体"/>
          <w:b w:val="0"/>
          <w:bCs w:val="0"/>
          <w:i w:val="0"/>
          <w:iCs w:val="0"/>
          <w:sz w:val="32"/>
          <w:szCs w:val="32"/>
          <w:shd w:val="clear" w:fill="FFFFFF"/>
          <w:lang w:val="en-US" w:eastAsia="zh-CN"/>
        </w:rPr>
        <w:t>71.09</w:t>
      </w:r>
      <w:r>
        <w:rPr>
          <w:rFonts w:hint="eastAsia" w:ascii="仿宋_GB2312" w:eastAsia="仿宋_GB2312" w:cs="仿宋_GB2312"/>
          <w:b w:val="0"/>
          <w:bCs w:val="0"/>
          <w:i w:val="0"/>
          <w:iCs w:val="0"/>
          <w:sz w:val="32"/>
          <w:szCs w:val="32"/>
          <w:shd w:val="clear" w:fill="FFFFFF"/>
        </w:rPr>
        <w:t>万元；</w:t>
      </w:r>
      <w:r>
        <w:rPr>
          <w:rStyle w:val="33"/>
          <w:rFonts w:hint="eastAsia" w:ascii="仿宋_GB2312" w:eastAsia="仿宋_GB2312" w:cs="仿宋_GB2312"/>
          <w:b w:val="0"/>
          <w:bCs w:val="0"/>
          <w:color w:val="auto"/>
          <w:sz w:val="32"/>
          <w:szCs w:val="32"/>
          <w:u w:val="none"/>
          <w:shd w:val="clear" w:fill="FFFFFF"/>
        </w:rPr>
        <w:t>主要原因为：人员和车辆新增，相应的经费增多。</w:t>
      </w:r>
      <w:r>
        <w:rPr>
          <w:rFonts w:hint="eastAsia" w:ascii="仿宋_GB2312" w:eastAsia="仿宋_GB2312" w:cs="仿宋_GB2312"/>
          <w:b w:val="0"/>
          <w:bCs w:val="0"/>
          <w:i w:val="0"/>
          <w:iCs w:val="0"/>
          <w:color w:val="auto"/>
          <w:sz w:val="32"/>
          <w:szCs w:val="32"/>
          <w:u w:val="none"/>
          <w:shd w:val="clear" w:fill="FFFFFF"/>
        </w:rPr>
        <w:t>本年度支出为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i w:val="0"/>
          <w:iCs w:val="0"/>
          <w:color w:val="auto"/>
          <w:sz w:val="32"/>
          <w:szCs w:val="32"/>
          <w:u w:val="none"/>
          <w:shd w:val="clear" w:fill="FFFFFF"/>
        </w:rPr>
        <w:t>万元，上年度支</w:t>
      </w:r>
      <w:r>
        <w:drawing>
          <wp:anchor distT="0" distB="0" distL="114300" distR="114300" simplePos="0" relativeHeight="251660288" behindDoc="1" locked="0" layoutInCell="1" allowOverlap="1">
            <wp:simplePos x="0" y="0"/>
            <wp:positionH relativeFrom="column">
              <wp:posOffset>361315</wp:posOffset>
            </wp:positionH>
            <wp:positionV relativeFrom="paragraph">
              <wp:posOffset>1003935</wp:posOffset>
            </wp:positionV>
            <wp:extent cx="4826000" cy="2743200"/>
            <wp:effectExtent l="4445" t="4445" r="8255" b="14605"/>
            <wp:wrapTight wrapText="bothSides">
              <wp:wrapPolygon>
                <wp:start x="-20" y="-35"/>
                <wp:lineTo x="-20" y="21565"/>
                <wp:lineTo x="21552" y="21565"/>
                <wp:lineTo x="21552" y="-35"/>
                <wp:lineTo x="-20" y="-35"/>
              </wp:wrapPolygon>
            </wp:wrapTight>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eastAsia="仿宋_GB2312" w:cs="仿宋_GB2312"/>
          <w:b w:val="0"/>
          <w:bCs w:val="0"/>
          <w:i w:val="0"/>
          <w:iCs w:val="0"/>
          <w:color w:val="auto"/>
          <w:sz w:val="32"/>
          <w:szCs w:val="32"/>
          <w:u w:val="none"/>
          <w:shd w:val="clear" w:fill="FFFFFF"/>
        </w:rPr>
        <w:t>出为</w:t>
      </w:r>
      <w:r>
        <w:rPr>
          <w:rFonts w:hint="eastAsia" w:cs="宋体"/>
          <w:b w:val="0"/>
          <w:bCs w:val="0"/>
          <w:i w:val="0"/>
          <w:iCs w:val="0"/>
          <w:color w:val="auto"/>
          <w:sz w:val="32"/>
          <w:szCs w:val="32"/>
          <w:u w:val="none"/>
          <w:shd w:val="clear" w:fill="FFFFFF"/>
          <w:lang w:val="en-US" w:eastAsia="zh-CN"/>
        </w:rPr>
        <w:t>1258.71</w:t>
      </w:r>
      <w:r>
        <w:rPr>
          <w:rFonts w:hint="eastAsia" w:ascii="仿宋_GB2312" w:eastAsia="仿宋_GB2312" w:cs="仿宋_GB2312"/>
          <w:b w:val="0"/>
          <w:bCs w:val="0"/>
          <w:i w:val="0"/>
          <w:iCs w:val="0"/>
          <w:color w:val="auto"/>
          <w:sz w:val="32"/>
          <w:szCs w:val="32"/>
          <w:u w:val="none"/>
          <w:shd w:val="clear" w:fill="FFFFFF"/>
        </w:rPr>
        <w:t>万元，差异为</w:t>
      </w:r>
      <w:r>
        <w:rPr>
          <w:rFonts w:hint="eastAsia" w:cs="宋体"/>
          <w:b w:val="0"/>
          <w:bCs w:val="0"/>
          <w:i w:val="0"/>
          <w:iCs w:val="0"/>
          <w:sz w:val="32"/>
          <w:szCs w:val="32"/>
          <w:shd w:val="clear" w:fill="FFFFFF"/>
          <w:lang w:val="en-US" w:eastAsia="zh-CN"/>
        </w:rPr>
        <w:t>71.09</w:t>
      </w:r>
      <w:r>
        <w:rPr>
          <w:rFonts w:hint="eastAsia" w:ascii="仿宋_GB2312" w:eastAsia="仿宋_GB2312" w:cs="仿宋_GB2312"/>
          <w:b w:val="0"/>
          <w:bCs w:val="0"/>
          <w:i w:val="0"/>
          <w:iCs w:val="0"/>
          <w:color w:val="auto"/>
          <w:sz w:val="32"/>
          <w:szCs w:val="32"/>
          <w:u w:val="none"/>
          <w:shd w:val="clear" w:fill="FFFFFF"/>
        </w:rPr>
        <w:t>万元；</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人员新增，相应的经费增多。</w:t>
      </w:r>
      <w:r>
        <w:rPr>
          <w:rStyle w:val="33"/>
          <w:rFonts w:hint="eastAsia" w:ascii="宋体" w:hAnsi="宋体" w:eastAsia="宋体" w:cs="宋体"/>
          <w:b w:val="0"/>
          <w:bCs w:val="0"/>
          <w:color w:val="auto"/>
          <w:sz w:val="32"/>
          <w:szCs w:val="32"/>
          <w:u w:val="none"/>
          <w:shd w:val="clear" w:fill="FFFFFF"/>
        </w:rPr>
        <w:t>(</w:t>
      </w:r>
      <w:r>
        <w:rPr>
          <w:rStyle w:val="33"/>
          <w:rFonts w:hint="eastAsia" w:ascii="仿宋_GB2312" w:eastAsia="仿宋_GB2312" w:cs="仿宋_GB2312"/>
          <w:b w:val="0"/>
          <w:bCs w:val="0"/>
          <w:color w:val="auto"/>
          <w:sz w:val="32"/>
          <w:szCs w:val="32"/>
          <w:u w:val="none"/>
          <w:shd w:val="clear" w:fill="FFFFFF"/>
        </w:rPr>
        <w:t>可用柱形图或折线图</w:t>
      </w:r>
      <w:r>
        <w:rPr>
          <w:rStyle w:val="33"/>
          <w:rFonts w:hint="eastAsia" w:ascii="宋体" w:hAnsi="宋体" w:eastAsia="宋体" w:cs="宋体"/>
          <w:b w:val="0"/>
          <w:bCs w:val="0"/>
          <w:color w:val="auto"/>
          <w:sz w:val="32"/>
          <w:szCs w:val="32"/>
          <w:u w:val="none"/>
          <w:shd w:val="clear" w:fill="FFFFFF"/>
        </w:rPr>
        <w:t>)</w:t>
      </w:r>
    </w:p>
    <w:p w14:paraId="33C5BD3D">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7517DDC7">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图1：收入支出决算总计变动情况图(柱状图）</w:t>
      </w:r>
    </w:p>
    <w:p w14:paraId="10AF5772">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bookmarkStart w:id="21" w:name="_Toc26568"/>
      <w:bookmarkStart w:id="22" w:name="_Toc18032"/>
      <w:bookmarkStart w:id="23" w:name="_Toc15377206"/>
      <w:bookmarkStart w:id="24" w:name="_Toc19840"/>
      <w:bookmarkStart w:id="25" w:name="_Toc30303"/>
      <w:bookmarkStart w:id="26" w:name="_Toc15396604"/>
      <w:bookmarkStart w:id="27" w:name="_Toc21895"/>
      <w:bookmarkStart w:id="28" w:name="_Toc3599"/>
      <w:bookmarkStart w:id="29" w:name="_Toc32537"/>
      <w:r>
        <w:rPr>
          <w:rStyle w:val="36"/>
          <w:rFonts w:hint="eastAsia" w:ascii="Times New Roman" w:hAnsi="Times New Roman" w:eastAsia="方正楷体_GBK" w:cs="Times New Roman"/>
          <w:b/>
          <w:bCs/>
          <w:sz w:val="32"/>
          <w:szCs w:val="32"/>
          <w:shd w:val="clear" w:fill="FFFFFF"/>
          <w:lang w:val="en-US" w:eastAsia="zh-CN"/>
        </w:rPr>
        <w:t>（一）收入决算情况说明</w:t>
      </w:r>
      <w:bookmarkEnd w:id="21"/>
      <w:bookmarkEnd w:id="22"/>
      <w:bookmarkEnd w:id="23"/>
      <w:bookmarkEnd w:id="24"/>
      <w:bookmarkEnd w:id="25"/>
      <w:bookmarkEnd w:id="26"/>
      <w:bookmarkEnd w:id="27"/>
      <w:bookmarkEnd w:id="28"/>
      <w:bookmarkEnd w:id="29"/>
    </w:p>
    <w:p w14:paraId="15CF2250">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jc w:val="both"/>
        <w:textAlignment w:val="auto"/>
        <w:rPr>
          <w:rFonts w:hint="eastAsia" w:ascii="仿宋_GB2312" w:eastAsia="仿宋_GB2312" w:cs="仿宋_GB2312"/>
          <w:b w:val="0"/>
          <w:bCs w:val="0"/>
          <w:sz w:val="32"/>
          <w:szCs w:val="32"/>
          <w:shd w:val="clear" w:fill="FFFFFF"/>
        </w:rPr>
      </w:pPr>
      <w:r>
        <w:rPr>
          <w:rFonts w:hint="eastAsia" w:ascii="仿宋_GB2312" w:eastAsia="仿宋_GB2312" w:cs="仿宋_GB2312"/>
          <w:b w:val="0"/>
          <w:bCs w:val="0"/>
          <w:sz w:val="32"/>
          <w:szCs w:val="32"/>
          <w:shd w:val="clear" w:fill="FFFFFF"/>
        </w:rPr>
        <w:t>本单位本年度总收入为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sz w:val="32"/>
          <w:szCs w:val="32"/>
          <w:shd w:val="clear" w:fill="FFFFFF"/>
        </w:rPr>
        <w:t>万元。其中：一般公共预算财政拨款收入为</w:t>
      </w:r>
      <w:r>
        <w:rPr>
          <w:rFonts w:hint="eastAsia" w:cs="宋体"/>
          <w:b w:val="0"/>
          <w:bCs w:val="0"/>
          <w:i w:val="0"/>
          <w:iCs w:val="0"/>
          <w:sz w:val="32"/>
          <w:szCs w:val="32"/>
          <w:shd w:val="clear" w:fill="FFFFFF"/>
          <w:lang w:val="en-US" w:eastAsia="zh-CN"/>
        </w:rPr>
        <w:t>1310</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98.51%</w:t>
      </w:r>
      <w:r>
        <w:rPr>
          <w:rFonts w:hint="eastAsia" w:cs="宋体"/>
          <w:b w:val="0"/>
          <w:bCs w:val="0"/>
          <w:sz w:val="32"/>
          <w:szCs w:val="32"/>
          <w:shd w:val="clear" w:fill="FFFFFF"/>
          <w:lang w:eastAsia="zh-CN"/>
        </w:rPr>
        <w:t>，</w:t>
      </w:r>
      <w:r>
        <w:rPr>
          <w:rFonts w:hint="eastAsia" w:ascii="仿宋_GB2312" w:eastAsia="仿宋_GB2312" w:cs="仿宋_GB2312"/>
          <w:b w:val="0"/>
          <w:bCs w:val="0"/>
          <w:sz w:val="32"/>
          <w:szCs w:val="32"/>
          <w:shd w:val="clear" w:fill="FFFFFF"/>
          <w:lang w:val="en-US" w:eastAsia="zh-CN"/>
        </w:rPr>
        <w:t>其他收入为</w:t>
      </w:r>
      <w:r>
        <w:rPr>
          <w:rFonts w:hint="eastAsia" w:cs="宋体"/>
          <w:b w:val="0"/>
          <w:bCs w:val="0"/>
          <w:i w:val="0"/>
          <w:iCs w:val="0"/>
          <w:sz w:val="32"/>
          <w:szCs w:val="32"/>
          <w:shd w:val="clear" w:fill="FFFFFF"/>
          <w:lang w:val="en-US" w:eastAsia="zh-CN"/>
        </w:rPr>
        <w:t>19.8</w:t>
      </w:r>
      <w:r>
        <w:rPr>
          <w:rFonts w:hint="eastAsia" w:ascii="仿宋_GB2312" w:eastAsia="仿宋_GB2312" w:cs="仿宋_GB2312"/>
          <w:b w:val="0"/>
          <w:bCs w:val="0"/>
          <w:sz w:val="32"/>
          <w:szCs w:val="32"/>
          <w:shd w:val="clear" w:fill="FFFFFF"/>
          <w:lang w:val="en-US" w:eastAsia="zh-CN"/>
        </w:rPr>
        <w:t>万元，占比</w:t>
      </w:r>
      <w:r>
        <w:rPr>
          <w:rFonts w:hint="eastAsia" w:cs="宋体"/>
          <w:b w:val="0"/>
          <w:bCs w:val="0"/>
          <w:i w:val="0"/>
          <w:iCs w:val="0"/>
          <w:sz w:val="32"/>
          <w:szCs w:val="32"/>
          <w:shd w:val="clear" w:fill="FFFFFF"/>
          <w:lang w:val="en-US" w:eastAsia="zh-CN"/>
        </w:rPr>
        <w:t>1.49%</w:t>
      </w:r>
      <w:r>
        <w:rPr>
          <w:rFonts w:hint="eastAsia" w:ascii="仿宋_GB2312" w:eastAsia="仿宋_GB2312" w:cs="仿宋_GB2312"/>
          <w:b w:val="0"/>
          <w:bCs w:val="0"/>
          <w:sz w:val="32"/>
          <w:szCs w:val="32"/>
          <w:shd w:val="clear" w:fill="FFFFFF"/>
          <w:lang w:val="en-US" w:eastAsia="zh-CN"/>
        </w:rPr>
        <w:t>；</w:t>
      </w:r>
      <w:r>
        <w:rPr>
          <w:rFonts w:hint="eastAsia" w:ascii="仿宋_GB2312" w:eastAsia="仿宋_GB2312" w:cs="仿宋_GB2312"/>
          <w:b w:val="0"/>
          <w:bCs w:val="0"/>
          <w:sz w:val="32"/>
          <w:szCs w:val="32"/>
          <w:shd w:val="clear" w:fill="FFFFFF"/>
        </w:rPr>
        <w:t>政府性基金预算财政拨款收入为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；国有资本经营预算财政拨款收入为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；上级补助收入为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；事业收入为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；经营收入为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；附属单位上缴收入为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；其他收入为</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万元，占比</w:t>
      </w:r>
      <w:r>
        <w:rPr>
          <w:rFonts w:hint="eastAsia" w:ascii="宋体" w:hAnsi="宋体" w:eastAsia="宋体" w:cs="宋体"/>
          <w:b w:val="0"/>
          <w:bCs w:val="0"/>
          <w:sz w:val="32"/>
          <w:szCs w:val="32"/>
          <w:shd w:val="clear" w:fill="FFFFFF"/>
        </w:rPr>
        <w:t>0.00%</w:t>
      </w:r>
      <w:r>
        <w:rPr>
          <w:rFonts w:hint="eastAsia" w:ascii="仿宋_GB2312" w:eastAsia="仿宋_GB2312" w:cs="仿宋_GB2312"/>
          <w:b w:val="0"/>
          <w:bCs w:val="0"/>
          <w:sz w:val="32"/>
          <w:szCs w:val="32"/>
          <w:shd w:val="clear" w:fill="FFFFFF"/>
        </w:rPr>
        <w:t>。</w:t>
      </w:r>
    </w:p>
    <w:p w14:paraId="23CEC229">
      <w:pPr>
        <w:pStyle w:val="4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0" w:firstLineChars="0"/>
        <w:jc w:val="both"/>
        <w:textAlignment w:val="auto"/>
        <w:rPr>
          <w:rStyle w:val="33"/>
          <w:rFonts w:hint="default" w:ascii="Times New Roman" w:hAnsi="Times New Roman" w:eastAsia="仿宋_GB2312" w:cs="Times New Roman"/>
          <w:b w:val="0"/>
          <w:bCs w:val="0"/>
          <w:color w:val="auto"/>
          <w:sz w:val="32"/>
          <w:szCs w:val="32"/>
          <w:u w:val="none"/>
          <w:shd w:val="clear" w:fill="FFFFFF"/>
          <w:lang w:val="en-US" w:eastAsia="zh-CN"/>
        </w:rPr>
      </w:pPr>
      <w:r>
        <w:drawing>
          <wp:anchor distT="0" distB="0" distL="114300" distR="114300" simplePos="0" relativeHeight="251661312" behindDoc="1" locked="0" layoutInCell="1" allowOverlap="1">
            <wp:simplePos x="0" y="0"/>
            <wp:positionH relativeFrom="column">
              <wp:posOffset>318770</wp:posOffset>
            </wp:positionH>
            <wp:positionV relativeFrom="paragraph">
              <wp:posOffset>440690</wp:posOffset>
            </wp:positionV>
            <wp:extent cx="4791710" cy="2336800"/>
            <wp:effectExtent l="4445" t="4445" r="23495" b="20955"/>
            <wp:wrapTight wrapText="bothSides">
              <wp:wrapPolygon>
                <wp:start x="-20" y="-41"/>
                <wp:lineTo x="-20" y="21442"/>
                <wp:lineTo x="21534" y="21442"/>
                <wp:lineTo x="21534" y="-41"/>
                <wp:lineTo x="-20" y="-41"/>
              </wp:wrapPolygon>
            </wp:wrapTight>
            <wp:docPr id="27"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83A1FD0">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600" w:firstLineChars="500"/>
        <w:jc w:val="left"/>
        <w:rPr>
          <w:rStyle w:val="33"/>
          <w:rFonts w:hint="default" w:cs="宋体"/>
          <w:b w:val="0"/>
          <w:bCs w:val="0"/>
          <w:color w:val="auto"/>
          <w:sz w:val="32"/>
          <w:szCs w:val="32"/>
          <w:u w:val="none"/>
          <w:shd w:val="clear" w:fill="FFFFFF"/>
          <w:lang w:val="en-US"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2</w:t>
      </w:r>
      <w:r>
        <w:rPr>
          <w:rStyle w:val="33"/>
          <w:rFonts w:hint="default" w:ascii="Times New Roman" w:hAnsi="Times New Roman" w:eastAsia="仿宋_GB2312" w:cs="Times New Roman"/>
          <w:b w:val="0"/>
          <w:bCs w:val="0"/>
          <w:color w:val="auto"/>
          <w:sz w:val="32"/>
          <w:szCs w:val="32"/>
          <w:u w:val="none"/>
          <w:shd w:val="clear" w:fill="FFFFFF"/>
          <w:lang w:val="en-US" w:eastAsia="zh-CN"/>
        </w:rPr>
        <w:t>：收入决算</w:t>
      </w:r>
      <w:r>
        <w:rPr>
          <w:rStyle w:val="33"/>
          <w:rFonts w:hint="eastAsia" w:ascii="Times New Roman" w:hAnsi="Times New Roman" w:eastAsia="仿宋_GB2312" w:cs="Times New Roman"/>
          <w:b w:val="0"/>
          <w:bCs w:val="0"/>
          <w:color w:val="auto"/>
          <w:sz w:val="32"/>
          <w:szCs w:val="32"/>
          <w:u w:val="none"/>
          <w:shd w:val="clear" w:fill="FFFFFF"/>
          <w:lang w:val="en-US" w:eastAsia="zh-CN"/>
        </w:rPr>
        <w:t>结构</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7DDDCB33">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r>
        <w:rPr>
          <w:rStyle w:val="36"/>
          <w:rFonts w:hint="eastAsia" w:ascii="Times New Roman" w:hAnsi="Times New Roman" w:eastAsia="方正楷体_GBK" w:cs="Times New Roman"/>
          <w:b/>
          <w:bCs/>
          <w:sz w:val="32"/>
          <w:szCs w:val="32"/>
          <w:shd w:val="clear" w:fill="FFFFFF"/>
          <w:lang w:val="en-US" w:eastAsia="zh-CN"/>
        </w:rPr>
        <w:t>（二）支出决算情况说明</w:t>
      </w:r>
    </w:p>
    <w:p w14:paraId="484A6DD8">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color w:val="000000"/>
          <w:sz w:val="30"/>
          <w:szCs w:val="30"/>
        </w:rPr>
      </w:pPr>
      <w:r>
        <w:rPr>
          <w:rFonts w:hint="eastAsia" w:ascii="仿宋_GB2312" w:eastAsia="仿宋_GB2312" w:cs="仿宋_GB2312"/>
          <w:b w:val="0"/>
          <w:bCs w:val="0"/>
          <w:sz w:val="32"/>
          <w:szCs w:val="32"/>
          <w:shd w:val="clear" w:fill="FFFFFF"/>
        </w:rPr>
        <w:t>本年度总支出为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sz w:val="32"/>
          <w:szCs w:val="32"/>
          <w:shd w:val="clear" w:fill="FFFFFF"/>
        </w:rPr>
        <w:t>万元。其中：一般公共服务支出为</w:t>
      </w:r>
      <w:r>
        <w:rPr>
          <w:rFonts w:hint="eastAsia" w:cs="宋体"/>
          <w:b w:val="0"/>
          <w:bCs w:val="0"/>
          <w:i w:val="0"/>
          <w:iCs w:val="0"/>
          <w:sz w:val="32"/>
          <w:szCs w:val="32"/>
          <w:shd w:val="clear" w:fill="FFFFFF"/>
          <w:lang w:val="en-US" w:eastAsia="zh-CN"/>
        </w:rPr>
        <w:t>722.1</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54.30%</w:t>
      </w:r>
      <w:r>
        <w:rPr>
          <w:rFonts w:hint="eastAsia" w:ascii="仿宋_GB2312" w:eastAsia="仿宋_GB2312" w:cs="仿宋_GB2312"/>
          <w:b w:val="0"/>
          <w:bCs w:val="0"/>
          <w:sz w:val="32"/>
          <w:szCs w:val="32"/>
          <w:shd w:val="clear" w:fill="FFFFFF"/>
        </w:rPr>
        <w:t>；文化旅游体育与传媒支出为</w:t>
      </w:r>
      <w:r>
        <w:rPr>
          <w:rFonts w:hint="eastAsia" w:cs="宋体"/>
          <w:b w:val="0"/>
          <w:bCs w:val="0"/>
          <w:i w:val="0"/>
          <w:iCs w:val="0"/>
          <w:sz w:val="32"/>
          <w:szCs w:val="32"/>
          <w:shd w:val="clear" w:fill="FFFFFF"/>
          <w:lang w:val="en-US" w:eastAsia="zh-CN"/>
        </w:rPr>
        <w:t>4.56</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0.34%</w:t>
      </w:r>
      <w:r>
        <w:rPr>
          <w:rFonts w:hint="eastAsia" w:ascii="仿宋_GB2312" w:eastAsia="仿宋_GB2312" w:cs="仿宋_GB2312"/>
          <w:b w:val="0"/>
          <w:bCs w:val="0"/>
          <w:sz w:val="32"/>
          <w:szCs w:val="32"/>
          <w:shd w:val="clear" w:fill="FFFFFF"/>
        </w:rPr>
        <w:t>；社会保障和就业支出为</w:t>
      </w:r>
      <w:r>
        <w:rPr>
          <w:rFonts w:hint="eastAsia" w:cs="宋体"/>
          <w:b w:val="0"/>
          <w:bCs w:val="0"/>
          <w:i w:val="0"/>
          <w:iCs w:val="0"/>
          <w:sz w:val="32"/>
          <w:szCs w:val="32"/>
          <w:shd w:val="clear" w:fill="FFFFFF"/>
          <w:lang w:val="en-US" w:eastAsia="zh-CN"/>
        </w:rPr>
        <w:t>113</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8.5%</w:t>
      </w:r>
      <w:r>
        <w:rPr>
          <w:rFonts w:hint="eastAsia" w:ascii="仿宋_GB2312" w:eastAsia="仿宋_GB2312" w:cs="仿宋_GB2312"/>
          <w:b w:val="0"/>
          <w:bCs w:val="0"/>
          <w:sz w:val="32"/>
          <w:szCs w:val="32"/>
          <w:shd w:val="clear" w:fill="FFFFFF"/>
        </w:rPr>
        <w:t>；卫生健康支出为</w:t>
      </w:r>
      <w:r>
        <w:rPr>
          <w:rFonts w:hint="eastAsia" w:cs="宋体"/>
          <w:b w:val="0"/>
          <w:bCs w:val="0"/>
          <w:i w:val="0"/>
          <w:iCs w:val="0"/>
          <w:sz w:val="32"/>
          <w:szCs w:val="32"/>
          <w:shd w:val="clear" w:fill="FFFFFF"/>
          <w:lang w:val="en-US" w:eastAsia="zh-CN"/>
        </w:rPr>
        <w:t>47.76</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3.6%</w:t>
      </w:r>
      <w:r>
        <w:rPr>
          <w:rFonts w:hint="eastAsia" w:ascii="仿宋_GB2312" w:eastAsia="仿宋_GB2312" w:cs="仿宋_GB2312"/>
          <w:b w:val="0"/>
          <w:bCs w:val="0"/>
          <w:sz w:val="32"/>
          <w:szCs w:val="32"/>
          <w:shd w:val="clear" w:fill="FFFFFF"/>
        </w:rPr>
        <w:t>；城乡社区支出为</w:t>
      </w:r>
      <w:r>
        <w:rPr>
          <w:rFonts w:hint="eastAsia" w:cs="宋体"/>
          <w:b w:val="0"/>
          <w:bCs w:val="0"/>
          <w:i w:val="0"/>
          <w:iCs w:val="0"/>
          <w:sz w:val="32"/>
          <w:szCs w:val="32"/>
          <w:shd w:val="clear" w:fill="FFFFFF"/>
          <w:lang w:val="en-US" w:eastAsia="zh-CN"/>
        </w:rPr>
        <w:t>8</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0.6%</w:t>
      </w:r>
      <w:r>
        <w:rPr>
          <w:rFonts w:hint="eastAsia" w:ascii="仿宋_GB2312" w:eastAsia="仿宋_GB2312" w:cs="仿宋_GB2312"/>
          <w:b w:val="0"/>
          <w:bCs w:val="0"/>
          <w:sz w:val="32"/>
          <w:szCs w:val="32"/>
          <w:shd w:val="clear" w:fill="FFFFFF"/>
        </w:rPr>
        <w:t>；农林水支出为</w:t>
      </w:r>
      <w:r>
        <w:rPr>
          <w:rFonts w:hint="eastAsia" w:cs="宋体"/>
          <w:b w:val="0"/>
          <w:bCs w:val="0"/>
          <w:i w:val="0"/>
          <w:iCs w:val="0"/>
          <w:sz w:val="32"/>
          <w:szCs w:val="32"/>
          <w:shd w:val="clear" w:fill="FFFFFF"/>
          <w:lang w:val="en-US" w:eastAsia="zh-CN"/>
        </w:rPr>
        <w:t>368</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27.7%</w:t>
      </w:r>
      <w:r>
        <w:rPr>
          <w:rFonts w:hint="eastAsia" w:ascii="仿宋_GB2312" w:eastAsia="仿宋_GB2312" w:cs="仿宋_GB2312"/>
          <w:b w:val="0"/>
          <w:bCs w:val="0"/>
          <w:sz w:val="32"/>
          <w:szCs w:val="32"/>
          <w:shd w:val="clear" w:fill="FFFFFF"/>
        </w:rPr>
        <w:t>；住房保障支出为</w:t>
      </w:r>
      <w:r>
        <w:rPr>
          <w:rFonts w:hint="eastAsia" w:cs="宋体"/>
          <w:b w:val="0"/>
          <w:bCs w:val="0"/>
          <w:i w:val="0"/>
          <w:iCs w:val="0"/>
          <w:sz w:val="32"/>
          <w:szCs w:val="32"/>
          <w:shd w:val="clear" w:fill="FFFFFF"/>
          <w:lang w:val="en-US" w:eastAsia="zh-CN"/>
        </w:rPr>
        <w:t>59.69</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4.49%</w:t>
      </w:r>
      <w:r>
        <w:rPr>
          <w:rFonts w:hint="eastAsia" w:ascii="宋体" w:hAnsi="宋体" w:eastAsia="宋体" w:cs="宋体"/>
          <w:b w:val="0"/>
          <w:bCs w:val="0"/>
          <w:sz w:val="32"/>
          <w:szCs w:val="32"/>
          <w:shd w:val="clear" w:fill="FFFFFF"/>
          <w:lang w:eastAsia="zh-CN"/>
        </w:rPr>
        <w:t>。</w:t>
      </w:r>
    </w:p>
    <w:p w14:paraId="461284B8">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960" w:firstLineChars="40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r>
        <w:drawing>
          <wp:anchor distT="0" distB="0" distL="114300" distR="114300" simplePos="0" relativeHeight="251662336" behindDoc="1" locked="0" layoutInCell="1" allowOverlap="1">
            <wp:simplePos x="0" y="0"/>
            <wp:positionH relativeFrom="column">
              <wp:posOffset>380365</wp:posOffset>
            </wp:positionH>
            <wp:positionV relativeFrom="paragraph">
              <wp:posOffset>29845</wp:posOffset>
            </wp:positionV>
            <wp:extent cx="4393565" cy="2552700"/>
            <wp:effectExtent l="4445" t="4445" r="59690" b="71755"/>
            <wp:wrapTight wrapText="bothSides">
              <wp:wrapPolygon>
                <wp:start x="-22" y="-38"/>
                <wp:lineTo x="-22" y="21885"/>
                <wp:lineTo x="21519" y="21885"/>
                <wp:lineTo x="21519" y="-38"/>
                <wp:lineTo x="-22" y="-38"/>
              </wp:wrapPolygon>
            </wp:wrapTight>
            <wp:docPr id="28" name="图表 6" descr="7b0a202020202263686172745265734964223a202232303437363437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1C162A0">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556A1FD5">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5A6DFDBE">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34871D09">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right="0" w:firstLine="1280" w:firstLineChars="40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3</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支出</w:t>
      </w:r>
      <w:r>
        <w:rPr>
          <w:rStyle w:val="33"/>
          <w:rFonts w:hint="default" w:ascii="Times New Roman" w:hAnsi="Times New Roman" w:eastAsia="仿宋_GB2312" w:cs="Times New Roman"/>
          <w:b w:val="0"/>
          <w:bCs w:val="0"/>
          <w:color w:val="auto"/>
          <w:sz w:val="32"/>
          <w:szCs w:val="32"/>
          <w:u w:val="none"/>
          <w:shd w:val="clear" w:fill="FFFFFF"/>
          <w:lang w:val="en-US" w:eastAsia="zh-CN"/>
        </w:rPr>
        <w:t>决算</w:t>
      </w:r>
      <w:r>
        <w:rPr>
          <w:rStyle w:val="33"/>
          <w:rFonts w:hint="eastAsia" w:ascii="Times New Roman" w:hAnsi="Times New Roman" w:eastAsia="仿宋_GB2312" w:cs="Times New Roman"/>
          <w:b w:val="0"/>
          <w:bCs w:val="0"/>
          <w:color w:val="auto"/>
          <w:sz w:val="32"/>
          <w:szCs w:val="32"/>
          <w:u w:val="none"/>
          <w:shd w:val="clear" w:fill="FFFFFF"/>
          <w:lang w:val="en-US" w:eastAsia="zh-CN"/>
        </w:rPr>
        <w:t>结构</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5A92987F">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0" w:firstLineChars="200"/>
        <w:jc w:val="both"/>
        <w:textAlignment w:val="auto"/>
        <w:outlineLvl w:val="1"/>
        <w:rPr>
          <w:rFonts w:hint="eastAsia" w:ascii="Times New Roman" w:hAnsi="Times New Roman" w:eastAsia="黑体" w:cs="Times New Roman"/>
          <w:b w:val="0"/>
          <w:bCs w:val="0"/>
          <w:kern w:val="0"/>
          <w:sz w:val="32"/>
          <w:szCs w:val="32"/>
          <w:shd w:val="clear" w:fill="FFFFFF"/>
          <w:lang w:val="en-US" w:eastAsia="zh-CN"/>
        </w:rPr>
      </w:pPr>
      <w:bookmarkStart w:id="30" w:name="_Toc5073"/>
      <w:bookmarkStart w:id="31" w:name="_Toc11941"/>
      <w:bookmarkStart w:id="32" w:name="_Toc26548"/>
      <w:bookmarkStart w:id="33" w:name="_Toc15396606"/>
      <w:bookmarkStart w:id="34" w:name="_Toc15831"/>
      <w:bookmarkStart w:id="35" w:name="_Toc13852"/>
      <w:bookmarkStart w:id="36" w:name="_Toc15377208"/>
      <w:bookmarkStart w:id="37" w:name="_Toc13365"/>
      <w:bookmarkStart w:id="38" w:name="_Toc27212"/>
      <w:r>
        <w:rPr>
          <w:rFonts w:hint="eastAsia" w:ascii="Times New Roman" w:hAnsi="Times New Roman" w:eastAsia="黑体" w:cs="Times New Roman"/>
          <w:b w:val="0"/>
          <w:bCs w:val="0"/>
          <w:kern w:val="0"/>
          <w:sz w:val="32"/>
          <w:szCs w:val="32"/>
          <w:shd w:val="clear" w:fill="FFFFFF"/>
          <w:lang w:val="en-US" w:eastAsia="zh-CN"/>
        </w:rPr>
        <w:t>二、财政拨款收入支出决算总体情况说明</w:t>
      </w:r>
      <w:bookmarkEnd w:id="30"/>
      <w:bookmarkEnd w:id="31"/>
      <w:bookmarkEnd w:id="32"/>
      <w:bookmarkEnd w:id="33"/>
      <w:bookmarkEnd w:id="34"/>
      <w:bookmarkEnd w:id="35"/>
      <w:bookmarkEnd w:id="36"/>
      <w:bookmarkEnd w:id="37"/>
      <w:bookmarkEnd w:id="38"/>
    </w:p>
    <w:p w14:paraId="5BF3B24D">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640" w:firstLineChars="200"/>
        <w:jc w:val="both"/>
        <w:textAlignment w:val="auto"/>
        <w:rPr>
          <w:rStyle w:val="33"/>
          <w:rFonts w:hint="eastAsia" w:ascii="仿宋_GB2312" w:eastAsia="仿宋_GB2312" w:cs="仿宋_GB2312"/>
          <w:b w:val="0"/>
          <w:bCs w:val="0"/>
          <w:color w:val="auto"/>
          <w:sz w:val="32"/>
          <w:szCs w:val="32"/>
          <w:u w:val="none"/>
          <w:shd w:val="clear" w:fill="FFFFFF"/>
        </w:rPr>
      </w:pPr>
      <w:r>
        <w:rPr>
          <w:rFonts w:hint="eastAsia" w:ascii="仿宋_GB2312" w:eastAsia="仿宋_GB2312" w:cs="仿宋_GB2312"/>
          <w:b w:val="0"/>
          <w:bCs w:val="0"/>
          <w:i w:val="0"/>
          <w:iCs w:val="0"/>
          <w:color w:val="auto"/>
          <w:sz w:val="32"/>
          <w:szCs w:val="32"/>
          <w:u w:val="none"/>
          <w:shd w:val="clear" w:fill="FFFFFF"/>
          <w:lang w:val="en-US" w:eastAsia="zh-CN"/>
        </w:rPr>
        <w:t>2023</w:t>
      </w:r>
      <w:r>
        <w:rPr>
          <w:rFonts w:hint="eastAsia" w:ascii="仿宋_GB2312" w:hAnsi="宋体" w:eastAsia="仿宋_GB2312" w:cs="仿宋_GB2312"/>
          <w:b w:val="0"/>
          <w:bCs w:val="0"/>
          <w:i w:val="0"/>
          <w:iCs w:val="0"/>
          <w:color w:val="auto"/>
          <w:sz w:val="32"/>
          <w:szCs w:val="32"/>
          <w:u w:val="none"/>
          <w:shd w:val="clear" w:fill="FFFFFF"/>
          <w:lang w:val="en-US" w:eastAsia="zh-CN"/>
        </w:rPr>
        <w:t>年度</w:t>
      </w:r>
      <w:r>
        <w:rPr>
          <w:rFonts w:hint="eastAsia" w:ascii="仿宋_GB2312" w:eastAsia="仿宋_GB2312" w:cs="仿宋_GB2312"/>
          <w:b w:val="0"/>
          <w:bCs w:val="0"/>
          <w:i w:val="0"/>
          <w:iCs w:val="0"/>
          <w:color w:val="auto"/>
          <w:sz w:val="32"/>
          <w:szCs w:val="32"/>
          <w:u w:val="none"/>
          <w:shd w:val="clear" w:fill="FFFFFF"/>
          <w:lang w:val="en-US" w:eastAsia="zh-CN"/>
        </w:rPr>
        <w:t>，</w:t>
      </w:r>
      <w:r>
        <w:rPr>
          <w:rFonts w:hint="eastAsia" w:ascii="仿宋_GB2312" w:hAnsi="宋体" w:eastAsia="仿宋_GB2312" w:cs="仿宋_GB2312"/>
          <w:b w:val="0"/>
          <w:bCs w:val="0"/>
          <w:i w:val="0"/>
          <w:iCs w:val="0"/>
          <w:color w:val="auto"/>
          <w:sz w:val="32"/>
          <w:szCs w:val="32"/>
          <w:u w:val="none"/>
          <w:shd w:val="clear" w:fill="FFFFFF"/>
        </w:rPr>
        <w:t>财政拨款收入总计</w:t>
      </w:r>
      <w:r>
        <w:rPr>
          <w:rFonts w:hint="eastAsia" w:cs="宋体"/>
          <w:b w:val="0"/>
          <w:bCs w:val="0"/>
          <w:i w:val="0"/>
          <w:iCs w:val="0"/>
          <w:sz w:val="32"/>
          <w:szCs w:val="32"/>
          <w:shd w:val="clear" w:fill="FFFFFF"/>
          <w:lang w:val="en-US" w:eastAsia="zh-CN"/>
        </w:rPr>
        <w:t>1329.8</w:t>
      </w:r>
      <w:r>
        <w:rPr>
          <w:rFonts w:hint="eastAsia" w:ascii="仿宋_GB2312" w:hAnsi="宋体" w:eastAsia="仿宋_GB2312" w:cs="仿宋_GB2312"/>
          <w:b w:val="0"/>
          <w:bCs w:val="0"/>
          <w:i w:val="0"/>
          <w:iCs w:val="0"/>
          <w:color w:val="auto"/>
          <w:sz w:val="32"/>
          <w:szCs w:val="32"/>
          <w:u w:val="none"/>
          <w:shd w:val="clear" w:fill="FFFFFF"/>
        </w:rPr>
        <w:t>万元</w:t>
      </w:r>
      <w:r>
        <w:rPr>
          <w:rFonts w:hint="eastAsia" w:ascii="仿宋_GB2312" w:hAnsi="宋体" w:eastAsia="仿宋_GB2312" w:cs="仿宋_GB2312"/>
          <w:b w:val="0"/>
          <w:bCs w:val="0"/>
          <w:i w:val="0"/>
          <w:iCs w:val="0"/>
          <w:color w:val="auto"/>
          <w:sz w:val="32"/>
          <w:szCs w:val="32"/>
          <w:u w:val="none"/>
          <w:shd w:val="clear" w:fill="FFFFFF"/>
          <w:lang w:eastAsia="zh-CN"/>
        </w:rPr>
        <w:t>，</w:t>
      </w:r>
      <w:r>
        <w:rPr>
          <w:rFonts w:hint="eastAsia" w:ascii="仿宋_GB2312" w:hAnsi="宋体" w:eastAsia="仿宋_GB2312" w:cs="仿宋_GB2312"/>
          <w:b w:val="0"/>
          <w:bCs w:val="0"/>
          <w:i w:val="0"/>
          <w:iCs w:val="0"/>
          <w:color w:val="auto"/>
          <w:sz w:val="32"/>
          <w:szCs w:val="32"/>
          <w:u w:val="none"/>
          <w:shd w:val="clear" w:fill="FFFFFF"/>
          <w:lang w:val="en-US" w:eastAsia="zh-CN"/>
        </w:rPr>
        <w:t>与</w:t>
      </w:r>
      <w:r>
        <w:rPr>
          <w:rFonts w:hint="eastAsia" w:ascii="仿宋_GB2312" w:eastAsia="仿宋_GB2312" w:cs="仿宋_GB2312"/>
          <w:b w:val="0"/>
          <w:bCs w:val="0"/>
          <w:i w:val="0"/>
          <w:iCs w:val="0"/>
          <w:color w:val="auto"/>
          <w:sz w:val="32"/>
          <w:szCs w:val="32"/>
          <w:u w:val="none"/>
          <w:shd w:val="clear" w:fill="FFFFFF"/>
        </w:rPr>
        <w:t>上年</w:t>
      </w:r>
      <w:r>
        <w:rPr>
          <w:rFonts w:hint="eastAsia" w:ascii="仿宋_GB2312" w:eastAsia="仿宋_GB2312" w:cs="仿宋_GB2312"/>
          <w:b w:val="0"/>
          <w:bCs w:val="0"/>
          <w:i w:val="0"/>
          <w:iCs w:val="0"/>
          <w:color w:val="auto"/>
          <w:sz w:val="32"/>
          <w:szCs w:val="32"/>
          <w:u w:val="none"/>
          <w:shd w:val="clear" w:fill="FFFFFF"/>
          <w:lang w:val="en-US" w:eastAsia="zh-CN"/>
        </w:rPr>
        <w:t>相比，收入增加</w:t>
      </w:r>
      <w:r>
        <w:rPr>
          <w:rFonts w:hint="eastAsia" w:cs="宋体"/>
          <w:b w:val="0"/>
          <w:bCs w:val="0"/>
          <w:i w:val="0"/>
          <w:iCs w:val="0"/>
          <w:sz w:val="32"/>
          <w:szCs w:val="32"/>
          <w:shd w:val="clear" w:fill="FFFFFF"/>
          <w:lang w:val="en-US" w:eastAsia="zh-CN"/>
        </w:rPr>
        <w:t>71.09</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eastAsia="zh-CN"/>
        </w:rPr>
        <w:t>，</w:t>
      </w:r>
      <w:r>
        <w:rPr>
          <w:rFonts w:hint="eastAsia" w:ascii="仿宋_GB2312" w:eastAsia="仿宋_GB2312" w:cs="仿宋_GB2312"/>
          <w:b w:val="0"/>
          <w:bCs w:val="0"/>
          <w:i w:val="0"/>
          <w:iCs w:val="0"/>
          <w:color w:val="auto"/>
          <w:sz w:val="32"/>
          <w:szCs w:val="32"/>
          <w:u w:val="none"/>
          <w:shd w:val="clear" w:fill="FFFFFF"/>
          <w:lang w:val="en-US" w:eastAsia="zh-CN"/>
        </w:rPr>
        <w:t>增加</w:t>
      </w:r>
      <w:r>
        <w:rPr>
          <w:rFonts w:hint="eastAsia" w:cs="宋体"/>
          <w:b w:val="0"/>
          <w:bCs w:val="0"/>
          <w:i w:val="0"/>
          <w:iCs w:val="0"/>
          <w:sz w:val="32"/>
          <w:szCs w:val="32"/>
          <w:shd w:val="clear" w:fill="FFFFFF"/>
          <w:lang w:val="en-US" w:eastAsia="zh-CN"/>
        </w:rPr>
        <w:t>5.65%</w:t>
      </w:r>
      <w:r>
        <w:rPr>
          <w:rFonts w:hint="eastAsia" w:ascii="仿宋_GB2312" w:eastAsia="仿宋_GB2312" w:cs="仿宋_GB2312"/>
          <w:b w:val="0"/>
          <w:bCs w:val="0"/>
          <w:i w:val="0"/>
          <w:i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主要原因为：人员新增，相应的经费增多。</w:t>
      </w:r>
      <w:r>
        <w:rPr>
          <w:rFonts w:hint="eastAsia" w:ascii="仿宋_GB2312" w:eastAsia="仿宋_GB2312" w:cs="仿宋_GB2312"/>
          <w:b w:val="0"/>
          <w:bCs w:val="0"/>
          <w:i w:val="0"/>
          <w:iCs w:val="0"/>
          <w:color w:val="auto"/>
          <w:sz w:val="32"/>
          <w:szCs w:val="32"/>
          <w:u w:val="none"/>
          <w:shd w:val="clear" w:fill="FFFFFF"/>
        </w:rPr>
        <w:t>本年度</w:t>
      </w:r>
      <w:r>
        <w:rPr>
          <w:rFonts w:hint="eastAsia" w:ascii="仿宋_GB2312" w:hAnsi="宋体" w:eastAsia="仿宋_GB2312" w:cs="仿宋_GB2312"/>
          <w:b w:val="0"/>
          <w:bCs w:val="0"/>
          <w:i w:val="0"/>
          <w:iCs w:val="0"/>
          <w:color w:val="auto"/>
          <w:sz w:val="32"/>
          <w:szCs w:val="32"/>
          <w:u w:val="none"/>
          <w:shd w:val="clear" w:fill="FFFFFF"/>
        </w:rPr>
        <w:t>财政拨款</w:t>
      </w:r>
      <w:r>
        <w:rPr>
          <w:rFonts w:hint="eastAsia" w:ascii="仿宋_GB2312" w:eastAsia="仿宋_GB2312" w:cs="仿宋_GB2312"/>
          <w:b w:val="0"/>
          <w:bCs w:val="0"/>
          <w:i w:val="0"/>
          <w:iCs w:val="0"/>
          <w:color w:val="auto"/>
          <w:sz w:val="32"/>
          <w:szCs w:val="32"/>
          <w:u w:val="none"/>
          <w:shd w:val="clear" w:fill="FFFFFF"/>
        </w:rPr>
        <w:t>支出为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val="en-US" w:eastAsia="zh-CN"/>
        </w:rPr>
        <w:t>与2022</w:t>
      </w:r>
      <w:r>
        <w:rPr>
          <w:rFonts w:hint="eastAsia" w:ascii="仿宋_GB2312" w:eastAsia="仿宋_GB2312" w:cs="仿宋_GB2312"/>
          <w:b w:val="0"/>
          <w:bCs w:val="0"/>
          <w:i w:val="0"/>
          <w:iCs w:val="0"/>
          <w:color w:val="auto"/>
          <w:sz w:val="32"/>
          <w:szCs w:val="32"/>
          <w:u w:val="none"/>
          <w:shd w:val="clear" w:fill="FFFFFF"/>
        </w:rPr>
        <w:t>年度</w:t>
      </w:r>
      <w:r>
        <w:rPr>
          <w:rFonts w:hint="eastAsia" w:ascii="仿宋_GB2312" w:eastAsia="仿宋_GB2312" w:cs="仿宋_GB2312"/>
          <w:b w:val="0"/>
          <w:bCs w:val="0"/>
          <w:i w:val="0"/>
          <w:iCs w:val="0"/>
          <w:color w:val="auto"/>
          <w:sz w:val="32"/>
          <w:szCs w:val="32"/>
          <w:u w:val="none"/>
          <w:shd w:val="clear" w:fill="FFFFFF"/>
          <w:lang w:val="en-US" w:eastAsia="zh-CN"/>
        </w:rPr>
        <w:t>相比，支出增加</w:t>
      </w:r>
      <w:r>
        <w:rPr>
          <w:rFonts w:hint="eastAsia" w:cs="宋体"/>
          <w:b w:val="0"/>
          <w:bCs w:val="0"/>
          <w:i w:val="0"/>
          <w:iCs w:val="0"/>
          <w:sz w:val="32"/>
          <w:szCs w:val="32"/>
          <w:shd w:val="clear" w:fill="FFFFFF"/>
          <w:lang w:val="en-US" w:eastAsia="zh-CN"/>
        </w:rPr>
        <w:t>71.09</w:t>
      </w:r>
      <w:r>
        <w:rPr>
          <w:rFonts w:hint="eastAsia" w:ascii="仿宋_GB2312" w:eastAsia="仿宋_GB2312" w:cs="仿宋_GB2312"/>
          <w:b w:val="0"/>
          <w:bCs w:val="0"/>
          <w:i w:val="0"/>
          <w:iCs w:val="0"/>
          <w:color w:val="auto"/>
          <w:sz w:val="32"/>
          <w:szCs w:val="32"/>
          <w:u w:val="none"/>
          <w:shd w:val="clear" w:fill="FFFFFF"/>
        </w:rPr>
        <w:t>万元</w:t>
      </w:r>
      <w:r>
        <w:rPr>
          <w:rFonts w:hint="eastAsia" w:ascii="仿宋_GB2312" w:eastAsia="仿宋_GB2312" w:cs="仿宋_GB2312"/>
          <w:b w:val="0"/>
          <w:bCs w:val="0"/>
          <w:i w:val="0"/>
          <w:iCs w:val="0"/>
          <w:color w:val="auto"/>
          <w:sz w:val="32"/>
          <w:szCs w:val="32"/>
          <w:u w:val="none"/>
          <w:shd w:val="clear" w:fill="FFFFFF"/>
          <w:lang w:eastAsia="zh-CN"/>
        </w:rPr>
        <w:t>，</w:t>
      </w:r>
      <w:r>
        <w:rPr>
          <w:rFonts w:hint="eastAsia" w:ascii="仿宋_GB2312" w:eastAsia="仿宋_GB2312" w:cs="仿宋_GB2312"/>
          <w:b w:val="0"/>
          <w:bCs w:val="0"/>
          <w:i w:val="0"/>
          <w:iCs w:val="0"/>
          <w:color w:val="auto"/>
          <w:sz w:val="32"/>
          <w:szCs w:val="32"/>
          <w:u w:val="none"/>
          <w:shd w:val="clear" w:fill="FFFFFF"/>
          <w:lang w:val="en-US" w:eastAsia="zh-CN"/>
        </w:rPr>
        <w:t>增加</w:t>
      </w:r>
      <w:r>
        <w:rPr>
          <w:rFonts w:hint="eastAsia" w:cs="宋体"/>
          <w:b w:val="0"/>
          <w:bCs w:val="0"/>
          <w:i w:val="0"/>
          <w:iCs w:val="0"/>
          <w:sz w:val="32"/>
          <w:szCs w:val="32"/>
          <w:shd w:val="clear" w:fill="FFFFFF"/>
          <w:lang w:val="en-US" w:eastAsia="zh-CN"/>
        </w:rPr>
        <w:t>5.65%</w:t>
      </w:r>
      <w:r>
        <w:rPr>
          <w:rFonts w:hint="eastAsia" w:ascii="仿宋_GB2312" w:eastAsia="仿宋_GB2312" w:cs="仿宋_GB2312"/>
          <w:b w:val="0"/>
          <w:bCs w:val="0"/>
          <w:i w:val="0"/>
          <w:iCs w:val="0"/>
          <w:color w:val="auto"/>
          <w:sz w:val="32"/>
          <w:szCs w:val="32"/>
          <w:u w:val="none"/>
          <w:shd w:val="clear" w:fill="FFFFFF"/>
          <w:lang w:eastAsia="zh-CN"/>
        </w:rPr>
        <w:t>，</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val="en-US" w:eastAsia="zh-CN"/>
        </w:rPr>
        <w:t>人员新增</w:t>
      </w:r>
      <w:r>
        <w:rPr>
          <w:rStyle w:val="33"/>
          <w:rFonts w:hint="eastAsia" w:ascii="仿宋_GB2312" w:eastAsia="仿宋_GB2312" w:cs="仿宋_GB2312"/>
          <w:b w:val="0"/>
          <w:bCs w:val="0"/>
          <w:color w:val="auto"/>
          <w:sz w:val="32"/>
          <w:szCs w:val="32"/>
          <w:u w:val="none"/>
          <w:shd w:val="clear" w:fill="FFFFFF"/>
        </w:rPr>
        <w:t>。</w:t>
      </w:r>
    </w:p>
    <w:p w14:paraId="1CFDC051">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480" w:firstLineChars="200"/>
        <w:jc w:val="both"/>
        <w:textAlignment w:val="auto"/>
        <w:rPr>
          <w:rStyle w:val="33"/>
          <w:rFonts w:hint="eastAsia" w:ascii="仿宋_GB2312" w:eastAsia="仿宋_GB2312" w:cs="仿宋_GB2312"/>
          <w:b w:val="0"/>
          <w:bCs w:val="0"/>
          <w:color w:val="auto"/>
          <w:sz w:val="32"/>
          <w:szCs w:val="32"/>
          <w:u w:val="none"/>
          <w:shd w:val="clear" w:fill="FFFFFF"/>
        </w:rPr>
      </w:pPr>
      <w:r>
        <w:drawing>
          <wp:anchor distT="0" distB="0" distL="114300" distR="114300" simplePos="0" relativeHeight="251663360" behindDoc="1" locked="0" layoutInCell="1" allowOverlap="1">
            <wp:simplePos x="0" y="0"/>
            <wp:positionH relativeFrom="column">
              <wp:posOffset>489585</wp:posOffset>
            </wp:positionH>
            <wp:positionV relativeFrom="paragraph">
              <wp:posOffset>132715</wp:posOffset>
            </wp:positionV>
            <wp:extent cx="4497705" cy="2301240"/>
            <wp:effectExtent l="5080" t="4445" r="12065" b="18415"/>
            <wp:wrapTight wrapText="bothSides">
              <wp:wrapPolygon>
                <wp:start x="-24" y="-42"/>
                <wp:lineTo x="-24" y="21415"/>
                <wp:lineTo x="21566" y="21415"/>
                <wp:lineTo x="21566" y="-42"/>
                <wp:lineTo x="-24" y="-42"/>
              </wp:wrapPolygon>
            </wp:wrapTight>
            <wp:docPr id="2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D760D95">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640" w:firstLineChars="200"/>
        <w:jc w:val="both"/>
        <w:textAlignment w:val="auto"/>
        <w:rPr>
          <w:rStyle w:val="33"/>
          <w:rFonts w:hint="eastAsia" w:ascii="仿宋_GB2312" w:eastAsia="仿宋_GB2312" w:cs="仿宋_GB2312"/>
          <w:b w:val="0"/>
          <w:bCs w:val="0"/>
          <w:color w:val="auto"/>
          <w:sz w:val="32"/>
          <w:szCs w:val="32"/>
          <w:u w:val="none"/>
          <w:shd w:val="clear" w:fill="FFFFFF"/>
        </w:rPr>
      </w:pPr>
    </w:p>
    <w:p w14:paraId="3599883C">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640" w:firstLineChars="200"/>
        <w:jc w:val="both"/>
        <w:textAlignment w:val="auto"/>
        <w:rPr>
          <w:rStyle w:val="33"/>
          <w:rFonts w:hint="eastAsia" w:ascii="仿宋_GB2312" w:eastAsia="仿宋_GB2312" w:cs="仿宋_GB2312"/>
          <w:b w:val="0"/>
          <w:bCs w:val="0"/>
          <w:color w:val="auto"/>
          <w:sz w:val="32"/>
          <w:szCs w:val="32"/>
          <w:u w:val="none"/>
          <w:shd w:val="clear" w:fill="FFFFFF"/>
        </w:rPr>
      </w:pPr>
    </w:p>
    <w:p w14:paraId="205D6F7E">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right="0" w:firstLine="640" w:firstLineChars="200"/>
        <w:jc w:val="both"/>
        <w:textAlignment w:val="auto"/>
        <w:rPr>
          <w:rStyle w:val="33"/>
          <w:rFonts w:hint="eastAsia" w:ascii="仿宋_GB2312" w:eastAsia="仿宋_GB2312" w:cs="仿宋_GB2312"/>
          <w:b w:val="0"/>
          <w:bCs w:val="0"/>
          <w:color w:val="auto"/>
          <w:sz w:val="32"/>
          <w:szCs w:val="32"/>
          <w:u w:val="none"/>
          <w:shd w:val="clear" w:fill="FFFFFF"/>
        </w:rPr>
      </w:pPr>
    </w:p>
    <w:p w14:paraId="2F5CC724">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4681B1C9">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18689F69">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241E092D">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right="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4</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财政拨款收入、支出决算总体变动情况图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547B033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rPr>
        <w:t>一般公共预算财政拨款支出决算情况说明</w:t>
      </w:r>
    </w:p>
    <w:p w14:paraId="26F87B8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（一）一般公共预算财政拨款支出决算总体情况</w:t>
      </w:r>
    </w:p>
    <w:p w14:paraId="18D5DE8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仿宋_GB2312"/>
          <w:b w:val="0"/>
          <w:bCs w:val="0"/>
          <w:i w:val="0"/>
          <w:iCs w:val="0"/>
          <w:color w:val="000000"/>
          <w:kern w:val="0"/>
          <w:sz w:val="32"/>
          <w:szCs w:val="32"/>
          <w:shd w:val="clear" w:fill="FFFFFF"/>
          <w:lang w:val="en-US" w:eastAsia="zh-CN" w:bidi="ar"/>
        </w:rPr>
      </w:pPr>
      <w:r>
        <w:rPr>
          <w:rFonts w:hint="eastAsia" w:ascii="仿宋_GB2312" w:hAnsi="宋体" w:eastAsia="仿宋_GB2312" w:cs="仿宋_GB2312"/>
          <w:b w:val="0"/>
          <w:bCs w:val="0"/>
          <w:i w:val="0"/>
          <w:iCs w:val="0"/>
          <w:color w:val="000000"/>
          <w:kern w:val="0"/>
          <w:sz w:val="32"/>
          <w:szCs w:val="32"/>
          <w:shd w:val="clear" w:fill="FFFFFF"/>
          <w:lang w:val="en-US" w:eastAsia="zh-CN" w:bidi="ar"/>
        </w:rPr>
        <w:t>2023年度，一般公共预算财政拨款支出</w:t>
      </w:r>
      <w:r>
        <w:rPr>
          <w:rFonts w:hint="eastAsia" w:ascii="宋体" w:hAnsi="宋体" w:eastAsia="宋体" w:cs="宋体"/>
          <w:b w:val="0"/>
          <w:bCs w:val="0"/>
          <w:i w:val="0"/>
          <w:iCs w:val="0"/>
          <w:sz w:val="32"/>
          <w:szCs w:val="32"/>
          <w:shd w:val="clear" w:fill="FFFFFF"/>
          <w:lang w:val="en-US" w:eastAsia="zh-CN"/>
        </w:rPr>
        <w:t>1329.8</w:t>
      </w:r>
      <w:r>
        <w:rPr>
          <w:rFonts w:hint="eastAsia" w:ascii="仿宋_GB2312" w:hAnsi="宋体" w:eastAsia="仿宋_GB2312" w:cs="仿宋_GB2312"/>
          <w:b w:val="0"/>
          <w:bCs w:val="0"/>
          <w:i w:val="0"/>
          <w:iCs w:val="0"/>
          <w:color w:val="000000"/>
          <w:kern w:val="0"/>
          <w:sz w:val="32"/>
          <w:szCs w:val="32"/>
          <w:shd w:val="clear" w:fill="FFFFFF"/>
          <w:lang w:val="en-US" w:eastAsia="zh-CN" w:bidi="ar"/>
        </w:rPr>
        <w:t>万元，占本年支出合计的</w:t>
      </w:r>
      <w:r>
        <w:rPr>
          <w:rFonts w:hint="eastAsia" w:ascii="宋体" w:hAnsi="宋体" w:eastAsia="宋体" w:cs="宋体"/>
          <w:b w:val="0"/>
          <w:bCs w:val="0"/>
          <w:i w:val="0"/>
          <w:iCs w:val="0"/>
          <w:sz w:val="32"/>
          <w:szCs w:val="32"/>
          <w:shd w:val="clear" w:fill="FFFFFF"/>
          <w:lang w:val="en-US" w:eastAsia="zh-CN"/>
        </w:rPr>
        <w:t>100%</w:t>
      </w:r>
      <w:r>
        <w:rPr>
          <w:rFonts w:hint="eastAsia" w:ascii="仿宋_GB2312" w:hAnsi="宋体" w:eastAsia="仿宋_GB2312" w:cs="仿宋_GB2312"/>
          <w:b w:val="0"/>
          <w:bCs w:val="0"/>
          <w:i w:val="0"/>
          <w:iCs w:val="0"/>
          <w:color w:val="000000"/>
          <w:kern w:val="0"/>
          <w:sz w:val="32"/>
          <w:szCs w:val="32"/>
          <w:shd w:val="clear" w:fill="FFFFFF"/>
          <w:lang w:val="en-US" w:eastAsia="zh-CN" w:bidi="ar"/>
        </w:rPr>
        <w:t>。与上年度相比，一般公共预算财政拨款增加</w:t>
      </w:r>
      <w:r>
        <w:rPr>
          <w:rFonts w:hint="eastAsia" w:ascii="宋体" w:hAnsi="宋体" w:eastAsia="宋体" w:cs="宋体"/>
          <w:b w:val="0"/>
          <w:bCs w:val="0"/>
          <w:i w:val="0"/>
          <w:iCs w:val="0"/>
          <w:sz w:val="32"/>
          <w:szCs w:val="32"/>
          <w:shd w:val="clear" w:fill="FFFFFF"/>
          <w:lang w:val="en-US" w:eastAsia="zh-CN"/>
        </w:rPr>
        <w:t>71.09</w:t>
      </w:r>
      <w:r>
        <w:rPr>
          <w:rFonts w:hint="eastAsia" w:ascii="仿宋_GB2312" w:hAnsi="宋体" w:eastAsia="仿宋_GB2312" w:cs="仿宋_GB2312"/>
          <w:b w:val="0"/>
          <w:bCs w:val="0"/>
          <w:i w:val="0"/>
          <w:iCs w:val="0"/>
          <w:color w:val="000000"/>
          <w:kern w:val="0"/>
          <w:sz w:val="32"/>
          <w:szCs w:val="32"/>
          <w:shd w:val="clear" w:fill="FFFFFF"/>
          <w:lang w:val="en-US" w:eastAsia="zh-CN" w:bidi="ar"/>
        </w:rPr>
        <w:t>万元，增加</w:t>
      </w:r>
      <w:r>
        <w:rPr>
          <w:rFonts w:hint="eastAsia" w:ascii="宋体" w:hAnsi="宋体" w:eastAsia="宋体" w:cs="宋体"/>
          <w:b w:val="0"/>
          <w:bCs w:val="0"/>
          <w:i w:val="0"/>
          <w:iCs w:val="0"/>
          <w:sz w:val="32"/>
          <w:szCs w:val="32"/>
          <w:shd w:val="clear" w:fill="FFFFFF"/>
          <w:lang w:val="en-US" w:eastAsia="zh-CN"/>
        </w:rPr>
        <w:t>5.65%</w:t>
      </w:r>
      <w:r>
        <w:rPr>
          <w:rFonts w:hint="eastAsia" w:ascii="仿宋_GB2312" w:hAnsi="宋体" w:eastAsia="仿宋_GB2312" w:cs="仿宋_GB2312"/>
          <w:b w:val="0"/>
          <w:bCs w:val="0"/>
          <w:i w:val="0"/>
          <w:iCs w:val="0"/>
          <w:color w:val="000000"/>
          <w:kern w:val="0"/>
          <w:sz w:val="32"/>
          <w:szCs w:val="32"/>
          <w:shd w:val="clear" w:fill="FFFFFF"/>
          <w:lang w:val="en-US" w:eastAsia="zh-CN" w:bidi="ar"/>
        </w:rPr>
        <w:t>。主要变动原因是人员增加。</w:t>
      </w:r>
    </w:p>
    <w:p w14:paraId="74027963">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78ED077B">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r>
        <w:drawing>
          <wp:anchor distT="0" distB="0" distL="114300" distR="114300" simplePos="0" relativeHeight="251664384" behindDoc="1" locked="0" layoutInCell="1" allowOverlap="1">
            <wp:simplePos x="0" y="0"/>
            <wp:positionH relativeFrom="column">
              <wp:posOffset>126365</wp:posOffset>
            </wp:positionH>
            <wp:positionV relativeFrom="paragraph">
              <wp:posOffset>320675</wp:posOffset>
            </wp:positionV>
            <wp:extent cx="4826000" cy="2743200"/>
            <wp:effectExtent l="4445" t="4445" r="8255" b="14605"/>
            <wp:wrapTight wrapText="bothSides">
              <wp:wrapPolygon>
                <wp:start x="-20" y="-35"/>
                <wp:lineTo x="-20" y="21565"/>
                <wp:lineTo x="21552" y="21565"/>
                <wp:lineTo x="21552" y="-35"/>
                <wp:lineTo x="-20" y="-35"/>
              </wp:wrapPolygon>
            </wp:wrapTight>
            <wp:docPr id="3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B9E45D0">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6742C395">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42272CAD">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16193120">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2047270D">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0F4432C5">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21C9BFE4">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4F6B6103">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1A9F5CB6">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0" w:firstLineChars="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5</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一般公共预算财政拨款支出决算总体情况图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6CC572D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w:t>
      </w:r>
      <w:r>
        <w:rPr>
          <w:rStyle w:val="36"/>
          <w:rFonts w:hint="eastAsia" w:ascii="Times New Roman" w:hAnsi="Times New Roman" w:eastAsia="方正楷体_GBK" w:cs="Times New Roman"/>
          <w:b/>
          <w:bCs/>
          <w:sz w:val="32"/>
          <w:szCs w:val="32"/>
          <w:shd w:val="clear" w:fill="FFFFFF"/>
          <w:lang w:val="en-US" w:eastAsia="zh-CN"/>
        </w:rPr>
        <w:t>二</w:t>
      </w:r>
      <w:r>
        <w:rPr>
          <w:rStyle w:val="36"/>
          <w:rFonts w:hint="eastAsia" w:ascii="Times New Roman" w:hAnsi="Times New Roman" w:eastAsia="方正楷体_GBK" w:cs="Times New Roman"/>
          <w:b/>
          <w:bCs/>
          <w:sz w:val="32"/>
          <w:szCs w:val="32"/>
          <w:shd w:val="clear" w:fill="FFFFFF"/>
          <w:lang w:val="zh-CN"/>
        </w:rPr>
        <w:t>）一般公共预算财政拨款支出决算结构情况</w:t>
      </w:r>
    </w:p>
    <w:p w14:paraId="644EFED5">
      <w:pPr>
        <w:pStyle w:val="4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hAnsi="仿宋_GB2312" w:eastAsia="仿宋_GB2312" w:cs="仿宋_GB2312"/>
          <w:color w:val="000000"/>
          <w:sz w:val="30"/>
          <w:szCs w:val="30"/>
        </w:rPr>
      </w:pPr>
      <w:r>
        <w:drawing>
          <wp:anchor distT="0" distB="0" distL="114300" distR="114300" simplePos="0" relativeHeight="251665408" behindDoc="1" locked="0" layoutInCell="1" allowOverlap="1">
            <wp:simplePos x="0" y="0"/>
            <wp:positionH relativeFrom="column">
              <wp:posOffset>349885</wp:posOffset>
            </wp:positionH>
            <wp:positionV relativeFrom="paragraph">
              <wp:posOffset>2593340</wp:posOffset>
            </wp:positionV>
            <wp:extent cx="4739005" cy="1990090"/>
            <wp:effectExtent l="4445" t="4445" r="19050" b="5715"/>
            <wp:wrapTight wrapText="bothSides">
              <wp:wrapPolygon>
                <wp:start x="-20" y="-48"/>
                <wp:lineTo x="-20" y="21455"/>
                <wp:lineTo x="21513" y="21455"/>
                <wp:lineTo x="21513" y="-48"/>
                <wp:lineTo x="-20" y="-48"/>
              </wp:wrapPolygon>
            </wp:wrapTight>
            <wp:docPr id="31" name="图表 10" descr="7b0a202020202263686172745265734964223a202232303437353538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hAnsi="宋体" w:eastAsia="仿宋_GB2312" w:cs="仿宋_GB2312"/>
          <w:b w:val="0"/>
          <w:bCs w:val="0"/>
          <w:i w:val="0"/>
          <w:iCs w:val="0"/>
          <w:kern w:val="0"/>
          <w:sz w:val="32"/>
          <w:szCs w:val="32"/>
          <w:shd w:val="clear" w:fill="FFFFFF"/>
          <w:lang w:val="en-US" w:eastAsia="zh-CN" w:bidi="ar"/>
        </w:rPr>
        <w:t>本年度一般公共预算财政拨款支出</w:t>
      </w:r>
      <w:r>
        <w:rPr>
          <w:rFonts w:hint="eastAsia" w:cs="宋体"/>
          <w:b w:val="0"/>
          <w:bCs w:val="0"/>
          <w:i w:val="0"/>
          <w:iCs w:val="0"/>
          <w:sz w:val="32"/>
          <w:szCs w:val="32"/>
          <w:shd w:val="clear" w:fill="FFFFFF"/>
          <w:lang w:val="en-US" w:eastAsia="zh-CN"/>
        </w:rPr>
        <w:t>1329.8</w:t>
      </w:r>
      <w:r>
        <w:rPr>
          <w:rFonts w:hint="eastAsia" w:ascii="仿宋_GB2312" w:hAnsi="宋体" w:eastAsia="仿宋_GB2312" w:cs="仿宋_GB2312"/>
          <w:b w:val="0"/>
          <w:bCs w:val="0"/>
          <w:i w:val="0"/>
          <w:iCs w:val="0"/>
          <w:kern w:val="0"/>
          <w:sz w:val="32"/>
          <w:szCs w:val="32"/>
          <w:shd w:val="clear" w:fill="FFFFFF"/>
          <w:lang w:val="en-US" w:eastAsia="zh-CN" w:bidi="ar"/>
        </w:rPr>
        <w:t>万元，主要用于以下方面:</w:t>
      </w:r>
      <w:r>
        <w:rPr>
          <w:rFonts w:hint="eastAsia" w:ascii="仿宋_GB2312" w:eastAsia="仿宋_GB2312" w:cs="仿宋_GB2312"/>
          <w:b w:val="0"/>
          <w:bCs w:val="0"/>
          <w:sz w:val="32"/>
          <w:szCs w:val="32"/>
          <w:shd w:val="clear" w:fill="FFFFFF"/>
        </w:rPr>
        <w:t>一般公共服务支出为</w:t>
      </w:r>
      <w:r>
        <w:rPr>
          <w:rFonts w:hint="eastAsia" w:cs="宋体"/>
          <w:b w:val="0"/>
          <w:bCs w:val="0"/>
          <w:i w:val="0"/>
          <w:iCs w:val="0"/>
          <w:sz w:val="32"/>
          <w:szCs w:val="32"/>
          <w:shd w:val="clear" w:fill="FFFFFF"/>
          <w:lang w:val="en-US" w:eastAsia="zh-CN"/>
        </w:rPr>
        <w:t>722.1</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54.3%</w:t>
      </w:r>
      <w:r>
        <w:rPr>
          <w:rFonts w:hint="eastAsia" w:ascii="仿宋_GB2312" w:eastAsia="仿宋_GB2312" w:cs="仿宋_GB2312"/>
          <w:b w:val="0"/>
          <w:bCs w:val="0"/>
          <w:sz w:val="32"/>
          <w:szCs w:val="32"/>
          <w:shd w:val="clear" w:fill="FFFFFF"/>
        </w:rPr>
        <w:t>；文化旅游体育与传媒支出为</w:t>
      </w:r>
      <w:r>
        <w:rPr>
          <w:rFonts w:hint="eastAsia" w:cs="宋体"/>
          <w:b w:val="0"/>
          <w:bCs w:val="0"/>
          <w:i w:val="0"/>
          <w:iCs w:val="0"/>
          <w:sz w:val="32"/>
          <w:szCs w:val="32"/>
          <w:shd w:val="clear" w:fill="FFFFFF"/>
          <w:lang w:val="en-US" w:eastAsia="zh-CN"/>
        </w:rPr>
        <w:t>4.56</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0.34%</w:t>
      </w:r>
      <w:r>
        <w:rPr>
          <w:rFonts w:hint="eastAsia" w:ascii="仿宋_GB2312" w:eastAsia="仿宋_GB2312" w:cs="仿宋_GB2312"/>
          <w:b w:val="0"/>
          <w:bCs w:val="0"/>
          <w:sz w:val="32"/>
          <w:szCs w:val="32"/>
          <w:shd w:val="clear" w:fill="FFFFFF"/>
        </w:rPr>
        <w:t>；社会保障和就业支出为</w:t>
      </w:r>
      <w:r>
        <w:rPr>
          <w:rFonts w:hint="eastAsia" w:cs="宋体"/>
          <w:b w:val="0"/>
          <w:bCs w:val="0"/>
          <w:i w:val="0"/>
          <w:iCs w:val="0"/>
          <w:sz w:val="32"/>
          <w:szCs w:val="32"/>
          <w:shd w:val="clear" w:fill="FFFFFF"/>
          <w:lang w:val="en-US" w:eastAsia="zh-CN"/>
        </w:rPr>
        <w:t>113</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8.5%</w:t>
      </w:r>
      <w:r>
        <w:rPr>
          <w:rFonts w:hint="eastAsia" w:ascii="仿宋_GB2312" w:eastAsia="仿宋_GB2312" w:cs="仿宋_GB2312"/>
          <w:b w:val="0"/>
          <w:bCs w:val="0"/>
          <w:sz w:val="32"/>
          <w:szCs w:val="32"/>
          <w:shd w:val="clear" w:fill="FFFFFF"/>
        </w:rPr>
        <w:t>；卫生健康支出为</w:t>
      </w:r>
      <w:r>
        <w:rPr>
          <w:rFonts w:hint="eastAsia" w:cs="宋体"/>
          <w:b w:val="0"/>
          <w:bCs w:val="0"/>
          <w:i w:val="0"/>
          <w:iCs w:val="0"/>
          <w:sz w:val="32"/>
          <w:szCs w:val="32"/>
          <w:shd w:val="clear" w:fill="FFFFFF"/>
          <w:lang w:val="en-US" w:eastAsia="zh-CN"/>
        </w:rPr>
        <w:t>47.76</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3.6%</w:t>
      </w:r>
      <w:r>
        <w:rPr>
          <w:rFonts w:hint="eastAsia" w:ascii="仿宋_GB2312" w:eastAsia="仿宋_GB2312" w:cs="仿宋_GB2312"/>
          <w:b w:val="0"/>
          <w:bCs w:val="0"/>
          <w:sz w:val="32"/>
          <w:szCs w:val="32"/>
          <w:shd w:val="clear" w:fill="FFFFFF"/>
        </w:rPr>
        <w:t>；城乡社区支出为</w:t>
      </w:r>
      <w:r>
        <w:rPr>
          <w:rFonts w:hint="eastAsia" w:cs="宋体"/>
          <w:b w:val="0"/>
          <w:bCs w:val="0"/>
          <w:i w:val="0"/>
          <w:iCs w:val="0"/>
          <w:sz w:val="32"/>
          <w:szCs w:val="32"/>
          <w:shd w:val="clear" w:fill="FFFFFF"/>
          <w:lang w:val="en-US" w:eastAsia="zh-CN"/>
        </w:rPr>
        <w:t>8</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0.60%</w:t>
      </w:r>
      <w:r>
        <w:rPr>
          <w:rFonts w:hint="eastAsia" w:ascii="仿宋_GB2312" w:eastAsia="仿宋_GB2312" w:cs="仿宋_GB2312"/>
          <w:b w:val="0"/>
          <w:bCs w:val="0"/>
          <w:sz w:val="32"/>
          <w:szCs w:val="32"/>
          <w:shd w:val="clear" w:fill="FFFFFF"/>
        </w:rPr>
        <w:t>；农林水支出为</w:t>
      </w:r>
      <w:r>
        <w:rPr>
          <w:rFonts w:hint="eastAsia" w:cs="宋体"/>
          <w:b w:val="0"/>
          <w:bCs w:val="0"/>
          <w:i w:val="0"/>
          <w:iCs w:val="0"/>
          <w:sz w:val="32"/>
          <w:szCs w:val="32"/>
          <w:shd w:val="clear" w:fill="FFFFFF"/>
          <w:lang w:val="en-US" w:eastAsia="zh-CN"/>
        </w:rPr>
        <w:t>368</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27.7%</w:t>
      </w:r>
      <w:r>
        <w:rPr>
          <w:rFonts w:hint="eastAsia" w:ascii="仿宋_GB2312" w:eastAsia="仿宋_GB2312" w:cs="仿宋_GB2312"/>
          <w:b w:val="0"/>
          <w:bCs w:val="0"/>
          <w:sz w:val="32"/>
          <w:szCs w:val="32"/>
          <w:shd w:val="clear" w:fill="FFFFFF"/>
        </w:rPr>
        <w:t>；住房保障支出为</w:t>
      </w:r>
      <w:r>
        <w:rPr>
          <w:rFonts w:hint="eastAsia" w:cs="宋体"/>
          <w:b w:val="0"/>
          <w:bCs w:val="0"/>
          <w:i w:val="0"/>
          <w:iCs w:val="0"/>
          <w:sz w:val="32"/>
          <w:szCs w:val="32"/>
          <w:shd w:val="clear" w:fill="FFFFFF"/>
          <w:lang w:val="en-US" w:eastAsia="zh-CN"/>
        </w:rPr>
        <w:t>59.69</w:t>
      </w:r>
      <w:r>
        <w:rPr>
          <w:rFonts w:hint="eastAsia" w:ascii="仿宋_GB2312" w:eastAsia="仿宋_GB2312" w:cs="仿宋_GB2312"/>
          <w:b w:val="0"/>
          <w:bCs w:val="0"/>
          <w:sz w:val="32"/>
          <w:szCs w:val="32"/>
          <w:shd w:val="clear" w:fill="FFFFFF"/>
        </w:rPr>
        <w:t>万元，占比</w:t>
      </w:r>
      <w:r>
        <w:rPr>
          <w:rFonts w:hint="eastAsia" w:cs="宋体"/>
          <w:b w:val="0"/>
          <w:bCs w:val="0"/>
          <w:i w:val="0"/>
          <w:iCs w:val="0"/>
          <w:sz w:val="32"/>
          <w:szCs w:val="32"/>
          <w:shd w:val="clear" w:fill="FFFFFF"/>
          <w:lang w:val="en-US" w:eastAsia="zh-CN"/>
        </w:rPr>
        <w:t>4.49%</w:t>
      </w:r>
      <w:r>
        <w:rPr>
          <w:rFonts w:hint="eastAsia" w:ascii="宋体" w:hAnsi="宋体" w:eastAsia="宋体" w:cs="宋体"/>
          <w:b w:val="0"/>
          <w:bCs w:val="0"/>
          <w:sz w:val="32"/>
          <w:szCs w:val="32"/>
          <w:shd w:val="clear" w:fill="FFFFFF"/>
          <w:lang w:eastAsia="zh-CN"/>
        </w:rPr>
        <w:t>。</w:t>
      </w:r>
    </w:p>
    <w:p w14:paraId="6A7F8330">
      <w:pPr>
        <w:pStyle w:val="2"/>
        <w:pageBreakBefore w:val="0"/>
        <w:numPr>
          <w:ilvl w:val="0"/>
          <w:numId w:val="0"/>
        </w:numPr>
        <w:kinsoku/>
        <w:wordWrap/>
        <w:overflowPunct/>
        <w:topLinePunct w:val="0"/>
        <w:bidi w:val="0"/>
        <w:spacing w:line="240" w:lineRule="auto"/>
        <w:jc w:val="both"/>
        <w:rPr>
          <w:rStyle w:val="33"/>
          <w:rFonts w:hint="default" w:ascii="Times New Roman" w:hAnsi="Times New Roman" w:eastAsia="仿宋_GB2312" w:cs="Times New Roman"/>
          <w:b w:val="0"/>
          <w:bCs w:val="0"/>
          <w:color w:val="auto"/>
          <w:sz w:val="32"/>
          <w:szCs w:val="32"/>
          <w:u w:val="none"/>
          <w:shd w:val="clear" w:fill="FFFFFF"/>
          <w:lang w:val="en-US" w:eastAsia="zh-CN"/>
        </w:rPr>
      </w:pPr>
    </w:p>
    <w:p w14:paraId="1899D55E">
      <w:pPr>
        <w:pStyle w:val="2"/>
        <w:pageBreakBefore w:val="0"/>
        <w:numPr>
          <w:ilvl w:val="0"/>
          <w:numId w:val="0"/>
        </w:numPr>
        <w:kinsoku/>
        <w:wordWrap/>
        <w:overflowPunct/>
        <w:topLinePunct w:val="0"/>
        <w:bidi w:val="0"/>
        <w:spacing w:line="240" w:lineRule="auto"/>
        <w:ind w:firstLine="640" w:firstLineChars="200"/>
        <w:jc w:val="both"/>
        <w:rPr>
          <w:rFonts w:hint="eastAsia" w:ascii="仿宋_GB2312" w:hAnsi="宋体" w:eastAsia="仿宋_GB2312" w:cs="仿宋_GB2312"/>
          <w:b w:val="0"/>
          <w:bCs w:val="0"/>
          <w:i w:val="0"/>
          <w:iCs w:val="0"/>
          <w:kern w:val="0"/>
          <w:sz w:val="32"/>
          <w:szCs w:val="32"/>
          <w:shd w:val="clear" w:fill="FFFFFF"/>
          <w:lang w:val="en-US" w:eastAsia="zh-CN" w:bidi="ar"/>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6</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一般公共预算财政拨款支出决算结构图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饼状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08CBE4DC">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en-US" w:eastAsia="zh-CN"/>
        </w:rPr>
      </w:pPr>
      <w:r>
        <w:rPr>
          <w:rStyle w:val="36"/>
          <w:rFonts w:hint="eastAsia" w:ascii="Times New Roman" w:hAnsi="Times New Roman" w:eastAsia="方正楷体_GBK" w:cs="Times New Roman"/>
          <w:b/>
          <w:bCs/>
          <w:sz w:val="32"/>
          <w:szCs w:val="32"/>
          <w:shd w:val="clear" w:fill="FFFFFF"/>
          <w:lang w:val="zh-CN"/>
        </w:rPr>
        <w:t>（</w:t>
      </w:r>
      <w:r>
        <w:rPr>
          <w:rStyle w:val="36"/>
          <w:rFonts w:hint="eastAsia" w:ascii="Times New Roman" w:hAnsi="Times New Roman" w:eastAsia="方正楷体_GBK" w:cs="Times New Roman"/>
          <w:b/>
          <w:bCs/>
          <w:sz w:val="32"/>
          <w:szCs w:val="32"/>
          <w:shd w:val="clear" w:fill="FFFFFF"/>
          <w:lang w:val="en-US" w:eastAsia="zh-CN"/>
        </w:rPr>
        <w:t>三</w:t>
      </w:r>
      <w:r>
        <w:rPr>
          <w:rStyle w:val="36"/>
          <w:rFonts w:hint="eastAsia" w:ascii="Times New Roman" w:hAnsi="Times New Roman" w:eastAsia="方正楷体_GBK" w:cs="Times New Roman"/>
          <w:b/>
          <w:bCs/>
          <w:sz w:val="32"/>
          <w:szCs w:val="32"/>
          <w:shd w:val="clear" w:fill="FFFFFF"/>
          <w:lang w:val="zh-CN"/>
        </w:rPr>
        <w:t>）一般公共预算财政拨款支出决算具体情况</w:t>
      </w:r>
    </w:p>
    <w:p w14:paraId="46194F5D">
      <w:pPr>
        <w:keepNext w:val="0"/>
        <w:keepLines w:val="0"/>
        <w:pageBreakBefore w:val="0"/>
        <w:kinsoku/>
        <w:wordWrap/>
        <w:overflowPunct/>
        <w:topLinePunct w:val="0"/>
        <w:autoSpaceDN/>
        <w:bidi w:val="0"/>
        <w:adjustRightInd/>
        <w:snapToGrid/>
        <w:spacing w:line="576" w:lineRule="exact"/>
        <w:ind w:firstLine="640" w:firstLineChars="200"/>
        <w:jc w:val="both"/>
        <w:textAlignment w:val="auto"/>
        <w:outlineLvl w:val="1"/>
        <w:rPr>
          <w:rFonts w:hint="eastAsia" w:ascii="宋体" w:hAnsi="宋体" w:eastAsia="宋体" w:cs="宋体"/>
          <w:b w:val="0"/>
          <w:bCs w:val="0"/>
          <w:i w:val="0"/>
          <w:iCs w:val="0"/>
          <w:kern w:val="0"/>
          <w:sz w:val="32"/>
          <w:szCs w:val="32"/>
          <w:shd w:val="clear" w:fill="FFFFFF"/>
          <w:lang w:val="en-US" w:eastAsia="zh-CN" w:bidi="ar"/>
        </w:rPr>
      </w:pPr>
      <w:bookmarkStart w:id="39" w:name="_Toc15757"/>
      <w:bookmarkStart w:id="40" w:name="_Toc32476"/>
      <w:bookmarkStart w:id="41" w:name="_Toc20626"/>
      <w:bookmarkStart w:id="42" w:name="_Toc26177"/>
      <w:r>
        <w:rPr>
          <w:rFonts w:hint="eastAsia" w:ascii="仿宋_GB2312" w:hAnsi="宋体" w:eastAsia="仿宋_GB2312" w:cs="仿宋_GB2312"/>
          <w:b w:val="0"/>
          <w:bCs w:val="0"/>
          <w:i w:val="0"/>
          <w:iCs w:val="0"/>
          <w:color w:val="000000"/>
          <w:kern w:val="0"/>
          <w:sz w:val="32"/>
          <w:szCs w:val="32"/>
          <w:shd w:val="clear" w:fill="FFFFFF"/>
          <w:lang w:val="en-US" w:eastAsia="zh-CN" w:bidi="ar"/>
        </w:rPr>
        <w:t>一般公共预算支出决算数为</w:t>
      </w:r>
      <w:r>
        <w:rPr>
          <w:rFonts w:hint="eastAsia" w:ascii="宋体" w:hAnsi="宋体" w:eastAsia="宋体" w:cs="宋体"/>
          <w:b w:val="0"/>
          <w:bCs w:val="0"/>
          <w:i w:val="0"/>
          <w:iCs w:val="0"/>
          <w:sz w:val="32"/>
          <w:szCs w:val="32"/>
          <w:shd w:val="clear" w:fill="FFFFFF"/>
          <w:lang w:val="en-US" w:eastAsia="zh-CN"/>
        </w:rPr>
        <w:t>1329.8</w:t>
      </w:r>
      <w:r>
        <w:rPr>
          <w:rFonts w:hint="eastAsia" w:ascii="仿宋_GB2312" w:hAnsi="宋体" w:eastAsia="仿宋_GB2312" w:cs="仿宋_GB2312"/>
          <w:b w:val="0"/>
          <w:bCs w:val="0"/>
          <w:i w:val="0"/>
          <w:iCs w:val="0"/>
          <w:color w:val="000000"/>
          <w:kern w:val="0"/>
          <w:sz w:val="32"/>
          <w:szCs w:val="32"/>
          <w:shd w:val="clear" w:fill="FFFFFF"/>
          <w:lang w:val="en-US" w:eastAsia="zh-CN" w:bidi="ar"/>
        </w:rPr>
        <w:t>万元，完成预算100%。其中：</w:t>
      </w:r>
      <w:bookmarkEnd w:id="39"/>
      <w:bookmarkEnd w:id="40"/>
      <w:bookmarkEnd w:id="41"/>
      <w:bookmarkEnd w:id="42"/>
    </w:p>
    <w:p w14:paraId="3AE6FD8F">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一般公共服务</w:t>
      </w:r>
      <w:r>
        <w:rPr>
          <w:rFonts w:hint="eastAsia" w:ascii="宋体" w:eastAsia="宋体" w:cs="宋体"/>
          <w:b/>
          <w:kern w:val="0"/>
          <w:sz w:val="32"/>
          <w:szCs w:val="32"/>
          <w:shd w:val="clear" w:color="auto" w:fill="FFFFFF"/>
        </w:rPr>
        <w:t>201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722.1</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cs="宋体"/>
          <w:b w:val="0"/>
          <w:bCs w:val="0"/>
          <w:i w:val="0"/>
          <w:iCs w:val="0"/>
          <w:sz w:val="32"/>
          <w:szCs w:val="32"/>
          <w:shd w:val="clear" w:fill="FFFFFF"/>
          <w:lang w:val="en-US" w:eastAsia="zh-CN"/>
        </w:rPr>
        <w:t>722.1</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3DB1CD77">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文化旅游体育与传媒支出</w:t>
      </w:r>
      <w:r>
        <w:rPr>
          <w:rFonts w:hint="eastAsia" w:ascii="宋体" w:eastAsia="宋体" w:cs="宋体"/>
          <w:b/>
          <w:kern w:val="0"/>
          <w:sz w:val="32"/>
          <w:szCs w:val="32"/>
          <w:shd w:val="clear" w:color="auto" w:fill="FFFFFF"/>
        </w:rPr>
        <w:t>207:</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4.56</w:t>
      </w:r>
      <w:r>
        <w:rPr>
          <w:rFonts w:ascii="仿宋_GB2312" w:eastAsia="仿宋_GB2312" w:cs="仿宋_GB2312"/>
          <w:b w:val="0"/>
          <w:kern w:val="0"/>
          <w:sz w:val="32"/>
          <w:szCs w:val="32"/>
          <w:shd w:val="clear" w:color="auto" w:fill="FFFFFF"/>
        </w:rPr>
        <w:t>万元，完成预算，支出</w:t>
      </w:r>
      <w:r>
        <w:rPr>
          <w:rFonts w:hint="eastAsia" w:cs="宋体"/>
          <w:b w:val="0"/>
          <w:bCs w:val="0"/>
          <w:i w:val="0"/>
          <w:iCs w:val="0"/>
          <w:sz w:val="32"/>
          <w:szCs w:val="32"/>
          <w:shd w:val="clear" w:fill="FFFFFF"/>
          <w:lang w:val="en-US" w:eastAsia="zh-CN"/>
        </w:rPr>
        <w:t>4.56</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6AEABA82">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社会保障和就业</w:t>
      </w:r>
      <w:r>
        <w:rPr>
          <w:rFonts w:hint="eastAsia" w:ascii="宋体" w:eastAsia="宋体" w:cs="宋体"/>
          <w:b/>
          <w:kern w:val="0"/>
          <w:sz w:val="32"/>
          <w:szCs w:val="32"/>
          <w:shd w:val="clear" w:color="auto" w:fill="FFFFFF"/>
        </w:rPr>
        <w:t>208</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113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cs="宋体"/>
          <w:b w:val="0"/>
          <w:bCs w:val="0"/>
          <w:i w:val="0"/>
          <w:iCs w:val="0"/>
          <w:sz w:val="32"/>
          <w:szCs w:val="32"/>
          <w:shd w:val="clear" w:fill="FFFFFF"/>
          <w:lang w:val="en-US" w:eastAsia="zh-CN"/>
        </w:rPr>
        <w:t>113</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p>
    <w:p w14:paraId="67665B90">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卫生健康</w:t>
      </w:r>
      <w:r>
        <w:rPr>
          <w:rFonts w:hint="eastAsia" w:ascii="宋体" w:eastAsia="宋体" w:cs="宋体"/>
          <w:b/>
          <w:kern w:val="0"/>
          <w:sz w:val="32"/>
          <w:szCs w:val="32"/>
          <w:shd w:val="clear" w:color="auto" w:fill="FFFFFF"/>
        </w:rPr>
        <w:t>210</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47.76</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cs="宋体"/>
          <w:b w:val="0"/>
          <w:bCs w:val="0"/>
          <w:i w:val="0"/>
          <w:iCs w:val="0"/>
          <w:sz w:val="32"/>
          <w:szCs w:val="32"/>
          <w:shd w:val="clear" w:fill="FFFFFF"/>
          <w:lang w:val="en-US" w:eastAsia="zh-CN"/>
        </w:rPr>
        <w:t>47.76</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6BD3D389">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城乡社区</w:t>
      </w:r>
      <w:r>
        <w:rPr>
          <w:rFonts w:hint="eastAsia" w:ascii="宋体" w:eastAsia="宋体" w:cs="宋体"/>
          <w:b/>
          <w:kern w:val="0"/>
          <w:sz w:val="32"/>
          <w:szCs w:val="32"/>
          <w:shd w:val="clear" w:color="auto" w:fill="FFFFFF"/>
        </w:rPr>
        <w:t>212</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hint="eastAsia" w:cs="宋体"/>
          <w:b w:val="0"/>
          <w:kern w:val="0"/>
          <w:sz w:val="32"/>
          <w:szCs w:val="32"/>
          <w:shd w:val="clear" w:color="auto" w:fill="FFFFFF"/>
          <w:lang w:eastAsia="zh-CN"/>
        </w:rPr>
        <w:t>。</w:t>
      </w:r>
      <w:r>
        <w:rPr>
          <w:rFonts w:ascii="仿宋_GB2312" w:eastAsia="仿宋_GB2312" w:cs="仿宋_GB2312"/>
          <w:b w:val="0"/>
          <w:kern w:val="0"/>
          <w:sz w:val="32"/>
          <w:szCs w:val="32"/>
          <w:shd w:val="clear" w:color="auto" w:fill="FFFFFF"/>
        </w:rPr>
        <w:t>支出</w:t>
      </w:r>
      <w:r>
        <w:rPr>
          <w:rFonts w:hint="eastAsia" w:cs="宋体"/>
          <w:b w:val="0"/>
          <w:bCs w:val="0"/>
          <w:i w:val="0"/>
          <w:iCs w:val="0"/>
          <w:sz w:val="32"/>
          <w:szCs w:val="32"/>
          <w:shd w:val="clear" w:fill="FFFFFF"/>
          <w:lang w:val="en-US" w:eastAsia="zh-CN"/>
        </w:rPr>
        <w:t>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326A2E82">
      <w:pPr>
        <w:pStyle w:val="27"/>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left="0" w:firstLine="643" w:firstLineChars="200"/>
        <w:jc w:val="both"/>
        <w:textAlignment w:val="auto"/>
        <w:rPr>
          <w:rFonts w:ascii="宋体" w:hAnsi="宋体" w:eastAsia="仿宋_GB2312" w:cs="宋体"/>
          <w:b w:val="0"/>
          <w:kern w:val="0"/>
          <w:sz w:val="32"/>
          <w:szCs w:val="32"/>
          <w:shd w:val="clear" w:color="auto" w:fill="FFFFFF"/>
        </w:rPr>
      </w:pPr>
      <w:r>
        <w:rPr>
          <w:rFonts w:ascii="仿宋_GB2312" w:eastAsia="仿宋_GB2312" w:cs="仿宋_GB2312"/>
          <w:b/>
          <w:kern w:val="0"/>
          <w:sz w:val="32"/>
          <w:szCs w:val="32"/>
          <w:shd w:val="clear" w:color="auto" w:fill="FFFFFF"/>
        </w:rPr>
        <w:t>农林水</w:t>
      </w:r>
      <w:r>
        <w:rPr>
          <w:rFonts w:hint="eastAsia" w:ascii="宋体" w:eastAsia="宋体" w:cs="宋体"/>
          <w:b/>
          <w:kern w:val="0"/>
          <w:sz w:val="32"/>
          <w:szCs w:val="32"/>
          <w:shd w:val="clear" w:color="auto" w:fill="FFFFFF"/>
        </w:rPr>
        <w:t>213</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cs="宋体"/>
          <w:b w:val="0"/>
          <w:bCs w:val="0"/>
          <w:i w:val="0"/>
          <w:iCs w:val="0"/>
          <w:sz w:val="32"/>
          <w:szCs w:val="32"/>
          <w:shd w:val="clear" w:fill="FFFFFF"/>
          <w:lang w:val="en-US" w:eastAsia="zh-CN"/>
        </w:rPr>
        <w:t>368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。支出</w:t>
      </w:r>
      <w:r>
        <w:rPr>
          <w:rFonts w:hint="eastAsia" w:cs="宋体"/>
          <w:b w:val="0"/>
          <w:bCs w:val="0"/>
          <w:i w:val="0"/>
          <w:iCs w:val="0"/>
          <w:sz w:val="32"/>
          <w:szCs w:val="32"/>
          <w:shd w:val="clear" w:fill="FFFFFF"/>
          <w:lang w:val="en-US" w:eastAsia="zh-CN"/>
        </w:rPr>
        <w:t>368</w:t>
      </w:r>
      <w:r>
        <w:rPr>
          <w:rFonts w:ascii="仿宋_GB2312" w:eastAsia="仿宋_GB2312" w:cs="仿宋_GB2312"/>
          <w:b w:val="0"/>
          <w:kern w:val="0"/>
          <w:sz w:val="32"/>
          <w:szCs w:val="32"/>
          <w:shd w:val="clear" w:color="auto" w:fill="FFFFFF"/>
        </w:rPr>
        <w:t>万元，完成预算</w:t>
      </w:r>
      <w:r>
        <w:rPr>
          <w:rFonts w:hint="eastAsia" w:ascii="宋体" w:eastAsia="宋体" w:cs="宋体"/>
          <w:b w:val="0"/>
          <w:kern w:val="0"/>
          <w:sz w:val="32"/>
          <w:szCs w:val="32"/>
          <w:shd w:val="clear" w:color="auto" w:fill="FFFFFF"/>
        </w:rPr>
        <w:t>100%</w:t>
      </w:r>
      <w:r>
        <w:rPr>
          <w:rFonts w:ascii="仿宋_GB2312" w:eastAsia="仿宋_GB2312" w:cs="仿宋_GB2312"/>
          <w:b w:val="0"/>
          <w:kern w:val="0"/>
          <w:sz w:val="32"/>
          <w:szCs w:val="32"/>
          <w:shd w:val="clear" w:color="auto" w:fill="FFFFFF"/>
        </w:rPr>
        <w:t>。</w:t>
      </w:r>
    </w:p>
    <w:p w14:paraId="17C3238A">
      <w:pPr>
        <w:pStyle w:val="17"/>
        <w:keepNext w:val="0"/>
        <w:keepLines w:val="0"/>
        <w:pageBreakBefore w:val="0"/>
        <w:widowControl/>
        <w:suppressLineNumbers w:val="0"/>
        <w:kinsoku/>
        <w:wordWrap/>
        <w:overflowPunct/>
        <w:topLinePunct w:val="0"/>
        <w:autoSpaceDN/>
        <w:bidi w:val="0"/>
        <w:adjustRightInd/>
        <w:snapToGrid/>
        <w:spacing w:before="0" w:beforeAutospacing="0" w:after="0" w:afterAutospacing="0" w:line="576" w:lineRule="exact"/>
        <w:ind w:firstLine="643" w:firstLineChars="200"/>
        <w:jc w:val="both"/>
        <w:textAlignment w:val="auto"/>
        <w:rPr>
          <w:rFonts w:eastAsia="仿宋_GB2312"/>
          <w:sz w:val="32"/>
          <w:szCs w:val="32"/>
        </w:rPr>
      </w:pPr>
      <w:r>
        <w:rPr>
          <w:rFonts w:ascii="仿宋_GB2312" w:eastAsia="仿宋_GB2312" w:cs="仿宋_GB2312"/>
          <w:b/>
          <w:kern w:val="0"/>
          <w:sz w:val="32"/>
          <w:szCs w:val="32"/>
          <w:shd w:val="clear" w:color="auto" w:fill="FFFFFF"/>
        </w:rPr>
        <w:t>住房保障</w:t>
      </w:r>
      <w:r>
        <w:rPr>
          <w:rFonts w:hint="eastAsia" w:ascii="宋体" w:eastAsia="宋体" w:cs="宋体"/>
          <w:b/>
          <w:kern w:val="0"/>
          <w:sz w:val="32"/>
          <w:szCs w:val="32"/>
          <w:shd w:val="clear" w:color="auto" w:fill="FFFFFF"/>
        </w:rPr>
        <w:t>221</w:t>
      </w:r>
      <w:r>
        <w:rPr>
          <w:rFonts w:ascii="仿宋_GB2312" w:eastAsia="仿宋_GB2312" w:cs="仿宋_GB2312"/>
          <w:b/>
          <w:kern w:val="0"/>
          <w:sz w:val="32"/>
          <w:szCs w:val="32"/>
          <w:shd w:val="clear" w:color="auto" w:fill="FFFFFF"/>
        </w:rPr>
        <w:t>：</w:t>
      </w:r>
      <w:r>
        <w:rPr>
          <w:rFonts w:ascii="仿宋_GB2312" w:eastAsia="仿宋_GB2312" w:cs="仿宋_GB2312"/>
          <w:b w:val="0"/>
          <w:kern w:val="0"/>
          <w:sz w:val="32"/>
          <w:szCs w:val="32"/>
          <w:shd w:val="clear" w:color="auto" w:fill="FFFFFF"/>
        </w:rPr>
        <w:t>收入</w:t>
      </w:r>
      <w:r>
        <w:rPr>
          <w:rFonts w:hint="eastAsia" w:hAnsi="宋体" w:cs="宋体"/>
          <w:b w:val="0"/>
          <w:bCs w:val="0"/>
          <w:i w:val="0"/>
          <w:iCs w:val="0"/>
          <w:sz w:val="32"/>
          <w:szCs w:val="32"/>
          <w:shd w:val="clear" w:fill="FFFFFF"/>
          <w:lang w:val="en-US" w:eastAsia="zh-CN"/>
        </w:rPr>
        <w:t>59.69</w:t>
      </w:r>
      <w:r>
        <w:rPr>
          <w:rFonts w:ascii="仿宋_GB2312" w:eastAsia="仿宋_GB2312" w:cs="仿宋_GB2312"/>
          <w:sz w:val="32"/>
          <w:szCs w:val="32"/>
          <w:shd w:val="clear" w:color="auto" w:fill="FFFFFF"/>
        </w:rPr>
        <w:t>万元，完成预算</w:t>
      </w:r>
      <w:r>
        <w:rPr>
          <w:rFonts w:hint="eastAsia" w:ascii="仿宋_GB2312" w:eastAsia="仿宋_GB2312" w:cs="仿宋_GB2312"/>
          <w:sz w:val="32"/>
          <w:szCs w:val="32"/>
          <w:shd w:val="clear" w:color="auto" w:fill="FFFFFF"/>
        </w:rPr>
        <w:t>100%</w:t>
      </w:r>
      <w:r>
        <w:rPr>
          <w:rFonts w:ascii="仿宋_GB2312" w:eastAsia="仿宋_GB2312" w:cs="仿宋_GB2312"/>
          <w:sz w:val="32"/>
          <w:szCs w:val="32"/>
          <w:shd w:val="clear" w:color="auto" w:fill="FFFFFF"/>
        </w:rPr>
        <w:t>。支出</w:t>
      </w:r>
      <w:r>
        <w:rPr>
          <w:rFonts w:hint="eastAsia" w:hAnsi="宋体" w:cs="宋体"/>
          <w:b w:val="0"/>
          <w:bCs w:val="0"/>
          <w:i w:val="0"/>
          <w:iCs w:val="0"/>
          <w:sz w:val="32"/>
          <w:szCs w:val="32"/>
          <w:shd w:val="clear" w:fill="FFFFFF"/>
          <w:lang w:val="en-US" w:eastAsia="zh-CN"/>
        </w:rPr>
        <w:t>59.69</w:t>
      </w:r>
      <w:r>
        <w:rPr>
          <w:rFonts w:ascii="仿宋_GB2312" w:eastAsia="仿宋_GB2312" w:cs="仿宋_GB2312"/>
          <w:sz w:val="32"/>
          <w:szCs w:val="32"/>
          <w:shd w:val="clear" w:color="auto" w:fill="FFFFFF"/>
        </w:rPr>
        <w:t>，完成预算</w:t>
      </w:r>
      <w:r>
        <w:rPr>
          <w:rFonts w:hint="eastAsia" w:ascii="仿宋_GB2312" w:eastAsia="仿宋_GB2312" w:cs="仿宋_GB2312"/>
          <w:sz w:val="32"/>
          <w:szCs w:val="32"/>
          <w:shd w:val="clear" w:color="auto" w:fill="FFFFFF"/>
        </w:rPr>
        <w:t>100%</w:t>
      </w:r>
      <w:r>
        <w:rPr>
          <w:rFonts w:ascii="仿宋_GB2312" w:eastAsia="仿宋_GB2312" w:cs="仿宋_GB2312"/>
          <w:b w:val="0"/>
          <w:kern w:val="0"/>
          <w:sz w:val="32"/>
          <w:szCs w:val="32"/>
          <w:shd w:val="clear" w:color="auto" w:fill="FFFFFF"/>
        </w:rPr>
        <w:t>。</w:t>
      </w:r>
    </w:p>
    <w:p w14:paraId="18945A66">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rPr>
      </w:pPr>
      <w:bookmarkStart w:id="43" w:name="_Toc9240"/>
      <w:bookmarkStart w:id="44" w:name="_Toc5651"/>
      <w:bookmarkStart w:id="45" w:name="_Toc17239"/>
      <w:bookmarkStart w:id="46" w:name="_Toc27592"/>
      <w:bookmarkStart w:id="47" w:name="_Toc24200"/>
      <w:bookmarkStart w:id="48" w:name="_Toc11554"/>
      <w:bookmarkStart w:id="49" w:name="_Toc8322"/>
      <w:bookmarkStart w:id="50" w:name="_Toc15377214"/>
      <w:bookmarkStart w:id="51" w:name="_Toc15396608"/>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一般公共预算财政拨款基本支出决算情况说明</w:t>
      </w:r>
      <w:bookmarkEnd w:id="43"/>
      <w:bookmarkEnd w:id="44"/>
      <w:bookmarkEnd w:id="45"/>
      <w:bookmarkEnd w:id="46"/>
      <w:bookmarkEnd w:id="47"/>
      <w:bookmarkEnd w:id="48"/>
      <w:bookmarkEnd w:id="49"/>
      <w:bookmarkEnd w:id="50"/>
      <w:bookmarkEnd w:id="51"/>
    </w:p>
    <w:p w14:paraId="23B309AA">
      <w:pPr>
        <w:pStyle w:val="45"/>
        <w:keepNext w:val="0"/>
        <w:keepLines w:val="0"/>
        <w:pageBreakBefore w:val="0"/>
        <w:widowControl/>
        <w:numPr>
          <w:ilvl w:val="0"/>
          <w:numId w:val="0"/>
        </w:numPr>
        <w:suppressLineNumbers w:val="0"/>
        <w:tabs>
          <w:tab w:val="left" w:pos="0"/>
        </w:tabs>
        <w:kinsoku/>
        <w:wordWrap/>
        <w:overflowPunct/>
        <w:topLinePunct w:val="0"/>
        <w:autoSpaceDE w:val="0"/>
        <w:autoSpaceDN/>
        <w:bidi w:val="0"/>
        <w:adjustRightInd/>
        <w:snapToGrid/>
        <w:spacing w:before="0" w:beforeAutospacing="0" w:after="0" w:afterAutospacing="0" w:line="576" w:lineRule="exact"/>
        <w:ind w:right="0" w:rightChars="0"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本年度</w:t>
      </w:r>
      <w:r>
        <w:rPr>
          <w:rFonts w:hint="eastAsia" w:ascii="仿宋_GB2312" w:eastAsia="仿宋_GB2312" w:cs="仿宋_GB2312"/>
          <w:b w:val="0"/>
          <w:bCs w:val="0"/>
          <w:i w:val="0"/>
          <w:iCs w:val="0"/>
          <w:sz w:val="32"/>
          <w:szCs w:val="32"/>
          <w:shd w:val="clear" w:fill="FFFFFF"/>
        </w:rPr>
        <w:t>一般公共预算财政拨款基本支出</w:t>
      </w:r>
      <w:r>
        <w:rPr>
          <w:rFonts w:hint="eastAsia" w:cs="宋体"/>
          <w:b w:val="0"/>
          <w:bCs w:val="0"/>
          <w:i w:val="0"/>
          <w:iCs w:val="0"/>
          <w:sz w:val="32"/>
          <w:szCs w:val="32"/>
          <w:shd w:val="clear" w:fill="FFFFFF"/>
          <w:lang w:val="en-US" w:eastAsia="zh-CN"/>
        </w:rPr>
        <w:t>1329.8</w:t>
      </w:r>
      <w:r>
        <w:rPr>
          <w:rFonts w:hint="eastAsia" w:ascii="仿宋_GB2312" w:eastAsia="仿宋_GB2312" w:cs="仿宋_GB2312"/>
          <w:b w:val="0"/>
          <w:bCs w:val="0"/>
          <w:i w:val="0"/>
          <w:iCs w:val="0"/>
          <w:sz w:val="32"/>
          <w:szCs w:val="32"/>
          <w:shd w:val="clear" w:fill="FFFFFF"/>
        </w:rPr>
        <w:t>万元，其中：人员经费</w:t>
      </w:r>
      <w:r>
        <w:rPr>
          <w:rFonts w:hint="eastAsia" w:cs="宋体"/>
          <w:b w:val="0"/>
          <w:bCs w:val="0"/>
          <w:i w:val="0"/>
          <w:iCs w:val="0"/>
          <w:sz w:val="32"/>
          <w:szCs w:val="32"/>
          <w:shd w:val="clear" w:fill="FFFFFF"/>
          <w:lang w:val="en-US" w:eastAsia="zh-CN"/>
        </w:rPr>
        <w:t>909.69</w:t>
      </w:r>
      <w:r>
        <w:rPr>
          <w:rFonts w:hint="eastAsia" w:ascii="仿宋_GB2312" w:eastAsia="仿宋_GB2312" w:cs="仿宋_GB2312"/>
          <w:b w:val="0"/>
          <w:bCs w:val="0"/>
          <w:i w:val="0"/>
          <w:iCs w:val="0"/>
          <w:sz w:val="32"/>
          <w:szCs w:val="32"/>
          <w:shd w:val="clear" w:fill="FFFFFF"/>
        </w:rPr>
        <w:t>万元，主要包括：基本工资</w:t>
      </w:r>
      <w:r>
        <w:rPr>
          <w:rFonts w:hint="eastAsia" w:cs="宋体"/>
          <w:b w:val="0"/>
          <w:bCs w:val="0"/>
          <w:i w:val="0"/>
          <w:iCs w:val="0"/>
          <w:sz w:val="32"/>
          <w:szCs w:val="32"/>
          <w:shd w:val="clear" w:fill="FFFFFF"/>
          <w:lang w:val="en-US" w:eastAsia="zh-CN"/>
        </w:rPr>
        <w:t>135.65</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津贴补贴</w:t>
      </w:r>
      <w:r>
        <w:rPr>
          <w:rFonts w:hint="eastAsia" w:cs="宋体"/>
          <w:b w:val="0"/>
          <w:bCs w:val="0"/>
          <w:i w:val="0"/>
          <w:iCs w:val="0"/>
          <w:sz w:val="32"/>
          <w:szCs w:val="32"/>
          <w:shd w:val="clear" w:fill="FFFFFF"/>
          <w:lang w:val="en-US" w:eastAsia="zh-CN"/>
        </w:rPr>
        <w:t>331.02</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、奖金</w:t>
      </w:r>
      <w:r>
        <w:rPr>
          <w:rFonts w:hint="eastAsia" w:cs="宋体"/>
          <w:b w:val="0"/>
          <w:bCs w:val="0"/>
          <w:i w:val="0"/>
          <w:iCs w:val="0"/>
          <w:sz w:val="32"/>
          <w:szCs w:val="32"/>
          <w:shd w:val="clear" w:fill="FFFFFF"/>
          <w:lang w:val="en-US" w:eastAsia="zh-CN"/>
        </w:rPr>
        <w:t>122.17</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、机关事业单位基本养老保险缴费</w:t>
      </w:r>
      <w:r>
        <w:rPr>
          <w:rFonts w:hint="eastAsia" w:cs="宋体"/>
          <w:b w:val="0"/>
          <w:bCs w:val="0"/>
          <w:i w:val="0"/>
          <w:iCs w:val="0"/>
          <w:sz w:val="32"/>
          <w:szCs w:val="32"/>
          <w:shd w:val="clear" w:fill="FFFFFF"/>
          <w:lang w:val="en-US" w:eastAsia="zh-CN"/>
        </w:rPr>
        <w:t>75.32</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、职业年金缴费</w:t>
      </w:r>
      <w:r>
        <w:rPr>
          <w:rFonts w:hint="eastAsia" w:cs="宋体"/>
          <w:b w:val="0"/>
          <w:bCs w:val="0"/>
          <w:i w:val="0"/>
          <w:iCs w:val="0"/>
          <w:sz w:val="32"/>
          <w:szCs w:val="32"/>
          <w:shd w:val="clear" w:fill="FFFFFF"/>
          <w:lang w:val="en-US" w:eastAsia="zh-CN"/>
        </w:rPr>
        <w:t>37.7万</w:t>
      </w:r>
      <w:r>
        <w:rPr>
          <w:rFonts w:hint="eastAsia" w:ascii="仿宋_GB2312" w:eastAsia="仿宋_GB2312" w:cs="仿宋_GB2312"/>
          <w:b w:val="0"/>
          <w:bCs w:val="0"/>
          <w:i w:val="0"/>
          <w:iCs w:val="0"/>
          <w:sz w:val="32"/>
          <w:szCs w:val="32"/>
          <w:shd w:val="clear" w:fill="FFFFFF"/>
          <w:lang w:val="en-US" w:eastAsia="zh-CN"/>
        </w:rPr>
        <w:t>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职工基本医疗保险缴费</w:t>
      </w:r>
      <w:r>
        <w:rPr>
          <w:rFonts w:hint="eastAsia" w:cs="宋体"/>
          <w:b w:val="0"/>
          <w:bCs w:val="0"/>
          <w:i w:val="0"/>
          <w:iCs w:val="0"/>
          <w:sz w:val="32"/>
          <w:szCs w:val="32"/>
          <w:shd w:val="clear" w:fill="FFFFFF"/>
          <w:lang w:val="en-US" w:eastAsia="zh-CN"/>
        </w:rPr>
        <w:t>39.61</w:t>
      </w:r>
      <w:r>
        <w:rPr>
          <w:rFonts w:hint="eastAsia" w:ascii="仿宋_GB2312" w:eastAsia="仿宋_GB2312" w:cs="仿宋_GB2312"/>
          <w:b w:val="0"/>
          <w:bCs w:val="0"/>
          <w:i w:val="0"/>
          <w:iCs w:val="0"/>
          <w:sz w:val="32"/>
          <w:szCs w:val="32"/>
          <w:shd w:val="clear" w:fill="FFFFFF"/>
          <w:lang w:val="en-US" w:eastAsia="zh-CN"/>
        </w:rPr>
        <w:t>万元、公务员医疗补助缴费</w:t>
      </w:r>
      <w:r>
        <w:rPr>
          <w:rFonts w:hint="eastAsia" w:cs="宋体"/>
          <w:b w:val="0"/>
          <w:bCs w:val="0"/>
          <w:i w:val="0"/>
          <w:iCs w:val="0"/>
          <w:sz w:val="32"/>
          <w:szCs w:val="32"/>
          <w:shd w:val="clear" w:fill="FFFFFF"/>
          <w:lang w:val="en-US" w:eastAsia="zh-CN"/>
        </w:rPr>
        <w:t>8.15</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其他社会保障缴费</w:t>
      </w:r>
      <w:r>
        <w:rPr>
          <w:rFonts w:hint="eastAsia" w:cs="宋体"/>
          <w:b w:val="0"/>
          <w:bCs w:val="0"/>
          <w:i w:val="0"/>
          <w:iCs w:val="0"/>
          <w:sz w:val="32"/>
          <w:szCs w:val="32"/>
          <w:shd w:val="clear" w:fill="FFFFFF"/>
          <w:lang w:val="en-US" w:eastAsia="zh-CN"/>
        </w:rPr>
        <w:t>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住房公积金</w:t>
      </w:r>
      <w:r>
        <w:rPr>
          <w:rFonts w:hint="eastAsia" w:cs="宋体"/>
          <w:b w:val="0"/>
          <w:bCs w:val="0"/>
          <w:i w:val="0"/>
          <w:iCs w:val="0"/>
          <w:sz w:val="32"/>
          <w:szCs w:val="32"/>
          <w:shd w:val="clear" w:fill="FFFFFF"/>
          <w:lang w:val="en-US" w:eastAsia="zh-CN"/>
        </w:rPr>
        <w:t>59.69</w:t>
      </w:r>
      <w:r>
        <w:rPr>
          <w:rFonts w:hint="eastAsia" w:ascii="仿宋_GB2312" w:eastAsia="仿宋_GB2312" w:cs="仿宋_GB2312"/>
          <w:b w:val="0"/>
          <w:bCs w:val="0"/>
          <w:i w:val="0"/>
          <w:iCs w:val="0"/>
          <w:sz w:val="32"/>
          <w:szCs w:val="32"/>
          <w:shd w:val="clear" w:fill="FFFFFF"/>
          <w:lang w:val="en-US" w:eastAsia="zh-CN"/>
        </w:rPr>
        <w:t>万元、医疗费</w:t>
      </w:r>
      <w:r>
        <w:rPr>
          <w:rFonts w:hint="eastAsia" w:cs="宋体"/>
          <w:b w:val="0"/>
          <w:bCs w:val="0"/>
          <w:i w:val="0"/>
          <w:iCs w:val="0"/>
          <w:sz w:val="32"/>
          <w:szCs w:val="32"/>
          <w:shd w:val="clear" w:fill="FFFFFF"/>
          <w:lang w:val="en-US" w:eastAsia="zh-CN"/>
        </w:rPr>
        <w:t>2.25</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对个人和家庭的补助</w:t>
      </w:r>
      <w:r>
        <w:rPr>
          <w:rFonts w:hint="eastAsia" w:cs="宋体"/>
          <w:b w:val="0"/>
          <w:bCs w:val="0"/>
          <w:i w:val="0"/>
          <w:iCs w:val="0"/>
          <w:sz w:val="32"/>
          <w:szCs w:val="32"/>
          <w:shd w:val="clear" w:fill="FFFFFF"/>
          <w:lang w:val="en-US" w:eastAsia="zh-CN"/>
        </w:rPr>
        <w:t>89.13</w:t>
      </w:r>
      <w:r>
        <w:rPr>
          <w:rFonts w:hint="eastAsia" w:ascii="仿宋_GB2312" w:eastAsia="仿宋_GB2312" w:cs="仿宋_GB2312"/>
          <w:b w:val="0"/>
          <w:bCs w:val="0"/>
          <w:i w:val="0"/>
          <w:iCs w:val="0"/>
          <w:sz w:val="32"/>
          <w:szCs w:val="32"/>
          <w:shd w:val="clear" w:fill="FFFFFF"/>
          <w:lang w:val="en-US" w:eastAsia="zh-CN"/>
        </w:rPr>
        <w:t>万元。</w:t>
      </w:r>
    </w:p>
    <w:p w14:paraId="00AF113B">
      <w:pPr>
        <w:pStyle w:val="45"/>
        <w:keepNext w:val="0"/>
        <w:keepLines w:val="0"/>
        <w:pageBreakBefore w:val="0"/>
        <w:widowControl/>
        <w:numPr>
          <w:ilvl w:val="0"/>
          <w:numId w:val="0"/>
        </w:numPr>
        <w:suppressLineNumbers w:val="0"/>
        <w:tabs>
          <w:tab w:val="left" w:pos="0"/>
        </w:tabs>
        <w:kinsoku/>
        <w:wordWrap/>
        <w:overflowPunct/>
        <w:topLinePunct w:val="0"/>
        <w:autoSpaceDE w:val="0"/>
        <w:autoSpaceDN/>
        <w:bidi w:val="0"/>
        <w:adjustRightInd/>
        <w:snapToGrid/>
        <w:spacing w:before="0" w:beforeAutospacing="0" w:after="0" w:afterAutospacing="0" w:line="576" w:lineRule="exact"/>
        <w:ind w:right="0" w:rightChars="0" w:firstLine="640" w:firstLineChars="200"/>
        <w:jc w:val="both"/>
        <w:textAlignment w:val="auto"/>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rPr>
        <w:t>日常公用经费</w:t>
      </w:r>
      <w:r>
        <w:rPr>
          <w:rFonts w:hint="eastAsia" w:cs="宋体"/>
          <w:b w:val="0"/>
          <w:bCs w:val="0"/>
          <w:i w:val="0"/>
          <w:iCs w:val="0"/>
          <w:sz w:val="32"/>
          <w:szCs w:val="32"/>
          <w:shd w:val="clear" w:fill="FFFFFF"/>
          <w:lang w:val="en-US" w:eastAsia="zh-CN"/>
        </w:rPr>
        <w:t>95</w:t>
      </w:r>
      <w:r>
        <w:rPr>
          <w:rFonts w:hint="eastAsia" w:ascii="仿宋_GB2312" w:eastAsia="仿宋_GB2312" w:cs="仿宋_GB2312"/>
          <w:b w:val="0"/>
          <w:bCs w:val="0"/>
          <w:i w:val="0"/>
          <w:iCs w:val="0"/>
          <w:sz w:val="32"/>
          <w:szCs w:val="32"/>
          <w:shd w:val="clear" w:fill="FFFFFF"/>
        </w:rPr>
        <w:t>万元，主要包括：办公费</w:t>
      </w:r>
      <w:r>
        <w:rPr>
          <w:rFonts w:hint="eastAsia" w:cs="宋体"/>
          <w:b w:val="0"/>
          <w:bCs w:val="0"/>
          <w:i w:val="0"/>
          <w:iCs w:val="0"/>
          <w:sz w:val="32"/>
          <w:szCs w:val="32"/>
          <w:shd w:val="clear" w:fill="FFFFFF"/>
          <w:lang w:val="en-US" w:eastAsia="zh-CN"/>
        </w:rPr>
        <w:t>53.49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、印刷费</w:t>
      </w:r>
      <w:r>
        <w:rPr>
          <w:rFonts w:hint="eastAsia" w:cs="宋体"/>
          <w:b w:val="0"/>
          <w:bCs w:val="0"/>
          <w:i w:val="0"/>
          <w:iCs w:val="0"/>
          <w:sz w:val="32"/>
          <w:szCs w:val="32"/>
          <w:shd w:val="clear" w:fill="FFFFFF"/>
          <w:lang w:val="en-US" w:eastAsia="zh-CN"/>
        </w:rPr>
        <w:t>8.8</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电费</w:t>
      </w:r>
      <w:r>
        <w:rPr>
          <w:rFonts w:hint="eastAsia" w:cs="宋体"/>
          <w:b w:val="0"/>
          <w:bCs w:val="0"/>
          <w:i w:val="0"/>
          <w:iCs w:val="0"/>
          <w:sz w:val="32"/>
          <w:szCs w:val="32"/>
          <w:shd w:val="clear" w:fill="FFFFFF"/>
          <w:lang w:val="en-US" w:eastAsia="zh-CN"/>
        </w:rPr>
        <w:t>6</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、邮电费</w:t>
      </w:r>
      <w:r>
        <w:rPr>
          <w:rFonts w:hint="eastAsia" w:cs="宋体"/>
          <w:b w:val="0"/>
          <w:bCs w:val="0"/>
          <w:i w:val="0"/>
          <w:iCs w:val="0"/>
          <w:sz w:val="32"/>
          <w:szCs w:val="32"/>
          <w:shd w:val="clear" w:fill="FFFFFF"/>
          <w:lang w:val="en-US" w:eastAsia="zh-CN"/>
        </w:rPr>
        <w:t>4.6</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取暖费</w:t>
      </w:r>
      <w:r>
        <w:rPr>
          <w:rFonts w:hint="eastAsia" w:cs="宋体"/>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差旅费</w:t>
      </w:r>
      <w:r>
        <w:rPr>
          <w:rFonts w:hint="eastAsia" w:cs="宋体"/>
          <w:b w:val="0"/>
          <w:bCs w:val="0"/>
          <w:i w:val="0"/>
          <w:iCs w:val="0"/>
          <w:sz w:val="32"/>
          <w:szCs w:val="32"/>
          <w:shd w:val="clear" w:fill="FFFFFF"/>
          <w:lang w:val="en-US" w:eastAsia="zh-CN"/>
        </w:rPr>
        <w:t>0.89</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、会议费</w:t>
      </w:r>
      <w:r>
        <w:rPr>
          <w:rFonts w:hint="eastAsia" w:cs="宋体"/>
          <w:b w:val="0"/>
          <w:bCs w:val="0"/>
          <w:i w:val="0"/>
          <w:iCs w:val="0"/>
          <w:sz w:val="32"/>
          <w:szCs w:val="32"/>
          <w:shd w:val="clear" w:fill="FFFFFF"/>
          <w:lang w:val="en-US" w:eastAsia="zh-CN"/>
        </w:rPr>
        <w:t>2.02</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维修（护）费</w:t>
      </w:r>
      <w:r>
        <w:rPr>
          <w:rFonts w:hint="eastAsia" w:cs="宋体"/>
          <w:b w:val="0"/>
          <w:bCs w:val="0"/>
          <w:i w:val="0"/>
          <w:iCs w:val="0"/>
          <w:sz w:val="32"/>
          <w:szCs w:val="32"/>
          <w:shd w:val="clear" w:fill="FFFFFF"/>
          <w:lang w:val="en-US" w:eastAsia="zh-CN"/>
        </w:rPr>
        <w:t>0.8</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培训费</w:t>
      </w:r>
      <w:r>
        <w:rPr>
          <w:rFonts w:hint="eastAsia" w:cs="宋体"/>
          <w:b w:val="0"/>
          <w:bCs w:val="0"/>
          <w:i w:val="0"/>
          <w:iCs w:val="0"/>
          <w:sz w:val="32"/>
          <w:szCs w:val="32"/>
          <w:shd w:val="clear" w:fill="FFFFFF"/>
          <w:lang w:val="en-US" w:eastAsia="zh-CN"/>
        </w:rPr>
        <w:t>0.48</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、劳务费</w:t>
      </w:r>
      <w:r>
        <w:rPr>
          <w:rFonts w:hint="eastAsia" w:cs="宋体"/>
          <w:b w:val="0"/>
          <w:bCs w:val="0"/>
          <w:i w:val="0"/>
          <w:iCs w:val="0"/>
          <w:sz w:val="32"/>
          <w:szCs w:val="32"/>
          <w:shd w:val="clear" w:fill="FFFFFF"/>
          <w:lang w:val="en-US" w:eastAsia="zh-CN"/>
        </w:rPr>
        <w:t>8.72</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lang w:val="en-US" w:eastAsia="zh-CN"/>
        </w:rPr>
        <w:t>接待费</w:t>
      </w:r>
      <w:r>
        <w:rPr>
          <w:rFonts w:hint="eastAsia" w:cs="宋体"/>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lang w:val="en-US" w:eastAsia="zh-CN"/>
        </w:rPr>
        <w:t>万元、</w:t>
      </w:r>
      <w:r>
        <w:rPr>
          <w:rFonts w:hint="eastAsia" w:ascii="仿宋_GB2312" w:eastAsia="仿宋_GB2312" w:cs="仿宋_GB2312"/>
          <w:b w:val="0"/>
          <w:bCs w:val="0"/>
          <w:i w:val="0"/>
          <w:iCs w:val="0"/>
          <w:sz w:val="32"/>
          <w:szCs w:val="32"/>
          <w:shd w:val="clear" w:fill="FFFFFF"/>
        </w:rPr>
        <w:t>公务用车运行维护费</w:t>
      </w:r>
      <w:r>
        <w:rPr>
          <w:rFonts w:hint="eastAsia" w:cs="宋体"/>
          <w:b w:val="0"/>
          <w:bCs w:val="0"/>
          <w:i w:val="0"/>
          <w:iCs w:val="0"/>
          <w:sz w:val="32"/>
          <w:szCs w:val="32"/>
          <w:shd w:val="clear" w:fill="FFFFFF"/>
          <w:lang w:val="en-US" w:eastAsia="zh-CN"/>
        </w:rPr>
        <w:t>9.2</w:t>
      </w:r>
      <w:r>
        <w:rPr>
          <w:rFonts w:hint="eastAsia" w:ascii="仿宋_GB2312" w:eastAsia="仿宋_GB2312" w:cs="仿宋_GB2312"/>
          <w:b w:val="0"/>
          <w:bCs w:val="0"/>
          <w:i w:val="0"/>
          <w:iCs w:val="0"/>
          <w:sz w:val="32"/>
          <w:szCs w:val="32"/>
          <w:shd w:val="clear" w:fill="FFFFFF"/>
          <w:lang w:val="en-US" w:eastAsia="zh-CN"/>
        </w:rPr>
        <w:t>万元。</w:t>
      </w:r>
    </w:p>
    <w:p w14:paraId="00F0D5A4">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both"/>
        <w:textAlignment w:val="auto"/>
        <w:outlineLvl w:val="1"/>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五、“三公”经费财政拨款支出决算情况说明</w:t>
      </w:r>
    </w:p>
    <w:p w14:paraId="7A5FC75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（一）“三公”经费财政拨款支出决算总体情况说明</w:t>
      </w:r>
    </w:p>
    <w:p w14:paraId="4B66CD3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0"/>
          <w:szCs w:val="30"/>
          <w:u w:val="none"/>
        </w:rPr>
      </w:pPr>
      <w:r>
        <w:rPr>
          <w:rFonts w:hint="eastAsia" w:ascii="仿宋_GB2312" w:eastAsia="仿宋_GB2312" w:cs="仿宋_GB2312"/>
          <w:b w:val="0"/>
          <w:bCs w:val="0"/>
          <w:i w:val="0"/>
          <w:iCs w:val="0"/>
          <w:sz w:val="32"/>
          <w:szCs w:val="32"/>
          <w:shd w:val="clear" w:fill="FFFFFF"/>
          <w:lang w:val="en-US" w:eastAsia="zh-CN"/>
        </w:rPr>
        <w:t>2023</w:t>
      </w:r>
      <w:r>
        <w:rPr>
          <w:rFonts w:hint="eastAsia" w:ascii="仿宋_GB2312" w:eastAsia="仿宋_GB2312" w:cs="仿宋_GB2312"/>
          <w:b w:val="0"/>
          <w:bCs w:val="0"/>
          <w:i w:val="0"/>
          <w:iCs w:val="0"/>
          <w:sz w:val="32"/>
          <w:szCs w:val="32"/>
          <w:shd w:val="clear" w:fill="FFFFFF"/>
        </w:rPr>
        <w:t>年度</w:t>
      </w:r>
      <w:r>
        <w:rPr>
          <w:rFonts w:hint="eastAsia" w:ascii="仿宋_GB2312" w:eastAsia="仿宋_GB2312" w:cs="仿宋_GB2312"/>
          <w:b w:val="0"/>
          <w:bCs w:val="0"/>
          <w:i w:val="0"/>
          <w:iCs w:val="0"/>
          <w:sz w:val="32"/>
          <w:szCs w:val="32"/>
          <w:shd w:val="clear" w:fill="FFFFFF"/>
          <w:lang w:eastAsia="zh-CN"/>
        </w:rPr>
        <w:t>，</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经费支出决算数为</w:t>
      </w:r>
      <w:r>
        <w:rPr>
          <w:rFonts w:hint="eastAsia" w:ascii="宋体" w:hAnsi="宋体" w:eastAsia="宋体" w:cs="宋体"/>
          <w:b w:val="0"/>
          <w:bCs w:val="0"/>
          <w:i w:val="0"/>
          <w:iCs w:val="0"/>
          <w:sz w:val="32"/>
          <w:szCs w:val="32"/>
          <w:shd w:val="clear" w:fill="FFFFFF"/>
          <w:lang w:val="en-US" w:eastAsia="zh-CN"/>
        </w:rPr>
        <w:t>9.2</w:t>
      </w:r>
      <w:r>
        <w:rPr>
          <w:rFonts w:hint="eastAsia" w:ascii="仿宋_GB2312" w:eastAsia="仿宋_GB2312" w:cs="仿宋_GB2312"/>
          <w:b w:val="0"/>
          <w:bCs w:val="0"/>
          <w:i w:val="0"/>
          <w:iCs w:val="0"/>
          <w:sz w:val="32"/>
          <w:szCs w:val="32"/>
          <w:shd w:val="clear" w:fill="FFFFFF"/>
        </w:rPr>
        <w:t>万元。其中</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因公出国（境）费支出决算数为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万元，相比上年度增加</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万元；公务用车购置及运行维护费支出决算数为</w:t>
      </w:r>
      <w:r>
        <w:rPr>
          <w:rFonts w:hint="eastAsia" w:ascii="宋体" w:hAnsi="宋体" w:eastAsia="宋体" w:cs="宋体"/>
          <w:b w:val="0"/>
          <w:bCs w:val="0"/>
          <w:i w:val="0"/>
          <w:iCs w:val="0"/>
          <w:sz w:val="32"/>
          <w:szCs w:val="32"/>
          <w:shd w:val="clear" w:fill="FFFFFF"/>
          <w:lang w:val="en-US" w:eastAsia="zh-CN"/>
        </w:rPr>
        <w:t>9.2</w:t>
      </w:r>
      <w:r>
        <w:rPr>
          <w:rFonts w:hint="eastAsia" w:ascii="仿宋_GB2312" w:eastAsia="仿宋_GB2312" w:cs="仿宋_GB2312"/>
          <w:b w:val="0"/>
          <w:bCs w:val="0"/>
          <w:i w:val="0"/>
          <w:iCs w:val="0"/>
          <w:sz w:val="32"/>
          <w:szCs w:val="32"/>
          <w:shd w:val="clear" w:fill="FFFFFF"/>
        </w:rPr>
        <w:t>万元，相比上年度</w:t>
      </w:r>
      <w:r>
        <w:rPr>
          <w:rFonts w:hint="eastAsia" w:ascii="仿宋_GB2312" w:eastAsia="仿宋_GB2312" w:cs="仿宋_GB2312"/>
          <w:b w:val="0"/>
          <w:bCs w:val="0"/>
          <w:i w:val="0"/>
          <w:iCs w:val="0"/>
          <w:sz w:val="32"/>
          <w:szCs w:val="32"/>
          <w:shd w:val="clear" w:fill="FFFFFF"/>
          <w:lang w:val="en-US" w:eastAsia="zh-CN"/>
        </w:rPr>
        <w:t>减少</w:t>
      </w:r>
      <w:r>
        <w:rPr>
          <w:rFonts w:hint="eastAsia" w:ascii="宋体" w:hAnsi="宋体" w:eastAsia="宋体" w:cs="宋体"/>
          <w:b w:val="0"/>
          <w:bCs w:val="0"/>
          <w:i w:val="0"/>
          <w:iCs w:val="0"/>
          <w:sz w:val="32"/>
          <w:szCs w:val="32"/>
          <w:shd w:val="clear" w:fill="FFFFFF"/>
          <w:lang w:val="en-US" w:eastAsia="zh-CN"/>
        </w:rPr>
        <w:t>0.82</w:t>
      </w:r>
      <w:r>
        <w:rPr>
          <w:rFonts w:hint="eastAsia" w:ascii="仿宋_GB2312" w:eastAsia="仿宋_GB2312" w:cs="仿宋_GB2312"/>
          <w:b w:val="0"/>
          <w:bCs w:val="0"/>
          <w:i w:val="0"/>
          <w:iCs w:val="0"/>
          <w:sz w:val="32"/>
          <w:szCs w:val="32"/>
          <w:shd w:val="clear" w:fill="FFFFFF"/>
        </w:rPr>
        <w:t>万元</w:t>
      </w:r>
      <w:r>
        <w:rPr>
          <w:rFonts w:hint="eastAsia" w:ascii="仿宋_GB2312" w:eastAsia="仿宋_GB2312" w:cs="仿宋_GB2312"/>
          <w:b w:val="0"/>
          <w:bCs w:val="0"/>
          <w:i w:val="0"/>
          <w:iCs w:val="0"/>
          <w:color w:val="auto"/>
          <w:sz w:val="32"/>
          <w:szCs w:val="32"/>
          <w:u w:val="none"/>
          <w:shd w:val="clear" w:fill="FFFFFF"/>
        </w:rPr>
        <w:t>，</w:t>
      </w:r>
      <w:r>
        <w:rPr>
          <w:rStyle w:val="33"/>
          <w:rFonts w:hint="eastAsia" w:ascii="仿宋_GB2312" w:eastAsia="仿宋_GB2312" w:cs="仿宋_GB2312"/>
          <w:b w:val="0"/>
          <w:bCs w:val="0"/>
          <w:color w:val="auto"/>
          <w:sz w:val="32"/>
          <w:szCs w:val="32"/>
          <w:u w:val="none"/>
          <w:shd w:val="clear" w:fill="FFFFFF"/>
        </w:rPr>
        <w:t>主要原因为</w:t>
      </w:r>
      <w:r>
        <w:rPr>
          <w:rStyle w:val="33"/>
          <w:rFonts w:hint="eastAsia" w:ascii="仿宋_GB2312" w:eastAsia="仿宋_GB2312" w:cs="仿宋_GB2312"/>
          <w:b w:val="0"/>
          <w:bCs w:val="0"/>
          <w:color w:val="auto"/>
          <w:sz w:val="32"/>
          <w:szCs w:val="32"/>
          <w:u w:val="none"/>
          <w:shd w:val="clear" w:fill="FFFFFF"/>
          <w:lang w:val="en-US" w:eastAsia="zh-CN"/>
        </w:rPr>
        <w:t>厉行节约，减少开支</w:t>
      </w:r>
      <w:r>
        <w:rPr>
          <w:rFonts w:hint="eastAsia" w:ascii="仿宋_GB2312" w:eastAsia="仿宋_GB2312" w:cs="仿宋_GB2312"/>
          <w:b w:val="0"/>
          <w:bCs w:val="0"/>
          <w:i w:val="0"/>
          <w:iCs w:val="0"/>
          <w:color w:val="auto"/>
          <w:sz w:val="32"/>
          <w:szCs w:val="32"/>
          <w:u w:val="none"/>
          <w:shd w:val="clear" w:fill="FFFFFF"/>
        </w:rPr>
        <w:t>；公务接待费支出决算数为</w:t>
      </w:r>
      <w:r>
        <w:rPr>
          <w:rFonts w:hint="eastAsia" w:ascii="宋体" w:hAnsi="宋体" w:eastAsia="宋体" w:cs="宋体"/>
          <w:b w:val="0"/>
          <w:bCs w:val="0"/>
          <w:i w:val="0"/>
          <w:iCs w:val="0"/>
          <w:color w:val="auto"/>
          <w:sz w:val="32"/>
          <w:szCs w:val="32"/>
          <w:u w:val="none"/>
          <w:shd w:val="clear" w:fill="FFFFFF"/>
          <w:lang w:val="en-US" w:eastAsia="zh-CN"/>
        </w:rPr>
        <w:t>0</w:t>
      </w:r>
      <w:r>
        <w:rPr>
          <w:rFonts w:hint="eastAsia" w:ascii="仿宋_GB2312" w:eastAsia="仿宋_GB2312" w:cs="仿宋_GB2312"/>
          <w:b w:val="0"/>
          <w:bCs w:val="0"/>
          <w:i w:val="0"/>
          <w:iCs w:val="0"/>
          <w:color w:val="auto"/>
          <w:sz w:val="32"/>
          <w:szCs w:val="32"/>
          <w:u w:val="none"/>
          <w:shd w:val="clear" w:fill="FFFFFF"/>
        </w:rPr>
        <w:t>万元，相比上年度</w:t>
      </w:r>
      <w:r>
        <w:rPr>
          <w:rFonts w:hint="eastAsia" w:ascii="仿宋_GB2312" w:eastAsia="仿宋_GB2312" w:cs="仿宋_GB2312"/>
          <w:b w:val="0"/>
          <w:bCs w:val="0"/>
          <w:i w:val="0"/>
          <w:iCs w:val="0"/>
          <w:color w:val="auto"/>
          <w:sz w:val="32"/>
          <w:szCs w:val="32"/>
          <w:u w:val="none"/>
          <w:shd w:val="clear" w:fill="FFFFFF"/>
          <w:lang w:val="en-US" w:eastAsia="zh-CN"/>
        </w:rPr>
        <w:t>减少0</w:t>
      </w:r>
      <w:r>
        <w:rPr>
          <w:rFonts w:hint="eastAsia" w:ascii="仿宋_GB2312" w:eastAsia="仿宋_GB2312" w:cs="仿宋_GB2312"/>
          <w:b w:val="0"/>
          <w:bCs w:val="0"/>
          <w:i w:val="0"/>
          <w:iCs w:val="0"/>
          <w:color w:val="auto"/>
          <w:sz w:val="32"/>
          <w:szCs w:val="32"/>
          <w:u w:val="none"/>
          <w:shd w:val="clear" w:fill="FFFFFF"/>
        </w:rPr>
        <w:t>万元。</w:t>
      </w:r>
    </w:p>
    <w:p w14:paraId="56395EA5">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（二）“三公”经费财政拨款支出决算具体情况说明</w:t>
      </w:r>
    </w:p>
    <w:p w14:paraId="45CE0025">
      <w:pPr>
        <w:pStyle w:val="8"/>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r>
        <w:rPr>
          <w:rFonts w:hint="eastAsia" w:ascii="仿宋_GB2312" w:eastAsia="仿宋_GB2312" w:cs="仿宋_GB2312"/>
          <w:b w:val="0"/>
          <w:bCs w:val="0"/>
          <w:i w:val="0"/>
          <w:iCs w:val="0"/>
          <w:sz w:val="32"/>
          <w:szCs w:val="32"/>
          <w:shd w:val="clear" w:fill="FFFFFF"/>
        </w:rPr>
        <w:t>本年度</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三公</w:t>
      </w:r>
      <w:r>
        <w:rPr>
          <w:rFonts w:hint="eastAsia" w:ascii="宋体" w:hAnsi="宋体" w:eastAsia="宋体" w:cs="宋体"/>
          <w:b w:val="0"/>
          <w:bCs w:val="0"/>
          <w:i w:val="0"/>
          <w:iCs w:val="0"/>
          <w:sz w:val="32"/>
          <w:szCs w:val="32"/>
          <w:shd w:val="clear" w:fill="FFFFFF"/>
        </w:rPr>
        <w:t>”</w:t>
      </w:r>
      <w:r>
        <w:rPr>
          <w:rFonts w:hint="eastAsia" w:ascii="仿宋_GB2312" w:eastAsia="仿宋_GB2312" w:cs="仿宋_GB2312"/>
          <w:b w:val="0"/>
          <w:bCs w:val="0"/>
          <w:i w:val="0"/>
          <w:iCs w:val="0"/>
          <w:sz w:val="32"/>
          <w:szCs w:val="32"/>
          <w:shd w:val="clear" w:fill="FFFFFF"/>
        </w:rPr>
        <w:t>经费支出预算数为</w:t>
      </w:r>
      <w:r>
        <w:rPr>
          <w:rFonts w:hint="eastAsia" w:ascii="宋体" w:hAnsi="宋体" w:eastAsia="宋体" w:cs="宋体"/>
          <w:b w:val="0"/>
          <w:bCs w:val="0"/>
          <w:i w:val="0"/>
          <w:iCs w:val="0"/>
          <w:sz w:val="32"/>
          <w:szCs w:val="32"/>
          <w:shd w:val="clear" w:fill="FFFFFF"/>
          <w:lang w:val="en-US" w:eastAsia="zh-CN"/>
        </w:rPr>
        <w:t>9.2</w:t>
      </w:r>
      <w:r>
        <w:rPr>
          <w:rFonts w:hint="eastAsia" w:ascii="仿宋_GB2312" w:eastAsia="仿宋_GB2312" w:cs="仿宋_GB2312"/>
          <w:b w:val="0"/>
          <w:bCs w:val="0"/>
          <w:i w:val="0"/>
          <w:iCs w:val="0"/>
          <w:sz w:val="32"/>
          <w:szCs w:val="32"/>
          <w:shd w:val="clear" w:fill="FFFFFF"/>
        </w:rPr>
        <w:t>万元，决算数为</w:t>
      </w:r>
      <w:r>
        <w:rPr>
          <w:rFonts w:hint="eastAsia" w:ascii="宋体" w:hAnsi="宋体" w:eastAsia="宋体" w:cs="宋体"/>
          <w:b w:val="0"/>
          <w:bCs w:val="0"/>
          <w:i w:val="0"/>
          <w:iCs w:val="0"/>
          <w:sz w:val="32"/>
          <w:szCs w:val="32"/>
          <w:shd w:val="clear" w:fill="FFFFFF"/>
          <w:lang w:val="en-US" w:eastAsia="zh-CN"/>
        </w:rPr>
        <w:t>9.2</w:t>
      </w:r>
      <w:r>
        <w:rPr>
          <w:rFonts w:hint="eastAsia" w:ascii="仿宋_GB2312" w:eastAsia="仿宋_GB2312" w:cs="仿宋_GB2312"/>
          <w:b w:val="0"/>
          <w:bCs w:val="0"/>
          <w:i w:val="0"/>
          <w:iCs w:val="0"/>
          <w:sz w:val="32"/>
          <w:szCs w:val="32"/>
          <w:shd w:val="clear" w:fill="FFFFFF"/>
        </w:rPr>
        <w:t>万元，预算完成度为</w:t>
      </w:r>
      <w:r>
        <w:rPr>
          <w:rFonts w:hint="eastAsia" w:ascii="宋体" w:hAnsi="宋体" w:eastAsia="宋体" w:cs="宋体"/>
          <w:b w:val="0"/>
          <w:bCs w:val="0"/>
          <w:i w:val="0"/>
          <w:iCs w:val="0"/>
          <w:sz w:val="32"/>
          <w:szCs w:val="32"/>
          <w:shd w:val="clear" w:fill="FFFFFF"/>
        </w:rPr>
        <w:t>100.00%</w:t>
      </w:r>
      <w:r>
        <w:rPr>
          <w:rFonts w:hint="eastAsia" w:ascii="仿宋_GB2312" w:eastAsia="仿宋_GB2312" w:cs="仿宋_GB2312"/>
          <w:b w:val="0"/>
          <w:bCs w:val="0"/>
          <w:i w:val="0"/>
          <w:iCs w:val="0"/>
          <w:sz w:val="32"/>
          <w:szCs w:val="32"/>
          <w:shd w:val="clear" w:fill="FFFFFF"/>
        </w:rPr>
        <w:t>。本年度因公出国（境）费人均支出为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万元，公务用车购置及运行维护费人均支出为</w:t>
      </w:r>
      <w:r>
        <w:rPr>
          <w:rFonts w:hint="eastAsia" w:ascii="宋体" w:hAnsi="宋体" w:eastAsia="宋体" w:cs="宋体"/>
          <w:b w:val="0"/>
          <w:bCs w:val="0"/>
          <w:i w:val="0"/>
          <w:iCs w:val="0"/>
          <w:sz w:val="32"/>
          <w:szCs w:val="32"/>
          <w:shd w:val="clear" w:fill="FFFFFF"/>
          <w:lang w:val="en-US" w:eastAsia="zh-CN"/>
        </w:rPr>
        <w:t>0.27</w:t>
      </w:r>
      <w:r>
        <w:rPr>
          <w:rFonts w:hint="eastAsia" w:ascii="仿宋_GB2312" w:eastAsia="仿宋_GB2312" w:cs="仿宋_GB2312"/>
          <w:b w:val="0"/>
          <w:bCs w:val="0"/>
          <w:i w:val="0"/>
          <w:iCs w:val="0"/>
          <w:sz w:val="32"/>
          <w:szCs w:val="32"/>
          <w:shd w:val="clear" w:fill="FFFFFF"/>
        </w:rPr>
        <w:t>万元，公务接待费人均支出为</w:t>
      </w:r>
      <w:r>
        <w:rPr>
          <w:rFonts w:hint="eastAsia" w:ascii="宋体" w:hAnsi="宋体" w:eastAsia="宋体" w:cs="宋体"/>
          <w:b w:val="0"/>
          <w:bCs w:val="0"/>
          <w:i w:val="0"/>
          <w:iCs w:val="0"/>
          <w:sz w:val="32"/>
          <w:szCs w:val="32"/>
          <w:shd w:val="clear" w:fill="FFFFFF"/>
        </w:rPr>
        <w:t>0.00</w:t>
      </w:r>
      <w:r>
        <w:rPr>
          <w:rFonts w:hint="eastAsia" w:ascii="仿宋_GB2312" w:eastAsia="仿宋_GB2312" w:cs="仿宋_GB2312"/>
          <w:b w:val="0"/>
          <w:bCs w:val="0"/>
          <w:i w:val="0"/>
          <w:iCs w:val="0"/>
          <w:sz w:val="32"/>
          <w:szCs w:val="32"/>
          <w:shd w:val="clear" w:fill="FFFFFF"/>
        </w:rPr>
        <w:t>万元。</w:t>
      </w:r>
    </w:p>
    <w:p w14:paraId="445B09F9">
      <w:pPr>
        <w:pStyle w:val="8"/>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p>
    <w:p w14:paraId="77538BAC">
      <w:pPr>
        <w:pStyle w:val="8"/>
        <w:keepNext w:val="0"/>
        <w:keepLines w:val="0"/>
        <w:pageBreakBefore w:val="0"/>
        <w:widowControl/>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Style w:val="20"/>
          <w:rFonts w:hint="default" w:ascii="Times New Roman" w:hAnsi="Times New Roman" w:eastAsia="方正楷体_GBK" w:cs="Times New Roman"/>
          <w:b/>
          <w:bCs w:val="0"/>
          <w:color w:val="auto"/>
          <w:sz w:val="32"/>
          <w:szCs w:val="32"/>
          <w:u w:val="none"/>
          <w:lang w:val="en-US" w:eastAsia="zh-CN"/>
        </w:rPr>
      </w:pPr>
    </w:p>
    <w:p w14:paraId="06A8A061">
      <w:pPr>
        <w:ind w:left="0" w:leftChars="0" w:firstLine="0" w:firstLineChars="0"/>
        <w:rPr>
          <w:rStyle w:val="20"/>
          <w:rFonts w:hint="default" w:ascii="Times New Roman" w:hAnsi="Times New Roman" w:eastAsia="方正楷体_GBK" w:cs="Times New Roman"/>
          <w:b/>
          <w:bCs w:val="0"/>
          <w:sz w:val="32"/>
          <w:szCs w:val="32"/>
          <w:lang w:val="en-US" w:eastAsia="zh-CN"/>
        </w:rPr>
      </w:pPr>
      <w:r>
        <w:drawing>
          <wp:anchor distT="0" distB="0" distL="114300" distR="114300" simplePos="0" relativeHeight="251666432" behindDoc="1" locked="0" layoutInCell="1" allowOverlap="1">
            <wp:simplePos x="0" y="0"/>
            <wp:positionH relativeFrom="column">
              <wp:posOffset>375285</wp:posOffset>
            </wp:positionH>
            <wp:positionV relativeFrom="paragraph">
              <wp:posOffset>267335</wp:posOffset>
            </wp:positionV>
            <wp:extent cx="4826000" cy="2743200"/>
            <wp:effectExtent l="4445" t="4445" r="8255" b="14605"/>
            <wp:wrapTight wrapText="bothSides">
              <wp:wrapPolygon>
                <wp:start x="-20" y="-35"/>
                <wp:lineTo x="-20" y="21565"/>
                <wp:lineTo x="21552" y="21565"/>
                <wp:lineTo x="21552" y="-35"/>
                <wp:lineTo x="-20" y="-35"/>
              </wp:wrapPolygon>
            </wp:wrapTight>
            <wp:docPr id="3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853F411">
      <w:pPr>
        <w:pStyle w:val="45"/>
        <w:keepNext w:val="0"/>
        <w:keepLines w:val="0"/>
        <w:pageBreakBefore w:val="0"/>
        <w:widowControl/>
        <w:suppressLineNumbers w:val="0"/>
        <w:kinsoku/>
        <w:wordWrap/>
        <w:overflowPunct/>
        <w:topLinePunct w:val="0"/>
        <w:autoSpaceDE w:val="0"/>
        <w:autoSpaceDN/>
        <w:bidi w:val="0"/>
        <w:spacing w:before="0" w:beforeAutospacing="0" w:after="0" w:afterAutospacing="0" w:line="560" w:lineRule="exact"/>
        <w:ind w:left="0" w:leftChars="0" w:right="0" w:firstLine="1280" w:firstLineChars="400"/>
        <w:jc w:val="left"/>
        <w:rPr>
          <w:rStyle w:val="33"/>
          <w:rFonts w:hint="eastAsia" w:ascii="宋体" w:hAnsi="宋体" w:eastAsia="宋体" w:cs="宋体"/>
          <w:b w:val="0"/>
          <w:bCs w:val="0"/>
          <w:color w:val="auto"/>
          <w:sz w:val="32"/>
          <w:szCs w:val="32"/>
          <w:u w:val="none"/>
          <w:shd w:val="clear" w:fill="FFFFFF"/>
          <w:lang w:eastAsia="zh-CN"/>
        </w:rPr>
      </w:pPr>
      <w:r>
        <w:rPr>
          <w:rStyle w:val="33"/>
          <w:rFonts w:hint="default" w:ascii="Times New Roman" w:hAnsi="Times New Roman" w:eastAsia="仿宋_GB2312" w:cs="Times New Roman"/>
          <w:b w:val="0"/>
          <w:bCs w:val="0"/>
          <w:color w:val="auto"/>
          <w:sz w:val="32"/>
          <w:szCs w:val="32"/>
          <w:u w:val="none"/>
          <w:shd w:val="clear" w:fill="FFFFFF"/>
          <w:lang w:val="en-US" w:eastAsia="zh-CN"/>
        </w:rPr>
        <w:t>图</w:t>
      </w:r>
      <w:r>
        <w:rPr>
          <w:rStyle w:val="33"/>
          <w:rFonts w:hint="eastAsia" w:ascii="Times New Roman" w:hAnsi="Times New Roman" w:eastAsia="仿宋_GB2312" w:cs="Times New Roman"/>
          <w:b w:val="0"/>
          <w:bCs w:val="0"/>
          <w:color w:val="auto"/>
          <w:sz w:val="32"/>
          <w:szCs w:val="32"/>
          <w:u w:val="none"/>
          <w:shd w:val="clear" w:fill="FFFFFF"/>
          <w:lang w:val="en-US" w:eastAsia="zh-CN"/>
        </w:rPr>
        <w:t>7</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“三公”经费支出情况图</w:t>
      </w:r>
      <w:r>
        <w:rPr>
          <w:rStyle w:val="33"/>
          <w:rFonts w:hint="default" w:ascii="Times New Roman" w:hAnsi="Times New Roman" w:eastAsia="仿宋_GB2312" w:cs="Times New Roman"/>
          <w:b w:val="0"/>
          <w:bCs w:val="0"/>
          <w:color w:val="auto"/>
          <w:sz w:val="32"/>
          <w:szCs w:val="32"/>
          <w:u w:val="none"/>
          <w:shd w:val="clear" w:fill="FFFFFF"/>
          <w:lang w:val="en-US" w:eastAsia="zh-CN"/>
        </w:rPr>
        <w:t>(</w:t>
      </w:r>
      <w:r>
        <w:rPr>
          <w:rStyle w:val="33"/>
          <w:rFonts w:hint="eastAsia" w:ascii="Times New Roman" w:hAnsi="Times New Roman" w:eastAsia="仿宋_GB2312" w:cs="Times New Roman"/>
          <w:b w:val="0"/>
          <w:bCs w:val="0"/>
          <w:color w:val="auto"/>
          <w:sz w:val="32"/>
          <w:szCs w:val="32"/>
          <w:u w:val="none"/>
          <w:shd w:val="clear" w:fill="FFFFFF"/>
          <w:lang w:val="en-US" w:eastAsia="zh-CN"/>
        </w:rPr>
        <w:t>柱状</w:t>
      </w:r>
      <w:r>
        <w:rPr>
          <w:rStyle w:val="33"/>
          <w:rFonts w:hint="default" w:ascii="Times New Roman" w:hAnsi="Times New Roman" w:eastAsia="仿宋_GB2312" w:cs="Times New Roman"/>
          <w:b w:val="0"/>
          <w:bCs w:val="0"/>
          <w:color w:val="auto"/>
          <w:sz w:val="32"/>
          <w:szCs w:val="32"/>
          <w:u w:val="none"/>
          <w:shd w:val="clear" w:fill="FFFFFF"/>
          <w:lang w:val="en-US" w:eastAsia="zh-CN"/>
        </w:rPr>
        <w:t>图）</w:t>
      </w:r>
    </w:p>
    <w:p w14:paraId="5585C678">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52" w:name="_Toc2988"/>
      <w:bookmarkStart w:id="53" w:name="_Toc5138"/>
      <w:bookmarkStart w:id="54" w:name="_Toc26182"/>
      <w:bookmarkStart w:id="55" w:name="_Toc15377218"/>
      <w:bookmarkStart w:id="56" w:name="_Toc13118"/>
      <w:bookmarkStart w:id="57" w:name="_Toc10045"/>
      <w:bookmarkStart w:id="58" w:name="_Toc10466"/>
      <w:bookmarkStart w:id="59" w:name="_Toc30898"/>
      <w:bookmarkStart w:id="60" w:name="_Toc15396610"/>
      <w:r>
        <w:rPr>
          <w:rFonts w:hint="eastAsia" w:ascii="黑体" w:hAnsi="黑体" w:eastAsia="黑体" w:cs="黑体"/>
          <w:color w:val="000000"/>
          <w:sz w:val="32"/>
          <w:szCs w:val="32"/>
          <w:lang w:val="en-US" w:eastAsia="zh-CN"/>
        </w:rPr>
        <w:t>六、政府性基金预算支出决算情况说明</w:t>
      </w:r>
      <w:bookmarkEnd w:id="52"/>
      <w:bookmarkEnd w:id="53"/>
      <w:bookmarkEnd w:id="54"/>
      <w:bookmarkEnd w:id="55"/>
      <w:bookmarkEnd w:id="56"/>
      <w:bookmarkEnd w:id="57"/>
      <w:bookmarkEnd w:id="58"/>
      <w:bookmarkEnd w:id="59"/>
      <w:bookmarkEnd w:id="60"/>
    </w:p>
    <w:p w14:paraId="751B6F89">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hint="eastAsia" w:ascii="仿宋_GB2312" w:eastAsia="仿宋_GB2312" w:cs="仿宋_GB2312"/>
          <w:b w:val="0"/>
          <w:bCs w:val="0"/>
          <w:i w:val="0"/>
          <w:iCs w:val="0"/>
          <w:sz w:val="32"/>
          <w:szCs w:val="32"/>
          <w:shd w:val="clear" w:fill="FFFFFF"/>
        </w:rPr>
      </w:pPr>
      <w:r>
        <w:rPr>
          <w:rFonts w:hint="eastAsia" w:ascii="仿宋_GB2312" w:eastAsia="仿宋_GB2312" w:cs="仿宋_GB2312"/>
          <w:b w:val="0"/>
          <w:bCs w:val="0"/>
          <w:i w:val="0"/>
          <w:iCs w:val="0"/>
          <w:sz w:val="32"/>
          <w:szCs w:val="32"/>
          <w:shd w:val="clear" w:fill="FFFFFF"/>
          <w:lang w:val="en-US" w:eastAsia="zh-CN"/>
        </w:rPr>
        <w:t>2023</w:t>
      </w:r>
      <w:r>
        <w:rPr>
          <w:rFonts w:hint="eastAsia" w:ascii="仿宋_GB2312" w:eastAsia="仿宋_GB2312" w:cs="仿宋_GB2312"/>
          <w:b w:val="0"/>
          <w:bCs w:val="0"/>
          <w:i w:val="0"/>
          <w:iCs w:val="0"/>
          <w:sz w:val="32"/>
          <w:szCs w:val="32"/>
          <w:shd w:val="clear" w:fill="FFFFFF"/>
        </w:rPr>
        <w:t>年政府性基金预算拨款支出</w:t>
      </w:r>
      <w:r>
        <w:rPr>
          <w:rFonts w:hint="eastAsia" w:ascii="仿宋_GB2312" w:eastAsia="仿宋_GB2312" w:cs="仿宋_GB2312"/>
          <w:b w:val="0"/>
          <w:bCs w:val="0"/>
          <w:i w:val="0"/>
          <w:iCs w:val="0"/>
          <w:sz w:val="32"/>
          <w:szCs w:val="32"/>
          <w:shd w:val="clear" w:fill="FFFFFF"/>
          <w:lang w:val="en-US" w:eastAsia="zh-CN"/>
        </w:rPr>
        <w:t>0</w:t>
      </w:r>
      <w:r>
        <w:rPr>
          <w:rFonts w:hint="eastAsia" w:ascii="仿宋_GB2312" w:eastAsia="仿宋_GB2312" w:cs="仿宋_GB2312"/>
          <w:b w:val="0"/>
          <w:bCs w:val="0"/>
          <w:i w:val="0"/>
          <w:iCs w:val="0"/>
          <w:sz w:val="32"/>
          <w:szCs w:val="32"/>
          <w:shd w:val="clear" w:fill="FFFFFF"/>
        </w:rPr>
        <w:t>万元。</w:t>
      </w:r>
    </w:p>
    <w:p w14:paraId="41332A6E">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61" w:name="_Toc17991"/>
      <w:bookmarkStart w:id="62" w:name="_Toc18559"/>
      <w:bookmarkStart w:id="63" w:name="_Toc21399"/>
      <w:bookmarkStart w:id="64" w:name="_Toc16073"/>
      <w:bookmarkStart w:id="65" w:name="_Toc23112"/>
      <w:bookmarkStart w:id="66" w:name="_Toc28446"/>
      <w:bookmarkStart w:id="67" w:name="_Toc10726"/>
      <w:r>
        <w:rPr>
          <w:rFonts w:hint="eastAsia" w:ascii="黑体" w:hAnsi="黑体" w:eastAsia="黑体" w:cs="黑体"/>
          <w:color w:val="000000"/>
          <w:sz w:val="32"/>
          <w:szCs w:val="32"/>
          <w:lang w:val="en-US" w:eastAsia="zh-CN"/>
        </w:rPr>
        <w:t>七、国有资本经营预算支出决算情况说明</w:t>
      </w:r>
      <w:bookmarkEnd w:id="61"/>
      <w:bookmarkEnd w:id="62"/>
      <w:bookmarkEnd w:id="63"/>
      <w:bookmarkEnd w:id="64"/>
      <w:bookmarkEnd w:id="65"/>
      <w:bookmarkEnd w:id="66"/>
      <w:bookmarkEnd w:id="67"/>
    </w:p>
    <w:p w14:paraId="41D4D433">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2023年国有资本经营预算拨款支出0万元。</w:t>
      </w:r>
    </w:p>
    <w:p w14:paraId="6FE45D3A">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黑体" w:hAnsi="黑体" w:eastAsia="黑体" w:cs="黑体"/>
          <w:color w:val="000000"/>
          <w:sz w:val="32"/>
          <w:szCs w:val="32"/>
          <w:lang w:val="en-US" w:eastAsia="zh-CN"/>
        </w:rPr>
      </w:pPr>
      <w:bookmarkStart w:id="68" w:name="_Toc30834"/>
      <w:bookmarkStart w:id="69" w:name="_Toc23945"/>
      <w:bookmarkStart w:id="70" w:name="_Toc7424"/>
      <w:bookmarkStart w:id="71" w:name="_Toc27169"/>
      <w:bookmarkStart w:id="72" w:name="_Toc7391"/>
      <w:bookmarkStart w:id="73" w:name="_Toc21091"/>
      <w:bookmarkStart w:id="74" w:name="_Toc28181"/>
      <w:r>
        <w:rPr>
          <w:rFonts w:hint="eastAsia" w:ascii="黑体" w:hAnsi="黑体" w:eastAsia="黑体" w:cs="黑体"/>
          <w:color w:val="000000"/>
          <w:sz w:val="32"/>
          <w:szCs w:val="32"/>
          <w:lang w:val="en-US" w:eastAsia="zh-CN"/>
        </w:rPr>
        <w:t>八、其他重要事项的情况说明</w:t>
      </w:r>
      <w:bookmarkEnd w:id="68"/>
      <w:bookmarkEnd w:id="69"/>
      <w:bookmarkEnd w:id="70"/>
      <w:bookmarkEnd w:id="71"/>
      <w:bookmarkEnd w:id="72"/>
      <w:bookmarkEnd w:id="73"/>
      <w:bookmarkEnd w:id="74"/>
    </w:p>
    <w:p w14:paraId="59CBB821">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（一）机关运行经费支出情况</w:t>
      </w:r>
    </w:p>
    <w:p w14:paraId="116F5FB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2023年，麦洼乡机关运行经费支出</w:t>
      </w:r>
      <w:r>
        <w:rPr>
          <w:rFonts w:hint="eastAsia" w:ascii="宋体" w:hAnsi="宋体" w:eastAsia="宋体" w:cs="宋体"/>
          <w:b w:val="0"/>
          <w:bCs w:val="0"/>
          <w:i w:val="0"/>
          <w:iCs w:val="0"/>
          <w:sz w:val="32"/>
          <w:szCs w:val="32"/>
          <w:shd w:val="clear" w:fill="FFFFFF"/>
          <w:lang w:val="en-US" w:eastAsia="zh-CN"/>
        </w:rPr>
        <w:t>42.49</w:t>
      </w:r>
      <w:r>
        <w:rPr>
          <w:rFonts w:hint="eastAsia" w:ascii="仿宋_GB2312" w:eastAsia="仿宋_GB2312" w:cs="仿宋_GB2312"/>
          <w:b w:val="0"/>
          <w:bCs w:val="0"/>
          <w:i w:val="0"/>
          <w:iCs w:val="0"/>
          <w:sz w:val="32"/>
          <w:szCs w:val="32"/>
          <w:shd w:val="clear" w:fill="FFFFFF"/>
          <w:lang w:val="en-US" w:eastAsia="zh-CN"/>
        </w:rPr>
        <w:t>万元，与决算数持平。</w:t>
      </w:r>
    </w:p>
    <w:p w14:paraId="43C1E6C0">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（二）政府采购支出情况</w:t>
      </w:r>
    </w:p>
    <w:p w14:paraId="5A28019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2023年，麦洼乡人民政府采购支出总额0万元，其中：政府采购货物支出0万元、政府采购工程支出0万元、政府采购服务支出0万元。</w:t>
      </w:r>
    </w:p>
    <w:p w14:paraId="58A9342A">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eastAsia" w:ascii="Times New Roman" w:hAnsi="Times New Roman" w:eastAsia="方正楷体_GBK" w:cs="Times New Roman"/>
          <w:b/>
          <w:bCs/>
          <w:sz w:val="32"/>
          <w:szCs w:val="32"/>
          <w:shd w:val="clear" w:fill="FFFFFF"/>
          <w:lang w:val="zh-CN"/>
        </w:rPr>
      </w:pPr>
      <w:r>
        <w:rPr>
          <w:rStyle w:val="36"/>
          <w:rFonts w:hint="eastAsia" w:ascii="Times New Roman" w:hAnsi="Times New Roman" w:eastAsia="方正楷体_GBK" w:cs="Times New Roman"/>
          <w:b/>
          <w:bCs/>
          <w:sz w:val="32"/>
          <w:szCs w:val="32"/>
          <w:shd w:val="clear" w:fill="FFFFFF"/>
          <w:lang w:val="zh-CN"/>
        </w:rPr>
        <w:t>（三）国有资产占有使用情况</w:t>
      </w:r>
    </w:p>
    <w:p w14:paraId="4D1537D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i w:val="0"/>
          <w:iCs w:val="0"/>
          <w:sz w:val="32"/>
          <w:szCs w:val="32"/>
          <w:shd w:val="clear" w:fill="FFFFFF"/>
          <w:lang w:val="en-US" w:eastAsia="zh-CN"/>
        </w:rPr>
      </w:pPr>
      <w:r>
        <w:rPr>
          <w:rFonts w:hint="eastAsia" w:ascii="仿宋_GB2312" w:eastAsia="仿宋_GB2312" w:cs="仿宋_GB2312"/>
          <w:b w:val="0"/>
          <w:bCs w:val="0"/>
          <w:i w:val="0"/>
          <w:iCs w:val="0"/>
          <w:sz w:val="32"/>
          <w:szCs w:val="32"/>
          <w:shd w:val="clear" w:fill="FFFFFF"/>
          <w:lang w:val="en-US" w:eastAsia="zh-CN"/>
        </w:rPr>
        <w:t>截至2023年12月31日，麦洼乡人民</w:t>
      </w:r>
      <w:r>
        <w:rPr>
          <w:rFonts w:hint="default" w:ascii="Times New Roman" w:hAnsi="Times New Roman" w:eastAsia="仿宋_GB2312" w:cs="Times New Roman"/>
          <w:b w:val="0"/>
          <w:bCs w:val="0"/>
          <w:i w:val="0"/>
          <w:iCs w:val="0"/>
          <w:sz w:val="32"/>
          <w:szCs w:val="32"/>
          <w:shd w:val="clear" w:fill="FFFFFF"/>
          <w:lang w:val="en-US" w:eastAsia="zh-CN"/>
        </w:rPr>
        <w:t>政府共有车辆</w:t>
      </w:r>
      <w:r>
        <w:rPr>
          <w:rFonts w:hint="default" w:ascii="Times New Roman" w:hAnsi="Times New Roman" w:cs="Times New Roman"/>
          <w:b w:val="0"/>
          <w:bCs w:val="0"/>
          <w:i w:val="0"/>
          <w:iCs w:val="0"/>
          <w:sz w:val="32"/>
          <w:szCs w:val="32"/>
          <w:shd w:val="clear" w:fill="FFFFFF"/>
          <w:lang w:val="en-US" w:eastAsia="zh-CN"/>
        </w:rPr>
        <w:t>2</w:t>
      </w:r>
      <w:r>
        <w:rPr>
          <w:rFonts w:hint="default" w:ascii="Times New Roman" w:hAnsi="Times New Roman" w:eastAsia="仿宋_GB2312" w:cs="Times New Roman"/>
          <w:b w:val="0"/>
          <w:bCs w:val="0"/>
          <w:i w:val="0"/>
          <w:iCs w:val="0"/>
          <w:sz w:val="32"/>
          <w:szCs w:val="32"/>
          <w:shd w:val="clear" w:fill="FFFFFF"/>
          <w:lang w:val="en-US" w:eastAsia="zh-CN"/>
        </w:rPr>
        <w:t>辆，其中：领导干部用车</w:t>
      </w:r>
      <w:r>
        <w:rPr>
          <w:rFonts w:hint="default" w:ascii="Times New Roman" w:hAnsi="Times New Roman" w:cs="Times New Roman"/>
          <w:b w:val="0"/>
          <w:bCs w:val="0"/>
          <w:i w:val="0"/>
          <w:iCs w:val="0"/>
          <w:sz w:val="32"/>
          <w:szCs w:val="32"/>
          <w:shd w:val="clear" w:fill="FFFFFF"/>
          <w:lang w:val="en-US" w:eastAsia="zh-CN"/>
        </w:rPr>
        <w:t>0</w:t>
      </w:r>
      <w:r>
        <w:rPr>
          <w:rFonts w:hint="default" w:ascii="Times New Roman" w:hAnsi="Times New Roman" w:eastAsia="仿宋_GB2312" w:cs="Times New Roman"/>
          <w:b w:val="0"/>
          <w:bCs w:val="0"/>
          <w:i w:val="0"/>
          <w:iCs w:val="0"/>
          <w:sz w:val="32"/>
          <w:szCs w:val="32"/>
          <w:shd w:val="clear" w:fill="FFFFFF"/>
          <w:lang w:val="en-US" w:eastAsia="zh-CN"/>
        </w:rPr>
        <w:t>辆、一般公务用车</w:t>
      </w:r>
      <w:r>
        <w:rPr>
          <w:rFonts w:hint="default" w:ascii="Times New Roman" w:hAnsi="Times New Roman" w:cs="Times New Roman"/>
          <w:b w:val="0"/>
          <w:bCs w:val="0"/>
          <w:i w:val="0"/>
          <w:iCs w:val="0"/>
          <w:sz w:val="32"/>
          <w:szCs w:val="32"/>
          <w:shd w:val="clear" w:fill="FFFFFF"/>
          <w:lang w:val="en-US" w:eastAsia="zh-CN"/>
        </w:rPr>
        <w:t>2</w:t>
      </w:r>
      <w:r>
        <w:rPr>
          <w:rFonts w:hint="default" w:ascii="Times New Roman" w:hAnsi="Times New Roman" w:eastAsia="仿宋_GB2312" w:cs="Times New Roman"/>
          <w:b w:val="0"/>
          <w:bCs w:val="0"/>
          <w:i w:val="0"/>
          <w:iCs w:val="0"/>
          <w:sz w:val="32"/>
          <w:szCs w:val="32"/>
          <w:shd w:val="clear" w:fill="FFFFFF"/>
          <w:lang w:val="en-US" w:eastAsia="zh-CN"/>
        </w:rPr>
        <w:t>辆，主要是用于日常出差使用。</w:t>
      </w:r>
    </w:p>
    <w:p w14:paraId="53729424">
      <w:pPr>
        <w:pStyle w:val="27"/>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76" w:lineRule="exact"/>
        <w:ind w:left="0" w:leftChars="0" w:firstLine="643" w:firstLineChars="200"/>
        <w:jc w:val="both"/>
        <w:textAlignment w:val="auto"/>
        <w:outlineLvl w:val="2"/>
        <w:rPr>
          <w:rStyle w:val="36"/>
          <w:rFonts w:hint="default" w:ascii="Times New Roman" w:hAnsi="Times New Roman" w:eastAsia="方正楷体_GBK" w:cs="Times New Roman"/>
          <w:b/>
          <w:bCs/>
          <w:sz w:val="32"/>
          <w:szCs w:val="32"/>
          <w:shd w:val="clear" w:fill="FFFFFF"/>
          <w:lang w:val="zh-CN"/>
        </w:rPr>
      </w:pPr>
      <w:r>
        <w:rPr>
          <w:rStyle w:val="36"/>
          <w:rFonts w:hint="default" w:ascii="Times New Roman" w:hAnsi="Times New Roman" w:eastAsia="方正楷体_GBK" w:cs="Times New Roman"/>
          <w:b/>
          <w:bCs/>
          <w:sz w:val="32"/>
          <w:szCs w:val="32"/>
          <w:shd w:val="clear" w:fill="FFFFFF"/>
          <w:lang w:val="zh-CN"/>
        </w:rPr>
        <w:t>（四）预算绩效管理情况。</w:t>
      </w:r>
    </w:p>
    <w:p w14:paraId="7BE42613">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b w:val="0"/>
          <w:bCs w:val="0"/>
          <w:i w:val="0"/>
          <w:iCs w:val="0"/>
          <w:sz w:val="32"/>
          <w:szCs w:val="32"/>
          <w:shd w:val="clear" w:fill="FFFFFF"/>
        </w:rPr>
      </w:pPr>
      <w:r>
        <w:rPr>
          <w:rFonts w:hint="default" w:ascii="Times New Roman" w:hAnsi="Times New Roman" w:eastAsia="仿宋_GB2312" w:cs="Times New Roman"/>
          <w:b w:val="0"/>
          <w:bCs w:val="0"/>
          <w:i w:val="0"/>
          <w:iCs w:val="0"/>
          <w:sz w:val="32"/>
          <w:szCs w:val="32"/>
          <w:shd w:val="clear" w:fill="FFFFFF"/>
          <w:lang w:val="en-US" w:eastAsia="zh-CN"/>
        </w:rPr>
        <w:t>根据预算绩效管理要求，本单位在年初预算编制阶段，组织对人大代表活动经费、人大会议经费、乡人大主席团工作经费、安全生产工作经费、群团工作经费、武装工作经费、环卫经费等开展了预算事前绩效评估，编制了绩效目标，预算执行过程中，</w:t>
      </w:r>
      <w:r>
        <w:rPr>
          <w:rFonts w:hint="eastAsia" w:eastAsia="仿宋_GB2312" w:cs="Times New Roman"/>
          <w:b w:val="0"/>
          <w:bCs w:val="0"/>
          <w:i w:val="0"/>
          <w:iCs w:val="0"/>
          <w:sz w:val="32"/>
          <w:szCs w:val="32"/>
          <w:shd w:val="clear" w:fill="FFFFFF"/>
          <w:lang w:val="en-US" w:eastAsia="zh-CN"/>
        </w:rPr>
        <w:t>严格按照相关规定执行，</w:t>
      </w:r>
      <w:r>
        <w:rPr>
          <w:rFonts w:hint="default" w:ascii="Times New Roman" w:hAnsi="Times New Roman" w:eastAsia="仿宋_GB2312" w:cs="Times New Roman"/>
          <w:kern w:val="2"/>
          <w:sz w:val="32"/>
          <w:szCs w:val="32"/>
        </w:rPr>
        <w:t>开展绩效自评。同时，本</w:t>
      </w:r>
      <w:r>
        <w:rPr>
          <w:rFonts w:hint="eastAsia" w:ascii="仿宋_GB2312" w:eastAsia="仿宋_GB2312" w:cs="Times New Roman"/>
          <w:kern w:val="2"/>
          <w:sz w:val="32"/>
          <w:szCs w:val="32"/>
        </w:rPr>
        <w:t>部门对202</w:t>
      </w:r>
      <w:r>
        <w:rPr>
          <w:rFonts w:hint="eastAsia" w:ascii="仿宋_GB2312" w:eastAsia="仿宋_GB2312" w:cs="Times New Roman"/>
          <w:kern w:val="2"/>
          <w:sz w:val="32"/>
          <w:szCs w:val="32"/>
          <w:lang w:val="en-US" w:eastAsia="zh-CN"/>
        </w:rPr>
        <w:t>3</w:t>
      </w:r>
      <w:r>
        <w:rPr>
          <w:rFonts w:hint="eastAsia" w:ascii="仿宋_GB2312" w:eastAsia="仿宋_GB2312" w:cs="Times New Roman"/>
          <w:kern w:val="2"/>
          <w:sz w:val="32"/>
          <w:szCs w:val="32"/>
        </w:rPr>
        <w:t>年部门整体开展绩效自评，《</w:t>
      </w:r>
      <w:r>
        <w:rPr>
          <w:rFonts w:ascii="仿宋_GB2312" w:eastAsia="仿宋_GB2312" w:cs="Times New Roman"/>
          <w:kern w:val="2"/>
          <w:sz w:val="32"/>
          <w:szCs w:val="32"/>
        </w:rPr>
        <w:t>红原县</w:t>
      </w:r>
      <w:r>
        <w:rPr>
          <w:rFonts w:hint="eastAsia" w:ascii="仿宋_GB2312" w:eastAsia="仿宋_GB2312" w:cs="Times New Roman"/>
          <w:kern w:val="2"/>
          <w:sz w:val="32"/>
          <w:szCs w:val="32"/>
          <w:lang w:val="en-US" w:eastAsia="zh-CN"/>
        </w:rPr>
        <w:t>麦洼乡</w:t>
      </w:r>
      <w:r>
        <w:rPr>
          <w:rFonts w:hint="eastAsia" w:ascii="仿宋_GB2312" w:eastAsia="仿宋_GB2312" w:cs="Times New Roman"/>
          <w:kern w:val="2"/>
          <w:sz w:val="32"/>
          <w:szCs w:val="32"/>
        </w:rPr>
        <w:t>202</w:t>
      </w:r>
      <w:r>
        <w:rPr>
          <w:rFonts w:hint="eastAsia" w:ascii="仿宋_GB2312" w:eastAsia="仿宋_GB2312" w:cs="Times New Roman"/>
          <w:kern w:val="2"/>
          <w:sz w:val="32"/>
          <w:szCs w:val="32"/>
          <w:lang w:val="en-US" w:eastAsia="zh-CN"/>
        </w:rPr>
        <w:t>3</w:t>
      </w:r>
      <w:r>
        <w:rPr>
          <w:rFonts w:hint="eastAsia" w:ascii="仿宋_GB2312" w:eastAsia="仿宋_GB2312" w:cs="Times New Roman"/>
          <w:kern w:val="2"/>
          <w:sz w:val="32"/>
          <w:szCs w:val="32"/>
        </w:rPr>
        <w:t>年整体绩效评价报告》见附件（第四部分）。</w:t>
      </w:r>
    </w:p>
    <w:p w14:paraId="5F409CDA">
      <w:pPr>
        <w:ind w:left="0" w:leftChars="0" w:firstLine="0" w:firstLineChars="0"/>
        <w:rPr>
          <w:rFonts w:hint="default" w:ascii="Times New Roman" w:hAnsi="Times New Roman" w:cs="Times New Roman"/>
        </w:rPr>
      </w:pPr>
    </w:p>
    <w:p w14:paraId="473B470C">
      <w:pPr>
        <w:numPr>
          <w:ilvl w:val="0"/>
          <w:numId w:val="1"/>
        </w:numPr>
        <w:spacing w:line="600" w:lineRule="exact"/>
        <w:ind w:firstLine="660" w:firstLineChars="150"/>
        <w:jc w:val="center"/>
        <w:outlineLvl w:val="0"/>
        <w:rPr>
          <w:rStyle w:val="43"/>
          <w:rFonts w:hint="default" w:ascii="Times New Roman" w:hAnsi="Times New Roman" w:eastAsia="黑体" w:cs="Times New Roman"/>
          <w:b w:val="0"/>
        </w:rPr>
      </w:pPr>
      <w:bookmarkStart w:id="75" w:name="_Toc15377225"/>
      <w:bookmarkStart w:id="76" w:name="_Toc15396613"/>
      <w:bookmarkStart w:id="77" w:name="_Toc11473"/>
      <w:r>
        <w:rPr>
          <w:rFonts w:hint="default" w:ascii="Times New Roman" w:hAnsi="Times New Roman" w:eastAsia="黑体" w:cs="Times New Roman"/>
          <w:color w:val="000000"/>
          <w:sz w:val="44"/>
          <w:szCs w:val="44"/>
        </w:rPr>
        <w:t>名</w:t>
      </w:r>
      <w:r>
        <w:rPr>
          <w:rStyle w:val="43"/>
          <w:rFonts w:hint="default" w:ascii="Times New Roman" w:hAnsi="Times New Roman" w:eastAsia="黑体" w:cs="Times New Roman"/>
          <w:b w:val="0"/>
        </w:rPr>
        <w:t>词解释</w:t>
      </w:r>
      <w:bookmarkEnd w:id="75"/>
      <w:bookmarkEnd w:id="76"/>
      <w:bookmarkEnd w:id="77"/>
    </w:p>
    <w:p w14:paraId="145D76B0">
      <w:pPr>
        <w:keepNext w:val="0"/>
        <w:keepLines w:val="0"/>
        <w:pageBreakBefore w:val="0"/>
        <w:kinsoku/>
        <w:wordWrap/>
        <w:overflowPunct/>
        <w:topLinePunct w:val="0"/>
        <w:bidi w:val="0"/>
        <w:spacing w:line="560" w:lineRule="exact"/>
        <w:ind w:left="0" w:leftChars="0" w:firstLine="0" w:firstLineChars="0"/>
        <w:jc w:val="left"/>
        <w:rPr>
          <w:rFonts w:ascii="宋体"/>
          <w:b/>
          <w:color w:val="000000"/>
          <w:sz w:val="44"/>
          <w:szCs w:val="44"/>
        </w:rPr>
      </w:pPr>
    </w:p>
    <w:p w14:paraId="649C536B">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outlineLvl w:val="1"/>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bookmarkStart w:id="78" w:name="_Toc23772"/>
      <w:bookmarkStart w:id="79" w:name="_Toc13534"/>
      <w:bookmarkStart w:id="80" w:name="_Toc17872"/>
      <w:bookmarkStart w:id="81" w:name="_Toc18787"/>
      <w:bookmarkStart w:id="82" w:name="_Toc32040"/>
      <w:r>
        <w:rPr>
          <w:rFonts w:hint="eastAsia" w:ascii="仿宋_GB2312" w:eastAsia="仿宋_GB2312" w:cs="仿宋_GB2312" w:hAnsiTheme="minorEastAsia"/>
          <w:b w:val="0"/>
          <w:bCs w:val="0"/>
          <w:i w:val="0"/>
          <w:iCs w:val="0"/>
          <w:color w:val="auto"/>
          <w:kern w:val="0"/>
          <w:sz w:val="32"/>
          <w:szCs w:val="32"/>
          <w:shd w:val="clear" w:fill="FFFFFF"/>
          <w:lang w:val="en-US" w:eastAsia="zh-CN" w:bidi="ar"/>
        </w:rPr>
        <w:t>1.财政拨款收入：指单位从同级财政部门取得的财政预算资金。</w:t>
      </w:r>
      <w:bookmarkEnd w:id="78"/>
      <w:bookmarkEnd w:id="79"/>
      <w:bookmarkEnd w:id="80"/>
      <w:bookmarkEnd w:id="81"/>
      <w:bookmarkEnd w:id="82"/>
    </w:p>
    <w:p w14:paraId="573B35D4">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_GB2312" w:eastAsia="仿宋_GB2312" w:cs="仿宋_GB2312" w:hAnsiTheme="minorEastAsia"/>
          <w:b w:val="0"/>
          <w:bCs w:val="0"/>
          <w:i w:val="0"/>
          <w:iCs w:val="0"/>
          <w:color w:val="auto"/>
          <w:kern w:val="0"/>
          <w:sz w:val="32"/>
          <w:szCs w:val="32"/>
          <w:shd w:val="clear" w:fill="FFFFFF"/>
          <w:lang w:val="en-US" w:eastAsia="zh-CN" w:bidi="ar"/>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2.事业收入：指事业单位开展专业业务活动及辅助活动取得的收入。</w:t>
      </w:r>
    </w:p>
    <w:p w14:paraId="00ED907D">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hAnsiTheme="minorEastAsia"/>
          <w:b w:val="0"/>
          <w:bCs w:val="0"/>
          <w:i w:val="0"/>
          <w:iCs w:val="0"/>
          <w:color w:val="auto"/>
          <w:kern w:val="0"/>
          <w:sz w:val="32"/>
          <w:szCs w:val="32"/>
          <w:shd w:val="clear" w:fill="FFFFFF"/>
          <w:lang w:val="en-US" w:eastAsia="zh-CN" w:bidi="ar"/>
        </w:rPr>
        <w:t>3.经营收入：指事业</w:t>
      </w:r>
      <w:r>
        <w:rPr>
          <w:rFonts w:hint="eastAsia" w:ascii="仿宋_GB2312" w:eastAsia="仿宋_GB2312"/>
          <w:color w:val="000000"/>
          <w:sz w:val="32"/>
          <w:szCs w:val="32"/>
        </w:rPr>
        <w:t>单位在专业业务活动及其辅助活动之外开展非独立核算经营活动取得的收入。</w:t>
      </w:r>
    </w:p>
    <w:p w14:paraId="0038DAB7">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其他收入：指单位取得的除上述收入以外的各项收入。主要是银行存款利息收入等。</w:t>
      </w:r>
      <w:r>
        <w:rPr>
          <w:rFonts w:ascii="仿宋_GB2312" w:eastAsia="仿宋_GB2312"/>
          <w:color w:val="000000"/>
          <w:sz w:val="32"/>
          <w:szCs w:val="32"/>
        </w:rPr>
        <w:t xml:space="preserve"> </w:t>
      </w:r>
    </w:p>
    <w:p w14:paraId="015EB6EA">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sz w:val="32"/>
          <w:szCs w:val="32"/>
        </w:rPr>
        <w:t xml:space="preserve"> </w:t>
      </w:r>
    </w:p>
    <w:p w14:paraId="455AAFF7">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年初结转和结余：指以前年度尚未完成、结转到本年按有关规定继续使用的资金。</w:t>
      </w:r>
      <w:r>
        <w:rPr>
          <w:rFonts w:ascii="仿宋_GB2312" w:eastAsia="仿宋_GB2312"/>
          <w:color w:val="000000"/>
          <w:sz w:val="32"/>
          <w:szCs w:val="32"/>
        </w:rPr>
        <w:t xml:space="preserve"> </w:t>
      </w:r>
    </w:p>
    <w:p w14:paraId="1635580F">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7.</w:t>
      </w:r>
      <w:r>
        <w:rPr>
          <w:rFonts w:hint="eastAsia" w:ascii="仿宋_GB2312" w:eastAsia="仿宋_GB2312"/>
          <w:color w:val="000000"/>
          <w:sz w:val="32"/>
          <w:szCs w:val="32"/>
        </w:rPr>
        <w:t>结余分配：指事业单位按照事业单位会计制度的规定从非财政补助结余中分配的事业基金和职工福利基金等。</w:t>
      </w:r>
    </w:p>
    <w:p w14:paraId="2570975E">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、年末结转和结余：指单位按有关规定结转到下年或以后年度继续使用的资金。</w:t>
      </w:r>
    </w:p>
    <w:p w14:paraId="46F50533">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一般公共服务：201类20101款人大事务，2010101项指人大工作人员工资，2010301指行政工作人员工资、2010601行政运行财政所工作人员工资、2010108人大代表工作经费。</w:t>
      </w:r>
    </w:p>
    <w:p w14:paraId="71BB3C5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文化体育与传媒：207类20701款2070199项指其他文化支出文化院坝工作经费。</w:t>
      </w:r>
    </w:p>
    <w:p w14:paraId="0E4ED103">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14:paraId="61E89301">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卫生健康：210类21004款2100409项指公共卫生专项资金。</w:t>
      </w:r>
    </w:p>
    <w:p w14:paraId="4A993EA1">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城乡社区：212类21205，2120501指城乡社区环境卫生支出。</w:t>
      </w:r>
    </w:p>
    <w:p w14:paraId="01E110A8">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农林水：213类21301款2130152项指对高校毕业生到基层任职补助，2130504指农村基础设施建设，2130705指对村民委员会和村党支部的补助。</w:t>
      </w:r>
    </w:p>
    <w:p w14:paraId="3EED577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交通运输：214类21401款2140104项指公路建设。</w:t>
      </w:r>
    </w:p>
    <w:p w14:paraId="243E688A">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住房保障：221类22102款2210201项指住房公积金。</w:t>
      </w:r>
    </w:p>
    <w:p w14:paraId="3896C547">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14:paraId="667B5C60">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6D8ABBE">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14:paraId="36729CE1">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0.</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06EF5E">
      <w:pPr>
        <w:pStyle w:val="44"/>
        <w:keepNext w:val="0"/>
        <w:keepLines w:val="0"/>
        <w:pageBreakBefore w:val="0"/>
        <w:widowControl w:val="0"/>
        <w:kinsoku/>
        <w:wordWrap/>
        <w:overflowPunct/>
        <w:topLinePunct w:val="0"/>
        <w:bidi w:val="0"/>
        <w:snapToGrid/>
        <w:spacing w:line="576" w:lineRule="exact"/>
        <w:ind w:firstLine="640" w:firstLineChars="200"/>
        <w:jc w:val="both"/>
        <w:textAlignment w:val="auto"/>
      </w:pP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83" w:name="_Toc15396614"/>
    </w:p>
    <w:bookmarkEnd w:id="83"/>
    <w:p w14:paraId="4743EFB1">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p>
    <w:p w14:paraId="0BA8961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0"/>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lang w:val="en-US" w:eastAsia="zh-CN"/>
          <w14:textFill>
            <w14:solidFill>
              <w14:schemeClr w14:val="tx1"/>
            </w14:solidFill>
          </w14:textFill>
        </w:rPr>
        <w:t>第四部分  附件</w:t>
      </w:r>
    </w:p>
    <w:p w14:paraId="417272F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outlineLvl w:val="1"/>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附件1</w:t>
      </w:r>
    </w:p>
    <w:p w14:paraId="5173BA61">
      <w:pPr>
        <w:keepNext w:val="0"/>
        <w:keepLines w:val="0"/>
        <w:pageBreakBefore w:val="0"/>
        <w:widowControl/>
        <w:kinsoku/>
        <w:wordWrap/>
        <w:overflowPunct/>
        <w:topLinePunct w:val="0"/>
        <w:autoSpaceDN/>
        <w:bidi w:val="0"/>
        <w:spacing w:line="576" w:lineRule="exact"/>
        <w:ind w:firstLine="880" w:firstLineChars="200"/>
        <w:contextualSpacing/>
        <w:jc w:val="center"/>
        <w:textAlignment w:val="auto"/>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val="en-US" w:eastAsia="zh-CN"/>
        </w:rPr>
        <w:t>红原县麦洼乡人民政府</w:t>
      </w:r>
    </w:p>
    <w:p w14:paraId="01C4B281">
      <w:pPr>
        <w:keepNext w:val="0"/>
        <w:keepLines w:val="0"/>
        <w:pageBreakBefore w:val="0"/>
        <w:widowControl/>
        <w:kinsoku/>
        <w:wordWrap/>
        <w:overflowPunct/>
        <w:topLinePunct w:val="0"/>
        <w:autoSpaceDE/>
        <w:autoSpaceDN/>
        <w:bidi w:val="0"/>
        <w:spacing w:line="576" w:lineRule="exact"/>
        <w:ind w:firstLine="880" w:firstLineChars="200"/>
        <w:contextualSpacing/>
        <w:jc w:val="center"/>
        <w:textAlignment w:val="auto"/>
        <w:rPr>
          <w:rFonts w:hint="default" w:ascii="Times New Roman" w:hAnsi="Times New Roman" w:eastAsia="方正小标宋_GBK" w:cs="Times New Roman"/>
          <w:b w:val="0"/>
          <w:bCs/>
          <w:sz w:val="44"/>
          <w:szCs w:val="44"/>
          <w:shd w:val="clear" w:color="auto" w:fill="FFFFFF"/>
        </w:rPr>
      </w:pPr>
      <w:r>
        <w:rPr>
          <w:rFonts w:hint="default" w:ascii="Times New Roman" w:hAnsi="Times New Roman" w:eastAsia="方正小标宋_GBK" w:cs="Times New Roman"/>
          <w:b w:val="0"/>
          <w:bCs/>
          <w:sz w:val="44"/>
          <w:szCs w:val="44"/>
          <w:shd w:val="clear" w:color="auto" w:fill="FFFFFF"/>
        </w:rPr>
        <w:t>2</w:t>
      </w:r>
      <w:r>
        <w:rPr>
          <w:rFonts w:hint="default" w:ascii="Times New Roman" w:hAnsi="Times New Roman" w:eastAsia="方正小标宋_GBK" w:cs="Times New Roman"/>
          <w:b w:val="0"/>
          <w:bCs/>
          <w:sz w:val="44"/>
          <w:szCs w:val="44"/>
          <w:shd w:val="clear" w:color="auto" w:fill="FFFFFF"/>
          <w:lang w:val="en-US" w:eastAsia="zh-CN"/>
        </w:rPr>
        <w:t>023</w:t>
      </w:r>
      <w:r>
        <w:rPr>
          <w:rFonts w:hint="default" w:ascii="Times New Roman" w:hAnsi="Times New Roman" w:eastAsia="方正小标宋_GBK" w:cs="Times New Roman"/>
          <w:b w:val="0"/>
          <w:bCs/>
          <w:sz w:val="44"/>
          <w:szCs w:val="44"/>
          <w:shd w:val="clear" w:color="auto" w:fill="FFFFFF"/>
        </w:rPr>
        <w:t>年</w:t>
      </w:r>
      <w:r>
        <w:rPr>
          <w:rFonts w:hint="default" w:ascii="Times New Roman" w:hAnsi="Times New Roman" w:eastAsia="方正小标宋_GBK" w:cs="Times New Roman"/>
          <w:b w:val="0"/>
          <w:bCs/>
          <w:sz w:val="44"/>
          <w:szCs w:val="44"/>
          <w:shd w:val="clear" w:color="auto" w:fill="FFFFFF"/>
          <w:lang w:eastAsia="zh-CN"/>
        </w:rPr>
        <w:t>度</w:t>
      </w:r>
      <w:r>
        <w:rPr>
          <w:rFonts w:hint="default" w:ascii="Times New Roman" w:hAnsi="Times New Roman" w:eastAsia="方正小标宋_GBK" w:cs="Times New Roman"/>
          <w:b w:val="0"/>
          <w:bCs/>
          <w:sz w:val="44"/>
          <w:szCs w:val="44"/>
          <w:shd w:val="clear" w:color="auto" w:fill="FFFFFF"/>
        </w:rPr>
        <w:t>部门整体支出绩效评价</w:t>
      </w:r>
      <w:r>
        <w:rPr>
          <w:rFonts w:hint="default" w:ascii="Times New Roman" w:hAnsi="Times New Roman" w:eastAsia="方正小标宋_GBK" w:cs="Times New Roman"/>
          <w:b w:val="0"/>
          <w:bCs/>
          <w:sz w:val="44"/>
          <w:szCs w:val="44"/>
          <w:shd w:val="clear" w:color="auto" w:fill="FFFFFF"/>
          <w:lang w:eastAsia="zh-CN"/>
        </w:rPr>
        <w:t>自评</w:t>
      </w:r>
      <w:r>
        <w:rPr>
          <w:rFonts w:hint="default" w:ascii="Times New Roman" w:hAnsi="Times New Roman" w:eastAsia="方正小标宋_GBK" w:cs="Times New Roman"/>
          <w:b w:val="0"/>
          <w:bCs/>
          <w:sz w:val="44"/>
          <w:szCs w:val="44"/>
          <w:shd w:val="clear" w:color="auto" w:fill="FFFFFF"/>
        </w:rPr>
        <w:t>报告</w:t>
      </w:r>
    </w:p>
    <w:p w14:paraId="6EBD713D">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both"/>
        <w:textAlignment w:val="auto"/>
        <w:rPr>
          <w:rFonts w:hint="default" w:ascii="Times New Roman" w:hAnsi="Times New Roman" w:eastAsia="黑体" w:cs="Times New Roman"/>
          <w:color w:val="000000"/>
          <w:kern w:val="0"/>
          <w:sz w:val="24"/>
          <w:szCs w:val="32"/>
          <w:shd w:val="clear" w:color="auto" w:fill="FFFFFF"/>
        </w:rPr>
      </w:pPr>
    </w:p>
    <w:p w14:paraId="68CD01BE">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黑体" w:cs="Times New Roman"/>
          <w:color w:val="000000"/>
          <w:kern w:val="0"/>
          <w:szCs w:val="32"/>
          <w:shd w:val="clear" w:color="auto" w:fill="FFFFFF"/>
          <w:lang w:val="zh-CN"/>
        </w:rPr>
      </w:pPr>
      <w:r>
        <w:rPr>
          <w:rFonts w:hint="default" w:ascii="Times New Roman" w:hAnsi="Times New Roman" w:eastAsia="黑体" w:cs="Times New Roman"/>
          <w:color w:val="000000"/>
          <w:kern w:val="0"/>
          <w:szCs w:val="32"/>
          <w:shd w:val="clear" w:color="auto" w:fill="FFFFFF"/>
        </w:rPr>
        <w:t>一、</w:t>
      </w:r>
      <w:r>
        <w:rPr>
          <w:rFonts w:hint="default" w:ascii="Times New Roman" w:hAnsi="Times New Roman" w:eastAsia="黑体" w:cs="Times New Roman"/>
          <w:color w:val="000000"/>
          <w:kern w:val="0"/>
          <w:szCs w:val="32"/>
          <w:shd w:val="clear" w:color="auto" w:fill="FFFFFF"/>
          <w:lang w:val="zh-CN"/>
        </w:rPr>
        <w:t>部门（单位）概况</w:t>
      </w:r>
    </w:p>
    <w:p w14:paraId="7102EE56">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default" w:ascii="Times New Roman" w:hAnsi="Times New Roman" w:eastAsia="方正楷体_GBK" w:cs="Times New Roman"/>
          <w:b/>
          <w:bCs/>
          <w:color w:val="000000"/>
          <w:kern w:val="0"/>
          <w:szCs w:val="32"/>
          <w:shd w:val="clear" w:color="auto" w:fill="FFFFFF"/>
          <w:lang w:val="en-US" w:eastAsia="zh-CN"/>
        </w:rPr>
        <w:t>一</w:t>
      </w:r>
      <w:r>
        <w:rPr>
          <w:rFonts w:hint="default" w:ascii="Times New Roman" w:hAnsi="Times New Roman" w:eastAsia="方正楷体_GBK" w:cs="Times New Roman"/>
          <w:b/>
          <w:bCs/>
          <w:color w:val="000000"/>
          <w:kern w:val="0"/>
          <w:szCs w:val="32"/>
          <w:shd w:val="clear" w:color="auto" w:fill="FFFFFF"/>
          <w:lang w:val="zh-CN"/>
        </w:rPr>
        <w:t>）机构组成</w:t>
      </w:r>
    </w:p>
    <w:p w14:paraId="5E4A9233">
      <w:pPr>
        <w:keepNext w:val="0"/>
        <w:keepLines w:val="0"/>
        <w:pageBreakBefore w:val="0"/>
        <w:kinsoku/>
        <w:wordWrap/>
        <w:overflowPunct/>
        <w:topLinePunct w:val="0"/>
        <w:autoSpaceDE/>
        <w:autoSpaceDN/>
        <w:bidi w:val="0"/>
        <w:spacing w:line="576" w:lineRule="exact"/>
        <w:ind w:right="0" w:rightChars="0" w:firstLine="640" w:firstLineChars="200"/>
        <w:jc w:val="both"/>
        <w:textAlignment w:val="auto"/>
        <w:rPr>
          <w:rFonts w:hint="default" w:ascii="Times New Roman" w:hAnsi="Times New Roman" w:cs="Times New Roman"/>
          <w:lang w:val="en-US"/>
        </w:rPr>
      </w:pPr>
      <w:r>
        <w:rPr>
          <w:rFonts w:hint="default" w:ascii="Times New Roman" w:hAnsi="Times New Roman" w:eastAsia="仿宋_GB2312" w:cs="Times New Roman"/>
          <w:kern w:val="2"/>
          <w:sz w:val="32"/>
          <w:szCs w:val="32"/>
        </w:rPr>
        <w:t>红原县</w:t>
      </w:r>
      <w:r>
        <w:rPr>
          <w:rFonts w:hint="default" w:ascii="Times New Roman" w:hAnsi="Times New Roman" w:eastAsia="仿宋_GB2312" w:cs="Times New Roman"/>
          <w:kern w:val="2"/>
          <w:sz w:val="32"/>
          <w:szCs w:val="32"/>
          <w:lang w:eastAsia="zh-CN"/>
        </w:rPr>
        <w:t>麦洼乡</w:t>
      </w:r>
      <w:r>
        <w:rPr>
          <w:rFonts w:hint="default" w:ascii="Times New Roman" w:hAnsi="Times New Roman" w:eastAsia="仿宋_GB2312" w:cs="Times New Roman"/>
          <w:kern w:val="2"/>
          <w:sz w:val="32"/>
          <w:szCs w:val="32"/>
        </w:rPr>
        <w:t>人民政府是行政单位，执行行政单位会计制度</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lang w:val="en-US" w:eastAsia="zh-CN" w:bidi="ar-SA"/>
        </w:rPr>
        <w:t>内设机构6个，党政办公室、党建工作办公室、维护稳定办公室、经济发展和乡村振兴办公室、社会事务和应急管理办公室、财政工作办公室；直属事业内设机构4个，便民服务中心、社会事业服务中心、农业农村服务中心、综合文化服务中心。</w:t>
      </w:r>
    </w:p>
    <w:p w14:paraId="6BE025E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default" w:ascii="Times New Roman" w:hAnsi="Times New Roman" w:eastAsia="方正楷体_GBK" w:cs="Times New Roman"/>
          <w:b/>
          <w:bCs/>
          <w:color w:val="000000"/>
          <w:kern w:val="0"/>
          <w:szCs w:val="32"/>
          <w:shd w:val="clear" w:color="auto" w:fill="FFFFFF"/>
          <w:lang w:val="en-US" w:eastAsia="zh-CN"/>
        </w:rPr>
        <w:t>二</w:t>
      </w:r>
      <w:r>
        <w:rPr>
          <w:rFonts w:hint="default" w:ascii="Times New Roman" w:hAnsi="Times New Roman" w:eastAsia="方正楷体_GBK" w:cs="Times New Roman"/>
          <w:b/>
          <w:bCs/>
          <w:color w:val="000000"/>
          <w:kern w:val="0"/>
          <w:szCs w:val="32"/>
          <w:shd w:val="clear" w:color="auto" w:fill="FFFFFF"/>
          <w:lang w:val="zh-CN"/>
        </w:rPr>
        <w:t>）机构职能</w:t>
      </w:r>
    </w:p>
    <w:p w14:paraId="5DED6E67">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104C328A">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rPr>
        <w:t>宣传、实施上级主管部门以及相关单位的有关政策;</w:t>
      </w:r>
    </w:p>
    <w:p w14:paraId="284583CA">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rPr>
        <w:t>执行本行政区域内的经济和社会发展计划、预算、管理本行政区域内的经济、教育、科学、文化、卫生、体育事业和财政、民政、公安、司法行政、计划生育等行政工作;</w:t>
      </w:r>
    </w:p>
    <w:p w14:paraId="1AC1DB63">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3</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rPr>
        <w:t>保护各种经济组织的合法权益;</w:t>
      </w:r>
    </w:p>
    <w:p w14:paraId="460EBB23">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4</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rPr>
        <w:t>保障少数民族的权利和尊重少数民族的风俗习惯;</w:t>
      </w:r>
    </w:p>
    <w:p w14:paraId="7A6E24F7">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lang w:val="zh-CN"/>
        </w:rPr>
      </w:pPr>
      <w:r>
        <w:rPr>
          <w:rFonts w:hint="default" w:ascii="Times New Roman" w:hAnsi="Times New Roman" w:eastAsia="仿宋_GB2312" w:cs="Times New Roman"/>
          <w:kern w:val="2"/>
          <w:sz w:val="32"/>
          <w:szCs w:val="32"/>
        </w:rPr>
        <w:t>5</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rPr>
        <w:t>保护社会主义的全民所有的财产和劳动群众集体所有的财产，保护公民私人所有的合法财产，维护社会秩序，保障公民的人身权利、民主权利和</w:t>
      </w:r>
      <w:r>
        <w:rPr>
          <w:rFonts w:hint="default" w:ascii="Times New Roman" w:hAnsi="Times New Roman" w:eastAsia="仿宋_GB2312" w:cs="Times New Roman"/>
          <w:kern w:val="2"/>
          <w:sz w:val="32"/>
          <w:szCs w:val="32"/>
        </w:rPr>
        <w:fldChar w:fldCharType="begin"/>
      </w:r>
      <w:r>
        <w:rPr>
          <w:rFonts w:hint="default" w:ascii="Times New Roman" w:hAnsi="Times New Roman" w:eastAsia="仿宋_GB2312" w:cs="Times New Roman"/>
          <w:kern w:val="2"/>
          <w:sz w:val="32"/>
          <w:szCs w:val="32"/>
        </w:rPr>
        <w:instrText xml:space="preserve"> HYPERLINK "http://www.oh100.com/qita/" </w:instrText>
      </w:r>
      <w:r>
        <w:rPr>
          <w:rFonts w:hint="default" w:ascii="Times New Roman" w:hAnsi="Times New Roman" w:eastAsia="仿宋_GB2312" w:cs="Times New Roman"/>
          <w:kern w:val="2"/>
          <w:sz w:val="32"/>
          <w:szCs w:val="32"/>
        </w:rPr>
        <w:fldChar w:fldCharType="separate"/>
      </w:r>
      <w:r>
        <w:rPr>
          <w:rFonts w:hint="default" w:ascii="Times New Roman" w:hAnsi="Times New Roman" w:eastAsia="仿宋_GB2312" w:cs="Times New Roman"/>
          <w:kern w:val="2"/>
          <w:sz w:val="32"/>
          <w:szCs w:val="32"/>
        </w:rPr>
        <w:t>其他</w:t>
      </w:r>
      <w:r>
        <w:rPr>
          <w:rFonts w:hint="default" w:ascii="Times New Roman" w:hAnsi="Times New Roman" w:eastAsia="仿宋_GB2312" w:cs="Times New Roman"/>
          <w:kern w:val="2"/>
          <w:sz w:val="32"/>
          <w:szCs w:val="32"/>
        </w:rPr>
        <w:fldChar w:fldCharType="end"/>
      </w:r>
      <w:r>
        <w:rPr>
          <w:rFonts w:hint="default" w:ascii="Times New Roman" w:hAnsi="Times New Roman" w:eastAsia="仿宋_GB2312" w:cs="Times New Roman"/>
          <w:kern w:val="2"/>
          <w:sz w:val="32"/>
          <w:szCs w:val="32"/>
        </w:rPr>
        <w:t>权利;</w:t>
      </w:r>
    </w:p>
    <w:p w14:paraId="2C01E6B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default" w:ascii="Times New Roman" w:hAnsi="Times New Roman" w:eastAsia="方正楷体_GBK" w:cs="Times New Roman"/>
          <w:b/>
          <w:bCs/>
          <w:color w:val="000000"/>
          <w:kern w:val="0"/>
          <w:szCs w:val="32"/>
          <w:shd w:val="clear" w:color="auto" w:fill="FFFFFF"/>
          <w:lang w:val="en-US" w:eastAsia="zh-CN"/>
        </w:rPr>
        <w:t>三</w:t>
      </w:r>
      <w:r>
        <w:rPr>
          <w:rFonts w:hint="default" w:ascii="Times New Roman" w:hAnsi="Times New Roman" w:eastAsia="方正楷体_GBK" w:cs="Times New Roman"/>
          <w:b/>
          <w:bCs/>
          <w:color w:val="000000"/>
          <w:kern w:val="0"/>
          <w:szCs w:val="32"/>
          <w:shd w:val="clear" w:color="auto" w:fill="FFFFFF"/>
          <w:lang w:val="zh-CN"/>
        </w:rPr>
        <w:t>）人员概况</w:t>
      </w:r>
    </w:p>
    <w:p w14:paraId="21E12D96">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lang w:val="zh-CN"/>
        </w:rPr>
      </w:pPr>
      <w:r>
        <w:rPr>
          <w:rFonts w:hint="default" w:ascii="Times New Roman" w:hAnsi="Times New Roman" w:eastAsia="仿宋_GB2312" w:cs="Times New Roman"/>
          <w:kern w:val="2"/>
          <w:sz w:val="32"/>
          <w:szCs w:val="32"/>
        </w:rPr>
        <w:t>全乡总编制</w:t>
      </w:r>
      <w:r>
        <w:rPr>
          <w:rFonts w:hint="default" w:ascii="Times New Roman" w:hAnsi="Times New Roman" w:eastAsia="仿宋_GB2312" w:cs="Times New Roman"/>
          <w:kern w:val="2"/>
          <w:sz w:val="32"/>
          <w:szCs w:val="32"/>
          <w:lang w:val="en-US" w:eastAsia="zh-CN"/>
        </w:rPr>
        <w:t>3</w:t>
      </w:r>
      <w:r>
        <w:rPr>
          <w:rFonts w:hint="default" w:ascii="Times New Roman" w:hAnsi="Times New Roman" w:cs="Times New Roman"/>
          <w:kern w:val="2"/>
          <w:sz w:val="32"/>
          <w:szCs w:val="32"/>
          <w:lang w:val="en-US" w:eastAsia="zh-CN"/>
        </w:rPr>
        <w:t>7</w:t>
      </w:r>
      <w:r>
        <w:rPr>
          <w:rFonts w:hint="default" w:ascii="Times New Roman" w:hAnsi="Times New Roman" w:eastAsia="仿宋_GB2312" w:cs="Times New Roman"/>
          <w:kern w:val="2"/>
          <w:sz w:val="32"/>
          <w:szCs w:val="32"/>
        </w:rPr>
        <w:t>名，其中：行政编制：</w:t>
      </w:r>
      <w:r>
        <w:rPr>
          <w:rFonts w:hint="default" w:ascii="Times New Roman" w:hAnsi="Times New Roman" w:eastAsia="仿宋_GB2312" w:cs="Times New Roman"/>
          <w:kern w:val="2"/>
          <w:sz w:val="32"/>
          <w:szCs w:val="32"/>
          <w:lang w:val="en-US" w:eastAsia="zh-CN"/>
        </w:rPr>
        <w:t>24</w:t>
      </w:r>
      <w:r>
        <w:rPr>
          <w:rFonts w:hint="default" w:ascii="Times New Roman" w:hAnsi="Times New Roman" w:eastAsia="仿宋_GB2312" w:cs="Times New Roman"/>
          <w:kern w:val="2"/>
          <w:sz w:val="32"/>
          <w:szCs w:val="32"/>
        </w:rPr>
        <w:t>名，事业编制：</w:t>
      </w:r>
      <w:r>
        <w:rPr>
          <w:rFonts w:hint="default" w:ascii="Times New Roman" w:hAnsi="Times New Roman" w:eastAsia="仿宋_GB2312" w:cs="Times New Roman"/>
          <w:kern w:val="2"/>
          <w:sz w:val="32"/>
          <w:szCs w:val="32"/>
          <w:lang w:val="en-US" w:eastAsia="zh-CN"/>
        </w:rPr>
        <w:t>1</w:t>
      </w:r>
      <w:r>
        <w:rPr>
          <w:rFonts w:hint="default" w:ascii="Times New Roman" w:hAnsi="Times New Roman" w:cs="Times New Roman"/>
          <w:kern w:val="2"/>
          <w:sz w:val="32"/>
          <w:szCs w:val="32"/>
          <w:lang w:val="en-US" w:eastAsia="zh-CN"/>
        </w:rPr>
        <w:t>1</w:t>
      </w:r>
      <w:r>
        <w:rPr>
          <w:rFonts w:hint="default" w:ascii="Times New Roman" w:hAnsi="Times New Roman" w:eastAsia="仿宋_GB2312" w:cs="Times New Roman"/>
          <w:kern w:val="2"/>
          <w:sz w:val="32"/>
          <w:szCs w:val="32"/>
        </w:rPr>
        <w:t>名，行政工勤编制：</w:t>
      </w:r>
      <w:r>
        <w:rPr>
          <w:rFonts w:hint="default" w:ascii="Times New Roman" w:hAnsi="Times New Roman" w:cs="Times New Roman"/>
          <w:kern w:val="2"/>
          <w:sz w:val="32"/>
          <w:szCs w:val="32"/>
          <w:lang w:val="en-US" w:eastAsia="zh-CN"/>
        </w:rPr>
        <w:t>2</w:t>
      </w:r>
      <w:r>
        <w:rPr>
          <w:rFonts w:hint="default" w:ascii="Times New Roman" w:hAnsi="Times New Roman" w:eastAsia="仿宋_GB2312" w:cs="Times New Roman"/>
          <w:kern w:val="2"/>
          <w:sz w:val="32"/>
          <w:szCs w:val="32"/>
        </w:rPr>
        <w:t>名。有编在岗人员总数</w:t>
      </w:r>
      <w:r>
        <w:rPr>
          <w:rFonts w:hint="default" w:ascii="Times New Roman" w:hAnsi="Times New Roman" w:eastAsia="仿宋_GB2312" w:cs="Times New Roman"/>
          <w:kern w:val="2"/>
          <w:sz w:val="32"/>
          <w:szCs w:val="32"/>
          <w:lang w:val="en-US" w:eastAsia="zh-CN"/>
        </w:rPr>
        <w:t>3</w:t>
      </w:r>
      <w:r>
        <w:rPr>
          <w:rFonts w:hint="default" w:ascii="Times New Roman" w:hAnsi="Times New Roman" w:cs="Times New Roman"/>
          <w:kern w:val="2"/>
          <w:sz w:val="32"/>
          <w:szCs w:val="32"/>
          <w:lang w:val="en-US" w:eastAsia="zh-CN"/>
        </w:rPr>
        <w:t>4</w:t>
      </w:r>
      <w:r>
        <w:rPr>
          <w:rFonts w:hint="default" w:ascii="Times New Roman" w:hAnsi="Times New Roman" w:eastAsia="仿宋_GB2312" w:cs="Times New Roman"/>
          <w:kern w:val="2"/>
          <w:sz w:val="32"/>
          <w:szCs w:val="32"/>
        </w:rPr>
        <w:t>名，其中：行政人员</w:t>
      </w:r>
      <w:r>
        <w:rPr>
          <w:rFonts w:hint="default" w:ascii="Times New Roman" w:hAnsi="Times New Roman" w:eastAsia="仿宋_GB2312" w:cs="Times New Roman"/>
          <w:kern w:val="2"/>
          <w:sz w:val="32"/>
          <w:szCs w:val="32"/>
          <w:lang w:val="en-US" w:eastAsia="zh-CN"/>
        </w:rPr>
        <w:t>2</w:t>
      </w:r>
      <w:r>
        <w:rPr>
          <w:rFonts w:hint="default" w:ascii="Times New Roman" w:hAnsi="Times New Roman" w:cs="Times New Roman"/>
          <w:kern w:val="2"/>
          <w:sz w:val="32"/>
          <w:szCs w:val="32"/>
          <w:lang w:val="en-US" w:eastAsia="zh-CN"/>
        </w:rPr>
        <w:t>3</w:t>
      </w:r>
      <w:r>
        <w:rPr>
          <w:rFonts w:hint="default" w:ascii="Times New Roman" w:hAnsi="Times New Roman" w:eastAsia="仿宋_GB2312" w:cs="Times New Roman"/>
          <w:kern w:val="2"/>
          <w:sz w:val="32"/>
          <w:szCs w:val="32"/>
        </w:rPr>
        <w:t>名，事业人员</w:t>
      </w:r>
      <w:r>
        <w:rPr>
          <w:rFonts w:hint="default" w:ascii="Times New Roman" w:hAnsi="Times New Roman" w:eastAsia="仿宋_GB2312" w:cs="Times New Roman"/>
          <w:kern w:val="2"/>
          <w:sz w:val="32"/>
          <w:szCs w:val="32"/>
          <w:lang w:val="en-US" w:eastAsia="zh-CN"/>
        </w:rPr>
        <w:t>1</w:t>
      </w:r>
      <w:r>
        <w:rPr>
          <w:rFonts w:hint="default" w:ascii="Times New Roman" w:hAnsi="Times New Roman" w:cs="Times New Roman"/>
          <w:kern w:val="2"/>
          <w:sz w:val="32"/>
          <w:szCs w:val="32"/>
          <w:lang w:val="en-US" w:eastAsia="zh-CN"/>
        </w:rPr>
        <w:t>0</w:t>
      </w:r>
      <w:r>
        <w:rPr>
          <w:rFonts w:hint="default" w:ascii="Times New Roman" w:hAnsi="Times New Roman" w:eastAsia="仿宋_GB2312" w:cs="Times New Roman"/>
          <w:kern w:val="2"/>
          <w:sz w:val="32"/>
          <w:szCs w:val="32"/>
        </w:rPr>
        <w:t>名，行政工勤人员1名</w:t>
      </w:r>
      <w:r>
        <w:rPr>
          <w:rFonts w:hint="default" w:ascii="Times New Roman" w:hAnsi="Times New Roman" w:eastAsia="仿宋_GB2312" w:cs="Times New Roman"/>
          <w:kern w:val="2"/>
          <w:sz w:val="32"/>
          <w:szCs w:val="32"/>
          <w:lang w:val="en-US" w:eastAsia="zh-CN"/>
        </w:rPr>
        <w:t>。</w:t>
      </w:r>
      <w:r>
        <w:rPr>
          <w:rFonts w:hint="default" w:ascii="Times New Roman" w:hAnsi="Times New Roman" w:eastAsia="仿宋_GB2312" w:cs="Times New Roman"/>
          <w:kern w:val="2"/>
          <w:sz w:val="32"/>
          <w:szCs w:val="32"/>
        </w:rPr>
        <w:t>退休人员</w:t>
      </w:r>
      <w:r>
        <w:rPr>
          <w:rFonts w:hint="default" w:ascii="Times New Roman" w:hAnsi="Times New Roman" w:eastAsia="仿宋_GB2312" w:cs="Times New Roman"/>
          <w:kern w:val="2"/>
          <w:sz w:val="32"/>
          <w:szCs w:val="32"/>
          <w:lang w:val="en-US" w:eastAsia="zh-CN"/>
        </w:rPr>
        <w:t>4</w:t>
      </w:r>
      <w:r>
        <w:rPr>
          <w:rFonts w:hint="default" w:ascii="Times New Roman" w:hAnsi="Times New Roman" w:eastAsia="仿宋_GB2312" w:cs="Times New Roman"/>
          <w:kern w:val="2"/>
          <w:sz w:val="32"/>
          <w:szCs w:val="32"/>
        </w:rPr>
        <w:t>人</w:t>
      </w:r>
      <w:r>
        <w:rPr>
          <w:rFonts w:hint="default" w:ascii="Times New Roman" w:hAnsi="Times New Roman" w:eastAsia="仿宋_GB2312" w:cs="Times New Roman"/>
          <w:kern w:val="2"/>
          <w:sz w:val="32"/>
          <w:szCs w:val="32"/>
          <w:lang w:eastAsia="zh-CN"/>
        </w:rPr>
        <w:t>。麦洼乡</w:t>
      </w:r>
      <w:r>
        <w:rPr>
          <w:rFonts w:hint="default" w:ascii="Times New Roman" w:hAnsi="Times New Roman" w:eastAsia="仿宋_GB2312" w:cs="Times New Roman"/>
          <w:kern w:val="2"/>
          <w:sz w:val="32"/>
          <w:szCs w:val="32"/>
        </w:rPr>
        <w:t>下辖2个行政村，2名一肩挑，</w:t>
      </w:r>
      <w:r>
        <w:rPr>
          <w:rFonts w:hint="default"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名村</w:t>
      </w:r>
      <w:r>
        <w:rPr>
          <w:rFonts w:hint="default" w:ascii="Times New Roman" w:hAnsi="Times New Roman" w:eastAsia="仿宋_GB2312" w:cs="Times New Roman"/>
          <w:kern w:val="2"/>
          <w:sz w:val="32"/>
          <w:szCs w:val="32"/>
          <w:lang w:eastAsia="zh-CN"/>
        </w:rPr>
        <w:t>副主任，</w:t>
      </w:r>
      <w:r>
        <w:rPr>
          <w:rFonts w:hint="default" w:ascii="Times New Roman" w:hAnsi="Times New Roman" w:eastAsia="仿宋_GB2312" w:cs="Times New Roman"/>
          <w:kern w:val="2"/>
          <w:sz w:val="32"/>
          <w:szCs w:val="32"/>
          <w:lang w:val="en-US" w:eastAsia="zh-CN"/>
        </w:rPr>
        <w:t>2名村支部副书记，</w:t>
      </w:r>
      <w:r>
        <w:rPr>
          <w:rFonts w:hint="default" w:ascii="Times New Roman" w:hAnsi="Times New Roman" w:eastAsia="仿宋_GB2312" w:cs="Times New Roman"/>
          <w:kern w:val="2"/>
          <w:sz w:val="32"/>
          <w:szCs w:val="32"/>
        </w:rPr>
        <w:t>2名村会计</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2名村纪检委员</w:t>
      </w:r>
      <w:r>
        <w:rPr>
          <w:rFonts w:hint="default" w:ascii="Times New Roman" w:hAnsi="Times New Roman" w:eastAsia="仿宋_GB2312" w:cs="Times New Roman"/>
          <w:kern w:val="2"/>
          <w:sz w:val="32"/>
          <w:szCs w:val="32"/>
        </w:rPr>
        <w:t>。</w:t>
      </w:r>
    </w:p>
    <w:p w14:paraId="65ECE29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黑体" w:cs="Times New Roman"/>
          <w:color w:val="000000"/>
          <w:kern w:val="0"/>
          <w:szCs w:val="32"/>
          <w:shd w:val="clear" w:color="auto" w:fill="FFFFFF"/>
          <w:lang w:val="zh-CN"/>
        </w:rPr>
      </w:pPr>
      <w:r>
        <w:rPr>
          <w:rFonts w:hint="default" w:ascii="Times New Roman" w:hAnsi="Times New Roman" w:eastAsia="黑体" w:cs="Times New Roman"/>
          <w:color w:val="000000"/>
          <w:kern w:val="0"/>
          <w:szCs w:val="32"/>
          <w:shd w:val="clear" w:color="auto" w:fill="FFFFFF"/>
          <w:lang w:val="zh-CN"/>
        </w:rPr>
        <w:t>二、部门财政资金收支情况</w:t>
      </w:r>
    </w:p>
    <w:p w14:paraId="47412BC4">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（一）部门财政资金收入情况</w:t>
      </w:r>
    </w:p>
    <w:p w14:paraId="400437D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sz w:val="32"/>
          <w:szCs w:val="32"/>
        </w:rPr>
        <w:t>本单位本年度总收入为</w:t>
      </w:r>
      <w:r>
        <w:rPr>
          <w:rFonts w:hint="eastAsia" w:ascii="Times New Roman" w:hAnsi="Times New Roman" w:eastAsia="仿宋_GB2312" w:cs="Times New Roman"/>
          <w:sz w:val="32"/>
          <w:szCs w:val="32"/>
          <w:lang w:val="en-US" w:eastAsia="zh-CN"/>
        </w:rPr>
        <w:t>1329.8</w:t>
      </w:r>
      <w:r>
        <w:rPr>
          <w:rFonts w:hint="default" w:ascii="Times New Roman" w:hAnsi="Times New Roman" w:eastAsia="仿宋_GB2312" w:cs="Times New Roman"/>
          <w:sz w:val="32"/>
          <w:szCs w:val="32"/>
        </w:rPr>
        <w:t>万元。其中：一般公共预算财政拨款收入为</w:t>
      </w:r>
      <w:r>
        <w:rPr>
          <w:rFonts w:hint="eastAsia" w:ascii="Times New Roman" w:hAnsi="Times New Roman" w:eastAsia="仿宋_GB2312" w:cs="Times New Roman"/>
          <w:sz w:val="32"/>
          <w:szCs w:val="32"/>
          <w:lang w:val="en-US" w:eastAsia="zh-CN"/>
        </w:rPr>
        <w:t>1310</w:t>
      </w:r>
      <w:r>
        <w:rPr>
          <w:rFonts w:hint="default" w:ascii="Times New Roman" w:hAnsi="Times New Roman" w:eastAsia="仿宋_GB2312" w:cs="Times New Roman"/>
          <w:sz w:val="32"/>
          <w:szCs w:val="32"/>
        </w:rPr>
        <w:t>万元，占比</w:t>
      </w:r>
      <w:r>
        <w:rPr>
          <w:rFonts w:hint="eastAsia" w:ascii="Times New Roman" w:hAnsi="Times New Roman" w:eastAsia="仿宋_GB2312" w:cs="Times New Roman"/>
          <w:sz w:val="32"/>
          <w:szCs w:val="32"/>
          <w:lang w:val="en-US" w:eastAsia="zh-CN"/>
        </w:rPr>
        <w:t>98.51</w:t>
      </w:r>
      <w:r>
        <w:rPr>
          <w:rFonts w:hint="default" w:ascii="Times New Roman" w:hAnsi="Times New Roman" w:eastAsia="仿宋_GB2312" w:cs="Times New Roman"/>
          <w:sz w:val="32"/>
          <w:szCs w:val="32"/>
        </w:rPr>
        <w:t>%；其他收入为</w:t>
      </w:r>
      <w:r>
        <w:rPr>
          <w:rFonts w:hint="default" w:ascii="Times New Roman" w:hAnsi="Times New Roman" w:eastAsia="仿宋_GB2312" w:cs="Times New Roman"/>
          <w:sz w:val="32"/>
          <w:szCs w:val="32"/>
          <w:lang w:val="en-US" w:eastAsia="zh-CN"/>
        </w:rPr>
        <w:t>19.80</w:t>
      </w:r>
      <w:r>
        <w:rPr>
          <w:rFonts w:hint="default" w:ascii="Times New Roman" w:hAnsi="Times New Roman" w:eastAsia="仿宋_GB2312" w:cs="Times New Roman"/>
          <w:sz w:val="32"/>
          <w:szCs w:val="32"/>
        </w:rPr>
        <w:t>万元，占比</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49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kern w:val="0"/>
          <w:sz w:val="32"/>
          <w:szCs w:val="32"/>
          <w:lang w:val="en-US" w:eastAsia="zh-CN" w:bidi="ar-SA"/>
        </w:rPr>
        <w:t>一般公共服务收入为</w:t>
      </w:r>
      <w:r>
        <w:rPr>
          <w:rFonts w:hint="eastAsia" w:ascii="Times New Roman" w:hAnsi="Times New Roman" w:eastAsia="仿宋_GB2312" w:cs="Times New Roman"/>
          <w:kern w:val="0"/>
          <w:sz w:val="32"/>
          <w:szCs w:val="32"/>
          <w:lang w:val="en-US" w:eastAsia="zh-CN" w:bidi="ar-SA"/>
        </w:rPr>
        <w:t>722.1</w:t>
      </w:r>
      <w:r>
        <w:rPr>
          <w:rFonts w:hint="default" w:ascii="Times New Roman" w:hAnsi="Times New Roman" w:eastAsia="仿宋_GB2312" w:cs="Times New Roman"/>
          <w:kern w:val="0"/>
          <w:sz w:val="32"/>
          <w:szCs w:val="32"/>
          <w:lang w:val="en-US" w:eastAsia="zh-CN" w:bidi="ar-SA"/>
        </w:rPr>
        <w:t>万元，完成预算100%；文化旅游体育与传媒收入为</w:t>
      </w:r>
      <w:r>
        <w:rPr>
          <w:rFonts w:hint="eastAsia" w:ascii="Times New Roman" w:hAnsi="Times New Roman" w:eastAsia="仿宋_GB2312" w:cs="Times New Roman"/>
          <w:kern w:val="0"/>
          <w:sz w:val="32"/>
          <w:szCs w:val="32"/>
          <w:lang w:val="en-US" w:eastAsia="zh-CN" w:bidi="ar-SA"/>
        </w:rPr>
        <w:t>4.56</w:t>
      </w:r>
      <w:r>
        <w:rPr>
          <w:rFonts w:hint="default" w:ascii="Times New Roman" w:hAnsi="Times New Roman" w:eastAsia="仿宋_GB2312" w:cs="Times New Roman"/>
          <w:kern w:val="0"/>
          <w:sz w:val="32"/>
          <w:szCs w:val="32"/>
          <w:lang w:val="en-US" w:eastAsia="zh-CN" w:bidi="ar-SA"/>
        </w:rPr>
        <w:t>万元，完成预算100%；社会保障和就业收入为</w:t>
      </w:r>
      <w:r>
        <w:rPr>
          <w:rFonts w:hint="eastAsia" w:ascii="Times New Roman" w:hAnsi="Times New Roman" w:eastAsia="仿宋_GB2312" w:cs="Times New Roman"/>
          <w:kern w:val="0"/>
          <w:sz w:val="32"/>
          <w:szCs w:val="32"/>
          <w:lang w:val="en-US" w:eastAsia="zh-CN" w:bidi="ar-SA"/>
        </w:rPr>
        <w:t>113</w:t>
      </w:r>
      <w:r>
        <w:rPr>
          <w:rFonts w:hint="default" w:ascii="Times New Roman" w:hAnsi="Times New Roman" w:eastAsia="仿宋_GB2312" w:cs="Times New Roman"/>
          <w:kern w:val="0"/>
          <w:sz w:val="32"/>
          <w:szCs w:val="32"/>
          <w:lang w:val="en-US" w:eastAsia="zh-CN" w:bidi="ar-SA"/>
        </w:rPr>
        <w:t>万元，完成预算100%；卫生健康收入为</w:t>
      </w:r>
      <w:r>
        <w:rPr>
          <w:rFonts w:hint="eastAsia" w:ascii="Times New Roman" w:hAnsi="Times New Roman" w:eastAsia="仿宋_GB2312" w:cs="Times New Roman"/>
          <w:kern w:val="0"/>
          <w:sz w:val="32"/>
          <w:szCs w:val="32"/>
          <w:lang w:val="en-US" w:eastAsia="zh-CN" w:bidi="ar-SA"/>
        </w:rPr>
        <w:t>47.76</w:t>
      </w:r>
      <w:r>
        <w:rPr>
          <w:rFonts w:hint="default" w:ascii="Times New Roman" w:hAnsi="Times New Roman" w:eastAsia="仿宋_GB2312" w:cs="Times New Roman"/>
          <w:kern w:val="0"/>
          <w:sz w:val="32"/>
          <w:szCs w:val="32"/>
          <w:lang w:val="en-US" w:eastAsia="zh-CN" w:bidi="ar-SA"/>
        </w:rPr>
        <w:t>万元，完成预算100%。；城乡社区收入为8万元，完成预算100%；农林水收入为</w:t>
      </w:r>
      <w:r>
        <w:rPr>
          <w:rFonts w:hint="eastAsia" w:ascii="Times New Roman" w:hAnsi="Times New Roman" w:eastAsia="仿宋_GB2312" w:cs="Times New Roman"/>
          <w:kern w:val="0"/>
          <w:sz w:val="32"/>
          <w:szCs w:val="32"/>
          <w:lang w:val="en-US" w:eastAsia="zh-CN" w:bidi="ar-SA"/>
        </w:rPr>
        <w:t>368</w:t>
      </w:r>
      <w:r>
        <w:rPr>
          <w:rFonts w:hint="default" w:ascii="Times New Roman" w:hAnsi="Times New Roman" w:eastAsia="仿宋_GB2312" w:cs="Times New Roman"/>
          <w:kern w:val="0"/>
          <w:sz w:val="32"/>
          <w:szCs w:val="32"/>
          <w:lang w:val="en-US" w:eastAsia="zh-CN" w:bidi="ar-SA"/>
        </w:rPr>
        <w:t>万元，完成预算100%。</w:t>
      </w:r>
    </w:p>
    <w:p w14:paraId="5E0F78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default" w:ascii="Times New Roman" w:hAnsi="Times New Roman" w:eastAsia="方正楷体_GBK" w:cs="Times New Roman"/>
          <w:b/>
          <w:bCs/>
          <w:color w:val="000000"/>
          <w:kern w:val="0"/>
          <w:szCs w:val="32"/>
          <w:shd w:val="clear" w:color="auto" w:fill="FFFFFF"/>
          <w:lang w:val="en-US" w:eastAsia="zh-CN"/>
        </w:rPr>
        <w:t>二</w:t>
      </w:r>
      <w:r>
        <w:rPr>
          <w:rFonts w:hint="default" w:ascii="Times New Roman" w:hAnsi="Times New Roman" w:eastAsia="方正楷体_GBK" w:cs="Times New Roman"/>
          <w:b/>
          <w:bCs/>
          <w:color w:val="000000"/>
          <w:kern w:val="0"/>
          <w:szCs w:val="32"/>
          <w:shd w:val="clear" w:color="auto" w:fill="FFFFFF"/>
          <w:lang w:val="zh-CN"/>
        </w:rPr>
        <w:t>）部门财政资金支出情况</w:t>
      </w:r>
    </w:p>
    <w:p w14:paraId="1CC4D0C8">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本年度总支出为</w:t>
      </w:r>
      <w:r>
        <w:rPr>
          <w:rFonts w:hint="eastAsia" w:ascii="Times New Roman" w:hAnsi="Times New Roman" w:cs="Times New Roman"/>
          <w:sz w:val="32"/>
          <w:szCs w:val="32"/>
          <w:lang w:val="en-US" w:eastAsia="zh-CN"/>
        </w:rPr>
        <w:t>1329.8</w:t>
      </w:r>
      <w:r>
        <w:rPr>
          <w:rFonts w:hint="default" w:ascii="Times New Roman" w:hAnsi="Times New Roman" w:eastAsia="仿宋_GB2312" w:cs="Times New Roman"/>
          <w:sz w:val="32"/>
          <w:szCs w:val="32"/>
        </w:rPr>
        <w:t>万元。其中：一般公共服务支出为</w:t>
      </w:r>
      <w:r>
        <w:rPr>
          <w:rFonts w:hint="eastAsia" w:ascii="Times New Roman" w:hAnsi="Times New Roman" w:cs="Times New Roman"/>
          <w:sz w:val="32"/>
          <w:szCs w:val="32"/>
          <w:lang w:val="en-US" w:eastAsia="zh-CN"/>
        </w:rPr>
        <w:t>722.1</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54.3</w:t>
      </w:r>
      <w:r>
        <w:rPr>
          <w:rFonts w:hint="default" w:ascii="Times New Roman" w:hAnsi="Times New Roman" w:eastAsia="仿宋_GB2312" w:cs="Times New Roman"/>
          <w:sz w:val="32"/>
          <w:szCs w:val="32"/>
        </w:rPr>
        <w:t>%；文化旅游体育与传媒支出为</w:t>
      </w:r>
      <w:r>
        <w:rPr>
          <w:rFonts w:hint="eastAsia" w:ascii="Times New Roman" w:hAnsi="Times New Roman" w:cs="Times New Roman"/>
          <w:sz w:val="32"/>
          <w:szCs w:val="32"/>
          <w:lang w:val="en-US" w:eastAsia="zh-CN"/>
        </w:rPr>
        <w:t>4.56</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0.34</w:t>
      </w:r>
      <w:r>
        <w:rPr>
          <w:rFonts w:hint="default" w:ascii="Times New Roman" w:hAnsi="Times New Roman" w:eastAsia="仿宋_GB2312" w:cs="Times New Roman"/>
          <w:sz w:val="32"/>
          <w:szCs w:val="32"/>
        </w:rPr>
        <w:t>%；社会保障和就业支出为</w:t>
      </w:r>
      <w:r>
        <w:rPr>
          <w:rFonts w:hint="eastAsia" w:ascii="Times New Roman" w:hAnsi="Times New Roman" w:cs="Times New Roman"/>
          <w:sz w:val="32"/>
          <w:szCs w:val="32"/>
          <w:lang w:val="en-US" w:eastAsia="zh-CN"/>
        </w:rPr>
        <w:t>113</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8.5</w:t>
      </w:r>
      <w:r>
        <w:rPr>
          <w:rFonts w:hint="default" w:ascii="Times New Roman" w:hAnsi="Times New Roman" w:eastAsia="仿宋_GB2312" w:cs="Times New Roman"/>
          <w:sz w:val="32"/>
          <w:szCs w:val="32"/>
        </w:rPr>
        <w:t>%；卫生健康支出为</w:t>
      </w:r>
      <w:r>
        <w:rPr>
          <w:rFonts w:hint="eastAsia" w:ascii="Times New Roman" w:hAnsi="Times New Roman" w:cs="Times New Roman"/>
          <w:sz w:val="32"/>
          <w:szCs w:val="32"/>
          <w:lang w:val="en-US" w:eastAsia="zh-CN"/>
        </w:rPr>
        <w:t>47.76</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3.6</w:t>
      </w:r>
      <w:r>
        <w:rPr>
          <w:rFonts w:hint="default" w:ascii="Times New Roman" w:hAnsi="Times New Roman" w:eastAsia="仿宋_GB2312" w:cs="Times New Roman"/>
          <w:sz w:val="32"/>
          <w:szCs w:val="32"/>
        </w:rPr>
        <w:t>%；城乡社区支出为</w:t>
      </w:r>
      <w:r>
        <w:rPr>
          <w:rFonts w:hint="default" w:ascii="Times New Roman" w:hAnsi="Times New Roman" w:cs="Times New Roman"/>
          <w:sz w:val="32"/>
          <w:szCs w:val="32"/>
          <w:lang w:val="en-US" w:eastAsia="zh-CN"/>
        </w:rPr>
        <w:t>8</w:t>
      </w:r>
      <w:r>
        <w:rPr>
          <w:rFonts w:hint="default" w:ascii="Times New Roman" w:hAnsi="Times New Roman" w:eastAsia="仿宋_GB2312" w:cs="Times New Roman"/>
          <w:sz w:val="32"/>
          <w:szCs w:val="32"/>
        </w:rPr>
        <w:t>万元，占比</w:t>
      </w:r>
      <w:r>
        <w:rPr>
          <w:rFonts w:hint="default" w:ascii="Times New Roman" w:hAnsi="Times New Roman" w:cs="Times New Roman"/>
          <w:sz w:val="32"/>
          <w:szCs w:val="32"/>
          <w:lang w:val="en-US" w:eastAsia="zh-CN"/>
        </w:rPr>
        <w:t>0.</w:t>
      </w:r>
      <w:r>
        <w:rPr>
          <w:rFonts w:hint="eastAsia" w:ascii="Times New Roman" w:hAnsi="Times New Roman" w:cs="Times New Roman"/>
          <w:sz w:val="32"/>
          <w:szCs w:val="32"/>
          <w:lang w:val="en-US" w:eastAsia="zh-CN"/>
        </w:rPr>
        <w:t>6</w:t>
      </w:r>
      <w:r>
        <w:rPr>
          <w:rFonts w:hint="default" w:ascii="Times New Roman" w:hAnsi="Times New Roman" w:eastAsia="仿宋_GB2312" w:cs="Times New Roman"/>
          <w:sz w:val="32"/>
          <w:szCs w:val="32"/>
        </w:rPr>
        <w:t>%；农林水支出为</w:t>
      </w:r>
      <w:r>
        <w:rPr>
          <w:rFonts w:hint="default" w:ascii="Times New Roman" w:hAnsi="Times New Roman" w:cs="Times New Roman"/>
          <w:sz w:val="32"/>
          <w:szCs w:val="32"/>
          <w:lang w:val="en-US" w:eastAsia="zh-CN"/>
        </w:rPr>
        <w:t>36</w:t>
      </w:r>
      <w:r>
        <w:rPr>
          <w:rFonts w:hint="eastAsia" w:ascii="Times New Roman" w:hAnsi="Times New Roman" w:cs="Times New Roman"/>
          <w:sz w:val="32"/>
          <w:szCs w:val="32"/>
          <w:lang w:val="en-US" w:eastAsia="zh-CN"/>
        </w:rPr>
        <w:t>8</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27.7</w:t>
      </w:r>
      <w:r>
        <w:rPr>
          <w:rFonts w:hint="default" w:ascii="Times New Roman" w:hAnsi="Times New Roman" w:eastAsia="仿宋_GB2312" w:cs="Times New Roman"/>
          <w:sz w:val="32"/>
          <w:szCs w:val="32"/>
        </w:rPr>
        <w:t>%；住房保障支出为</w:t>
      </w:r>
      <w:r>
        <w:rPr>
          <w:rFonts w:hint="eastAsia" w:ascii="Times New Roman" w:hAnsi="Times New Roman" w:cs="Times New Roman"/>
          <w:sz w:val="32"/>
          <w:szCs w:val="32"/>
          <w:lang w:val="en-US" w:eastAsia="zh-CN"/>
        </w:rPr>
        <w:t>59.69</w:t>
      </w:r>
      <w:r>
        <w:rPr>
          <w:rFonts w:hint="default" w:ascii="Times New Roman" w:hAnsi="Times New Roman" w:eastAsia="仿宋_GB2312" w:cs="Times New Roman"/>
          <w:sz w:val="32"/>
          <w:szCs w:val="32"/>
        </w:rPr>
        <w:t>万元，占比</w:t>
      </w:r>
      <w:r>
        <w:rPr>
          <w:rFonts w:hint="eastAsia" w:ascii="Times New Roman" w:hAnsi="Times New Roman" w:cs="Times New Roman"/>
          <w:sz w:val="32"/>
          <w:szCs w:val="32"/>
          <w:lang w:val="en-US" w:eastAsia="zh-CN"/>
        </w:rPr>
        <w:t>4.49</w:t>
      </w:r>
      <w:r>
        <w:rPr>
          <w:rFonts w:hint="default" w:ascii="Times New Roman" w:hAnsi="Times New Roman" w:eastAsia="仿宋_GB2312" w:cs="Times New Roman"/>
          <w:sz w:val="32"/>
          <w:szCs w:val="32"/>
        </w:rPr>
        <w:t>%。</w:t>
      </w:r>
    </w:p>
    <w:p w14:paraId="259AF0E0">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黑体" w:cs="Times New Roman"/>
          <w:color w:val="000000"/>
          <w:kern w:val="0"/>
          <w:szCs w:val="32"/>
          <w:shd w:val="clear" w:color="auto" w:fill="FFFFFF"/>
          <w:lang w:val="zh-CN"/>
        </w:rPr>
        <w:t>部门整体预算绩效管理情况</w:t>
      </w:r>
    </w:p>
    <w:p w14:paraId="569E7D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（一）部门预算管理</w:t>
      </w:r>
    </w:p>
    <w:p w14:paraId="432353CF">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0" w:firstLineChars="200"/>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zh-CN" w:eastAsia="zh-CN"/>
        </w:rPr>
        <w:t>我乡严格按照相关编制要求、编制程序</w:t>
      </w:r>
      <w:r>
        <w:rPr>
          <w:rFonts w:hint="default" w:ascii="Times New Roman" w:hAnsi="Times New Roman" w:eastAsia="仿宋_GB2312" w:cs="Times New Roman"/>
          <w:kern w:val="2"/>
          <w:sz w:val="32"/>
          <w:szCs w:val="32"/>
          <w:lang w:val="en-US" w:eastAsia="zh-CN"/>
        </w:rPr>
        <w:t>及时组织财务人员进行</w:t>
      </w:r>
      <w:r>
        <w:rPr>
          <w:rFonts w:hint="default" w:ascii="Times New Roman" w:hAnsi="Times New Roman" w:eastAsia="仿宋_GB2312" w:cs="Times New Roman"/>
          <w:kern w:val="2"/>
          <w:sz w:val="32"/>
          <w:szCs w:val="32"/>
          <w:lang w:val="zh-CN" w:eastAsia="zh-CN"/>
        </w:rPr>
        <w:t>部门预算编制，以发挥资金的使用效益为目标，合理安排各项经济业务开支，办理各项人员支出，在资金的使用上达到“量入为出，统筹兼顾，保证重点，兼顾一般，收支平衡”。</w:t>
      </w:r>
      <w:r>
        <w:rPr>
          <w:rFonts w:hint="default" w:ascii="Times New Roman" w:hAnsi="Times New Roman" w:eastAsia="仿宋_GB2312" w:cs="Times New Roman"/>
          <w:kern w:val="2"/>
          <w:sz w:val="32"/>
          <w:szCs w:val="32"/>
          <w:lang w:val="en-US" w:eastAsia="zh-CN"/>
        </w:rPr>
        <w:t>对本年度预算款项进行及时清理和处理，做到账账相符、账实相符、账证相符,按先有预算再有支出的原则，及时处理相关事务；对绩效目标进行梳理和分析，及时上报相关报表；对专项预算提前细化，分科目上报，做到收支平衡。</w:t>
      </w:r>
    </w:p>
    <w:p w14:paraId="12FAE1E3">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（二）结果应用情况</w:t>
      </w:r>
    </w:p>
    <w:p w14:paraId="2E27B330">
      <w:pPr>
        <w:pStyle w:val="17"/>
        <w:keepNext w:val="0"/>
        <w:keepLines w:val="0"/>
        <w:pageBreakBefore w:val="0"/>
        <w:widowControl/>
        <w:suppressLineNumbers w:val="0"/>
        <w:kinsoku/>
        <w:wordWrap/>
        <w:overflowPunct/>
        <w:topLinePunct w:val="0"/>
        <w:autoSpaceDE/>
        <w:autoSpaceDN/>
        <w:bidi w:val="0"/>
        <w:spacing w:before="105" w:beforeAutospacing="0" w:after="105" w:afterAutospacing="0" w:line="576" w:lineRule="exact"/>
        <w:ind w:firstLine="643" w:firstLineChars="200"/>
        <w:textAlignment w:val="auto"/>
        <w:rPr>
          <w:rFonts w:hint="default" w:ascii="Times New Roman" w:hAnsi="Times New Roman" w:eastAsia="仿宋_GB2312" w:cs="Times New Roman"/>
          <w:bCs/>
          <w:color w:val="000000"/>
          <w:kern w:val="0"/>
          <w:sz w:val="32"/>
          <w:szCs w:val="32"/>
          <w:lang w:val="zh-CN" w:eastAsia="zh-CN" w:bidi="ar-SA"/>
        </w:rPr>
      </w:pPr>
      <w:r>
        <w:rPr>
          <w:rFonts w:hint="default" w:ascii="Times New Roman" w:hAnsi="Times New Roman" w:cs="Times New Roman"/>
          <w:b/>
          <w:bCs w:val="0"/>
          <w:color w:val="000000"/>
          <w:kern w:val="0"/>
          <w:sz w:val="32"/>
          <w:szCs w:val="32"/>
          <w:lang w:val="zh-CN" w:eastAsia="zh-CN" w:bidi="ar-SA"/>
        </w:rPr>
        <w:t>信息</w:t>
      </w:r>
      <w:r>
        <w:rPr>
          <w:rFonts w:hint="default" w:ascii="Times New Roman" w:hAnsi="Times New Roman" w:eastAsia="仿宋_GB2312" w:cs="Times New Roman"/>
          <w:b/>
          <w:bCs w:val="0"/>
          <w:color w:val="000000"/>
          <w:kern w:val="0"/>
          <w:sz w:val="32"/>
          <w:szCs w:val="32"/>
          <w:lang w:val="zh-CN" w:eastAsia="zh-CN" w:bidi="ar-SA"/>
        </w:rPr>
        <w:t>公开：</w:t>
      </w:r>
      <w:r>
        <w:rPr>
          <w:rFonts w:hint="default" w:ascii="Times New Roman" w:hAnsi="Times New Roman" w:eastAsia="仿宋_GB2312" w:cs="Times New Roman"/>
          <w:b w:val="0"/>
          <w:bCs/>
          <w:color w:val="000000"/>
          <w:kern w:val="0"/>
          <w:sz w:val="32"/>
          <w:szCs w:val="32"/>
          <w:lang w:val="zh-CN" w:eastAsia="zh-CN" w:bidi="ar-SA"/>
        </w:rPr>
        <w:t>根据县政府相关工作要求，及时依法在政府官方网站对“三公经费”及预算、决算</w:t>
      </w:r>
      <w:r>
        <w:rPr>
          <w:rFonts w:hint="default" w:ascii="Times New Roman" w:hAnsi="Times New Roman" w:cs="Times New Roman"/>
          <w:b w:val="0"/>
          <w:bCs/>
          <w:color w:val="000000"/>
          <w:kern w:val="0"/>
          <w:sz w:val="32"/>
          <w:szCs w:val="32"/>
          <w:lang w:val="zh-CN" w:eastAsia="zh-CN" w:bidi="ar-SA"/>
        </w:rPr>
        <w:t>信息</w:t>
      </w:r>
      <w:r>
        <w:rPr>
          <w:rFonts w:hint="default" w:ascii="Times New Roman" w:hAnsi="Times New Roman" w:eastAsia="仿宋_GB2312" w:cs="Times New Roman"/>
          <w:b w:val="0"/>
          <w:bCs/>
          <w:color w:val="000000"/>
          <w:kern w:val="0"/>
          <w:sz w:val="32"/>
          <w:szCs w:val="32"/>
          <w:lang w:val="zh-CN" w:eastAsia="zh-CN" w:bidi="ar-SA"/>
        </w:rPr>
        <w:t>进行公示，授受社会的监督</w:t>
      </w:r>
      <w:r>
        <w:rPr>
          <w:rFonts w:hint="default" w:ascii="Times New Roman" w:hAnsi="Times New Roman" w:cs="Times New Roman"/>
          <w:b w:val="0"/>
          <w:bCs/>
          <w:color w:val="000000"/>
          <w:kern w:val="0"/>
          <w:sz w:val="32"/>
          <w:szCs w:val="32"/>
          <w:lang w:val="zh-CN" w:eastAsia="zh-CN" w:bidi="ar-SA"/>
        </w:rPr>
        <w:t>。</w:t>
      </w:r>
    </w:p>
    <w:p w14:paraId="0FE3692D">
      <w:pPr>
        <w:keepNext w:val="0"/>
        <w:keepLines w:val="0"/>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cs="Times New Roman"/>
          <w:lang w:val="zh-CN"/>
        </w:rPr>
      </w:pPr>
      <w:r>
        <w:rPr>
          <w:rFonts w:hint="default" w:ascii="Times New Roman" w:hAnsi="Times New Roman" w:cs="Times New Roman"/>
          <w:b/>
          <w:bCs/>
          <w:color w:val="000000"/>
          <w:sz w:val="32"/>
          <w:szCs w:val="32"/>
          <w:shd w:val="clear" w:color="auto" w:fill="FFFFFF"/>
        </w:rPr>
        <w:t>内部管理制度建设情况：</w:t>
      </w:r>
      <w:r>
        <w:rPr>
          <w:rFonts w:hint="default" w:ascii="Times New Roman" w:hAnsi="Times New Roman" w:cs="Times New Roman"/>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14:paraId="0C599DBC">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cs="Times New Roman"/>
          <w:lang w:val="zh-CN"/>
        </w:rPr>
      </w:pPr>
      <w:r>
        <w:rPr>
          <w:rFonts w:hint="default" w:ascii="Times New Roman" w:hAnsi="Times New Roman" w:cs="Times New Roman"/>
          <w:lang w:val="zh-CN"/>
        </w:rPr>
        <w:t>1</w:t>
      </w:r>
      <w:r>
        <w:rPr>
          <w:rFonts w:hint="default" w:ascii="Times New Roman" w:hAnsi="Times New Roman" w:cs="Times New Roman"/>
          <w:lang w:val="en-US" w:eastAsia="zh-CN"/>
        </w:rPr>
        <w:t>.</w:t>
      </w:r>
      <w:r>
        <w:rPr>
          <w:rFonts w:hint="default" w:ascii="Times New Roman" w:hAnsi="Times New Roman" w:cs="Times New Roman"/>
          <w:lang w:val="zh-CN"/>
        </w:rPr>
        <w:t>明确了记账人员与审批人员、经办人员的职责权限，使其相互分离、相互制约，以明确责任，防止舞弊，各项业务事项得以有序进行。</w:t>
      </w:r>
    </w:p>
    <w:p w14:paraId="265CBB8C">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cs="Times New Roman"/>
          <w:lang w:val="zh-CN"/>
        </w:rPr>
      </w:pPr>
      <w:r>
        <w:rPr>
          <w:rFonts w:hint="default" w:ascii="Times New Roman" w:hAnsi="Times New Roman" w:cs="Times New Roman"/>
          <w:lang w:val="zh-CN"/>
        </w:rPr>
        <w:t>2</w:t>
      </w:r>
      <w:r>
        <w:rPr>
          <w:rFonts w:hint="default" w:ascii="Times New Roman" w:hAnsi="Times New Roman" w:cs="Times New Roman"/>
          <w:lang w:val="en-US" w:eastAsia="zh-CN"/>
        </w:rPr>
        <w:t>.</w:t>
      </w:r>
      <w:r>
        <w:rPr>
          <w:rFonts w:hint="default" w:ascii="Times New Roman" w:hAnsi="Times New Roman" w:cs="Times New Roman"/>
          <w:lang w:val="zh-CN"/>
        </w:rPr>
        <w:t>明确了财务收支审批程序和审批人的权限和责任，规范了各项资金的使用，提高了资金使用效益。</w:t>
      </w:r>
    </w:p>
    <w:p w14:paraId="3C212F91">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cs="Times New Roman"/>
          <w:lang w:val="zh-CN"/>
        </w:rPr>
      </w:pPr>
      <w:r>
        <w:rPr>
          <w:rFonts w:hint="default" w:ascii="Times New Roman" w:hAnsi="Times New Roman" w:cs="Times New Roman"/>
          <w:lang w:val="zh-CN"/>
        </w:rPr>
        <w:t>3</w:t>
      </w:r>
      <w:r>
        <w:rPr>
          <w:rFonts w:hint="default" w:ascii="Times New Roman" w:hAnsi="Times New Roman" w:cs="Times New Roman"/>
          <w:lang w:val="en-US" w:eastAsia="zh-CN"/>
        </w:rPr>
        <w:t>.</w:t>
      </w:r>
      <w:r>
        <w:rPr>
          <w:rFonts w:hint="default" w:ascii="Times New Roman" w:hAnsi="Times New Roman" w:cs="Times New Roman"/>
          <w:lang w:val="zh-CN"/>
        </w:rPr>
        <w:t>明确经费支出的范围和开支标准，采取各种有效措施控制经费开支，杜绝了浪费现象的发生。</w:t>
      </w:r>
    </w:p>
    <w:p w14:paraId="029F2708">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cs="Times New Roman"/>
          <w:lang w:val="zh-CN"/>
        </w:rPr>
      </w:pPr>
      <w:r>
        <w:rPr>
          <w:rFonts w:hint="default" w:ascii="Times New Roman" w:hAnsi="Times New Roman" w:cs="Times New Roman"/>
          <w:lang w:val="zh-CN"/>
        </w:rPr>
        <w:t>4</w:t>
      </w:r>
      <w:r>
        <w:rPr>
          <w:rFonts w:hint="default" w:ascii="Times New Roman" w:hAnsi="Times New Roman" w:cs="Times New Roman"/>
          <w:lang w:val="en-US" w:eastAsia="zh-CN"/>
        </w:rPr>
        <w:t>.</w:t>
      </w:r>
      <w:r>
        <w:rPr>
          <w:rFonts w:hint="default" w:ascii="Times New Roman" w:hAnsi="Times New Roman" w:cs="Times New Roman"/>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14:paraId="527A6E53">
      <w:pPr>
        <w:keepNext w:val="0"/>
        <w:keepLines w:val="0"/>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cs="Times New Roman"/>
          <w:lang w:val="zh-CN" w:eastAsia="zh-CN"/>
        </w:rPr>
      </w:pPr>
      <w:r>
        <w:rPr>
          <w:rFonts w:hint="default" w:ascii="Times New Roman" w:hAnsi="Times New Roman" w:cs="Times New Roman"/>
          <w:b/>
          <w:bCs/>
          <w:lang w:val="zh-CN"/>
        </w:rPr>
        <w:t>财务财政监督情况：</w:t>
      </w:r>
      <w:r>
        <w:rPr>
          <w:rFonts w:hint="default" w:ascii="Times New Roman" w:hAnsi="Times New Roman" w:cs="Times New Roman"/>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14:paraId="63441D21">
      <w:pPr>
        <w:pStyle w:val="17"/>
        <w:keepNext w:val="0"/>
        <w:keepLines w:val="0"/>
        <w:pageBreakBefore w:val="0"/>
        <w:widowControl/>
        <w:shd w:val="clear" w:color="auto" w:fill="FFFFFF"/>
        <w:kinsoku/>
        <w:wordWrap/>
        <w:overflowPunct/>
        <w:topLinePunct w:val="0"/>
        <w:autoSpaceDE/>
        <w:autoSpaceDN/>
        <w:bidi w:val="0"/>
        <w:spacing w:beforeAutospacing="0" w:afterAutospacing="0" w:line="576" w:lineRule="exact"/>
        <w:ind w:firstLine="643"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cs="Times New Roman"/>
          <w:b/>
          <w:bCs/>
          <w:color w:val="000000"/>
          <w:sz w:val="32"/>
          <w:szCs w:val="32"/>
          <w:shd w:val="clear" w:color="auto" w:fill="FFFFFF"/>
        </w:rPr>
        <w:t>绩效评价：</w:t>
      </w:r>
      <w:r>
        <w:rPr>
          <w:rFonts w:hint="default" w:ascii="Times New Roman" w:hAnsi="Times New Roman" w:eastAsia="仿宋_GB2312" w:cs="Times New Roman"/>
          <w:sz w:val="32"/>
          <w:szCs w:val="32"/>
          <w:lang w:val="zh-CN" w:eastAsia="zh-CN"/>
        </w:rPr>
        <w:t>根据绩效评价的要求，我</w:t>
      </w:r>
      <w:r>
        <w:rPr>
          <w:rFonts w:hint="default" w:ascii="Times New Roman" w:hAnsi="Times New Roman" w:cs="Times New Roman"/>
          <w:sz w:val="32"/>
          <w:szCs w:val="32"/>
          <w:lang w:val="en-US" w:eastAsia="zh-CN"/>
        </w:rPr>
        <w:t>乡</w:t>
      </w:r>
      <w:r>
        <w:rPr>
          <w:rFonts w:hint="default" w:ascii="Times New Roman" w:hAnsi="Times New Roman" w:eastAsia="仿宋_GB2312" w:cs="Times New Roman"/>
          <w:sz w:val="32"/>
          <w:szCs w:val="32"/>
          <w:lang w:val="zh-CN" w:eastAsia="zh-CN"/>
        </w:rPr>
        <w:t>成立了自评工作领导小组，对照自评方案进行研究和布署，按照自评方案的要求，对照各实施项目的内容逐条逐项自评。</w:t>
      </w:r>
    </w:p>
    <w:p w14:paraId="117236B7">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both"/>
        <w:textAlignment w:val="auto"/>
        <w:rPr>
          <w:rFonts w:hint="default" w:ascii="Times New Roman" w:hAnsi="Times New Roman" w:eastAsia="黑体" w:cs="Times New Roman"/>
          <w:color w:val="000000"/>
          <w:kern w:val="0"/>
          <w:szCs w:val="32"/>
          <w:shd w:val="clear" w:color="auto" w:fill="FFFFFF"/>
          <w:lang w:val="zh-CN"/>
        </w:rPr>
      </w:pPr>
      <w:r>
        <w:rPr>
          <w:rFonts w:hint="default" w:ascii="Times New Roman" w:hAnsi="Times New Roman" w:eastAsia="黑体" w:cs="Times New Roman"/>
          <w:color w:val="000000"/>
          <w:kern w:val="0"/>
          <w:szCs w:val="32"/>
          <w:shd w:val="clear" w:color="auto" w:fill="FFFFFF"/>
          <w:lang w:val="zh-CN"/>
        </w:rPr>
        <w:t>四、评价结论及建议</w:t>
      </w:r>
    </w:p>
    <w:p w14:paraId="4C82BEC0">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（一）评价结论</w:t>
      </w:r>
    </w:p>
    <w:p w14:paraId="2B685394">
      <w:pPr>
        <w:pStyle w:val="11"/>
        <w:keepNext w:val="0"/>
        <w:keepLines w:val="0"/>
        <w:pageBreakBefore w:val="0"/>
        <w:kinsoku/>
        <w:wordWrap/>
        <w:overflowPunct/>
        <w:topLinePunct w:val="0"/>
        <w:autoSpaceDE/>
        <w:autoSpaceDN/>
        <w:bidi w:val="0"/>
        <w:spacing w:before="0" w:beforeLines="0" w:line="576" w:lineRule="exact"/>
        <w:ind w:firstLine="600" w:firstLineChars="200"/>
        <w:jc w:val="both"/>
        <w:textAlignment w:val="auto"/>
        <w:rPr>
          <w:rFonts w:hint="default" w:ascii="Times New Roman" w:hAnsi="Times New Roman" w:cs="Times New Roman"/>
          <w:lang w:val="zh-CN"/>
        </w:rPr>
      </w:pPr>
      <w:r>
        <w:rPr>
          <w:rFonts w:hint="default" w:ascii="Times New Roman" w:hAnsi="Times New Roman" w:cs="Times New Roman"/>
        </w:rPr>
        <w:t>通过绩效评价，我们认为202</w:t>
      </w:r>
      <w:r>
        <w:rPr>
          <w:rFonts w:hint="default" w:ascii="Times New Roman" w:hAnsi="Times New Roman" w:cs="Times New Roman"/>
          <w:lang w:val="en-US" w:eastAsia="zh-CN"/>
        </w:rPr>
        <w:t>3</w:t>
      </w:r>
      <w:r>
        <w:rPr>
          <w:rFonts w:hint="default" w:ascii="Times New Roman" w:hAnsi="Times New Roman" w:cs="Times New Roman"/>
        </w:rPr>
        <w:t>年度部门预算具有明确的用途和目标，制定了详细的执行计划，资金到位及时并严格按照财政有关规定使用。预算决策、管理、执行等日益规范，能较好地满足工作需要，取得了良好经济效益和社会效益。</w:t>
      </w:r>
      <w:r>
        <w:rPr>
          <w:rFonts w:hint="default" w:ascii="Times New Roman" w:hAnsi="Times New Roman" w:eastAsia="仿宋_GB2312" w:cs="Times New Roman"/>
          <w:kern w:val="2"/>
          <w:sz w:val="32"/>
          <w:szCs w:val="32"/>
          <w:lang w:val="zh-CN" w:eastAsia="zh-CN"/>
        </w:rPr>
        <w:t>我</w:t>
      </w:r>
      <w:r>
        <w:rPr>
          <w:rFonts w:hint="default" w:ascii="Times New Roman" w:hAnsi="Times New Roman" w:cs="Times New Roman"/>
          <w:kern w:val="2"/>
          <w:sz w:val="32"/>
          <w:szCs w:val="32"/>
          <w:lang w:val="zh-CN" w:eastAsia="zh-CN"/>
        </w:rPr>
        <w:t>乡</w:t>
      </w:r>
      <w:r>
        <w:rPr>
          <w:rFonts w:hint="default" w:ascii="Times New Roman" w:hAnsi="Times New Roman" w:cs="Times New Roman"/>
          <w:kern w:val="2"/>
          <w:sz w:val="32"/>
          <w:szCs w:val="32"/>
          <w:lang w:val="en-US" w:eastAsia="zh-CN"/>
        </w:rPr>
        <w:t>自</w:t>
      </w:r>
      <w:r>
        <w:rPr>
          <w:rFonts w:hint="default" w:ascii="Times New Roman" w:hAnsi="Times New Roman" w:eastAsia="仿宋_GB2312" w:cs="Times New Roman"/>
          <w:kern w:val="2"/>
          <w:sz w:val="32"/>
          <w:szCs w:val="32"/>
          <w:lang w:val="zh-CN" w:eastAsia="zh-CN"/>
        </w:rPr>
        <w:t>评得分</w:t>
      </w:r>
      <w:r>
        <w:rPr>
          <w:rFonts w:hint="default" w:ascii="Times New Roman" w:hAnsi="Times New Roman" w:cs="Times New Roman"/>
          <w:kern w:val="2"/>
          <w:sz w:val="32"/>
          <w:szCs w:val="32"/>
          <w:lang w:val="en-US" w:eastAsia="zh-CN"/>
        </w:rPr>
        <w:t>92</w:t>
      </w:r>
      <w:r>
        <w:rPr>
          <w:rFonts w:hint="default" w:ascii="Times New Roman" w:hAnsi="Times New Roman" w:eastAsia="仿宋_GB2312" w:cs="Times New Roman"/>
          <w:kern w:val="2"/>
          <w:sz w:val="32"/>
          <w:szCs w:val="32"/>
          <w:lang w:val="zh-CN" w:eastAsia="zh-CN"/>
        </w:rPr>
        <w:t>分，整体评价良好，预算收入和支出相符。</w:t>
      </w:r>
    </w:p>
    <w:p w14:paraId="27DC3A1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default" w:ascii="Times New Roman" w:hAnsi="Times New Roman" w:eastAsia="方正楷体_GBK" w:cs="Times New Roman"/>
          <w:b/>
          <w:bCs/>
          <w:color w:val="000000"/>
          <w:kern w:val="0"/>
          <w:szCs w:val="32"/>
          <w:shd w:val="clear" w:color="auto" w:fill="FFFFFF"/>
          <w:lang w:val="en-US" w:eastAsia="zh-CN"/>
        </w:rPr>
        <w:t>二</w:t>
      </w:r>
      <w:r>
        <w:rPr>
          <w:rFonts w:hint="default" w:ascii="Times New Roman" w:hAnsi="Times New Roman" w:eastAsia="方正楷体_GBK" w:cs="Times New Roman"/>
          <w:b/>
          <w:bCs/>
          <w:color w:val="000000"/>
          <w:kern w:val="0"/>
          <w:szCs w:val="32"/>
          <w:shd w:val="clear" w:color="auto" w:fill="FFFFFF"/>
          <w:lang w:val="zh-CN"/>
        </w:rPr>
        <w:t>）存在问题</w:t>
      </w:r>
    </w:p>
    <w:p w14:paraId="711021D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default" w:ascii="Times New Roman" w:hAnsi="Times New Roman" w:eastAsia="仿宋_GB2312" w:cs="Times New Roman"/>
          <w:lang w:val="zh-CN" w:eastAsia="zh-CN"/>
        </w:rPr>
      </w:pPr>
      <w:r>
        <w:rPr>
          <w:rFonts w:hint="default" w:ascii="Times New Roman" w:hAnsi="Times New Roman" w:cs="Times New Roman"/>
          <w:b/>
          <w:bCs/>
          <w:kern w:val="2"/>
          <w:sz w:val="32"/>
          <w:szCs w:val="32"/>
          <w:lang w:val="zh-CN" w:eastAsia="zh-CN"/>
        </w:rPr>
        <w:t>一是</w:t>
      </w:r>
      <w:r>
        <w:rPr>
          <w:rFonts w:hint="default" w:ascii="Times New Roman" w:hAnsi="Times New Roman" w:eastAsia="仿宋_GB2312" w:cs="Times New Roman"/>
          <w:kern w:val="2"/>
          <w:sz w:val="32"/>
          <w:szCs w:val="32"/>
          <w:lang w:val="en-US" w:eastAsia="zh-CN"/>
        </w:rPr>
        <w:t>未建立完善的绩效评价指标体系，部分项目无指标或指标不明确</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b/>
          <w:bCs/>
          <w:kern w:val="2"/>
          <w:sz w:val="32"/>
          <w:szCs w:val="32"/>
          <w:lang w:val="zh-CN" w:eastAsia="zh-CN"/>
        </w:rPr>
        <w:t>二是</w:t>
      </w:r>
      <w:r>
        <w:rPr>
          <w:rFonts w:hint="default" w:ascii="Times New Roman" w:hAnsi="Times New Roman" w:eastAsia="仿宋_GB2312" w:cs="Times New Roman"/>
          <w:kern w:val="2"/>
          <w:sz w:val="32"/>
          <w:szCs w:val="32"/>
          <w:lang w:val="zh-CN" w:eastAsia="zh-CN"/>
        </w:rPr>
        <w:t>绩效目标设立不够明确、细化和量化。</w:t>
      </w:r>
      <w:r>
        <w:rPr>
          <w:rFonts w:hint="default" w:ascii="Times New Roman" w:hAnsi="Times New Roman" w:cs="Times New Roman"/>
          <w:b/>
          <w:bCs/>
          <w:kern w:val="2"/>
          <w:sz w:val="32"/>
          <w:szCs w:val="32"/>
          <w:lang w:val="en-US" w:eastAsia="zh-CN"/>
        </w:rPr>
        <w:t>三是</w:t>
      </w:r>
      <w:r>
        <w:rPr>
          <w:rFonts w:hint="default" w:ascii="Times New Roman" w:hAnsi="Times New Roman" w:cs="Times New Roman"/>
          <w:kern w:val="2"/>
          <w:sz w:val="32"/>
          <w:szCs w:val="32"/>
          <w:lang w:val="en-US" w:eastAsia="zh-CN"/>
        </w:rPr>
        <w:t>项目绩效信息公开未能和预算、决算公开同步执行。</w:t>
      </w:r>
      <w:r>
        <w:rPr>
          <w:rFonts w:hint="default" w:ascii="Times New Roman" w:hAnsi="Times New Roman" w:eastAsia="仿宋_GB2312" w:cs="Times New Roman"/>
          <w:b/>
          <w:bCs/>
          <w:kern w:val="2"/>
          <w:sz w:val="32"/>
          <w:szCs w:val="32"/>
          <w:lang w:val="en-US" w:eastAsia="zh-CN"/>
        </w:rPr>
        <w:t>四是</w:t>
      </w:r>
      <w:r>
        <w:rPr>
          <w:rFonts w:hint="default" w:ascii="Times New Roman" w:hAnsi="Times New Roman" w:eastAsia="仿宋_GB2312" w:cs="Times New Roman"/>
          <w:kern w:val="2"/>
          <w:sz w:val="32"/>
          <w:szCs w:val="32"/>
          <w:lang w:val="en-US" w:eastAsia="zh-CN"/>
        </w:rPr>
        <w:t>固定资产录入系统不及时，未定期清查盘点</w:t>
      </w:r>
      <w:r>
        <w:rPr>
          <w:rFonts w:hint="default" w:ascii="Times New Roman" w:hAnsi="Times New Roman" w:cs="Times New Roman"/>
          <w:kern w:val="2"/>
          <w:sz w:val="32"/>
          <w:szCs w:val="32"/>
          <w:lang w:val="en-US" w:eastAsia="zh-CN"/>
        </w:rPr>
        <w:t>。</w:t>
      </w:r>
    </w:p>
    <w:p w14:paraId="5407502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w:t>
      </w:r>
      <w:r>
        <w:rPr>
          <w:rFonts w:hint="eastAsia" w:ascii="Times New Roman" w:hAnsi="Times New Roman" w:eastAsia="方正楷体_GBK" w:cs="Times New Roman"/>
          <w:b/>
          <w:bCs/>
          <w:color w:val="000000"/>
          <w:kern w:val="0"/>
          <w:szCs w:val="32"/>
          <w:shd w:val="clear" w:color="auto" w:fill="FFFFFF"/>
          <w:lang w:val="en-US" w:eastAsia="zh-CN"/>
        </w:rPr>
        <w:t>三</w:t>
      </w:r>
      <w:r>
        <w:rPr>
          <w:rFonts w:hint="default" w:ascii="Times New Roman" w:hAnsi="Times New Roman" w:eastAsia="方正楷体_GBK" w:cs="Times New Roman"/>
          <w:b/>
          <w:bCs/>
          <w:color w:val="000000"/>
          <w:kern w:val="0"/>
          <w:szCs w:val="32"/>
          <w:shd w:val="clear" w:color="auto" w:fill="FFFFFF"/>
          <w:lang w:val="zh-CN"/>
        </w:rPr>
        <w:t>）改进建议</w:t>
      </w:r>
    </w:p>
    <w:p w14:paraId="2B1137CD">
      <w:pPr>
        <w:keepNext w:val="0"/>
        <w:keepLines w:val="0"/>
        <w:pageBreakBefore w:val="0"/>
        <w:kinsoku/>
        <w:wordWrap/>
        <w:overflowPunct/>
        <w:topLinePunct w:val="0"/>
        <w:autoSpaceDE/>
        <w:autoSpaceDN/>
        <w:bidi w:val="0"/>
        <w:spacing w:line="576" w:lineRule="exact"/>
        <w:ind w:firstLine="643" w:firstLineChars="200"/>
        <w:textAlignment w:val="auto"/>
        <w:rPr>
          <w:rFonts w:hint="default" w:ascii="Times New Roman" w:hAnsi="Times New Roman" w:eastAsia="仿宋_GB2312" w:cs="Times New Roman"/>
          <w:kern w:val="2"/>
          <w:sz w:val="32"/>
          <w:szCs w:val="32"/>
          <w:lang w:val="zh-CN" w:eastAsia="zh-CN"/>
        </w:rPr>
      </w:pPr>
      <w:r>
        <w:rPr>
          <w:rFonts w:hint="default" w:ascii="Times New Roman" w:hAnsi="Times New Roman" w:cs="Times New Roman"/>
          <w:b/>
          <w:bCs/>
          <w:kern w:val="2"/>
          <w:sz w:val="32"/>
          <w:szCs w:val="32"/>
          <w:lang w:val="zh-CN" w:eastAsia="zh-CN"/>
        </w:rPr>
        <w:t>一</w:t>
      </w:r>
      <w:r>
        <w:rPr>
          <w:rFonts w:hint="default" w:ascii="Times New Roman" w:hAnsi="Times New Roman" w:eastAsia="仿宋_GB2312" w:cs="Times New Roman"/>
          <w:b/>
          <w:bCs/>
          <w:kern w:val="2"/>
          <w:sz w:val="32"/>
          <w:szCs w:val="32"/>
          <w:lang w:val="zh-CN" w:eastAsia="zh-CN"/>
        </w:rPr>
        <w:t>是</w:t>
      </w:r>
      <w:r>
        <w:rPr>
          <w:rFonts w:hint="default" w:ascii="Times New Roman" w:hAnsi="Times New Roman" w:eastAsia="仿宋_GB2312" w:cs="Times New Roman"/>
          <w:kern w:val="2"/>
          <w:sz w:val="32"/>
          <w:szCs w:val="32"/>
          <w:lang w:val="zh-CN" w:eastAsia="zh-CN"/>
        </w:rPr>
        <w:t>进一步规范绩效目标编制。在编制项目资金绩效目标时要求指向明确、细化量化、合理可行、相应匹配。</w:t>
      </w:r>
      <w:r>
        <w:rPr>
          <w:rFonts w:hint="default" w:ascii="Times New Roman" w:hAnsi="Times New Roman" w:cs="Times New Roman"/>
          <w:b/>
          <w:bCs/>
          <w:kern w:val="2"/>
          <w:sz w:val="32"/>
          <w:szCs w:val="32"/>
          <w:lang w:val="zh-CN" w:eastAsia="zh-CN"/>
        </w:rPr>
        <w:t>二</w:t>
      </w:r>
      <w:r>
        <w:rPr>
          <w:rFonts w:hint="default" w:ascii="Times New Roman" w:hAnsi="Times New Roman" w:eastAsia="仿宋_GB2312" w:cs="Times New Roman"/>
          <w:b/>
          <w:bCs/>
          <w:kern w:val="2"/>
          <w:sz w:val="32"/>
          <w:szCs w:val="32"/>
          <w:lang w:val="zh-CN" w:eastAsia="zh-CN"/>
        </w:rPr>
        <w:t>是</w:t>
      </w:r>
      <w:r>
        <w:rPr>
          <w:rFonts w:hint="default" w:ascii="Times New Roman" w:hAnsi="Times New Roman" w:eastAsia="仿宋_GB2312" w:cs="Times New Roman"/>
          <w:kern w:val="2"/>
          <w:sz w:val="32"/>
          <w:szCs w:val="32"/>
          <w:lang w:val="zh-CN" w:eastAsia="zh-CN"/>
        </w:rPr>
        <w:t>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r>
        <w:rPr>
          <w:rFonts w:hint="default" w:ascii="Times New Roman" w:hAnsi="Times New Roman" w:cs="Times New Roman"/>
          <w:b/>
          <w:bCs/>
          <w:kern w:val="2"/>
          <w:sz w:val="32"/>
          <w:szCs w:val="32"/>
          <w:lang w:val="en-US" w:eastAsia="zh-CN"/>
        </w:rPr>
        <w:t>三是</w:t>
      </w:r>
      <w:r>
        <w:rPr>
          <w:rFonts w:hint="default" w:ascii="Times New Roman" w:hAnsi="Times New Roman" w:cs="Times New Roman"/>
          <w:kern w:val="2"/>
          <w:sz w:val="32"/>
          <w:szCs w:val="32"/>
          <w:lang w:val="en-US" w:eastAsia="zh-CN"/>
        </w:rPr>
        <w:t>进一步完善绩效信息公开的及时性。</w:t>
      </w:r>
      <w:r>
        <w:rPr>
          <w:rFonts w:hint="default" w:ascii="Times New Roman" w:hAnsi="Times New Roman" w:cs="Times New Roman"/>
          <w:b/>
          <w:bCs/>
          <w:kern w:val="2"/>
          <w:sz w:val="32"/>
          <w:szCs w:val="32"/>
          <w:lang w:val="en-US" w:eastAsia="zh-CN"/>
        </w:rPr>
        <w:t>四是</w:t>
      </w:r>
      <w:r>
        <w:rPr>
          <w:rFonts w:hint="default" w:ascii="Times New Roman" w:hAnsi="Times New Roman" w:cs="Times New Roman"/>
          <w:kern w:val="2"/>
          <w:sz w:val="32"/>
          <w:szCs w:val="32"/>
          <w:lang w:val="en-US" w:eastAsia="zh-CN"/>
        </w:rPr>
        <w:t>加强</w:t>
      </w:r>
      <w:r>
        <w:rPr>
          <w:rFonts w:hint="default" w:ascii="Times New Roman" w:hAnsi="Times New Roman" w:eastAsia="仿宋_GB2312" w:cs="Times New Roman"/>
          <w:kern w:val="2"/>
          <w:sz w:val="32"/>
          <w:szCs w:val="32"/>
          <w:lang w:val="zh-CN" w:eastAsia="zh-CN"/>
        </w:rPr>
        <w:t>单位</w:t>
      </w:r>
      <w:r>
        <w:rPr>
          <w:rFonts w:hint="default" w:ascii="Times New Roman" w:hAnsi="Times New Roman" w:cs="Times New Roman"/>
          <w:kern w:val="2"/>
          <w:sz w:val="32"/>
          <w:szCs w:val="32"/>
          <w:lang w:val="en-US" w:eastAsia="zh-CN"/>
        </w:rPr>
        <w:t>固定</w:t>
      </w:r>
      <w:r>
        <w:rPr>
          <w:rFonts w:hint="default" w:ascii="Times New Roman" w:hAnsi="Times New Roman" w:eastAsia="仿宋_GB2312" w:cs="Times New Roman"/>
          <w:kern w:val="2"/>
          <w:sz w:val="32"/>
          <w:szCs w:val="32"/>
          <w:lang w:val="zh-CN" w:eastAsia="zh-CN"/>
        </w:rPr>
        <w:t>资产管理</w:t>
      </w:r>
      <w:r>
        <w:rPr>
          <w:rFonts w:hint="default" w:ascii="Times New Roman" w:hAnsi="Times New Roman" w:cs="Times New Roman"/>
          <w:kern w:val="2"/>
          <w:sz w:val="32"/>
          <w:szCs w:val="32"/>
          <w:lang w:val="en-US" w:eastAsia="zh-CN"/>
        </w:rPr>
        <w:t>，</w:t>
      </w:r>
      <w:r>
        <w:rPr>
          <w:rFonts w:hint="default" w:ascii="Times New Roman" w:hAnsi="Times New Roman" w:eastAsia="仿宋_GB2312" w:cs="Times New Roman"/>
          <w:kern w:val="2"/>
          <w:sz w:val="32"/>
          <w:szCs w:val="32"/>
          <w:lang w:val="zh-CN" w:eastAsia="zh-CN"/>
        </w:rPr>
        <w:t>由办公室总负责，使用人具体负责</w:t>
      </w:r>
      <w:r>
        <w:rPr>
          <w:rFonts w:hint="default" w:ascii="Times New Roman" w:hAnsi="Times New Roman" w:cs="Times New Roman"/>
          <w:kern w:val="2"/>
          <w:sz w:val="32"/>
          <w:szCs w:val="32"/>
          <w:lang w:val="en-US" w:eastAsia="zh-CN"/>
        </w:rPr>
        <w:t>日常使用和</w:t>
      </w:r>
      <w:r>
        <w:rPr>
          <w:rFonts w:hint="default" w:ascii="Times New Roman" w:hAnsi="Times New Roman" w:eastAsia="仿宋_GB2312" w:cs="Times New Roman"/>
          <w:kern w:val="2"/>
          <w:sz w:val="32"/>
          <w:szCs w:val="32"/>
          <w:lang w:val="zh-CN" w:eastAsia="zh-CN"/>
        </w:rPr>
        <w:t>管理，财务室</w:t>
      </w:r>
      <w:r>
        <w:rPr>
          <w:rFonts w:hint="default" w:ascii="Times New Roman" w:hAnsi="Times New Roman" w:cs="Times New Roman"/>
          <w:kern w:val="2"/>
          <w:sz w:val="32"/>
          <w:szCs w:val="32"/>
          <w:lang w:val="en-US" w:eastAsia="zh-CN"/>
        </w:rPr>
        <w:t>负责</w:t>
      </w:r>
      <w:r>
        <w:rPr>
          <w:rFonts w:hint="default" w:ascii="Times New Roman" w:hAnsi="Times New Roman" w:eastAsia="仿宋_GB2312" w:cs="Times New Roman"/>
          <w:kern w:val="2"/>
          <w:sz w:val="32"/>
          <w:szCs w:val="32"/>
          <w:lang w:val="zh-CN" w:eastAsia="zh-CN"/>
        </w:rPr>
        <w:t>资产信息</w:t>
      </w:r>
      <w:r>
        <w:rPr>
          <w:rFonts w:hint="default" w:ascii="Times New Roman" w:hAnsi="Times New Roman" w:cs="Times New Roman"/>
          <w:kern w:val="2"/>
          <w:sz w:val="32"/>
          <w:szCs w:val="32"/>
          <w:lang w:val="en-US" w:eastAsia="zh-CN"/>
        </w:rPr>
        <w:t>的录入、盘点、报损等</w:t>
      </w:r>
      <w:r>
        <w:rPr>
          <w:rFonts w:hint="default" w:ascii="Times New Roman" w:hAnsi="Times New Roman" w:eastAsia="仿宋_GB2312" w:cs="Times New Roman"/>
          <w:kern w:val="2"/>
          <w:sz w:val="32"/>
          <w:szCs w:val="32"/>
          <w:lang w:val="zh-CN" w:eastAsia="zh-CN"/>
        </w:rPr>
        <w:t>，</w:t>
      </w:r>
      <w:r>
        <w:rPr>
          <w:rFonts w:hint="default" w:ascii="Times New Roman" w:hAnsi="Times New Roman" w:cs="Times New Roman"/>
          <w:kern w:val="2"/>
          <w:sz w:val="32"/>
          <w:szCs w:val="32"/>
          <w:lang w:val="en-US" w:eastAsia="zh-CN"/>
        </w:rPr>
        <w:t>按要求</w:t>
      </w:r>
      <w:r>
        <w:rPr>
          <w:rFonts w:hint="default" w:ascii="Times New Roman" w:hAnsi="Times New Roman" w:eastAsia="仿宋_GB2312" w:cs="Times New Roman"/>
          <w:kern w:val="2"/>
          <w:sz w:val="32"/>
          <w:szCs w:val="32"/>
          <w:lang w:val="zh-CN" w:eastAsia="zh-CN"/>
        </w:rPr>
        <w:t>每年对单位资产进行一次集中清理，对不能使用的资产及时报相关部门进行报废处理。</w:t>
      </w:r>
    </w:p>
    <w:p w14:paraId="7658EC3D">
      <w:pPr>
        <w:pStyle w:val="2"/>
        <w:rPr>
          <w:rFonts w:hint="default"/>
          <w:lang w:val="en-US" w:eastAsia="zh-CN"/>
        </w:rPr>
      </w:pPr>
      <w:r>
        <w:rPr>
          <w:rFonts w:hint="eastAsia" w:ascii="Times New Roman" w:hAnsi="Times New Roman" w:eastAsia="仿宋_GB2312" w:cs="Times New Roman"/>
          <w:kern w:val="2"/>
          <w:sz w:val="32"/>
          <w:szCs w:val="32"/>
          <w:lang w:val="en-US" w:eastAsia="zh-CN"/>
        </w:rPr>
        <w:t>附件：红原县2023年度部门整体支出绩效评价指标体系表（自评表）</w:t>
      </w:r>
      <w:bookmarkStart w:id="160" w:name="_GoBack"/>
      <w:bookmarkEnd w:id="160"/>
    </w:p>
    <w:p w14:paraId="09FDCAA2">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0" w:firstLineChars="0"/>
        <w:jc w:val="both"/>
        <w:textAlignment w:val="auto"/>
        <w:outlineLvl w:val="1"/>
        <w:rPr>
          <w:rFonts w:hint="eastAsia" w:ascii="黑体" w:hAnsi="黑体" w:eastAsia="黑体" w:cs="黑体"/>
          <w:snapToGrid/>
          <w:color w:val="000000"/>
          <w:spacing w:val="0"/>
          <w:w w:val="100"/>
          <w:kern w:val="0"/>
          <w:position w:val="0"/>
          <w:sz w:val="32"/>
          <w:szCs w:val="32"/>
          <w:u w:val="none"/>
          <w:shd w:val="clear"/>
          <w:vertAlign w:val="baseline"/>
          <w:lang w:val="en-US" w:eastAsia="zh-CN" w:bidi="ar-SA"/>
        </w:rPr>
      </w:pPr>
    </w:p>
    <w:p w14:paraId="27CCE256">
      <w:pPr>
        <w:pStyle w:val="4"/>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Autospacing="1" w:afterAutospacing="1" w:line="560" w:lineRule="exact"/>
        <w:ind w:left="0" w:leftChars="0" w:right="0" w:firstLine="0" w:firstLineChars="0"/>
        <w:contextualSpacing w:val="0"/>
        <w:jc w:val="both"/>
        <w:textAlignment w:val="auto"/>
        <w:outlineLvl w:val="0"/>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pPr>
      <w:bookmarkStart w:id="84" w:name="_Toc4327"/>
      <w:bookmarkStart w:id="85" w:name="_Toc14070"/>
      <w:bookmarkStart w:id="86" w:name="_Toc22019"/>
      <w:bookmarkStart w:id="87" w:name="_Toc15590"/>
      <w:bookmarkStart w:id="88" w:name="_Toc8160"/>
      <w:bookmarkStart w:id="89" w:name="_Toc230"/>
      <w:r>
        <w:rPr>
          <w:rFonts w:hint="eastAsia" w:ascii="黑体" w:hAnsi="Times New Roman" w:eastAsia="黑体" w:cs="宋体"/>
          <w:b w:val="0"/>
          <w:snapToGrid/>
          <w:color w:val="auto"/>
          <w:spacing w:val="0"/>
          <w:w w:val="100"/>
          <w:kern w:val="44"/>
          <w:position w:val="0"/>
          <w:sz w:val="44"/>
          <w:szCs w:val="44"/>
          <w:u w:val="none" w:color="auto"/>
          <w:shd w:val="clear" w:color="auto" w:fill="auto"/>
          <w:vertAlign w:val="baseline"/>
          <w:lang w:val="en-US" w:eastAsia="zh-CN" w:bidi="ar-SA"/>
        </w:rPr>
        <w:t>第五部分 附表</w:t>
      </w:r>
      <w:bookmarkEnd w:id="84"/>
      <w:bookmarkEnd w:id="85"/>
      <w:bookmarkEnd w:id="86"/>
      <w:bookmarkEnd w:id="87"/>
      <w:bookmarkEnd w:id="88"/>
      <w:bookmarkEnd w:id="89"/>
    </w:p>
    <w:p w14:paraId="7FE3BCB4">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90" w:name="_Toc23839"/>
      <w:bookmarkStart w:id="91" w:name="_Toc27813"/>
      <w:bookmarkStart w:id="92" w:name="_Toc17292"/>
      <w:bookmarkStart w:id="93" w:name="_Toc19418"/>
      <w:bookmarkStart w:id="94" w:name="_Toc17111"/>
      <w:r>
        <w:rPr>
          <w:rFonts w:hint="eastAsia" w:ascii="黑体" w:eastAsia="黑体" w:cs="楷体"/>
          <w:b w:val="0"/>
          <w:i w:val="0"/>
          <w:caps w:val="0"/>
          <w:smallCaps w:val="0"/>
          <w:strike w:val="0"/>
          <w:dstrike w:val="0"/>
          <w:vanish w:val="0"/>
          <w:color w:val="000000"/>
          <w:kern w:val="2"/>
          <w:sz w:val="32"/>
          <w:szCs w:val="32"/>
          <w:shd w:val="clear" w:color="auto" w:fill="auto"/>
        </w:rPr>
        <w:t>一、收入支出决算总表</w:t>
      </w:r>
      <w:bookmarkEnd w:id="90"/>
      <w:bookmarkEnd w:id="91"/>
      <w:bookmarkEnd w:id="92"/>
      <w:bookmarkEnd w:id="93"/>
      <w:bookmarkEnd w:id="94"/>
    </w:p>
    <w:p w14:paraId="1DF7130C">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95" w:name="_Toc1661"/>
      <w:bookmarkStart w:id="96" w:name="_Toc2488"/>
      <w:bookmarkStart w:id="97" w:name="_Toc18782"/>
      <w:bookmarkStart w:id="98" w:name="_Toc7965"/>
      <w:bookmarkStart w:id="99" w:name="_Toc4885"/>
      <w:r>
        <w:rPr>
          <w:rFonts w:hint="eastAsia" w:ascii="黑体" w:eastAsia="黑体" w:cs="楷体"/>
          <w:b w:val="0"/>
          <w:i w:val="0"/>
          <w:caps w:val="0"/>
          <w:smallCaps w:val="0"/>
          <w:strike w:val="0"/>
          <w:dstrike w:val="0"/>
          <w:vanish w:val="0"/>
          <w:color w:val="000000"/>
          <w:kern w:val="2"/>
          <w:sz w:val="32"/>
          <w:szCs w:val="32"/>
          <w:shd w:val="clear" w:color="auto" w:fill="auto"/>
        </w:rPr>
        <w:t>二、收入决算表</w:t>
      </w:r>
      <w:bookmarkEnd w:id="95"/>
      <w:bookmarkEnd w:id="96"/>
      <w:bookmarkEnd w:id="97"/>
      <w:bookmarkEnd w:id="98"/>
      <w:bookmarkEnd w:id="99"/>
    </w:p>
    <w:p w14:paraId="33DF0556">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00" w:name="_Toc20482"/>
      <w:bookmarkStart w:id="101" w:name="_Toc3917"/>
      <w:bookmarkStart w:id="102" w:name="_Toc17100"/>
      <w:bookmarkStart w:id="103" w:name="_Toc12086"/>
      <w:bookmarkStart w:id="104" w:name="_Toc4242"/>
      <w:r>
        <w:rPr>
          <w:rFonts w:hint="eastAsia" w:ascii="黑体" w:eastAsia="黑体" w:cs="楷体"/>
          <w:b w:val="0"/>
          <w:i w:val="0"/>
          <w:caps w:val="0"/>
          <w:smallCaps w:val="0"/>
          <w:strike w:val="0"/>
          <w:dstrike w:val="0"/>
          <w:vanish w:val="0"/>
          <w:color w:val="000000"/>
          <w:kern w:val="2"/>
          <w:sz w:val="32"/>
          <w:szCs w:val="32"/>
          <w:shd w:val="clear" w:color="auto" w:fill="auto"/>
        </w:rPr>
        <w:t>三、支出决算表</w:t>
      </w:r>
      <w:bookmarkEnd w:id="100"/>
      <w:bookmarkEnd w:id="101"/>
      <w:bookmarkEnd w:id="102"/>
      <w:bookmarkEnd w:id="103"/>
      <w:bookmarkEnd w:id="104"/>
    </w:p>
    <w:p w14:paraId="6C42D6F8">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05" w:name="_Toc10394"/>
      <w:bookmarkStart w:id="106" w:name="_Toc11619"/>
      <w:bookmarkStart w:id="107" w:name="_Toc26363"/>
      <w:bookmarkStart w:id="108" w:name="_Toc188"/>
      <w:bookmarkStart w:id="109" w:name="_Toc24269"/>
      <w:r>
        <w:rPr>
          <w:rFonts w:hint="eastAsia" w:ascii="黑体" w:eastAsia="黑体" w:cs="楷体"/>
          <w:b w:val="0"/>
          <w:i w:val="0"/>
          <w:caps w:val="0"/>
          <w:smallCaps w:val="0"/>
          <w:strike w:val="0"/>
          <w:dstrike w:val="0"/>
          <w:vanish w:val="0"/>
          <w:color w:val="000000"/>
          <w:kern w:val="2"/>
          <w:sz w:val="32"/>
          <w:szCs w:val="32"/>
          <w:shd w:val="clear" w:color="auto" w:fill="auto"/>
        </w:rPr>
        <w:t>四、财政拨款收入支出决算总表</w:t>
      </w:r>
      <w:bookmarkEnd w:id="105"/>
      <w:bookmarkEnd w:id="106"/>
      <w:bookmarkEnd w:id="107"/>
      <w:bookmarkEnd w:id="108"/>
      <w:bookmarkEnd w:id="109"/>
    </w:p>
    <w:p w14:paraId="5ED15041">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10" w:name="_Toc30108"/>
      <w:bookmarkStart w:id="111" w:name="_Toc13846"/>
      <w:bookmarkStart w:id="112" w:name="_Toc27712"/>
      <w:bookmarkStart w:id="113" w:name="_Toc5324"/>
      <w:bookmarkStart w:id="114" w:name="_Toc16768"/>
      <w:r>
        <w:rPr>
          <w:rFonts w:hint="eastAsia" w:ascii="黑体" w:eastAsia="黑体" w:cs="楷体"/>
          <w:b w:val="0"/>
          <w:i w:val="0"/>
          <w:caps w:val="0"/>
          <w:smallCaps w:val="0"/>
          <w:strike w:val="0"/>
          <w:dstrike w:val="0"/>
          <w:vanish w:val="0"/>
          <w:color w:val="000000"/>
          <w:kern w:val="2"/>
          <w:sz w:val="32"/>
          <w:szCs w:val="32"/>
          <w:shd w:val="clear" w:color="auto" w:fill="auto"/>
        </w:rPr>
        <w:t>五、财政拨款支出决算明细表</w:t>
      </w:r>
      <w:bookmarkEnd w:id="110"/>
      <w:bookmarkEnd w:id="111"/>
      <w:bookmarkEnd w:id="112"/>
      <w:bookmarkEnd w:id="113"/>
      <w:bookmarkEnd w:id="114"/>
    </w:p>
    <w:p w14:paraId="0435E7E0">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15" w:name="_Toc12858"/>
      <w:bookmarkStart w:id="116" w:name="_Toc11309"/>
      <w:bookmarkStart w:id="117" w:name="_Toc21518"/>
      <w:bookmarkStart w:id="118" w:name="_Toc23521"/>
      <w:bookmarkStart w:id="119" w:name="_Toc31903"/>
      <w:r>
        <w:rPr>
          <w:rFonts w:hint="eastAsia" w:ascii="黑体" w:eastAsia="黑体" w:cs="楷体"/>
          <w:b w:val="0"/>
          <w:i w:val="0"/>
          <w:caps w:val="0"/>
          <w:smallCaps w:val="0"/>
          <w:strike w:val="0"/>
          <w:dstrike w:val="0"/>
          <w:vanish w:val="0"/>
          <w:color w:val="000000"/>
          <w:kern w:val="2"/>
          <w:sz w:val="32"/>
          <w:szCs w:val="32"/>
          <w:shd w:val="clear" w:color="auto" w:fill="auto"/>
        </w:rPr>
        <w:t>六、一般公共预算财政拨款支出决算表</w:t>
      </w:r>
      <w:bookmarkEnd w:id="115"/>
      <w:bookmarkEnd w:id="116"/>
      <w:bookmarkEnd w:id="117"/>
      <w:bookmarkEnd w:id="118"/>
      <w:bookmarkEnd w:id="119"/>
    </w:p>
    <w:p w14:paraId="0BACA0DB">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20" w:name="_Toc10139"/>
      <w:bookmarkStart w:id="121" w:name="_Toc12367"/>
      <w:bookmarkStart w:id="122" w:name="_Toc29509"/>
      <w:bookmarkStart w:id="123" w:name="_Toc2108"/>
      <w:bookmarkStart w:id="124" w:name="_Toc10120"/>
      <w:r>
        <w:rPr>
          <w:rFonts w:hint="eastAsia" w:ascii="黑体" w:eastAsia="黑体" w:cs="楷体"/>
          <w:b w:val="0"/>
          <w:i w:val="0"/>
          <w:caps w:val="0"/>
          <w:smallCaps w:val="0"/>
          <w:strike w:val="0"/>
          <w:dstrike w:val="0"/>
          <w:vanish w:val="0"/>
          <w:color w:val="000000"/>
          <w:kern w:val="2"/>
          <w:sz w:val="32"/>
          <w:szCs w:val="32"/>
          <w:shd w:val="clear" w:color="auto" w:fill="auto"/>
        </w:rPr>
        <w:t>七、一般公共预算财政拨款支出决算明细表</w:t>
      </w:r>
      <w:bookmarkEnd w:id="120"/>
      <w:bookmarkEnd w:id="121"/>
      <w:bookmarkEnd w:id="122"/>
      <w:bookmarkEnd w:id="123"/>
      <w:bookmarkEnd w:id="124"/>
    </w:p>
    <w:p w14:paraId="48832FCF">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25" w:name="_Toc32504"/>
      <w:bookmarkStart w:id="126" w:name="_Toc27231"/>
      <w:bookmarkStart w:id="127" w:name="_Toc811"/>
      <w:bookmarkStart w:id="128" w:name="_Toc20649"/>
      <w:bookmarkStart w:id="129" w:name="_Toc26509"/>
      <w:r>
        <w:rPr>
          <w:rFonts w:hint="eastAsia" w:ascii="黑体" w:eastAsia="黑体" w:cs="楷体"/>
          <w:b w:val="0"/>
          <w:i w:val="0"/>
          <w:caps w:val="0"/>
          <w:smallCaps w:val="0"/>
          <w:strike w:val="0"/>
          <w:dstrike w:val="0"/>
          <w:vanish w:val="0"/>
          <w:color w:val="000000"/>
          <w:kern w:val="2"/>
          <w:sz w:val="32"/>
          <w:szCs w:val="32"/>
          <w:shd w:val="clear" w:color="auto" w:fill="auto"/>
        </w:rPr>
        <w:t>八、一般公共预算财政拨款基本支出决算表</w:t>
      </w:r>
      <w:bookmarkEnd w:id="125"/>
      <w:bookmarkEnd w:id="126"/>
      <w:bookmarkEnd w:id="127"/>
      <w:bookmarkEnd w:id="128"/>
      <w:bookmarkEnd w:id="129"/>
    </w:p>
    <w:p w14:paraId="72BE1447">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30" w:name="_Toc3300"/>
      <w:bookmarkStart w:id="131" w:name="_Toc18103"/>
      <w:bookmarkStart w:id="132" w:name="_Toc2710"/>
      <w:bookmarkStart w:id="133" w:name="_Toc19251"/>
      <w:bookmarkStart w:id="134" w:name="_Toc27697"/>
      <w:r>
        <w:rPr>
          <w:rFonts w:hint="eastAsia" w:ascii="黑体" w:eastAsia="黑体" w:cs="楷体"/>
          <w:b w:val="0"/>
          <w:i w:val="0"/>
          <w:caps w:val="0"/>
          <w:smallCaps w:val="0"/>
          <w:strike w:val="0"/>
          <w:dstrike w:val="0"/>
          <w:vanish w:val="0"/>
          <w:color w:val="000000"/>
          <w:kern w:val="2"/>
          <w:sz w:val="32"/>
          <w:szCs w:val="32"/>
          <w:shd w:val="clear" w:color="auto" w:fill="auto"/>
        </w:rPr>
        <w:t>九、一般公共预算财政拨款项目支出决算表</w:t>
      </w:r>
      <w:bookmarkEnd w:id="130"/>
      <w:bookmarkEnd w:id="131"/>
      <w:bookmarkEnd w:id="132"/>
      <w:bookmarkEnd w:id="133"/>
      <w:bookmarkEnd w:id="134"/>
    </w:p>
    <w:p w14:paraId="2D2ED56C">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35" w:name="_Toc7407"/>
      <w:bookmarkStart w:id="136" w:name="_Toc30200"/>
      <w:bookmarkStart w:id="137" w:name="_Toc16203"/>
      <w:bookmarkStart w:id="138" w:name="_Toc3814"/>
      <w:bookmarkStart w:id="139" w:name="_Toc17674"/>
      <w:r>
        <w:rPr>
          <w:rFonts w:hint="eastAsia" w:ascii="黑体" w:eastAsia="黑体" w:cs="楷体"/>
          <w:b w:val="0"/>
          <w:i w:val="0"/>
          <w:caps w:val="0"/>
          <w:smallCaps w:val="0"/>
          <w:strike w:val="0"/>
          <w:dstrike w:val="0"/>
          <w:vanish w:val="0"/>
          <w:color w:val="000000"/>
          <w:kern w:val="2"/>
          <w:sz w:val="32"/>
          <w:szCs w:val="32"/>
          <w:shd w:val="clear" w:color="auto" w:fill="auto"/>
        </w:rPr>
        <w:t>十、一般公共预算财政拨款“三公”经费支出决算表</w:t>
      </w:r>
      <w:bookmarkEnd w:id="135"/>
      <w:bookmarkEnd w:id="136"/>
      <w:bookmarkEnd w:id="137"/>
      <w:bookmarkEnd w:id="138"/>
      <w:bookmarkEnd w:id="139"/>
    </w:p>
    <w:p w14:paraId="5658866D">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40" w:name="_Toc26205"/>
      <w:bookmarkStart w:id="141" w:name="_Toc16950"/>
      <w:bookmarkStart w:id="142" w:name="_Toc30136"/>
      <w:bookmarkStart w:id="143" w:name="_Toc3105"/>
      <w:bookmarkStart w:id="144" w:name="_Toc22429"/>
      <w:r>
        <w:rPr>
          <w:rFonts w:hint="eastAsia" w:ascii="黑体" w:eastAsia="黑体" w:cs="楷体"/>
          <w:b w:val="0"/>
          <w:i w:val="0"/>
          <w:caps w:val="0"/>
          <w:smallCaps w:val="0"/>
          <w:strike w:val="0"/>
          <w:dstrike w:val="0"/>
          <w:vanish w:val="0"/>
          <w:color w:val="000000"/>
          <w:kern w:val="2"/>
          <w:sz w:val="32"/>
          <w:szCs w:val="32"/>
          <w:shd w:val="clear" w:color="auto" w:fill="auto"/>
        </w:rPr>
        <w:t>十一、政府性基金预算财政拨款收入支出决算表</w:t>
      </w:r>
      <w:bookmarkEnd w:id="140"/>
      <w:bookmarkEnd w:id="141"/>
      <w:bookmarkEnd w:id="142"/>
      <w:bookmarkEnd w:id="143"/>
      <w:bookmarkEnd w:id="144"/>
    </w:p>
    <w:p w14:paraId="36AAB2FD">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45" w:name="_Toc5771"/>
      <w:bookmarkStart w:id="146" w:name="_Toc2777"/>
      <w:bookmarkStart w:id="147" w:name="_Toc10077"/>
      <w:bookmarkStart w:id="148" w:name="_Toc31673"/>
      <w:bookmarkStart w:id="149" w:name="_Toc7269"/>
      <w:r>
        <w:rPr>
          <w:rFonts w:hint="eastAsia" w:ascii="黑体" w:eastAsia="黑体" w:cs="楷体"/>
          <w:b w:val="0"/>
          <w:i w:val="0"/>
          <w:caps w:val="0"/>
          <w:smallCaps w:val="0"/>
          <w:strike w:val="0"/>
          <w:dstrike w:val="0"/>
          <w:vanish w:val="0"/>
          <w:color w:val="000000"/>
          <w:kern w:val="2"/>
          <w:sz w:val="32"/>
          <w:szCs w:val="32"/>
          <w:shd w:val="clear" w:color="auto" w:fill="auto"/>
        </w:rPr>
        <w:t>十二、政府性基金预算财政拨款“三公”经费支出决算表</w:t>
      </w:r>
      <w:bookmarkEnd w:id="145"/>
      <w:bookmarkEnd w:id="146"/>
      <w:bookmarkEnd w:id="147"/>
      <w:bookmarkEnd w:id="148"/>
      <w:bookmarkEnd w:id="149"/>
    </w:p>
    <w:p w14:paraId="49146BEB">
      <w:pPr>
        <w:pStyle w:val="5"/>
        <w:keepNext/>
        <w:keepLines/>
        <w:pageBreakBefore w:val="0"/>
        <w:widowControl w:val="0"/>
        <w:suppressLineNumbers w:val="0"/>
        <w:shd w:val="clear" w:color="auto" w:fill="auto"/>
        <w:suppressAutoHyphens w:val="0"/>
        <w:kinsoku/>
        <w:wordWrap/>
        <w:overflowPunct/>
        <w:topLinePunct w:val="0"/>
        <w:autoSpaceDE/>
        <w:autoSpaceDN/>
        <w:bidi w:val="0"/>
        <w:spacing w:line="240" w:lineRule="auto"/>
        <w:ind w:firstLine="0" w:firstLineChars="0"/>
        <w:jc w:val="left"/>
        <w:rPr>
          <w:rFonts w:hint="eastAsia" w:ascii="黑体" w:eastAsia="黑体" w:cs="楷体"/>
          <w:b w:val="0"/>
          <w:i w:val="0"/>
          <w:caps w:val="0"/>
          <w:smallCaps w:val="0"/>
          <w:strike w:val="0"/>
          <w:dstrike w:val="0"/>
          <w:vanish w:val="0"/>
          <w:color w:val="000000"/>
          <w:kern w:val="2"/>
          <w:sz w:val="32"/>
          <w:szCs w:val="32"/>
          <w:shd w:val="clear" w:color="auto" w:fill="auto"/>
        </w:rPr>
      </w:pPr>
      <w:bookmarkStart w:id="150" w:name="_Toc27365"/>
      <w:bookmarkStart w:id="151" w:name="_Toc8802"/>
      <w:bookmarkStart w:id="152" w:name="_Toc18302"/>
      <w:bookmarkStart w:id="153" w:name="_Toc2884"/>
      <w:bookmarkStart w:id="154" w:name="_Toc31527"/>
      <w:r>
        <w:rPr>
          <w:rFonts w:hint="eastAsia" w:ascii="黑体" w:eastAsia="黑体" w:cs="楷体"/>
          <w:b w:val="0"/>
          <w:i w:val="0"/>
          <w:caps w:val="0"/>
          <w:smallCaps w:val="0"/>
          <w:strike w:val="0"/>
          <w:dstrike w:val="0"/>
          <w:vanish w:val="0"/>
          <w:color w:val="000000"/>
          <w:kern w:val="2"/>
          <w:sz w:val="32"/>
          <w:szCs w:val="32"/>
          <w:shd w:val="clear" w:color="auto" w:fill="auto"/>
        </w:rPr>
        <w:t>十三、国有资本经营预算财政拨款收入支出决算表</w:t>
      </w:r>
      <w:bookmarkEnd w:id="150"/>
      <w:bookmarkEnd w:id="151"/>
      <w:bookmarkEnd w:id="152"/>
      <w:bookmarkEnd w:id="153"/>
      <w:bookmarkEnd w:id="154"/>
    </w:p>
    <w:p w14:paraId="1B0CD765">
      <w:pPr>
        <w:pStyle w:val="5"/>
        <w:keepNext/>
        <w:keepLines/>
        <w:pageBreakBefore w:val="0"/>
        <w:widowControl w:val="0"/>
        <w:suppressLineNumbers w:val="0"/>
        <w:suppressAutoHyphens w:val="0"/>
        <w:kinsoku/>
        <w:wordWrap/>
        <w:overflowPunct/>
        <w:topLinePunct w:val="0"/>
        <w:bidi w:val="0"/>
        <w:spacing w:line="240" w:lineRule="auto"/>
        <w:ind w:firstLine="0" w:firstLineChars="0"/>
        <w:jc w:val="left"/>
        <w:rPr>
          <w:rFonts w:hint="eastAsia" w:ascii="黑体" w:eastAsia="黑体" w:cs="楷体"/>
          <w:b w:val="0"/>
          <w:color w:val="000000"/>
          <w:kern w:val="2"/>
          <w:sz w:val="32"/>
          <w:szCs w:val="32"/>
        </w:rPr>
      </w:pPr>
      <w:bookmarkStart w:id="155" w:name="_Toc14292"/>
      <w:bookmarkStart w:id="156" w:name="_Toc9949"/>
      <w:bookmarkStart w:id="157" w:name="_Toc22497"/>
      <w:bookmarkStart w:id="158" w:name="_Toc13922"/>
      <w:bookmarkStart w:id="159" w:name="_Toc12154"/>
      <w:r>
        <w:rPr>
          <w:rFonts w:hint="eastAsia" w:ascii="黑体" w:eastAsia="黑体" w:cs="楷体"/>
          <w:b w:val="0"/>
          <w:i w:val="0"/>
          <w:caps w:val="0"/>
          <w:smallCaps w:val="0"/>
          <w:strike w:val="0"/>
          <w:dstrike w:val="0"/>
          <w:vanish w:val="0"/>
          <w:color w:val="000000"/>
          <w:kern w:val="2"/>
          <w:sz w:val="32"/>
          <w:szCs w:val="32"/>
          <w:shd w:val="clear" w:color="auto" w:fill="auto"/>
        </w:rPr>
        <w:t>十四、国有资本经营预算财政拨款支出决算表</w:t>
      </w:r>
      <w:bookmarkEnd w:id="155"/>
      <w:bookmarkEnd w:id="156"/>
      <w:bookmarkEnd w:id="157"/>
      <w:bookmarkEnd w:id="158"/>
      <w:bookmarkEnd w:id="159"/>
    </w:p>
    <w:p w14:paraId="03016900">
      <w:pPr>
        <w:pStyle w:val="45"/>
        <w:keepNext w:val="0"/>
        <w:keepLines w:val="0"/>
        <w:pageBreakBefore w:val="0"/>
        <w:widowControl/>
        <w:numPr>
          <w:ilvl w:val="0"/>
          <w:numId w:val="0"/>
        </w:numPr>
        <w:suppressLineNumbers w:val="0"/>
        <w:kinsoku/>
        <w:wordWrap/>
        <w:overflowPunct/>
        <w:topLinePunct w:val="0"/>
        <w:autoSpaceDE w:val="0"/>
        <w:autoSpaceDN/>
        <w:bidi w:val="0"/>
        <w:spacing w:before="0" w:beforeAutospacing="0" w:after="0" w:afterAutospacing="0" w:line="560" w:lineRule="exact"/>
        <w:ind w:left="640" w:leftChars="0" w:right="0" w:rightChars="0"/>
        <w:jc w:val="left"/>
        <w:rPr>
          <w:rFonts w:hint="eastAsia" w:ascii="仿宋_GB2312" w:cs="仿宋_GB2312"/>
          <w:b w:val="0"/>
          <w:bCs w:val="0"/>
          <w:color w:val="000000"/>
          <w:sz w:val="32"/>
          <w:szCs w:val="32"/>
          <w:lang w:val="en-US" w:eastAsia="zh-CN"/>
        </w:rPr>
      </w:pPr>
    </w:p>
    <w:p w14:paraId="40A48CDE"/>
    <w:p w14:paraId="7094F3FF">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仿宋" w:cs="Times New Roman"/>
          <w:b/>
          <w:bCs/>
          <w:color w:val="E54C5E" w:themeColor="accent6"/>
          <w:sz w:val="32"/>
          <w:szCs w:val="32"/>
          <w:lang w:val="en-US" w:eastAsia="zh-CN"/>
          <w14:textFill>
            <w14:solidFill>
              <w14:schemeClr w14:val="accent6"/>
            </w14:solidFill>
          </w14:textFill>
        </w:rPr>
      </w:pPr>
    </w:p>
    <w:sectPr>
      <w:footerReference r:id="rId7" w:type="default"/>
      <w:pgSz w:w="11906" w:h="16838"/>
      <w:pgMar w:top="1440" w:right="1803" w:bottom="1440" w:left="1803"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4440C0-4739-4C82-A29C-0495B8C116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E327E8AE-3178-4C38-8674-9227DAF623BC}"/>
  </w:font>
  <w:font w:name="方正小标宋_GBK">
    <w:panose1 w:val="03000509000000000000"/>
    <w:charset w:val="86"/>
    <w:family w:val="auto"/>
    <w:pitch w:val="default"/>
    <w:sig w:usb0="00000001" w:usb1="080E0000" w:usb2="00000000" w:usb3="00000000" w:csb0="00040000" w:csb1="00000000"/>
    <w:embedRegular r:id="rId3" w:fontKey="{2E8F5BE0-3048-4356-BEFD-E3F740FE9C3C}"/>
  </w:font>
  <w:font w:name="方正楷体_GBK">
    <w:panose1 w:val="02000000000000000000"/>
    <w:charset w:val="86"/>
    <w:family w:val="auto"/>
    <w:pitch w:val="default"/>
    <w:sig w:usb0="00000001" w:usb1="080E0000" w:usb2="00000000" w:usb3="00000000" w:csb0="00040000" w:csb1="00000000"/>
    <w:embedRegular r:id="rId4" w:fontKey="{C7174AF0-7253-4331-8168-37140B4AC154}"/>
  </w:font>
  <w:font w:name="仿宋">
    <w:panose1 w:val="02010609060101010101"/>
    <w:charset w:val="86"/>
    <w:family w:val="auto"/>
    <w:pitch w:val="default"/>
    <w:sig w:usb0="800002BF" w:usb1="38CF7CFA" w:usb2="00000016" w:usb3="00000000" w:csb0="00040001" w:csb1="00000000"/>
    <w:embedRegular r:id="rId5" w:fontKey="{A9455DAC-7E5F-4F4E-A83B-571B2243F6E7}"/>
  </w:font>
  <w:font w:name="仿宋_GB2312">
    <w:panose1 w:val="02010609030101010101"/>
    <w:charset w:val="86"/>
    <w:family w:val="auto"/>
    <w:pitch w:val="default"/>
    <w:sig w:usb0="00000001" w:usb1="080E0000" w:usb2="00000000" w:usb3="00000000" w:csb0="00040000" w:csb1="00000000"/>
    <w:embedRegular r:id="rId6" w:fontKey="{7B5C7874-3B92-4C92-8F36-5223CDC9F161}"/>
  </w:font>
  <w:font w:name="方正黑体_GBK">
    <w:altName w:val="微软雅黑"/>
    <w:panose1 w:val="03000509000000000000"/>
    <w:charset w:val="86"/>
    <w:family w:val="script"/>
    <w:pitch w:val="default"/>
    <w:sig w:usb0="00000000" w:usb1="00000000" w:usb2="00000000" w:usb3="00000000" w:csb0="00040000" w:csb1="00000000"/>
  </w:font>
  <w:font w:name="??">
    <w:altName w:val="微软雅黑"/>
    <w:panose1 w:val="00000000000000000000"/>
    <w:charset w:val="00"/>
    <w:family w:val="auto"/>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7" w:fontKey="{5A491E83-0501-4802-8BC3-EBD92BF462FE}"/>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8" w:fontKey="{C45665CE-AEB8-46FB-9432-B270C36ED0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28720">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813D4">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ABFE3">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CE6A3">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ECE6A3">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F98C8C61"/>
    <w:multiLevelType w:val="singleLevel"/>
    <w:tmpl w:val="F98C8C6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ODRlNDY0YzQ2YTA3NTI4OTQ2MDFlMTA5NmQ3ZGUifQ=="/>
  </w:docVars>
  <w:rsids>
    <w:rsidRoot w:val="00000000"/>
    <w:rsid w:val="00C02425"/>
    <w:rsid w:val="016B7A85"/>
    <w:rsid w:val="018804F7"/>
    <w:rsid w:val="077411FF"/>
    <w:rsid w:val="093D0979"/>
    <w:rsid w:val="09674A81"/>
    <w:rsid w:val="0B797600"/>
    <w:rsid w:val="0BB47A22"/>
    <w:rsid w:val="0C6206B7"/>
    <w:rsid w:val="0E851972"/>
    <w:rsid w:val="0FEA386F"/>
    <w:rsid w:val="18F80B10"/>
    <w:rsid w:val="1ADB7C95"/>
    <w:rsid w:val="1AE74064"/>
    <w:rsid w:val="1BF93E63"/>
    <w:rsid w:val="1CF17983"/>
    <w:rsid w:val="204215A6"/>
    <w:rsid w:val="20740980"/>
    <w:rsid w:val="20BB2F53"/>
    <w:rsid w:val="21345446"/>
    <w:rsid w:val="21A33A1B"/>
    <w:rsid w:val="265740EE"/>
    <w:rsid w:val="26F82D4E"/>
    <w:rsid w:val="2B3C3502"/>
    <w:rsid w:val="306B2611"/>
    <w:rsid w:val="33975855"/>
    <w:rsid w:val="33D23BE3"/>
    <w:rsid w:val="3604722F"/>
    <w:rsid w:val="36117D28"/>
    <w:rsid w:val="394F2436"/>
    <w:rsid w:val="3B8C6111"/>
    <w:rsid w:val="3BA21F41"/>
    <w:rsid w:val="3BD35B16"/>
    <w:rsid w:val="3E2607ED"/>
    <w:rsid w:val="3E7A6826"/>
    <w:rsid w:val="3FBF5E36"/>
    <w:rsid w:val="41826907"/>
    <w:rsid w:val="4258572E"/>
    <w:rsid w:val="441E3DC3"/>
    <w:rsid w:val="47025241"/>
    <w:rsid w:val="49437E06"/>
    <w:rsid w:val="49CA12D5"/>
    <w:rsid w:val="4D8602C2"/>
    <w:rsid w:val="4DC77A38"/>
    <w:rsid w:val="4DF34867"/>
    <w:rsid w:val="4E376061"/>
    <w:rsid w:val="4E493B57"/>
    <w:rsid w:val="4EA97B2D"/>
    <w:rsid w:val="4EB809B9"/>
    <w:rsid w:val="4F7D56F4"/>
    <w:rsid w:val="53433996"/>
    <w:rsid w:val="56C57368"/>
    <w:rsid w:val="56D03720"/>
    <w:rsid w:val="58AA2D6A"/>
    <w:rsid w:val="5A46244B"/>
    <w:rsid w:val="5C826360"/>
    <w:rsid w:val="5CF8394C"/>
    <w:rsid w:val="5E1C5709"/>
    <w:rsid w:val="5F963311"/>
    <w:rsid w:val="5FC75478"/>
    <w:rsid w:val="5FED3F25"/>
    <w:rsid w:val="61447E20"/>
    <w:rsid w:val="629E4777"/>
    <w:rsid w:val="637909CA"/>
    <w:rsid w:val="65263E17"/>
    <w:rsid w:val="6A7046BC"/>
    <w:rsid w:val="6AA5547A"/>
    <w:rsid w:val="6F4E42F7"/>
    <w:rsid w:val="710052FF"/>
    <w:rsid w:val="71945709"/>
    <w:rsid w:val="71D46F1C"/>
    <w:rsid w:val="725C4B8C"/>
    <w:rsid w:val="73B84B43"/>
    <w:rsid w:val="77D53FD1"/>
    <w:rsid w:val="78D4396D"/>
    <w:rsid w:val="78E449EC"/>
    <w:rsid w:val="7B7F0DC3"/>
    <w:rsid w:val="7E3B0ACC"/>
    <w:rsid w:val="7E601757"/>
    <w:rsid w:val="7F570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ind w:firstLine="643" w:firstLineChars="200"/>
      <w:jc w:val="both"/>
    </w:pPr>
    <w:rPr>
      <w:rFonts w:ascii="Times New Roman" w:hAnsi="Times New Roman" w:eastAsia="方正仿宋_GBK" w:cs="Times New Roman"/>
      <w:kern w:val="2"/>
      <w:sz w:val="32"/>
      <w:szCs w:val="24"/>
      <w:lang w:val="en-US" w:eastAsia="zh-CN" w:bidi="ar-SA"/>
    </w:rPr>
  </w:style>
  <w:style w:type="paragraph" w:styleId="4">
    <w:name w:val="heading 1"/>
    <w:basedOn w:val="1"/>
    <w:next w:val="1"/>
    <w:link w:val="43"/>
    <w:qFormat/>
    <w:uiPriority w:val="0"/>
    <w:pPr>
      <w:keepNext/>
      <w:keepLines/>
      <w:spacing w:beforeLines="0" w:beforeAutospacing="0" w:afterLines="0" w:afterAutospacing="0" w:line="700" w:lineRule="exact"/>
      <w:jc w:val="center"/>
      <w:outlineLvl w:val="0"/>
    </w:pPr>
    <w:rPr>
      <w:rFonts w:ascii="Calibri" w:hAnsi="Calibri" w:eastAsia="方正小标宋_GBK" w:cs="Times New Roman"/>
      <w:b/>
      <w:kern w:val="44"/>
      <w:sz w:val="44"/>
    </w:rPr>
  </w:style>
  <w:style w:type="paragraph" w:styleId="5">
    <w:name w:val="heading 2"/>
    <w:basedOn w:val="1"/>
    <w:next w:val="1"/>
    <w:link w:val="42"/>
    <w:semiHidden/>
    <w:unhideWhenUsed/>
    <w:qFormat/>
    <w:uiPriority w:val="0"/>
    <w:pPr>
      <w:keepNext/>
      <w:keepLines/>
      <w:spacing w:beforeLines="0" w:beforeAutospacing="0" w:afterLines="0" w:afterAutospacing="0" w:line="700" w:lineRule="exact"/>
      <w:jc w:val="center"/>
      <w:outlineLvl w:val="1"/>
    </w:pPr>
    <w:rPr>
      <w:rFonts w:ascii="Arial" w:hAnsi="Arial" w:eastAsia="方正楷体_GBK" w:cs="Times New Roman"/>
      <w:b/>
      <w:sz w:val="32"/>
    </w:rPr>
  </w:style>
  <w:style w:type="paragraph" w:styleId="6">
    <w:name w:val="heading 3"/>
    <w:basedOn w:val="1"/>
    <w:next w:val="1"/>
    <w:link w:val="22"/>
    <w:semiHidden/>
    <w:unhideWhenUsed/>
    <w:qFormat/>
    <w:uiPriority w:val="0"/>
    <w:pPr>
      <w:keepNext/>
      <w:keepLines/>
      <w:spacing w:beforeLines="0" w:beforeAutospacing="0" w:afterLines="0" w:afterAutospacing="0" w:line="576" w:lineRule="exact"/>
      <w:ind w:firstLine="1687" w:firstLineChars="200"/>
      <w:outlineLvl w:val="2"/>
    </w:pPr>
    <w:rPr>
      <w:rFonts w:ascii="Calibri" w:hAnsi="Calibri" w:eastAsia="仿宋" w:cs="Times New Roman"/>
      <w:sz w:val="32"/>
    </w:rPr>
  </w:style>
  <w:style w:type="paragraph" w:styleId="7">
    <w:name w:val="heading 4"/>
    <w:basedOn w:val="1"/>
    <w:next w:val="1"/>
    <w:semiHidden/>
    <w:unhideWhenUsed/>
    <w:qFormat/>
    <w:uiPriority w:val="0"/>
    <w:pPr>
      <w:keepNext/>
      <w:keepLines/>
      <w:spacing w:beforeLines="0" w:beforeAutospacing="0" w:afterLines="0" w:afterAutospacing="0" w:line="576" w:lineRule="exact"/>
      <w:outlineLvl w:val="3"/>
    </w:pPr>
    <w:rPr>
      <w:rFonts w:ascii="Arial" w:hAnsi="Arial" w:eastAsia="仿宋"/>
      <w:b/>
      <w:sz w:val="32"/>
    </w:rPr>
  </w:style>
  <w:style w:type="character" w:default="1" w:styleId="19">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suppressLineNumbers w:val="0"/>
      <w:spacing w:before="0" w:beforeAutospacing="0" w:after="0" w:afterAutospacing="0" w:line="540" w:lineRule="exact"/>
      <w:ind w:left="0" w:right="0" w:firstLine="200" w:firstLineChars="200"/>
      <w:jc w:val="left"/>
      <w:textAlignment w:val="baseline"/>
    </w:pPr>
    <w:rPr>
      <w:rFonts w:hint="eastAsia" w:ascii="宋体" w:hAnsi="宋体" w:eastAsia="宋体" w:cs="宋体"/>
      <w:color w:val="000000"/>
      <w:kern w:val="0"/>
      <w:sz w:val="32"/>
      <w:szCs w:val="32"/>
      <w:lang w:val="en-US" w:eastAsia="zh-CN" w:bidi="ar"/>
    </w:rPr>
  </w:style>
  <w:style w:type="paragraph" w:styleId="3">
    <w:name w:val="Body Text Indent"/>
    <w:basedOn w:val="1"/>
    <w:next w:val="2"/>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8">
    <w:name w:val="index 8"/>
    <w:basedOn w:val="1"/>
    <w:next w:val="1"/>
    <w:qFormat/>
    <w:uiPriority w:val="0"/>
    <w:pPr>
      <w:ind w:left="2940"/>
    </w:pPr>
    <w:rPr>
      <w:rFonts w:ascii="方正黑体_GBK" w:eastAsia="方正黑体_GBK"/>
    </w:rPr>
  </w:style>
  <w:style w:type="paragraph" w:styleId="9">
    <w:name w:val="toa heading"/>
    <w:basedOn w:val="1"/>
    <w:next w:val="1"/>
    <w:qFormat/>
    <w:uiPriority w:val="99"/>
    <w:pPr>
      <w:spacing w:before="120"/>
    </w:pPr>
    <w:rPr>
      <w:rFonts w:ascii="Arial" w:hAnsi="Arial" w:eastAsia="宋体" w:cs="Arial"/>
      <w:sz w:val="24"/>
      <w:szCs w:val="24"/>
    </w:rPr>
  </w:style>
  <w:style w:type="paragraph" w:styleId="10">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11">
    <w:name w:val="Body Text"/>
    <w:basedOn w:val="1"/>
    <w:next w:val="1"/>
    <w:qFormat/>
    <w:uiPriority w:val="99"/>
    <w:pPr>
      <w:spacing w:beforeLines="30"/>
    </w:pPr>
    <w:rPr>
      <w:rFonts w:ascii="仿宋_GB2312" w:eastAsia="仿宋_GB2312"/>
      <w:kern w:val="0"/>
      <w:sz w:val="30"/>
    </w:rPr>
  </w:style>
  <w:style w:type="paragraph" w:styleId="12">
    <w:name w:val="Balloon Text"/>
    <w:basedOn w:val="1"/>
    <w:unhideWhenUsed/>
    <w:qFormat/>
    <w:uiPriority w:val="99"/>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pPr>
  </w:style>
  <w:style w:type="paragraph" w:styleId="17">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宋体"/>
      <w:snapToGrid/>
      <w:color w:val="auto"/>
      <w:spacing w:val="0"/>
      <w:w w:val="100"/>
      <w:kern w:val="0"/>
      <w:position w:val="0"/>
      <w:sz w:val="24"/>
      <w:szCs w:val="24"/>
      <w:u w:val="none" w:color="auto"/>
      <w:shd w:val="clear" w:color="auto" w:fill="auto"/>
      <w:vertAlign w:val="baseline"/>
      <w:lang w:val="en-US" w:eastAsia="zh-CN"/>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3 Char"/>
    <w:link w:val="6"/>
    <w:qFormat/>
    <w:uiPriority w:val="0"/>
    <w:rPr>
      <w:rFonts w:ascii="Calibri" w:hAnsi="Calibri" w:eastAsia="仿宋" w:cs="Times New Roman"/>
      <w:sz w:val="32"/>
    </w:rPr>
  </w:style>
  <w:style w:type="character" w:customStyle="1" w:styleId="23">
    <w:name w:val="17"/>
    <w:basedOn w:val="19"/>
    <w:qFormat/>
    <w:uiPriority w:val="0"/>
    <w:rPr>
      <w:rFonts w:hint="default" w:ascii="Times New Roman" w:hAnsi="Times New Roman" w:cs="Times New Roman"/>
      <w:color w:val="0000FF"/>
      <w:u w:val="single"/>
    </w:rPr>
  </w:style>
  <w:style w:type="character" w:customStyle="1" w:styleId="24">
    <w:name w:val="30"/>
    <w:basedOn w:val="19"/>
    <w:qFormat/>
    <w:uiPriority w:val="0"/>
    <w:rPr>
      <w:rFonts w:hint="default" w:ascii="Times New Roman" w:hAnsi="Times New Roman" w:cs="Times New Roman"/>
      <w:color w:val="0000FF"/>
      <w:u w:val="single"/>
    </w:rPr>
  </w:style>
  <w:style w:type="character" w:customStyle="1" w:styleId="25">
    <w:name w:val="23"/>
    <w:basedOn w:val="19"/>
    <w:qFormat/>
    <w:uiPriority w:val="0"/>
    <w:rPr>
      <w:rFonts w:hint="default" w:ascii="Times New Roman" w:hAnsi="Times New Roman" w:cs="Times New Roman"/>
    </w:rPr>
  </w:style>
  <w:style w:type="character" w:customStyle="1" w:styleId="26">
    <w:name w:val="26"/>
    <w:basedOn w:val="19"/>
    <w:qFormat/>
    <w:uiPriority w:val="0"/>
    <w:rPr>
      <w:rFonts w:hint="default" w:ascii="Times New Roman" w:hAnsi="Times New Roman" w:cs="Times New Roman"/>
    </w:rPr>
  </w:style>
  <w:style w:type="paragraph" w:customStyle="1" w:styleId="27">
    <w:name w:val="普通(网站) Char"/>
    <w:basedOn w:val="1"/>
    <w:next w:val="16"/>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10"/>
    <w:basedOn w:val="19"/>
    <w:qFormat/>
    <w:uiPriority w:val="0"/>
    <w:rPr>
      <w:rFonts w:hint="default" w:ascii="Times New Roman" w:hAnsi="Times New Roman" w:cs="Times New Roman"/>
    </w:rPr>
  </w:style>
  <w:style w:type="character" w:customStyle="1" w:styleId="29">
    <w:name w:val="31"/>
    <w:basedOn w:val="19"/>
    <w:qFormat/>
    <w:uiPriority w:val="0"/>
    <w:rPr>
      <w:rFonts w:hint="default" w:ascii="Times New Roman" w:hAnsi="Times New Roman" w:cs="Times New Roman"/>
    </w:rPr>
  </w:style>
  <w:style w:type="character" w:customStyle="1" w:styleId="30">
    <w:name w:val="15"/>
    <w:basedOn w:val="19"/>
    <w:qFormat/>
    <w:uiPriority w:val="0"/>
    <w:rPr>
      <w:rFonts w:hint="default" w:ascii="Times New Roman" w:hAnsi="Times New Roman" w:cs="Times New Roman"/>
      <w:color w:val="0000FF"/>
      <w:u w:val="single"/>
    </w:rPr>
  </w:style>
  <w:style w:type="character" w:customStyle="1" w:styleId="31">
    <w:name w:val="16"/>
    <w:basedOn w:val="19"/>
    <w:qFormat/>
    <w:uiPriority w:val="0"/>
    <w:rPr>
      <w:rFonts w:hint="default" w:ascii="Times New Roman" w:hAnsi="Times New Roman" w:cs="Times New Roman"/>
    </w:rPr>
  </w:style>
  <w:style w:type="character" w:customStyle="1" w:styleId="32">
    <w:name w:val="18"/>
    <w:basedOn w:val="19"/>
    <w:qFormat/>
    <w:uiPriority w:val="0"/>
    <w:rPr>
      <w:rFonts w:hint="default" w:ascii="Times New Roman" w:hAnsi="Times New Roman" w:cs="Times New Roman"/>
    </w:rPr>
  </w:style>
  <w:style w:type="character" w:customStyle="1" w:styleId="33">
    <w:name w:val="19"/>
    <w:basedOn w:val="19"/>
    <w:qFormat/>
    <w:uiPriority w:val="0"/>
    <w:rPr>
      <w:rFonts w:hint="default" w:ascii="Times New Roman" w:hAnsi="Times New Roman" w:cs="Times New Roman"/>
      <w:color w:val="0000FF"/>
      <w:u w:val="single"/>
    </w:rPr>
  </w:style>
  <w:style w:type="character" w:customStyle="1" w:styleId="34">
    <w:name w:val="27"/>
    <w:basedOn w:val="19"/>
    <w:qFormat/>
    <w:uiPriority w:val="0"/>
    <w:rPr>
      <w:rFonts w:hint="default" w:ascii="Times New Roman" w:hAnsi="Times New Roman" w:cs="Times New Roman"/>
      <w:color w:val="0000FF"/>
      <w:u w:val="single"/>
    </w:rPr>
  </w:style>
  <w:style w:type="character" w:customStyle="1" w:styleId="35">
    <w:name w:val="20"/>
    <w:basedOn w:val="19"/>
    <w:qFormat/>
    <w:uiPriority w:val="0"/>
    <w:rPr>
      <w:rFonts w:hint="default" w:ascii="Times New Roman" w:hAnsi="Times New Roman" w:cs="Times New Roman"/>
      <w:color w:val="0000FF"/>
      <w:u w:val="single"/>
    </w:rPr>
  </w:style>
  <w:style w:type="character" w:customStyle="1" w:styleId="36">
    <w:name w:val="29"/>
    <w:basedOn w:val="19"/>
    <w:qFormat/>
    <w:uiPriority w:val="0"/>
    <w:rPr>
      <w:rFonts w:hint="default" w:ascii="Times New Roman" w:hAnsi="Times New Roman" w:cs="Times New Roman"/>
      <w:b/>
      <w:bCs/>
    </w:rPr>
  </w:style>
  <w:style w:type="character" w:customStyle="1" w:styleId="37">
    <w:name w:val="28"/>
    <w:basedOn w:val="19"/>
    <w:qFormat/>
    <w:uiPriority w:val="0"/>
    <w:rPr>
      <w:rFonts w:hint="default" w:ascii="Times New Roman" w:hAnsi="Times New Roman" w:cs="Times New Roman"/>
    </w:rPr>
  </w:style>
  <w:style w:type="character" w:customStyle="1" w:styleId="38">
    <w:name w:val="21"/>
    <w:basedOn w:val="19"/>
    <w:qFormat/>
    <w:uiPriority w:val="0"/>
    <w:rPr>
      <w:rFonts w:hint="default" w:ascii="Times New Roman" w:hAnsi="Times New Roman" w:cs="Times New Roman"/>
    </w:rPr>
  </w:style>
  <w:style w:type="character" w:customStyle="1" w:styleId="39">
    <w:name w:val="22"/>
    <w:basedOn w:val="19"/>
    <w:qFormat/>
    <w:uiPriority w:val="0"/>
    <w:rPr>
      <w:rFonts w:hint="default" w:ascii="Times New Roman" w:hAnsi="Times New Roman" w:cs="Times New Roman"/>
      <w:color w:val="0000FF"/>
      <w:u w:val="single"/>
    </w:rPr>
  </w:style>
  <w:style w:type="character" w:customStyle="1" w:styleId="40">
    <w:name w:val="24"/>
    <w:basedOn w:val="19"/>
    <w:qFormat/>
    <w:uiPriority w:val="0"/>
    <w:rPr>
      <w:rFonts w:hint="default" w:ascii="Times New Roman" w:hAnsi="Times New Roman" w:cs="Times New Roman"/>
    </w:rPr>
  </w:style>
  <w:style w:type="character" w:customStyle="1" w:styleId="41">
    <w:name w:val="25"/>
    <w:basedOn w:val="19"/>
    <w:qFormat/>
    <w:uiPriority w:val="0"/>
    <w:rPr>
      <w:rFonts w:hint="default" w:ascii="Times New Roman" w:hAnsi="Times New Roman" w:cs="Times New Roman"/>
      <w:color w:val="0000FF"/>
      <w:u w:val="single"/>
    </w:rPr>
  </w:style>
  <w:style w:type="character" w:customStyle="1" w:styleId="42">
    <w:name w:val="标题 2 字符"/>
    <w:basedOn w:val="19"/>
    <w:link w:val="5"/>
    <w:qFormat/>
    <w:uiPriority w:val="9"/>
    <w:rPr>
      <w:rFonts w:ascii="Arial" w:hAnsi="Arial" w:eastAsia="方正楷体_GBK" w:cs="Times New Roman"/>
      <w:b/>
      <w:sz w:val="32"/>
    </w:rPr>
  </w:style>
  <w:style w:type="character" w:customStyle="1" w:styleId="43">
    <w:name w:val="标题 1 字符"/>
    <w:basedOn w:val="19"/>
    <w:link w:val="4"/>
    <w:qFormat/>
    <w:uiPriority w:val="9"/>
    <w:rPr>
      <w:rFonts w:ascii="Calibri" w:hAnsi="Calibri" w:eastAsia="方正小标宋_GBK" w:cs="Times New Roman"/>
      <w:b/>
      <w:kern w:val="44"/>
      <w:sz w:val="44"/>
    </w:rPr>
  </w:style>
  <w:style w:type="paragraph" w:customStyle="1" w:styleId="4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5">
    <w:name w:val="p40"/>
    <w:basedOn w:val="1"/>
    <w:qFormat/>
    <w:uiPriority w:val="0"/>
    <w:pPr>
      <w:spacing w:before="100" w:beforeAutospacing="0" w:after="100" w:afterAutospacing="0"/>
      <w:jc w:val="left"/>
    </w:pPr>
    <w:rPr>
      <w:rFonts w:hint="eastAsia" w:ascii="宋体" w:hAnsi="宋体" w:eastAsia="宋体" w:cs="宋体"/>
      <w:kern w:val="0"/>
      <w:sz w:val="24"/>
      <w:szCs w:val="24"/>
      <w:lang w:val="en-US" w:eastAsia="zh-CN" w:bidi="ar"/>
    </w:rPr>
  </w:style>
  <w:style w:type="paragraph" w:customStyle="1" w:styleId="46">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7">
    <w:name w:val="四号正文"/>
    <w:basedOn w:val="1"/>
    <w:qFormat/>
    <w:uiPriority w:val="0"/>
    <w:pPr>
      <w:spacing w:line="360" w:lineRule="auto"/>
    </w:pPr>
    <w:rPr>
      <w:rFonts w:ascii="??" w:hAnsi="??" w:eastAsia="宋体"/>
      <w:color w:val="000000"/>
      <w:kern w:val="0"/>
      <w:sz w:val="28"/>
      <w:szCs w:val="21"/>
      <w:lang w:val="zh-CN"/>
    </w:rPr>
  </w:style>
  <w:style w:type="character" w:customStyle="1" w:styleId="48">
    <w:name w:val="方正黑体 Char"/>
    <w:basedOn w:val="19"/>
    <w:link w:val="49"/>
    <w:qFormat/>
    <w:uiPriority w:val="0"/>
    <w:rPr>
      <w:rFonts w:eastAsia="方正黑体_GBK"/>
      <w:sz w:val="32"/>
    </w:rPr>
  </w:style>
  <w:style w:type="paragraph" w:customStyle="1" w:styleId="49">
    <w:name w:val="方正黑体"/>
    <w:basedOn w:val="4"/>
    <w:next w:val="50"/>
    <w:link w:val="48"/>
    <w:qFormat/>
    <w:uiPriority w:val="0"/>
    <w:pPr>
      <w:keepNext w:val="0"/>
      <w:keepLines w:val="0"/>
      <w:spacing w:before="0" w:after="0" w:line="576" w:lineRule="exact"/>
      <w:ind w:firstLine="200" w:firstLineChars="200"/>
    </w:pPr>
    <w:rPr>
      <w:rFonts w:eastAsia="方正黑体_GBK"/>
      <w:b w:val="0"/>
      <w:sz w:val="32"/>
    </w:rPr>
  </w:style>
  <w:style w:type="paragraph" w:customStyle="1" w:styleId="50">
    <w:name w:val="首行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23\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123\Desktop\&#26032;&#24314;%20XLSX%20&#24037;&#20316;&#34920;.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123\Desktop\&#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123\Desktop\&#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123\Desktop\&#26032;&#24314;%20XLSX%20&#24037;&#20316;&#3492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2.xml"/><Relationship Id="rId1" Type="http://schemas.openxmlformats.org/officeDocument/2006/relationships/oleObject" Target="file:///C:\Users\123\Desktop\&#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123\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a:t>
            </a:r>
          </a:p>
        </c:rich>
      </c:tx>
      <c:layout>
        <c:manualLayout>
          <c:xMode val="edge"/>
          <c:yMode val="edge"/>
          <c:x val="0.325131578947368"/>
          <c:y val="0.100231481481481"/>
        </c:manualLayout>
      </c:layout>
      <c:overlay val="0"/>
      <c:spPr>
        <a:noFill/>
        <a:ln>
          <a:noFill/>
        </a:ln>
        <a:effectLst/>
      </c:spPr>
    </c:title>
    <c:autoTitleDeleted val="0"/>
    <c:plotArea>
      <c:layout>
        <c:manualLayout>
          <c:layoutTarget val="inner"/>
          <c:xMode val="edge"/>
          <c:yMode val="edge"/>
          <c:x val="0.0612631578947368"/>
          <c:y val="0.325694444444444"/>
          <c:w val="0.888210526315789"/>
          <c:h val="0.606805555555556"/>
        </c:manualLayout>
      </c:layout>
      <c:barChart>
        <c:barDir val="col"/>
        <c:grouping val="clustered"/>
        <c:varyColors val="0"/>
        <c:ser>
          <c:idx val="0"/>
          <c:order val="0"/>
          <c:tx>
            <c:strRef>
              <c:f>'[新建 XLSX 工作表.xlsx]Sheet1'!$A$7</c:f>
              <c:strCache>
                <c:ptCount val="1"/>
                <c:pt idx="0">
                  <c:v>2022年</c:v>
                </c:pt>
              </c:strCache>
            </c:strRef>
          </c:tx>
          <c:spPr>
            <a:solidFill>
              <a:schemeClr val="accent1"/>
            </a:solidFill>
            <a:ln>
              <a:noFill/>
            </a:ln>
            <a:effectLst/>
          </c:spPr>
          <c:invertIfNegative val="0"/>
          <c:dLbls>
            <c:delete val="1"/>
          </c:dLbls>
          <c:cat>
            <c:strRef>
              <c:f>'[新建 XLSX 工作表.xlsx]Sheet1'!$B$6:$C$6</c:f>
              <c:strCache>
                <c:ptCount val="2"/>
                <c:pt idx="0">
                  <c:v>收入（万元）</c:v>
                </c:pt>
                <c:pt idx="1">
                  <c:v>支出（万元）</c:v>
                </c:pt>
              </c:strCache>
            </c:strRef>
          </c:cat>
          <c:val>
            <c:numRef>
              <c:f>'[新建 XLSX 工作表.xlsx]Sheet1'!$B$7:$C$7</c:f>
              <c:numCache>
                <c:formatCode>General</c:formatCode>
                <c:ptCount val="2"/>
                <c:pt idx="0">
                  <c:v>1258.71</c:v>
                </c:pt>
                <c:pt idx="1">
                  <c:v>1257.71</c:v>
                </c:pt>
              </c:numCache>
            </c:numRef>
          </c:val>
        </c:ser>
        <c:ser>
          <c:idx val="1"/>
          <c:order val="1"/>
          <c:tx>
            <c:strRef>
              <c:f>'[新建 XLSX 工作表.xlsx]Sheet1'!$A$8</c:f>
              <c:strCache>
                <c:ptCount val="1"/>
                <c:pt idx="0">
                  <c:v>2023年</c:v>
                </c:pt>
              </c:strCache>
            </c:strRef>
          </c:tx>
          <c:spPr>
            <a:solidFill>
              <a:schemeClr val="accent2"/>
            </a:solidFill>
            <a:ln>
              <a:noFill/>
            </a:ln>
            <a:effectLst/>
          </c:spPr>
          <c:invertIfNegative val="0"/>
          <c:dLbls>
            <c:delete val="1"/>
          </c:dLbls>
          <c:cat>
            <c:strRef>
              <c:f>'[新建 XLSX 工作表.xlsx]Sheet1'!$B$6:$C$6</c:f>
              <c:strCache>
                <c:ptCount val="2"/>
                <c:pt idx="0">
                  <c:v>收入（万元）</c:v>
                </c:pt>
                <c:pt idx="1">
                  <c:v>支出（万元）</c:v>
                </c:pt>
              </c:strCache>
            </c:strRef>
          </c:cat>
          <c:val>
            <c:numRef>
              <c:f>'[新建 XLSX 工作表.xlsx]Sheet1'!$B$8:$C$8</c:f>
              <c:numCache>
                <c:formatCode>General</c:formatCode>
                <c:ptCount val="2"/>
                <c:pt idx="0">
                  <c:v>1329.8</c:v>
                </c:pt>
                <c:pt idx="1">
                  <c:v>1329.8</c:v>
                </c:pt>
              </c:numCache>
            </c:numRef>
          </c:val>
        </c:ser>
        <c:dLbls>
          <c:showLegendKey val="0"/>
          <c:showVal val="0"/>
          <c:showCatName val="0"/>
          <c:showSerName val="0"/>
          <c:showPercent val="0"/>
          <c:showBubbleSize val="0"/>
        </c:dLbls>
        <c:gapWidth val="246"/>
        <c:overlap val="-28"/>
        <c:axId val="720303237"/>
        <c:axId val="489659238"/>
      </c:barChart>
      <c:catAx>
        <c:axId val="7203032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659238"/>
        <c:crosses val="autoZero"/>
        <c:auto val="1"/>
        <c:lblAlgn val="ctr"/>
        <c:lblOffset val="100"/>
        <c:noMultiLvlLbl val="0"/>
      </c:catAx>
      <c:valAx>
        <c:axId val="4896592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030323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06780bc-589d-4a8f-be47-695fd0919a3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'[新建 XLSX 工作表.xlsx]Sheet1'!$B$6:$C$6</c:f>
              <c:strCache>
                <c:ptCount val="2"/>
                <c:pt idx="0">
                  <c:v>一般公共预算财政拨款收入</c:v>
                </c:pt>
                <c:pt idx="1">
                  <c:v>其他收入</c:v>
                </c:pt>
              </c:strCache>
            </c:strRef>
          </c:cat>
          <c:val>
            <c:numRef>
              <c:f>'[新建 XLSX 工作表.xlsx]Sheet1'!$B$7:$C$7</c:f>
              <c:numCache>
                <c:formatCode>General</c:formatCode>
                <c:ptCount val="2"/>
                <c:pt idx="0">
                  <c:v>1310</c:v>
                </c:pt>
                <c:pt idx="1">
                  <c:v>19.8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547ee68-a99b-4991-a787-149e22c3b08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支出决算情况</a:t>
            </a:r>
          </a:p>
        </c:rich>
      </c:tx>
      <c:layout/>
      <c:overlay val="0"/>
      <c:spPr>
        <a:noFill/>
        <a:ln>
          <a:noFill/>
        </a:ln>
        <a:effectLst/>
      </c:spPr>
    </c:title>
    <c:autoTitleDeleted val="0"/>
    <c:plotArea>
      <c:layout>
        <c:manualLayout>
          <c:layoutTarget val="inner"/>
          <c:xMode val="edge"/>
          <c:yMode val="edge"/>
          <c:x val="0.22462153451405"/>
          <c:y val="0.22196276985871"/>
          <c:w val="0.341117717003567"/>
          <c:h val="0.67263774912075"/>
        </c:manualLayout>
      </c:layout>
      <c:pieChart>
        <c:varyColors val="1"/>
        <c:ser>
          <c:idx val="0"/>
          <c:order val="0"/>
          <c:spPr>
            <a:ln w="22225">
              <a:solidFill>
                <a:schemeClr val="bg1"/>
              </a:solidFill>
            </a:ln>
            <a:effectLst>
              <a:innerShdw blurRad="114300">
                <a:prstClr val="black"/>
              </a:innerShdw>
            </a:effectLst>
            <a:sp3d contourW="22225"/>
          </c:spPr>
          <c:explosion val="0"/>
          <c:dPt>
            <c:idx val="0"/>
            <c:bubble3D val="0"/>
            <c:spPr>
              <a:solidFill>
                <a:schemeClr val="accent1"/>
              </a:solidFill>
              <a:ln w="22225">
                <a:solidFill>
                  <a:schemeClr val="bg1"/>
                </a:solidFill>
              </a:ln>
              <a:effectLst>
                <a:innerShdw blurRad="114300">
                  <a:schemeClr val="accent1">
                    <a:lumMod val="75000"/>
                  </a:schemeClr>
                </a:innerShdw>
              </a:effectLst>
              <a:sp3d contourW="22225"/>
            </c:spPr>
          </c:dPt>
          <c:dPt>
            <c:idx val="1"/>
            <c:bubble3D val="0"/>
            <c:spPr>
              <a:solidFill>
                <a:schemeClr val="accent2"/>
              </a:solidFill>
              <a:ln w="22225">
                <a:solidFill>
                  <a:schemeClr val="bg1"/>
                </a:solidFill>
              </a:ln>
              <a:effectLst>
                <a:innerShdw blurRad="114300">
                  <a:schemeClr val="accent2">
                    <a:lumMod val="75000"/>
                  </a:schemeClr>
                </a:innerShdw>
              </a:effectLst>
              <a:sp3d contourW="22225"/>
            </c:spPr>
          </c:dPt>
          <c:dPt>
            <c:idx val="2"/>
            <c:bubble3D val="0"/>
            <c:spPr>
              <a:solidFill>
                <a:schemeClr val="accent3"/>
              </a:solidFill>
              <a:ln w="22225">
                <a:solidFill>
                  <a:schemeClr val="bg1"/>
                </a:solidFill>
              </a:ln>
              <a:effectLst>
                <a:innerShdw blurRad="114300">
                  <a:schemeClr val="accent3">
                    <a:lumMod val="75000"/>
                  </a:schemeClr>
                </a:innerShdw>
              </a:effectLst>
              <a:sp3d contourW="22225"/>
            </c:spPr>
          </c:dPt>
          <c:dPt>
            <c:idx val="3"/>
            <c:bubble3D val="0"/>
            <c:spPr>
              <a:solidFill>
                <a:schemeClr val="accent4"/>
              </a:solidFill>
              <a:ln w="22225">
                <a:solidFill>
                  <a:schemeClr val="bg1"/>
                </a:solidFill>
              </a:ln>
              <a:effectLst>
                <a:innerShdw blurRad="114300">
                  <a:schemeClr val="accent4">
                    <a:lumMod val="75000"/>
                  </a:schemeClr>
                </a:innerShdw>
              </a:effectLst>
              <a:sp3d contourW="22225"/>
            </c:spPr>
          </c:dPt>
          <c:dPt>
            <c:idx val="4"/>
            <c:bubble3D val="0"/>
            <c:spPr>
              <a:solidFill>
                <a:schemeClr val="accent5"/>
              </a:solidFill>
              <a:ln w="22225">
                <a:solidFill>
                  <a:schemeClr val="bg1"/>
                </a:solidFill>
              </a:ln>
              <a:effectLst>
                <a:innerShdw blurRad="114300">
                  <a:prstClr val="black"/>
                </a:innerShdw>
              </a:effectLst>
              <a:sp3d contourW="22225"/>
            </c:spPr>
          </c:dPt>
          <c:dPt>
            <c:idx val="5"/>
            <c:bubble3D val="0"/>
            <c:spPr>
              <a:solidFill>
                <a:schemeClr val="accent6"/>
              </a:solidFill>
              <a:ln w="22225">
                <a:solidFill>
                  <a:schemeClr val="bg1"/>
                </a:solidFill>
              </a:ln>
              <a:effectLst>
                <a:innerShdw blurRad="114300">
                  <a:prstClr val="black"/>
                </a:innerShdw>
              </a:effectLst>
              <a:sp3d contourW="22225"/>
            </c:spPr>
          </c:dPt>
          <c:dPt>
            <c:idx val="6"/>
            <c:bubble3D val="0"/>
            <c:spPr>
              <a:solidFill>
                <a:schemeClr val="accent1">
                  <a:lumMod val="60000"/>
                </a:schemeClr>
              </a:solidFill>
              <a:ln w="22225">
                <a:solidFill>
                  <a:schemeClr val="bg1"/>
                </a:solidFill>
              </a:ln>
              <a:effectLst>
                <a:innerShdw blurRad="114300">
                  <a:prstClr val="black"/>
                </a:innerShdw>
              </a:effectLst>
              <a:sp3d contourW="22225"/>
            </c:spPr>
          </c:dPt>
          <c:dLbls>
            <c:dLbl>
              <c:idx val="0"/>
              <c:layout/>
              <c:dLblPos val="outEnd"/>
              <c:showLegendKey val="0"/>
              <c:showVal val="0"/>
              <c:showCatName val="0"/>
              <c:showSerName val="0"/>
              <c:showPercent val="1"/>
              <c:showBubbleSize val="0"/>
              <c:separator>
</c:separator>
              <c:extLst>
                <c:ext xmlns:c15="http://schemas.microsoft.com/office/drawing/2012/chart" uri="{CE6537A1-D6FC-4f65-9D91-7224C49458BB}"/>
              </c:extLst>
            </c:dLbl>
            <c:dLbl>
              <c:idx val="1"/>
              <c:layout/>
              <c:dLblPos val="outEnd"/>
              <c:showLegendKey val="0"/>
              <c:showVal val="0"/>
              <c:showCatName val="0"/>
              <c:showSerName val="0"/>
              <c:showPercent val="1"/>
              <c:showBubbleSize val="0"/>
              <c:separator>
</c:separator>
              <c:extLst>
                <c:ext xmlns:c15="http://schemas.microsoft.com/office/drawing/2012/chart" uri="{CE6537A1-D6FC-4f65-9D91-7224C49458BB}"/>
              </c:extLst>
            </c:dLbl>
            <c:dLbl>
              <c:idx val="2"/>
              <c:layout/>
              <c:dLblPos val="outEnd"/>
              <c:showLegendKey val="0"/>
              <c:showVal val="0"/>
              <c:showCatName val="0"/>
              <c:showSerName val="0"/>
              <c:showPercent val="1"/>
              <c:showBubbleSize val="0"/>
              <c:separator>
</c:separator>
              <c:extLst>
                <c:ext xmlns:c15="http://schemas.microsoft.com/office/drawing/2012/chart" uri="{CE6537A1-D6FC-4f65-9D91-7224C49458BB}"/>
              </c:extLst>
            </c:dLbl>
            <c:dLbl>
              <c:idx val="3"/>
              <c:layout/>
              <c:dLblPos val="outEnd"/>
              <c:showLegendKey val="0"/>
              <c:showVal val="0"/>
              <c:showCatName val="0"/>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effectLst/>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工作表.xlsx]Sheet1'!$B$6:$H$6</c:f>
              <c:strCache>
                <c:ptCount val="7"/>
                <c:pt idx="0">
                  <c:v>一般公共服务支出</c:v>
                </c:pt>
                <c:pt idx="1">
                  <c:v>文化旅游体育与传媒支出</c:v>
                </c:pt>
                <c:pt idx="2">
                  <c:v>社会保障和就业支出</c:v>
                </c:pt>
                <c:pt idx="3">
                  <c:v>卫生健康支出</c:v>
                </c:pt>
                <c:pt idx="4">
                  <c:v>城乡社区支出</c:v>
                </c:pt>
                <c:pt idx="5">
                  <c:v>农林水支出</c:v>
                </c:pt>
                <c:pt idx="6">
                  <c:v>住房保障支出</c:v>
                </c:pt>
              </c:strCache>
            </c:strRef>
          </c:cat>
          <c:val>
            <c:numRef>
              <c:f>'[新建 XLSX 工作表.xlsx]Sheet1'!$B$7:$H$7</c:f>
              <c:numCache>
                <c:formatCode>General</c:formatCode>
                <c:ptCount val="7"/>
                <c:pt idx="0">
                  <c:v>722.1</c:v>
                </c:pt>
                <c:pt idx="1">
                  <c:v>45.6</c:v>
                </c:pt>
                <c:pt idx="2">
                  <c:v>113</c:v>
                </c:pt>
                <c:pt idx="3">
                  <c:v>47.76</c:v>
                </c:pt>
                <c:pt idx="4">
                  <c:v>8</c:v>
                </c:pt>
                <c:pt idx="5">
                  <c:v>368</c:v>
                </c:pt>
                <c:pt idx="6">
                  <c:v>59.69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c1edb022-f0dc-41be-b6d7-216124d81459}"/>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a:t>
            </a:r>
          </a:p>
        </c:rich>
      </c:tx>
      <c:layout/>
      <c:overlay val="0"/>
      <c:spPr>
        <a:noFill/>
        <a:ln>
          <a:noFill/>
        </a:ln>
        <a:effectLst/>
      </c:spPr>
    </c:title>
    <c:autoTitleDeleted val="0"/>
    <c:plotArea>
      <c:layout/>
      <c:barChart>
        <c:barDir val="col"/>
        <c:grouping val="clustered"/>
        <c:varyColors val="0"/>
        <c:ser>
          <c:idx val="0"/>
          <c:order val="0"/>
          <c:tx>
            <c:strRef>
              <c:f>'[新建 XLSX 工作表.xlsx]Sheet1'!$B$6</c:f>
              <c:strCache>
                <c:ptCount val="1"/>
                <c:pt idx="0">
                  <c:v>2022年</c:v>
                </c:pt>
              </c:strCache>
            </c:strRef>
          </c:tx>
          <c:spPr>
            <a:solidFill>
              <a:schemeClr val="accent1"/>
            </a:solidFill>
            <a:ln>
              <a:noFill/>
            </a:ln>
            <a:effectLst/>
          </c:spPr>
          <c:invertIfNegative val="0"/>
          <c:dLbls>
            <c:delete val="1"/>
          </c:dLbls>
          <c:cat>
            <c:strRef>
              <c:f>'[新建 XLSX 工作表.xlsx]Sheet1'!$C$5:$D$5</c:f>
              <c:strCache>
                <c:ptCount val="2"/>
                <c:pt idx="0">
                  <c:v>收入</c:v>
                </c:pt>
                <c:pt idx="1">
                  <c:v>支出</c:v>
                </c:pt>
              </c:strCache>
            </c:strRef>
          </c:cat>
          <c:val>
            <c:numRef>
              <c:f>'[新建 XLSX 工作表.xlsx]Sheet1'!$C$6:$D$6</c:f>
              <c:numCache>
                <c:formatCode>General</c:formatCode>
                <c:ptCount val="2"/>
                <c:pt idx="0">
                  <c:v>1258.71</c:v>
                </c:pt>
                <c:pt idx="1">
                  <c:v>1258.71</c:v>
                </c:pt>
              </c:numCache>
            </c:numRef>
          </c:val>
        </c:ser>
        <c:ser>
          <c:idx val="1"/>
          <c:order val="1"/>
          <c:tx>
            <c:strRef>
              <c:f>'[新建 XLSX 工作表.xlsx]Sheet1'!$B$7</c:f>
              <c:strCache>
                <c:ptCount val="1"/>
                <c:pt idx="0">
                  <c:v>2023年</c:v>
                </c:pt>
              </c:strCache>
            </c:strRef>
          </c:tx>
          <c:spPr>
            <a:solidFill>
              <a:schemeClr val="accent2"/>
            </a:solidFill>
            <a:ln>
              <a:noFill/>
            </a:ln>
            <a:effectLst/>
          </c:spPr>
          <c:invertIfNegative val="0"/>
          <c:dLbls>
            <c:delete val="1"/>
          </c:dLbls>
          <c:cat>
            <c:strRef>
              <c:f>'[新建 XLSX 工作表.xlsx]Sheet1'!$C$5:$D$5</c:f>
              <c:strCache>
                <c:ptCount val="2"/>
                <c:pt idx="0">
                  <c:v>收入</c:v>
                </c:pt>
                <c:pt idx="1">
                  <c:v>支出</c:v>
                </c:pt>
              </c:strCache>
            </c:strRef>
          </c:cat>
          <c:val>
            <c:numRef>
              <c:f>'[新建 XLSX 工作表.xlsx]Sheet1'!$C$7:$D$7</c:f>
              <c:numCache>
                <c:formatCode>General</c:formatCode>
                <c:ptCount val="2"/>
                <c:pt idx="0">
                  <c:v>1329.8</c:v>
                </c:pt>
                <c:pt idx="1">
                  <c:v>1329.8</c:v>
                </c:pt>
              </c:numCache>
            </c:numRef>
          </c:val>
        </c:ser>
        <c:dLbls>
          <c:showLegendKey val="0"/>
          <c:showVal val="0"/>
          <c:showCatName val="0"/>
          <c:showSerName val="0"/>
          <c:showPercent val="0"/>
          <c:showBubbleSize val="0"/>
        </c:dLbls>
        <c:gapWidth val="246"/>
        <c:overlap val="-28"/>
        <c:axId val="110250167"/>
        <c:axId val="790424198"/>
      </c:barChart>
      <c:catAx>
        <c:axId val="1102501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0424198"/>
        <c:crosses val="autoZero"/>
        <c:auto val="1"/>
        <c:lblAlgn val="ctr"/>
        <c:lblOffset val="100"/>
        <c:noMultiLvlLbl val="0"/>
      </c:catAx>
      <c:valAx>
        <c:axId val="7904241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02501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5dc63a-a4ce-4594-8b01-4130259fc06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一般公共预算财政拨款支出决算总体情况</a:t>
            </a:r>
          </a:p>
        </c:rich>
      </c:tx>
      <c:layout/>
      <c:overlay val="0"/>
      <c:spPr>
        <a:noFill/>
        <a:ln>
          <a:noFill/>
        </a:ln>
        <a:effectLst/>
      </c:spPr>
    </c:title>
    <c:autoTitleDeleted val="0"/>
    <c:plotArea>
      <c:layout/>
      <c:barChart>
        <c:barDir val="col"/>
        <c:grouping val="clustered"/>
        <c:varyColors val="0"/>
        <c:ser>
          <c:idx val="0"/>
          <c:order val="0"/>
          <c:tx>
            <c:strRef>
              <c:f>'[新建 XLSX 工作表.xlsx]Sheet1'!$C$5</c:f>
              <c:strCache>
                <c:ptCount val="1"/>
                <c:pt idx="0">
                  <c:v>支出</c:v>
                </c:pt>
              </c:strCache>
            </c:strRef>
          </c:tx>
          <c:spPr>
            <a:solidFill>
              <a:schemeClr val="accent1"/>
            </a:solidFill>
            <a:ln>
              <a:noFill/>
            </a:ln>
            <a:effectLst/>
          </c:spPr>
          <c:invertIfNegative val="0"/>
          <c:dLbls>
            <c:delete val="1"/>
          </c:dLbls>
          <c:cat>
            <c:strRef>
              <c:f>'[新建 XLSX 工作表.xlsx]Sheet1'!$B$6:$B$7</c:f>
              <c:strCache>
                <c:ptCount val="2"/>
                <c:pt idx="0">
                  <c:v>2022年</c:v>
                </c:pt>
                <c:pt idx="1">
                  <c:v>2023年</c:v>
                </c:pt>
              </c:strCache>
            </c:strRef>
          </c:cat>
          <c:val>
            <c:numRef>
              <c:f>'[新建 XLSX 工作表.xlsx]Sheet1'!$C$6:$C$7</c:f>
              <c:numCache>
                <c:formatCode>General</c:formatCode>
                <c:ptCount val="2"/>
                <c:pt idx="0">
                  <c:v>1258.71</c:v>
                </c:pt>
                <c:pt idx="1">
                  <c:v>1329.8</c:v>
                </c:pt>
              </c:numCache>
            </c:numRef>
          </c:val>
        </c:ser>
        <c:dLbls>
          <c:showLegendKey val="0"/>
          <c:showVal val="0"/>
          <c:showCatName val="0"/>
          <c:showSerName val="0"/>
          <c:showPercent val="0"/>
          <c:showBubbleSize val="0"/>
        </c:dLbls>
        <c:gapWidth val="246"/>
        <c:overlap val="-28"/>
        <c:axId val="967175015"/>
        <c:axId val="510269920"/>
      </c:barChart>
      <c:catAx>
        <c:axId val="96717501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0269920"/>
        <c:crosses val="autoZero"/>
        <c:auto val="1"/>
        <c:lblAlgn val="ctr"/>
        <c:lblOffset val="100"/>
        <c:noMultiLvlLbl val="0"/>
      </c:catAx>
      <c:valAx>
        <c:axId val="51026992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717501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b834586-8883-484b-a0a0-7ec78cfb9a3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spPr>
            <a:ln w="15875">
              <a:solidFill>
                <a:schemeClr val="bg1"/>
              </a:solidFill>
            </a:ln>
            <a:effectLst>
              <a:innerShdw blurRad="114300">
                <a:prstClr val="black"/>
              </a:innerShdw>
            </a:effectLst>
            <a:sp3d contourW="15875"/>
          </c:spPr>
          <c:explosion val="0"/>
          <c:dPt>
            <c:idx val="0"/>
            <c:bubble3D val="0"/>
            <c:spPr>
              <a:solidFill>
                <a:schemeClr val="accent1"/>
              </a:solidFill>
              <a:ln w="15875">
                <a:solidFill>
                  <a:schemeClr val="bg1"/>
                </a:solidFill>
              </a:ln>
              <a:effectLst>
                <a:innerShdw blurRad="114300">
                  <a:schemeClr val="accent1">
                    <a:lumMod val="50000"/>
                    <a:alpha val="80000"/>
                  </a:schemeClr>
                </a:innerShdw>
              </a:effectLst>
              <a:sp3d contourW="15875"/>
            </c:spPr>
          </c:dPt>
          <c:dPt>
            <c:idx val="1"/>
            <c:bubble3D val="0"/>
            <c:spPr>
              <a:solidFill>
                <a:schemeClr val="accent2"/>
              </a:solidFill>
              <a:ln w="15875">
                <a:solidFill>
                  <a:schemeClr val="bg1"/>
                </a:solidFill>
              </a:ln>
              <a:effectLst>
                <a:innerShdw blurRad="114300">
                  <a:schemeClr val="accent2">
                    <a:lumMod val="50000"/>
                  </a:schemeClr>
                </a:innerShdw>
              </a:effectLst>
              <a:sp3d contourW="15875"/>
            </c:spPr>
          </c:dPt>
          <c:dPt>
            <c:idx val="2"/>
            <c:bubble3D val="0"/>
            <c:spPr>
              <a:solidFill>
                <a:schemeClr val="accent3"/>
              </a:solidFill>
              <a:ln w="19050">
                <a:solidFill>
                  <a:schemeClr val="bg1"/>
                </a:solidFill>
              </a:ln>
              <a:effectLst>
                <a:innerShdw blurRad="114300">
                  <a:schemeClr val="accent3">
                    <a:lumMod val="50000"/>
                  </a:schemeClr>
                </a:innerShdw>
              </a:effectLst>
              <a:sp3d contourW="19050"/>
            </c:spPr>
          </c:dPt>
          <c:dPt>
            <c:idx val="3"/>
            <c:bubble3D val="0"/>
            <c:spPr>
              <a:solidFill>
                <a:schemeClr val="accent4"/>
              </a:solidFill>
              <a:ln w="15875">
                <a:solidFill>
                  <a:schemeClr val="bg1"/>
                </a:solidFill>
              </a:ln>
              <a:effectLst>
                <a:innerShdw blurRad="114300">
                  <a:schemeClr val="accent4">
                    <a:lumMod val="50000"/>
                  </a:schemeClr>
                </a:innerShdw>
              </a:effectLst>
              <a:sp3d contourW="15875"/>
            </c:spPr>
          </c:dPt>
          <c:dPt>
            <c:idx val="4"/>
            <c:bubble3D val="0"/>
            <c:spPr>
              <a:solidFill>
                <a:schemeClr val="accent5"/>
              </a:solidFill>
              <a:ln w="15875">
                <a:solidFill>
                  <a:schemeClr val="bg1"/>
                </a:solidFill>
              </a:ln>
              <a:effectLst>
                <a:innerShdw blurRad="114300">
                  <a:prstClr val="black"/>
                </a:innerShdw>
              </a:effectLst>
              <a:sp3d contourW="15875"/>
            </c:spPr>
          </c:dPt>
          <c:dPt>
            <c:idx val="5"/>
            <c:bubble3D val="0"/>
            <c:spPr>
              <a:solidFill>
                <a:schemeClr val="accent6"/>
              </a:solidFill>
              <a:ln w="15875">
                <a:solidFill>
                  <a:schemeClr val="bg1"/>
                </a:solidFill>
              </a:ln>
              <a:effectLst>
                <a:innerShdw blurRad="114300">
                  <a:prstClr val="black"/>
                </a:innerShdw>
              </a:effectLst>
              <a:sp3d contourW="15875"/>
            </c:spPr>
          </c:dPt>
          <c:dPt>
            <c:idx val="6"/>
            <c:bubble3D val="0"/>
            <c:spPr>
              <a:solidFill>
                <a:schemeClr val="accent1">
                  <a:lumMod val="60000"/>
                </a:schemeClr>
              </a:solidFill>
              <a:ln w="15875">
                <a:solidFill>
                  <a:schemeClr val="bg1"/>
                </a:solidFill>
              </a:ln>
              <a:effectLst>
                <a:innerShdw blurRad="114300">
                  <a:prstClr val="black"/>
                </a:innerShdw>
              </a:effectLst>
              <a:sp3d contourW="15875"/>
            </c:spPr>
          </c:dPt>
          <c:dLbls>
            <c:dLbl>
              <c:idx val="0"/>
              <c:layout>
                <c:manualLayout>
                  <c:x val="-0.0108808023279445"/>
                  <c:y val="0.096062216462345"/>
                </c:manualLayout>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schemeClr val="accent1">
                            <a:lumMod val="50000"/>
                            <a:alpha val="70000"/>
                          </a:schemeClr>
                        </a:outerShdw>
                      </a:effectLst>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schemeClr val="accent2">
                            <a:lumMod val="50000"/>
                            <a:alpha val="70000"/>
                          </a:schemeClr>
                        </a:outerShdw>
                      </a:effectLst>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schemeClr val="accent3">
                            <a:lumMod val="50000"/>
                            <a:alpha val="70000"/>
                          </a:schemeClr>
                        </a:outerShdw>
                      </a:effectLst>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schemeClr val="accent4">
                            <a:lumMod val="50000"/>
                            <a:alpha val="70000"/>
                          </a:schemeClr>
                        </a:outerShdw>
                      </a:effectLst>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prstClr val="black">
                          <a:alpha val="40000"/>
                        </a:prstClr>
                      </a:outerShdw>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工作表.xlsx]Sheet1'!$B$5:$H$5</c:f>
              <c:strCache>
                <c:ptCount val="7"/>
                <c:pt idx="0">
                  <c:v>一般公共服务支出</c:v>
                </c:pt>
                <c:pt idx="1">
                  <c:v>文化旅游体育与传媒支出</c:v>
                </c:pt>
                <c:pt idx="2">
                  <c:v>社会保障和就业支出</c:v>
                </c:pt>
                <c:pt idx="3">
                  <c:v>卫生健康支出</c:v>
                </c:pt>
                <c:pt idx="4">
                  <c:v>城乡社区支出</c:v>
                </c:pt>
                <c:pt idx="5">
                  <c:v>农林水支出</c:v>
                </c:pt>
                <c:pt idx="6">
                  <c:v>住房保障支出</c:v>
                </c:pt>
              </c:strCache>
            </c:strRef>
          </c:cat>
          <c:val>
            <c:numRef>
              <c:f>'[新建 XLSX 工作表.xlsx]Sheet1'!$B$6:$H$6</c:f>
              <c:numCache>
                <c:formatCode>General</c:formatCode>
                <c:ptCount val="7"/>
                <c:pt idx="0">
                  <c:v>722.1</c:v>
                </c:pt>
                <c:pt idx="1">
                  <c:v>45.6</c:v>
                </c:pt>
                <c:pt idx="2">
                  <c:v>113</c:v>
                </c:pt>
                <c:pt idx="3">
                  <c:v>47.76</c:v>
                </c:pt>
                <c:pt idx="4">
                  <c:v>8</c:v>
                </c:pt>
                <c:pt idx="5">
                  <c:v>368</c:v>
                </c:pt>
                <c:pt idx="6">
                  <c:v>59.69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5f6272c4-e0c7-4bee-ba13-9de6f7e3160a}"/>
      </c:ext>
    </c:extLst>
  </c:chart>
  <c:spPr>
    <a:solidFill>
      <a:schemeClr val="bg1"/>
    </a:soli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“三公”经费支出情况图</a:t>
            </a:r>
          </a:p>
        </c:rich>
      </c:tx>
      <c:layout/>
      <c:overlay val="0"/>
      <c:spPr>
        <a:noFill/>
        <a:ln>
          <a:noFill/>
        </a:ln>
        <a:effectLst/>
      </c:spPr>
    </c:title>
    <c:autoTitleDeleted val="0"/>
    <c:plotArea>
      <c:layout/>
      <c:barChart>
        <c:barDir val="col"/>
        <c:grouping val="clustered"/>
        <c:varyColors val="0"/>
        <c:ser>
          <c:idx val="0"/>
          <c:order val="0"/>
          <c:tx>
            <c:strRef>
              <c:f>'[新建 XLSX 工作表.xlsx]Sheet1'!$B$5</c:f>
              <c:strCache>
                <c:ptCount val="1"/>
                <c:pt idx="0">
                  <c:v>2022年</c:v>
                </c:pt>
              </c:strCache>
            </c:strRef>
          </c:tx>
          <c:spPr>
            <a:solidFill>
              <a:schemeClr val="accent1"/>
            </a:solidFill>
            <a:ln>
              <a:noFill/>
            </a:ln>
            <a:effectLst/>
          </c:spPr>
          <c:invertIfNegative val="0"/>
          <c:dLbls>
            <c:delete val="1"/>
          </c:dLbls>
          <c:cat>
            <c:strRef>
              <c:f>'[新建 XLSX 工作表.xlsx]Sheet1'!$C$4:$E$4</c:f>
              <c:strCache>
                <c:ptCount val="3"/>
                <c:pt idx="0">
                  <c:v>因公出国（境）费支出</c:v>
                </c:pt>
                <c:pt idx="1">
                  <c:v>公务用车购置及运行费支出</c:v>
                </c:pt>
                <c:pt idx="2">
                  <c:v>公务接待费支出</c:v>
                </c:pt>
              </c:strCache>
            </c:strRef>
          </c:cat>
          <c:val>
            <c:numRef>
              <c:f>'[新建 XLSX 工作表.xlsx]Sheet1'!$C$5:$E$5</c:f>
              <c:numCache>
                <c:formatCode>General</c:formatCode>
                <c:ptCount val="3"/>
                <c:pt idx="0">
                  <c:v>0</c:v>
                </c:pt>
                <c:pt idx="1">
                  <c:v>10.02</c:v>
                </c:pt>
                <c:pt idx="2">
                  <c:v>0</c:v>
                </c:pt>
              </c:numCache>
            </c:numRef>
          </c:val>
        </c:ser>
        <c:ser>
          <c:idx val="1"/>
          <c:order val="1"/>
          <c:tx>
            <c:strRef>
              <c:f>'[新建 XLSX 工作表.xlsx]Sheet1'!$B$6</c:f>
              <c:strCache>
                <c:ptCount val="1"/>
                <c:pt idx="0">
                  <c:v>2023年</c:v>
                </c:pt>
              </c:strCache>
            </c:strRef>
          </c:tx>
          <c:spPr>
            <a:solidFill>
              <a:schemeClr val="accent2"/>
            </a:solidFill>
            <a:ln>
              <a:noFill/>
            </a:ln>
            <a:effectLst/>
          </c:spPr>
          <c:invertIfNegative val="0"/>
          <c:dLbls>
            <c:delete val="1"/>
          </c:dLbls>
          <c:cat>
            <c:strRef>
              <c:f>'[新建 XLSX 工作表.xlsx]Sheet1'!$C$4:$E$4</c:f>
              <c:strCache>
                <c:ptCount val="3"/>
                <c:pt idx="0">
                  <c:v>因公出国（境）费支出</c:v>
                </c:pt>
                <c:pt idx="1">
                  <c:v>公务用车购置及运行费支出</c:v>
                </c:pt>
                <c:pt idx="2">
                  <c:v>公务接待费支出</c:v>
                </c:pt>
              </c:strCache>
            </c:strRef>
          </c:cat>
          <c:val>
            <c:numRef>
              <c:f>'[新建 XLSX 工作表.xlsx]Sheet1'!$C$6:$E$6</c:f>
              <c:numCache>
                <c:formatCode>General</c:formatCode>
                <c:ptCount val="3"/>
                <c:pt idx="0">
                  <c:v>0</c:v>
                </c:pt>
                <c:pt idx="1">
                  <c:v>9.2</c:v>
                </c:pt>
                <c:pt idx="2">
                  <c:v>0</c:v>
                </c:pt>
              </c:numCache>
            </c:numRef>
          </c:val>
        </c:ser>
        <c:dLbls>
          <c:showLegendKey val="0"/>
          <c:showVal val="0"/>
          <c:showCatName val="0"/>
          <c:showSerName val="0"/>
          <c:showPercent val="0"/>
          <c:showBubbleSize val="0"/>
        </c:dLbls>
        <c:gapWidth val="246"/>
        <c:overlap val="-28"/>
        <c:axId val="624931624"/>
        <c:axId val="177415161"/>
      </c:barChart>
      <c:catAx>
        <c:axId val="6249316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7415161"/>
        <c:crosses val="autoZero"/>
        <c:auto val="1"/>
        <c:lblAlgn val="ctr"/>
        <c:lblOffset val="100"/>
        <c:noMultiLvlLbl val="0"/>
      </c:catAx>
      <c:valAx>
        <c:axId val="17741516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316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0b4c521-26f2-4edc-bab1-60c875e3c7a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550">
    <a:dk1>
      <a:srgbClr val="000000"/>
    </a:dk1>
    <a:lt1>
      <a:srgbClr val="FFFFFF"/>
    </a:lt1>
    <a:dk2>
      <a:srgbClr val="44546A"/>
    </a:dk2>
    <a:lt2>
      <a:srgbClr val="E7E6E6"/>
    </a:lt2>
    <a:accent1>
      <a:srgbClr val="3CB8EC"/>
    </a:accent1>
    <a:accent2>
      <a:srgbClr val="77D1E8"/>
    </a:accent2>
    <a:accent3>
      <a:srgbClr val="FAC114"/>
    </a:accent3>
    <a:accent4>
      <a:srgbClr val="FE961C"/>
    </a:accent4>
    <a:accent5>
      <a:srgbClr val="E15441"/>
    </a:accent5>
    <a:accent6>
      <a:srgbClr val="BF2A23"/>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2.1">
    <a:dk1>
      <a:srgbClr val="000000"/>
    </a:dk1>
    <a:lt1>
      <a:srgbClr val="FFFFFF"/>
    </a:lt1>
    <a:dk2>
      <a:srgbClr val="0F1423"/>
    </a:dk2>
    <a:lt2>
      <a:srgbClr val="FFFFFF"/>
    </a:lt2>
    <a:accent1>
      <a:srgbClr val="F2BE11"/>
    </a:accent1>
    <a:accent2>
      <a:srgbClr val="FF9A23"/>
    </a:accent2>
    <a:accent3>
      <a:srgbClr val="77A24E"/>
    </a:accent3>
    <a:accent4>
      <a:srgbClr val="37967A"/>
    </a:accent4>
    <a:accent5>
      <a:srgbClr val="58BC44"/>
    </a:accent5>
    <a:accent6>
      <a:srgbClr val="EF6B01"/>
    </a:accent6>
    <a:hlink>
      <a:srgbClr val="0563C1"/>
    </a:hlink>
    <a:folHlink>
      <a:srgbClr val="954D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5254</Words>
  <Characters>6245</Characters>
  <Lines>0</Lines>
  <Paragraphs>0</Paragraphs>
  <TotalTime>3</TotalTime>
  <ScaleCrop>false</ScaleCrop>
  <LinksUpToDate>false</LinksUpToDate>
  <CharactersWithSpaces>6265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2022-07-27T01:36:00Z</dcterms:created>
  <dc:creator>Lenovo</dc:creator>
  <cp:lastModifiedBy>满天的蒲公英随风飘</cp:lastModifiedBy>
  <cp:lastPrinted>2024-11-11T09:01:14Z</cp:lastPrinted>
  <dcterms:modified xsi:type="dcterms:W3CDTF">2024-11-11T09:11:26Z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4533CA3CF3FC4E2C890B24A4391360EF_13</vt:lpwstr>
  </property>
</Properties>
</file>