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A2911">
      <w:pPr>
        <w:spacing w:line="0" w:lineRule="atLeast"/>
        <w:jc w:val="distribute"/>
        <w:rPr>
          <w:rFonts w:hint="default" w:ascii="Times New Roman" w:hAnsi="Times New Roman" w:eastAsia="BZDBT" w:cs="Times New Roman"/>
          <w:b/>
          <w:color w:val="FF0000"/>
          <w:w w:val="70"/>
          <w:sz w:val="36"/>
          <w:szCs w:val="36"/>
        </w:rPr>
      </w:pPr>
      <w:r>
        <w:rPr>
          <w:rFonts w:hint="default" w:ascii="Times New Roman" w:hAnsi="Times New Roman" w:eastAsia="BZDBT" w:cs="Times New Roman"/>
          <w:b/>
          <w:color w:val="FF0000"/>
          <w:w w:val="70"/>
          <w:sz w:val="36"/>
          <w:szCs w:val="36"/>
        </w:rPr>
        <w:t>︶︹﹀﹀ 谍爸︽底稗︽稻爸︽瘩</w:t>
      </w:r>
      <w:bookmarkStart w:id="0" w:name="_GoBack"/>
      <w:bookmarkEnd w:id="0"/>
      <w:r>
        <w:rPr>
          <w:rFonts w:hint="default" w:ascii="Times New Roman" w:hAnsi="Times New Roman" w:eastAsia="BZDBT" w:cs="Times New Roman"/>
          <w:b/>
          <w:color w:val="FF0000"/>
          <w:w w:val="70"/>
          <w:sz w:val="36"/>
          <w:szCs w:val="36"/>
        </w:rPr>
        <w:t>︽搬︽嫡办︽档敌︽脆︽拜扳爸邦︽刁拜︽罢的爸︽编︽翟罢︽柏﹀</w:t>
      </w:r>
    </w:p>
    <w:p w14:paraId="38B527D8">
      <w:pPr>
        <w:spacing w:line="1360" w:lineRule="exact"/>
        <w:jc w:val="distribute"/>
        <w:rPr>
          <w:rFonts w:hint="default" w:ascii="Times New Roman" w:hAnsi="Times New Roman" w:eastAsia="方正小标宋简体" w:cs="Times New Roman"/>
          <w:color w:val="FF0000"/>
          <w:w w:val="50"/>
          <w:sz w:val="130"/>
          <w:szCs w:val="130"/>
        </w:rPr>
      </w:pPr>
      <w:r>
        <w:rPr>
          <w:rFonts w:hint="default" w:ascii="Times New Roman" w:hAnsi="Times New Roman" w:eastAsia="方正小标宋简体" w:cs="Times New Roman"/>
          <w:color w:val="FF0000"/>
          <w:w w:val="50"/>
          <w:sz w:val="130"/>
          <w:szCs w:val="130"/>
        </w:rPr>
        <w:t>红原县麦洼乡人民政府文件</w:t>
      </w:r>
    </w:p>
    <w:p w14:paraId="4859C014">
      <w:pPr>
        <w:pStyle w:val="21"/>
        <w:spacing w:line="560" w:lineRule="exact"/>
        <w:jc w:val="both"/>
        <w:rPr>
          <w:rFonts w:hint="default" w:ascii="Times New Roman" w:hAnsi="Times New Roman" w:eastAsia="BZDHT" w:cs="Times New Roman"/>
          <w:w w:val="90"/>
          <w:sz w:val="32"/>
          <w:szCs w:val="32"/>
        </w:rPr>
      </w:pPr>
    </w:p>
    <w:p w14:paraId="167B6E4D">
      <w:pPr>
        <w:jc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360045</wp:posOffset>
                </wp:positionV>
                <wp:extent cx="5274945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4945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pt;margin-top:28.35pt;height:0.05pt;width:415.35pt;z-index:251659264;mso-width-relative:page;mso-height-relative:page;" filled="f" stroked="t" coordsize="21600,21600" o:gfxdata="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GvYXGNgAAAAIAQAADwAAAAAAAAABACAAAAAiAAAAZHJzL2Rvd25yZXYueG1s&#10;UEsBAhQAFAAAAAgAh07iQJWyW9P4AQAA5wMAAA4AAAAAAAAAAQAgAAAAJwEAAGRycy9lMm9Eb2Mu&#10;eG1sUEsFBgAAAAAGAAYAWQEAAJEFAAAAAA=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红麦府〔2024〕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号                 签发人：</w:t>
      </w:r>
      <w:r>
        <w:rPr>
          <w:rFonts w:hint="default" w:ascii="Times New Roman" w:hAnsi="Times New Roman" w:eastAsia="楷体_GB2312" w:cs="Times New Roman"/>
          <w:b/>
          <w:bCs/>
          <w:color w:val="000000" w:themeColor="text1"/>
          <w:kern w:val="2"/>
          <w:sz w:val="32"/>
          <w:szCs w:val="32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  <w:t>旦真扎西</w:t>
      </w:r>
    </w:p>
    <w:p w14:paraId="00CB76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44"/>
          <w:szCs w:val="44"/>
        </w:rPr>
      </w:pPr>
    </w:p>
    <w:p w14:paraId="08432E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76" w:lineRule="exact"/>
        <w:contextualSpacing/>
        <w:jc w:val="both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shd w:val="clear" w:color="auto" w:fill="FFFFFF"/>
          <w:lang w:eastAsia="zh-CN"/>
        </w:rPr>
      </w:pPr>
    </w:p>
    <w:p w14:paraId="694BE5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76" w:lineRule="exact"/>
        <w:ind w:firstLine="880" w:firstLineChars="200"/>
        <w:contextualSpacing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shd w:val="clear" w:color="auto" w:fill="FFFFFF"/>
          <w:lang w:eastAsia="zh-CN"/>
        </w:rPr>
        <w:t>红原县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shd w:val="clear" w:color="auto" w:fill="FFFFFF"/>
          <w:lang w:val="en-US" w:eastAsia="zh-CN"/>
        </w:rPr>
        <w:t>麦洼乡人民政府</w:t>
      </w:r>
    </w:p>
    <w:p w14:paraId="01C4B2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76" w:lineRule="exact"/>
        <w:ind w:firstLine="880" w:firstLineChars="200"/>
        <w:contextualSpacing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shd w:val="clear" w:color="auto" w:fill="FFFFFF"/>
        </w:rPr>
        <w:t>2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shd w:val="clear" w:color="auto" w:fill="FFFFFF"/>
          <w:lang w:val="en-US" w:eastAsia="zh-CN"/>
        </w:rPr>
        <w:t>023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shd w:val="clear" w:color="auto" w:fill="FFFFFF"/>
        </w:rPr>
        <w:t>年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shd w:val="clear" w:color="auto" w:fill="FFFFFF"/>
          <w:lang w:eastAsia="zh-CN"/>
        </w:rPr>
        <w:t>度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shd w:val="clear" w:color="auto" w:fill="FFFFFF"/>
        </w:rPr>
        <w:t>部门整体支出绩效评价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shd w:val="clear" w:color="auto" w:fill="FFFFFF"/>
          <w:lang w:eastAsia="zh-CN"/>
        </w:rPr>
        <w:t>自评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shd w:val="clear" w:color="auto" w:fill="FFFFFF"/>
        </w:rPr>
        <w:t>报告</w:t>
      </w:r>
    </w:p>
    <w:p w14:paraId="6EBD71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480" w:firstLineChars="200"/>
        <w:contextualSpacing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24"/>
          <w:szCs w:val="32"/>
          <w:shd w:val="clear" w:color="auto" w:fill="FFFFFF"/>
        </w:rPr>
      </w:pPr>
    </w:p>
    <w:p w14:paraId="68CD01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Cs w:val="32"/>
          <w:shd w:val="clear" w:color="auto" w:fill="FFFFFF"/>
        </w:rPr>
        <w:t>一、</w:t>
      </w:r>
      <w:r>
        <w:rPr>
          <w:rFonts w:hint="default" w:ascii="Times New Roman" w:hAnsi="Times New Roman" w:eastAsia="黑体" w:cs="Times New Roman"/>
          <w:color w:val="000000"/>
          <w:kern w:val="0"/>
          <w:szCs w:val="32"/>
          <w:shd w:val="clear" w:color="auto" w:fill="FFFFFF"/>
          <w:lang w:val="zh-CN"/>
        </w:rPr>
        <w:t>部门（单位）概况</w:t>
      </w:r>
    </w:p>
    <w:p w14:paraId="7102EE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方正楷体_GBK" w:cs="Times New Roman"/>
          <w:b/>
          <w:bCs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default" w:ascii="Times New Roman" w:hAnsi="Times New Roman" w:eastAsia="方正楷体_GBK" w:cs="Times New Roman"/>
          <w:b/>
          <w:bCs/>
          <w:color w:val="000000"/>
          <w:kern w:val="0"/>
          <w:szCs w:val="32"/>
          <w:shd w:val="clear" w:color="auto" w:fill="FFFFFF"/>
          <w:lang w:val="zh-CN"/>
        </w:rPr>
        <w:t>（</w:t>
      </w:r>
      <w:r>
        <w:rPr>
          <w:rFonts w:hint="default" w:ascii="Times New Roman" w:hAnsi="Times New Roman" w:eastAsia="方正楷体_GBK" w:cs="Times New Roman"/>
          <w:b/>
          <w:bCs/>
          <w:color w:val="000000"/>
          <w:kern w:val="0"/>
          <w:szCs w:val="32"/>
          <w:shd w:val="clear" w:color="auto" w:fill="FFFFFF"/>
          <w:lang w:val="en-US" w:eastAsia="zh-CN"/>
        </w:rPr>
        <w:t>一</w:t>
      </w:r>
      <w:r>
        <w:rPr>
          <w:rFonts w:hint="default" w:ascii="Times New Roman" w:hAnsi="Times New Roman" w:eastAsia="方正楷体_GBK" w:cs="Times New Roman"/>
          <w:b/>
          <w:bCs/>
          <w:color w:val="000000"/>
          <w:kern w:val="0"/>
          <w:szCs w:val="32"/>
          <w:shd w:val="clear" w:color="auto" w:fill="FFFFFF"/>
          <w:lang w:val="zh-CN"/>
        </w:rPr>
        <w:t>）机构组成</w:t>
      </w:r>
    </w:p>
    <w:p w14:paraId="5E4A92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红原县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/>
        </w:rPr>
        <w:t>麦洼乡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人民政府是行政单位，执行行政单位会计制度</w:t>
      </w:r>
      <w:r>
        <w:rPr>
          <w:rFonts w:hint="default" w:ascii="Times New Roman" w:hAnsi="Times New Roman" w:cs="Times New Roman"/>
          <w:kern w:val="2"/>
          <w:sz w:val="32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 w:bidi="ar-SA"/>
        </w:rPr>
        <w:t>内设机构6个，党政办公室、党建工作办公室、维护稳定办公室、经济发展和乡村振兴办公室、社会事务和应急管理办公室、财政工作办公室；直属事业内设机构4个，便民服务中心、社会事业服务中心、农业农村服务中心、综合文化服务中心。</w:t>
      </w:r>
    </w:p>
    <w:p w14:paraId="6BE025E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方正楷体_GBK" w:cs="Times New Roman"/>
          <w:b/>
          <w:bCs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default" w:ascii="Times New Roman" w:hAnsi="Times New Roman" w:eastAsia="方正楷体_GBK" w:cs="Times New Roman"/>
          <w:b/>
          <w:bCs/>
          <w:color w:val="000000"/>
          <w:kern w:val="0"/>
          <w:szCs w:val="32"/>
          <w:shd w:val="clear" w:color="auto" w:fill="FFFFFF"/>
          <w:lang w:val="zh-CN"/>
        </w:rPr>
        <w:t>（</w:t>
      </w:r>
      <w:r>
        <w:rPr>
          <w:rFonts w:hint="default" w:ascii="Times New Roman" w:hAnsi="Times New Roman" w:eastAsia="方正楷体_GBK" w:cs="Times New Roman"/>
          <w:b/>
          <w:bCs/>
          <w:color w:val="000000"/>
          <w:kern w:val="0"/>
          <w:szCs w:val="32"/>
          <w:shd w:val="clear" w:color="auto" w:fill="FFFFFF"/>
          <w:lang w:val="en-US" w:eastAsia="zh-CN"/>
        </w:rPr>
        <w:t>二</w:t>
      </w:r>
      <w:r>
        <w:rPr>
          <w:rFonts w:hint="default" w:ascii="Times New Roman" w:hAnsi="Times New Roman" w:eastAsia="方正楷体_GBK" w:cs="Times New Roman"/>
          <w:b/>
          <w:bCs/>
          <w:color w:val="000000"/>
          <w:kern w:val="0"/>
          <w:szCs w:val="32"/>
          <w:shd w:val="clear" w:color="auto" w:fill="FFFFFF"/>
          <w:lang w:val="zh-CN"/>
        </w:rPr>
        <w:t>）机构职能</w:t>
      </w:r>
    </w:p>
    <w:p w14:paraId="5DED6E67">
      <w:pPr>
        <w:pStyle w:val="11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beforeAutospacing="0" w:afterAutospacing="0"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落实国家政策，严格依法行政，发挥经济管理职能，加强政策引导，制定发展规划，服务市场主体和营造发展环境，搞好市场监管，大力促进社会事业发展，发展镇村经济、文化和社会事业，提供公共服务，维护社会稳定，构建社会主义和谐社会。</w:t>
      </w:r>
    </w:p>
    <w:p w14:paraId="104C328A">
      <w:pPr>
        <w:pStyle w:val="11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beforeAutospacing="0" w:afterAutospacing="0"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1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宣传、实施上级主管部门以及相关单位的有关政策;</w:t>
      </w:r>
    </w:p>
    <w:p w14:paraId="284583CA">
      <w:pPr>
        <w:pStyle w:val="11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beforeAutospacing="0" w:afterAutospacing="0"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2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执行本行政区域内的经济和社会发展计划、预算、管理本行政区域内的经济、教育、科学、文化、卫生、体育事业和财政、民政、公安、司法行政、计划生育等行政工作;</w:t>
      </w:r>
    </w:p>
    <w:p w14:paraId="1AC1DB63">
      <w:pPr>
        <w:pStyle w:val="11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beforeAutospacing="0" w:afterAutospacing="0"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3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保护各种经济组织的合法权益;</w:t>
      </w:r>
    </w:p>
    <w:p w14:paraId="460EBB23">
      <w:pPr>
        <w:pStyle w:val="11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beforeAutospacing="0" w:afterAutospacing="0"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4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保障少数民族的权利和尊重少数民族的风俗习惯;</w:t>
      </w:r>
    </w:p>
    <w:p w14:paraId="7A6E24F7">
      <w:pPr>
        <w:pStyle w:val="11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beforeAutospacing="0" w:afterAutospacing="0"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5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保护社会主义的全民所有的财产和劳动群众集体所有的财产，保护公民私人所有的合法财产，维护社会秩序，保障公民的人身权利、民主权利和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instrText xml:space="preserve"> HYPERLINK "http://www.oh100.com/qita/" </w:instrTex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其他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fldChar w:fldCharType="end"/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权利;</w:t>
      </w:r>
    </w:p>
    <w:p w14:paraId="2C01E6B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方正楷体_GBK" w:cs="Times New Roman"/>
          <w:b/>
          <w:bCs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default" w:ascii="Times New Roman" w:hAnsi="Times New Roman" w:eastAsia="方正楷体_GBK" w:cs="Times New Roman"/>
          <w:b/>
          <w:bCs/>
          <w:color w:val="000000"/>
          <w:kern w:val="0"/>
          <w:szCs w:val="32"/>
          <w:shd w:val="clear" w:color="auto" w:fill="FFFFFF"/>
          <w:lang w:val="zh-CN"/>
        </w:rPr>
        <w:t>（</w:t>
      </w:r>
      <w:r>
        <w:rPr>
          <w:rFonts w:hint="default" w:ascii="Times New Roman" w:hAnsi="Times New Roman" w:eastAsia="方正楷体_GBK" w:cs="Times New Roman"/>
          <w:b/>
          <w:bCs/>
          <w:color w:val="000000"/>
          <w:kern w:val="0"/>
          <w:szCs w:val="32"/>
          <w:shd w:val="clear" w:color="auto" w:fill="FFFFFF"/>
          <w:lang w:val="en-US" w:eastAsia="zh-CN"/>
        </w:rPr>
        <w:t>三</w:t>
      </w:r>
      <w:r>
        <w:rPr>
          <w:rFonts w:hint="default" w:ascii="Times New Roman" w:hAnsi="Times New Roman" w:eastAsia="方正楷体_GBK" w:cs="Times New Roman"/>
          <w:b/>
          <w:bCs/>
          <w:color w:val="000000"/>
          <w:kern w:val="0"/>
          <w:szCs w:val="32"/>
          <w:shd w:val="clear" w:color="auto" w:fill="FFFFFF"/>
          <w:lang w:val="zh-CN"/>
        </w:rPr>
        <w:t>）人员概况</w:t>
      </w:r>
    </w:p>
    <w:p w14:paraId="21E12D96">
      <w:pPr>
        <w:pStyle w:val="11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beforeAutospacing="0" w:afterAutospacing="0"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全乡总编制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名，其中：行政编制：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名，事业编制：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名，行政工勤编制：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名。有编在岗人员总数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名，其中：行政人员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名，事业人员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名，行政工勤人员1名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退休人员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人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/>
        </w:rPr>
        <w:t>。麦洼乡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下辖2个行政村，2名一肩挑，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名村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/>
        </w:rPr>
        <w:t>副主任，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2名村支部副书记，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2名村会计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2名村纪检委员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。</w:t>
      </w:r>
    </w:p>
    <w:p w14:paraId="65ECE2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Cs w:val="32"/>
          <w:shd w:val="clear" w:color="auto" w:fill="FFFFFF"/>
          <w:lang w:val="zh-CN"/>
        </w:rPr>
        <w:t>二、部门财政资金收支情况</w:t>
      </w:r>
    </w:p>
    <w:p w14:paraId="47412B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方正楷体_GBK" w:cs="Times New Roman"/>
          <w:b/>
          <w:bCs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default" w:ascii="Times New Roman" w:hAnsi="Times New Roman" w:eastAsia="方正楷体_GBK" w:cs="Times New Roman"/>
          <w:b/>
          <w:bCs/>
          <w:color w:val="000000"/>
          <w:kern w:val="0"/>
          <w:szCs w:val="32"/>
          <w:shd w:val="clear" w:color="auto" w:fill="FFFFFF"/>
          <w:lang w:val="zh-CN"/>
        </w:rPr>
        <w:t>（一）部门财政资金收入情况</w:t>
      </w:r>
    </w:p>
    <w:p w14:paraId="400437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本单位本年度总收入为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1076.59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万元。其中：一般公共预算财政拨款收入为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1056.79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万元，占比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98.16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%；其他收入为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19.80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万元，占比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1.84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其中：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一般公共服务收入为536.64万元，完成预算100%；文化旅游体育与传媒收入为4.56万元，完成预算100%；社会保障和就业收入为79.71万元，完成预算100%；卫生健康收入为30.3万元，完成预算100%。；城乡社区收入为8万元，完成预算100%；农林水收入为367.9万元，完成预算100%。</w:t>
      </w:r>
    </w:p>
    <w:p w14:paraId="5E0F789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方正楷体_GBK" w:cs="Times New Roman"/>
          <w:b/>
          <w:bCs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default" w:ascii="Times New Roman" w:hAnsi="Times New Roman" w:eastAsia="方正楷体_GBK" w:cs="Times New Roman"/>
          <w:b/>
          <w:bCs/>
          <w:color w:val="000000"/>
          <w:kern w:val="0"/>
          <w:szCs w:val="32"/>
          <w:shd w:val="clear" w:color="auto" w:fill="FFFFFF"/>
          <w:lang w:val="zh-CN"/>
        </w:rPr>
        <w:t>（</w:t>
      </w:r>
      <w:r>
        <w:rPr>
          <w:rFonts w:hint="default" w:ascii="Times New Roman" w:hAnsi="Times New Roman" w:eastAsia="方正楷体_GBK" w:cs="Times New Roman"/>
          <w:b/>
          <w:bCs/>
          <w:color w:val="000000"/>
          <w:kern w:val="0"/>
          <w:szCs w:val="32"/>
          <w:shd w:val="clear" w:color="auto" w:fill="FFFFFF"/>
          <w:lang w:val="en-US" w:eastAsia="zh-CN"/>
        </w:rPr>
        <w:t>二</w:t>
      </w:r>
      <w:r>
        <w:rPr>
          <w:rFonts w:hint="default" w:ascii="Times New Roman" w:hAnsi="Times New Roman" w:eastAsia="方正楷体_GBK" w:cs="Times New Roman"/>
          <w:b/>
          <w:bCs/>
          <w:color w:val="000000"/>
          <w:kern w:val="0"/>
          <w:szCs w:val="32"/>
          <w:shd w:val="clear" w:color="auto" w:fill="FFFFFF"/>
          <w:lang w:val="zh-CN"/>
        </w:rPr>
        <w:t>）部门财政资金支出情况</w:t>
      </w:r>
    </w:p>
    <w:p w14:paraId="1CC4D0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本年度总支出为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1076.59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万元。其中：一般公共服务支出为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536.64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万元，占比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49.85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%；文化旅游体育与传媒支出为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4.56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万元，占比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0.42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%；社会保障和就业支出为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79.71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万元，占比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7.4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%；卫生健康支出为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30.3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万元，占比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2.81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%；城乡社区支出为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万元，占比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0.74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%；农林水支出为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367.9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万元，占比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34.17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%；住房保障支出为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42.63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万元，占比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3.96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%。</w:t>
      </w:r>
    </w:p>
    <w:p w14:paraId="259AF0E0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方正楷体_GBK" w:cs="Times New Roman"/>
          <w:b/>
          <w:bCs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Cs w:val="32"/>
          <w:shd w:val="clear" w:color="auto" w:fill="FFFFFF"/>
          <w:lang w:val="zh-CN"/>
        </w:rPr>
        <w:t>部门整体预算绩效管理情况</w:t>
      </w:r>
    </w:p>
    <w:p w14:paraId="569E7D8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方正楷体_GBK" w:cs="Times New Roman"/>
          <w:b/>
          <w:bCs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default" w:ascii="Times New Roman" w:hAnsi="Times New Roman" w:eastAsia="方正楷体_GBK" w:cs="Times New Roman"/>
          <w:b/>
          <w:bCs/>
          <w:color w:val="000000"/>
          <w:kern w:val="0"/>
          <w:szCs w:val="32"/>
          <w:shd w:val="clear" w:color="auto" w:fill="FFFFFF"/>
          <w:lang w:val="zh-CN"/>
        </w:rPr>
        <w:t>（一）部门预算管理</w:t>
      </w:r>
    </w:p>
    <w:p w14:paraId="432353CF">
      <w:pPr>
        <w:pStyle w:val="11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beforeAutospacing="0" w:afterAutospacing="0"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zh-CN" w:eastAsia="zh-CN"/>
        </w:rPr>
        <w:t>我乡严格按照相关编制要求、编制程序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及时组织财务人员进行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zh-CN" w:eastAsia="zh-CN"/>
        </w:rPr>
        <w:t>部门预算编制，以发挥资金的使用效益为目标，合理安排各项经济业务开支，办理各项人员支出，在资金的使用上达到“量入为出，统筹兼顾，保证重点，兼顾一般，收支平衡”。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对本年度预算款项进行及时清理和处理，做到账账相符、账实相符、账证相符,按先有预算再有支出的原则，及时处理相关事务；对绩效目标进行梳理和分析，及时上报相关报表；对专项预算提前细化，分科目上报，做到收支平衡。</w:t>
      </w:r>
    </w:p>
    <w:p w14:paraId="12FAE1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方正楷体_GBK" w:cs="Times New Roman"/>
          <w:b/>
          <w:bCs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default" w:ascii="Times New Roman" w:hAnsi="Times New Roman" w:eastAsia="方正楷体_GBK" w:cs="Times New Roman"/>
          <w:b/>
          <w:bCs/>
          <w:color w:val="000000"/>
          <w:kern w:val="0"/>
          <w:szCs w:val="32"/>
          <w:shd w:val="clear" w:color="auto" w:fill="FFFFFF"/>
          <w:lang w:val="zh-CN"/>
        </w:rPr>
        <w:t>（二）结果应用情况</w:t>
      </w:r>
    </w:p>
    <w:p w14:paraId="2E27B330"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105" w:beforeAutospacing="0" w:after="105" w:afterAutospacing="0" w:line="576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kern w:val="0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cs="Times New Roman"/>
          <w:b/>
          <w:bCs w:val="0"/>
          <w:color w:val="000000"/>
          <w:kern w:val="0"/>
          <w:sz w:val="32"/>
          <w:szCs w:val="32"/>
          <w:lang w:val="zh-CN" w:eastAsia="zh-CN" w:bidi="ar-SA"/>
        </w:rPr>
        <w:t>信息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kern w:val="0"/>
          <w:sz w:val="32"/>
          <w:szCs w:val="32"/>
          <w:lang w:val="zh-CN" w:eastAsia="zh-CN" w:bidi="ar-SA"/>
        </w:rPr>
        <w:t>公开：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zh-CN" w:eastAsia="zh-CN" w:bidi="ar-SA"/>
        </w:rPr>
        <w:t>根据县政府相关工作要求，及时依法在政府官方网站对“三公经费”及预算、决算</w:t>
      </w:r>
      <w:r>
        <w:rPr>
          <w:rFonts w:hint="default" w:ascii="Times New Roman" w:hAnsi="Times New Roman" w:cs="Times New Roman"/>
          <w:b w:val="0"/>
          <w:bCs/>
          <w:color w:val="000000"/>
          <w:kern w:val="0"/>
          <w:sz w:val="32"/>
          <w:szCs w:val="32"/>
          <w:lang w:val="zh-CN" w:eastAsia="zh-CN" w:bidi="ar-SA"/>
        </w:rPr>
        <w:t>信息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lang w:val="zh-CN" w:eastAsia="zh-CN" w:bidi="ar-SA"/>
        </w:rPr>
        <w:t>进行公示，授受社会的监督</w:t>
      </w:r>
      <w:r>
        <w:rPr>
          <w:rFonts w:hint="default" w:ascii="Times New Roman" w:hAnsi="Times New Roman" w:cs="Times New Roman"/>
          <w:b w:val="0"/>
          <w:bCs/>
          <w:color w:val="000000"/>
          <w:kern w:val="0"/>
          <w:sz w:val="32"/>
          <w:szCs w:val="32"/>
          <w:lang w:val="zh-CN" w:eastAsia="zh-CN" w:bidi="ar-SA"/>
        </w:rPr>
        <w:t>。</w:t>
      </w:r>
    </w:p>
    <w:p w14:paraId="0FE369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3" w:firstLineChars="200"/>
        <w:textAlignment w:val="auto"/>
        <w:rPr>
          <w:rFonts w:hint="default" w:ascii="Times New Roman" w:hAnsi="Times New Roman" w:cs="Times New Roman"/>
          <w:lang w:val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内部管理制度建设情况：</w:t>
      </w:r>
      <w:r>
        <w:rPr>
          <w:rFonts w:hint="default" w:ascii="Times New Roman" w:hAnsi="Times New Roman" w:cs="Times New Roman"/>
          <w:lang w:val="zh-CN"/>
        </w:rPr>
        <w:t>根据本单位工作实际，在建立并实施内部监督和控制制度过程中，建立和完善各项制度的同时，相关人员在工作过程中严格遵守这些规章制度，有效地实施了内部监督和控制，保证了会计工作的真实性、完整性以及单位财产的安全，加强了对本单位财产物资的监督和管理，杜绝了各种漏洞的发生，达到了以下四点要求：</w:t>
      </w:r>
    </w:p>
    <w:p w14:paraId="0C599D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cs="Times New Roman"/>
          <w:lang w:val="zh-CN"/>
        </w:rPr>
      </w:pPr>
      <w:r>
        <w:rPr>
          <w:rFonts w:hint="default" w:ascii="Times New Roman" w:hAnsi="Times New Roman" w:cs="Times New Roman"/>
          <w:lang w:val="zh-CN"/>
        </w:rPr>
        <w:t>1</w:t>
      </w:r>
      <w:r>
        <w:rPr>
          <w:rFonts w:hint="default" w:ascii="Times New Roman" w:hAnsi="Times New Roman" w:cs="Times New Roman"/>
          <w:lang w:val="en-US" w:eastAsia="zh-CN"/>
        </w:rPr>
        <w:t>.</w:t>
      </w:r>
      <w:r>
        <w:rPr>
          <w:rFonts w:hint="default" w:ascii="Times New Roman" w:hAnsi="Times New Roman" w:cs="Times New Roman"/>
          <w:lang w:val="zh-CN"/>
        </w:rPr>
        <w:t>明确了记账人员与审批人员、经办人员的职责权限，使其相互分离、相互制约，以明确责任，防止舞弊，各项业务事项得以有序进行。</w:t>
      </w:r>
    </w:p>
    <w:p w14:paraId="265CBB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cs="Times New Roman"/>
          <w:lang w:val="zh-CN"/>
        </w:rPr>
      </w:pPr>
      <w:r>
        <w:rPr>
          <w:rFonts w:hint="default" w:ascii="Times New Roman" w:hAnsi="Times New Roman" w:cs="Times New Roman"/>
          <w:lang w:val="zh-CN"/>
        </w:rPr>
        <w:t>2</w:t>
      </w:r>
      <w:r>
        <w:rPr>
          <w:rFonts w:hint="default" w:ascii="Times New Roman" w:hAnsi="Times New Roman" w:cs="Times New Roman"/>
          <w:lang w:val="en-US" w:eastAsia="zh-CN"/>
        </w:rPr>
        <w:t>.</w:t>
      </w:r>
      <w:r>
        <w:rPr>
          <w:rFonts w:hint="default" w:ascii="Times New Roman" w:hAnsi="Times New Roman" w:cs="Times New Roman"/>
          <w:lang w:val="zh-CN"/>
        </w:rPr>
        <w:t>明确了财务收支审批程序和审批人的权限和责任，规范了各项资金的使用，提高了资金使用效益。</w:t>
      </w:r>
    </w:p>
    <w:p w14:paraId="3C212F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cs="Times New Roman"/>
          <w:lang w:val="zh-CN"/>
        </w:rPr>
      </w:pPr>
      <w:r>
        <w:rPr>
          <w:rFonts w:hint="default" w:ascii="Times New Roman" w:hAnsi="Times New Roman" w:cs="Times New Roman"/>
          <w:lang w:val="zh-CN"/>
        </w:rPr>
        <w:t>3</w:t>
      </w:r>
      <w:r>
        <w:rPr>
          <w:rFonts w:hint="default" w:ascii="Times New Roman" w:hAnsi="Times New Roman" w:cs="Times New Roman"/>
          <w:lang w:val="en-US" w:eastAsia="zh-CN"/>
        </w:rPr>
        <w:t>.</w:t>
      </w:r>
      <w:r>
        <w:rPr>
          <w:rFonts w:hint="default" w:ascii="Times New Roman" w:hAnsi="Times New Roman" w:cs="Times New Roman"/>
          <w:lang w:val="zh-CN"/>
        </w:rPr>
        <w:t>明确经费支出的范围和开支标准，采取各种有效措施控制经费开支，杜绝了浪费现象的发生。</w:t>
      </w:r>
    </w:p>
    <w:p w14:paraId="029F27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cs="Times New Roman"/>
          <w:lang w:val="zh-CN"/>
        </w:rPr>
      </w:pPr>
      <w:r>
        <w:rPr>
          <w:rFonts w:hint="default" w:ascii="Times New Roman" w:hAnsi="Times New Roman" w:cs="Times New Roman"/>
          <w:lang w:val="zh-CN"/>
        </w:rPr>
        <w:t>4</w:t>
      </w:r>
      <w:r>
        <w:rPr>
          <w:rFonts w:hint="default" w:ascii="Times New Roman" w:hAnsi="Times New Roman" w:cs="Times New Roman"/>
          <w:lang w:val="en-US" w:eastAsia="zh-CN"/>
        </w:rPr>
        <w:t>.</w:t>
      </w:r>
      <w:r>
        <w:rPr>
          <w:rFonts w:hint="default" w:ascii="Times New Roman" w:hAnsi="Times New Roman" w:cs="Times New Roman"/>
          <w:lang w:val="zh-CN"/>
        </w:rPr>
        <w:t>明确账务处理程序，根据机关事业单位会计制度的规定，确定单位会计科目和明细科目的设置和使用范围；确定本单位会计凭证格式、填制要求、审核要求、传递程序、保管要求等；确定本单位的总账、明细账、银行存款日记账、各种辅助账等的设置、格式、登记、对账、结算、改错等要求，确保会计核算准确无误。</w:t>
      </w:r>
    </w:p>
    <w:p w14:paraId="527A6E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3" w:firstLineChars="200"/>
        <w:textAlignment w:val="auto"/>
        <w:rPr>
          <w:rFonts w:hint="default" w:ascii="Times New Roman" w:hAnsi="Times New Roman" w:cs="Times New Roman"/>
          <w:lang w:val="zh-CN" w:eastAsia="zh-CN"/>
        </w:rPr>
      </w:pPr>
      <w:r>
        <w:rPr>
          <w:rFonts w:hint="default" w:ascii="Times New Roman" w:hAnsi="Times New Roman" w:cs="Times New Roman"/>
          <w:b/>
          <w:bCs/>
          <w:lang w:val="zh-CN"/>
        </w:rPr>
        <w:t>财务财政监督情况：</w:t>
      </w:r>
      <w:r>
        <w:rPr>
          <w:rFonts w:hint="default" w:ascii="Times New Roman" w:hAnsi="Times New Roman" w:cs="Times New Roman"/>
          <w:lang w:val="zh-CN"/>
        </w:rPr>
        <w:t>执行国家有关财务法律法规的同时，建立健全内部财务管理制度，按照党风廉政建设的要求，全体干部职工廉洁奉公、忠于职守。禁止利用职权和职务上的便利谋取不正当的利益。制定了相关规章制度，加强了项目资金的管理和监督，杜绝违规违法事件的发生。本着勤俭节约原则，管理好用好每笔资金。财务活动接受审计、财政、纪检监察等部门的监督检查，无存在违规进行资产购置，擅自处置财产、对外投资，财政票据管理、使用不规范等问题，按照规定保管会计档案，并建立完善的内部控制制度和监督制度。</w:t>
      </w:r>
    </w:p>
    <w:p w14:paraId="63441D21">
      <w:pPr>
        <w:pStyle w:val="11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beforeAutospacing="0" w:afterAutospacing="0" w:line="576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绩效评价：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 w:eastAsia="zh-CN"/>
        </w:rPr>
        <w:t>根据绩效评价的要求，我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乡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 w:eastAsia="zh-CN"/>
        </w:rPr>
        <w:t>成立了自评工作领导小组，对照自评方案进行研究和布署，按照自评方案的要求，对照各实施项目的内容逐条逐项自评。</w:t>
      </w:r>
    </w:p>
    <w:p w14:paraId="117236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Cs w:val="32"/>
          <w:shd w:val="clear" w:color="auto" w:fill="FFFFFF"/>
          <w:lang w:val="zh-CN"/>
        </w:rPr>
        <w:t>四、评价结论及建议</w:t>
      </w:r>
    </w:p>
    <w:p w14:paraId="4C82BE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方正楷体_GBK" w:cs="Times New Roman"/>
          <w:b/>
          <w:bCs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default" w:ascii="Times New Roman" w:hAnsi="Times New Roman" w:eastAsia="方正楷体_GBK" w:cs="Times New Roman"/>
          <w:b/>
          <w:bCs/>
          <w:color w:val="000000"/>
          <w:kern w:val="0"/>
          <w:szCs w:val="32"/>
          <w:shd w:val="clear" w:color="auto" w:fill="FFFFFF"/>
          <w:lang w:val="zh-CN"/>
        </w:rPr>
        <w:t>（一）评价结论</w:t>
      </w:r>
    </w:p>
    <w:p w14:paraId="2B685394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Lines="0" w:line="576" w:lineRule="exact"/>
        <w:ind w:firstLine="600" w:firstLineChars="200"/>
        <w:jc w:val="both"/>
        <w:textAlignment w:val="auto"/>
        <w:rPr>
          <w:rFonts w:hint="default" w:ascii="Times New Roman" w:hAnsi="Times New Roman" w:cs="Times New Roman"/>
          <w:lang w:val="zh-CN"/>
        </w:rPr>
      </w:pPr>
      <w:r>
        <w:rPr>
          <w:rFonts w:hint="default" w:ascii="Times New Roman" w:hAnsi="Times New Roman" w:cs="Times New Roman"/>
        </w:rPr>
        <w:t>通过绩效评价，我们认为202</w:t>
      </w:r>
      <w:r>
        <w:rPr>
          <w:rFonts w:hint="default" w:ascii="Times New Roman" w:hAnsi="Times New Roman" w:cs="Times New Roman"/>
          <w:lang w:val="en-US" w:eastAsia="zh-CN"/>
        </w:rPr>
        <w:t>3</w:t>
      </w:r>
      <w:r>
        <w:rPr>
          <w:rFonts w:hint="default" w:ascii="Times New Roman" w:hAnsi="Times New Roman" w:cs="Times New Roman"/>
        </w:rPr>
        <w:t>年度部门预算具有明确的用途和目标，制定了详细的执行计划，资金到位及时并严格按照财政有关规定使用。预算决策、管理、执行等日益规范，能较好地满足工作需要，取得了良好经济效益和社会效益。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zh-CN" w:eastAsia="zh-CN"/>
        </w:rPr>
        <w:t>我</w:t>
      </w:r>
      <w:r>
        <w:rPr>
          <w:rFonts w:hint="default" w:ascii="Times New Roman" w:hAnsi="Times New Roman" w:cs="Times New Roman"/>
          <w:kern w:val="2"/>
          <w:sz w:val="32"/>
          <w:szCs w:val="32"/>
          <w:lang w:val="zh-CN" w:eastAsia="zh-CN"/>
        </w:rPr>
        <w:t>乡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自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zh-CN" w:eastAsia="zh-CN"/>
        </w:rPr>
        <w:t>评得分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92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zh-CN" w:eastAsia="zh-CN"/>
        </w:rPr>
        <w:t>分，整体评价良好，预算收入和支出相符。</w:t>
      </w:r>
    </w:p>
    <w:p w14:paraId="27DC3A1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方正楷体_GBK" w:cs="Times New Roman"/>
          <w:b/>
          <w:bCs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default" w:ascii="Times New Roman" w:hAnsi="Times New Roman" w:eastAsia="方正楷体_GBK" w:cs="Times New Roman"/>
          <w:b/>
          <w:bCs/>
          <w:color w:val="000000"/>
          <w:kern w:val="0"/>
          <w:szCs w:val="32"/>
          <w:shd w:val="clear" w:color="auto" w:fill="FFFFFF"/>
          <w:lang w:val="zh-CN"/>
        </w:rPr>
        <w:t>（</w:t>
      </w:r>
      <w:r>
        <w:rPr>
          <w:rFonts w:hint="default" w:ascii="Times New Roman" w:hAnsi="Times New Roman" w:eastAsia="方正楷体_GBK" w:cs="Times New Roman"/>
          <w:b/>
          <w:bCs/>
          <w:color w:val="000000"/>
          <w:kern w:val="0"/>
          <w:szCs w:val="32"/>
          <w:shd w:val="clear" w:color="auto" w:fill="FFFFFF"/>
          <w:lang w:val="en-US" w:eastAsia="zh-CN"/>
        </w:rPr>
        <w:t>二</w:t>
      </w:r>
      <w:r>
        <w:rPr>
          <w:rFonts w:hint="default" w:ascii="Times New Roman" w:hAnsi="Times New Roman" w:eastAsia="方正楷体_GBK" w:cs="Times New Roman"/>
          <w:b/>
          <w:bCs/>
          <w:color w:val="000000"/>
          <w:kern w:val="0"/>
          <w:szCs w:val="32"/>
          <w:shd w:val="clear" w:color="auto" w:fill="FFFFFF"/>
          <w:lang w:val="zh-CN"/>
        </w:rPr>
        <w:t>）存在问题</w:t>
      </w:r>
    </w:p>
    <w:p w14:paraId="711021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3" w:firstLineChars="200"/>
        <w:jc w:val="left"/>
        <w:textAlignment w:val="auto"/>
        <w:outlineLvl w:val="1"/>
        <w:rPr>
          <w:rFonts w:hint="default" w:ascii="Times New Roman" w:hAnsi="Times New Roman" w:eastAsia="仿宋_GB2312" w:cs="Times New Roman"/>
          <w:lang w:val="zh-CN" w:eastAsia="zh-CN"/>
        </w:rPr>
      </w:pPr>
      <w:r>
        <w:rPr>
          <w:rFonts w:hint="default" w:ascii="Times New Roman" w:hAnsi="Times New Roman" w:cs="Times New Roman"/>
          <w:b/>
          <w:bCs/>
          <w:kern w:val="2"/>
          <w:sz w:val="32"/>
          <w:szCs w:val="32"/>
          <w:lang w:val="zh-CN" w:eastAsia="zh-CN"/>
        </w:rPr>
        <w:t>一是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未建立完善的绩效评价指标体系，部分项目无指标或指标不明确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zh-CN" w:eastAsia="zh-CN"/>
        </w:rPr>
        <w:t>二是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zh-CN" w:eastAsia="zh-CN"/>
        </w:rPr>
        <w:t>绩效目标设立不够明确、细化和量化。</w:t>
      </w:r>
      <w:r>
        <w:rPr>
          <w:rFonts w:hint="default" w:ascii="Times New Roman" w:hAnsi="Times New Roman" w:cs="Times New Roman"/>
          <w:b/>
          <w:bCs/>
          <w:kern w:val="2"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项目绩效信息公开未能和预算、决算公开同步执行。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/>
        </w:rPr>
        <w:t>四是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固定资产录入系统不及时，未定期清查盘点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。</w:t>
      </w:r>
    </w:p>
    <w:p w14:paraId="5407502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方正楷体_GBK" w:cs="Times New Roman"/>
          <w:b/>
          <w:bCs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default" w:ascii="Times New Roman" w:hAnsi="Times New Roman" w:eastAsia="方正楷体_GBK" w:cs="Times New Roman"/>
          <w:b/>
          <w:bCs/>
          <w:color w:val="000000"/>
          <w:kern w:val="0"/>
          <w:szCs w:val="32"/>
          <w:shd w:val="clear" w:color="auto" w:fill="FFFFFF"/>
          <w:lang w:val="zh-CN"/>
        </w:rPr>
        <w:t>（</w:t>
      </w:r>
      <w:r>
        <w:rPr>
          <w:rFonts w:hint="eastAsia" w:ascii="Times New Roman" w:hAnsi="Times New Roman" w:eastAsia="方正楷体_GBK" w:cs="Times New Roman"/>
          <w:b/>
          <w:bCs/>
          <w:color w:val="000000"/>
          <w:kern w:val="0"/>
          <w:szCs w:val="32"/>
          <w:shd w:val="clear" w:color="auto" w:fill="FFFFFF"/>
          <w:lang w:val="en-US" w:eastAsia="zh-CN"/>
        </w:rPr>
        <w:t>三</w:t>
      </w:r>
      <w:r>
        <w:rPr>
          <w:rFonts w:hint="default" w:ascii="Times New Roman" w:hAnsi="Times New Roman" w:eastAsia="方正楷体_GBK" w:cs="Times New Roman"/>
          <w:b/>
          <w:bCs/>
          <w:color w:val="000000"/>
          <w:kern w:val="0"/>
          <w:szCs w:val="32"/>
          <w:shd w:val="clear" w:color="auto" w:fill="FFFFFF"/>
          <w:lang w:val="zh-CN"/>
        </w:rPr>
        <w:t>）改进建议</w:t>
      </w:r>
    </w:p>
    <w:p w14:paraId="2B1137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zh-CN" w:eastAsia="zh-CN"/>
        </w:rPr>
      </w:pPr>
      <w:r>
        <w:rPr>
          <w:rFonts w:hint="default" w:ascii="Times New Roman" w:hAnsi="Times New Roman" w:cs="Times New Roman"/>
          <w:b/>
          <w:bCs/>
          <w:kern w:val="2"/>
          <w:sz w:val="32"/>
          <w:szCs w:val="32"/>
          <w:lang w:val="zh-CN" w:eastAsia="zh-CN"/>
        </w:rPr>
        <w:t>一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zh-CN" w:eastAsia="zh-CN"/>
        </w:rPr>
        <w:t>是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zh-CN" w:eastAsia="zh-CN"/>
        </w:rPr>
        <w:t>进一步规范绩效目标编制。在编制项目资金绩效目标时要求指向明确、细化量化、合理可行、相应匹配。</w:t>
      </w:r>
      <w:r>
        <w:rPr>
          <w:rFonts w:hint="default" w:ascii="Times New Roman" w:hAnsi="Times New Roman" w:cs="Times New Roman"/>
          <w:b/>
          <w:bCs/>
          <w:kern w:val="2"/>
          <w:sz w:val="32"/>
          <w:szCs w:val="32"/>
          <w:lang w:val="zh-CN" w:eastAsia="zh-CN"/>
        </w:rPr>
        <w:t>二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zh-CN" w:eastAsia="zh-CN"/>
        </w:rPr>
        <w:t>是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zh-CN" w:eastAsia="zh-CN"/>
        </w:rPr>
        <w:t>不断加强新《预算法》、《行政单位会计制度》等学习培训，规范部门预算收支核算，制定和完善基本支出、项目支出等各项支出标准，严格按项目和进度执行预算，增强预算的约束力和严肃性。落实预算执行分析，及时了解预算执行差异，合理调整、纠正预算执行偏差，切实提高部门预算收支管理水平。</w:t>
      </w:r>
      <w:r>
        <w:rPr>
          <w:rFonts w:hint="default" w:ascii="Times New Roman" w:hAnsi="Times New Roman" w:cs="Times New Roman"/>
          <w:b/>
          <w:bCs/>
          <w:kern w:val="2"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进一步完善绩效信息公开的及时性。</w:t>
      </w:r>
      <w:r>
        <w:rPr>
          <w:rFonts w:hint="default" w:ascii="Times New Roman" w:hAnsi="Times New Roman" w:cs="Times New Roman"/>
          <w:b/>
          <w:bCs/>
          <w:kern w:val="2"/>
          <w:sz w:val="32"/>
          <w:szCs w:val="32"/>
          <w:lang w:val="en-US" w:eastAsia="zh-CN"/>
        </w:rPr>
        <w:t>四是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加强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zh-CN" w:eastAsia="zh-CN"/>
        </w:rPr>
        <w:t>单位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固定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zh-CN" w:eastAsia="zh-CN"/>
        </w:rPr>
        <w:t>资产管理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zh-CN" w:eastAsia="zh-CN"/>
        </w:rPr>
        <w:t>由办公室总负责，使用人具体负责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日常使用和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zh-CN" w:eastAsia="zh-CN"/>
        </w:rPr>
        <w:t>管理，财务室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负责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zh-CN" w:eastAsia="zh-CN"/>
        </w:rPr>
        <w:t>资产信息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的录入、盘点、报损等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zh-CN" w:eastAsia="zh-CN"/>
        </w:rPr>
        <w:t>，</w:t>
      </w:r>
      <w:r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  <w:t>按要求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zh-CN" w:eastAsia="zh-CN"/>
        </w:rPr>
        <w:t>每年对单位资产进行一次集中清理，对不能使用的资产及时报相关部门进行报废处理。</w:t>
      </w:r>
    </w:p>
    <w:p w14:paraId="5F0D0D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zh-CN" w:eastAsia="zh-CN"/>
        </w:rPr>
      </w:pPr>
    </w:p>
    <w:p w14:paraId="739567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zh-CN" w:eastAsia="zh-CN"/>
        </w:rPr>
      </w:pPr>
    </w:p>
    <w:p w14:paraId="220494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eastAsia" w:ascii="Times New Roman" w:hAnsi="Times New Roman" w:cs="Times New Roman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/>
        </w:rPr>
        <w:t xml:space="preserve">                              红原县麦洼乡人民政府</w:t>
      </w:r>
    </w:p>
    <w:p w14:paraId="19A1C0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/>
        </w:rPr>
        <w:t xml:space="preserve">                                 2024年5月30日</w:t>
      </w:r>
    </w:p>
    <w:p w14:paraId="58728D07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600" w:firstLineChars="200"/>
        <w:jc w:val="both"/>
        <w:textAlignment w:val="auto"/>
        <w:rPr>
          <w:rFonts w:hint="default" w:ascii="Times New Roman" w:hAnsi="Times New Roman" w:cs="Times New Roman"/>
        </w:rPr>
      </w:pPr>
    </w:p>
    <w:p w14:paraId="6D6044F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Chars="200" w:firstLine="643" w:firstLineChars="200"/>
        <w:contextualSpacing/>
        <w:jc w:val="both"/>
        <w:textAlignment w:val="auto"/>
        <w:rPr>
          <w:rFonts w:hint="default" w:ascii="Times New Roman" w:hAnsi="Times New Roman" w:eastAsia="方正楷体_GBK" w:cs="Times New Roman"/>
          <w:b/>
          <w:bCs/>
          <w:color w:val="000000"/>
          <w:kern w:val="0"/>
          <w:szCs w:val="32"/>
          <w:shd w:val="clear" w:color="auto" w:fill="FFFFFF"/>
          <w:lang w:val="zh-CN"/>
        </w:rPr>
      </w:pPr>
    </w:p>
    <w:sectPr>
      <w:headerReference r:id="rId3" w:type="default"/>
      <w:footerReference r:id="rId4" w:type="even"/>
      <w:pgSz w:w="11906" w:h="16838"/>
      <w:pgMar w:top="2098" w:right="1474" w:bottom="1984" w:left="1531" w:header="851" w:footer="992" w:gutter="0"/>
      <w:pgNumType w:fmt="numberInDash" w:start="12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39C398C-9B3F-4AC0-9989-B7987D1DF66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BF253E58-BD06-4B8A-9FD7-4E7DE3BEC9D5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3" w:fontKey="{ABAFCE21-EB73-42A2-9D79-01AA5F792A6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DBAA562-68C3-402A-8406-DB9D8AD96F03}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BZDBT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5" w:fontKey="{903D0E88-86F3-489B-9741-94AAB67D6E8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6" w:fontKey="{5A3773C6-2D1E-471A-A68C-B4EFA3A9FF1D}"/>
  </w:font>
  <w:font w:name="BZDHT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7" w:fontKey="{6F85A656-6B70-433A-858E-8C14782841FB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8" w:fontKey="{66531467-4E26-475A-9BD1-5429DBE84C4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02E8B6">
    <w:pPr>
      <w:pStyle w:val="7"/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12 -</w:t>
    </w:r>
    <w:r>
      <w:rPr>
        <w:rFonts w:ascii="宋体" w:hAnsi="宋体" w:eastAsia="宋体"/>
        <w:sz w:val="28"/>
        <w:szCs w:val="28"/>
      </w:rPr>
      <w:fldChar w:fldCharType="end"/>
    </w:r>
  </w:p>
  <w:p w14:paraId="3263846F">
    <w:pPr>
      <w:pStyle w:val="7"/>
      <w:tabs>
        <w:tab w:val="right" w:pos="9184"/>
        <w:tab w:val="clear" w:pos="4153"/>
        <w:tab w:val="clear" w:pos="8306"/>
      </w:tabs>
      <w:rPr>
        <w:rFonts w:ascii="宋体" w:hAnsi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EB679D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8C8C61"/>
    <w:multiLevelType w:val="singleLevel"/>
    <w:tmpl w:val="F98C8C6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lYTM4ZTk2YzExOTk3NWM1YThjNjJmMWQyMjRjMzUifQ=="/>
  </w:docVars>
  <w:rsids>
    <w:rsidRoot w:val="00000000"/>
    <w:rsid w:val="128A116E"/>
    <w:rsid w:val="1EBF6A8C"/>
    <w:rsid w:val="2CB46083"/>
    <w:rsid w:val="34315795"/>
    <w:rsid w:val="3FF6061E"/>
    <w:rsid w:val="44C93FF8"/>
    <w:rsid w:val="50553250"/>
    <w:rsid w:val="612A1083"/>
    <w:rsid w:val="7983686A"/>
    <w:rsid w:val="7B7922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</w:style>
  <w:style w:type="paragraph" w:styleId="3">
    <w:name w:val="Body Text Indent"/>
    <w:basedOn w:val="1"/>
    <w:next w:val="2"/>
    <w:qFormat/>
    <w:uiPriority w:val="0"/>
    <w:pPr>
      <w:ind w:firstLine="640" w:firstLineChars="200"/>
    </w:pPr>
    <w:rPr>
      <w:rFonts w:eastAsia="仿宋_GB2312"/>
      <w:szCs w:val="24"/>
    </w:rPr>
  </w:style>
  <w:style w:type="paragraph" w:styleId="4">
    <w:name w:val="Document Map"/>
    <w:basedOn w:val="1"/>
    <w:link w:val="18"/>
    <w:autoRedefine/>
    <w:qFormat/>
    <w:uiPriority w:val="0"/>
    <w:rPr>
      <w:rFonts w:ascii="宋体" w:eastAsia="宋体"/>
      <w:sz w:val="18"/>
      <w:szCs w:val="18"/>
    </w:rPr>
  </w:style>
  <w:style w:type="paragraph" w:styleId="5">
    <w:name w:val="Body Text"/>
    <w:basedOn w:val="1"/>
    <w:next w:val="1"/>
    <w:qFormat/>
    <w:uiPriority w:val="0"/>
    <w:pPr>
      <w:spacing w:before="93" w:beforeLines="30"/>
    </w:pPr>
    <w:rPr>
      <w:rFonts w:ascii="仿宋_GB2312" w:eastAsia="仿宋_GB2312"/>
      <w:sz w:val="30"/>
    </w:r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link w:val="19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8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9">
    <w:name w:val="toc 1"/>
    <w:basedOn w:val="1"/>
    <w:next w:val="1"/>
    <w:autoRedefine/>
    <w:semiHidden/>
    <w:qFormat/>
    <w:uiPriority w:val="0"/>
  </w:style>
  <w:style w:type="paragraph" w:styleId="10">
    <w:name w:val="toc 2"/>
    <w:basedOn w:val="1"/>
    <w:next w:val="1"/>
    <w:qFormat/>
    <w:uiPriority w:val="0"/>
    <w:pPr>
      <w:ind w:left="420"/>
    </w:pPr>
  </w:style>
  <w:style w:type="paragraph" w:styleId="11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4">
    <w:name w:val="page number"/>
    <w:basedOn w:val="13"/>
    <w:autoRedefine/>
    <w:qFormat/>
    <w:uiPriority w:val="0"/>
  </w:style>
  <w:style w:type="paragraph" w:customStyle="1" w:styleId="15">
    <w:name w:val="四号正文"/>
    <w:basedOn w:val="1"/>
    <w:link w:val="17"/>
    <w:autoRedefine/>
    <w:qFormat/>
    <w:uiPriority w:val="0"/>
    <w:pPr>
      <w:spacing w:line="360" w:lineRule="auto"/>
    </w:pPr>
    <w:rPr>
      <w:rFonts w:ascii="??" w:hAnsi="??" w:eastAsia="宋体" w:cs="宋体"/>
      <w:color w:val="000000"/>
      <w:kern w:val="0"/>
      <w:sz w:val="28"/>
      <w:szCs w:val="21"/>
    </w:rPr>
  </w:style>
  <w:style w:type="paragraph" w:customStyle="1" w:styleId="16">
    <w:name w:val="a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17">
    <w:name w:val="四号正文 Char"/>
    <w:basedOn w:val="13"/>
    <w:link w:val="15"/>
    <w:autoRedefine/>
    <w:qFormat/>
    <w:uiPriority w:val="0"/>
    <w:rPr>
      <w:rFonts w:ascii="??" w:hAnsi="??" w:eastAsia="宋体" w:cs="宋体"/>
      <w:color w:val="000000"/>
      <w:sz w:val="28"/>
      <w:szCs w:val="21"/>
      <w:lang w:val="en-US" w:eastAsia="zh-CN" w:bidi="ar-SA"/>
    </w:rPr>
  </w:style>
  <w:style w:type="character" w:customStyle="1" w:styleId="18">
    <w:name w:val="文档结构图 Char"/>
    <w:basedOn w:val="13"/>
    <w:link w:val="4"/>
    <w:autoRedefine/>
    <w:qFormat/>
    <w:uiPriority w:val="0"/>
    <w:rPr>
      <w:rFonts w:ascii="宋体"/>
      <w:kern w:val="2"/>
      <w:sz w:val="18"/>
      <w:szCs w:val="18"/>
    </w:rPr>
  </w:style>
  <w:style w:type="character" w:customStyle="1" w:styleId="19">
    <w:name w:val="页脚 Char"/>
    <w:basedOn w:val="13"/>
    <w:link w:val="7"/>
    <w:autoRedefine/>
    <w:qFormat/>
    <w:uiPriority w:val="99"/>
    <w:rPr>
      <w:kern w:val="2"/>
      <w:sz w:val="18"/>
      <w:szCs w:val="18"/>
    </w:rPr>
  </w:style>
  <w:style w:type="paragraph" w:customStyle="1" w:styleId="20">
    <w:name w:val="普通(网站) Char"/>
    <w:next w:val="10"/>
    <w:autoRedefine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="宋体" w:hAnsi="Times New Roman" w:eastAsia="宋体" w:cs="宋体"/>
      <w:kern w:val="0"/>
      <w:sz w:val="24"/>
      <w:szCs w:val="24"/>
      <w:lang w:val="en-US" w:eastAsia="zh-CN" w:bidi="ar-SA"/>
    </w:rPr>
  </w:style>
  <w:style w:type="paragraph" w:customStyle="1" w:styleId="21">
    <w:name w:val="目录 2{858D7CFB-ED40-4347-BF05-701D383B685F}{858D7CFB-ED40-4347-BF05-701D383B685F}{858D7CFB-ED40-4347-BF05-701D383B685F}"/>
    <w:basedOn w:val="1"/>
    <w:next w:val="1"/>
    <w:autoRedefine/>
    <w:qFormat/>
    <w:uiPriority w:val="0"/>
    <w:pPr>
      <w:spacing w:line="737" w:lineRule="atLeast"/>
      <w:jc w:val="center"/>
    </w:pPr>
    <w:rPr>
      <w:rFonts w:ascii="黑体" w:hAnsi="黑体" w:eastAsia="黑体"/>
      <w:sz w:val="36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PSZX</Company>
  <Pages>6</Pages>
  <Words>2580</Words>
  <Characters>2726</Characters>
  <Lines>1</Lines>
  <Paragraphs>1</Paragraphs>
  <TotalTime>0</TotalTime>
  <ScaleCrop>false</ScaleCrop>
  <LinksUpToDate>false</LinksUpToDate>
  <CharactersWithSpaces>2789</CharactersWithSpaces>
  <Application>WPS Office_12.1.0.17121_F1E327BC-269C-435d-A152-05C5408002CA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2019-05-14T11:06:00Z</dcterms:created>
  <dc:creator>陈萍</dc:creator>
  <cp:lastModifiedBy>JINsn_</cp:lastModifiedBy>
  <cp:lastPrinted>2019-05-23T10:35:00Z</cp:lastPrinted>
  <dcterms:modified xsi:type="dcterms:W3CDTF">2024-05-29T09:44:50Z</dcterms:modified>
  <dc:title>区域性就业培训基地建设项目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2052-12.1.0.17121</vt:lpwstr>
  </property>
  <property fmtid="{D5CDD505-2E9C-101B-9397-08002B2CF9AE}" pid="3" name="ICV">
    <vt:lpwstr>30CEC83D21AA4CEFB17F44A18429CB53_13</vt:lpwstr>
  </property>
</Properties>
</file>