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66108">
      <w:pPr>
        <w:spacing w:line="600" w:lineRule="exact"/>
        <w:jc w:val="center"/>
        <w:outlineLvl w:val="0"/>
        <w:rPr>
          <w:rFonts w:ascii="方正小标宋简体" w:eastAsia="方正小标宋简体"/>
          <w:sz w:val="72"/>
          <w:szCs w:val="72"/>
        </w:rPr>
      </w:pPr>
      <w:bookmarkStart w:id="0" w:name="_Toc15306267"/>
    </w:p>
    <w:p w14:paraId="357AA662">
      <w:pPr>
        <w:spacing w:line="600" w:lineRule="exact"/>
        <w:jc w:val="center"/>
        <w:outlineLvl w:val="0"/>
        <w:rPr>
          <w:rFonts w:ascii="方正小标宋简体" w:eastAsia="方正小标宋简体"/>
          <w:sz w:val="72"/>
          <w:szCs w:val="72"/>
        </w:rPr>
      </w:pPr>
    </w:p>
    <w:p w14:paraId="26879B53">
      <w:pPr>
        <w:spacing w:line="600" w:lineRule="exact"/>
        <w:jc w:val="center"/>
        <w:outlineLvl w:val="0"/>
        <w:rPr>
          <w:rFonts w:ascii="方正小标宋简体" w:eastAsia="方正小标宋简体"/>
          <w:sz w:val="72"/>
          <w:szCs w:val="72"/>
        </w:rPr>
      </w:pPr>
    </w:p>
    <w:p w14:paraId="115AD370">
      <w:pPr>
        <w:spacing w:line="600" w:lineRule="exact"/>
        <w:jc w:val="center"/>
        <w:outlineLvl w:val="0"/>
        <w:rPr>
          <w:rFonts w:ascii="方正小标宋简体" w:eastAsia="方正小标宋简体"/>
          <w:sz w:val="72"/>
          <w:szCs w:val="72"/>
        </w:rPr>
      </w:pPr>
    </w:p>
    <w:p w14:paraId="5523EAE6">
      <w:pPr>
        <w:adjustRightInd w:val="0"/>
        <w:snapToGrid w:val="0"/>
        <w:spacing w:line="360" w:lineRule="auto"/>
        <w:jc w:val="center"/>
        <w:outlineLvl w:val="0"/>
        <w:rPr>
          <w:rFonts w:ascii="方正小标宋简体" w:eastAsia="方正小标宋简体" w:cs="方正小标宋简体"/>
          <w:sz w:val="72"/>
          <w:szCs w:val="72"/>
        </w:rPr>
      </w:pPr>
      <w:bookmarkStart w:id="1" w:name="_Toc15396597"/>
      <w:bookmarkStart w:id="2" w:name="_Toc15377193"/>
      <w:bookmarkStart w:id="3" w:name="_Toc15377425"/>
      <w:bookmarkStart w:id="4" w:name="_Toc15396475"/>
      <w:bookmarkStart w:id="5" w:name="_Toc15378441"/>
      <w:r>
        <w:rPr>
          <w:rFonts w:hint="eastAsia" w:ascii="方正小标宋简体" w:eastAsia="方正小标宋简体" w:cs="方正小标宋简体"/>
          <w:sz w:val="72"/>
          <w:szCs w:val="72"/>
        </w:rPr>
        <w:t>202</w:t>
      </w:r>
      <w:r>
        <w:rPr>
          <w:rFonts w:hint="eastAsia" w:ascii="方正小标宋简体" w:eastAsia="方正小标宋简体" w:cs="方正小标宋简体"/>
          <w:sz w:val="72"/>
          <w:szCs w:val="72"/>
          <w:lang w:val="en-US" w:eastAsia="zh-CN"/>
        </w:rPr>
        <w:t>3</w:t>
      </w:r>
      <w:r>
        <w:rPr>
          <w:rFonts w:hint="eastAsia" w:ascii="方正小标宋简体" w:eastAsia="方正小标宋简体" w:cs="方正小标宋简体"/>
          <w:sz w:val="72"/>
          <w:szCs w:val="72"/>
        </w:rPr>
        <w:t>年度</w:t>
      </w:r>
      <w:bookmarkEnd w:id="1"/>
      <w:bookmarkEnd w:id="2"/>
      <w:bookmarkEnd w:id="3"/>
      <w:bookmarkEnd w:id="4"/>
      <w:bookmarkEnd w:id="5"/>
    </w:p>
    <w:p w14:paraId="19557A76">
      <w:pPr>
        <w:pStyle w:val="31"/>
        <w:keepNext w:val="0"/>
        <w:keepLines w:val="0"/>
        <w:widowControl/>
        <w:suppressLineNumbers w:val="0"/>
        <w:spacing w:before="0" w:beforeAutospacing="0"/>
        <w:ind w:left="0"/>
        <w:jc w:val="center"/>
        <w:rPr>
          <w:rFonts w:hint="eastAsia" w:ascii="方正小标宋简体" w:eastAsia="方正小标宋简体" w:cs="方正小标宋简体"/>
          <w:sz w:val="72"/>
          <w:szCs w:val="72"/>
        </w:rPr>
      </w:pPr>
      <w:bookmarkStart w:id="6" w:name="_Toc15378442"/>
      <w:bookmarkStart w:id="7" w:name="_Toc15396476"/>
      <w:bookmarkStart w:id="8" w:name="_Toc15377426"/>
      <w:bookmarkStart w:id="9" w:name="_Toc15396598"/>
      <w:bookmarkStart w:id="10" w:name="_Toc15377194"/>
      <w:r>
        <w:rPr>
          <w:rFonts w:ascii="方正小标宋简体" w:eastAsia="方正小标宋简体" w:cs="方正小标宋简体"/>
          <w:sz w:val="72"/>
          <w:szCs w:val="72"/>
        </w:rPr>
        <w:t>阿坝州</w:t>
      </w:r>
      <w:bookmarkEnd w:id="0"/>
      <w:bookmarkStart w:id="11" w:name="_Toc15306268"/>
      <w:r>
        <w:rPr>
          <w:rFonts w:hint="eastAsia" w:ascii="方正小标宋简体" w:eastAsia="方正小标宋简体" w:cs="方正小标宋简体"/>
          <w:sz w:val="72"/>
          <w:szCs w:val="72"/>
        </w:rPr>
        <w:t>红原县人民医院</w:t>
      </w:r>
    </w:p>
    <w:p w14:paraId="5DBF8906">
      <w:pPr>
        <w:pStyle w:val="31"/>
        <w:keepNext w:val="0"/>
        <w:keepLines w:val="0"/>
        <w:widowControl/>
        <w:suppressLineNumbers w:val="0"/>
        <w:spacing w:before="0" w:beforeAutospacing="0"/>
        <w:ind w:left="0"/>
        <w:jc w:val="center"/>
        <w:rPr>
          <w:rFonts w:hint="default" w:ascii="方正小标宋简体" w:eastAsia="方正小标宋简体" w:cs="方正小标宋简体"/>
          <w:sz w:val="72"/>
          <w:szCs w:val="72"/>
          <w:lang w:val="en-US" w:eastAsia="zh-CN"/>
        </w:rPr>
      </w:pPr>
      <w:r>
        <w:rPr>
          <w:rFonts w:hint="eastAsia" w:ascii="方正小标宋简体" w:eastAsia="方正小标宋简体" w:cs="方正小标宋简体"/>
          <w:sz w:val="72"/>
          <w:szCs w:val="72"/>
          <w:lang w:val="en-US" w:eastAsia="zh-CN"/>
        </w:rPr>
        <w:t>单位</w:t>
      </w:r>
      <w:r>
        <w:rPr>
          <w:rFonts w:hint="eastAsia" w:ascii="方正小标宋简体" w:eastAsia="方正小标宋简体" w:cs="方正小标宋简体"/>
          <w:sz w:val="72"/>
          <w:szCs w:val="72"/>
        </w:rPr>
        <w:t>决算公开</w:t>
      </w:r>
      <w:r>
        <w:rPr>
          <w:rFonts w:hint="eastAsia" w:ascii="方正小标宋简体" w:eastAsia="方正小标宋简体" w:cs="方正小标宋简体"/>
          <w:sz w:val="72"/>
          <w:szCs w:val="72"/>
          <w:lang w:val="en-US" w:eastAsia="zh-CN"/>
        </w:rPr>
        <w:t>编制说明</w:t>
      </w:r>
    </w:p>
    <w:bookmarkEnd w:id="6"/>
    <w:bookmarkEnd w:id="7"/>
    <w:bookmarkEnd w:id="8"/>
    <w:bookmarkEnd w:id="9"/>
    <w:bookmarkEnd w:id="10"/>
    <w:bookmarkEnd w:id="11"/>
    <w:p w14:paraId="635155E7">
      <w:pPr>
        <w:pStyle w:val="8"/>
        <w:spacing w:before="93"/>
      </w:pPr>
    </w:p>
    <w:p w14:paraId="14CF3190">
      <w:pPr>
        <w:pStyle w:val="8"/>
        <w:spacing w:before="93"/>
      </w:pPr>
    </w:p>
    <w:p w14:paraId="7479207F">
      <w:pPr>
        <w:pStyle w:val="8"/>
        <w:spacing w:before="93"/>
      </w:pPr>
    </w:p>
    <w:p w14:paraId="1412EB16">
      <w:pPr>
        <w:pStyle w:val="8"/>
        <w:spacing w:before="93"/>
      </w:pPr>
    </w:p>
    <w:p w14:paraId="4A44AAA0">
      <w:pPr>
        <w:pStyle w:val="8"/>
        <w:spacing w:before="93"/>
      </w:pPr>
    </w:p>
    <w:p w14:paraId="00589574">
      <w:pPr>
        <w:pStyle w:val="8"/>
        <w:spacing w:before="93"/>
      </w:pPr>
    </w:p>
    <w:p w14:paraId="0FBDEF68">
      <w:pPr>
        <w:pStyle w:val="8"/>
        <w:spacing w:before="93"/>
      </w:pPr>
    </w:p>
    <w:p w14:paraId="26903221">
      <w:pPr>
        <w:pStyle w:val="8"/>
        <w:spacing w:before="93"/>
        <w:jc w:val="center"/>
        <w:rPr>
          <w:rFonts w:hint="eastAsia"/>
        </w:rPr>
      </w:pPr>
      <w:bookmarkStart w:id="12" w:name="_Hlk113547609"/>
      <w:r>
        <w:rPr>
          <w:rFonts w:hint="eastAsia" w:cs="仿宋_GB2312"/>
          <w:sz w:val="32"/>
          <w:szCs w:val="32"/>
        </w:rPr>
        <w:t>已经保密审查、内容审定，同意对外公开</w:t>
      </w:r>
      <w:bookmarkEnd w:id="12"/>
    </w:p>
    <w:p w14:paraId="4623F79B">
      <w:pPr>
        <w:widowControl/>
        <w:jc w:val="center"/>
        <w:rPr>
          <w:rFonts w:hint="eastAsia" w:ascii="黑体" w:eastAsia="黑体"/>
          <w:sz w:val="48"/>
          <w:szCs w:val="48"/>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14:paraId="29B039A7">
      <w:pPr>
        <w:widowControl/>
        <w:jc w:val="center"/>
        <w:rPr>
          <w:rFonts w:ascii="黑体" w:eastAsia="黑体"/>
          <w:sz w:val="48"/>
          <w:szCs w:val="48"/>
        </w:rPr>
      </w:pPr>
      <w:r>
        <w:rPr>
          <w:rFonts w:hint="eastAsia" w:ascii="黑体" w:eastAsia="黑体"/>
          <w:sz w:val="48"/>
          <w:szCs w:val="48"/>
        </w:rPr>
        <w:t>目录</w:t>
      </w:r>
    </w:p>
    <w:p w14:paraId="291F3DA9">
      <w:pPr>
        <w:widowControl/>
        <w:jc w:val="center"/>
        <w:rPr>
          <w:rFonts w:ascii="黑体" w:eastAsia="黑体" w:cs="Arial"/>
          <w:sz w:val="28"/>
          <w:szCs w:val="28"/>
        </w:rPr>
      </w:pPr>
    </w:p>
    <w:p w14:paraId="412FDD88">
      <w:pPr>
        <w:pStyle w:val="15"/>
      </w:pP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15</w:t>
      </w:r>
      <w:r>
        <w:rPr>
          <w:rFonts w:hint="eastAsia"/>
        </w:rPr>
        <w:t>日</w:t>
      </w:r>
    </w:p>
    <w:p w14:paraId="449374E9"/>
    <w:p w14:paraId="51EE0D35">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第一部分 单位概况</w:t>
      </w:r>
      <w:r>
        <w:rPr>
          <w:rFonts w:hint="eastAsia" w:ascii="仿宋" w:hAnsi="仿宋" w:eastAsia="仿宋" w:cs="仿宋"/>
          <w:sz w:val="24"/>
          <w:szCs w:val="24"/>
          <w:lang w:val="en-US" w:eastAsia="zh-CN"/>
        </w:rPr>
        <w:t>.....................................</w:t>
      </w:r>
      <w:r>
        <w:rPr>
          <w:rFonts w:hint="eastAsia" w:ascii="仿宋" w:hAnsi="仿宋" w:eastAsia="仿宋" w:cs="仿宋"/>
          <w:kern w:val="0"/>
          <w:sz w:val="24"/>
          <w:szCs w:val="24"/>
          <w:shd w:val="clear" w:color="auto" w:fill="FFFFFF"/>
          <w:lang w:val="en-US" w:eastAsia="zh-CN" w:bidi="ar"/>
        </w:rPr>
        <w:t>...4</w:t>
      </w:r>
    </w:p>
    <w:p w14:paraId="07A0D77D">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一、</w:t>
      </w:r>
      <w:r>
        <w:rPr>
          <w:rFonts w:hint="eastAsia" w:ascii="仿宋" w:hAnsi="仿宋" w:eastAsia="仿宋" w:cs="仿宋"/>
          <w:sz w:val="24"/>
          <w:szCs w:val="24"/>
          <w:lang w:val="en-US" w:eastAsia="zh-CN"/>
        </w:rPr>
        <w:t>机构设置情况</w:t>
      </w:r>
      <w:r>
        <w:rPr>
          <w:rFonts w:hint="eastAsia" w:ascii="仿宋" w:hAnsi="仿宋" w:eastAsia="仿宋" w:cs="仿宋"/>
          <w:kern w:val="0"/>
          <w:sz w:val="24"/>
          <w:szCs w:val="24"/>
          <w:shd w:val="clear" w:color="auto" w:fill="FFFFFF"/>
          <w:lang w:val="en-US" w:eastAsia="zh-CN" w:bidi="ar"/>
        </w:rPr>
        <w:t>......................................4</w:t>
      </w:r>
    </w:p>
    <w:p w14:paraId="1D8434D3">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二、职能简介</w:t>
      </w:r>
      <w:r>
        <w:rPr>
          <w:rFonts w:hint="eastAsia" w:ascii="仿宋" w:hAnsi="仿宋" w:eastAsia="仿宋" w:cs="仿宋"/>
          <w:kern w:val="0"/>
          <w:sz w:val="24"/>
          <w:szCs w:val="24"/>
          <w:shd w:val="clear" w:color="auto" w:fill="FFFFFF"/>
          <w:lang w:val="en-US" w:eastAsia="zh-CN" w:bidi="ar"/>
        </w:rPr>
        <w:t>..........................................4</w:t>
      </w:r>
    </w:p>
    <w:p w14:paraId="6904A1A0">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lang w:val="en-US" w:eastAsia="zh-CN"/>
        </w:rPr>
        <w:t>三</w:t>
      </w:r>
      <w:r>
        <w:rPr>
          <w:rFonts w:hint="eastAsia"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年重点工作完成情况</w:t>
      </w:r>
      <w:r>
        <w:rPr>
          <w:rFonts w:hint="eastAsia" w:ascii="仿宋" w:hAnsi="仿宋" w:eastAsia="仿宋" w:cs="仿宋"/>
          <w:kern w:val="0"/>
          <w:sz w:val="24"/>
          <w:szCs w:val="24"/>
          <w:shd w:val="clear" w:color="auto" w:fill="FFFFFF"/>
          <w:lang w:val="en-US" w:eastAsia="zh-CN" w:bidi="ar"/>
        </w:rPr>
        <w:t>...........................4</w:t>
      </w:r>
    </w:p>
    <w:p w14:paraId="075A3B8E">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24"/>
          <w:szCs w:val="24"/>
          <w:lang w:val="en-US"/>
        </w:rPr>
      </w:pPr>
      <w:r>
        <w:rPr>
          <w:rFonts w:hint="eastAsia" w:ascii="仿宋" w:hAnsi="仿宋" w:eastAsia="仿宋" w:cs="仿宋"/>
          <w:sz w:val="24"/>
          <w:szCs w:val="24"/>
        </w:rPr>
        <w:t>第二部分 202</w:t>
      </w:r>
      <w:r>
        <w:rPr>
          <w:rFonts w:hint="eastAsia" w:hAnsi="仿宋" w:cs="仿宋"/>
          <w:sz w:val="24"/>
          <w:szCs w:val="24"/>
          <w:lang w:val="en-US" w:eastAsia="zh-CN"/>
        </w:rPr>
        <w:t>3</w:t>
      </w:r>
      <w:r>
        <w:rPr>
          <w:rFonts w:hint="eastAsia" w:ascii="仿宋" w:hAnsi="仿宋" w:eastAsia="仿宋" w:cs="仿宋"/>
          <w:sz w:val="24"/>
          <w:szCs w:val="24"/>
        </w:rPr>
        <w:t>年度单位决算情况说明</w:t>
      </w:r>
      <w:r>
        <w:rPr>
          <w:rFonts w:hint="eastAsia" w:ascii="仿宋" w:hAnsi="仿宋" w:eastAsia="仿宋" w:cs="仿宋"/>
          <w:kern w:val="0"/>
          <w:sz w:val="24"/>
          <w:szCs w:val="24"/>
          <w:shd w:val="clear" w:color="auto" w:fill="FFFFFF"/>
          <w:lang w:val="en-US" w:eastAsia="zh-CN" w:bidi="ar"/>
        </w:rPr>
        <w:t>........................8</w:t>
      </w:r>
    </w:p>
    <w:p w14:paraId="0C5D1554">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一、收入支出决算总体情况说明</w:t>
      </w:r>
      <w:r>
        <w:rPr>
          <w:rFonts w:hint="eastAsia" w:ascii="仿宋" w:hAnsi="仿宋" w:eastAsia="仿宋" w:cs="仿宋"/>
          <w:kern w:val="0"/>
          <w:sz w:val="24"/>
          <w:szCs w:val="24"/>
          <w:shd w:val="clear" w:color="auto" w:fill="FFFFFF"/>
          <w:lang w:val="en-US" w:eastAsia="zh-CN" w:bidi="ar"/>
        </w:rPr>
        <w:t>..........................8</w:t>
      </w:r>
    </w:p>
    <w:p w14:paraId="115AE502">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二、收入决算情况说明</w:t>
      </w:r>
      <w:r>
        <w:rPr>
          <w:rFonts w:hint="eastAsia" w:ascii="仿宋" w:hAnsi="仿宋" w:eastAsia="仿宋" w:cs="仿宋"/>
          <w:kern w:val="0"/>
          <w:sz w:val="24"/>
          <w:szCs w:val="24"/>
          <w:shd w:val="clear" w:color="auto" w:fill="FFFFFF"/>
          <w:lang w:val="en-US" w:eastAsia="zh-CN" w:bidi="ar"/>
        </w:rPr>
        <w:t>..................................9</w:t>
      </w:r>
    </w:p>
    <w:p w14:paraId="075EC156">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三、支出决算情况说明</w:t>
      </w:r>
      <w:r>
        <w:rPr>
          <w:rFonts w:hint="eastAsia" w:ascii="仿宋" w:hAnsi="仿宋" w:eastAsia="仿宋" w:cs="仿宋"/>
          <w:kern w:val="0"/>
          <w:sz w:val="24"/>
          <w:szCs w:val="24"/>
          <w:shd w:val="clear" w:color="auto" w:fill="FFFFFF"/>
          <w:lang w:val="en-US" w:eastAsia="zh-CN" w:bidi="ar"/>
        </w:rPr>
        <w:t>..................................9</w:t>
      </w:r>
    </w:p>
    <w:p w14:paraId="4AA9A4A8">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四、财政拨款收入支出决算总体情况说明</w:t>
      </w:r>
      <w:r>
        <w:rPr>
          <w:rFonts w:hint="eastAsia" w:ascii="仿宋" w:hAnsi="仿宋" w:eastAsia="仿宋" w:cs="仿宋"/>
          <w:kern w:val="0"/>
          <w:sz w:val="24"/>
          <w:szCs w:val="24"/>
          <w:shd w:val="clear" w:color="auto" w:fill="FFFFFF"/>
          <w:lang w:val="en-US" w:eastAsia="zh-CN" w:bidi="ar"/>
        </w:rPr>
        <w:t>..................10</w:t>
      </w:r>
    </w:p>
    <w:p w14:paraId="107BC56A">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五、一般公共预算财政拨款支出决算情况说明</w:t>
      </w:r>
      <w:r>
        <w:rPr>
          <w:rFonts w:hint="eastAsia" w:ascii="仿宋" w:hAnsi="仿宋" w:eastAsia="仿宋" w:cs="仿宋"/>
          <w:kern w:val="0"/>
          <w:sz w:val="24"/>
          <w:szCs w:val="24"/>
          <w:shd w:val="clear" w:color="auto" w:fill="FFFFFF"/>
          <w:lang w:val="en-US" w:eastAsia="zh-CN" w:bidi="ar"/>
        </w:rPr>
        <w:t>..............10</w:t>
      </w:r>
    </w:p>
    <w:p w14:paraId="45A41D0A">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六、一般公共预算财政拨款基本支出决算情况说明</w:t>
      </w:r>
      <w:r>
        <w:rPr>
          <w:rFonts w:hint="eastAsia" w:ascii="仿宋" w:hAnsi="仿宋" w:eastAsia="仿宋" w:cs="仿宋"/>
          <w:kern w:val="0"/>
          <w:sz w:val="24"/>
          <w:szCs w:val="24"/>
          <w:shd w:val="clear" w:color="auto" w:fill="FFFFFF"/>
          <w:lang w:val="en-US" w:eastAsia="zh-CN" w:bidi="ar"/>
        </w:rPr>
        <w:t>..........12</w:t>
      </w:r>
    </w:p>
    <w:p w14:paraId="5E122324">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七、“三公”经费财政拨款支出决算情况说明</w:t>
      </w:r>
      <w:r>
        <w:rPr>
          <w:rFonts w:hint="eastAsia" w:ascii="仿宋" w:hAnsi="仿宋" w:eastAsia="仿宋" w:cs="仿宋"/>
          <w:kern w:val="0"/>
          <w:sz w:val="24"/>
          <w:szCs w:val="24"/>
          <w:shd w:val="clear" w:color="auto" w:fill="FFFFFF"/>
          <w:lang w:val="en-US" w:eastAsia="zh-CN" w:bidi="ar"/>
        </w:rPr>
        <w:t>..............13</w:t>
      </w:r>
    </w:p>
    <w:p w14:paraId="03A9A12B">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八、政府性基金预算支出决算情况说明</w:t>
      </w:r>
      <w:r>
        <w:rPr>
          <w:rFonts w:hint="eastAsia" w:ascii="仿宋" w:hAnsi="仿宋" w:eastAsia="仿宋" w:cs="仿宋"/>
          <w:kern w:val="0"/>
          <w:sz w:val="24"/>
          <w:szCs w:val="24"/>
          <w:shd w:val="clear" w:color="auto" w:fill="FFFFFF"/>
          <w:lang w:val="en-US" w:eastAsia="zh-CN" w:bidi="ar"/>
        </w:rPr>
        <w:t>....................14</w:t>
      </w:r>
    </w:p>
    <w:p w14:paraId="7B0F96D1">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九、国有资本经营预算支出决算情况说明</w:t>
      </w:r>
      <w:r>
        <w:rPr>
          <w:rFonts w:hint="eastAsia" w:ascii="仿宋" w:hAnsi="仿宋" w:eastAsia="仿宋" w:cs="仿宋"/>
          <w:kern w:val="0"/>
          <w:sz w:val="24"/>
          <w:szCs w:val="24"/>
          <w:shd w:val="clear" w:color="auto" w:fill="FFFFFF"/>
          <w:lang w:val="en-US" w:eastAsia="zh-CN" w:bidi="ar"/>
        </w:rPr>
        <w:t>..................14</w:t>
      </w:r>
    </w:p>
    <w:p w14:paraId="7CA81B5C">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rPr>
      </w:pPr>
      <w:r>
        <w:rPr>
          <w:rFonts w:hint="eastAsia" w:ascii="仿宋" w:hAnsi="仿宋" w:eastAsia="仿宋" w:cs="仿宋"/>
          <w:sz w:val="24"/>
          <w:szCs w:val="24"/>
        </w:rPr>
        <w:t>十、其他重要事项的情况说明</w:t>
      </w:r>
      <w:r>
        <w:rPr>
          <w:rFonts w:hint="eastAsia" w:ascii="仿宋" w:hAnsi="仿宋" w:eastAsia="仿宋" w:cs="仿宋"/>
          <w:kern w:val="0"/>
          <w:sz w:val="24"/>
          <w:szCs w:val="24"/>
          <w:shd w:val="clear" w:color="auto" w:fill="FFFFFF"/>
          <w:lang w:val="en-US" w:eastAsia="zh-CN" w:bidi="ar"/>
        </w:rPr>
        <w:t>............................14</w:t>
      </w:r>
    </w:p>
    <w:p w14:paraId="5C4701E3">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24"/>
          <w:szCs w:val="24"/>
          <w:lang w:val="en-US"/>
        </w:rPr>
      </w:pPr>
      <w:r>
        <w:rPr>
          <w:rFonts w:hint="eastAsia" w:ascii="仿宋" w:hAnsi="仿宋" w:eastAsia="仿宋" w:cs="仿宋"/>
          <w:sz w:val="24"/>
          <w:szCs w:val="24"/>
        </w:rPr>
        <w:t>第三部分 名词解释</w:t>
      </w:r>
      <w:r>
        <w:rPr>
          <w:rFonts w:hint="eastAsia" w:ascii="仿宋" w:hAnsi="仿宋" w:eastAsia="仿宋" w:cs="仿宋"/>
          <w:kern w:val="0"/>
          <w:sz w:val="24"/>
          <w:szCs w:val="24"/>
          <w:shd w:val="clear" w:color="auto" w:fill="FFFFFF"/>
          <w:lang w:val="en-US" w:eastAsia="zh-CN" w:bidi="ar"/>
        </w:rPr>
        <w:t>..............................</w:t>
      </w:r>
      <w:r>
        <w:rPr>
          <w:rFonts w:hint="eastAsia" w:hAnsi="仿宋" w:cs="仿宋"/>
          <w:kern w:val="0"/>
          <w:sz w:val="24"/>
          <w:szCs w:val="24"/>
          <w:shd w:val="clear" w:color="auto" w:fill="FFFFFF"/>
          <w:lang w:val="en-US" w:eastAsia="zh-CN" w:bidi="ar"/>
        </w:rPr>
        <w:t>..........</w:t>
      </w:r>
      <w:r>
        <w:rPr>
          <w:rFonts w:hint="eastAsia" w:ascii="仿宋" w:hAnsi="仿宋" w:eastAsia="仿宋" w:cs="仿宋"/>
          <w:kern w:val="0"/>
          <w:sz w:val="24"/>
          <w:szCs w:val="24"/>
          <w:shd w:val="clear" w:color="auto" w:fill="FFFFFF"/>
          <w:lang w:val="en-US" w:eastAsia="zh-CN" w:bidi="ar"/>
        </w:rPr>
        <w:t>16</w:t>
      </w:r>
    </w:p>
    <w:p w14:paraId="79738F71">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第四部分 附件</w:t>
      </w:r>
      <w:r>
        <w:rPr>
          <w:rFonts w:hint="eastAsia" w:ascii="仿宋" w:hAnsi="仿宋" w:eastAsia="仿宋" w:cs="仿宋"/>
          <w:kern w:val="0"/>
          <w:sz w:val="24"/>
          <w:szCs w:val="24"/>
          <w:shd w:val="clear" w:color="auto" w:fill="FFFFFF"/>
          <w:lang w:val="en-US" w:eastAsia="zh-CN" w:bidi="ar"/>
        </w:rPr>
        <w:t>.................................</w:t>
      </w:r>
      <w:r>
        <w:rPr>
          <w:rFonts w:hint="eastAsia" w:hAnsi="仿宋" w:cs="仿宋"/>
          <w:kern w:val="0"/>
          <w:sz w:val="24"/>
          <w:szCs w:val="24"/>
          <w:shd w:val="clear" w:color="auto" w:fill="FFFFFF"/>
          <w:lang w:val="en-US" w:eastAsia="zh-CN" w:bidi="ar"/>
        </w:rPr>
        <w:t>............</w:t>
      </w:r>
      <w:r>
        <w:rPr>
          <w:rFonts w:hint="eastAsia" w:ascii="仿宋" w:hAnsi="仿宋" w:eastAsia="仿宋" w:cs="仿宋"/>
          <w:kern w:val="0"/>
          <w:sz w:val="24"/>
          <w:szCs w:val="24"/>
          <w:shd w:val="clear" w:color="auto" w:fill="FFFFFF"/>
          <w:lang w:val="en-US" w:eastAsia="zh-CN" w:bidi="ar"/>
        </w:rPr>
        <w:t>19</w:t>
      </w:r>
    </w:p>
    <w:p w14:paraId="01E589C7">
      <w:pPr>
        <w:pStyle w:val="15"/>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24"/>
          <w:szCs w:val="24"/>
          <w:lang w:val="en-US"/>
        </w:rPr>
      </w:pPr>
      <w:r>
        <w:rPr>
          <w:rFonts w:hint="eastAsia" w:ascii="仿宋" w:hAnsi="仿宋" w:eastAsia="仿宋" w:cs="仿宋"/>
          <w:sz w:val="24"/>
          <w:szCs w:val="24"/>
        </w:rPr>
        <w:t>第五部分 附表</w:t>
      </w:r>
      <w:r>
        <w:rPr>
          <w:rFonts w:hint="eastAsia" w:ascii="仿宋" w:hAnsi="仿宋" w:eastAsia="仿宋" w:cs="仿宋"/>
          <w:kern w:val="0"/>
          <w:sz w:val="24"/>
          <w:szCs w:val="24"/>
          <w:shd w:val="clear" w:color="auto" w:fill="FFFFFF"/>
          <w:lang w:val="en-US" w:eastAsia="zh-CN" w:bidi="ar"/>
        </w:rPr>
        <w:t>.................................</w:t>
      </w:r>
      <w:r>
        <w:rPr>
          <w:rFonts w:hint="eastAsia" w:hAnsi="仿宋" w:cs="仿宋"/>
          <w:kern w:val="0"/>
          <w:sz w:val="24"/>
          <w:szCs w:val="24"/>
          <w:shd w:val="clear" w:color="auto" w:fill="FFFFFF"/>
          <w:lang w:val="en-US" w:eastAsia="zh-CN" w:bidi="ar"/>
        </w:rPr>
        <w:t>............</w:t>
      </w:r>
      <w:r>
        <w:rPr>
          <w:rFonts w:hint="eastAsia" w:ascii="仿宋" w:hAnsi="仿宋" w:eastAsia="仿宋" w:cs="仿宋"/>
          <w:kern w:val="0"/>
          <w:sz w:val="24"/>
          <w:szCs w:val="24"/>
          <w:shd w:val="clear" w:color="auto" w:fill="FFFFFF"/>
          <w:lang w:val="en-US" w:eastAsia="zh-CN" w:bidi="ar"/>
        </w:rPr>
        <w:t>2</w:t>
      </w:r>
      <w:r>
        <w:rPr>
          <w:rFonts w:hint="eastAsia" w:hAnsi="仿宋" w:cs="仿宋"/>
          <w:kern w:val="0"/>
          <w:sz w:val="24"/>
          <w:szCs w:val="24"/>
          <w:shd w:val="clear" w:color="auto" w:fill="FFFFFF"/>
          <w:lang w:val="en-US" w:eastAsia="zh-CN" w:bidi="ar"/>
        </w:rPr>
        <w:t>3</w:t>
      </w:r>
    </w:p>
    <w:p w14:paraId="48827E23">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一、收入支出决算总表</w:t>
      </w:r>
      <w:r>
        <w:rPr>
          <w:rFonts w:hint="eastAsia" w:ascii="仿宋" w:hAnsi="仿宋" w:eastAsia="仿宋" w:cs="仿宋"/>
          <w:kern w:val="0"/>
          <w:sz w:val="24"/>
          <w:szCs w:val="24"/>
          <w:shd w:val="clear" w:color="auto" w:fill="FFFFFF"/>
          <w:lang w:val="en-US" w:eastAsia="zh-CN" w:bidi="ar"/>
        </w:rPr>
        <w:t>...............................24</w:t>
      </w:r>
    </w:p>
    <w:p w14:paraId="5B96562C">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二、收入决算表</w:t>
      </w:r>
      <w:r>
        <w:rPr>
          <w:rFonts w:hint="eastAsia" w:ascii="仿宋" w:hAnsi="仿宋" w:eastAsia="仿宋" w:cs="仿宋"/>
          <w:kern w:val="0"/>
          <w:sz w:val="24"/>
          <w:szCs w:val="24"/>
          <w:shd w:val="clear" w:color="auto" w:fill="FFFFFF"/>
          <w:lang w:val="en-US" w:eastAsia="zh-CN" w:bidi="ar"/>
        </w:rPr>
        <w:t>.....................................24</w:t>
      </w:r>
    </w:p>
    <w:p w14:paraId="31AF705A">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三、支出决算表</w:t>
      </w:r>
      <w:r>
        <w:rPr>
          <w:rFonts w:hint="eastAsia" w:ascii="仿宋" w:hAnsi="仿宋" w:eastAsia="仿宋" w:cs="仿宋"/>
          <w:kern w:val="0"/>
          <w:sz w:val="24"/>
          <w:szCs w:val="24"/>
          <w:shd w:val="clear" w:color="auto" w:fill="FFFFFF"/>
          <w:lang w:val="en-US" w:eastAsia="zh-CN" w:bidi="ar"/>
        </w:rPr>
        <w:t>.....................................24</w:t>
      </w:r>
    </w:p>
    <w:p w14:paraId="6999CF32">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四、财政拨款收入支出决算总表</w:t>
      </w:r>
      <w:r>
        <w:rPr>
          <w:rFonts w:hint="eastAsia" w:ascii="仿宋" w:hAnsi="仿宋" w:eastAsia="仿宋" w:cs="仿宋"/>
          <w:kern w:val="0"/>
          <w:sz w:val="24"/>
          <w:szCs w:val="24"/>
          <w:shd w:val="clear" w:color="auto" w:fill="FFFFFF"/>
          <w:lang w:val="en-US" w:eastAsia="zh-CN" w:bidi="ar"/>
        </w:rPr>
        <w:t>.......................24</w:t>
      </w:r>
    </w:p>
    <w:p w14:paraId="3BB66DA3">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五、财政拨款支出决算明细表</w:t>
      </w:r>
      <w:r>
        <w:rPr>
          <w:rFonts w:hint="eastAsia" w:ascii="仿宋" w:hAnsi="仿宋" w:eastAsia="仿宋" w:cs="仿宋"/>
          <w:kern w:val="0"/>
          <w:sz w:val="24"/>
          <w:szCs w:val="24"/>
          <w:shd w:val="clear" w:color="auto" w:fill="FFFFFF"/>
          <w:lang w:val="en-US" w:eastAsia="zh-CN" w:bidi="ar"/>
        </w:rPr>
        <w:t>.........................24</w:t>
      </w:r>
    </w:p>
    <w:p w14:paraId="2B0D7B84">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六、一般公共预算财政拨款支出决算表</w:t>
      </w:r>
      <w:r>
        <w:rPr>
          <w:rFonts w:hint="eastAsia" w:ascii="仿宋" w:hAnsi="仿宋" w:eastAsia="仿宋" w:cs="仿宋"/>
          <w:kern w:val="0"/>
          <w:sz w:val="24"/>
          <w:szCs w:val="24"/>
          <w:shd w:val="clear" w:color="auto" w:fill="FFFFFF"/>
          <w:lang w:val="en-US" w:eastAsia="zh-CN" w:bidi="ar"/>
        </w:rPr>
        <w:t>.................24</w:t>
      </w:r>
    </w:p>
    <w:p w14:paraId="1E754F82">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七、一般公共预算财政拨款支出决算明细表</w:t>
      </w:r>
      <w:r>
        <w:rPr>
          <w:rFonts w:hint="eastAsia" w:ascii="仿宋" w:hAnsi="仿宋" w:eastAsia="仿宋" w:cs="仿宋"/>
          <w:kern w:val="0"/>
          <w:sz w:val="24"/>
          <w:szCs w:val="24"/>
          <w:shd w:val="clear" w:color="auto" w:fill="FFFFFF"/>
          <w:lang w:val="en-US" w:eastAsia="zh-CN" w:bidi="ar"/>
        </w:rPr>
        <w:t>.............24</w:t>
      </w:r>
    </w:p>
    <w:p w14:paraId="043B3CE7">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八、一般公共预算财政拨款基本支出决算表</w:t>
      </w:r>
      <w:r>
        <w:rPr>
          <w:rFonts w:hint="eastAsia" w:ascii="仿宋" w:hAnsi="仿宋" w:eastAsia="仿宋" w:cs="仿宋"/>
          <w:kern w:val="0"/>
          <w:sz w:val="24"/>
          <w:szCs w:val="24"/>
          <w:shd w:val="clear" w:color="auto" w:fill="FFFFFF"/>
          <w:lang w:val="en-US" w:eastAsia="zh-CN" w:bidi="ar"/>
        </w:rPr>
        <w:t>.............24</w:t>
      </w:r>
    </w:p>
    <w:p w14:paraId="7861D8B8">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九、一般公共预算财政拨款项目支出决算表</w:t>
      </w:r>
      <w:r>
        <w:rPr>
          <w:rFonts w:hint="eastAsia" w:ascii="仿宋" w:hAnsi="仿宋" w:eastAsia="仿宋" w:cs="仿宋"/>
          <w:kern w:val="0"/>
          <w:sz w:val="24"/>
          <w:szCs w:val="24"/>
          <w:shd w:val="clear" w:color="auto" w:fill="FFFFFF"/>
          <w:lang w:val="en-US" w:eastAsia="zh-CN" w:bidi="ar"/>
        </w:rPr>
        <w:t>.............24</w:t>
      </w:r>
    </w:p>
    <w:p w14:paraId="652ECE23">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十、政府性基金预算财政拨款收入支出决算表</w:t>
      </w:r>
      <w:r>
        <w:rPr>
          <w:rFonts w:hint="eastAsia" w:ascii="仿宋" w:hAnsi="仿宋" w:eastAsia="仿宋" w:cs="仿宋"/>
          <w:kern w:val="0"/>
          <w:sz w:val="24"/>
          <w:szCs w:val="24"/>
          <w:shd w:val="clear" w:color="auto" w:fill="FFFFFF"/>
          <w:lang w:val="en-US" w:eastAsia="zh-CN" w:bidi="ar"/>
        </w:rPr>
        <w:t>...........24</w:t>
      </w:r>
    </w:p>
    <w:p w14:paraId="67B89B71">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r>
        <w:rPr>
          <w:rFonts w:hint="eastAsia" w:ascii="仿宋" w:hAnsi="仿宋" w:eastAsia="仿宋" w:cs="仿宋"/>
          <w:sz w:val="24"/>
          <w:szCs w:val="24"/>
        </w:rPr>
        <w:t>十</w:t>
      </w:r>
      <w:r>
        <w:rPr>
          <w:rFonts w:hint="eastAsia" w:ascii="仿宋" w:hAnsi="仿宋" w:eastAsia="仿宋" w:cs="仿宋"/>
          <w:sz w:val="24"/>
          <w:szCs w:val="24"/>
          <w:lang w:val="en-US" w:eastAsia="zh-CN"/>
        </w:rPr>
        <w:t>一</w:t>
      </w:r>
      <w:r>
        <w:rPr>
          <w:rFonts w:hint="eastAsia" w:ascii="仿宋" w:hAnsi="仿宋" w:eastAsia="仿宋" w:cs="仿宋"/>
          <w:sz w:val="24"/>
          <w:szCs w:val="24"/>
        </w:rPr>
        <w:t>、国有资本经营预算财政拨款收入支出决算表</w:t>
      </w:r>
      <w:r>
        <w:rPr>
          <w:rFonts w:hint="eastAsia" w:ascii="仿宋" w:hAnsi="仿宋" w:eastAsia="仿宋" w:cs="仿宋"/>
          <w:kern w:val="0"/>
          <w:sz w:val="24"/>
          <w:szCs w:val="24"/>
          <w:shd w:val="clear" w:color="auto" w:fill="FFFFFF"/>
          <w:lang w:val="en-US" w:eastAsia="zh-CN" w:bidi="ar"/>
        </w:rPr>
        <w:t>.......24</w:t>
      </w:r>
    </w:p>
    <w:p w14:paraId="4D17DEFE">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kern w:val="0"/>
          <w:sz w:val="24"/>
          <w:szCs w:val="24"/>
          <w:shd w:val="clear" w:color="auto" w:fill="FFFFFF"/>
          <w:lang w:val="en-US" w:eastAsia="zh-CN" w:bidi="ar"/>
        </w:rPr>
      </w:pPr>
      <w:r>
        <w:rPr>
          <w:rFonts w:hint="eastAsia" w:ascii="仿宋" w:hAnsi="仿宋" w:eastAsia="仿宋" w:cs="仿宋"/>
          <w:sz w:val="24"/>
          <w:szCs w:val="24"/>
        </w:rPr>
        <w:t>十</w:t>
      </w:r>
      <w:r>
        <w:rPr>
          <w:rFonts w:hint="eastAsia" w:ascii="仿宋" w:hAnsi="仿宋" w:eastAsia="仿宋" w:cs="仿宋"/>
          <w:sz w:val="24"/>
          <w:szCs w:val="24"/>
          <w:lang w:val="en-US" w:eastAsia="zh-CN"/>
        </w:rPr>
        <w:t>二</w:t>
      </w:r>
      <w:r>
        <w:rPr>
          <w:rFonts w:hint="eastAsia" w:ascii="仿宋" w:hAnsi="仿宋" w:eastAsia="仿宋" w:cs="仿宋"/>
          <w:sz w:val="24"/>
          <w:szCs w:val="24"/>
        </w:rPr>
        <w:t>、国有资本经营预算财政拨款支出决算表</w:t>
      </w:r>
      <w:r>
        <w:rPr>
          <w:rFonts w:hint="eastAsia" w:ascii="仿宋" w:hAnsi="仿宋" w:eastAsia="仿宋" w:cs="仿宋"/>
          <w:kern w:val="0"/>
          <w:sz w:val="24"/>
          <w:szCs w:val="24"/>
          <w:shd w:val="clear" w:color="auto" w:fill="FFFFFF"/>
          <w:lang w:val="en-US" w:eastAsia="zh-CN" w:bidi="ar"/>
        </w:rPr>
        <w:t>...........24</w:t>
      </w:r>
    </w:p>
    <w:p w14:paraId="16FF54F5">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十</w:t>
      </w:r>
      <w:r>
        <w:rPr>
          <w:rFonts w:hint="eastAsia" w:ascii="仿宋" w:hAnsi="仿宋" w:eastAsia="仿宋" w:cs="仿宋"/>
          <w:sz w:val="24"/>
          <w:szCs w:val="24"/>
          <w:lang w:val="en-US" w:eastAsia="zh-CN"/>
        </w:rPr>
        <w:t>三</w:t>
      </w:r>
      <w:r>
        <w:rPr>
          <w:rFonts w:hint="eastAsia" w:ascii="仿宋" w:hAnsi="仿宋" w:eastAsia="仿宋" w:cs="仿宋"/>
          <w:sz w:val="24"/>
          <w:szCs w:val="24"/>
        </w:rPr>
        <w:t>、</w:t>
      </w:r>
      <w:r>
        <w:rPr>
          <w:rFonts w:hint="default" w:ascii="仿宋" w:hAnsi="仿宋" w:eastAsia="仿宋" w:cs="仿宋"/>
          <w:sz w:val="24"/>
          <w:szCs w:val="24"/>
          <w:lang w:val="en-US"/>
        </w:rPr>
        <w:t>财政拨款“三公”经费支出决算表</w:t>
      </w:r>
      <w:r>
        <w:rPr>
          <w:rFonts w:hint="eastAsia" w:ascii="仿宋" w:hAnsi="仿宋" w:eastAsia="仿宋" w:cs="仿宋"/>
          <w:sz w:val="24"/>
          <w:szCs w:val="24"/>
          <w:lang w:val="en-US" w:eastAsia="zh-CN"/>
        </w:rPr>
        <w:t>...............24</w:t>
      </w:r>
    </w:p>
    <w:p w14:paraId="62546E4D">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十四、重症医学科建设项目绩效自评表.................24</w:t>
      </w:r>
    </w:p>
    <w:p w14:paraId="25EAACB3">
      <w:pPr>
        <w:pStyle w:val="16"/>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default" w:ascii="仿宋" w:hAnsi="仿宋" w:eastAsia="仿宋" w:cs="仿宋"/>
          <w:sz w:val="24"/>
          <w:szCs w:val="24"/>
          <w:lang w:val="en-US"/>
        </w:rPr>
      </w:pPr>
      <w:bookmarkStart w:id="13" w:name="_Toc15396599"/>
      <w:bookmarkStart w:id="14" w:name="_Toc15377196"/>
      <w:r>
        <w:rPr>
          <w:rFonts w:hint="eastAsia" w:ascii="仿宋" w:hAnsi="仿宋" w:eastAsia="仿宋" w:cs="仿宋"/>
          <w:sz w:val="24"/>
          <w:szCs w:val="24"/>
          <w:lang w:val="en-US" w:eastAsia="zh-CN"/>
        </w:rPr>
        <w:t>十五、取消药品加成建设项目绩效自评表...............24</w:t>
      </w:r>
    </w:p>
    <w:p w14:paraId="334DB8EA">
      <w:pPr>
        <w:keepNext w:val="0"/>
        <w:keepLines w:val="0"/>
        <w:pageBreakBefore w:val="0"/>
        <w:widowControl/>
        <w:kinsoku/>
        <w:wordWrap/>
        <w:overflowPunct/>
        <w:topLinePunct w:val="0"/>
        <w:autoSpaceDE/>
        <w:autoSpaceDN/>
        <w:bidi w:val="0"/>
        <w:spacing w:line="560" w:lineRule="exact"/>
        <w:jc w:val="left"/>
        <w:textAlignment w:val="auto"/>
        <w:rPr>
          <w:rFonts w:hint="eastAsia" w:ascii="仿宋" w:hAnsi="仿宋" w:eastAsia="仿宋" w:cs="仿宋"/>
          <w:bCs/>
          <w:kern w:val="44"/>
          <w:sz w:val="24"/>
          <w:szCs w:val="24"/>
        </w:rPr>
      </w:pPr>
      <w:r>
        <w:rPr>
          <w:rFonts w:hint="eastAsia" w:ascii="仿宋" w:hAnsi="仿宋" w:eastAsia="仿宋" w:cs="仿宋"/>
          <w:b/>
          <w:sz w:val="24"/>
          <w:szCs w:val="24"/>
        </w:rPr>
        <w:br w:type="page"/>
      </w:r>
      <w:bookmarkStart w:id="65" w:name="_GoBack"/>
      <w:bookmarkEnd w:id="65"/>
    </w:p>
    <w:p w14:paraId="44B1A34D">
      <w:pPr>
        <w:pStyle w:val="4"/>
        <w:pageBreakBefore w:val="0"/>
        <w:kinsoku/>
        <w:wordWrap/>
        <w:overflowPunct/>
        <w:topLinePunct w:val="0"/>
        <w:autoSpaceDE/>
        <w:autoSpaceDN/>
        <w:bidi w:val="0"/>
        <w:adjustRightInd/>
        <w:snapToGrid/>
        <w:spacing w:line="560" w:lineRule="exact"/>
        <w:ind w:right="440"/>
        <w:jc w:val="center"/>
        <w:textAlignment w:val="auto"/>
        <w:rPr>
          <w:rFonts w:hint="eastAsia" w:ascii="黑体" w:eastAsia="黑体"/>
          <w:b w:val="0"/>
          <w:lang w:val="en-US" w:eastAsia="zh-CN"/>
        </w:rPr>
      </w:pPr>
      <w:r>
        <w:rPr>
          <w:rFonts w:hint="eastAsia" w:ascii="黑体" w:eastAsia="黑体"/>
          <w:b w:val="0"/>
          <w:lang w:val="en-US" w:eastAsia="zh-CN"/>
        </w:rPr>
        <w:t>第一部分</w:t>
      </w:r>
      <w:r>
        <w:rPr>
          <w:rFonts w:hint="eastAsia" w:ascii="黑体" w:eastAsia="黑体"/>
          <w:b w:val="0"/>
        </w:rPr>
        <w:t>单位概况</w:t>
      </w:r>
      <w:bookmarkEnd w:id="13"/>
      <w:bookmarkEnd w:id="14"/>
    </w:p>
    <w:p w14:paraId="2D92B61F">
      <w:pPr>
        <w:widowControl/>
        <w:ind w:firstLine="960" w:firstLineChars="300"/>
        <w:jc w:val="left"/>
        <w:rPr>
          <w:rFonts w:hint="eastAsia" w:ascii="黑体" w:hAnsi="Times New Roman" w:eastAsia="黑体" w:cs="Times New Roman"/>
          <w:kern w:val="2"/>
          <w:sz w:val="32"/>
          <w:szCs w:val="32"/>
          <w:lang w:val="en-US" w:eastAsia="zh-CN" w:bidi="ar-SA"/>
        </w:rPr>
      </w:pPr>
      <w:r>
        <w:rPr>
          <w:rFonts w:hint="eastAsia" w:ascii="黑体" w:hAnsi="Times New Roman" w:eastAsia="黑体" w:cs="Times New Roman"/>
          <w:kern w:val="2"/>
          <w:sz w:val="32"/>
          <w:szCs w:val="32"/>
          <w:lang w:val="en-US" w:eastAsia="zh-CN" w:bidi="ar-SA"/>
        </w:rPr>
        <w:t>一、机构设置情况</w:t>
      </w:r>
    </w:p>
    <w:p w14:paraId="0263574D">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（一）设临床科室12个：内科、外科、妇产科、儿科、急诊科、五官科、口腔科、麻醉科、中医康复科、皮肤科、疼痛科、精神科等科室。</w:t>
      </w:r>
      <w:r>
        <w:rPr>
          <w:rFonts w:hint="eastAsia" w:ascii="仿宋" w:hAnsi="宋体" w:eastAsia="仿宋" w:cs="宋体"/>
          <w:kern w:val="0"/>
          <w:sz w:val="32"/>
          <w:szCs w:val="32"/>
          <w:lang w:val="en-US" w:eastAsia="zh-CN" w:bidi="ar"/>
        </w:rPr>
        <w:br w:type="textWrapping"/>
      </w:r>
      <w:r>
        <w:rPr>
          <w:rFonts w:hint="eastAsia" w:ascii="仿宋" w:hAnsi="宋体" w:eastAsia="仿宋" w:cs="宋体"/>
          <w:kern w:val="0"/>
          <w:sz w:val="32"/>
          <w:szCs w:val="32"/>
          <w:lang w:val="en-US" w:eastAsia="zh-CN" w:bidi="ar"/>
        </w:rPr>
        <w:t xml:space="preserve">   （二）设医疗辅助科室8个：药剂科、医学检验科（输血科）、医学影像科、手术室、消毒供应室、超声科、心电图室、体检科等医技科室。  </w:t>
      </w:r>
    </w:p>
    <w:p w14:paraId="1023BB5A">
      <w:pPr>
        <w:widowControl/>
        <w:ind w:firstLine="640" w:firstLineChars="200"/>
        <w:jc w:val="left"/>
        <w:rPr>
          <w:rFonts w:hint="eastAsia" w:ascii="黑体" w:hAnsi="Times New Roman" w:eastAsia="黑体" w:cs="Times New Roman"/>
          <w:kern w:val="2"/>
          <w:sz w:val="32"/>
          <w:szCs w:val="32"/>
          <w:lang w:val="en-US" w:eastAsia="zh-CN" w:bidi="ar-SA"/>
        </w:rPr>
      </w:pPr>
      <w:r>
        <w:rPr>
          <w:rFonts w:hint="eastAsia" w:ascii="仿宋" w:hAnsi="宋体" w:eastAsia="仿宋" w:cs="宋体"/>
          <w:kern w:val="0"/>
          <w:sz w:val="32"/>
          <w:szCs w:val="32"/>
          <w:lang w:val="en-US" w:eastAsia="zh-CN" w:bidi="ar"/>
        </w:rPr>
        <w:t>（三）设职能科室8个：院感科、党政办公室、医务科、护理部、信息科、病案统计科、财务科、后勤保障科。  </w:t>
      </w:r>
    </w:p>
    <w:p w14:paraId="0E27369C">
      <w:pPr>
        <w:widowControl/>
        <w:ind w:firstLine="640" w:firstLineChars="200"/>
        <w:jc w:val="left"/>
        <w:rPr>
          <w:rFonts w:hint="eastAsia"/>
          <w:lang w:val="en-US" w:eastAsia="zh-CN"/>
        </w:rPr>
      </w:pPr>
      <w:bookmarkStart w:id="15" w:name="_Toc15396600"/>
      <w:bookmarkStart w:id="16" w:name="_Toc15377197"/>
      <w:r>
        <w:rPr>
          <w:rFonts w:hint="eastAsia" w:ascii="黑体" w:hAnsi="Times New Roman" w:eastAsia="黑体" w:cs="Times New Roman"/>
          <w:kern w:val="2"/>
          <w:sz w:val="32"/>
          <w:szCs w:val="32"/>
          <w:lang w:val="en-US" w:eastAsia="zh-CN" w:bidi="ar-SA"/>
        </w:rPr>
        <w:t>二、职能简</w:t>
      </w:r>
      <w:r>
        <w:rPr>
          <w:rFonts w:hint="eastAsia" w:ascii="黑体" w:hAnsi="Times New Roman" w:eastAsia="黑体" w:cs="Times New Roman"/>
          <w:b w:val="0"/>
          <w:bCs w:val="0"/>
          <w:kern w:val="2"/>
          <w:sz w:val="32"/>
          <w:szCs w:val="32"/>
          <w:lang w:val="en-US" w:eastAsia="zh-CN" w:bidi="ar-SA"/>
        </w:rPr>
        <w:t>介</w:t>
      </w:r>
    </w:p>
    <w:p w14:paraId="2F2AAC12">
      <w:pPr>
        <w:widowControl/>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 xml:space="preserve">    承担县内常见病、多发病的诊治任务，承担急危重症抢救和复杂疑难病症诊治任务;承担120急救和各类突发事故的现场抢救及院内急救;接受下级医疗卫生机构的转诊，指导乡(镇)卫生院做好医疗、康复、预防保健等业务技术工作;贯彻执行传染病预防诊治和管理工作,开展健康教育，进行防病指导;承担基层医疗卫生机构卫生技术人员的进修和培训。</w:t>
      </w:r>
    </w:p>
    <w:p w14:paraId="4B83E330">
      <w:pPr>
        <w:widowControl/>
        <w:ind w:firstLine="640" w:firstLineChars="200"/>
        <w:jc w:val="left"/>
        <w:rPr>
          <w:rFonts w:hint="eastAsia" w:ascii="黑体" w:hAnsi="Times New Roman" w:eastAsia="黑体" w:cs="Times New Roman"/>
          <w:kern w:val="2"/>
          <w:sz w:val="32"/>
          <w:szCs w:val="32"/>
          <w:lang w:val="en-US" w:eastAsia="zh-CN" w:bidi="ar-SA"/>
        </w:rPr>
      </w:pPr>
      <w:r>
        <w:rPr>
          <w:rFonts w:hint="eastAsia" w:ascii="黑体" w:hAnsi="Times New Roman" w:eastAsia="黑体" w:cs="Times New Roman"/>
          <w:kern w:val="2"/>
          <w:sz w:val="32"/>
          <w:szCs w:val="32"/>
          <w:lang w:val="en-US" w:eastAsia="zh-CN" w:bidi="ar-SA"/>
        </w:rPr>
        <w:t>三、2023年重点工作</w:t>
      </w:r>
      <w:bookmarkEnd w:id="15"/>
      <w:bookmarkEnd w:id="16"/>
      <w:r>
        <w:rPr>
          <w:rFonts w:hint="eastAsia" w:ascii="黑体" w:hAnsi="Times New Roman" w:eastAsia="黑体" w:cs="Times New Roman"/>
          <w:kern w:val="2"/>
          <w:sz w:val="32"/>
          <w:szCs w:val="32"/>
          <w:lang w:val="en-US" w:eastAsia="zh-CN" w:bidi="ar-SA"/>
        </w:rPr>
        <w:t>完成情况</w:t>
      </w:r>
    </w:p>
    <w:p w14:paraId="7B18E06D">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（一）以病人为中心，强抓医疗业务工作。</w:t>
      </w:r>
    </w:p>
    <w:p w14:paraId="3EC1E5D0">
      <w:pPr>
        <w:widowControl/>
        <w:ind w:firstLine="640" w:firstLineChars="200"/>
        <w:jc w:val="left"/>
        <w:rPr>
          <w:rFonts w:hint="default"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（1）健全制度保障，</w:t>
      </w:r>
      <w:r>
        <w:rPr>
          <w:rFonts w:hint="eastAsia" w:ascii="仿宋" w:hAnsi="宋体" w:eastAsia="仿宋" w:cs="宋体"/>
          <w:kern w:val="0"/>
          <w:sz w:val="32"/>
          <w:szCs w:val="32"/>
          <w:lang w:val="zh-CN" w:eastAsia="zh-CN" w:bidi="ar"/>
        </w:rPr>
        <w:t>医疗、</w:t>
      </w:r>
      <w:r>
        <w:rPr>
          <w:rFonts w:hint="eastAsia" w:ascii="仿宋" w:hAnsi="宋体" w:eastAsia="仿宋" w:cs="宋体"/>
          <w:kern w:val="0"/>
          <w:sz w:val="32"/>
          <w:szCs w:val="32"/>
          <w:lang w:val="en-US" w:eastAsia="zh-CN" w:bidi="ar"/>
        </w:rPr>
        <w:t>护理、院感</w:t>
      </w:r>
      <w:r>
        <w:rPr>
          <w:rFonts w:hint="eastAsia" w:ascii="仿宋" w:hAnsi="宋体" w:eastAsia="仿宋" w:cs="宋体"/>
          <w:kern w:val="0"/>
          <w:sz w:val="32"/>
          <w:szCs w:val="32"/>
          <w:lang w:val="zh-CN" w:eastAsia="zh-CN" w:bidi="ar"/>
        </w:rPr>
        <w:t>质量</w:t>
      </w:r>
      <w:r>
        <w:rPr>
          <w:rFonts w:hint="eastAsia" w:ascii="仿宋" w:hAnsi="宋体" w:eastAsia="仿宋" w:cs="宋体"/>
          <w:kern w:val="0"/>
          <w:sz w:val="32"/>
          <w:szCs w:val="32"/>
          <w:lang w:val="en-US" w:eastAsia="zh-CN" w:bidi="ar"/>
        </w:rPr>
        <w:t>进一步提升。</w:t>
      </w:r>
    </w:p>
    <w:p w14:paraId="0B5BC4C6">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一是通过强化制度保障、健全规范标准、完善质控体系、科学精细指导和推进质量公开等具体举措，全面贯彻落实十八项核心制度，提升医疗质量管理的科学化、专业化和精细化水平。采用PDCA循环管理手段，使医疗质量在PDCA循环中不断得到提升。1-9月修订并完善了各项质量管理制度和流程文件。</w:t>
      </w:r>
    </w:p>
    <w:p w14:paraId="7AF06D82">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二是组织业务查房、全院培训、院感培训、开展院感应急演练。其中“组团式”帮扶队员开展学术讲座、业务培训、教学查房、疑难病例讨论、远程会诊。签订“师带徒”协议。绵阳市第三人民医院领导班子带队，分批次来院开展定点帮扶指导工作。打造急诊医学科、新生儿科、重症医学科，电子胃肠镜等新技术、新项目。把三甲医院先进的诊疗技术及管理经验带到我院，并逐步取得实效，通过对口支援各位老师手把手在日常工作中的“传、帮、带”，让我院年轻医生尽快成长。</w:t>
      </w:r>
    </w:p>
    <w:p w14:paraId="57F6B508">
      <w:pPr>
        <w:widowControl/>
        <w:ind w:firstLine="640" w:firstLineChars="200"/>
        <w:jc w:val="left"/>
        <w:rPr>
          <w:rFonts w:hint="default"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三是紧扣“二级公立医院绩效考核”指标，强化数据管理。以二级公立医院绩效考核指标为抓手，层层落实责任，月月分析问题和差距，找出问题的根源，从源头上进行整改。医疗质量稳步提升，医疗服务能力明显提高。今年1-10月无医疗纠纷发生。</w:t>
      </w:r>
    </w:p>
    <w:p w14:paraId="16FB6194">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（2）抓“帮扶”，强学科，推动综合实力的提升</w:t>
      </w:r>
    </w:p>
    <w:p w14:paraId="1D56EFA6">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一是积极建设急诊急救“五大中心”。目前卒中中心、胸痛中心、创伤中心、危重孕产妇救治中心、危重儿童和新生儿救治中心已建成，硬件设施已到位，部分人才培养正在进行中。二是呼吸内科成功创建州级临床重点专科、重症医学科申报省级临床重点专科。新增感染科、公共卫生科、结核病门诊等3个科室。由帮扶团队指导制定流感病人收治流程，并督导临床科室规范处理流感病人，提升医院传染病和突发公共卫生事件处置能力，取得了很好的社会效益。三是引进1名中医康复疼痛人才，目前建成中藏医康复、疼痛一体化医疗服务平台。四是开展新技术新项目达22项。通过定期培训，将呼吸机治疗，心肺复苏等技术作为重点，提升抢救能力。新进的医疗设备如肺功能检测仪、睡眠呼吸检测、经颅多普勒均投入使用。五是开展免费“翼状胬肉”和“白内障”手术100余台次，吸引了甘肃、青海、若尔盖、松潘等周边地区的农牧民群众前来就医。提高了服务质量和服务水平，患者满意度居全州第三位、职工满意度居全州前例，医疗服务能力居全州县级医院第二名。</w:t>
      </w:r>
    </w:p>
    <w:p w14:paraId="16087A5B">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（3）抓外延、强服务，扎实开展“联户联情、巡诊义诊、健康体检”。</w:t>
      </w:r>
    </w:p>
    <w:p w14:paraId="1F1B8A80">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一是联户联情。利用3月、7月、10月等时间节点，院领导班子带队，组织党员干部、专业技术人员深入色地镇茸塔玛村与10座寺庙，宣讲党委政府的利民惠民各项政策和措施。</w:t>
      </w:r>
    </w:p>
    <w:p w14:paraId="6BA1C081">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 xml:space="preserve">二是义诊巡诊。利用医疗卫生专业技术力量，宣传常见病，多发病的防治知识。深入各乡镇、村、寺庙开展了巡诊义诊。赢得了老百姓及僧侣的一致好评和上级部门的肯定和认可。     </w:t>
      </w:r>
    </w:p>
    <w:p w14:paraId="3F9EC14D">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（二））持续推进人才队伍建设。</w:t>
      </w:r>
    </w:p>
    <w:p w14:paraId="55E7AA0A">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（1）资金支持，壮大人才队伍。设立人才引进专项资金80万元，用于引进紧缺人才。年度人才培育基金20万元，分层培育“高端人才、青年英才、后备人才、青苗孵化”四类人才。</w:t>
      </w:r>
    </w:p>
    <w:p w14:paraId="6A83BFAA">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（2）实践育才，提高人才质量。医院制定人才培养规划，先后派出123人次专业技术人员参加省、州上级医院进修学习；选派了13人赴绵阳市第三人民医院等地进修学习；派出24名管理和中层干部到浙江学习考察。</w:t>
      </w:r>
    </w:p>
    <w:p w14:paraId="1E3A06DC">
      <w:pPr>
        <w:widowControl/>
        <w:ind w:firstLine="640" w:firstLineChars="200"/>
        <w:jc w:val="left"/>
        <w:rPr>
          <w:rFonts w:hint="default"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3）厚植沃土，节节拔高人才。依托对口帮扶人员进行院内培训，开展学术讲座、教学查房、疑难病例讨论、远程会诊等近200次，培训医务人员2580余人次，不断厚植本土人才沃土。与阿坝职业学院签署战略合作共建协议，共建校内外教学实践基地。</w:t>
      </w:r>
    </w:p>
    <w:p w14:paraId="5DB309BF">
      <w:pPr>
        <w:widowControl/>
        <w:ind w:firstLine="640" w:firstLineChars="200"/>
        <w:jc w:val="left"/>
        <w:rPr>
          <w:rFonts w:hint="eastAsia" w:ascii="仿宋" w:hAnsi="宋体" w:eastAsia="仿宋" w:cs="宋体"/>
          <w:kern w:val="0"/>
          <w:sz w:val="32"/>
          <w:szCs w:val="32"/>
          <w:lang w:val="en-US" w:eastAsia="zh-CN" w:bidi="ar"/>
        </w:rPr>
      </w:pPr>
      <w:r>
        <w:rPr>
          <w:rFonts w:hint="eastAsia" w:ascii="仿宋" w:hAnsi="宋体" w:eastAsia="仿宋" w:cs="宋体"/>
          <w:kern w:val="0"/>
          <w:sz w:val="32"/>
          <w:szCs w:val="32"/>
          <w:lang w:val="en-US" w:eastAsia="zh-CN" w:bidi="ar"/>
        </w:rPr>
        <w:t>（4）引凤筑巢，夯实人才基础。不断深化东西部协作和省内对口帮扶工作，25名援助医师“传帮带”75名管理和专业技术人才，“手把手”带教帮扶，6名本地医生能独立开展1—2种新技术，填补了腹腔镜微创手术、无痛电子胃肠镜、CT增强技术、癌痛规范化诊治等多项医疗技术短板。同时进一步加强两院科科联盟建设，不断夯实人才基础提高医院综合服务能力。变“输血”为“造血”，全面提升红原县人民医院管理水平和医疗服务能力。</w:t>
      </w:r>
    </w:p>
    <w:p w14:paraId="09EA930D">
      <w:pPr>
        <w:pStyle w:val="4"/>
        <w:pageBreakBefore w:val="0"/>
        <w:kinsoku/>
        <w:wordWrap/>
        <w:overflowPunct/>
        <w:topLinePunct w:val="0"/>
        <w:autoSpaceDE/>
        <w:autoSpaceDN/>
        <w:bidi w:val="0"/>
        <w:adjustRightInd/>
        <w:snapToGrid/>
        <w:spacing w:line="560" w:lineRule="exact"/>
        <w:ind w:right="440"/>
        <w:jc w:val="both"/>
        <w:textAlignment w:val="auto"/>
      </w:pPr>
      <w:bookmarkStart w:id="17" w:name="_Toc15377204"/>
      <w:bookmarkStart w:id="18" w:name="_Toc15396602"/>
      <w:r>
        <w:rPr>
          <w:rFonts w:hint="eastAsia" w:ascii="黑体" w:eastAsia="黑体"/>
          <w:b w:val="0"/>
          <w:lang w:val="en-US" w:eastAsia="zh-CN"/>
        </w:rPr>
        <w:t xml:space="preserve"> </w:t>
      </w:r>
      <w:r>
        <w:rPr>
          <w:rFonts w:hint="eastAsia" w:ascii="黑体" w:eastAsia="黑体"/>
          <w:b w:val="0"/>
        </w:rPr>
        <w:t>第二部分 202</w:t>
      </w:r>
      <w:r>
        <w:rPr>
          <w:rFonts w:hint="eastAsia" w:ascii="黑体" w:eastAsia="黑体"/>
          <w:b w:val="0"/>
          <w:lang w:val="en-US" w:eastAsia="zh-CN"/>
        </w:rPr>
        <w:t>3</w:t>
      </w:r>
      <w:r>
        <w:rPr>
          <w:rFonts w:hint="eastAsia" w:ascii="黑体" w:eastAsia="黑体"/>
          <w:b w:val="0"/>
        </w:rPr>
        <w:t>年度</w:t>
      </w:r>
      <w:r>
        <w:rPr>
          <w:rStyle w:val="22"/>
          <w:rFonts w:hint="eastAsia" w:ascii="黑体" w:eastAsia="黑体"/>
          <w:b w:val="0"/>
          <w:bCs/>
        </w:rPr>
        <w:t>单位决算情况说明</w:t>
      </w:r>
      <w:bookmarkEnd w:id="17"/>
      <w:bookmarkEnd w:id="18"/>
    </w:p>
    <w:p w14:paraId="66A6BEE5">
      <w:pPr>
        <w:pStyle w:val="28"/>
        <w:pageBreakBefore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23"/>
          <w:rFonts w:ascii="黑体" w:eastAsia="黑体"/>
          <w:b w:val="0"/>
        </w:rPr>
      </w:pPr>
      <w:bookmarkStart w:id="19" w:name="_Toc15377205"/>
      <w:bookmarkStart w:id="20" w:name="_Toc15396603"/>
      <w:r>
        <w:rPr>
          <w:rFonts w:hint="eastAsia" w:ascii="黑体" w:eastAsia="黑体"/>
          <w:sz w:val="32"/>
          <w:szCs w:val="32"/>
        </w:rPr>
        <w:t>收</w:t>
      </w:r>
      <w:r>
        <w:rPr>
          <w:rStyle w:val="23"/>
          <w:rFonts w:hint="eastAsia" w:ascii="黑体" w:eastAsia="黑体"/>
          <w:b w:val="0"/>
        </w:rPr>
        <w:t>入支出决算总体情况说明</w:t>
      </w:r>
      <w:bookmarkEnd w:id="19"/>
      <w:bookmarkEnd w:id="20"/>
    </w:p>
    <w:p w14:paraId="68C79DA3">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 w:eastAsia="仿宋"/>
          <w:sz w:val="32"/>
          <w:szCs w:val="32"/>
          <w:lang w:val="en-US" w:eastAsia="zh-CN"/>
        </w:rPr>
      </w:pPr>
      <w:r>
        <w:rPr>
          <w:rFonts w:hint="eastAsia" w:ascii="仿宋" w:eastAsia="仿宋"/>
          <w:sz w:val="32"/>
          <w:szCs w:val="32"/>
        </w:rPr>
        <w:t>202</w:t>
      </w:r>
      <w:r>
        <w:rPr>
          <w:rFonts w:hint="eastAsia" w:ascii="仿宋" w:eastAsia="仿宋"/>
          <w:sz w:val="32"/>
          <w:szCs w:val="32"/>
          <w:lang w:val="en-US" w:eastAsia="zh-CN"/>
        </w:rPr>
        <w:t>3</w:t>
      </w:r>
      <w:r>
        <w:rPr>
          <w:rFonts w:hint="eastAsia" w:ascii="仿宋" w:eastAsia="仿宋"/>
          <w:sz w:val="32"/>
          <w:szCs w:val="32"/>
        </w:rPr>
        <w:t>年度收</w:t>
      </w:r>
      <w:r>
        <w:rPr>
          <w:rFonts w:hint="eastAsia" w:ascii="仿宋" w:eastAsia="仿宋"/>
          <w:sz w:val="32"/>
          <w:szCs w:val="32"/>
          <w:lang w:val="en-US" w:eastAsia="zh-CN"/>
        </w:rPr>
        <w:t>入6705.41</w:t>
      </w:r>
      <w:r>
        <w:rPr>
          <w:rFonts w:hint="eastAsia" w:ascii="仿宋" w:eastAsia="仿宋"/>
          <w:sz w:val="32"/>
          <w:szCs w:val="32"/>
        </w:rPr>
        <w:t>万元、支</w:t>
      </w:r>
      <w:r>
        <w:rPr>
          <w:rFonts w:hint="eastAsia" w:ascii="仿宋" w:eastAsia="仿宋"/>
          <w:sz w:val="32"/>
          <w:szCs w:val="32"/>
          <w:lang w:val="en-US" w:eastAsia="zh-CN"/>
        </w:rPr>
        <w:t>出6146.04</w:t>
      </w:r>
      <w:r>
        <w:rPr>
          <w:rFonts w:hint="eastAsia" w:ascii="仿宋" w:eastAsia="仿宋"/>
          <w:sz w:val="32"/>
          <w:szCs w:val="32"/>
        </w:rPr>
        <w:t>万元。与202</w:t>
      </w:r>
      <w:r>
        <w:rPr>
          <w:rFonts w:hint="eastAsia" w:ascii="仿宋" w:eastAsia="仿宋"/>
          <w:sz w:val="32"/>
          <w:szCs w:val="32"/>
          <w:lang w:val="en-US" w:eastAsia="zh-CN"/>
        </w:rPr>
        <w:t>2</w:t>
      </w:r>
      <w:r>
        <w:rPr>
          <w:rFonts w:hint="eastAsia" w:ascii="仿宋" w:eastAsia="仿宋"/>
          <w:sz w:val="32"/>
          <w:szCs w:val="32"/>
        </w:rPr>
        <w:t>年相比，</w:t>
      </w:r>
      <w:r>
        <w:rPr>
          <w:rFonts w:hint="eastAsia" w:ascii="仿宋" w:eastAsia="仿宋"/>
          <w:sz w:val="32"/>
          <w:szCs w:val="32"/>
          <w:lang w:val="en-US" w:eastAsia="zh-CN"/>
        </w:rPr>
        <w:t>收入增加3837.5万元、支出增加3130.76万元，收入增加%，支出增加%。主要变动原因是2022年预算一体化中事业收入和事业支出未纳入决算数2023年已纳入所以本年收入支出数较上年变动较大。</w:t>
      </w:r>
    </w:p>
    <w:p w14:paraId="5D862A99">
      <w:pPr>
        <w:pStyle w:val="10"/>
      </w:pPr>
      <w:r>
        <w:drawing>
          <wp:inline distT="0" distB="0" distL="114300" distR="114300">
            <wp:extent cx="4826000" cy="2521585"/>
            <wp:effectExtent l="4445" t="4445" r="8255" b="7620"/>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35D75E1">
      <w:pPr>
        <w:pStyle w:val="28"/>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23"/>
          <w:rFonts w:ascii="黑体" w:eastAsia="黑体"/>
          <w:b w:val="0"/>
        </w:rPr>
      </w:pPr>
      <w:bookmarkStart w:id="21" w:name="_Toc15377206"/>
      <w:bookmarkStart w:id="22" w:name="_Toc15396604"/>
      <w:r>
        <w:rPr>
          <w:rFonts w:hint="eastAsia" w:ascii="黑体" w:eastAsia="黑体"/>
          <w:sz w:val="32"/>
          <w:szCs w:val="32"/>
        </w:rPr>
        <w:t>收</w:t>
      </w:r>
      <w:r>
        <w:rPr>
          <w:rStyle w:val="23"/>
          <w:rFonts w:hint="eastAsia" w:ascii="黑体" w:eastAsia="黑体"/>
          <w:b w:val="0"/>
        </w:rPr>
        <w:t>入决算情况说明</w:t>
      </w:r>
      <w:bookmarkEnd w:id="21"/>
      <w:bookmarkEnd w:id="22"/>
    </w:p>
    <w:p w14:paraId="285D93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eastAsia="仿宋"/>
          <w:color w:val="auto"/>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年本年收入合计</w:t>
      </w:r>
      <w:r>
        <w:rPr>
          <w:rFonts w:hint="eastAsia" w:ascii="仿宋" w:eastAsia="仿宋"/>
          <w:sz w:val="32"/>
          <w:szCs w:val="32"/>
          <w:lang w:val="en-US" w:eastAsia="zh-CN"/>
        </w:rPr>
        <w:t>6705.41</w:t>
      </w:r>
      <w:r>
        <w:rPr>
          <w:rFonts w:hint="eastAsia" w:ascii="仿宋" w:eastAsia="仿宋"/>
          <w:sz w:val="32"/>
          <w:szCs w:val="32"/>
        </w:rPr>
        <w:t>万元，其中：一般公共预算财政拨款收入</w:t>
      </w:r>
      <w:r>
        <w:rPr>
          <w:rFonts w:hint="eastAsia" w:ascii="仿宋" w:eastAsia="仿宋"/>
          <w:sz w:val="32"/>
          <w:szCs w:val="32"/>
          <w:lang w:val="en-US" w:eastAsia="zh-CN"/>
        </w:rPr>
        <w:t>3884.50</w:t>
      </w:r>
      <w:r>
        <w:rPr>
          <w:rFonts w:hint="eastAsia" w:ascii="仿宋" w:eastAsia="仿宋"/>
          <w:sz w:val="32"/>
          <w:szCs w:val="32"/>
        </w:rPr>
        <w:t>万元，占</w:t>
      </w:r>
      <w:r>
        <w:rPr>
          <w:rFonts w:hint="eastAsia" w:ascii="仿宋" w:eastAsia="仿宋"/>
          <w:color w:val="auto"/>
          <w:sz w:val="32"/>
          <w:szCs w:val="32"/>
          <w:lang w:val="en-US" w:eastAsia="zh-CN"/>
        </w:rPr>
        <w:t>57.93</w:t>
      </w:r>
      <w:r>
        <w:rPr>
          <w:rFonts w:hint="eastAsia" w:ascii="仿宋" w:eastAsia="仿宋"/>
          <w:color w:val="auto"/>
          <w:sz w:val="32"/>
          <w:szCs w:val="32"/>
        </w:rPr>
        <w:t>%；政府性基金预算财政拨款收入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%；国有资本经营预算财政拨款收入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%；上级补助收入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%；事业收入</w:t>
      </w:r>
      <w:r>
        <w:rPr>
          <w:rFonts w:hint="eastAsia" w:ascii="仿宋" w:eastAsia="仿宋"/>
          <w:color w:val="auto"/>
          <w:sz w:val="32"/>
          <w:szCs w:val="32"/>
          <w:lang w:val="en-US" w:eastAsia="zh-CN"/>
        </w:rPr>
        <w:t>2820.90</w:t>
      </w:r>
      <w:r>
        <w:rPr>
          <w:rFonts w:hint="eastAsia" w:ascii="仿宋" w:eastAsia="仿宋"/>
          <w:color w:val="auto"/>
          <w:sz w:val="32"/>
          <w:szCs w:val="32"/>
        </w:rPr>
        <w:t>万元，占</w:t>
      </w:r>
      <w:r>
        <w:rPr>
          <w:rFonts w:hint="eastAsia" w:ascii="仿宋" w:eastAsia="仿宋"/>
          <w:color w:val="auto"/>
          <w:sz w:val="32"/>
          <w:szCs w:val="32"/>
          <w:lang w:val="en-US" w:eastAsia="zh-CN"/>
        </w:rPr>
        <w:t>42.07</w:t>
      </w:r>
      <w:r>
        <w:rPr>
          <w:rFonts w:hint="eastAsia" w:ascii="仿宋" w:eastAsia="仿宋"/>
          <w:color w:val="auto"/>
          <w:sz w:val="32"/>
          <w:szCs w:val="32"/>
        </w:rPr>
        <w:t>%；经营收入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%；附属单位上缴收入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%；其他收入</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hint="eastAsia" w:ascii="仿宋" w:eastAsia="仿宋"/>
          <w:color w:val="auto"/>
          <w:sz w:val="32"/>
          <w:szCs w:val="32"/>
        </w:rPr>
        <w:t>%。</w:t>
      </w:r>
    </w:p>
    <w:p w14:paraId="37460091">
      <w:pPr>
        <w:pStyle w:val="10"/>
        <w:rPr>
          <w:rFonts w:ascii="仿宋_GB2312" w:eastAsia="仿宋_GB2312"/>
          <w:sz w:val="32"/>
          <w:szCs w:val="32"/>
        </w:rPr>
      </w:pPr>
      <w:r>
        <w:drawing>
          <wp:inline distT="0" distB="0" distL="114300" distR="114300">
            <wp:extent cx="4826000" cy="2743200"/>
            <wp:effectExtent l="4445" t="4445" r="8255" b="14605"/>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86CAB8">
      <w:pPr>
        <w:pStyle w:val="28"/>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outlineLvl w:val="1"/>
        <w:rPr>
          <w:rStyle w:val="23"/>
          <w:rFonts w:ascii="黑体" w:eastAsia="黑体"/>
          <w:b w:val="0"/>
        </w:rPr>
      </w:pPr>
      <w:bookmarkStart w:id="23" w:name="_Toc15377207"/>
      <w:bookmarkStart w:id="24" w:name="_Toc15396605"/>
      <w:r>
        <w:rPr>
          <w:rFonts w:hint="eastAsia" w:ascii="黑体" w:eastAsia="黑体"/>
          <w:sz w:val="32"/>
          <w:szCs w:val="32"/>
        </w:rPr>
        <w:t>支</w:t>
      </w:r>
      <w:r>
        <w:rPr>
          <w:rStyle w:val="23"/>
          <w:rFonts w:hint="eastAsia" w:ascii="黑体" w:eastAsia="黑体"/>
          <w:b w:val="0"/>
        </w:rPr>
        <w:t>出决算情况说明</w:t>
      </w:r>
      <w:bookmarkEnd w:id="23"/>
      <w:bookmarkEnd w:id="24"/>
    </w:p>
    <w:p w14:paraId="7B715D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年本年支出合计</w:t>
      </w:r>
      <w:r>
        <w:rPr>
          <w:rFonts w:hint="eastAsia" w:ascii="仿宋" w:eastAsia="仿宋"/>
          <w:sz w:val="32"/>
          <w:szCs w:val="32"/>
          <w:lang w:val="en-US" w:eastAsia="zh-CN"/>
        </w:rPr>
        <w:t>6146.04</w:t>
      </w:r>
      <w:r>
        <w:rPr>
          <w:rFonts w:hint="eastAsia" w:ascii="仿宋" w:eastAsia="仿宋"/>
          <w:sz w:val="32"/>
          <w:szCs w:val="32"/>
        </w:rPr>
        <w:t>万元，其中：基本支出</w:t>
      </w:r>
      <w:r>
        <w:rPr>
          <w:rFonts w:hint="eastAsia" w:ascii="仿宋" w:eastAsia="仿宋"/>
          <w:sz w:val="32"/>
          <w:szCs w:val="32"/>
          <w:lang w:val="en-US" w:eastAsia="zh-CN"/>
        </w:rPr>
        <w:t>4837.41</w:t>
      </w:r>
      <w:r>
        <w:rPr>
          <w:rFonts w:hint="eastAsia" w:ascii="仿宋" w:eastAsia="仿宋"/>
          <w:sz w:val="32"/>
          <w:szCs w:val="32"/>
        </w:rPr>
        <w:t>万元，占</w:t>
      </w:r>
      <w:r>
        <w:rPr>
          <w:rFonts w:hint="eastAsia" w:ascii="仿宋" w:eastAsia="仿宋"/>
          <w:sz w:val="32"/>
          <w:szCs w:val="32"/>
          <w:lang w:val="en-US" w:eastAsia="zh-CN"/>
        </w:rPr>
        <w:t>78.71</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1308.63</w:t>
      </w:r>
      <w:r>
        <w:rPr>
          <w:rFonts w:hint="eastAsia" w:ascii="仿宋" w:eastAsia="仿宋"/>
          <w:sz w:val="32"/>
          <w:szCs w:val="32"/>
        </w:rPr>
        <w:t>万元，占</w:t>
      </w:r>
      <w:r>
        <w:rPr>
          <w:rFonts w:hint="eastAsia" w:ascii="仿宋" w:eastAsia="仿宋"/>
          <w:sz w:val="32"/>
          <w:szCs w:val="32"/>
          <w:lang w:val="en-US" w:eastAsia="zh-CN"/>
        </w:rPr>
        <w:t>21.29</w:t>
      </w:r>
      <w:r>
        <w:rPr>
          <w:rFonts w:ascii="仿宋" w:eastAsia="仿宋"/>
          <w:sz w:val="32"/>
          <w:szCs w:val="32"/>
        </w:rPr>
        <w:t>%</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14:paraId="59C28DC9">
      <w:pPr>
        <w:pStyle w:val="10"/>
        <w:rPr>
          <w:rFonts w:ascii="仿宋_GB2312" w:eastAsia="仿宋_GB2312"/>
          <w:sz w:val="32"/>
          <w:szCs w:val="32"/>
        </w:rPr>
      </w:pPr>
      <w:r>
        <w:drawing>
          <wp:inline distT="0" distB="0" distL="114300" distR="114300">
            <wp:extent cx="4826000" cy="2458085"/>
            <wp:effectExtent l="4445" t="4445" r="8255" b="13970"/>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6517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3"/>
          <w:rFonts w:ascii="黑体" w:eastAsia="黑体"/>
          <w:b w:val="0"/>
        </w:rPr>
      </w:pPr>
      <w:bookmarkStart w:id="25" w:name="_Toc15377208"/>
      <w:bookmarkStart w:id="26" w:name="_Toc15396606"/>
      <w:r>
        <w:rPr>
          <w:rFonts w:hint="eastAsia" w:ascii="黑体" w:eastAsia="黑体"/>
          <w:color w:val="auto"/>
          <w:sz w:val="32"/>
          <w:szCs w:val="32"/>
        </w:rPr>
        <w:t>四、</w:t>
      </w:r>
      <w:r>
        <w:rPr>
          <w:rFonts w:hint="eastAsia" w:ascii="黑体" w:eastAsia="黑体"/>
          <w:sz w:val="32"/>
          <w:szCs w:val="32"/>
        </w:rPr>
        <w:t>财</w:t>
      </w:r>
      <w:r>
        <w:rPr>
          <w:rStyle w:val="23"/>
          <w:rFonts w:hint="eastAsia" w:ascii="黑体" w:eastAsia="黑体"/>
          <w:b w:val="0"/>
        </w:rPr>
        <w:t>政拨款收入支出决算总体情况说明</w:t>
      </w:r>
      <w:bookmarkEnd w:id="25"/>
      <w:bookmarkEnd w:id="26"/>
    </w:p>
    <w:p w14:paraId="02740592">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年财政拨款收</w:t>
      </w:r>
      <w:r>
        <w:rPr>
          <w:rFonts w:hint="eastAsia" w:ascii="仿宋" w:eastAsia="仿宋"/>
          <w:sz w:val="32"/>
          <w:szCs w:val="32"/>
          <w:lang w:val="en-US" w:eastAsia="zh-CN"/>
        </w:rPr>
        <w:t>入3884.50</w:t>
      </w:r>
      <w:r>
        <w:rPr>
          <w:rFonts w:hint="eastAsia" w:ascii="仿宋" w:eastAsia="仿宋"/>
          <w:sz w:val="32"/>
          <w:szCs w:val="32"/>
        </w:rPr>
        <w:t>万元、支</w:t>
      </w:r>
      <w:r>
        <w:rPr>
          <w:rFonts w:hint="eastAsia" w:ascii="仿宋" w:eastAsia="仿宋"/>
          <w:sz w:val="32"/>
          <w:szCs w:val="32"/>
          <w:lang w:val="en-US" w:eastAsia="zh-CN"/>
        </w:rPr>
        <w:t>出3884.50</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年相比，财政拨款收</w:t>
      </w:r>
      <w:r>
        <w:rPr>
          <w:rFonts w:hint="eastAsia" w:ascii="仿宋" w:eastAsia="仿宋"/>
          <w:sz w:val="32"/>
          <w:szCs w:val="32"/>
          <w:lang w:val="en-US" w:eastAsia="zh-CN"/>
        </w:rPr>
        <w:t>入增加1031.27</w:t>
      </w:r>
      <w:r>
        <w:rPr>
          <w:rFonts w:hint="eastAsia" w:ascii="仿宋" w:eastAsia="仿宋"/>
          <w:sz w:val="32"/>
          <w:szCs w:val="32"/>
        </w:rPr>
        <w:t>万元、支</w:t>
      </w:r>
      <w:r>
        <w:rPr>
          <w:rFonts w:hint="eastAsia" w:ascii="仿宋" w:eastAsia="仿宋"/>
          <w:sz w:val="32"/>
          <w:szCs w:val="32"/>
          <w:lang w:val="en-US" w:eastAsia="zh-CN"/>
        </w:rPr>
        <w:t>出增加883.91</w:t>
      </w:r>
      <w:r>
        <w:rPr>
          <w:rFonts w:hint="eastAsia" w:ascii="仿宋" w:eastAsia="仿宋"/>
          <w:sz w:val="32"/>
          <w:szCs w:val="32"/>
        </w:rPr>
        <w:t>万元</w:t>
      </w:r>
      <w:r>
        <w:rPr>
          <w:rFonts w:hint="eastAsia" w:ascii="仿宋" w:eastAsia="仿宋"/>
          <w:sz w:val="32"/>
          <w:szCs w:val="32"/>
          <w:lang w:eastAsia="zh-CN"/>
        </w:rPr>
        <w:t>，</w:t>
      </w:r>
      <w:r>
        <w:rPr>
          <w:rFonts w:hint="eastAsia" w:ascii="仿宋" w:eastAsia="仿宋"/>
          <w:sz w:val="32"/>
          <w:szCs w:val="32"/>
          <w:lang w:val="en-US" w:eastAsia="zh-CN"/>
        </w:rPr>
        <w:t>收入增加36.14</w:t>
      </w:r>
      <w:r>
        <w:rPr>
          <w:rFonts w:hint="eastAsia" w:ascii="仿宋" w:eastAsia="仿宋"/>
          <w:sz w:val="32"/>
          <w:szCs w:val="32"/>
        </w:rPr>
        <w:t>%</w:t>
      </w:r>
      <w:r>
        <w:rPr>
          <w:rFonts w:hint="eastAsia" w:ascii="仿宋" w:eastAsia="仿宋"/>
          <w:sz w:val="32"/>
          <w:szCs w:val="32"/>
          <w:lang w:eastAsia="zh-CN"/>
        </w:rPr>
        <w:t>、</w:t>
      </w:r>
      <w:r>
        <w:rPr>
          <w:rFonts w:hint="eastAsia" w:ascii="仿宋" w:eastAsia="仿宋"/>
          <w:sz w:val="32"/>
          <w:szCs w:val="32"/>
          <w:lang w:val="en-US" w:eastAsia="zh-CN"/>
        </w:rPr>
        <w:t>支出增加29.45</w:t>
      </w:r>
      <w:r>
        <w:rPr>
          <w:rFonts w:hint="eastAsia" w:ascii="仿宋" w:eastAsia="仿宋"/>
          <w:sz w:val="32"/>
          <w:szCs w:val="32"/>
        </w:rPr>
        <w:t>%。主要变动原因是今年</w:t>
      </w:r>
      <w:r>
        <w:rPr>
          <w:rFonts w:hint="eastAsia" w:ascii="仿宋" w:eastAsia="仿宋"/>
          <w:sz w:val="32"/>
          <w:szCs w:val="32"/>
          <w:lang w:val="en-US" w:eastAsia="zh-CN"/>
        </w:rPr>
        <w:t>增加新进人员和</w:t>
      </w:r>
      <w:r>
        <w:rPr>
          <w:rFonts w:hint="eastAsia" w:ascii="仿宋" w:eastAsia="仿宋"/>
          <w:sz w:val="32"/>
          <w:szCs w:val="32"/>
        </w:rPr>
        <w:t>财政项目收支</w:t>
      </w:r>
      <w:r>
        <w:rPr>
          <w:rFonts w:hint="eastAsia" w:ascii="仿宋" w:eastAsia="仿宋"/>
          <w:sz w:val="32"/>
          <w:szCs w:val="32"/>
          <w:lang w:val="en-US" w:eastAsia="zh-CN"/>
        </w:rPr>
        <w:t>增加</w:t>
      </w:r>
      <w:r>
        <w:rPr>
          <w:rFonts w:hint="eastAsia" w:ascii="仿宋" w:eastAsia="仿宋"/>
          <w:sz w:val="32"/>
          <w:szCs w:val="32"/>
        </w:rPr>
        <w:t>。</w:t>
      </w:r>
    </w:p>
    <w:p w14:paraId="6EB98C54">
      <w:pPr>
        <w:pStyle w:val="10"/>
        <w:tabs>
          <w:tab w:val="left" w:pos="898"/>
        </w:tabs>
        <w:rPr>
          <w:rFonts w:hint="eastAsia" w:ascii="仿宋" w:eastAsia="仿宋"/>
          <w:sz w:val="32"/>
          <w:szCs w:val="32"/>
        </w:rPr>
      </w:pPr>
      <w:r>
        <w:drawing>
          <wp:inline distT="0" distB="0" distL="114300" distR="114300">
            <wp:extent cx="4826000" cy="2743200"/>
            <wp:effectExtent l="4445" t="4445" r="825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CB64C2">
      <w:pPr>
        <w:spacing w:line="600" w:lineRule="exact"/>
        <w:ind w:firstLine="640" w:firstLineChars="200"/>
        <w:outlineLvl w:val="1"/>
        <w:rPr>
          <w:rStyle w:val="23"/>
          <w:rFonts w:ascii="黑体" w:eastAsia="黑体"/>
          <w:b w:val="0"/>
        </w:rPr>
      </w:pPr>
      <w:bookmarkStart w:id="27" w:name="_Toc15377209"/>
      <w:bookmarkStart w:id="28" w:name="_Toc15396607"/>
      <w:r>
        <w:rPr>
          <w:rFonts w:hint="eastAsia" w:ascii="黑体" w:eastAsia="黑体"/>
          <w:sz w:val="32"/>
          <w:szCs w:val="32"/>
        </w:rPr>
        <w:t>五、</w:t>
      </w:r>
      <w:r>
        <w:rPr>
          <w:rFonts w:hint="eastAsia" w:ascii="黑体" w:eastAsia="黑体"/>
          <w:b/>
          <w:sz w:val="32"/>
          <w:szCs w:val="32"/>
        </w:rPr>
        <w:t>一</w:t>
      </w:r>
      <w:r>
        <w:rPr>
          <w:rStyle w:val="23"/>
          <w:rFonts w:hint="eastAsia" w:ascii="黑体" w:eastAsia="黑体"/>
          <w:b w:val="0"/>
        </w:rPr>
        <w:t>般公共预算财政拨款支出决算情况说明</w:t>
      </w:r>
      <w:bookmarkEnd w:id="27"/>
      <w:bookmarkEnd w:id="28"/>
    </w:p>
    <w:p w14:paraId="7014A8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ascii="仿宋" w:eastAsia="仿宋"/>
          <w:b/>
          <w:sz w:val="32"/>
          <w:szCs w:val="32"/>
        </w:rPr>
      </w:pPr>
      <w:bookmarkStart w:id="29" w:name="_Toc15377210"/>
      <w:r>
        <w:rPr>
          <w:rFonts w:hint="eastAsia" w:ascii="仿宋" w:eastAsia="仿宋"/>
          <w:b/>
          <w:sz w:val="32"/>
          <w:szCs w:val="32"/>
        </w:rPr>
        <w:t>（一）一般公共预算财政拨款支出决算总体情况</w:t>
      </w:r>
      <w:bookmarkEnd w:id="29"/>
    </w:p>
    <w:p w14:paraId="780F74AF">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年一般公共预算财政拨款支出</w:t>
      </w:r>
      <w:r>
        <w:rPr>
          <w:rFonts w:hint="eastAsia" w:ascii="仿宋" w:eastAsia="仿宋"/>
          <w:sz w:val="32"/>
          <w:szCs w:val="32"/>
          <w:lang w:val="en-US" w:eastAsia="zh-CN"/>
        </w:rPr>
        <w:t>3884.50</w:t>
      </w:r>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2</w:t>
      </w:r>
      <w:r>
        <w:rPr>
          <w:rFonts w:hint="eastAsia" w:ascii="仿宋" w:eastAsia="仿宋"/>
          <w:sz w:val="32"/>
          <w:szCs w:val="32"/>
        </w:rPr>
        <w:t>年相比，一般公共预算财政拨款支出</w:t>
      </w:r>
      <w:r>
        <w:rPr>
          <w:rFonts w:hint="eastAsia" w:ascii="仿宋" w:eastAsia="仿宋"/>
          <w:sz w:val="32"/>
          <w:szCs w:val="32"/>
          <w:lang w:val="en-US" w:eastAsia="zh-CN"/>
        </w:rPr>
        <w:t>增加883.9</w:t>
      </w:r>
      <w:r>
        <w:rPr>
          <w:rFonts w:hint="eastAsia" w:ascii="仿宋" w:eastAsia="仿宋"/>
          <w:sz w:val="32"/>
          <w:szCs w:val="32"/>
        </w:rPr>
        <w:t>万元，</w:t>
      </w:r>
      <w:r>
        <w:rPr>
          <w:rFonts w:hint="eastAsia" w:ascii="仿宋" w:eastAsia="仿宋"/>
          <w:sz w:val="32"/>
          <w:szCs w:val="32"/>
          <w:lang w:val="en-US" w:eastAsia="zh-CN"/>
        </w:rPr>
        <w:t>增加29.45</w:t>
      </w:r>
      <w:r>
        <w:rPr>
          <w:rFonts w:ascii="仿宋" w:eastAsia="仿宋"/>
          <w:sz w:val="32"/>
          <w:szCs w:val="32"/>
        </w:rPr>
        <w:t>%</w:t>
      </w:r>
      <w:r>
        <w:rPr>
          <w:rFonts w:hint="eastAsia" w:ascii="仿宋" w:eastAsia="仿宋"/>
          <w:sz w:val="32"/>
          <w:szCs w:val="32"/>
        </w:rPr>
        <w:t>。主要变动原因是</w:t>
      </w:r>
      <w:r>
        <w:rPr>
          <w:rFonts w:hint="eastAsia" w:ascii="仿宋_GB2312" w:hAnsi="仿宋_GB2312" w:eastAsia="仿宋_GB2312" w:cs="仿宋_GB2312"/>
          <w:kern w:val="0"/>
          <w:sz w:val="32"/>
          <w:szCs w:val="32"/>
          <w:shd w:val="clear" w:color="auto" w:fill="FFFFFF"/>
        </w:rPr>
        <w:t>今年财政项目收支</w:t>
      </w:r>
      <w:r>
        <w:rPr>
          <w:rFonts w:hint="eastAsia" w:ascii="仿宋_GB2312" w:hAnsi="仿宋_GB2312" w:eastAsia="仿宋_GB2312" w:cs="仿宋_GB2312"/>
          <w:kern w:val="0"/>
          <w:sz w:val="32"/>
          <w:szCs w:val="32"/>
          <w:shd w:val="clear" w:color="auto" w:fill="FFFFFF"/>
          <w:lang w:val="en-US" w:eastAsia="zh-CN"/>
        </w:rPr>
        <w:t>减少</w:t>
      </w:r>
      <w:r>
        <w:rPr>
          <w:rFonts w:hint="eastAsia" w:ascii="仿宋_GB2312" w:hAnsi="仿宋_GB2312" w:eastAsia="仿宋_GB2312" w:cs="仿宋_GB2312"/>
          <w:kern w:val="0"/>
          <w:sz w:val="32"/>
          <w:szCs w:val="32"/>
          <w:shd w:val="clear" w:color="auto" w:fill="FFFFFF"/>
        </w:rPr>
        <w:t>。</w:t>
      </w:r>
    </w:p>
    <w:p w14:paraId="2B7FB87C">
      <w:pPr>
        <w:pStyle w:val="10"/>
      </w:pPr>
      <w:r>
        <w:drawing>
          <wp:inline distT="0" distB="0" distL="114300" distR="114300">
            <wp:extent cx="4826000" cy="2743200"/>
            <wp:effectExtent l="4445" t="4445" r="8255" b="14605"/>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758E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ascii="仿宋" w:eastAsia="仿宋"/>
          <w:b/>
          <w:sz w:val="32"/>
          <w:szCs w:val="32"/>
        </w:rPr>
      </w:pPr>
      <w:bookmarkStart w:id="30" w:name="_Toc15377211"/>
      <w:r>
        <w:rPr>
          <w:rFonts w:hint="eastAsia" w:ascii="仿宋" w:eastAsia="仿宋"/>
          <w:b/>
          <w:sz w:val="32"/>
          <w:szCs w:val="32"/>
        </w:rPr>
        <w:t>（二）一般公共预算财政拨款支出决算结构情况</w:t>
      </w:r>
      <w:bookmarkEnd w:id="30"/>
    </w:p>
    <w:p w14:paraId="0B2AB3A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 w:eastAsia="仿宋"/>
          <w:color w:val="auto"/>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年一般公共预算财政拨款支出</w:t>
      </w:r>
      <w:r>
        <w:rPr>
          <w:rFonts w:hint="eastAsia" w:ascii="仿宋" w:eastAsia="仿宋"/>
          <w:sz w:val="32"/>
          <w:szCs w:val="32"/>
          <w:lang w:val="en-US" w:eastAsia="zh-CN"/>
        </w:rPr>
        <w:t>3884.50</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 w:eastAsia="仿宋"/>
          <w:sz w:val="32"/>
          <w:szCs w:val="32"/>
          <w:lang w:val="en-US" w:eastAsia="zh-CN"/>
        </w:rPr>
        <w:t>16.80</w:t>
      </w:r>
      <w:r>
        <w:rPr>
          <w:rFonts w:hint="eastAsia" w:ascii="仿宋" w:eastAsia="仿宋"/>
          <w:sz w:val="32"/>
          <w:szCs w:val="32"/>
        </w:rPr>
        <w:t>万元，占</w:t>
      </w:r>
      <w:r>
        <w:rPr>
          <w:rFonts w:hint="eastAsia" w:ascii="仿宋" w:eastAsia="仿宋"/>
          <w:sz w:val="32"/>
          <w:szCs w:val="32"/>
          <w:lang w:val="en-US" w:eastAsia="zh-CN"/>
        </w:rPr>
        <w:t>0.43</w:t>
      </w:r>
      <w:r>
        <w:rPr>
          <w:rFonts w:ascii="仿宋" w:eastAsia="仿宋"/>
          <w:sz w:val="32"/>
          <w:szCs w:val="32"/>
        </w:rPr>
        <w:t>%</w:t>
      </w:r>
      <w:r>
        <w:rPr>
          <w:rFonts w:hint="eastAsia" w:ascii="仿宋" w:eastAsia="仿宋"/>
          <w:sz w:val="32"/>
          <w:szCs w:val="32"/>
        </w:rPr>
        <w:t>；</w:t>
      </w:r>
      <w:r>
        <w:rPr>
          <w:rFonts w:hint="eastAsia" w:ascii="仿宋" w:eastAsia="仿宋"/>
          <w:b/>
          <w:sz w:val="32"/>
          <w:szCs w:val="32"/>
        </w:rPr>
        <w:t>教育支出（类）</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sz w:val="32"/>
          <w:szCs w:val="32"/>
        </w:rPr>
        <w:t>科学技术（类）</w:t>
      </w:r>
      <w:r>
        <w:rPr>
          <w:rFonts w:hint="eastAsia" w:ascii="仿宋" w:eastAsia="仿宋"/>
          <w:sz w:val="32"/>
          <w:szCs w:val="32"/>
        </w:rPr>
        <w:t>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文化旅游体育与传媒（类）支出</w:t>
      </w:r>
      <w:r>
        <w:rPr>
          <w:rFonts w:hint="eastAsia" w:ascii="仿宋" w:eastAsia="仿宋"/>
          <w:b/>
          <w:bCs/>
          <w:sz w:val="32"/>
          <w:szCs w:val="32"/>
          <w:lang w:val="en-US" w:eastAsia="zh-CN"/>
        </w:rPr>
        <w:t>0</w:t>
      </w:r>
      <w:r>
        <w:rPr>
          <w:rFonts w:hint="eastAsia" w:ascii="仿宋" w:eastAsia="仿宋"/>
          <w:b/>
          <w:bCs/>
          <w:sz w:val="32"/>
          <w:szCs w:val="32"/>
        </w:rPr>
        <w:t>万元，占</w:t>
      </w:r>
      <w:r>
        <w:rPr>
          <w:rFonts w:hint="eastAsia" w:ascii="仿宋" w:eastAsia="仿宋"/>
          <w:b/>
          <w:bCs/>
          <w:sz w:val="32"/>
          <w:szCs w:val="32"/>
          <w:lang w:val="en-US" w:eastAsia="zh-CN"/>
        </w:rPr>
        <w:t>0</w:t>
      </w:r>
      <w:r>
        <w:rPr>
          <w:rFonts w:ascii="仿宋" w:eastAsia="仿宋"/>
          <w:b/>
          <w:bCs/>
          <w:sz w:val="32"/>
          <w:szCs w:val="32"/>
        </w:rPr>
        <w:t>%</w:t>
      </w:r>
      <w:r>
        <w:rPr>
          <w:rFonts w:hint="eastAsia" w:ascii="仿宋" w:eastAsia="仿宋"/>
          <w:sz w:val="32"/>
          <w:szCs w:val="32"/>
        </w:rPr>
        <w:t>；</w:t>
      </w:r>
      <w:bookmarkStart w:id="31" w:name="OLE_LINK1"/>
      <w:r>
        <w:rPr>
          <w:rFonts w:hint="eastAsia" w:ascii="仿宋" w:eastAsia="仿宋"/>
          <w:b/>
          <w:sz w:val="32"/>
          <w:szCs w:val="32"/>
        </w:rPr>
        <w:t>社会保障和就业</w:t>
      </w:r>
      <w:bookmarkEnd w:id="31"/>
      <w:r>
        <w:rPr>
          <w:rFonts w:hint="eastAsia" w:ascii="仿宋" w:eastAsia="仿宋"/>
          <w:b/>
          <w:sz w:val="32"/>
          <w:szCs w:val="32"/>
        </w:rPr>
        <w:t>（类）</w:t>
      </w:r>
      <w:r>
        <w:rPr>
          <w:rFonts w:hint="eastAsia" w:ascii="仿宋" w:eastAsia="仿宋"/>
          <w:sz w:val="32"/>
          <w:szCs w:val="32"/>
        </w:rPr>
        <w:t>支出</w:t>
      </w:r>
      <w:r>
        <w:rPr>
          <w:rFonts w:hint="eastAsia" w:ascii="仿宋" w:eastAsia="仿宋"/>
          <w:sz w:val="32"/>
          <w:szCs w:val="32"/>
          <w:lang w:val="en-US" w:eastAsia="zh-CN"/>
        </w:rPr>
        <w:t>378.40</w:t>
      </w:r>
      <w:r>
        <w:rPr>
          <w:rFonts w:hint="eastAsia" w:ascii="仿宋" w:eastAsia="仿宋"/>
          <w:color w:val="auto"/>
          <w:sz w:val="32"/>
          <w:szCs w:val="32"/>
        </w:rPr>
        <w:t>万元，占</w:t>
      </w:r>
      <w:r>
        <w:rPr>
          <w:rFonts w:hint="eastAsia" w:ascii="仿宋" w:eastAsia="仿宋"/>
          <w:color w:val="auto"/>
          <w:sz w:val="32"/>
          <w:szCs w:val="32"/>
          <w:lang w:val="en-US" w:eastAsia="zh-CN"/>
        </w:rPr>
        <w:t>9.74</w:t>
      </w:r>
      <w:r>
        <w:rPr>
          <w:rFonts w:ascii="仿宋" w:eastAsia="仿宋"/>
          <w:color w:val="auto"/>
          <w:sz w:val="32"/>
          <w:szCs w:val="32"/>
        </w:rPr>
        <w:t>%</w:t>
      </w:r>
      <w:r>
        <w:rPr>
          <w:rFonts w:hint="eastAsia" w:ascii="仿宋" w:eastAsia="仿宋"/>
          <w:color w:val="auto"/>
          <w:sz w:val="32"/>
          <w:szCs w:val="32"/>
        </w:rPr>
        <w:t>；</w:t>
      </w:r>
      <w:r>
        <w:rPr>
          <w:rFonts w:hint="eastAsia" w:ascii="仿宋" w:eastAsia="仿宋"/>
          <w:b/>
          <w:bCs/>
          <w:color w:val="auto"/>
          <w:sz w:val="32"/>
          <w:szCs w:val="32"/>
        </w:rPr>
        <w:t>卫生健康支出</w:t>
      </w:r>
      <w:r>
        <w:rPr>
          <w:rFonts w:hint="eastAsia" w:ascii="仿宋" w:eastAsia="仿宋"/>
          <w:color w:val="auto"/>
          <w:sz w:val="32"/>
          <w:szCs w:val="32"/>
          <w:lang w:val="en-US" w:eastAsia="zh-CN"/>
        </w:rPr>
        <w:t>3,278.44</w:t>
      </w:r>
      <w:r>
        <w:rPr>
          <w:rFonts w:hint="eastAsia" w:ascii="仿宋" w:eastAsia="仿宋"/>
          <w:color w:val="auto"/>
          <w:sz w:val="32"/>
          <w:szCs w:val="32"/>
        </w:rPr>
        <w:t>万元，占</w:t>
      </w:r>
      <w:r>
        <w:rPr>
          <w:rFonts w:hint="eastAsia" w:ascii="仿宋" w:eastAsia="仿宋"/>
          <w:color w:val="auto"/>
          <w:sz w:val="32"/>
          <w:szCs w:val="32"/>
          <w:lang w:val="en-US" w:eastAsia="zh-CN"/>
        </w:rPr>
        <w:t>84.39</w:t>
      </w:r>
      <w:r>
        <w:rPr>
          <w:rFonts w:ascii="仿宋" w:eastAsia="仿宋"/>
          <w:color w:val="auto"/>
          <w:sz w:val="32"/>
          <w:szCs w:val="32"/>
        </w:rPr>
        <w:t>%</w:t>
      </w:r>
      <w:r>
        <w:rPr>
          <w:rFonts w:hint="eastAsia" w:ascii="仿宋" w:eastAsia="仿宋"/>
          <w:b/>
          <w:bCs/>
          <w:color w:val="auto"/>
          <w:sz w:val="32"/>
          <w:szCs w:val="32"/>
        </w:rPr>
        <w:t>；农林水支出</w:t>
      </w:r>
      <w:r>
        <w:rPr>
          <w:rFonts w:hint="eastAsia" w:ascii="仿宋" w:eastAsia="仿宋"/>
          <w:color w:val="auto"/>
          <w:sz w:val="32"/>
          <w:szCs w:val="32"/>
        </w:rPr>
        <w:t>18.21万元，占</w:t>
      </w:r>
      <w:r>
        <w:rPr>
          <w:rFonts w:hint="eastAsia" w:ascii="仿宋" w:eastAsia="仿宋"/>
          <w:color w:val="auto"/>
          <w:sz w:val="32"/>
          <w:szCs w:val="32"/>
          <w:lang w:val="en-US" w:eastAsia="zh-CN"/>
        </w:rPr>
        <w:t>0.47</w:t>
      </w:r>
      <w:r>
        <w:rPr>
          <w:rFonts w:ascii="仿宋" w:eastAsia="仿宋"/>
          <w:color w:val="auto"/>
          <w:sz w:val="32"/>
          <w:szCs w:val="32"/>
        </w:rPr>
        <w:t>%</w:t>
      </w:r>
      <w:r>
        <w:rPr>
          <w:rFonts w:hint="eastAsia" w:ascii="仿宋" w:eastAsia="仿宋"/>
          <w:b/>
          <w:bCs/>
          <w:color w:val="auto"/>
          <w:sz w:val="32"/>
          <w:szCs w:val="32"/>
        </w:rPr>
        <w:t>；住房保障</w:t>
      </w:r>
      <w:r>
        <w:rPr>
          <w:rFonts w:hint="eastAsia" w:ascii="仿宋" w:eastAsia="仿宋"/>
          <w:b/>
          <w:color w:val="auto"/>
          <w:sz w:val="32"/>
          <w:szCs w:val="32"/>
        </w:rPr>
        <w:t>（类）</w:t>
      </w:r>
      <w:r>
        <w:rPr>
          <w:rFonts w:hint="eastAsia" w:ascii="仿宋" w:eastAsia="仿宋"/>
          <w:color w:val="auto"/>
          <w:sz w:val="32"/>
          <w:szCs w:val="32"/>
          <w:lang w:val="en-US" w:eastAsia="zh-CN"/>
        </w:rPr>
        <w:t>192.66</w:t>
      </w:r>
      <w:r>
        <w:rPr>
          <w:rFonts w:hint="eastAsia" w:ascii="仿宋" w:eastAsia="仿宋"/>
          <w:color w:val="auto"/>
          <w:sz w:val="32"/>
          <w:szCs w:val="32"/>
        </w:rPr>
        <w:t>万元，占</w:t>
      </w:r>
      <w:r>
        <w:rPr>
          <w:rFonts w:hint="eastAsia" w:ascii="仿宋" w:eastAsia="仿宋"/>
          <w:color w:val="auto"/>
          <w:sz w:val="32"/>
          <w:szCs w:val="32"/>
          <w:lang w:val="en-US" w:eastAsia="zh-CN"/>
        </w:rPr>
        <w:t>4.96</w:t>
      </w:r>
      <w:r>
        <w:rPr>
          <w:rFonts w:ascii="仿宋" w:eastAsia="仿宋"/>
          <w:color w:val="auto"/>
          <w:sz w:val="32"/>
          <w:szCs w:val="32"/>
        </w:rPr>
        <w:t>%</w:t>
      </w:r>
      <w:r>
        <w:rPr>
          <w:rFonts w:hint="eastAsia" w:ascii="仿宋" w:eastAsia="仿宋"/>
          <w:color w:val="auto"/>
          <w:sz w:val="32"/>
          <w:szCs w:val="32"/>
        </w:rPr>
        <w:t>。</w:t>
      </w:r>
    </w:p>
    <w:p w14:paraId="61847C7F">
      <w:pPr>
        <w:pStyle w:val="10"/>
      </w:pPr>
      <w:r>
        <w:drawing>
          <wp:inline distT="0" distB="0" distL="114300" distR="114300">
            <wp:extent cx="4826000" cy="2743200"/>
            <wp:effectExtent l="4445" t="4445" r="8255" b="1460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AE7C99A">
      <w:pPr>
        <w:keepNext w:val="0"/>
        <w:keepLines w:val="0"/>
        <w:pageBreakBefore w:val="0"/>
        <w:kinsoku/>
        <w:wordWrap/>
        <w:overflowPunct/>
        <w:topLinePunct w:val="0"/>
        <w:bidi w:val="0"/>
        <w:snapToGrid/>
        <w:spacing w:line="560" w:lineRule="exact"/>
        <w:ind w:firstLine="643" w:firstLineChars="200"/>
        <w:textAlignment w:val="auto"/>
        <w:outlineLvl w:val="2"/>
        <w:rPr>
          <w:rFonts w:ascii="仿宋" w:eastAsia="仿宋"/>
          <w:b/>
          <w:sz w:val="32"/>
          <w:szCs w:val="32"/>
        </w:rPr>
      </w:pPr>
      <w:bookmarkStart w:id="32" w:name="_Toc15377212"/>
      <w:r>
        <w:rPr>
          <w:rFonts w:hint="eastAsia" w:ascii="仿宋" w:eastAsia="仿宋"/>
          <w:b/>
          <w:sz w:val="32"/>
          <w:szCs w:val="32"/>
        </w:rPr>
        <w:t>（三）一般公共预算财政拨款支出决算具体情况</w:t>
      </w:r>
      <w:bookmarkEnd w:id="32"/>
    </w:p>
    <w:p w14:paraId="4D488AF3">
      <w:pPr>
        <w:keepNext w:val="0"/>
        <w:keepLines w:val="0"/>
        <w:pageBreakBefore w:val="0"/>
        <w:kinsoku/>
        <w:wordWrap/>
        <w:overflowPunct/>
        <w:topLinePunct w:val="0"/>
        <w:bidi w:val="0"/>
        <w:snapToGrid/>
        <w:spacing w:line="560" w:lineRule="exact"/>
        <w:ind w:firstLine="643" w:firstLineChars="200"/>
        <w:textAlignment w:val="auto"/>
        <w:outlineLvl w:val="2"/>
        <w:rPr>
          <w:rFonts w:ascii="仿宋" w:eastAsia="仿宋"/>
          <w:b w:val="0"/>
          <w:bCs w:val="0"/>
          <w:color w:val="FF0000"/>
          <w:sz w:val="32"/>
          <w:szCs w:val="32"/>
        </w:rPr>
      </w:pPr>
      <w:bookmarkStart w:id="33" w:name="_Toc15378460"/>
      <w:bookmarkStart w:id="34" w:name="_Toc15377444"/>
      <w:bookmarkStart w:id="35" w:name="_Toc15377213"/>
      <w:r>
        <w:rPr>
          <w:rFonts w:hint="eastAsia" w:ascii="仿宋" w:eastAsia="仿宋"/>
          <w:b/>
          <w:sz w:val="32"/>
          <w:szCs w:val="32"/>
        </w:rPr>
        <w:t>202</w:t>
      </w:r>
      <w:r>
        <w:rPr>
          <w:rFonts w:hint="eastAsia" w:ascii="仿宋" w:eastAsia="仿宋"/>
          <w:b/>
          <w:color w:val="auto"/>
          <w:sz w:val="32"/>
          <w:szCs w:val="32"/>
          <w:lang w:val="en-US" w:eastAsia="zh-CN"/>
        </w:rPr>
        <w:t>3</w:t>
      </w:r>
      <w:r>
        <w:rPr>
          <w:rFonts w:hint="eastAsia" w:ascii="仿宋" w:eastAsia="仿宋"/>
          <w:b/>
          <w:color w:val="auto"/>
          <w:sz w:val="32"/>
          <w:szCs w:val="32"/>
        </w:rPr>
        <w:t>年一般公共预算支出决算数为</w:t>
      </w:r>
      <w:r>
        <w:rPr>
          <w:rFonts w:hint="eastAsia" w:ascii="仿宋" w:eastAsia="仿宋"/>
          <w:color w:val="auto"/>
          <w:sz w:val="32"/>
          <w:szCs w:val="32"/>
          <w:lang w:val="en-US" w:eastAsia="zh-CN"/>
        </w:rPr>
        <w:t>3884.5</w:t>
      </w:r>
      <w:r>
        <w:rPr>
          <w:rFonts w:hint="eastAsia" w:ascii="仿宋" w:eastAsia="仿宋"/>
          <w:b w:val="0"/>
          <w:bCs w:val="0"/>
          <w:color w:val="auto"/>
          <w:sz w:val="32"/>
          <w:szCs w:val="32"/>
          <w:lang w:val="en-US" w:eastAsia="zh-CN"/>
        </w:rPr>
        <w:t>0</w:t>
      </w:r>
      <w:r>
        <w:rPr>
          <w:rFonts w:hint="eastAsia" w:ascii="仿宋" w:eastAsia="仿宋"/>
          <w:b w:val="0"/>
          <w:bCs w:val="0"/>
          <w:color w:val="auto"/>
          <w:sz w:val="32"/>
          <w:szCs w:val="32"/>
        </w:rPr>
        <w:t>万元，</w:t>
      </w:r>
      <w:r>
        <w:rPr>
          <w:rStyle w:val="20"/>
          <w:rFonts w:hint="eastAsia" w:ascii="仿宋" w:eastAsia="仿宋"/>
          <w:b w:val="0"/>
          <w:bCs w:val="0"/>
          <w:color w:val="auto"/>
          <w:sz w:val="32"/>
          <w:szCs w:val="32"/>
        </w:rPr>
        <w:t>完成预算</w:t>
      </w:r>
      <w:r>
        <w:rPr>
          <w:rStyle w:val="20"/>
          <w:rFonts w:hint="eastAsia" w:ascii="仿宋" w:eastAsia="仿宋"/>
          <w:b w:val="0"/>
          <w:bCs w:val="0"/>
          <w:color w:val="auto"/>
          <w:sz w:val="32"/>
          <w:szCs w:val="32"/>
          <w:lang w:val="en-US" w:eastAsia="zh-CN"/>
        </w:rPr>
        <w:t>100</w:t>
      </w:r>
      <w:r>
        <w:rPr>
          <w:rStyle w:val="20"/>
          <w:rFonts w:ascii="仿宋" w:eastAsia="仿宋"/>
          <w:b w:val="0"/>
          <w:bCs w:val="0"/>
          <w:color w:val="auto"/>
          <w:sz w:val="32"/>
          <w:szCs w:val="32"/>
        </w:rPr>
        <w:t>%</w:t>
      </w:r>
      <w:r>
        <w:rPr>
          <w:rStyle w:val="20"/>
          <w:rFonts w:hint="eastAsia" w:ascii="仿宋" w:eastAsia="仿宋"/>
          <w:b w:val="0"/>
          <w:bCs w:val="0"/>
          <w:color w:val="auto"/>
          <w:sz w:val="32"/>
          <w:szCs w:val="32"/>
        </w:rPr>
        <w:t>。其中：</w:t>
      </w:r>
      <w:bookmarkEnd w:id="33"/>
      <w:bookmarkEnd w:id="34"/>
      <w:bookmarkEnd w:id="35"/>
    </w:p>
    <w:p w14:paraId="109AB200">
      <w:pPr>
        <w:keepNext w:val="0"/>
        <w:keepLines w:val="0"/>
        <w:pageBreakBefore w:val="0"/>
        <w:kinsoku/>
        <w:wordWrap/>
        <w:overflowPunct/>
        <w:topLinePunct w:val="0"/>
        <w:bidi w:val="0"/>
        <w:snapToGrid/>
        <w:spacing w:line="560" w:lineRule="exact"/>
        <w:ind w:firstLine="645"/>
        <w:textAlignment w:val="auto"/>
        <w:rPr>
          <w:rFonts w:hint="eastAsia" w:ascii="仿宋" w:eastAsia="仿宋"/>
          <w:sz w:val="32"/>
          <w:szCs w:val="32"/>
          <w:lang w:val="en-US" w:eastAsia="zh-CN"/>
        </w:rPr>
      </w:pPr>
      <w:r>
        <w:rPr>
          <w:rFonts w:hint="eastAsia" w:ascii="仿宋" w:eastAsia="仿宋"/>
          <w:b/>
          <w:bCs/>
          <w:sz w:val="32"/>
          <w:szCs w:val="32"/>
          <w:lang w:val="en-US" w:eastAsia="zh-CN"/>
        </w:rPr>
        <w:t xml:space="preserve">1.社会保障和就业: </w:t>
      </w:r>
      <w:r>
        <w:rPr>
          <w:rFonts w:hint="eastAsia" w:ascii="仿宋" w:eastAsia="仿宋"/>
          <w:sz w:val="32"/>
          <w:szCs w:val="32"/>
          <w:lang w:val="en-US" w:eastAsia="zh-CN"/>
        </w:rPr>
        <w:t>支出决算为378.40万元，完成预算100%。</w:t>
      </w:r>
    </w:p>
    <w:p w14:paraId="3251C1A0">
      <w:pPr>
        <w:keepNext w:val="0"/>
        <w:keepLines w:val="0"/>
        <w:pageBreakBefore w:val="0"/>
        <w:kinsoku/>
        <w:wordWrap/>
        <w:overflowPunct/>
        <w:topLinePunct w:val="0"/>
        <w:bidi w:val="0"/>
        <w:snapToGrid/>
        <w:spacing w:line="560" w:lineRule="exact"/>
        <w:ind w:firstLine="645"/>
        <w:textAlignment w:val="auto"/>
        <w:rPr>
          <w:rFonts w:hint="eastAsia" w:ascii="仿宋" w:eastAsia="仿宋"/>
          <w:sz w:val="32"/>
          <w:szCs w:val="32"/>
          <w:lang w:val="en-US" w:eastAsia="zh-CN"/>
        </w:rPr>
      </w:pPr>
      <w:r>
        <w:rPr>
          <w:rFonts w:hint="eastAsia" w:ascii="仿宋" w:eastAsia="仿宋"/>
          <w:b/>
          <w:bCs/>
          <w:sz w:val="32"/>
          <w:szCs w:val="32"/>
          <w:lang w:val="en-US" w:eastAsia="zh-CN"/>
        </w:rPr>
        <w:t>2.卫生健康:</w:t>
      </w:r>
      <w:r>
        <w:rPr>
          <w:rFonts w:hint="eastAsia" w:ascii="仿宋" w:eastAsia="仿宋"/>
          <w:sz w:val="32"/>
          <w:szCs w:val="32"/>
          <w:lang w:val="en-US" w:eastAsia="zh-CN"/>
        </w:rPr>
        <w:t>支出决算为</w:t>
      </w:r>
      <w:r>
        <w:rPr>
          <w:rFonts w:hint="eastAsia" w:ascii="仿宋" w:eastAsia="仿宋"/>
          <w:color w:val="auto"/>
          <w:sz w:val="32"/>
          <w:szCs w:val="32"/>
          <w:lang w:val="en-US" w:eastAsia="zh-CN"/>
        </w:rPr>
        <w:t>3278.44</w:t>
      </w:r>
      <w:r>
        <w:rPr>
          <w:rFonts w:hint="eastAsia" w:ascii="仿宋" w:eastAsia="仿宋"/>
          <w:sz w:val="32"/>
          <w:szCs w:val="32"/>
          <w:lang w:val="en-US" w:eastAsia="zh-CN"/>
        </w:rPr>
        <w:t>万元，完成预算100%。</w:t>
      </w:r>
    </w:p>
    <w:p w14:paraId="0CA76C54">
      <w:pPr>
        <w:keepNext w:val="0"/>
        <w:keepLines w:val="0"/>
        <w:pageBreakBefore w:val="0"/>
        <w:kinsoku/>
        <w:wordWrap/>
        <w:overflowPunct/>
        <w:topLinePunct w:val="0"/>
        <w:bidi w:val="0"/>
        <w:snapToGrid/>
        <w:spacing w:line="560" w:lineRule="exact"/>
        <w:ind w:firstLine="645"/>
        <w:textAlignment w:val="auto"/>
        <w:rPr>
          <w:rFonts w:hint="eastAsia" w:ascii="仿宋" w:eastAsia="仿宋"/>
          <w:sz w:val="32"/>
          <w:szCs w:val="32"/>
          <w:lang w:val="en-US" w:eastAsia="zh-CN"/>
        </w:rPr>
      </w:pPr>
      <w:r>
        <w:rPr>
          <w:rFonts w:hint="eastAsia" w:ascii="仿宋" w:eastAsia="仿宋"/>
          <w:b/>
          <w:bCs/>
          <w:sz w:val="32"/>
          <w:szCs w:val="32"/>
          <w:lang w:val="en-US" w:eastAsia="zh-CN"/>
        </w:rPr>
        <w:t>3.住房保障:</w:t>
      </w:r>
      <w:r>
        <w:rPr>
          <w:rFonts w:hint="eastAsia" w:ascii="仿宋" w:eastAsia="仿宋"/>
          <w:sz w:val="32"/>
          <w:szCs w:val="32"/>
          <w:lang w:val="en-US" w:eastAsia="zh-CN"/>
        </w:rPr>
        <w:t>支出决算为</w:t>
      </w:r>
      <w:r>
        <w:rPr>
          <w:rFonts w:hint="eastAsia" w:ascii="仿宋" w:eastAsia="仿宋"/>
          <w:color w:val="auto"/>
          <w:sz w:val="32"/>
          <w:szCs w:val="32"/>
          <w:lang w:val="en-US" w:eastAsia="zh-CN"/>
        </w:rPr>
        <w:t>192.66</w:t>
      </w:r>
      <w:r>
        <w:rPr>
          <w:rFonts w:hint="eastAsia" w:ascii="仿宋" w:eastAsia="仿宋"/>
          <w:sz w:val="32"/>
          <w:szCs w:val="32"/>
          <w:lang w:val="en-US" w:eastAsia="zh-CN"/>
        </w:rPr>
        <w:t>万元，完成预算100%。</w:t>
      </w:r>
    </w:p>
    <w:p w14:paraId="245B0B41">
      <w:pPr>
        <w:keepNext w:val="0"/>
        <w:keepLines w:val="0"/>
        <w:pageBreakBefore w:val="0"/>
        <w:kinsoku/>
        <w:wordWrap/>
        <w:overflowPunct/>
        <w:topLinePunct w:val="0"/>
        <w:bidi w:val="0"/>
        <w:snapToGrid/>
        <w:spacing w:line="560" w:lineRule="exact"/>
        <w:ind w:firstLine="645"/>
        <w:textAlignment w:val="auto"/>
        <w:rPr>
          <w:rFonts w:hint="eastAsia" w:ascii="仿宋" w:eastAsia="仿宋"/>
          <w:sz w:val="32"/>
          <w:szCs w:val="32"/>
          <w:lang w:val="en-US" w:eastAsia="zh-CN"/>
        </w:rPr>
      </w:pPr>
      <w:r>
        <w:rPr>
          <w:rFonts w:hint="eastAsia" w:ascii="仿宋" w:eastAsia="仿宋"/>
          <w:b/>
          <w:bCs/>
          <w:sz w:val="32"/>
          <w:szCs w:val="32"/>
          <w:lang w:val="en-US" w:eastAsia="zh-CN"/>
        </w:rPr>
        <w:t>4.一般公共服务（类）:</w:t>
      </w:r>
      <w:r>
        <w:rPr>
          <w:rFonts w:hint="eastAsia" w:ascii="仿宋" w:eastAsia="仿宋"/>
          <w:sz w:val="32"/>
          <w:szCs w:val="32"/>
          <w:lang w:val="en-US" w:eastAsia="zh-CN"/>
        </w:rPr>
        <w:t>支出16.80万元，完成预算100%。</w:t>
      </w:r>
    </w:p>
    <w:p w14:paraId="576E022D">
      <w:pPr>
        <w:keepNext w:val="0"/>
        <w:keepLines w:val="0"/>
        <w:pageBreakBefore w:val="0"/>
        <w:kinsoku/>
        <w:wordWrap/>
        <w:overflowPunct/>
        <w:topLinePunct w:val="0"/>
        <w:bidi w:val="0"/>
        <w:snapToGrid/>
        <w:spacing w:line="560" w:lineRule="exact"/>
        <w:ind w:firstLine="645"/>
        <w:textAlignment w:val="auto"/>
        <w:rPr>
          <w:rFonts w:hint="default" w:ascii="仿宋" w:eastAsia="仿宋"/>
          <w:sz w:val="32"/>
          <w:szCs w:val="32"/>
          <w:lang w:val="en-US" w:eastAsia="zh-CN"/>
        </w:rPr>
      </w:pPr>
      <w:r>
        <w:rPr>
          <w:rFonts w:hint="eastAsia" w:ascii="仿宋" w:eastAsia="仿宋"/>
          <w:b/>
          <w:bCs/>
          <w:sz w:val="32"/>
          <w:szCs w:val="32"/>
          <w:lang w:val="en-US" w:eastAsia="zh-CN"/>
        </w:rPr>
        <w:t>5.农林水:</w:t>
      </w:r>
      <w:r>
        <w:rPr>
          <w:rFonts w:hint="eastAsia" w:ascii="仿宋" w:eastAsia="仿宋"/>
          <w:sz w:val="32"/>
          <w:szCs w:val="32"/>
          <w:lang w:val="en-US" w:eastAsia="zh-CN"/>
        </w:rPr>
        <w:t>支出18.21万元，完成预算100%。</w:t>
      </w:r>
    </w:p>
    <w:p w14:paraId="44FA8815">
      <w:pPr>
        <w:keepNext w:val="0"/>
        <w:keepLines w:val="0"/>
        <w:pageBreakBefore w:val="0"/>
        <w:tabs>
          <w:tab w:val="right" w:pos="8306"/>
        </w:tabs>
        <w:kinsoku/>
        <w:wordWrap/>
        <w:overflowPunct/>
        <w:topLinePunct w:val="0"/>
        <w:bidi w:val="0"/>
        <w:snapToGrid/>
        <w:spacing w:line="560" w:lineRule="exact"/>
        <w:ind w:firstLine="640"/>
        <w:textAlignment w:val="auto"/>
        <w:outlineLvl w:val="1"/>
        <w:rPr>
          <w:rStyle w:val="23"/>
        </w:rPr>
      </w:pPr>
      <w:bookmarkStart w:id="36" w:name="_Toc15377214"/>
      <w:bookmarkStart w:id="37" w:name="_Toc15396608"/>
      <w:r>
        <w:rPr>
          <w:rFonts w:hint="eastAsia" w:ascii="黑体" w:eastAsia="黑体"/>
          <w:sz w:val="32"/>
          <w:szCs w:val="32"/>
        </w:rPr>
        <w:t>六</w:t>
      </w:r>
      <w:r>
        <w:rPr>
          <w:rFonts w:hint="eastAsia" w:ascii="黑体" w:eastAsia="黑体"/>
          <w:b/>
          <w:sz w:val="32"/>
          <w:szCs w:val="32"/>
        </w:rPr>
        <w:t>、一</w:t>
      </w:r>
      <w:r>
        <w:rPr>
          <w:rStyle w:val="23"/>
          <w:rFonts w:hint="eastAsia" w:ascii="黑体" w:eastAsia="黑体"/>
          <w:b w:val="0"/>
        </w:rPr>
        <w:t>般公共预算财政拨款基本支出决算情况说明</w:t>
      </w:r>
      <w:bookmarkEnd w:id="36"/>
      <w:bookmarkEnd w:id="37"/>
      <w:r>
        <w:rPr>
          <w:rStyle w:val="23"/>
          <w:rFonts w:ascii="黑体" w:eastAsia="黑体"/>
          <w:b w:val="0"/>
        </w:rPr>
        <w:tab/>
      </w:r>
    </w:p>
    <w:p w14:paraId="2D5572BA">
      <w:pPr>
        <w:keepNext w:val="0"/>
        <w:keepLines w:val="0"/>
        <w:pageBreakBefore w:val="0"/>
        <w:kinsoku/>
        <w:wordWrap/>
        <w:overflowPunct/>
        <w:topLinePunct w:val="0"/>
        <w:bidi w:val="0"/>
        <w:snapToGrid/>
        <w:spacing w:line="560" w:lineRule="exact"/>
        <w:ind w:firstLine="645"/>
        <w:textAlignment w:val="auto"/>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年一般公共预算财政拨款基本支出</w:t>
      </w:r>
      <w:r>
        <w:rPr>
          <w:rFonts w:hint="eastAsia" w:ascii="仿宋" w:eastAsia="仿宋"/>
          <w:sz w:val="32"/>
          <w:szCs w:val="32"/>
          <w:lang w:val="en-US" w:eastAsia="zh-CN"/>
        </w:rPr>
        <w:t>2575.88</w:t>
      </w:r>
      <w:r>
        <w:rPr>
          <w:rFonts w:hint="eastAsia" w:ascii="仿宋" w:eastAsia="仿宋"/>
          <w:sz w:val="32"/>
          <w:szCs w:val="32"/>
        </w:rPr>
        <w:t>万元，其中：</w:t>
      </w:r>
    </w:p>
    <w:p w14:paraId="1ED8C064">
      <w:pPr>
        <w:keepNext w:val="0"/>
        <w:keepLines w:val="0"/>
        <w:pageBreakBefore w:val="0"/>
        <w:kinsoku/>
        <w:wordWrap/>
        <w:overflowPunct/>
        <w:topLinePunct w:val="0"/>
        <w:bidi w:val="0"/>
        <w:snapToGrid/>
        <w:spacing w:line="560" w:lineRule="exact"/>
        <w:ind w:firstLine="645"/>
        <w:textAlignment w:val="auto"/>
        <w:rPr>
          <w:rFonts w:ascii="仿宋" w:eastAsia="仿宋"/>
          <w:b/>
          <w:sz w:val="32"/>
          <w:szCs w:val="32"/>
        </w:rPr>
      </w:pPr>
      <w:r>
        <w:rPr>
          <w:rFonts w:hint="eastAsia" w:ascii="仿宋" w:eastAsia="仿宋"/>
          <w:sz w:val="32"/>
          <w:szCs w:val="32"/>
        </w:rPr>
        <w:t>人员经费</w:t>
      </w:r>
      <w:r>
        <w:rPr>
          <w:rFonts w:hint="eastAsia" w:ascii="仿宋" w:eastAsia="仿宋"/>
          <w:sz w:val="32"/>
          <w:szCs w:val="32"/>
          <w:lang w:val="en-US" w:eastAsia="zh-CN"/>
        </w:rPr>
        <w:t>2545.01</w:t>
      </w:r>
      <w:r>
        <w:rPr>
          <w:rFonts w:hint="eastAsia" w:asci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sz w:val="32"/>
          <w:szCs w:val="32"/>
        </w:rPr>
        <w:br w:type="textWrapping"/>
      </w:r>
      <w:r>
        <w:rPr>
          <w:rFonts w:hint="eastAsia" w:ascii="仿宋" w:eastAsia="仿宋"/>
          <w:sz w:val="32"/>
          <w:szCs w:val="32"/>
        </w:rPr>
        <w:t>　　公用经费</w:t>
      </w:r>
      <w:r>
        <w:rPr>
          <w:rFonts w:hint="eastAsia" w:ascii="仿宋" w:eastAsia="仿宋"/>
          <w:sz w:val="32"/>
          <w:szCs w:val="32"/>
          <w:lang w:val="en-US" w:eastAsia="zh-CN"/>
        </w:rPr>
        <w:t>30.87</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3BED321">
      <w:pPr>
        <w:keepNext w:val="0"/>
        <w:keepLines w:val="0"/>
        <w:pageBreakBefore w:val="0"/>
        <w:kinsoku/>
        <w:wordWrap/>
        <w:overflowPunct/>
        <w:topLinePunct w:val="0"/>
        <w:bidi w:val="0"/>
        <w:snapToGrid/>
        <w:spacing w:line="560" w:lineRule="exact"/>
        <w:ind w:firstLine="640"/>
        <w:textAlignment w:val="auto"/>
        <w:outlineLvl w:val="1"/>
        <w:rPr>
          <w:rStyle w:val="23"/>
          <w:rFonts w:ascii="黑体" w:eastAsia="黑体"/>
          <w:b w:val="0"/>
        </w:rPr>
      </w:pPr>
      <w:bookmarkStart w:id="38" w:name="_Toc15377215"/>
      <w:bookmarkStart w:id="39" w:name="_Toc15396609"/>
      <w:r>
        <w:rPr>
          <w:rFonts w:hint="eastAsia" w:ascii="黑体" w:eastAsia="黑体"/>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38"/>
      <w:bookmarkEnd w:id="39"/>
    </w:p>
    <w:p w14:paraId="203A8806">
      <w:pPr>
        <w:keepNext w:val="0"/>
        <w:keepLines w:val="0"/>
        <w:pageBreakBefore w:val="0"/>
        <w:kinsoku/>
        <w:wordWrap/>
        <w:overflowPunct/>
        <w:topLinePunct w:val="0"/>
        <w:bidi w:val="0"/>
        <w:snapToGrid/>
        <w:spacing w:line="560" w:lineRule="exact"/>
        <w:ind w:firstLine="640"/>
        <w:textAlignment w:val="auto"/>
        <w:outlineLvl w:val="2"/>
        <w:rPr>
          <w:rFonts w:ascii="仿宋" w:eastAsia="仿宋"/>
          <w:b/>
          <w:sz w:val="32"/>
          <w:szCs w:val="32"/>
        </w:rPr>
      </w:pPr>
      <w:bookmarkStart w:id="40" w:name="_Toc15377216"/>
      <w:r>
        <w:rPr>
          <w:rFonts w:hint="eastAsia" w:ascii="仿宋" w:eastAsia="仿宋"/>
          <w:b/>
          <w:sz w:val="32"/>
          <w:szCs w:val="32"/>
        </w:rPr>
        <w:t>（一）“三公”经费财政拨款支出决算总体情况说明</w:t>
      </w:r>
      <w:bookmarkEnd w:id="40"/>
    </w:p>
    <w:p w14:paraId="797003C1">
      <w:pPr>
        <w:keepNext w:val="0"/>
        <w:keepLines w:val="0"/>
        <w:pageBreakBefore w:val="0"/>
        <w:kinsoku/>
        <w:wordWrap/>
        <w:overflowPunct/>
        <w:topLinePunct w:val="0"/>
        <w:bidi w:val="0"/>
        <w:snapToGrid/>
        <w:spacing w:line="560" w:lineRule="exact"/>
        <w:ind w:firstLine="640"/>
        <w:textAlignment w:val="auto"/>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年“三公”经费财政拨款支出决算为</w:t>
      </w:r>
      <w:r>
        <w:rPr>
          <w:rFonts w:hint="eastAsia" w:ascii="仿宋" w:eastAsia="仿宋"/>
          <w:sz w:val="32"/>
          <w:szCs w:val="32"/>
          <w:lang w:val="en-US" w:eastAsia="zh-CN"/>
        </w:rPr>
        <w:t>0</w:t>
      </w:r>
      <w:r>
        <w:rPr>
          <w:rFonts w:hint="eastAsia" w:ascii="仿宋" w:eastAsia="仿宋"/>
          <w:sz w:val="32"/>
          <w:szCs w:val="32"/>
        </w:rPr>
        <w:t>万元，完成预算</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，决算数与预算数持平的主要原因是</w:t>
      </w:r>
      <w:r>
        <w:rPr>
          <w:rFonts w:hint="eastAsia" w:ascii="仿宋" w:eastAsia="仿宋"/>
          <w:sz w:val="32"/>
          <w:szCs w:val="32"/>
          <w:lang w:val="en-US" w:eastAsia="zh-CN"/>
        </w:rPr>
        <w:t>我院无</w:t>
      </w:r>
      <w:r>
        <w:rPr>
          <w:rFonts w:hint="eastAsia" w:ascii="仿宋" w:eastAsia="仿宋"/>
          <w:sz w:val="32"/>
          <w:szCs w:val="32"/>
        </w:rPr>
        <w:t>“三公”经费财政拨款支出。</w:t>
      </w:r>
    </w:p>
    <w:p w14:paraId="22F98AB3">
      <w:pPr>
        <w:keepNext w:val="0"/>
        <w:keepLines w:val="0"/>
        <w:pageBreakBefore w:val="0"/>
        <w:kinsoku/>
        <w:wordWrap/>
        <w:overflowPunct/>
        <w:topLinePunct w:val="0"/>
        <w:bidi w:val="0"/>
        <w:snapToGrid/>
        <w:spacing w:line="560" w:lineRule="exact"/>
        <w:ind w:firstLine="640"/>
        <w:textAlignment w:val="auto"/>
        <w:outlineLvl w:val="2"/>
        <w:rPr>
          <w:rFonts w:ascii="仿宋" w:eastAsia="仿宋"/>
          <w:b/>
          <w:sz w:val="32"/>
          <w:szCs w:val="32"/>
        </w:rPr>
      </w:pPr>
      <w:bookmarkStart w:id="41" w:name="_Toc15377217"/>
      <w:r>
        <w:rPr>
          <w:rFonts w:hint="eastAsia" w:ascii="仿宋" w:eastAsia="仿宋"/>
          <w:b/>
          <w:sz w:val="32"/>
          <w:szCs w:val="32"/>
        </w:rPr>
        <w:t>（二）“三公”经费财政拨款支出决算具体情况说明</w:t>
      </w:r>
      <w:bookmarkEnd w:id="41"/>
    </w:p>
    <w:p w14:paraId="7463E692">
      <w:pPr>
        <w:keepNext w:val="0"/>
        <w:keepLines w:val="0"/>
        <w:pageBreakBefore w:val="0"/>
        <w:kinsoku/>
        <w:wordWrap/>
        <w:overflowPunct/>
        <w:topLinePunct w:val="0"/>
        <w:bidi w:val="0"/>
        <w:snapToGrid/>
        <w:spacing w:line="560" w:lineRule="exact"/>
        <w:ind w:firstLine="640"/>
        <w:textAlignment w:val="auto"/>
        <w:rPr>
          <w:rFonts w:ascii="仿宋" w:eastAsia="仿宋"/>
          <w:sz w:val="32"/>
          <w:szCs w:val="32"/>
        </w:rPr>
      </w:pPr>
      <w:r>
        <w:rPr>
          <w:rFonts w:ascii="仿宋" w:eastAsia="仿宋"/>
          <w:sz w:val="32"/>
          <w:szCs w:val="32"/>
        </w:rPr>
        <w:t>20</w:t>
      </w:r>
      <w:r>
        <w:rPr>
          <w:rFonts w:hint="eastAsia" w:ascii="仿宋" w:eastAsia="仿宋"/>
          <w:sz w:val="32"/>
          <w:szCs w:val="32"/>
        </w:rPr>
        <w:t>2</w:t>
      </w:r>
      <w:r>
        <w:rPr>
          <w:rFonts w:hint="eastAsia" w:ascii="仿宋" w:eastAsia="仿宋"/>
          <w:sz w:val="32"/>
          <w:szCs w:val="32"/>
          <w:lang w:val="en-US" w:eastAsia="zh-CN"/>
        </w:rPr>
        <w:t>3</w:t>
      </w:r>
      <w:r>
        <w:rPr>
          <w:rFonts w:hint="eastAsia" w:ascii="仿宋" w:eastAsia="仿宋"/>
          <w:sz w:val="32"/>
          <w:szCs w:val="32"/>
        </w:rPr>
        <w:t>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。具体情况如下：</w:t>
      </w:r>
    </w:p>
    <w:p w14:paraId="31D81AB8">
      <w:pPr>
        <w:keepNext w:val="0"/>
        <w:keepLines w:val="0"/>
        <w:pageBreakBefore w:val="0"/>
        <w:kinsoku/>
        <w:wordWrap/>
        <w:overflowPunct/>
        <w:topLinePunct w:val="0"/>
        <w:bidi w:val="0"/>
        <w:snapToGrid/>
        <w:spacing w:line="560" w:lineRule="exact"/>
        <w:ind w:firstLine="640"/>
        <w:textAlignment w:val="auto"/>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20"/>
          <w:rFonts w:hint="eastAsia" w:ascii="仿宋" w:eastAsia="仿宋"/>
          <w:b w:val="0"/>
          <w:bCs/>
          <w:sz w:val="32"/>
          <w:szCs w:val="32"/>
        </w:rPr>
        <w:t>完成预算</w:t>
      </w:r>
      <w:r>
        <w:rPr>
          <w:rStyle w:val="20"/>
          <w:rFonts w:hint="eastAsia" w:ascii="仿宋" w:eastAsia="仿宋"/>
          <w:b w:val="0"/>
          <w:bCs/>
          <w:sz w:val="32"/>
          <w:szCs w:val="32"/>
          <w:lang w:val="en-US" w:eastAsia="zh-CN"/>
        </w:rPr>
        <w:t>0</w:t>
      </w:r>
      <w:r>
        <w:rPr>
          <w:rStyle w:val="20"/>
          <w:rFonts w:ascii="仿宋" w:eastAsia="仿宋"/>
          <w:b w:val="0"/>
          <w:bCs/>
          <w:sz w:val="32"/>
          <w:szCs w:val="32"/>
        </w:rPr>
        <w:t>%</w:t>
      </w:r>
      <w:r>
        <w:rPr>
          <w:rStyle w:val="20"/>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相等</w:t>
      </w:r>
      <w:r>
        <w:rPr>
          <w:rFonts w:hint="eastAsia" w:ascii="仿宋_GB2312" w:eastAsia="仿宋_GB2312"/>
          <w:sz w:val="32"/>
          <w:szCs w:val="32"/>
        </w:rPr>
        <w:t>。</w:t>
      </w:r>
    </w:p>
    <w:p w14:paraId="2A6A5167">
      <w:pPr>
        <w:keepNext w:val="0"/>
        <w:keepLines w:val="0"/>
        <w:pageBreakBefore w:val="0"/>
        <w:kinsoku/>
        <w:wordWrap/>
        <w:overflowPunct/>
        <w:topLinePunct w:val="0"/>
        <w:bidi w:val="0"/>
        <w:snapToGrid/>
        <w:spacing w:line="560" w:lineRule="exact"/>
        <w:ind w:firstLine="640"/>
        <w:textAlignment w:val="auto"/>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20"/>
          <w:rFonts w:hint="eastAsia" w:ascii="仿宋" w:eastAsia="仿宋"/>
          <w:b w:val="0"/>
          <w:bCs/>
          <w:sz w:val="32"/>
          <w:szCs w:val="32"/>
        </w:rPr>
        <w:t>完成预算</w:t>
      </w:r>
      <w:r>
        <w:rPr>
          <w:rStyle w:val="20"/>
          <w:rFonts w:hint="eastAsia" w:ascii="仿宋" w:eastAsia="仿宋"/>
          <w:b w:val="0"/>
          <w:bCs/>
          <w:sz w:val="32"/>
          <w:szCs w:val="32"/>
          <w:lang w:val="en-US" w:eastAsia="zh-CN"/>
        </w:rPr>
        <w:t>0</w:t>
      </w:r>
      <w:r>
        <w:rPr>
          <w:rStyle w:val="20"/>
          <w:rFonts w:ascii="仿宋" w:eastAsia="仿宋"/>
          <w:b w:val="0"/>
          <w:bCs/>
          <w:sz w:val="32"/>
          <w:szCs w:val="32"/>
        </w:rPr>
        <w:t>%</w:t>
      </w:r>
      <w:r>
        <w:rPr>
          <w:rStyle w:val="20"/>
          <w:rFonts w:hint="eastAsia" w:ascii="仿宋" w:eastAsia="仿宋"/>
          <w:b w:val="0"/>
          <w:bCs/>
          <w:sz w:val="32"/>
          <w:szCs w:val="32"/>
        </w:rPr>
        <w:t>。</w:t>
      </w:r>
      <w:r>
        <w:rPr>
          <w:rFonts w:hint="eastAsia" w:ascii="仿宋_GB2312" w:eastAsia="仿宋_GB2312"/>
          <w:sz w:val="32"/>
          <w:szCs w:val="32"/>
        </w:rPr>
        <w:t>公务用车购置及运行维护费支出决算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相等</w:t>
      </w:r>
      <w:r>
        <w:rPr>
          <w:rFonts w:hint="eastAsia" w:ascii="仿宋_GB2312" w:eastAsia="仿宋_GB2312"/>
          <w:sz w:val="32"/>
          <w:szCs w:val="32"/>
        </w:rPr>
        <w:t>。</w:t>
      </w:r>
    </w:p>
    <w:p w14:paraId="4DDBA2B6">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color w:val="auto"/>
          <w:sz w:val="32"/>
          <w:szCs w:val="32"/>
        </w:rPr>
        <w:t>全年</w:t>
      </w:r>
      <w:r>
        <w:rPr>
          <w:rFonts w:hint="eastAsia" w:ascii="仿宋_GB2312" w:hAnsi="Times New Roman" w:eastAsia="仿宋_GB2312" w:cs="Times New Roman"/>
          <w:color w:val="auto"/>
          <w:sz w:val="32"/>
          <w:szCs w:val="32"/>
        </w:rPr>
        <w:t>按规定更新购置公务用车</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辆，其中：轿车</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辆、金额</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hAnsi="Times New Roman" w:eastAsia="仿宋_GB2312" w:cs="Times New Roman"/>
          <w:sz w:val="32"/>
          <w:szCs w:val="32"/>
        </w:rPr>
        <w:t>金额</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rPr>
        <w:t>万元。截至202</w:t>
      </w:r>
      <w:r>
        <w:rPr>
          <w:rFonts w:hint="eastAsia" w:ascii="仿宋_GB2312" w:eastAsia="仿宋_GB2312" w:cs="Times New Roman"/>
          <w:sz w:val="32"/>
          <w:szCs w:val="32"/>
          <w:lang w:val="en-US" w:eastAsia="zh-CN"/>
        </w:rPr>
        <w:t>3</w:t>
      </w:r>
      <w:r>
        <w:rPr>
          <w:rFonts w:hint="eastAsia" w:ascii="仿宋_GB2312" w:eastAsia="仿宋_GB2312"/>
          <w:color w:val="auto"/>
          <w:sz w:val="32"/>
          <w:szCs w:val="32"/>
        </w:rPr>
        <w:t>年12月底，单位共有公务用车</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辆，其中：轿车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辆、越野车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辆、载客汽车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w:t>
      </w:r>
      <w:r>
        <w:rPr>
          <w:rFonts w:hint="eastAsia" w:ascii="仿宋_GB2312" w:eastAsia="仿宋_GB2312"/>
          <w:color w:val="auto"/>
          <w:sz w:val="32"/>
          <w:szCs w:val="32"/>
          <w:lang w:eastAsia="zh-CN"/>
        </w:rPr>
        <w:t>、应急保障用车</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辆、</w:t>
      </w:r>
      <w:r>
        <w:rPr>
          <w:rFonts w:hint="eastAsia" w:ascii="仿宋_GB2312" w:eastAsia="仿宋_GB2312"/>
          <w:color w:val="auto"/>
          <w:sz w:val="32"/>
          <w:szCs w:val="32"/>
          <w:lang w:val="en-US" w:eastAsia="zh-CN"/>
        </w:rPr>
        <w:t>特种专业技术车0</w:t>
      </w:r>
      <w:r>
        <w:rPr>
          <w:rFonts w:hint="eastAsia" w:ascii="仿宋_GB2312" w:eastAsia="仿宋_GB2312"/>
          <w:color w:val="auto"/>
          <w:sz w:val="32"/>
          <w:szCs w:val="32"/>
        </w:rPr>
        <w:t>辆。</w:t>
      </w: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31D52583">
      <w:pPr>
        <w:keepNext w:val="0"/>
        <w:keepLines w:val="0"/>
        <w:pageBreakBefore w:val="0"/>
        <w:numPr>
          <w:ilvl w:val="0"/>
          <w:numId w:val="0"/>
        </w:numPr>
        <w:kinsoku/>
        <w:wordWrap/>
        <w:overflowPunct/>
        <w:topLinePunct w:val="0"/>
        <w:bidi w:val="0"/>
        <w:snapToGrid/>
        <w:spacing w:line="560" w:lineRule="exact"/>
        <w:ind w:firstLine="643" w:firstLineChars="200"/>
        <w:textAlignment w:val="auto"/>
        <w:rPr>
          <w:rFonts w:hint="eastAsia" w:ascii="仿宋_GB2312" w:eastAsia="仿宋_GB2312"/>
          <w:sz w:val="32"/>
          <w:szCs w:val="32"/>
          <w:lang w:eastAsia="zh-CN"/>
        </w:rPr>
      </w:pPr>
      <w:r>
        <w:rPr>
          <w:rFonts w:hint="eastAsia" w:ascii="仿宋_GB2312" w:eastAsia="仿宋_GB2312"/>
          <w:b/>
          <w:sz w:val="32"/>
          <w:szCs w:val="32"/>
          <w:lang w:val="en-US" w:eastAsia="zh-CN"/>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20"/>
          <w:rFonts w:hint="eastAsia" w:ascii="仿宋" w:eastAsia="仿宋"/>
          <w:b w:val="0"/>
          <w:bCs/>
          <w:sz w:val="32"/>
          <w:szCs w:val="32"/>
        </w:rPr>
        <w:t>完成预算</w:t>
      </w:r>
      <w:r>
        <w:rPr>
          <w:rStyle w:val="20"/>
          <w:rFonts w:hint="eastAsia" w:ascii="仿宋" w:eastAsia="仿宋"/>
          <w:b w:val="0"/>
          <w:bCs/>
          <w:sz w:val="32"/>
          <w:szCs w:val="32"/>
          <w:lang w:val="en-US" w:eastAsia="zh-CN"/>
        </w:rPr>
        <w:t>0</w:t>
      </w:r>
      <w:r>
        <w:rPr>
          <w:rStyle w:val="20"/>
          <w:rFonts w:ascii="仿宋" w:eastAsia="仿宋"/>
          <w:b w:val="0"/>
          <w:bCs/>
          <w:sz w:val="32"/>
          <w:szCs w:val="32"/>
        </w:rPr>
        <w:t>%</w:t>
      </w:r>
      <w:r>
        <w:rPr>
          <w:rStyle w:val="20"/>
          <w:rFonts w:hint="eastAsia" w:ascii="仿宋" w:eastAsia="仿宋"/>
          <w:b w:val="0"/>
          <w:bCs/>
          <w:sz w:val="32"/>
          <w:szCs w:val="32"/>
        </w:rPr>
        <w:t>。</w:t>
      </w:r>
      <w:r>
        <w:rPr>
          <w:rFonts w:hint="eastAsia" w:ascii="仿宋_GB2312" w:eastAsia="仿宋_GB2312"/>
          <w:sz w:val="32"/>
          <w:szCs w:val="32"/>
        </w:rPr>
        <w:t>公务接待费支出决算</w:t>
      </w:r>
      <w:r>
        <w:rPr>
          <w:rFonts w:hint="eastAsia" w:ascii="仿宋_GB2312" w:eastAsia="仿宋_GB2312"/>
          <w:sz w:val="32"/>
          <w:szCs w:val="32"/>
          <w:lang w:val="en-US" w:eastAsia="zh-CN"/>
        </w:rPr>
        <w:t>与</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val="en-US" w:eastAsia="zh-CN"/>
        </w:rPr>
        <w:t>相等</w:t>
      </w:r>
      <w:r>
        <w:rPr>
          <w:rFonts w:hint="eastAsia" w:ascii="仿宋_GB2312" w:eastAsia="仿宋_GB2312"/>
          <w:sz w:val="32"/>
          <w:szCs w:val="32"/>
        </w:rPr>
        <w:t>。</w:t>
      </w:r>
      <w:r>
        <w:rPr>
          <w:rFonts w:hint="eastAsia" w:ascii="仿宋" w:eastAsia="仿宋"/>
          <w:b/>
          <w:sz w:val="32"/>
          <w:szCs w:val="32"/>
        </w:rPr>
        <w:t>国内公务接待支出</w:t>
      </w:r>
      <w:r>
        <w:rPr>
          <w:rFonts w:hint="eastAsia" w:ascii="仿宋" w:eastAsia="仿宋"/>
          <w:sz w:val="32"/>
          <w:szCs w:val="32"/>
          <w:lang w:val="en-US" w:eastAsia="zh-CN"/>
        </w:rPr>
        <w:t>0</w:t>
      </w:r>
      <w:r>
        <w:rPr>
          <w:rFonts w:hint="eastAsia" w:ascii="仿宋_GB2312" w:eastAsia="仿宋_GB2312"/>
          <w:sz w:val="32"/>
          <w:szCs w:val="32"/>
        </w:rPr>
        <w:t>万元。</w:t>
      </w: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w:t>
      </w:r>
      <w:bookmarkStart w:id="42" w:name="_Toc15396610"/>
      <w:bookmarkStart w:id="43" w:name="_Toc15377218"/>
      <w:r>
        <w:rPr>
          <w:rFonts w:hint="eastAsia" w:ascii="仿宋_GB2312" w:eastAsia="仿宋_GB2312"/>
          <w:sz w:val="32"/>
          <w:szCs w:val="32"/>
          <w:lang w:eastAsia="zh-CN"/>
        </w:rPr>
        <w:t>。</w:t>
      </w:r>
    </w:p>
    <w:p w14:paraId="206D4E15">
      <w:pPr>
        <w:keepNext w:val="0"/>
        <w:keepLines w:val="0"/>
        <w:pageBreakBefore w:val="0"/>
        <w:kinsoku/>
        <w:wordWrap/>
        <w:overflowPunct/>
        <w:topLinePunct w:val="0"/>
        <w:bidi w:val="0"/>
        <w:snapToGrid/>
        <w:spacing w:line="560" w:lineRule="exact"/>
        <w:ind w:firstLine="640"/>
        <w:textAlignment w:val="auto"/>
        <w:outlineLvl w:val="1"/>
        <w:rPr>
          <w:rStyle w:val="23"/>
          <w:rFonts w:ascii="黑体" w:eastAsia="黑体"/>
        </w:rPr>
      </w:pPr>
      <w:r>
        <w:rPr>
          <w:rFonts w:hint="eastAsia" w:ascii="黑体" w:eastAsia="黑体"/>
          <w:sz w:val="32"/>
          <w:szCs w:val="32"/>
        </w:rPr>
        <w:t>八、</w:t>
      </w:r>
      <w:r>
        <w:rPr>
          <w:rStyle w:val="23"/>
          <w:rFonts w:hint="eastAsia" w:ascii="黑体" w:eastAsia="黑体"/>
          <w:b w:val="0"/>
        </w:rPr>
        <w:t>政府性基金预算支出决算情况说明</w:t>
      </w:r>
      <w:bookmarkEnd w:id="42"/>
      <w:bookmarkEnd w:id="43"/>
    </w:p>
    <w:p w14:paraId="37035AE3">
      <w:pPr>
        <w:keepNext w:val="0"/>
        <w:keepLines w:val="0"/>
        <w:pageBreakBefore w:val="0"/>
        <w:kinsoku/>
        <w:wordWrap/>
        <w:overflowPunct/>
        <w:topLinePunct w:val="0"/>
        <w:bidi w:val="0"/>
        <w:snapToGrid/>
        <w:spacing w:line="560" w:lineRule="exact"/>
        <w:ind w:firstLine="64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545F07F3">
      <w:pPr>
        <w:keepNext w:val="0"/>
        <w:keepLines w:val="0"/>
        <w:pageBreakBefore w:val="0"/>
        <w:numPr>
          <w:ilvl w:val="0"/>
          <w:numId w:val="2"/>
        </w:numPr>
        <w:kinsoku/>
        <w:wordWrap/>
        <w:overflowPunct/>
        <w:topLinePunct w:val="0"/>
        <w:bidi w:val="0"/>
        <w:snapToGrid/>
        <w:spacing w:line="560" w:lineRule="exact"/>
        <w:ind w:firstLine="640"/>
        <w:textAlignment w:val="auto"/>
        <w:outlineLvl w:val="1"/>
        <w:rPr>
          <w:rStyle w:val="23"/>
          <w:rFonts w:ascii="黑体" w:eastAsia="黑体"/>
          <w:b w:val="0"/>
        </w:rPr>
      </w:pPr>
      <w:bookmarkStart w:id="44" w:name="_Toc15396611"/>
      <w:bookmarkStart w:id="45" w:name="_Toc15377219"/>
      <w:r>
        <w:rPr>
          <w:rStyle w:val="23"/>
          <w:rFonts w:hint="eastAsia" w:ascii="黑体" w:eastAsia="黑体"/>
          <w:b w:val="0"/>
        </w:rPr>
        <w:t>国有资本经营预算支出决算情况说明</w:t>
      </w:r>
      <w:bookmarkEnd w:id="44"/>
      <w:bookmarkEnd w:id="45"/>
    </w:p>
    <w:p w14:paraId="3D88F4FD">
      <w:pPr>
        <w:keepNext w:val="0"/>
        <w:keepLines w:val="0"/>
        <w:pageBreakBefore w:val="0"/>
        <w:kinsoku/>
        <w:wordWrap/>
        <w:overflowPunct/>
        <w:topLinePunct w:val="0"/>
        <w:bidi w:val="0"/>
        <w:snapToGrid/>
        <w:spacing w:line="560" w:lineRule="exact"/>
        <w:ind w:firstLine="640"/>
        <w:textAlignment w:val="auto"/>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445D0016">
      <w:pPr>
        <w:keepNext w:val="0"/>
        <w:keepLines w:val="0"/>
        <w:pageBreakBefore w:val="0"/>
        <w:numPr>
          <w:ilvl w:val="0"/>
          <w:numId w:val="2"/>
        </w:numPr>
        <w:kinsoku/>
        <w:wordWrap/>
        <w:overflowPunct/>
        <w:topLinePunct w:val="0"/>
        <w:bidi w:val="0"/>
        <w:snapToGrid/>
        <w:spacing w:line="560" w:lineRule="exact"/>
        <w:ind w:firstLine="640"/>
        <w:textAlignment w:val="auto"/>
        <w:outlineLvl w:val="1"/>
        <w:rPr>
          <w:rStyle w:val="23"/>
          <w:rFonts w:ascii="黑体" w:eastAsia="黑体"/>
          <w:b w:val="0"/>
        </w:rPr>
      </w:pPr>
      <w:bookmarkStart w:id="46" w:name="_Toc15396612"/>
      <w:bookmarkStart w:id="47" w:name="_Toc15377221"/>
      <w:r>
        <w:rPr>
          <w:rStyle w:val="23"/>
          <w:rFonts w:hint="eastAsia" w:ascii="黑体" w:eastAsia="黑体"/>
          <w:b w:val="0"/>
        </w:rPr>
        <w:t>其他重要事项的情况说明</w:t>
      </w:r>
      <w:bookmarkEnd w:id="46"/>
      <w:bookmarkEnd w:id="47"/>
    </w:p>
    <w:p w14:paraId="16DC3AFB">
      <w:pPr>
        <w:keepNext w:val="0"/>
        <w:keepLines w:val="0"/>
        <w:pageBreakBefore w:val="0"/>
        <w:kinsoku/>
        <w:wordWrap/>
        <w:overflowPunct/>
        <w:topLinePunct w:val="0"/>
        <w:bidi w:val="0"/>
        <w:snapToGrid/>
        <w:spacing w:line="560" w:lineRule="exact"/>
        <w:ind w:firstLine="643" w:firstLineChars="200"/>
        <w:textAlignment w:val="auto"/>
        <w:outlineLvl w:val="2"/>
        <w:rPr>
          <w:rFonts w:ascii="仿宋" w:eastAsia="仿宋"/>
          <w:sz w:val="32"/>
          <w:szCs w:val="32"/>
        </w:rPr>
      </w:pPr>
      <w:bookmarkStart w:id="48" w:name="_Toc15377222"/>
      <w:r>
        <w:rPr>
          <w:rFonts w:hint="eastAsia" w:ascii="仿宋" w:eastAsia="仿宋"/>
          <w:b/>
          <w:sz w:val="32"/>
          <w:szCs w:val="32"/>
        </w:rPr>
        <w:t>（一）机关运行经费支出情况</w:t>
      </w:r>
      <w:bookmarkEnd w:id="48"/>
    </w:p>
    <w:p w14:paraId="2CD20EEF">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color w:val="auto"/>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万元，比</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年增加</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我院无</w:t>
      </w:r>
      <w:r>
        <w:rPr>
          <w:rFonts w:hint="eastAsia" w:ascii="仿宋_GB2312" w:eastAsia="仿宋_GB2312"/>
          <w:color w:val="auto"/>
          <w:sz w:val="32"/>
          <w:szCs w:val="32"/>
        </w:rPr>
        <w:t>机关运行经费</w:t>
      </w:r>
      <w:r>
        <w:rPr>
          <w:rFonts w:hint="eastAsia" w:ascii="仿宋_GB2312" w:eastAsia="仿宋_GB2312"/>
          <w:color w:val="auto"/>
          <w:sz w:val="32"/>
          <w:szCs w:val="32"/>
          <w:lang w:eastAsia="zh-CN"/>
        </w:rPr>
        <w:t>。</w:t>
      </w:r>
    </w:p>
    <w:p w14:paraId="0B4C91D3">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ascii="仿宋" w:eastAsia="仿宋"/>
          <w:b/>
          <w:sz w:val="32"/>
          <w:szCs w:val="32"/>
        </w:rPr>
      </w:pPr>
      <w:bookmarkStart w:id="49" w:name="_Toc15377223"/>
      <w:r>
        <w:rPr>
          <w:rFonts w:hint="eastAsia" w:ascii="仿宋" w:eastAsia="仿宋"/>
          <w:b/>
          <w:color w:val="auto"/>
          <w:sz w:val="32"/>
          <w:szCs w:val="32"/>
        </w:rPr>
        <w:t>（二）政府采购支出情</w:t>
      </w:r>
      <w:r>
        <w:rPr>
          <w:rFonts w:hint="eastAsia" w:ascii="仿宋" w:eastAsia="仿宋"/>
          <w:b/>
          <w:sz w:val="32"/>
          <w:szCs w:val="32"/>
        </w:rPr>
        <w:t>况</w:t>
      </w:r>
      <w:bookmarkEnd w:id="49"/>
    </w:p>
    <w:p w14:paraId="58DD0C3D">
      <w:pPr>
        <w:keepNext w:val="0"/>
        <w:keepLines w:val="0"/>
        <w:pageBreakBefore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hAnsi="仿宋_GB2312" w:eastAsia="仿宋_GB2312" w:cs="仿宋_GB2312"/>
          <w:kern w:val="0"/>
          <w:sz w:val="32"/>
          <w:szCs w:val="32"/>
          <w:shd w:val="clear" w:color="auto" w:fill="FFFFFF"/>
        </w:rPr>
        <w:t>红原县人民医院</w:t>
      </w:r>
      <w:r>
        <w:rPr>
          <w:rFonts w:hint="eastAsia" w:ascii="仿宋_GB2312" w:eastAsia="仿宋_GB2312"/>
          <w:sz w:val="32"/>
          <w:szCs w:val="32"/>
        </w:rPr>
        <w:t>政府</w:t>
      </w:r>
      <w:r>
        <w:rPr>
          <w:rFonts w:hint="eastAsia" w:ascii="仿宋_GB2312" w:eastAsia="仿宋_GB2312"/>
          <w:color w:val="auto"/>
          <w:sz w:val="32"/>
          <w:szCs w:val="32"/>
        </w:rPr>
        <w:t>采购支出总额</w:t>
      </w:r>
      <w:r>
        <w:rPr>
          <w:rFonts w:hint="eastAsia" w:ascii="仿宋_GB2312" w:eastAsia="仿宋_GB2312"/>
          <w:color w:val="auto"/>
          <w:sz w:val="32"/>
          <w:szCs w:val="32"/>
          <w:lang w:val="en-US" w:eastAsia="zh-CN"/>
        </w:rPr>
        <w:t>380.35</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380.35</w:t>
      </w:r>
      <w:r>
        <w:rPr>
          <w:rFonts w:hint="eastAsia" w:ascii="仿宋_GB2312" w:eastAsia="仿宋_GB2312"/>
          <w:color w:val="auto"/>
          <w:sz w:val="32"/>
          <w:szCs w:val="32"/>
        </w:rPr>
        <w:t>万元、</w:t>
      </w:r>
      <w:r>
        <w:rPr>
          <w:rFonts w:hint="eastAsia" w:ascii="仿宋_GB2312" w:eastAsia="仿宋_GB2312"/>
          <w:sz w:val="32"/>
          <w:szCs w:val="32"/>
        </w:rPr>
        <w:t>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万元。授予中小企业合同金</w:t>
      </w:r>
      <w:r>
        <w:rPr>
          <w:rFonts w:hint="eastAsia" w:ascii="仿宋_GB2312" w:eastAsia="仿宋_GB2312"/>
          <w:color w:val="auto"/>
          <w:sz w:val="32"/>
          <w:szCs w:val="32"/>
        </w:rPr>
        <w:t>额</w:t>
      </w:r>
      <w:r>
        <w:rPr>
          <w:rFonts w:hint="eastAsia" w:ascii="仿宋_GB2312" w:eastAsia="仿宋_GB2312"/>
          <w:color w:val="auto"/>
          <w:sz w:val="32"/>
          <w:szCs w:val="32"/>
          <w:lang w:val="en-US" w:eastAsia="zh-CN"/>
        </w:rPr>
        <w:t>380.35</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326509D0">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ascii="仿宋" w:eastAsia="仿宋"/>
          <w:b/>
          <w:sz w:val="32"/>
          <w:szCs w:val="32"/>
        </w:rPr>
      </w:pPr>
      <w:bookmarkStart w:id="50" w:name="_Toc15377224"/>
      <w:r>
        <w:rPr>
          <w:rFonts w:hint="eastAsia" w:ascii="仿宋" w:eastAsia="仿宋"/>
          <w:b/>
          <w:sz w:val="32"/>
          <w:szCs w:val="32"/>
        </w:rPr>
        <w:t>（三）国有资产占有使用情况</w:t>
      </w:r>
      <w:bookmarkEnd w:id="50"/>
    </w:p>
    <w:p w14:paraId="3E916613">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Times New Roman" w:eastAsia="仿宋_GB2312" w:cs="Times New Roman"/>
          <w:color w:val="auto"/>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日共有</w:t>
      </w:r>
      <w:r>
        <w:rPr>
          <w:rFonts w:hint="eastAsia" w:ascii="仿宋_GB2312" w:eastAsia="仿宋_GB2312"/>
          <w:color w:val="auto"/>
          <w:sz w:val="32"/>
          <w:szCs w:val="32"/>
        </w:rPr>
        <w:t>车辆</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辆，</w:t>
      </w:r>
      <w:r>
        <w:rPr>
          <w:rFonts w:hint="eastAsia" w:ascii="仿宋_GB2312" w:eastAsia="仿宋_GB2312"/>
          <w:sz w:val="32"/>
          <w:szCs w:val="32"/>
        </w:rPr>
        <w:t>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7</w:t>
      </w:r>
      <w:r>
        <w:rPr>
          <w:rFonts w:hint="eastAsia" w:ascii="仿宋_GB2312" w:eastAsia="仿宋_GB2312"/>
          <w:sz w:val="32"/>
          <w:szCs w:val="32"/>
        </w:rPr>
        <w:t>辆</w:t>
      </w:r>
      <w:r>
        <w:rPr>
          <w:rFonts w:hint="eastAsia" w:ascii="仿宋_GB2312" w:hAnsi="Times New Roman" w:eastAsia="仿宋_GB2312" w:cs="Times New Roman"/>
          <w:color w:val="auto"/>
          <w:sz w:val="32"/>
          <w:szCs w:val="32"/>
        </w:rPr>
        <w:t>、其他用</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辆、</w:t>
      </w:r>
      <w:r>
        <w:rPr>
          <w:rFonts w:hint="eastAsia" w:ascii="仿宋_GB2312" w:hAnsi="Times New Roman" w:eastAsia="仿宋_GB2312" w:cs="Times New Roman"/>
          <w:color w:val="auto"/>
          <w:sz w:val="32"/>
          <w:szCs w:val="32"/>
          <w:lang w:val="en-US" w:eastAsia="zh-CN"/>
        </w:rPr>
        <w:t>特种专业技术用车</w:t>
      </w:r>
      <w:r>
        <w:rPr>
          <w:rFonts w:hint="eastAsia" w:ascii="仿宋_GB2312"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辆</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rPr>
        <w:t>主要是用于</w:t>
      </w:r>
      <w:r>
        <w:rPr>
          <w:rFonts w:hint="eastAsia" w:ascii="仿宋_GB2312" w:hAnsi="Times New Roman" w:eastAsia="仿宋_GB2312" w:cs="Times New Roman"/>
          <w:color w:val="auto"/>
          <w:sz w:val="32"/>
          <w:szCs w:val="32"/>
          <w:lang w:val="en-US" w:eastAsia="zh-CN"/>
        </w:rPr>
        <w:t>医院医疗救治。</w:t>
      </w:r>
      <w:r>
        <w:rPr>
          <w:rFonts w:hint="eastAsia" w:ascii="仿宋_GB2312" w:hAnsi="Times New Roman" w:eastAsia="仿宋_GB2312" w:cs="Times New Roman"/>
          <w:color w:val="auto"/>
          <w:sz w:val="32"/>
          <w:szCs w:val="32"/>
        </w:rPr>
        <w:t>单价50万元以上通用设备</w:t>
      </w:r>
      <w:r>
        <w:rPr>
          <w:rFonts w:hint="eastAsia" w:ascii="仿宋_GB2312"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台（套），单价100万元以上专用设备</w:t>
      </w:r>
      <w:r>
        <w:rPr>
          <w:rFonts w:hint="eastAsia" w:ascii="仿宋_GB2312" w:eastAsia="仿宋_GB2312" w:cs="Times New Roman"/>
          <w:color w:val="auto"/>
          <w:sz w:val="32"/>
          <w:szCs w:val="32"/>
          <w:lang w:val="en-US" w:eastAsia="zh-CN"/>
        </w:rPr>
        <w:t>7</w:t>
      </w:r>
      <w:r>
        <w:rPr>
          <w:rFonts w:hint="eastAsia" w:ascii="仿宋_GB2312" w:hAnsi="Times New Roman" w:eastAsia="仿宋_GB2312" w:cs="Times New Roman"/>
          <w:color w:val="auto"/>
          <w:sz w:val="32"/>
          <w:szCs w:val="32"/>
        </w:rPr>
        <w:t>台（套）。</w:t>
      </w:r>
    </w:p>
    <w:p w14:paraId="7FF03997">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ascii="仿宋" w:eastAsia="仿宋"/>
          <w:b/>
          <w:sz w:val="32"/>
          <w:szCs w:val="32"/>
        </w:rPr>
      </w:pPr>
      <w:r>
        <w:rPr>
          <w:rFonts w:hint="eastAsia" w:ascii="仿宋" w:eastAsia="仿宋"/>
          <w:b/>
          <w:sz w:val="32"/>
          <w:szCs w:val="32"/>
        </w:rPr>
        <w:t>（四）预算绩效管理情况</w:t>
      </w:r>
    </w:p>
    <w:p w14:paraId="0C295601">
      <w:pPr>
        <w:keepNext w:val="0"/>
        <w:keepLines w:val="0"/>
        <w:pageBreakBefore w:val="0"/>
        <w:widowControl/>
        <w:kinsoku/>
        <w:wordWrap/>
        <w:overflowPunct/>
        <w:topLinePunct w:val="0"/>
        <w:bidi w:val="0"/>
        <w:snapToGrid/>
        <w:spacing w:line="560" w:lineRule="exact"/>
        <w:ind w:firstLine="640" w:firstLineChars="200"/>
        <w:jc w:val="left"/>
        <w:textAlignment w:val="auto"/>
        <w:rPr>
          <w:rFonts w:ascii="仿宋_GB2312" w:eastAsia="仿宋_GB2312"/>
          <w:b/>
          <w:sz w:val="32"/>
          <w:szCs w:val="32"/>
        </w:rPr>
      </w:pPr>
      <w:r>
        <w:rPr>
          <w:rFonts w:hint="eastAsia" w:ascii="仿宋_GB2312" w:eastAsia="仿宋_GB2312" w:cs="仿宋_GB2312"/>
          <w:sz w:val="32"/>
          <w:szCs w:val="32"/>
        </w:rPr>
        <w:t>根据预算绩效管理要求，本单位在202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年度预算编制阶段，组织对</w:t>
      </w:r>
      <w:r>
        <w:rPr>
          <w:rFonts w:hint="eastAsia" w:ascii="仿宋_GB2312" w:eastAsia="仿宋_GB2312" w:cs="仿宋_GB2312"/>
          <w:sz w:val="32"/>
          <w:szCs w:val="32"/>
          <w:lang w:eastAsia="zh-CN"/>
        </w:rPr>
        <w:t>取消药品加成</w:t>
      </w:r>
      <w:r>
        <w:rPr>
          <w:rFonts w:hint="eastAsia" w:ascii="仿宋_GB2312" w:eastAsia="仿宋_GB2312" w:cs="仿宋_GB2312"/>
          <w:sz w:val="32"/>
          <w:szCs w:val="32"/>
        </w:rPr>
        <w:t>项目等开展了预算事前绩效评估，对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w:t>
      </w:r>
      <w:r>
        <w:rPr>
          <w:rFonts w:hint="eastAsia" w:ascii="仿宋_GB2312" w:eastAsia="仿宋_GB2312" w:cs="仿宋_GB2312"/>
          <w:sz w:val="32"/>
          <w:szCs w:val="32"/>
          <w:lang w:val="en-US" w:eastAsia="zh-CN"/>
        </w:rPr>
        <w:t>医疗服务能力提升项目和神经外科项目</w:t>
      </w:r>
      <w:r>
        <w:rPr>
          <w:rFonts w:hint="eastAsia" w:ascii="仿宋_GB2312" w:eastAsia="仿宋_GB2312" w:cs="仿宋_GB2312"/>
          <w:sz w:val="32"/>
          <w:szCs w:val="32"/>
        </w:rPr>
        <w:t>开展了绩效自评</w:t>
      </w:r>
      <w:r>
        <w:rPr>
          <w:rFonts w:hint="eastAsia" w:ascii="仿宋_GB2312" w:eastAsia="仿宋_GB2312" w:cs="仿宋_GB2312"/>
          <w:sz w:val="32"/>
          <w:szCs w:val="32"/>
          <w:lang w:eastAsia="zh-CN"/>
        </w:rPr>
        <w:t>。</w:t>
      </w:r>
      <w:r>
        <w:rPr>
          <w:rFonts w:hint="eastAsia" w:ascii="仿宋_GB2312" w:eastAsia="仿宋_GB2312" w:cs="仿宋_GB2312"/>
          <w:sz w:val="32"/>
          <w:szCs w:val="32"/>
        </w:rPr>
        <w:t>绩效自评报告详见附件</w:t>
      </w:r>
      <w:r>
        <w:rPr>
          <w:rFonts w:hint="eastAsia" w:ascii="仿宋_GB2312" w:eastAsia="仿宋_GB2312" w:cs="仿宋_GB2312"/>
          <w:sz w:val="32"/>
          <w:szCs w:val="32"/>
          <w:lang w:eastAsia="zh-CN"/>
        </w:rPr>
        <w:t>。</w:t>
      </w:r>
      <w:r>
        <w:rPr>
          <w:rFonts w:ascii="仿宋_GB2312" w:eastAsia="仿宋_GB2312"/>
          <w:b/>
          <w:sz w:val="32"/>
          <w:szCs w:val="32"/>
        </w:rPr>
        <w:br w:type="page"/>
      </w:r>
    </w:p>
    <w:p w14:paraId="6FCB5367">
      <w:pPr>
        <w:numPr>
          <w:ilvl w:val="0"/>
          <w:numId w:val="3"/>
        </w:numPr>
        <w:spacing w:line="600" w:lineRule="exact"/>
        <w:ind w:firstLine="660" w:firstLineChars="150"/>
        <w:jc w:val="center"/>
        <w:outlineLvl w:val="0"/>
        <w:rPr>
          <w:rStyle w:val="22"/>
          <w:rFonts w:ascii="黑体" w:eastAsia="黑体"/>
          <w:b w:val="0"/>
        </w:rPr>
      </w:pPr>
      <w:bookmarkStart w:id="51" w:name="_Toc15377225"/>
      <w:bookmarkStart w:id="52" w:name="_Toc15396613"/>
      <w:r>
        <w:rPr>
          <w:rFonts w:hint="eastAsia" w:ascii="黑体" w:eastAsia="黑体"/>
          <w:sz w:val="44"/>
          <w:szCs w:val="44"/>
        </w:rPr>
        <w:t>名</w:t>
      </w:r>
      <w:r>
        <w:rPr>
          <w:rStyle w:val="22"/>
          <w:rFonts w:hint="eastAsia" w:ascii="黑体" w:eastAsia="黑体"/>
          <w:b w:val="0"/>
        </w:rPr>
        <w:t>词解释</w:t>
      </w:r>
      <w:bookmarkEnd w:id="51"/>
      <w:bookmarkEnd w:id="52"/>
    </w:p>
    <w:p w14:paraId="3D9B8CD3">
      <w:pPr>
        <w:spacing w:line="600" w:lineRule="exact"/>
        <w:jc w:val="left"/>
        <w:rPr>
          <w:rFonts w:ascii="宋体"/>
          <w:b/>
          <w:sz w:val="44"/>
          <w:szCs w:val="44"/>
        </w:rPr>
      </w:pPr>
    </w:p>
    <w:p w14:paraId="6041FAEB">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3C3E4A83">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14:paraId="1AC21754">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14:paraId="6C1340FF">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14:paraId="031111E2">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14:paraId="5B8D2742">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1C9F08F9">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0AB74B6E">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097FFCDD">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一般公共服务（类）…（款）…（项）：指……。</w:t>
      </w:r>
    </w:p>
    <w:p w14:paraId="013343D2">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外交（类）…（款）…（项）：指……。</w:t>
      </w:r>
    </w:p>
    <w:p w14:paraId="096DB889">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公共安全（类）…（款）…（项）：指……。</w:t>
      </w:r>
    </w:p>
    <w:p w14:paraId="32094748">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教育（类）…（款）…（项）：指……。</w:t>
      </w:r>
    </w:p>
    <w:p w14:paraId="23A0AB31">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科学技术（类）…（款）…（项）：指……。</w:t>
      </w:r>
    </w:p>
    <w:p w14:paraId="196071AE">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文化体育与传媒（类）…（款）…（项）：指……。</w:t>
      </w:r>
    </w:p>
    <w:p w14:paraId="393BE100">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社会保障和就业（类）…（款）…（项）：指……。</w:t>
      </w:r>
    </w:p>
    <w:p w14:paraId="6FE98BFB">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医疗卫生与计划生育（类）…（款）…（项）：指……。</w:t>
      </w:r>
    </w:p>
    <w:p w14:paraId="75800C8D">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节能环保（类）…（款）…（项）：指……。</w:t>
      </w:r>
    </w:p>
    <w:p w14:paraId="5550B179">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城乡社区（类）…（款）…（项）：指……。</w:t>
      </w:r>
    </w:p>
    <w:p w14:paraId="54AF30E4">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农林水（类）…（款）…（项）：指……。</w:t>
      </w:r>
    </w:p>
    <w:p w14:paraId="01621855">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交通运输（类）…（款）…（项）：指……。</w:t>
      </w:r>
    </w:p>
    <w:p w14:paraId="04924CD7">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资源勘探信息等（类）…（款）…（项）：指……。</w:t>
      </w:r>
    </w:p>
    <w:p w14:paraId="551F10CE">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商业服务业（类）…（款）…（项）：指……。</w:t>
      </w:r>
    </w:p>
    <w:p w14:paraId="555835CA">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金融（类）…（款）…（项）：指……。</w:t>
      </w:r>
    </w:p>
    <w:p w14:paraId="7DC0E066">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国土海洋气象等（类）…（款）…（项）：指……。</w:t>
      </w:r>
    </w:p>
    <w:p w14:paraId="0F07B43A">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25.</w:t>
      </w:r>
      <w:r>
        <w:rPr>
          <w:rFonts w:hint="eastAsia" w:ascii="仿宋_GB2312" w:eastAsia="仿宋_GB2312"/>
          <w:sz w:val="32"/>
          <w:szCs w:val="32"/>
        </w:rPr>
        <w:t>住房保障（类）…（款）…（项）：指……。</w:t>
      </w:r>
    </w:p>
    <w:p w14:paraId="73957B89">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26.</w:t>
      </w:r>
      <w:r>
        <w:rPr>
          <w:rFonts w:hint="eastAsia" w:ascii="仿宋_GB2312" w:eastAsia="仿宋_GB2312"/>
          <w:sz w:val="32"/>
          <w:szCs w:val="32"/>
        </w:rPr>
        <w:t>粮油物资储备（类）…（款）…（项）：指……。</w:t>
      </w:r>
    </w:p>
    <w:p w14:paraId="3CD82170">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p>
    <w:p w14:paraId="1BF0FB93">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p>
    <w:p w14:paraId="52AE111A">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w:t>
      </w:r>
    </w:p>
    <w:p w14:paraId="7083AF2E">
      <w:pPr>
        <w:keepNext w:val="0"/>
        <w:keepLines w:val="0"/>
        <w:pageBreakBefore w:val="0"/>
        <w:widowControl w:val="0"/>
        <w:kinsoku/>
        <w:wordWrap/>
        <w:overflowPunct/>
        <w:topLinePunct w:val="0"/>
        <w:bidi w:val="0"/>
        <w:snapToGrid/>
        <w:spacing w:line="560" w:lineRule="exact"/>
        <w:ind w:firstLine="640"/>
        <w:textAlignment w:val="auto"/>
        <w:rPr>
          <w:rFonts w:ascii="仿宋" w:eastAsia="仿宋"/>
          <w:b/>
          <w:sz w:val="32"/>
          <w:szCs w:val="32"/>
        </w:rPr>
      </w:pPr>
      <w:r>
        <w:rPr>
          <w:rFonts w:hint="eastAsia" w:ascii="仿宋" w:eastAsia="仿宋"/>
          <w:b/>
          <w:sz w:val="32"/>
          <w:szCs w:val="32"/>
        </w:rPr>
        <w:t>（解释本单位决算报表中涉及的全部功能分类科目至项级，不涉及的科目请自行删除。请参照《</w:t>
      </w:r>
      <w:r>
        <w:rPr>
          <w:rFonts w:ascii="仿宋" w:eastAsia="仿宋"/>
          <w:b/>
          <w:sz w:val="32"/>
          <w:szCs w:val="32"/>
        </w:rPr>
        <w:t>20</w:t>
      </w:r>
      <w:r>
        <w:rPr>
          <w:rFonts w:hint="eastAsia" w:ascii="仿宋" w:eastAsia="仿宋"/>
          <w:b/>
          <w:sz w:val="32"/>
          <w:szCs w:val="32"/>
        </w:rPr>
        <w:t>21年政府收支分类科目》增减内容。）</w:t>
      </w:r>
    </w:p>
    <w:p w14:paraId="757FBB26">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14:paraId="45F66BBA">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65316A8E">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14:paraId="3B86BCEC">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96E68B">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1D82343">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p>
    <w:p w14:paraId="16A30A32">
      <w:pPr>
        <w:pStyle w:val="27"/>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s="黑体"/>
          <w:color w:val="auto"/>
          <w:sz w:val="32"/>
          <w:szCs w:val="32"/>
        </w:rPr>
      </w:pPr>
    </w:p>
    <w:p w14:paraId="1E51E4D8">
      <w:pPr>
        <w:keepNext w:val="0"/>
        <w:keepLines w:val="0"/>
        <w:pageBreakBefore w:val="0"/>
        <w:widowControl w:val="0"/>
        <w:kinsoku/>
        <w:wordWrap/>
        <w:overflowPunct/>
        <w:topLinePunct w:val="0"/>
        <w:bidi w:val="0"/>
        <w:snapToGrid/>
        <w:spacing w:line="560" w:lineRule="exact"/>
        <w:ind w:firstLine="643" w:firstLineChars="200"/>
        <w:textAlignment w:val="auto"/>
        <w:rPr>
          <w:rFonts w:ascii="仿宋" w:eastAsia="仿宋"/>
          <w:b/>
          <w:sz w:val="32"/>
          <w:szCs w:val="32"/>
        </w:rPr>
      </w:pPr>
      <w:r>
        <w:rPr>
          <w:rFonts w:hint="eastAsia" w:ascii="仿宋" w:eastAsia="仿宋"/>
          <w:b/>
          <w:sz w:val="32"/>
          <w:szCs w:val="32"/>
        </w:rPr>
        <w:t>（名词解释部分请根据各单位实际列支情况罗列，并根据本单位职责职能增减名词解释内容。）</w:t>
      </w:r>
    </w:p>
    <w:p w14:paraId="20617B9E">
      <w:pPr>
        <w:keepNext w:val="0"/>
        <w:keepLines w:val="0"/>
        <w:pageBreakBefore w:val="0"/>
        <w:widowControl w:val="0"/>
        <w:kinsoku/>
        <w:wordWrap/>
        <w:overflowPunct/>
        <w:topLinePunct w:val="0"/>
        <w:autoSpaceDE/>
        <w:autoSpaceDN/>
        <w:bidi w:val="0"/>
        <w:snapToGrid/>
        <w:spacing w:line="560" w:lineRule="exact"/>
        <w:jc w:val="center"/>
        <w:textAlignment w:val="auto"/>
        <w:outlineLvl w:val="0"/>
        <w:rPr>
          <w:rStyle w:val="22"/>
          <w:rFonts w:ascii="黑体" w:eastAsia="黑体"/>
          <w:b w:val="0"/>
        </w:rPr>
      </w:pPr>
      <w:bookmarkStart w:id="53" w:name="_Toc15377226"/>
      <w:r>
        <w:rPr>
          <w:rFonts w:ascii="宋体"/>
          <w:b/>
          <w:sz w:val="44"/>
          <w:szCs w:val="44"/>
        </w:rPr>
        <w:br w:type="page"/>
      </w:r>
      <w:bookmarkStart w:id="54" w:name="_Toc15396614"/>
      <w:r>
        <w:rPr>
          <w:rFonts w:hint="eastAsia" w:ascii="黑体" w:eastAsia="黑体"/>
          <w:sz w:val="44"/>
          <w:szCs w:val="44"/>
        </w:rPr>
        <w:t>第</w:t>
      </w:r>
      <w:r>
        <w:rPr>
          <w:rStyle w:val="22"/>
          <w:rFonts w:hint="eastAsia" w:ascii="黑体" w:eastAsia="黑体"/>
          <w:b w:val="0"/>
        </w:rPr>
        <w:t>四部分 附件</w:t>
      </w:r>
      <w:bookmarkEnd w:id="54"/>
    </w:p>
    <w:p w14:paraId="0D4E50F7">
      <w:pPr>
        <w:keepNext w:val="0"/>
        <w:keepLines w:val="0"/>
        <w:pageBreakBefore w:val="0"/>
        <w:widowControl w:val="0"/>
        <w:kinsoku/>
        <w:wordWrap/>
        <w:overflowPunct/>
        <w:topLinePunct w:val="0"/>
        <w:autoSpaceDE/>
        <w:autoSpaceDN/>
        <w:bidi w:val="0"/>
        <w:spacing w:line="560" w:lineRule="exact"/>
        <w:jc w:val="left"/>
        <w:textAlignment w:val="auto"/>
        <w:outlineLvl w:val="0"/>
        <w:rPr>
          <w:rFonts w:ascii="仿宋_GB2312" w:eastAsia="仿宋_GB2312" w:cs="仿宋_GB2312"/>
          <w:sz w:val="32"/>
          <w:szCs w:val="32"/>
        </w:rPr>
      </w:pPr>
      <w:r>
        <w:rPr>
          <w:rFonts w:hint="eastAsia" w:ascii="黑体" w:eastAsia="黑体" w:cs="黑体"/>
          <w:sz w:val="32"/>
          <w:szCs w:val="32"/>
        </w:rPr>
        <w:t>附件</w:t>
      </w:r>
    </w:p>
    <w:p w14:paraId="5A0120E6">
      <w:pPr>
        <w:keepNext w:val="0"/>
        <w:keepLines w:val="0"/>
        <w:pageBreakBefore w:val="0"/>
        <w:widowControl w:val="0"/>
        <w:kinsoku/>
        <w:wordWrap/>
        <w:overflowPunct/>
        <w:topLinePunct w:val="0"/>
        <w:autoSpaceDE/>
        <w:autoSpaceDN/>
        <w:bidi w:val="0"/>
        <w:adjustRightInd/>
        <w:snapToGrid/>
        <w:spacing w:line="576" w:lineRule="exact"/>
        <w:ind w:firstLine="2650" w:firstLineChars="600"/>
        <w:jc w:val="both"/>
        <w:textAlignment w:val="auto"/>
        <w:rPr>
          <w:rFonts w:hint="eastAsia" w:ascii="方正粗黑宋简体" w:hAnsi="方正粗黑宋简体" w:eastAsia="方正粗黑宋简体" w:cs="方正粗黑宋简体"/>
          <w:b/>
          <w:sz w:val="44"/>
          <w:szCs w:val="44"/>
          <w:lang w:val="en-US" w:eastAsia="zh-CN"/>
        </w:rPr>
      </w:pPr>
      <w:bookmarkStart w:id="55" w:name="_Toc15396618"/>
    </w:p>
    <w:p w14:paraId="1F72D91E">
      <w:pPr>
        <w:keepNext w:val="0"/>
        <w:keepLines w:val="0"/>
        <w:pageBreakBefore w:val="0"/>
        <w:widowControl w:val="0"/>
        <w:kinsoku/>
        <w:wordWrap/>
        <w:overflowPunct/>
        <w:topLinePunct w:val="0"/>
        <w:autoSpaceDE/>
        <w:autoSpaceDN/>
        <w:bidi w:val="0"/>
        <w:adjustRightInd/>
        <w:snapToGrid/>
        <w:spacing w:line="576" w:lineRule="exact"/>
        <w:ind w:firstLine="2650" w:firstLineChars="600"/>
        <w:jc w:val="both"/>
        <w:textAlignment w:val="auto"/>
        <w:rPr>
          <w:rFonts w:hint="eastAsia" w:ascii="方正粗黑宋简体" w:hAnsi="方正粗黑宋简体" w:eastAsia="方正粗黑宋简体" w:cs="方正粗黑宋简体"/>
          <w:b/>
          <w:sz w:val="44"/>
          <w:szCs w:val="44"/>
          <w:lang w:val="en-US" w:eastAsia="zh-CN"/>
        </w:rPr>
      </w:pPr>
      <w:r>
        <w:rPr>
          <w:rFonts w:hint="eastAsia" w:ascii="方正粗黑宋简体" w:hAnsi="方正粗黑宋简体" w:eastAsia="方正粗黑宋简体" w:cs="方正粗黑宋简体"/>
          <w:b/>
          <w:sz w:val="44"/>
          <w:szCs w:val="44"/>
          <w:lang w:val="en-US" w:eastAsia="zh-CN"/>
        </w:rPr>
        <w:t>红原县人民医院</w:t>
      </w:r>
    </w:p>
    <w:p w14:paraId="5750473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粗黑宋简体" w:hAnsi="方正粗黑宋简体" w:eastAsia="方正粗黑宋简体" w:cs="方正粗黑宋简体"/>
          <w:b/>
          <w:sz w:val="44"/>
          <w:szCs w:val="44"/>
        </w:rPr>
      </w:pPr>
      <w:r>
        <w:rPr>
          <w:rFonts w:hint="eastAsia" w:ascii="方正粗黑宋简体" w:hAnsi="方正粗黑宋简体" w:eastAsia="方正粗黑宋简体" w:cs="方正粗黑宋简体"/>
          <w:b/>
          <w:sz w:val="44"/>
          <w:szCs w:val="44"/>
          <w:lang w:val="en-US" w:eastAsia="zh-CN"/>
        </w:rPr>
        <w:t>重症医学科建设项目</w:t>
      </w:r>
      <w:r>
        <w:rPr>
          <w:rFonts w:hint="eastAsia" w:ascii="方正粗黑宋简体" w:hAnsi="方正粗黑宋简体" w:eastAsia="方正粗黑宋简体" w:cs="方正粗黑宋简体"/>
          <w:b/>
          <w:sz w:val="44"/>
          <w:szCs w:val="44"/>
        </w:rPr>
        <w:t>202</w:t>
      </w:r>
      <w:r>
        <w:rPr>
          <w:rFonts w:hint="eastAsia" w:ascii="方正粗黑宋简体" w:hAnsi="方正粗黑宋简体" w:eastAsia="方正粗黑宋简体" w:cs="方正粗黑宋简体"/>
          <w:b/>
          <w:sz w:val="44"/>
          <w:szCs w:val="44"/>
          <w:lang w:val="en-US" w:eastAsia="zh-CN"/>
        </w:rPr>
        <w:t>3</w:t>
      </w:r>
      <w:r>
        <w:rPr>
          <w:rFonts w:hint="eastAsia" w:ascii="方正粗黑宋简体" w:hAnsi="方正粗黑宋简体" w:eastAsia="方正粗黑宋简体" w:cs="方正粗黑宋简体"/>
          <w:b/>
          <w:sz w:val="44"/>
          <w:szCs w:val="44"/>
        </w:rPr>
        <w:t>年度绩效自评</w:t>
      </w:r>
    </w:p>
    <w:p w14:paraId="43D67D7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粗黑宋简体" w:hAnsi="方正粗黑宋简体" w:eastAsia="方正粗黑宋简体" w:cs="方正粗黑宋简体"/>
          <w:b/>
          <w:sz w:val="44"/>
          <w:szCs w:val="44"/>
        </w:rPr>
      </w:pPr>
      <w:r>
        <w:rPr>
          <w:rFonts w:hint="eastAsia" w:ascii="方正粗黑宋简体" w:hAnsi="方正粗黑宋简体" w:eastAsia="方正粗黑宋简体" w:cs="方正粗黑宋简体"/>
          <w:b/>
          <w:sz w:val="44"/>
          <w:szCs w:val="44"/>
        </w:rPr>
        <w:t>报告</w:t>
      </w:r>
    </w:p>
    <w:p w14:paraId="6538A3F2">
      <w:pPr>
        <w:pageBreakBefore w:val="0"/>
        <w:widowControl w:val="0"/>
        <w:kinsoku/>
        <w:wordWrap/>
        <w:overflowPunct/>
        <w:topLinePunct w:val="0"/>
        <w:autoSpaceDE/>
        <w:autoSpaceDN/>
        <w:bidi w:val="0"/>
        <w:spacing w:line="560" w:lineRule="exact"/>
        <w:textAlignment w:val="auto"/>
        <w:rPr>
          <w:rFonts w:hint="eastAsia" w:ascii="黑体" w:hAnsi="黑体" w:eastAsia="黑体" w:cs="黑体"/>
          <w:bCs/>
          <w:sz w:val="32"/>
          <w:szCs w:val="32"/>
        </w:rPr>
      </w:pPr>
      <w:r>
        <w:rPr>
          <w:rFonts w:hint="eastAsia" w:ascii="黑体" w:hAnsi="黑体" w:eastAsia="黑体" w:cs="黑体"/>
          <w:bCs/>
          <w:sz w:val="32"/>
          <w:szCs w:val="32"/>
        </w:rPr>
        <w:t>一、绩效目标分解下达情况</w:t>
      </w:r>
    </w:p>
    <w:p w14:paraId="49265E24">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根据《阿坝州财政局 阿坝州卫十年行动计划2023年省级补助资金的通知》（阿州财社阿州财社〔2023〕生健康委员会关于下达阿坝州民族地区卫生发展77号），下达资金共计151.6万元。</w:t>
      </w:r>
    </w:p>
    <w:p w14:paraId="3BF973E6">
      <w:pPr>
        <w:pageBreakBefore w:val="0"/>
        <w:widowControl w:val="0"/>
        <w:kinsoku/>
        <w:wordWrap/>
        <w:overflowPunct/>
        <w:topLinePunct w:val="0"/>
        <w:autoSpaceDE/>
        <w:autoSpaceDN/>
        <w:bidi w:val="0"/>
        <w:spacing w:line="560" w:lineRule="exact"/>
        <w:textAlignment w:val="auto"/>
        <w:rPr>
          <w:rFonts w:hint="eastAsia" w:ascii="黑体" w:hAnsi="黑体" w:eastAsia="黑体" w:cs="黑体"/>
          <w:bCs/>
          <w:sz w:val="32"/>
          <w:szCs w:val="32"/>
        </w:rPr>
      </w:pPr>
      <w:r>
        <w:rPr>
          <w:rFonts w:hint="eastAsia" w:ascii="黑体" w:hAnsi="黑体" w:eastAsia="黑体" w:cs="黑体"/>
          <w:bCs/>
          <w:sz w:val="32"/>
          <w:szCs w:val="32"/>
        </w:rPr>
        <w:t>二、绩效目标完成情况分析</w:t>
      </w:r>
    </w:p>
    <w:p w14:paraId="69CBCC53">
      <w:pPr>
        <w:pageBreakBefore w:val="0"/>
        <w:widowControl w:val="0"/>
        <w:kinsoku/>
        <w:wordWrap/>
        <w:overflowPunct/>
        <w:topLinePunct w:val="0"/>
        <w:autoSpaceDE/>
        <w:autoSpaceDN/>
        <w:bidi w:val="0"/>
        <w:spacing w:line="560" w:lineRule="exact"/>
        <w:ind w:firstLine="643" w:firstLineChars="200"/>
        <w:textAlignment w:val="auto"/>
        <w:outlineLvl w:val="0"/>
        <w:rPr>
          <w:rFonts w:hint="eastAsia" w:ascii="仿宋" w:hAnsi="仿宋" w:eastAsia="仿宋" w:cs="仿宋"/>
          <w:b/>
          <w:bCs/>
          <w:sz w:val="32"/>
          <w:szCs w:val="32"/>
        </w:rPr>
      </w:pPr>
      <w:r>
        <w:rPr>
          <w:rFonts w:hint="eastAsia" w:ascii="仿宋" w:hAnsi="仿宋" w:eastAsia="仿宋" w:cs="仿宋"/>
          <w:b/>
          <w:bCs/>
          <w:sz w:val="32"/>
          <w:szCs w:val="32"/>
        </w:rPr>
        <w:t>（一）资金投入情况分析。</w:t>
      </w:r>
    </w:p>
    <w:p w14:paraId="7E9265A1">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阿坝州财政局 阿坝州卫生健康委员会关于下达阿坝州民族地区卫生发展十年行动计划2023年省级补助资金的通知（阿州财社〔2023〕77号），下达资金共计151.6万元。2023年资金已到位，下达资金共计151.6万元，项目已经实施完毕并且资金已经完毕。该笔资金用于重症医学科建设方面及住院医师业务能力提升。</w:t>
      </w:r>
    </w:p>
    <w:p w14:paraId="108C3843">
      <w:pPr>
        <w:pageBreakBefore w:val="0"/>
        <w:widowControl w:val="0"/>
        <w:kinsoku/>
        <w:wordWrap/>
        <w:overflowPunct/>
        <w:topLinePunct w:val="0"/>
        <w:autoSpaceDE/>
        <w:autoSpaceDN/>
        <w:bidi w:val="0"/>
        <w:spacing w:line="560" w:lineRule="exact"/>
        <w:ind w:firstLine="643" w:firstLineChars="200"/>
        <w:textAlignment w:val="auto"/>
        <w:outlineLvl w:val="0"/>
        <w:rPr>
          <w:rFonts w:hint="eastAsia" w:ascii="仿宋" w:hAnsi="仿宋" w:eastAsia="仿宋" w:cs="仿宋"/>
          <w:b/>
          <w:bCs/>
          <w:sz w:val="32"/>
          <w:szCs w:val="32"/>
        </w:rPr>
      </w:pPr>
      <w:r>
        <w:rPr>
          <w:rFonts w:hint="eastAsia" w:ascii="仿宋" w:hAnsi="仿宋" w:eastAsia="仿宋" w:cs="仿宋"/>
          <w:b/>
          <w:bCs/>
          <w:sz w:val="32"/>
          <w:szCs w:val="32"/>
          <w:lang w:val="en-US" w:eastAsia="zh-CN"/>
        </w:rPr>
        <w:t>(</w:t>
      </w:r>
      <w:r>
        <w:rPr>
          <w:rFonts w:hint="eastAsia" w:ascii="仿宋" w:hAnsi="仿宋" w:eastAsia="仿宋" w:cs="仿宋"/>
          <w:b/>
          <w:bCs/>
          <w:sz w:val="32"/>
          <w:szCs w:val="32"/>
          <w:lang w:val="en-US" w:eastAsia="zh-CN"/>
        </w:rPr>
        <w:tab/>
      </w: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总体绩效目标完成情况分析。</w:t>
      </w:r>
    </w:p>
    <w:p w14:paraId="56020832">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通各种形式广泛宣重症医学科建设内容，通过建设填补了红原县重症医学科项目的空白，解决了群众日益增强的健康需求。</w:t>
      </w:r>
    </w:p>
    <w:p w14:paraId="2BA24FBB">
      <w:pPr>
        <w:pageBreakBefore w:val="0"/>
        <w:widowControl w:val="0"/>
        <w:kinsoku/>
        <w:wordWrap/>
        <w:overflowPunct/>
        <w:topLinePunct w:val="0"/>
        <w:autoSpaceDE/>
        <w:autoSpaceDN/>
        <w:bidi w:val="0"/>
        <w:spacing w:line="560" w:lineRule="exact"/>
        <w:ind w:firstLine="643" w:firstLineChars="200"/>
        <w:textAlignment w:val="auto"/>
        <w:outlineLvl w:val="0"/>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绩效指标完成情况分析。</w:t>
      </w:r>
    </w:p>
    <w:p w14:paraId="4270C664">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1.产出指标完成情况分析</w:t>
      </w:r>
    </w:p>
    <w:p w14:paraId="68E745F9">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（1）数量指标。</w:t>
      </w:r>
    </w:p>
    <w:p w14:paraId="21240243">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完成多次宣传宣讲活动，和相关工作人员的培训会议。</w:t>
      </w:r>
    </w:p>
    <w:p w14:paraId="3FFDE262">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（2）质量指标。</w:t>
      </w:r>
    </w:p>
    <w:p w14:paraId="06EBFE79">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1.死亡率指标：通过计算重症患者在科室内的死亡率来评估医疗质量，是评价重症医学科医疗质量的重要指标之一。</w:t>
      </w:r>
    </w:p>
    <w:p w14:paraId="31B46377">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2.院内感染率指标：评估重症患者在科室内发生院内感染的情况，以反映科室的医疗服务质量和患者安全。</w:t>
      </w:r>
    </w:p>
    <w:p w14:paraId="1214FFFB">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3.门诊转入率指标：门诊转入率反映了科室的服务能力和口碑，较高的门诊转入率通常表示该科室具备较高的专业水平和较好的医疗质量。</w:t>
      </w:r>
    </w:p>
    <w:p w14:paraId="3F9E8C1B">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2.效益指标完成情况分析。</w:t>
      </w:r>
    </w:p>
    <w:p w14:paraId="46353417">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（1）社会效益。</w:t>
      </w:r>
    </w:p>
    <w:p w14:paraId="4E2198F8">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1.直接受益者：项目直接服务于当地及周边城市居民和农村居民，满足他们的医疗需求，提高他们的生活质量。</w:t>
      </w:r>
    </w:p>
    <w:p w14:paraId="7147553D">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2.医疗卫生事业发展：项目的建设促进了当地医疗条件的改善和发展，提高了传染病的整体预防、诊断、治疗水平。</w:t>
      </w:r>
    </w:p>
    <w:p w14:paraId="7C70F2CC">
      <w:pPr>
        <w:keepNext w:val="0"/>
        <w:keepLines w:val="0"/>
        <w:pageBreakBefore w:val="0"/>
        <w:kinsoku/>
        <w:wordWrap/>
        <w:overflowPunct/>
        <w:topLinePunct w:val="0"/>
        <w:autoSpaceDE/>
        <w:autoSpaceDN/>
        <w:bidi w:val="0"/>
        <w:adjustRightInd/>
        <w:snapToGrid/>
        <w:spacing w:line="580" w:lineRule="exact"/>
        <w:ind w:firstLine="321" w:firstLineChars="100"/>
        <w:textAlignment w:val="auto"/>
        <w:rPr>
          <w:rFonts w:hint="eastAsia" w:ascii="仿宋_GB2312" w:eastAsia="仿宋_GB2312"/>
          <w:b/>
          <w:bCs/>
          <w:sz w:val="32"/>
          <w:szCs w:val="32"/>
        </w:rPr>
      </w:pPr>
      <w:r>
        <w:rPr>
          <w:rFonts w:hint="eastAsia" w:ascii="仿宋_GB2312" w:eastAsia="仿宋_GB2312"/>
          <w:b/>
          <w:bCs/>
          <w:sz w:val="32"/>
          <w:szCs w:val="32"/>
        </w:rPr>
        <w:t>3.满意度指标完成情况分析。</w:t>
      </w:r>
    </w:p>
    <w:p w14:paraId="675CF491">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（1）服务对象满意度。</w:t>
      </w:r>
    </w:p>
    <w:p w14:paraId="4500B56D">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我院将能够满足更多病员的需求和解决很多医学发展的瓶颈问题。努力提高服务水平和服务质量。根据平时公众和服务对象满意度调查，患者满意度达到97%，基本达成预期指标。</w:t>
      </w:r>
    </w:p>
    <w:p w14:paraId="66F3AED1">
      <w:pPr>
        <w:pageBreakBefore w:val="0"/>
        <w:widowControl w:val="0"/>
        <w:kinsoku/>
        <w:wordWrap/>
        <w:overflowPunct/>
        <w:topLinePunct w:val="0"/>
        <w:autoSpaceDE/>
        <w:autoSpaceDN/>
        <w:bidi w:val="0"/>
        <w:spacing w:line="560" w:lineRule="exact"/>
        <w:textAlignment w:val="auto"/>
        <w:rPr>
          <w:rFonts w:hint="eastAsia" w:ascii="黑体" w:hAnsi="黑体" w:eastAsia="黑体" w:cs="黑体"/>
          <w:bCs/>
          <w:sz w:val="32"/>
          <w:szCs w:val="32"/>
        </w:rPr>
      </w:pPr>
      <w:r>
        <w:rPr>
          <w:rFonts w:hint="eastAsia" w:ascii="黑体" w:hAnsi="黑体" w:eastAsia="黑体" w:cs="黑体"/>
          <w:bCs/>
          <w:sz w:val="32"/>
          <w:szCs w:val="32"/>
        </w:rPr>
        <w:t>三、偏离绩效目标的原因和下一步改进措施</w:t>
      </w:r>
    </w:p>
    <w:p w14:paraId="2E6B3077">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我院严格按照2023年四川省临床重点专科建设项目实施方案使用资金，无偏离情况。</w:t>
      </w:r>
    </w:p>
    <w:p w14:paraId="42C73B17">
      <w:pPr>
        <w:pageBreakBefore w:val="0"/>
        <w:widowControl w:val="0"/>
        <w:kinsoku/>
        <w:wordWrap/>
        <w:overflowPunct/>
        <w:topLinePunct w:val="0"/>
        <w:autoSpaceDE/>
        <w:autoSpaceDN/>
        <w:bidi w:val="0"/>
        <w:spacing w:line="560" w:lineRule="exact"/>
        <w:textAlignment w:val="auto"/>
        <w:rPr>
          <w:rFonts w:hint="eastAsia" w:ascii="黑体" w:hAnsi="黑体" w:eastAsia="黑体" w:cs="黑体"/>
          <w:bCs/>
          <w:sz w:val="32"/>
          <w:szCs w:val="32"/>
        </w:rPr>
      </w:pPr>
      <w:r>
        <w:rPr>
          <w:rFonts w:hint="eastAsia" w:ascii="黑体" w:hAnsi="黑体" w:eastAsia="黑体" w:cs="黑体"/>
          <w:bCs/>
          <w:sz w:val="32"/>
          <w:szCs w:val="32"/>
          <w:lang w:eastAsia="zh-CN"/>
        </w:rPr>
        <w:t>四、</w:t>
      </w:r>
      <w:r>
        <w:rPr>
          <w:rFonts w:hint="eastAsia" w:ascii="黑体" w:hAnsi="黑体" w:eastAsia="黑体" w:cs="黑体"/>
          <w:bCs/>
          <w:sz w:val="32"/>
          <w:szCs w:val="32"/>
        </w:rPr>
        <w:t>绩效自评结果拟应用和公开情况</w:t>
      </w:r>
    </w:p>
    <w:p w14:paraId="486993CB">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我院将利用本项目的自评结果来完善下一年度的绩效项目的指标设定，并在规定的范围内进行公开。</w:t>
      </w:r>
    </w:p>
    <w:p w14:paraId="32C12B5D">
      <w:pPr>
        <w:pageBreakBefore w:val="0"/>
        <w:widowControl w:val="0"/>
        <w:kinsoku/>
        <w:wordWrap/>
        <w:overflowPunct/>
        <w:topLinePunct w:val="0"/>
        <w:autoSpaceDE/>
        <w:autoSpaceDN/>
        <w:bidi w:val="0"/>
        <w:spacing w:line="560" w:lineRule="exact"/>
        <w:textAlignment w:val="auto"/>
        <w:rPr>
          <w:rFonts w:hint="eastAsia" w:ascii="黑体" w:hAnsi="黑体" w:eastAsia="黑体" w:cs="黑体"/>
          <w:bCs/>
          <w:sz w:val="32"/>
          <w:szCs w:val="32"/>
        </w:rPr>
      </w:pPr>
      <w:r>
        <w:rPr>
          <w:rFonts w:hint="eastAsia" w:ascii="黑体" w:hAnsi="黑体" w:eastAsia="黑体" w:cs="黑体"/>
          <w:bCs/>
          <w:sz w:val="32"/>
          <w:szCs w:val="32"/>
        </w:rPr>
        <w:t>五、其他需要说明的问题</w:t>
      </w:r>
    </w:p>
    <w:p w14:paraId="5B249A71">
      <w:pPr>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无</w:t>
      </w:r>
    </w:p>
    <w:p w14:paraId="3F832891">
      <w:pPr>
        <w:pageBreakBefore w:val="0"/>
        <w:widowControl w:val="0"/>
        <w:kinsoku/>
        <w:wordWrap/>
        <w:overflowPunct/>
        <w:topLinePunct w:val="0"/>
        <w:autoSpaceDE/>
        <w:autoSpaceDN/>
        <w:bidi w:val="0"/>
        <w:spacing w:line="560" w:lineRule="exact"/>
        <w:textAlignment w:val="auto"/>
      </w:pPr>
    </w:p>
    <w:p w14:paraId="2FB18299">
      <w:pPr>
        <w:pStyle w:val="2"/>
      </w:pPr>
    </w:p>
    <w:p w14:paraId="4BF4CDAA">
      <w:pPr>
        <w:pageBreakBefore w:val="0"/>
        <w:widowControl w:val="0"/>
        <w:kinsoku/>
        <w:wordWrap/>
        <w:overflowPunct/>
        <w:topLinePunct w:val="0"/>
        <w:autoSpaceDE/>
        <w:autoSpaceDN/>
        <w:bidi w:val="0"/>
        <w:spacing w:line="560" w:lineRule="exact"/>
        <w:textAlignment w:val="auto"/>
      </w:pPr>
    </w:p>
    <w:p w14:paraId="78B0418C">
      <w:pPr>
        <w:jc w:val="center"/>
        <w:rPr>
          <w:rFonts w:ascii="宋体" w:hAnsi="宋体" w:eastAsia="宋体" w:cs="宋体"/>
          <w:b/>
          <w:sz w:val="36"/>
          <w:szCs w:val="44"/>
        </w:rPr>
      </w:pPr>
      <w:r>
        <w:rPr>
          <w:rFonts w:hint="eastAsia" w:ascii="Arial" w:hAnsi="Arial" w:eastAsia="宋体" w:cs="Arial"/>
          <w:b/>
          <w:bCs w:val="0"/>
          <w:sz w:val="36"/>
          <w:szCs w:val="44"/>
          <w:lang w:eastAsia="zh-CN"/>
        </w:rPr>
        <w:t>红原县人民医院</w:t>
      </w:r>
      <w:r>
        <w:rPr>
          <w:rFonts w:hint="eastAsia" w:ascii="Arial" w:hAnsi="Arial" w:eastAsia="宋体" w:cs="Arial"/>
          <w:b/>
          <w:sz w:val="36"/>
          <w:szCs w:val="44"/>
        </w:rPr>
        <w:t>202</w:t>
      </w:r>
      <w:r>
        <w:rPr>
          <w:rFonts w:hint="eastAsia" w:ascii="Arial" w:hAnsi="Arial" w:eastAsia="宋体" w:cs="Arial"/>
          <w:b/>
          <w:sz w:val="36"/>
          <w:szCs w:val="44"/>
          <w:lang w:val="en-US" w:eastAsia="zh-CN"/>
        </w:rPr>
        <w:t>3</w:t>
      </w:r>
      <w:r>
        <w:rPr>
          <w:rFonts w:hint="eastAsia" w:ascii="宋体" w:hAnsi="宋体" w:eastAsia="宋体" w:cs="宋体"/>
          <w:b/>
          <w:sz w:val="36"/>
          <w:szCs w:val="44"/>
        </w:rPr>
        <w:t>年度</w:t>
      </w:r>
      <w:r>
        <w:rPr>
          <w:rFonts w:hint="eastAsia" w:ascii="宋体" w:hAnsi="宋体" w:eastAsia="宋体" w:cs="宋体"/>
          <w:b/>
          <w:sz w:val="36"/>
          <w:szCs w:val="44"/>
          <w:lang w:eastAsia="zh-CN"/>
        </w:rPr>
        <w:t>取消药品加成</w:t>
      </w:r>
      <w:r>
        <w:rPr>
          <w:rFonts w:hint="eastAsia" w:ascii="宋体" w:hAnsi="宋体" w:eastAsia="宋体" w:cs="宋体"/>
          <w:b/>
          <w:sz w:val="36"/>
          <w:szCs w:val="44"/>
        </w:rPr>
        <w:t>绩效自评报告</w:t>
      </w:r>
    </w:p>
    <w:p w14:paraId="306F3C53">
      <w:pPr>
        <w:ind w:firstLine="420" w:firstLineChars="200"/>
        <w:rPr>
          <w:rFonts w:hint="eastAsia" w:ascii="黑体" w:hAnsi="黑体" w:eastAsia="黑体" w:cs="黑体"/>
          <w:bCs/>
          <w:szCs w:val="32"/>
        </w:rPr>
      </w:pPr>
    </w:p>
    <w:p w14:paraId="2F0707F5">
      <w:pPr>
        <w:pageBreakBefore w:val="0"/>
        <w:widowControl w:val="0"/>
        <w:kinsoku/>
        <w:wordWrap/>
        <w:overflowPunct/>
        <w:topLinePunct w:val="0"/>
        <w:autoSpaceDE/>
        <w:autoSpaceDN/>
        <w:bidi w:val="0"/>
        <w:spacing w:line="560" w:lineRule="exact"/>
        <w:textAlignment w:val="auto"/>
        <w:rPr>
          <w:rFonts w:hint="eastAsia" w:ascii="黑体" w:hAnsi="黑体" w:eastAsia="黑体" w:cs="黑体"/>
          <w:bCs/>
          <w:sz w:val="32"/>
          <w:szCs w:val="32"/>
        </w:rPr>
      </w:pPr>
      <w:r>
        <w:rPr>
          <w:rFonts w:hint="eastAsia" w:ascii="黑体" w:hAnsi="黑体" w:eastAsia="黑体" w:cs="黑体"/>
          <w:bCs/>
          <w:sz w:val="32"/>
          <w:szCs w:val="32"/>
        </w:rPr>
        <w:t>一、绩效目标分解下达情况</w:t>
      </w:r>
    </w:p>
    <w:p w14:paraId="61E68FF0">
      <w:pPr>
        <w:numPr>
          <w:ilvl w:val="0"/>
          <w:numId w:val="0"/>
        </w:numPr>
        <w:adjustRightInd w:val="0"/>
        <w:snapToGrid w:val="0"/>
        <w:spacing w:line="600" w:lineRule="exact"/>
        <w:rPr>
          <w:rFonts w:hint="eastAsia" w:ascii="宋体" w:hAnsi="宋体" w:eastAsia="宋体" w:cs="宋体"/>
          <w:sz w:val="30"/>
          <w:szCs w:val="30"/>
        </w:rPr>
      </w:pPr>
      <w:r>
        <w:rPr>
          <w:rFonts w:hint="eastAsia" w:ascii="宋体" w:hAnsi="宋体" w:eastAsia="宋体" w:cs="宋体"/>
          <w:kern w:val="0"/>
          <w:sz w:val="30"/>
          <w:szCs w:val="30"/>
          <w:shd w:val="clear" w:color="auto" w:fill="FFFFFF"/>
          <w:lang w:val="en-US" w:eastAsia="zh-CN"/>
        </w:rPr>
        <w:t xml:space="preserve">    </w:t>
      </w:r>
      <w:r>
        <w:rPr>
          <w:rFonts w:hint="eastAsia" w:ascii="仿宋_GB2312" w:hAnsi="Times New Roman" w:eastAsia="仿宋_GB2312" w:cs="仿宋"/>
          <w:color w:val="auto"/>
          <w:kern w:val="0"/>
          <w:sz w:val="32"/>
          <w:szCs w:val="32"/>
          <w:lang w:val="en-US" w:eastAsia="zh-CN" w:bidi="ar-SA"/>
        </w:rPr>
        <w:t xml:space="preserve"> </w:t>
      </w:r>
      <w:r>
        <w:rPr>
          <w:rFonts w:hint="eastAsia" w:ascii="仿宋_GB2312" w:hAnsi="Times New Roman" w:eastAsia="仿宋_GB2312" w:cs="仿宋"/>
          <w:color w:val="auto"/>
          <w:kern w:val="0"/>
          <w:sz w:val="32"/>
          <w:szCs w:val="32"/>
          <w:lang w:val="zh-CN" w:eastAsia="zh-CN" w:bidi="ar-SA"/>
        </w:rPr>
        <w:t>我院按阿坝州发展和改革委员会等五部门贯彻《关于印发四川省县级公立医院取消药品加成经费补偿办法的通知的意见》阿州发改价格[201</w:t>
      </w:r>
      <w:r>
        <w:rPr>
          <w:rFonts w:hint="eastAsia" w:ascii="仿宋_GB2312" w:hAnsi="Times New Roman" w:eastAsia="仿宋_GB2312" w:cs="仿宋"/>
          <w:color w:val="auto"/>
          <w:kern w:val="0"/>
          <w:sz w:val="32"/>
          <w:szCs w:val="32"/>
          <w:lang w:val="en-US" w:eastAsia="zh-CN" w:bidi="ar-SA"/>
        </w:rPr>
        <w:t>3</w:t>
      </w:r>
      <w:r>
        <w:rPr>
          <w:rFonts w:hint="eastAsia" w:ascii="仿宋_GB2312" w:hAnsi="Times New Roman" w:eastAsia="仿宋_GB2312" w:cs="仿宋"/>
          <w:color w:val="auto"/>
          <w:kern w:val="0"/>
          <w:sz w:val="32"/>
          <w:szCs w:val="32"/>
          <w:lang w:val="zh-CN" w:eastAsia="zh-CN" w:bidi="ar-SA"/>
        </w:rPr>
        <w:t>]</w:t>
      </w:r>
      <w:r>
        <w:rPr>
          <w:rFonts w:hint="eastAsia" w:ascii="仿宋_GB2312" w:hAnsi="Times New Roman" w:eastAsia="仿宋_GB2312" w:cs="仿宋"/>
          <w:color w:val="auto"/>
          <w:kern w:val="0"/>
          <w:sz w:val="32"/>
          <w:szCs w:val="32"/>
          <w:lang w:val="en-US" w:eastAsia="zh-CN" w:bidi="ar-SA"/>
        </w:rPr>
        <w:t>695</w:t>
      </w:r>
      <w:r>
        <w:rPr>
          <w:rFonts w:hint="eastAsia" w:ascii="仿宋_GB2312" w:hAnsi="Times New Roman" w:eastAsia="仿宋_GB2312" w:cs="仿宋"/>
          <w:color w:val="auto"/>
          <w:kern w:val="0"/>
          <w:sz w:val="32"/>
          <w:szCs w:val="32"/>
          <w:lang w:val="zh-CN" w:eastAsia="zh-CN" w:bidi="ar-SA"/>
        </w:rPr>
        <w:t>号文件，</w:t>
      </w:r>
      <w:r>
        <w:rPr>
          <w:rFonts w:hint="eastAsia" w:ascii="仿宋_GB2312" w:hAnsi="Times New Roman" w:eastAsia="仿宋_GB2312" w:cs="仿宋"/>
          <w:color w:val="auto"/>
          <w:kern w:val="0"/>
          <w:sz w:val="32"/>
          <w:szCs w:val="32"/>
          <w:lang w:val="en-US" w:eastAsia="zh-CN" w:bidi="ar-SA"/>
        </w:rPr>
        <w:t>2013年10月1日起</w:t>
      </w:r>
      <w:r>
        <w:rPr>
          <w:rFonts w:hint="eastAsia" w:ascii="仿宋_GB2312" w:hAnsi="Times New Roman" w:eastAsia="仿宋_GB2312" w:cs="仿宋"/>
          <w:color w:val="auto"/>
          <w:kern w:val="0"/>
          <w:sz w:val="32"/>
          <w:szCs w:val="32"/>
          <w:lang w:val="zh-CN" w:eastAsia="zh-CN" w:bidi="ar-SA"/>
        </w:rPr>
        <w:t>取消了所有西药及中成药品加成。</w:t>
      </w:r>
      <w:r>
        <w:rPr>
          <w:rFonts w:hint="eastAsia" w:ascii="仿宋_GB2312" w:hAnsi="Times New Roman" w:eastAsia="仿宋_GB2312" w:cs="仿宋"/>
          <w:color w:val="auto"/>
          <w:kern w:val="0"/>
          <w:sz w:val="32"/>
          <w:szCs w:val="32"/>
          <w:lang w:val="en-US" w:eastAsia="zh-CN" w:bidi="ar-SA"/>
        </w:rPr>
        <w:t>根据《关于提前下达2020年财政卫生健康专项省级补助资金的通知》阿州财社【2021】02号文件，202</w:t>
      </w:r>
      <w:r>
        <w:rPr>
          <w:rFonts w:hint="eastAsia" w:ascii="仿宋_GB2312" w:eastAsia="仿宋_GB2312" w:cs="仿宋"/>
          <w:color w:val="auto"/>
          <w:kern w:val="0"/>
          <w:sz w:val="32"/>
          <w:szCs w:val="32"/>
          <w:lang w:val="en-US" w:eastAsia="zh-CN" w:bidi="ar-SA"/>
        </w:rPr>
        <w:t>3</w:t>
      </w:r>
      <w:r>
        <w:rPr>
          <w:rFonts w:hint="eastAsia" w:ascii="仿宋_GB2312" w:hAnsi="Times New Roman" w:eastAsia="仿宋_GB2312" w:cs="仿宋"/>
          <w:color w:val="auto"/>
          <w:kern w:val="0"/>
          <w:sz w:val="32"/>
          <w:szCs w:val="32"/>
          <w:lang w:val="en-US" w:eastAsia="zh-CN" w:bidi="ar-SA"/>
        </w:rPr>
        <w:t>年</w:t>
      </w:r>
      <w:r>
        <w:rPr>
          <w:rFonts w:hint="eastAsia" w:ascii="仿宋_GB2312" w:hAnsi="Times New Roman" w:eastAsia="仿宋_GB2312" w:cs="仿宋"/>
          <w:color w:val="auto"/>
          <w:kern w:val="0"/>
          <w:sz w:val="32"/>
          <w:szCs w:val="32"/>
          <w:lang w:val="zh-CN" w:eastAsia="zh-CN" w:bidi="ar-SA"/>
        </w:rPr>
        <w:t>县级医院取消药品加成</w:t>
      </w:r>
      <w:r>
        <w:rPr>
          <w:rFonts w:hint="eastAsia" w:ascii="仿宋_GB2312" w:hAnsi="Times New Roman" w:eastAsia="仿宋_GB2312" w:cs="仿宋"/>
          <w:color w:val="auto"/>
          <w:kern w:val="0"/>
          <w:sz w:val="32"/>
          <w:szCs w:val="32"/>
          <w:lang w:val="en-US" w:eastAsia="zh-CN" w:bidi="ar-SA"/>
        </w:rPr>
        <w:t>州</w:t>
      </w:r>
      <w:r>
        <w:rPr>
          <w:rFonts w:hint="eastAsia" w:ascii="仿宋_GB2312" w:hAnsi="Times New Roman" w:eastAsia="仿宋_GB2312" w:cs="仿宋"/>
          <w:color w:val="auto"/>
          <w:kern w:val="0"/>
          <w:sz w:val="32"/>
          <w:szCs w:val="32"/>
          <w:lang w:val="zh-CN" w:eastAsia="zh-CN" w:bidi="ar-SA"/>
        </w:rPr>
        <w:t>级补助资金</w:t>
      </w:r>
      <w:r>
        <w:rPr>
          <w:rFonts w:hint="eastAsia" w:ascii="仿宋_GB2312" w:eastAsia="仿宋_GB2312" w:cs="仿宋"/>
          <w:color w:val="auto"/>
          <w:kern w:val="0"/>
          <w:sz w:val="32"/>
          <w:szCs w:val="32"/>
          <w:lang w:val="en-US" w:eastAsia="zh-CN" w:bidi="ar-SA"/>
        </w:rPr>
        <w:t>7.92</w:t>
      </w:r>
      <w:r>
        <w:rPr>
          <w:rFonts w:hint="eastAsia" w:ascii="仿宋_GB2312" w:hAnsi="Times New Roman" w:eastAsia="仿宋_GB2312" w:cs="仿宋"/>
          <w:color w:val="auto"/>
          <w:kern w:val="0"/>
          <w:sz w:val="32"/>
          <w:szCs w:val="32"/>
          <w:lang w:val="en-US" w:eastAsia="zh-CN" w:bidi="ar-SA"/>
        </w:rPr>
        <w:t>万元，</w:t>
      </w:r>
      <w:r>
        <w:rPr>
          <w:rFonts w:hint="eastAsia" w:ascii="仿宋_GB2312" w:hAnsi="Times New Roman" w:eastAsia="仿宋_GB2312" w:cs="仿宋"/>
          <w:color w:val="auto"/>
          <w:kern w:val="0"/>
          <w:sz w:val="32"/>
          <w:szCs w:val="32"/>
          <w:lang w:val="zh-CN" w:eastAsia="zh-CN" w:bidi="ar-SA"/>
        </w:rPr>
        <w:t>于</w:t>
      </w:r>
      <w:r>
        <w:rPr>
          <w:rFonts w:hint="eastAsia" w:ascii="仿宋_GB2312" w:hAnsi="Times New Roman" w:eastAsia="仿宋_GB2312" w:cs="仿宋"/>
          <w:color w:val="auto"/>
          <w:kern w:val="0"/>
          <w:sz w:val="32"/>
          <w:szCs w:val="32"/>
          <w:lang w:val="en-US" w:eastAsia="zh-CN" w:bidi="ar-SA"/>
        </w:rPr>
        <w:t>202</w:t>
      </w:r>
      <w:r>
        <w:rPr>
          <w:rFonts w:hint="eastAsia" w:ascii="仿宋_GB2312" w:eastAsia="仿宋_GB2312" w:cs="仿宋"/>
          <w:color w:val="auto"/>
          <w:kern w:val="0"/>
          <w:sz w:val="32"/>
          <w:szCs w:val="32"/>
          <w:lang w:val="en-US" w:eastAsia="zh-CN" w:bidi="ar-SA"/>
        </w:rPr>
        <w:t>3</w:t>
      </w:r>
      <w:r>
        <w:rPr>
          <w:rFonts w:hint="eastAsia" w:ascii="仿宋_GB2312" w:hAnsi="Times New Roman" w:eastAsia="仿宋_GB2312" w:cs="仿宋"/>
          <w:color w:val="auto"/>
          <w:kern w:val="0"/>
          <w:sz w:val="32"/>
          <w:szCs w:val="32"/>
          <w:lang w:val="en-US" w:eastAsia="zh-CN" w:bidi="ar-SA"/>
        </w:rPr>
        <w:t>年通过</w:t>
      </w:r>
      <w:r>
        <w:rPr>
          <w:rFonts w:hint="eastAsia" w:ascii="仿宋_GB2312" w:eastAsia="仿宋_GB2312" w:cs="仿宋"/>
          <w:color w:val="auto"/>
          <w:kern w:val="0"/>
          <w:sz w:val="32"/>
          <w:szCs w:val="32"/>
          <w:lang w:val="en-US" w:eastAsia="zh-CN" w:bidi="ar-SA"/>
        </w:rPr>
        <w:t>预算一体化</w:t>
      </w:r>
      <w:r>
        <w:rPr>
          <w:rFonts w:hint="eastAsia" w:ascii="仿宋_GB2312" w:hAnsi="Times New Roman" w:eastAsia="仿宋_GB2312" w:cs="仿宋"/>
          <w:color w:val="auto"/>
          <w:kern w:val="0"/>
          <w:sz w:val="32"/>
          <w:szCs w:val="32"/>
          <w:lang w:val="en-US" w:eastAsia="zh-CN" w:bidi="ar-SA"/>
        </w:rPr>
        <w:t>系统专款专用支付购药款。</w:t>
      </w:r>
    </w:p>
    <w:p w14:paraId="5F7F668E">
      <w:pPr>
        <w:ind w:firstLine="602" w:firstLineChars="200"/>
        <w:rPr>
          <w:rFonts w:hint="eastAsia" w:ascii="宋体" w:hAnsi="宋体" w:eastAsia="宋体" w:cs="宋体"/>
          <w:b/>
          <w:bCs w:val="0"/>
          <w:sz w:val="30"/>
          <w:szCs w:val="30"/>
        </w:rPr>
      </w:pPr>
      <w:r>
        <w:rPr>
          <w:rFonts w:hint="eastAsia" w:ascii="宋体" w:hAnsi="宋体" w:eastAsia="宋体" w:cs="宋体"/>
          <w:b/>
          <w:bCs w:val="0"/>
          <w:sz w:val="30"/>
          <w:szCs w:val="30"/>
          <w:lang w:val="en-US" w:eastAsia="zh-CN"/>
        </w:rPr>
        <w:t xml:space="preserve"> </w:t>
      </w:r>
      <w:r>
        <w:rPr>
          <w:rFonts w:hint="eastAsia" w:ascii="宋体" w:hAnsi="宋体" w:eastAsia="宋体" w:cs="宋体"/>
          <w:b/>
          <w:bCs w:val="0"/>
          <w:sz w:val="30"/>
          <w:szCs w:val="30"/>
        </w:rPr>
        <w:t>二、绩效目标完成情况分析</w:t>
      </w:r>
    </w:p>
    <w:p w14:paraId="2BE62678">
      <w:pPr>
        <w:pageBreakBefore w:val="0"/>
        <w:widowControl w:val="0"/>
        <w:kinsoku/>
        <w:wordWrap/>
        <w:overflowPunct/>
        <w:topLinePunct w:val="0"/>
        <w:autoSpaceDE/>
        <w:autoSpaceDN/>
        <w:bidi w:val="0"/>
        <w:spacing w:line="560" w:lineRule="exact"/>
        <w:ind w:firstLine="643" w:firstLineChars="200"/>
        <w:textAlignment w:val="auto"/>
        <w:outlineLvl w:val="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（一）资金投入情况分析。</w:t>
      </w:r>
    </w:p>
    <w:p w14:paraId="67B0D058">
      <w:pPr>
        <w:numPr>
          <w:ilvl w:val="0"/>
          <w:numId w:val="0"/>
        </w:numPr>
        <w:adjustRightInd w:val="0"/>
        <w:snapToGrid w:val="0"/>
        <w:spacing w:line="600" w:lineRule="exact"/>
        <w:ind w:firstLine="640" w:firstLineChars="200"/>
        <w:rPr>
          <w:rFonts w:hint="eastAsia" w:ascii="仿宋_GB2312" w:hAnsi="Times New Roman" w:eastAsia="仿宋_GB2312" w:cs="仿宋"/>
          <w:color w:val="auto"/>
          <w:kern w:val="0"/>
          <w:sz w:val="32"/>
          <w:szCs w:val="32"/>
          <w:lang w:val="zh-CN" w:eastAsia="zh-CN" w:bidi="ar-SA"/>
        </w:rPr>
      </w:pPr>
      <w:r>
        <w:rPr>
          <w:rFonts w:hint="eastAsia" w:ascii="仿宋_GB2312" w:hAnsi="Times New Roman" w:eastAsia="仿宋_GB2312" w:cs="仿宋"/>
          <w:color w:val="auto"/>
          <w:kern w:val="0"/>
          <w:sz w:val="32"/>
          <w:szCs w:val="32"/>
          <w:lang w:val="zh-CN" w:eastAsia="zh-CN" w:bidi="ar-SA"/>
        </w:rPr>
        <w:t>（</w:t>
      </w:r>
      <w:r>
        <w:rPr>
          <w:rFonts w:hint="eastAsia" w:ascii="仿宋_GB2312" w:hAnsi="Times New Roman" w:eastAsia="仿宋_GB2312" w:cs="仿宋"/>
          <w:color w:val="auto"/>
          <w:kern w:val="0"/>
          <w:sz w:val="32"/>
          <w:szCs w:val="32"/>
          <w:lang w:val="en-US" w:eastAsia="zh-CN" w:bidi="ar-SA"/>
        </w:rPr>
        <w:t>1</w:t>
      </w:r>
      <w:r>
        <w:rPr>
          <w:rFonts w:hint="eastAsia" w:ascii="仿宋_GB2312" w:hAnsi="Times New Roman" w:eastAsia="仿宋_GB2312" w:cs="仿宋"/>
          <w:color w:val="auto"/>
          <w:kern w:val="0"/>
          <w:sz w:val="32"/>
          <w:szCs w:val="32"/>
          <w:lang w:val="zh-CN" w:eastAsia="zh-CN" w:bidi="ar-SA"/>
        </w:rPr>
        <w:t>）项目资金执行</w:t>
      </w:r>
    </w:p>
    <w:p w14:paraId="6147B457">
      <w:pPr>
        <w:numPr>
          <w:ilvl w:val="0"/>
          <w:numId w:val="0"/>
        </w:numPr>
        <w:adjustRightInd w:val="0"/>
        <w:snapToGrid w:val="0"/>
        <w:spacing w:line="600" w:lineRule="exact"/>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《阿坝州财政局 阿坝州卫生健康委员会关于下达 2023年卫生健康专项 州级补助资金的通知》</w:t>
      </w:r>
      <w:r>
        <w:rPr>
          <w:rFonts w:hint="eastAsia" w:ascii="仿宋_GB2312" w:hAnsi="Times New Roman" w:eastAsia="仿宋_GB2312" w:cs="仿宋"/>
          <w:color w:val="auto"/>
          <w:kern w:val="0"/>
          <w:sz w:val="32"/>
          <w:szCs w:val="32"/>
          <w:lang w:val="zh-CN" w:eastAsia="zh-CN" w:bidi="ar-SA"/>
        </w:rPr>
        <w:t>阿州财社【</w:t>
      </w:r>
      <w:r>
        <w:rPr>
          <w:rFonts w:hint="eastAsia" w:ascii="仿宋_GB2312" w:hAnsi="Times New Roman" w:eastAsia="仿宋_GB2312" w:cs="仿宋"/>
          <w:color w:val="auto"/>
          <w:kern w:val="0"/>
          <w:sz w:val="32"/>
          <w:szCs w:val="32"/>
          <w:lang w:val="en-US" w:eastAsia="zh-CN" w:bidi="ar-SA"/>
        </w:rPr>
        <w:t>202</w:t>
      </w:r>
      <w:r>
        <w:rPr>
          <w:rFonts w:hint="eastAsia" w:ascii="仿宋_GB2312" w:eastAsia="仿宋_GB2312" w:cs="仿宋"/>
          <w:color w:val="auto"/>
          <w:kern w:val="0"/>
          <w:sz w:val="32"/>
          <w:szCs w:val="32"/>
          <w:lang w:val="en-US" w:eastAsia="zh-CN" w:bidi="ar-SA"/>
        </w:rPr>
        <w:t>3</w:t>
      </w:r>
      <w:r>
        <w:rPr>
          <w:rFonts w:hint="eastAsia" w:ascii="仿宋_GB2312" w:hAnsi="Times New Roman" w:eastAsia="仿宋_GB2312" w:cs="仿宋"/>
          <w:color w:val="auto"/>
          <w:kern w:val="0"/>
          <w:sz w:val="32"/>
          <w:szCs w:val="32"/>
          <w:lang w:val="zh-CN" w:eastAsia="zh-CN" w:bidi="ar-SA"/>
        </w:rPr>
        <w:t>】</w:t>
      </w:r>
      <w:r>
        <w:rPr>
          <w:rFonts w:hint="eastAsia" w:ascii="仿宋_GB2312" w:eastAsia="仿宋_GB2312" w:cs="仿宋"/>
          <w:color w:val="auto"/>
          <w:kern w:val="0"/>
          <w:sz w:val="32"/>
          <w:szCs w:val="32"/>
          <w:lang w:val="en-US" w:eastAsia="zh-CN" w:bidi="ar-SA"/>
        </w:rPr>
        <w:t>31</w:t>
      </w:r>
      <w:r>
        <w:rPr>
          <w:rFonts w:hint="eastAsia" w:ascii="仿宋_GB2312" w:hAnsi="Times New Roman" w:eastAsia="仿宋_GB2312" w:cs="仿宋"/>
          <w:color w:val="auto"/>
          <w:kern w:val="0"/>
          <w:sz w:val="32"/>
          <w:szCs w:val="32"/>
          <w:lang w:val="en-US" w:eastAsia="zh-CN" w:bidi="ar-SA"/>
        </w:rPr>
        <w:t>号文件，资金</w:t>
      </w:r>
      <w:r>
        <w:rPr>
          <w:rFonts w:hint="eastAsia" w:ascii="仿宋_GB2312" w:eastAsia="仿宋_GB2312" w:cs="仿宋"/>
          <w:color w:val="auto"/>
          <w:kern w:val="0"/>
          <w:sz w:val="32"/>
          <w:szCs w:val="32"/>
          <w:lang w:val="en-US" w:eastAsia="zh-CN" w:bidi="ar-SA"/>
        </w:rPr>
        <w:t>下达3.46万元</w:t>
      </w:r>
      <w:r>
        <w:rPr>
          <w:rFonts w:hint="eastAsia" w:ascii="仿宋_GB2312" w:hAnsi="Times New Roman" w:eastAsia="仿宋_GB2312" w:cs="仿宋"/>
          <w:color w:val="auto"/>
          <w:kern w:val="0"/>
          <w:sz w:val="32"/>
          <w:szCs w:val="32"/>
          <w:lang w:val="en-US" w:eastAsia="zh-CN" w:bidi="ar-SA"/>
        </w:rPr>
        <w:t>已到位，《关于下达 2023年</w:t>
      </w:r>
      <w:r>
        <w:rPr>
          <w:rFonts w:hint="eastAsia" w:ascii="仿宋_GB2312" w:eastAsia="仿宋_GB2312" w:cs="仿宋"/>
          <w:color w:val="auto"/>
          <w:kern w:val="0"/>
          <w:sz w:val="32"/>
          <w:szCs w:val="32"/>
          <w:lang w:val="en-US" w:eastAsia="zh-CN" w:bidi="ar-SA"/>
        </w:rPr>
        <w:t>医疗服务能力提升（公立医院改革）中央和省级补助资金</w:t>
      </w:r>
      <w:r>
        <w:rPr>
          <w:rFonts w:hint="eastAsia" w:ascii="仿宋_GB2312" w:hAnsi="Times New Roman" w:eastAsia="仿宋_GB2312" w:cs="仿宋"/>
          <w:color w:val="auto"/>
          <w:kern w:val="0"/>
          <w:sz w:val="32"/>
          <w:szCs w:val="32"/>
          <w:lang w:val="en-US" w:eastAsia="zh-CN" w:bidi="ar-SA"/>
        </w:rPr>
        <w:t>的通知》</w:t>
      </w:r>
      <w:r>
        <w:rPr>
          <w:rFonts w:hint="eastAsia" w:ascii="仿宋_GB2312" w:hAnsi="Times New Roman" w:eastAsia="仿宋_GB2312" w:cs="仿宋"/>
          <w:color w:val="auto"/>
          <w:kern w:val="0"/>
          <w:sz w:val="32"/>
          <w:szCs w:val="32"/>
          <w:lang w:val="zh-CN" w:eastAsia="zh-CN" w:bidi="ar-SA"/>
        </w:rPr>
        <w:t>阿州财社【</w:t>
      </w:r>
      <w:r>
        <w:rPr>
          <w:rFonts w:hint="eastAsia" w:ascii="仿宋_GB2312" w:hAnsi="Times New Roman" w:eastAsia="仿宋_GB2312" w:cs="仿宋"/>
          <w:color w:val="auto"/>
          <w:kern w:val="0"/>
          <w:sz w:val="32"/>
          <w:szCs w:val="32"/>
          <w:lang w:val="en-US" w:eastAsia="zh-CN" w:bidi="ar-SA"/>
        </w:rPr>
        <w:t>202</w:t>
      </w:r>
      <w:r>
        <w:rPr>
          <w:rFonts w:hint="eastAsia" w:ascii="仿宋_GB2312" w:eastAsia="仿宋_GB2312" w:cs="仿宋"/>
          <w:color w:val="auto"/>
          <w:kern w:val="0"/>
          <w:sz w:val="32"/>
          <w:szCs w:val="32"/>
          <w:lang w:val="en-US" w:eastAsia="zh-CN" w:bidi="ar-SA"/>
        </w:rPr>
        <w:t>3</w:t>
      </w:r>
      <w:r>
        <w:rPr>
          <w:rFonts w:hint="eastAsia" w:ascii="仿宋_GB2312" w:hAnsi="Times New Roman" w:eastAsia="仿宋_GB2312" w:cs="仿宋"/>
          <w:color w:val="auto"/>
          <w:kern w:val="0"/>
          <w:sz w:val="32"/>
          <w:szCs w:val="32"/>
          <w:lang w:val="zh-CN" w:eastAsia="zh-CN" w:bidi="ar-SA"/>
        </w:rPr>
        <w:t>】</w:t>
      </w:r>
      <w:r>
        <w:rPr>
          <w:rFonts w:hint="eastAsia" w:ascii="仿宋_GB2312" w:eastAsia="仿宋_GB2312" w:cs="仿宋"/>
          <w:color w:val="auto"/>
          <w:kern w:val="0"/>
          <w:sz w:val="32"/>
          <w:szCs w:val="32"/>
          <w:lang w:val="en-US" w:eastAsia="zh-CN" w:bidi="ar-SA"/>
        </w:rPr>
        <w:t>33</w:t>
      </w:r>
      <w:r>
        <w:rPr>
          <w:rFonts w:hint="eastAsia" w:ascii="仿宋_GB2312" w:hAnsi="Times New Roman" w:eastAsia="仿宋_GB2312" w:cs="仿宋"/>
          <w:color w:val="auto"/>
          <w:kern w:val="0"/>
          <w:sz w:val="32"/>
          <w:szCs w:val="32"/>
          <w:lang w:val="en-US" w:eastAsia="zh-CN" w:bidi="ar-SA"/>
        </w:rPr>
        <w:t>号文件，资金</w:t>
      </w:r>
      <w:r>
        <w:rPr>
          <w:rFonts w:hint="eastAsia" w:ascii="仿宋_GB2312" w:eastAsia="仿宋_GB2312" w:cs="仿宋"/>
          <w:color w:val="auto"/>
          <w:kern w:val="0"/>
          <w:sz w:val="32"/>
          <w:szCs w:val="32"/>
          <w:lang w:val="en-US" w:eastAsia="zh-CN" w:bidi="ar-SA"/>
        </w:rPr>
        <w:t>下达4.46万元</w:t>
      </w:r>
      <w:r>
        <w:rPr>
          <w:rFonts w:hint="eastAsia" w:ascii="仿宋_GB2312" w:hAnsi="Times New Roman" w:eastAsia="仿宋_GB2312" w:cs="仿宋"/>
          <w:color w:val="auto"/>
          <w:kern w:val="0"/>
          <w:sz w:val="32"/>
          <w:szCs w:val="32"/>
          <w:lang w:val="en-US" w:eastAsia="zh-CN" w:bidi="ar-SA"/>
        </w:rPr>
        <w:t>已到位，于202</w:t>
      </w:r>
      <w:r>
        <w:rPr>
          <w:rFonts w:hint="eastAsia" w:ascii="仿宋_GB2312" w:eastAsia="仿宋_GB2312" w:cs="仿宋"/>
          <w:color w:val="auto"/>
          <w:kern w:val="0"/>
          <w:sz w:val="32"/>
          <w:szCs w:val="32"/>
          <w:lang w:val="en-US" w:eastAsia="zh-CN" w:bidi="ar-SA"/>
        </w:rPr>
        <w:t>3</w:t>
      </w:r>
      <w:r>
        <w:rPr>
          <w:rFonts w:hint="eastAsia" w:ascii="仿宋_GB2312" w:hAnsi="Times New Roman" w:eastAsia="仿宋_GB2312" w:cs="仿宋"/>
          <w:color w:val="auto"/>
          <w:kern w:val="0"/>
          <w:sz w:val="32"/>
          <w:szCs w:val="32"/>
          <w:lang w:val="en-US" w:eastAsia="zh-CN" w:bidi="ar-SA"/>
        </w:rPr>
        <w:t>年拨付完毕。</w:t>
      </w:r>
    </w:p>
    <w:p w14:paraId="006E944A">
      <w:pPr>
        <w:numPr>
          <w:ilvl w:val="0"/>
          <w:numId w:val="0"/>
        </w:numPr>
        <w:adjustRightInd w:val="0"/>
        <w:snapToGrid w:val="0"/>
        <w:spacing w:line="600" w:lineRule="exact"/>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eastAsia="仿宋_GB2312" w:cs="仿宋"/>
          <w:color w:val="auto"/>
          <w:kern w:val="0"/>
          <w:sz w:val="32"/>
          <w:szCs w:val="32"/>
          <w:lang w:val="en-US" w:eastAsia="zh-CN" w:bidi="ar-SA"/>
        </w:rPr>
        <w:t>（2）</w:t>
      </w:r>
      <w:r>
        <w:rPr>
          <w:rFonts w:hint="eastAsia" w:ascii="仿宋_GB2312" w:hAnsi="Times New Roman" w:eastAsia="仿宋_GB2312" w:cs="仿宋"/>
          <w:color w:val="auto"/>
          <w:kern w:val="0"/>
          <w:sz w:val="32"/>
          <w:szCs w:val="32"/>
          <w:lang w:val="en-US" w:eastAsia="zh-CN" w:bidi="ar-SA"/>
        </w:rPr>
        <w:t>资金管理情况</w:t>
      </w:r>
    </w:p>
    <w:p w14:paraId="6C5B0050">
      <w:pPr>
        <w:numPr>
          <w:ilvl w:val="0"/>
          <w:numId w:val="0"/>
        </w:numPr>
        <w:adjustRightInd w:val="0"/>
        <w:snapToGrid w:val="0"/>
        <w:spacing w:line="600" w:lineRule="exact"/>
        <w:ind w:firstLine="640" w:firstLineChars="200"/>
        <w:rPr>
          <w:rFonts w:hint="eastAsia" w:ascii="仿宋_GB2312" w:hAnsi="Times New Roman" w:eastAsia="仿宋_GB2312" w:cs="仿宋"/>
          <w:color w:val="auto"/>
          <w:kern w:val="0"/>
          <w:sz w:val="32"/>
          <w:szCs w:val="32"/>
          <w:lang w:val="zh-CN" w:eastAsia="zh-CN" w:bidi="ar-SA"/>
        </w:rPr>
      </w:pPr>
      <w:r>
        <w:rPr>
          <w:rFonts w:hint="eastAsia" w:ascii="仿宋_GB2312" w:hAnsi="Times New Roman" w:eastAsia="仿宋_GB2312" w:cs="仿宋"/>
          <w:color w:val="auto"/>
          <w:kern w:val="0"/>
          <w:sz w:val="32"/>
          <w:szCs w:val="32"/>
          <w:lang w:val="zh-CN" w:eastAsia="zh-CN" w:bidi="ar-SA"/>
        </w:rPr>
        <w:t>我院财务管理制度健全，严格执行财务管理制度，账务处理及时，会计核算规范。严格按照国家有关法律、法规和财务规章，加强项目资金的管理，做到专帐管理、专项核算、专款专用。严禁以任何形式截留或挪用项目资金。</w:t>
      </w:r>
    </w:p>
    <w:p w14:paraId="0861EB96">
      <w:pPr>
        <w:numPr>
          <w:ilvl w:val="0"/>
          <w:numId w:val="0"/>
        </w:numPr>
        <w:wordWrap/>
        <w:adjustRightInd w:val="0"/>
        <w:snapToGrid w:val="0"/>
        <w:spacing w:line="576" w:lineRule="exact"/>
        <w:ind w:right="0"/>
        <w:textAlignment w:val="auto"/>
        <w:outlineLvl w:val="9"/>
        <w:rPr>
          <w:rFonts w:hint="eastAsia" w:ascii="宋体" w:hAnsi="宋体" w:eastAsia="宋体" w:cs="宋体"/>
          <w:b/>
          <w:bCs/>
          <w:sz w:val="30"/>
          <w:szCs w:val="30"/>
        </w:rPr>
      </w:pPr>
      <w:r>
        <w:rPr>
          <w:rFonts w:hint="eastAsia" w:ascii="宋体" w:hAnsi="宋体" w:eastAsia="宋体" w:cs="宋体"/>
          <w:b/>
          <w:bCs/>
          <w:sz w:val="30"/>
          <w:szCs w:val="30"/>
          <w:lang w:val="en-US" w:eastAsia="zh-CN"/>
        </w:rPr>
        <w:t xml:space="preserve"> </w:t>
      </w:r>
      <w:r>
        <w:rPr>
          <w:rFonts w:hint="eastAsia" w:ascii="仿宋" w:hAnsi="仿宋" w:eastAsia="仿宋" w:cs="仿宋"/>
          <w:b/>
          <w:bCs/>
          <w:sz w:val="32"/>
          <w:szCs w:val="32"/>
          <w:lang w:val="en-US" w:eastAsia="zh-CN"/>
        </w:rPr>
        <w:t xml:space="preserve">  （二）总体绩效目标完成情况分析。</w:t>
      </w:r>
    </w:p>
    <w:p w14:paraId="3D939F4E">
      <w:pPr>
        <w:numPr>
          <w:ilvl w:val="0"/>
          <w:numId w:val="0"/>
        </w:numPr>
        <w:adjustRightInd w:val="0"/>
        <w:snapToGrid w:val="0"/>
        <w:spacing w:line="600" w:lineRule="exact"/>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en-US" w:eastAsia="zh-CN" w:bidi="ar-SA"/>
        </w:rPr>
        <w:t>从2013年10月1日零点</w:t>
      </w:r>
      <w:r>
        <w:rPr>
          <w:rFonts w:hint="eastAsia" w:ascii="仿宋_GB2312" w:hAnsi="Times New Roman" w:eastAsia="仿宋_GB2312" w:cs="仿宋"/>
          <w:color w:val="auto"/>
          <w:kern w:val="0"/>
          <w:sz w:val="32"/>
          <w:szCs w:val="32"/>
          <w:lang w:val="zh-CN" w:eastAsia="zh-CN" w:bidi="ar-SA"/>
        </w:rPr>
        <w:t>一直执行西药及中成药品零加成制度。我院严格执行西药和中成药零加成制度。</w:t>
      </w:r>
      <w:r>
        <w:rPr>
          <w:rFonts w:hint="eastAsia" w:ascii="仿宋_GB2312" w:hAnsi="Times New Roman" w:eastAsia="仿宋_GB2312" w:cs="仿宋"/>
          <w:color w:val="auto"/>
          <w:kern w:val="0"/>
          <w:sz w:val="32"/>
          <w:szCs w:val="32"/>
          <w:lang w:val="en-US" w:eastAsia="zh-CN" w:bidi="ar-SA"/>
        </w:rPr>
        <w:t>按照建机制、控费用、调结构、强监管的原则，通过落实政府办医责任、调整医疗服务价格、改革收付费方式以及加强公立医院成本管理等综合措施和联动政策，破除“以药补医”机制，降低患者医药费用负担。</w:t>
      </w:r>
    </w:p>
    <w:p w14:paraId="5A9B8FEB">
      <w:pPr>
        <w:numPr>
          <w:ilvl w:val="0"/>
          <w:numId w:val="0"/>
        </w:numPr>
        <w:adjustRightInd w:val="0"/>
        <w:snapToGrid w:val="0"/>
        <w:spacing w:line="600" w:lineRule="exact"/>
        <w:ind w:firstLine="640" w:firstLineChars="200"/>
        <w:rPr>
          <w:rFonts w:hint="eastAsia" w:ascii="仿宋_GB2312" w:hAnsi="Times New Roman" w:eastAsia="仿宋_GB2312" w:cs="仿宋"/>
          <w:color w:val="auto"/>
          <w:kern w:val="0"/>
          <w:sz w:val="32"/>
          <w:szCs w:val="32"/>
          <w:lang w:val="en-US" w:eastAsia="zh-CN" w:bidi="ar-SA"/>
        </w:rPr>
      </w:pPr>
      <w:r>
        <w:rPr>
          <w:rFonts w:hint="eastAsia" w:ascii="仿宋_GB2312" w:hAnsi="Times New Roman" w:eastAsia="仿宋_GB2312" w:cs="仿宋"/>
          <w:color w:val="auto"/>
          <w:kern w:val="0"/>
          <w:sz w:val="32"/>
          <w:szCs w:val="32"/>
          <w:lang w:val="zh-CN" w:eastAsia="zh-CN" w:bidi="ar-SA"/>
        </w:rPr>
        <w:t>严格按照专款专用组织实施，</w:t>
      </w:r>
      <w:r>
        <w:rPr>
          <w:rFonts w:hint="eastAsia" w:ascii="仿宋_GB2312" w:hAnsi="Times New Roman" w:eastAsia="仿宋_GB2312" w:cs="仿宋"/>
          <w:color w:val="auto"/>
          <w:kern w:val="0"/>
          <w:sz w:val="32"/>
          <w:szCs w:val="32"/>
          <w:lang w:val="en-US" w:eastAsia="zh-CN" w:bidi="ar-SA"/>
        </w:rPr>
        <w:t>通过政府财政管理信息系统专款专用支付购药款。</w:t>
      </w:r>
    </w:p>
    <w:p w14:paraId="03F075A4">
      <w:pPr>
        <w:numPr>
          <w:ilvl w:val="0"/>
          <w:numId w:val="0"/>
        </w:numPr>
        <w:wordWrap/>
        <w:adjustRightInd w:val="0"/>
        <w:snapToGrid w:val="0"/>
        <w:spacing w:line="576" w:lineRule="exact"/>
        <w:ind w:right="0"/>
        <w:textAlignment w:val="auto"/>
        <w:outlineLvl w:val="9"/>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（三）绩效指标完成情况分析。</w:t>
      </w:r>
    </w:p>
    <w:p w14:paraId="267A11BB">
      <w:pPr>
        <w:widowControl/>
        <w:numPr>
          <w:ilvl w:val="0"/>
          <w:numId w:val="0"/>
        </w:numPr>
        <w:wordWrap/>
        <w:adjustRightInd w:val="0"/>
        <w:snapToGrid/>
        <w:spacing w:before="0" w:beforeAutospacing="0" w:after="0" w:afterAutospacing="0" w:line="560" w:lineRule="exact"/>
        <w:ind w:right="0"/>
        <w:jc w:val="both"/>
        <w:textAlignment w:val="auto"/>
        <w:outlineLvl w:val="9"/>
        <w:rPr>
          <w:rFonts w:hint="eastAsia" w:ascii="仿宋_GB2312" w:hAnsi="Times New Roman" w:eastAsia="仿宋_GB2312" w:cs="仿宋"/>
          <w:color w:val="auto"/>
          <w:kern w:val="0"/>
          <w:sz w:val="32"/>
          <w:szCs w:val="32"/>
          <w:lang w:val="en-US" w:eastAsia="zh-CN" w:bidi="ar-SA"/>
        </w:rPr>
      </w:pPr>
      <w:r>
        <w:rPr>
          <w:rFonts w:hint="eastAsia" w:ascii="宋体" w:hAnsi="宋体" w:eastAsia="宋体" w:cs="宋体"/>
          <w:kern w:val="0"/>
          <w:sz w:val="30"/>
          <w:szCs w:val="30"/>
          <w:shd w:val="clear" w:color="auto" w:fill="FFFFFF"/>
          <w:lang w:val="en-US" w:eastAsia="zh-CN"/>
        </w:rPr>
        <w:t xml:space="preserve">    </w:t>
      </w:r>
      <w:r>
        <w:rPr>
          <w:rFonts w:hint="eastAsia" w:ascii="仿宋_GB2312" w:hAnsi="Times New Roman" w:eastAsia="仿宋_GB2312" w:cs="仿宋"/>
          <w:color w:val="auto"/>
          <w:kern w:val="0"/>
          <w:sz w:val="32"/>
          <w:szCs w:val="32"/>
          <w:lang w:val="zh-CN" w:eastAsia="zh-CN" w:bidi="ar-SA"/>
        </w:rPr>
        <w:t>为患者节约了就医成本，减轻了群众就医贵问题，群众也更加信赖医院了。为我院长期的可持续发展打下了坚实的基础，</w:t>
      </w:r>
      <w:r>
        <w:rPr>
          <w:rFonts w:hint="eastAsia" w:ascii="仿宋_GB2312" w:hAnsi="Times New Roman" w:eastAsia="仿宋_GB2312" w:cs="仿宋"/>
          <w:color w:val="auto"/>
          <w:kern w:val="0"/>
          <w:sz w:val="32"/>
          <w:szCs w:val="32"/>
          <w:lang w:val="en-US" w:eastAsia="zh-CN" w:bidi="ar-SA"/>
        </w:rPr>
        <w:t>使我院患者满意度逐渐提升。</w:t>
      </w:r>
    </w:p>
    <w:p w14:paraId="3EBF7573">
      <w:pPr>
        <w:numPr>
          <w:ilvl w:val="0"/>
          <w:numId w:val="4"/>
        </w:numPr>
        <w:ind w:firstLine="602" w:firstLineChars="200"/>
        <w:rPr>
          <w:rFonts w:hint="eastAsia" w:ascii="宋体" w:hAnsi="宋体" w:eastAsia="宋体" w:cs="宋体"/>
          <w:b/>
          <w:bCs w:val="0"/>
          <w:sz w:val="30"/>
          <w:szCs w:val="30"/>
        </w:rPr>
      </w:pPr>
      <w:r>
        <w:rPr>
          <w:rFonts w:hint="eastAsia" w:ascii="宋体" w:hAnsi="宋体" w:eastAsia="宋体" w:cs="宋体"/>
          <w:b/>
          <w:bCs w:val="0"/>
          <w:sz w:val="30"/>
          <w:szCs w:val="30"/>
        </w:rPr>
        <w:t>偏离绩效目标的原因和下一步改进措施</w:t>
      </w:r>
    </w:p>
    <w:p w14:paraId="24580260">
      <w:pPr>
        <w:numPr>
          <w:ilvl w:val="0"/>
          <w:numId w:val="0"/>
        </w:numPr>
        <w:rPr>
          <w:rFonts w:hint="eastAsia" w:ascii="宋体" w:hAnsi="宋体" w:eastAsia="宋体" w:cs="宋体"/>
          <w:b/>
          <w:bCs w:val="0"/>
          <w:sz w:val="30"/>
          <w:szCs w:val="30"/>
          <w:lang w:eastAsia="zh-CN"/>
        </w:rPr>
      </w:pPr>
      <w:r>
        <w:rPr>
          <w:rFonts w:hint="eastAsia" w:ascii="宋体" w:hAnsi="宋体" w:eastAsia="宋体" w:cs="宋体"/>
          <w:b/>
          <w:bCs w:val="0"/>
          <w:sz w:val="30"/>
          <w:szCs w:val="30"/>
          <w:lang w:val="en-US" w:eastAsia="zh-CN"/>
        </w:rPr>
        <w:t xml:space="preserve">         </w:t>
      </w:r>
      <w:r>
        <w:rPr>
          <w:rFonts w:hint="eastAsia" w:ascii="仿宋_GB2312" w:hAnsi="Times New Roman" w:eastAsia="仿宋_GB2312" w:cs="仿宋"/>
          <w:color w:val="auto"/>
          <w:kern w:val="0"/>
          <w:sz w:val="32"/>
          <w:szCs w:val="32"/>
          <w:lang w:val="en-US" w:eastAsia="zh-CN" w:bidi="ar-SA"/>
        </w:rPr>
        <w:t xml:space="preserve">   </w:t>
      </w:r>
      <w:r>
        <w:rPr>
          <w:rFonts w:hint="eastAsia" w:ascii="仿宋_GB2312" w:hAnsi="Times New Roman" w:eastAsia="仿宋_GB2312" w:cs="仿宋"/>
          <w:color w:val="auto"/>
          <w:kern w:val="0"/>
          <w:sz w:val="32"/>
          <w:szCs w:val="32"/>
          <w:lang w:val="zh-CN" w:eastAsia="zh-CN" w:bidi="ar-SA"/>
        </w:rPr>
        <w:t>无</w:t>
      </w:r>
    </w:p>
    <w:p w14:paraId="59CA9332">
      <w:pPr>
        <w:numPr>
          <w:ilvl w:val="0"/>
          <w:numId w:val="0"/>
        </w:numPr>
        <w:rPr>
          <w:rFonts w:hint="eastAsia" w:ascii="宋体" w:hAnsi="宋体" w:eastAsia="宋体" w:cs="宋体"/>
          <w:b/>
          <w:bCs w:val="0"/>
          <w:sz w:val="30"/>
          <w:szCs w:val="30"/>
        </w:rPr>
      </w:pPr>
      <w:r>
        <w:rPr>
          <w:rFonts w:hint="eastAsia" w:ascii="宋体" w:hAnsi="宋体" w:eastAsia="宋体" w:cs="宋体"/>
          <w:b/>
          <w:bCs w:val="0"/>
          <w:sz w:val="30"/>
          <w:szCs w:val="30"/>
          <w:lang w:val="en-US" w:eastAsia="zh-CN"/>
        </w:rPr>
        <w:t xml:space="preserve">    </w:t>
      </w:r>
      <w:r>
        <w:rPr>
          <w:rFonts w:hint="eastAsia" w:ascii="宋体" w:hAnsi="宋体" w:eastAsia="宋体" w:cs="宋体"/>
          <w:b/>
          <w:bCs w:val="0"/>
          <w:sz w:val="30"/>
          <w:szCs w:val="30"/>
          <w:lang w:eastAsia="zh-CN"/>
        </w:rPr>
        <w:t>四、</w:t>
      </w:r>
      <w:r>
        <w:rPr>
          <w:rFonts w:hint="eastAsia" w:ascii="宋体" w:hAnsi="宋体" w:eastAsia="宋体" w:cs="宋体"/>
          <w:b/>
          <w:bCs w:val="0"/>
          <w:sz w:val="30"/>
          <w:szCs w:val="30"/>
        </w:rPr>
        <w:t>其他需要说明的问题</w:t>
      </w:r>
    </w:p>
    <w:p w14:paraId="044061E4">
      <w:pPr>
        <w:numPr>
          <w:ilvl w:val="0"/>
          <w:numId w:val="0"/>
        </w:numPr>
        <w:rPr>
          <w:rFonts w:hint="eastAsia" w:ascii="仿宋_GB2312" w:hAnsi="Times New Roman" w:eastAsia="仿宋_GB2312" w:cs="仿宋"/>
          <w:color w:val="auto"/>
          <w:kern w:val="0"/>
          <w:sz w:val="32"/>
          <w:szCs w:val="32"/>
          <w:lang w:val="zh-CN" w:eastAsia="zh-CN" w:bidi="ar-SA"/>
        </w:rPr>
      </w:pPr>
      <w:r>
        <w:rPr>
          <w:rFonts w:hint="eastAsia" w:ascii="宋体" w:hAnsi="宋体" w:eastAsia="宋体" w:cs="宋体"/>
          <w:b w:val="0"/>
          <w:bCs/>
          <w:sz w:val="30"/>
          <w:szCs w:val="30"/>
          <w:lang w:val="en-US" w:eastAsia="zh-CN"/>
        </w:rPr>
        <w:t xml:space="preserve">        </w:t>
      </w:r>
      <w:r>
        <w:rPr>
          <w:rFonts w:hint="eastAsia" w:ascii="仿宋_GB2312" w:hAnsi="Times New Roman" w:eastAsia="仿宋_GB2312" w:cs="仿宋"/>
          <w:color w:val="auto"/>
          <w:kern w:val="0"/>
          <w:sz w:val="32"/>
          <w:szCs w:val="32"/>
          <w:lang w:val="en-US" w:eastAsia="zh-CN" w:bidi="ar-SA"/>
        </w:rPr>
        <w:t xml:space="preserve">    </w:t>
      </w:r>
      <w:r>
        <w:rPr>
          <w:rFonts w:hint="eastAsia" w:ascii="仿宋_GB2312" w:hAnsi="Times New Roman" w:eastAsia="仿宋_GB2312" w:cs="仿宋"/>
          <w:color w:val="auto"/>
          <w:kern w:val="0"/>
          <w:sz w:val="32"/>
          <w:szCs w:val="32"/>
          <w:lang w:val="zh-CN" w:eastAsia="zh-CN" w:bidi="ar-SA"/>
        </w:rPr>
        <w:t>无</w:t>
      </w:r>
    </w:p>
    <w:p w14:paraId="3A84A63A">
      <w:pPr>
        <w:keepNext w:val="0"/>
        <w:keepLines w:val="0"/>
        <w:pageBreakBefore w:val="0"/>
        <w:widowControl w:val="0"/>
        <w:tabs>
          <w:tab w:val="left" w:pos="1440"/>
        </w:tabs>
        <w:kinsoku/>
        <w:wordWrap/>
        <w:overflowPunct/>
        <w:topLinePunct w:val="0"/>
        <w:autoSpaceDE/>
        <w:autoSpaceDN/>
        <w:bidi w:val="0"/>
        <w:spacing w:line="560" w:lineRule="exact"/>
        <w:textAlignment w:val="auto"/>
        <w:rPr>
          <w:rFonts w:ascii="宋体" w:hAnsi="宋体" w:eastAsia="宋体"/>
          <w:sz w:val="30"/>
          <w:szCs w:val="30"/>
        </w:rPr>
      </w:pPr>
    </w:p>
    <w:p w14:paraId="2F33825E">
      <w:pPr>
        <w:pageBreakBefore w:val="0"/>
        <w:widowControl w:val="0"/>
        <w:kinsoku/>
        <w:wordWrap/>
        <w:overflowPunct/>
        <w:topLinePunct w:val="0"/>
        <w:autoSpaceDE/>
        <w:autoSpaceDN/>
        <w:bidi w:val="0"/>
        <w:spacing w:line="560" w:lineRule="exact"/>
        <w:jc w:val="both"/>
        <w:textAlignment w:val="auto"/>
        <w:outlineLvl w:val="0"/>
        <w:rPr>
          <w:rFonts w:ascii="黑体" w:eastAsia="黑体"/>
          <w:sz w:val="44"/>
          <w:szCs w:val="44"/>
        </w:rPr>
      </w:pPr>
    </w:p>
    <w:p w14:paraId="17CF25FD">
      <w:pPr>
        <w:pageBreakBefore w:val="0"/>
        <w:widowControl w:val="0"/>
        <w:kinsoku/>
        <w:wordWrap/>
        <w:overflowPunct/>
        <w:topLinePunct w:val="0"/>
        <w:autoSpaceDE/>
        <w:autoSpaceDN/>
        <w:bidi w:val="0"/>
        <w:spacing w:line="560" w:lineRule="exact"/>
        <w:jc w:val="center"/>
        <w:textAlignment w:val="auto"/>
        <w:outlineLvl w:val="0"/>
        <w:rPr>
          <w:rFonts w:ascii="仿宋" w:eastAsia="仿宋"/>
        </w:rPr>
      </w:pPr>
      <w:r>
        <w:rPr>
          <w:rFonts w:hint="eastAsia" w:ascii="黑体" w:eastAsia="黑体"/>
          <w:sz w:val="44"/>
          <w:szCs w:val="44"/>
        </w:rPr>
        <w:t>第</w:t>
      </w:r>
      <w:r>
        <w:rPr>
          <w:rStyle w:val="22"/>
          <w:rFonts w:hint="eastAsia" w:ascii="黑体" w:eastAsia="黑体"/>
          <w:b w:val="0"/>
        </w:rPr>
        <w:t>五部分 附表</w:t>
      </w:r>
      <w:bookmarkEnd w:id="53"/>
      <w:bookmarkEnd w:id="55"/>
      <w:bookmarkStart w:id="56" w:name="_Toc15396619"/>
    </w:p>
    <w:p w14:paraId="00E0C2B1">
      <w:pPr>
        <w:pStyle w:val="5"/>
        <w:pageBreakBefore w:val="0"/>
        <w:widowControl w:val="0"/>
        <w:kinsoku/>
        <w:wordWrap/>
        <w:overflowPunct/>
        <w:topLinePunct w:val="0"/>
        <w:autoSpaceDE/>
        <w:autoSpaceDN/>
        <w:bidi w:val="0"/>
        <w:spacing w:line="560" w:lineRule="exact"/>
        <w:textAlignment w:val="auto"/>
        <w:rPr>
          <w:rFonts w:ascii="仿宋" w:eastAsia="仿宋"/>
          <w:sz w:val="32"/>
          <w:szCs w:val="32"/>
        </w:rPr>
      </w:pPr>
      <w:r>
        <w:rPr>
          <w:rFonts w:hint="eastAsia" w:ascii="仿宋" w:eastAsia="仿宋"/>
          <w:b w:val="0"/>
          <w:sz w:val="32"/>
          <w:szCs w:val="32"/>
        </w:rPr>
        <w:t>一、收</w:t>
      </w:r>
      <w:r>
        <w:rPr>
          <w:rStyle w:val="23"/>
          <w:rFonts w:hint="eastAsia" w:ascii="仿宋" w:eastAsia="仿宋"/>
          <w:b w:val="0"/>
          <w:bCs w:val="0"/>
          <w:sz w:val="32"/>
          <w:szCs w:val="32"/>
        </w:rPr>
        <w:t>入支出决算总表</w:t>
      </w:r>
      <w:bookmarkEnd w:id="56"/>
    </w:p>
    <w:p w14:paraId="79E538B9">
      <w:pPr>
        <w:pStyle w:val="5"/>
        <w:pageBreakBefore w:val="0"/>
        <w:widowControl w:val="0"/>
        <w:kinsoku/>
        <w:wordWrap/>
        <w:overflowPunct/>
        <w:topLinePunct w:val="0"/>
        <w:autoSpaceDE/>
        <w:autoSpaceDN/>
        <w:bidi w:val="0"/>
        <w:spacing w:line="560" w:lineRule="exact"/>
        <w:textAlignment w:val="auto"/>
        <w:rPr>
          <w:rFonts w:ascii="仿宋" w:eastAsia="仿宋"/>
          <w:sz w:val="32"/>
          <w:szCs w:val="32"/>
        </w:rPr>
      </w:pPr>
      <w:bookmarkStart w:id="57" w:name="_Toc15396620"/>
      <w:r>
        <w:rPr>
          <w:rFonts w:hint="eastAsia" w:ascii="仿宋" w:eastAsia="仿宋"/>
          <w:b w:val="0"/>
          <w:sz w:val="32"/>
          <w:szCs w:val="32"/>
        </w:rPr>
        <w:t>二、收</w:t>
      </w:r>
      <w:r>
        <w:rPr>
          <w:rStyle w:val="23"/>
          <w:rFonts w:hint="eastAsia" w:ascii="仿宋" w:eastAsia="仿宋"/>
          <w:b w:val="0"/>
          <w:bCs w:val="0"/>
          <w:sz w:val="32"/>
          <w:szCs w:val="32"/>
        </w:rPr>
        <w:t>入决算表</w:t>
      </w:r>
      <w:bookmarkEnd w:id="57"/>
    </w:p>
    <w:p w14:paraId="4ABD3457">
      <w:pPr>
        <w:pStyle w:val="5"/>
        <w:pageBreakBefore w:val="0"/>
        <w:widowControl w:val="0"/>
        <w:kinsoku/>
        <w:wordWrap/>
        <w:overflowPunct/>
        <w:topLinePunct w:val="0"/>
        <w:autoSpaceDE/>
        <w:autoSpaceDN/>
        <w:bidi w:val="0"/>
        <w:spacing w:line="560" w:lineRule="exact"/>
        <w:textAlignment w:val="auto"/>
        <w:rPr>
          <w:rFonts w:ascii="仿宋" w:eastAsia="仿宋"/>
          <w:sz w:val="32"/>
          <w:szCs w:val="32"/>
        </w:rPr>
      </w:pPr>
      <w:bookmarkStart w:id="58" w:name="_Toc15396621"/>
      <w:r>
        <w:rPr>
          <w:rStyle w:val="23"/>
          <w:rFonts w:hint="eastAsia" w:ascii="仿宋" w:eastAsia="仿宋"/>
          <w:b w:val="0"/>
          <w:bCs w:val="0"/>
          <w:sz w:val="32"/>
          <w:szCs w:val="32"/>
        </w:rPr>
        <w:t>三、</w:t>
      </w:r>
      <w:r>
        <w:rPr>
          <w:rFonts w:hint="eastAsia" w:ascii="仿宋" w:eastAsia="仿宋"/>
          <w:b w:val="0"/>
          <w:sz w:val="32"/>
          <w:szCs w:val="32"/>
        </w:rPr>
        <w:t>支</w:t>
      </w:r>
      <w:r>
        <w:rPr>
          <w:rStyle w:val="23"/>
          <w:rFonts w:hint="eastAsia" w:ascii="仿宋" w:eastAsia="仿宋"/>
          <w:b w:val="0"/>
          <w:bCs w:val="0"/>
          <w:sz w:val="32"/>
          <w:szCs w:val="32"/>
        </w:rPr>
        <w:t>出决算表</w:t>
      </w:r>
      <w:bookmarkEnd w:id="58"/>
    </w:p>
    <w:p w14:paraId="320ABF1A">
      <w:pPr>
        <w:pStyle w:val="5"/>
        <w:pageBreakBefore w:val="0"/>
        <w:widowControl w:val="0"/>
        <w:kinsoku/>
        <w:wordWrap/>
        <w:overflowPunct/>
        <w:topLinePunct w:val="0"/>
        <w:autoSpaceDE/>
        <w:autoSpaceDN/>
        <w:bidi w:val="0"/>
        <w:spacing w:line="560" w:lineRule="exact"/>
        <w:textAlignment w:val="auto"/>
        <w:rPr>
          <w:rFonts w:ascii="仿宋" w:eastAsia="仿宋"/>
          <w:b w:val="0"/>
          <w:sz w:val="32"/>
          <w:szCs w:val="32"/>
        </w:rPr>
      </w:pPr>
      <w:bookmarkStart w:id="59" w:name="_Toc15396622"/>
      <w:r>
        <w:rPr>
          <w:rStyle w:val="23"/>
          <w:rFonts w:hint="eastAsia" w:ascii="仿宋" w:eastAsia="仿宋"/>
          <w:b w:val="0"/>
          <w:bCs w:val="0"/>
          <w:sz w:val="32"/>
          <w:szCs w:val="32"/>
        </w:rPr>
        <w:t>四、</w:t>
      </w:r>
      <w:r>
        <w:rPr>
          <w:rFonts w:hint="eastAsia" w:ascii="仿宋" w:eastAsia="仿宋"/>
          <w:b w:val="0"/>
          <w:sz w:val="32"/>
          <w:szCs w:val="32"/>
        </w:rPr>
        <w:t>财</w:t>
      </w:r>
      <w:r>
        <w:rPr>
          <w:rStyle w:val="23"/>
          <w:rFonts w:hint="eastAsia" w:ascii="仿宋" w:eastAsia="仿宋"/>
          <w:b w:val="0"/>
          <w:bCs w:val="0"/>
          <w:sz w:val="32"/>
          <w:szCs w:val="32"/>
        </w:rPr>
        <w:t>政拨款收入支出决算总表</w:t>
      </w:r>
      <w:bookmarkEnd w:id="59"/>
    </w:p>
    <w:p w14:paraId="45C894C2">
      <w:pPr>
        <w:pStyle w:val="5"/>
        <w:pageBreakBefore w:val="0"/>
        <w:widowControl w:val="0"/>
        <w:kinsoku/>
        <w:wordWrap/>
        <w:overflowPunct/>
        <w:topLinePunct w:val="0"/>
        <w:autoSpaceDE/>
        <w:autoSpaceDN/>
        <w:bidi w:val="0"/>
        <w:spacing w:line="560" w:lineRule="exact"/>
        <w:textAlignment w:val="auto"/>
        <w:rPr>
          <w:rStyle w:val="23"/>
          <w:rFonts w:ascii="仿宋" w:eastAsia="仿宋"/>
          <w:b w:val="0"/>
          <w:bCs w:val="0"/>
          <w:sz w:val="32"/>
          <w:szCs w:val="32"/>
        </w:rPr>
      </w:pPr>
      <w:bookmarkStart w:id="60" w:name="_Toc15396623"/>
      <w:r>
        <w:rPr>
          <w:rStyle w:val="23"/>
          <w:rFonts w:hint="eastAsia" w:ascii="仿宋" w:eastAsia="仿宋"/>
          <w:b w:val="0"/>
          <w:bCs w:val="0"/>
          <w:sz w:val="32"/>
          <w:szCs w:val="32"/>
        </w:rPr>
        <w:t>五、</w:t>
      </w:r>
      <w:r>
        <w:rPr>
          <w:rFonts w:hint="eastAsia" w:ascii="仿宋" w:eastAsia="仿宋"/>
          <w:b w:val="0"/>
          <w:sz w:val="32"/>
          <w:szCs w:val="32"/>
        </w:rPr>
        <w:t>财</w:t>
      </w:r>
      <w:r>
        <w:rPr>
          <w:rStyle w:val="23"/>
          <w:rFonts w:hint="eastAsia" w:ascii="仿宋" w:eastAsia="仿宋"/>
          <w:b w:val="0"/>
          <w:bCs w:val="0"/>
          <w:sz w:val="32"/>
          <w:szCs w:val="32"/>
        </w:rPr>
        <w:t>政拨款支出决算明细表</w:t>
      </w:r>
      <w:bookmarkEnd w:id="60"/>
      <w:bookmarkStart w:id="61" w:name="_Toc15396624"/>
    </w:p>
    <w:p w14:paraId="4F131DAE">
      <w:pPr>
        <w:pStyle w:val="5"/>
        <w:pageBreakBefore w:val="0"/>
        <w:widowControl w:val="0"/>
        <w:kinsoku/>
        <w:wordWrap/>
        <w:overflowPunct/>
        <w:topLinePunct w:val="0"/>
        <w:autoSpaceDE/>
        <w:autoSpaceDN/>
        <w:bidi w:val="0"/>
        <w:spacing w:line="560" w:lineRule="exact"/>
        <w:textAlignment w:val="auto"/>
        <w:rPr>
          <w:rFonts w:ascii="仿宋" w:eastAsia="仿宋"/>
          <w:sz w:val="32"/>
          <w:szCs w:val="32"/>
        </w:rPr>
      </w:pPr>
      <w:r>
        <w:rPr>
          <w:rStyle w:val="23"/>
          <w:rFonts w:hint="eastAsia" w:ascii="仿宋" w:eastAsia="仿宋"/>
          <w:b w:val="0"/>
          <w:bCs w:val="0"/>
          <w:sz w:val="32"/>
          <w:szCs w:val="32"/>
        </w:rPr>
        <w:t>六、</w:t>
      </w:r>
      <w:r>
        <w:rPr>
          <w:rFonts w:hint="eastAsia" w:ascii="仿宋" w:eastAsia="仿宋"/>
          <w:b w:val="0"/>
          <w:sz w:val="32"/>
          <w:szCs w:val="32"/>
        </w:rPr>
        <w:t>一</w:t>
      </w:r>
      <w:r>
        <w:rPr>
          <w:rStyle w:val="23"/>
          <w:rFonts w:hint="eastAsia" w:ascii="仿宋" w:eastAsia="仿宋"/>
          <w:b w:val="0"/>
          <w:bCs w:val="0"/>
          <w:sz w:val="32"/>
          <w:szCs w:val="32"/>
        </w:rPr>
        <w:t>般公共预算财政拨款支出决算表</w:t>
      </w:r>
      <w:bookmarkEnd w:id="61"/>
    </w:p>
    <w:p w14:paraId="7E8C5487">
      <w:pPr>
        <w:pStyle w:val="5"/>
        <w:pageBreakBefore w:val="0"/>
        <w:widowControl w:val="0"/>
        <w:kinsoku/>
        <w:wordWrap/>
        <w:overflowPunct/>
        <w:topLinePunct w:val="0"/>
        <w:autoSpaceDE/>
        <w:autoSpaceDN/>
        <w:bidi w:val="0"/>
        <w:spacing w:line="560" w:lineRule="exact"/>
        <w:textAlignment w:val="auto"/>
        <w:rPr>
          <w:rFonts w:ascii="仿宋" w:eastAsia="仿宋"/>
          <w:sz w:val="32"/>
          <w:szCs w:val="32"/>
        </w:rPr>
      </w:pPr>
      <w:bookmarkStart w:id="62" w:name="_Toc15396625"/>
      <w:r>
        <w:rPr>
          <w:rStyle w:val="23"/>
          <w:rFonts w:hint="eastAsia" w:ascii="仿宋" w:eastAsia="仿宋"/>
          <w:b w:val="0"/>
          <w:bCs w:val="0"/>
          <w:sz w:val="32"/>
          <w:szCs w:val="32"/>
        </w:rPr>
        <w:t>七、</w:t>
      </w:r>
      <w:r>
        <w:rPr>
          <w:rFonts w:hint="eastAsia" w:ascii="仿宋" w:eastAsia="仿宋"/>
          <w:b w:val="0"/>
          <w:sz w:val="32"/>
          <w:szCs w:val="32"/>
        </w:rPr>
        <w:t>一</w:t>
      </w:r>
      <w:r>
        <w:rPr>
          <w:rStyle w:val="23"/>
          <w:rFonts w:hint="eastAsia" w:ascii="仿宋" w:eastAsia="仿宋"/>
          <w:b w:val="0"/>
          <w:bCs w:val="0"/>
          <w:sz w:val="32"/>
          <w:szCs w:val="32"/>
        </w:rPr>
        <w:t>般公共预算财政拨款支出决算明细表</w:t>
      </w:r>
      <w:bookmarkEnd w:id="62"/>
    </w:p>
    <w:p w14:paraId="1CCC32E5">
      <w:pPr>
        <w:pStyle w:val="5"/>
        <w:pageBreakBefore w:val="0"/>
        <w:widowControl w:val="0"/>
        <w:kinsoku/>
        <w:wordWrap/>
        <w:overflowPunct/>
        <w:topLinePunct w:val="0"/>
        <w:autoSpaceDE/>
        <w:autoSpaceDN/>
        <w:bidi w:val="0"/>
        <w:spacing w:line="560" w:lineRule="exact"/>
        <w:textAlignment w:val="auto"/>
        <w:rPr>
          <w:rFonts w:ascii="仿宋" w:eastAsia="仿宋"/>
          <w:sz w:val="32"/>
          <w:szCs w:val="32"/>
        </w:rPr>
      </w:pPr>
      <w:bookmarkStart w:id="63" w:name="_Toc15396626"/>
      <w:r>
        <w:rPr>
          <w:rStyle w:val="23"/>
          <w:rFonts w:hint="eastAsia" w:ascii="仿宋" w:eastAsia="仿宋"/>
          <w:b w:val="0"/>
          <w:bCs w:val="0"/>
          <w:sz w:val="32"/>
          <w:szCs w:val="32"/>
        </w:rPr>
        <w:t>八、</w:t>
      </w:r>
      <w:r>
        <w:rPr>
          <w:rFonts w:hint="eastAsia" w:ascii="仿宋" w:eastAsia="仿宋"/>
          <w:b w:val="0"/>
          <w:sz w:val="32"/>
          <w:szCs w:val="32"/>
        </w:rPr>
        <w:t>一</w:t>
      </w:r>
      <w:r>
        <w:rPr>
          <w:rStyle w:val="23"/>
          <w:rFonts w:hint="eastAsia" w:ascii="仿宋" w:eastAsia="仿宋"/>
          <w:b w:val="0"/>
          <w:bCs w:val="0"/>
          <w:sz w:val="32"/>
          <w:szCs w:val="32"/>
        </w:rPr>
        <w:t>般公共预算财政拨款基本支出决算表</w:t>
      </w:r>
      <w:bookmarkEnd w:id="63"/>
    </w:p>
    <w:p w14:paraId="1B5CBEE0">
      <w:pPr>
        <w:pStyle w:val="5"/>
        <w:pageBreakBefore w:val="0"/>
        <w:widowControl w:val="0"/>
        <w:kinsoku/>
        <w:wordWrap/>
        <w:overflowPunct/>
        <w:topLinePunct w:val="0"/>
        <w:autoSpaceDE/>
        <w:autoSpaceDN/>
        <w:bidi w:val="0"/>
        <w:spacing w:line="560" w:lineRule="exact"/>
        <w:textAlignment w:val="auto"/>
        <w:rPr>
          <w:rStyle w:val="23"/>
          <w:rFonts w:hint="eastAsia" w:ascii="仿宋" w:eastAsia="仿宋"/>
          <w:b w:val="0"/>
          <w:bCs w:val="0"/>
          <w:sz w:val="32"/>
          <w:szCs w:val="32"/>
        </w:rPr>
      </w:pPr>
      <w:bookmarkStart w:id="64" w:name="_Toc15396627"/>
      <w:r>
        <w:rPr>
          <w:rStyle w:val="23"/>
          <w:rFonts w:hint="eastAsia" w:ascii="仿宋" w:eastAsia="仿宋"/>
          <w:b w:val="0"/>
          <w:bCs w:val="0"/>
          <w:sz w:val="32"/>
          <w:szCs w:val="32"/>
        </w:rPr>
        <w:t>九、一般公共预算财政拨款项目支出决算表</w:t>
      </w:r>
      <w:bookmarkEnd w:id="64"/>
    </w:p>
    <w:p w14:paraId="3E038EB7">
      <w:pPr>
        <w:pStyle w:val="5"/>
        <w:pageBreakBefore w:val="0"/>
        <w:widowControl w:val="0"/>
        <w:kinsoku/>
        <w:wordWrap/>
        <w:overflowPunct/>
        <w:topLinePunct w:val="0"/>
        <w:autoSpaceDE/>
        <w:autoSpaceDN/>
        <w:bidi w:val="0"/>
        <w:spacing w:line="560" w:lineRule="exact"/>
        <w:textAlignment w:val="auto"/>
        <w:rPr>
          <w:rStyle w:val="23"/>
          <w:rFonts w:hint="eastAsia" w:ascii="仿宋" w:eastAsia="仿宋"/>
          <w:b w:val="0"/>
          <w:bCs w:val="0"/>
          <w:sz w:val="32"/>
          <w:szCs w:val="32"/>
          <w:lang w:val="en-US" w:eastAsia="zh-CN"/>
        </w:rPr>
      </w:pPr>
      <w:r>
        <w:rPr>
          <w:rStyle w:val="23"/>
          <w:rFonts w:hint="eastAsia" w:ascii="仿宋" w:eastAsia="仿宋"/>
          <w:b w:val="0"/>
          <w:bCs w:val="0"/>
          <w:sz w:val="32"/>
          <w:szCs w:val="32"/>
        </w:rPr>
        <w:t>十、政府性基金预算财政拨款收入支出决算表</w:t>
      </w:r>
    </w:p>
    <w:p w14:paraId="465C6CCF">
      <w:pPr>
        <w:pStyle w:val="5"/>
        <w:pageBreakBefore w:val="0"/>
        <w:widowControl w:val="0"/>
        <w:kinsoku/>
        <w:wordWrap/>
        <w:overflowPunct/>
        <w:topLinePunct w:val="0"/>
        <w:autoSpaceDE/>
        <w:autoSpaceDN/>
        <w:bidi w:val="0"/>
        <w:spacing w:line="560" w:lineRule="exact"/>
        <w:textAlignment w:val="auto"/>
        <w:rPr>
          <w:rStyle w:val="23"/>
          <w:rFonts w:hint="default" w:ascii="仿宋" w:eastAsia="仿宋"/>
          <w:b w:val="0"/>
          <w:bCs w:val="0"/>
          <w:sz w:val="32"/>
          <w:szCs w:val="32"/>
          <w:lang w:val="en-US"/>
        </w:rPr>
      </w:pPr>
      <w:r>
        <w:rPr>
          <w:rStyle w:val="23"/>
          <w:rFonts w:hint="eastAsia" w:ascii="仿宋" w:eastAsia="仿宋"/>
          <w:b w:val="0"/>
          <w:bCs w:val="0"/>
          <w:sz w:val="32"/>
          <w:szCs w:val="32"/>
        </w:rPr>
        <w:t>十</w:t>
      </w:r>
      <w:r>
        <w:rPr>
          <w:rStyle w:val="23"/>
          <w:rFonts w:hint="eastAsia" w:ascii="仿宋" w:eastAsia="仿宋"/>
          <w:b w:val="0"/>
          <w:bCs w:val="0"/>
          <w:sz w:val="32"/>
          <w:szCs w:val="32"/>
          <w:lang w:val="en-US" w:eastAsia="zh-CN"/>
        </w:rPr>
        <w:t>一</w:t>
      </w:r>
      <w:r>
        <w:rPr>
          <w:rStyle w:val="23"/>
          <w:rFonts w:hint="eastAsia" w:ascii="仿宋" w:eastAsia="仿宋"/>
          <w:b w:val="0"/>
          <w:bCs w:val="0"/>
          <w:sz w:val="32"/>
          <w:szCs w:val="32"/>
        </w:rPr>
        <w:t>、国有资本经营预算财政拨款收入支出决算表</w:t>
      </w:r>
    </w:p>
    <w:p w14:paraId="2348D492">
      <w:pPr>
        <w:pStyle w:val="5"/>
        <w:pageBreakBefore w:val="0"/>
        <w:widowControl w:val="0"/>
        <w:kinsoku/>
        <w:wordWrap/>
        <w:overflowPunct/>
        <w:topLinePunct w:val="0"/>
        <w:autoSpaceDE/>
        <w:autoSpaceDN/>
        <w:bidi w:val="0"/>
        <w:spacing w:line="560" w:lineRule="exact"/>
        <w:textAlignment w:val="auto"/>
        <w:rPr>
          <w:rStyle w:val="23"/>
          <w:rFonts w:hint="eastAsia" w:ascii="仿宋" w:eastAsia="仿宋"/>
          <w:b w:val="0"/>
          <w:bCs w:val="0"/>
          <w:sz w:val="32"/>
          <w:szCs w:val="32"/>
          <w:lang w:val="en-US" w:eastAsia="zh-CN"/>
        </w:rPr>
      </w:pPr>
      <w:r>
        <w:rPr>
          <w:rStyle w:val="23"/>
          <w:rFonts w:hint="eastAsia" w:ascii="仿宋" w:eastAsia="仿宋"/>
          <w:b w:val="0"/>
          <w:bCs w:val="0"/>
          <w:sz w:val="32"/>
          <w:szCs w:val="32"/>
        </w:rPr>
        <w:t>十</w:t>
      </w:r>
      <w:r>
        <w:rPr>
          <w:rStyle w:val="23"/>
          <w:rFonts w:hint="eastAsia" w:ascii="仿宋" w:eastAsia="仿宋"/>
          <w:b w:val="0"/>
          <w:bCs w:val="0"/>
          <w:sz w:val="32"/>
          <w:szCs w:val="32"/>
          <w:lang w:val="en-US" w:eastAsia="zh-CN"/>
        </w:rPr>
        <w:t>二</w:t>
      </w:r>
      <w:r>
        <w:rPr>
          <w:rStyle w:val="23"/>
          <w:rFonts w:hint="eastAsia" w:ascii="仿宋" w:eastAsia="仿宋"/>
          <w:b w:val="0"/>
          <w:bCs w:val="0"/>
          <w:sz w:val="32"/>
          <w:szCs w:val="32"/>
        </w:rPr>
        <w:t>、国有资本经营预算财政拨款支出决算表</w:t>
      </w:r>
    </w:p>
    <w:p w14:paraId="7858F5B0">
      <w:pPr>
        <w:pStyle w:val="5"/>
        <w:pageBreakBefore w:val="0"/>
        <w:widowControl w:val="0"/>
        <w:kinsoku/>
        <w:wordWrap/>
        <w:overflowPunct/>
        <w:topLinePunct w:val="0"/>
        <w:autoSpaceDE/>
        <w:autoSpaceDN/>
        <w:bidi w:val="0"/>
        <w:spacing w:line="560" w:lineRule="exact"/>
        <w:textAlignment w:val="auto"/>
        <w:rPr>
          <w:rStyle w:val="23"/>
          <w:rFonts w:hint="default" w:ascii="仿宋" w:eastAsia="仿宋"/>
          <w:b w:val="0"/>
          <w:bCs w:val="0"/>
          <w:sz w:val="32"/>
          <w:szCs w:val="32"/>
          <w:lang w:val="en-US"/>
        </w:rPr>
      </w:pPr>
      <w:r>
        <w:rPr>
          <w:rStyle w:val="23"/>
          <w:rFonts w:hint="eastAsia" w:ascii="仿宋" w:eastAsia="仿宋"/>
          <w:b w:val="0"/>
          <w:bCs w:val="0"/>
          <w:sz w:val="32"/>
          <w:szCs w:val="32"/>
        </w:rPr>
        <w:t>十</w:t>
      </w:r>
      <w:r>
        <w:rPr>
          <w:rStyle w:val="23"/>
          <w:rFonts w:hint="eastAsia" w:ascii="仿宋" w:eastAsia="仿宋"/>
          <w:b w:val="0"/>
          <w:bCs w:val="0"/>
          <w:sz w:val="32"/>
          <w:szCs w:val="32"/>
          <w:lang w:val="en-US" w:eastAsia="zh-CN"/>
        </w:rPr>
        <w:t>三</w:t>
      </w:r>
      <w:r>
        <w:rPr>
          <w:rStyle w:val="23"/>
          <w:rFonts w:hint="eastAsia" w:ascii="仿宋" w:eastAsia="仿宋"/>
          <w:b w:val="0"/>
          <w:bCs w:val="0"/>
          <w:sz w:val="32"/>
          <w:szCs w:val="32"/>
        </w:rPr>
        <w:t>、</w:t>
      </w:r>
      <w:r>
        <w:rPr>
          <w:rStyle w:val="23"/>
          <w:rFonts w:hint="default" w:ascii="仿宋" w:eastAsia="仿宋"/>
          <w:b w:val="0"/>
          <w:bCs w:val="0"/>
          <w:sz w:val="32"/>
          <w:szCs w:val="32"/>
          <w:lang w:val="en-US"/>
        </w:rPr>
        <w:t>财政拨款“三公”经费支出决算表</w:t>
      </w:r>
    </w:p>
    <w:p w14:paraId="0851E56D">
      <w:pPr>
        <w:pStyle w:val="2"/>
        <w:rPr>
          <w:rStyle w:val="23"/>
          <w:rFonts w:hint="eastAsia" w:ascii="仿宋" w:eastAsia="仿宋"/>
          <w:b w:val="0"/>
          <w:bCs w:val="0"/>
        </w:rPr>
      </w:pPr>
    </w:p>
    <w:sectPr>
      <w:footerReference r:id="rId7" w:type="first"/>
      <w:footerReference r:id="rId6" w:type="default"/>
      <w:pgSz w:w="11906" w:h="16838"/>
      <w:pgMar w:top="1984"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微软雅黑"/>
    <w:panose1 w:val="00000000000000000000"/>
    <w:charset w:val="00"/>
    <w:family w:val="auto"/>
    <w:pitch w:val="default"/>
    <w:sig w:usb0="00000000" w:usb1="00000000" w:usb2="00000000"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粗黑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B7CF0">
    <w:pPr>
      <w:pStyle w:val="13"/>
      <w:jc w:val="center"/>
    </w:pPr>
  </w:p>
  <w:p w14:paraId="1407BE8F">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6A46E">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8DC72">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11887915"/>
                          </w:sdtPr>
                          <w:sdtContent>
                            <w:p w14:paraId="2E5F10FA">
                              <w:pPr>
                                <w:pStyle w:val="13"/>
                                <w:jc w:val="center"/>
                              </w:pPr>
                              <w:r>
                                <w:fldChar w:fldCharType="begin"/>
                              </w:r>
                              <w:r>
                                <w:instrText xml:space="preserve">PAGE   \* MERGEFORMAT</w:instrText>
                              </w:r>
                              <w:r>
                                <w:fldChar w:fldCharType="separate"/>
                              </w:r>
                              <w:r>
                                <w:rPr>
                                  <w:lang w:val="zh-CN"/>
                                </w:rPr>
                                <w:t>8</w:t>
                              </w:r>
                              <w:r>
                                <w:fldChar w:fldCharType="end"/>
                              </w:r>
                            </w:p>
                          </w:sdtContent>
                        </w:sdt>
                        <w:p w14:paraId="58A5DCEE">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sdt>
                    <w:sdtPr>
                      <w:id w:val="-611887915"/>
                    </w:sdtPr>
                    <w:sdtContent>
                      <w:p w14:paraId="2E5F10FA">
                        <w:pPr>
                          <w:pStyle w:val="13"/>
                          <w:jc w:val="center"/>
                        </w:pPr>
                        <w:r>
                          <w:fldChar w:fldCharType="begin"/>
                        </w:r>
                        <w:r>
                          <w:instrText xml:space="preserve">PAGE   \* MERGEFORMAT</w:instrText>
                        </w:r>
                        <w:r>
                          <w:fldChar w:fldCharType="separate"/>
                        </w:r>
                        <w:r>
                          <w:rPr>
                            <w:lang w:val="zh-CN"/>
                          </w:rPr>
                          <w:t>8</w:t>
                        </w:r>
                        <w:r>
                          <w:fldChar w:fldCharType="end"/>
                        </w:r>
                      </w:p>
                    </w:sdtContent>
                  </w:sdt>
                  <w:p w14:paraId="58A5DCEE">
                    <w:pPr>
                      <w:pStyle w:val="10"/>
                    </w:pPr>
                  </w:p>
                </w:txbxContent>
              </v:textbox>
            </v:shape>
          </w:pict>
        </mc:Fallback>
      </mc:AlternateContent>
    </w:r>
  </w:p>
  <w:p w14:paraId="7E123953">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0D68B">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5A1D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985A1D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335A5">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046DE3E"/>
    <w:multiLevelType w:val="singleLevel"/>
    <w:tmpl w:val="6046DE3E"/>
    <w:lvl w:ilvl="0" w:tentative="0">
      <w:start w:val="3"/>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WExZGUxMzYwMjFkZjVhNThjZTAxOTFmZGZiNGRjODIifQ=="/>
  </w:docVars>
  <w:rsids>
    <w:rsidRoot w:val="008C6A67"/>
    <w:rsid w:val="00190606"/>
    <w:rsid w:val="004F482C"/>
    <w:rsid w:val="00733E26"/>
    <w:rsid w:val="008C6A67"/>
    <w:rsid w:val="0119677B"/>
    <w:rsid w:val="01837B27"/>
    <w:rsid w:val="01A324E9"/>
    <w:rsid w:val="027C6540"/>
    <w:rsid w:val="02F474A0"/>
    <w:rsid w:val="039D7B38"/>
    <w:rsid w:val="03C05D91"/>
    <w:rsid w:val="03D1333D"/>
    <w:rsid w:val="03E72B61"/>
    <w:rsid w:val="04640482"/>
    <w:rsid w:val="04DA4474"/>
    <w:rsid w:val="04DE21B6"/>
    <w:rsid w:val="055C757F"/>
    <w:rsid w:val="05CB05C6"/>
    <w:rsid w:val="073562D9"/>
    <w:rsid w:val="073575CE"/>
    <w:rsid w:val="07642C1E"/>
    <w:rsid w:val="077D6E60"/>
    <w:rsid w:val="07F7533D"/>
    <w:rsid w:val="086506C6"/>
    <w:rsid w:val="08A74FB5"/>
    <w:rsid w:val="09440A55"/>
    <w:rsid w:val="09615163"/>
    <w:rsid w:val="096E7880"/>
    <w:rsid w:val="09A757A5"/>
    <w:rsid w:val="0A206DCD"/>
    <w:rsid w:val="0A287A2F"/>
    <w:rsid w:val="0A6B7243"/>
    <w:rsid w:val="0BB23E19"/>
    <w:rsid w:val="0BBE4AEF"/>
    <w:rsid w:val="0C122745"/>
    <w:rsid w:val="0CD65E68"/>
    <w:rsid w:val="0CD81BE1"/>
    <w:rsid w:val="0D0344B1"/>
    <w:rsid w:val="0D444B80"/>
    <w:rsid w:val="0DEA1BCB"/>
    <w:rsid w:val="0EB2020F"/>
    <w:rsid w:val="0F096081"/>
    <w:rsid w:val="1010343F"/>
    <w:rsid w:val="10233173"/>
    <w:rsid w:val="10392996"/>
    <w:rsid w:val="11496C09"/>
    <w:rsid w:val="12C34799"/>
    <w:rsid w:val="133E4C1F"/>
    <w:rsid w:val="135D42E1"/>
    <w:rsid w:val="13B64C70"/>
    <w:rsid w:val="13BF7656"/>
    <w:rsid w:val="13FF3EF7"/>
    <w:rsid w:val="141212D2"/>
    <w:rsid w:val="14777F31"/>
    <w:rsid w:val="147F2942"/>
    <w:rsid w:val="150177FB"/>
    <w:rsid w:val="15C87289"/>
    <w:rsid w:val="15D13671"/>
    <w:rsid w:val="160E21CF"/>
    <w:rsid w:val="161B3331"/>
    <w:rsid w:val="166242C9"/>
    <w:rsid w:val="167209B0"/>
    <w:rsid w:val="16734728"/>
    <w:rsid w:val="16C02152"/>
    <w:rsid w:val="170B4961"/>
    <w:rsid w:val="171F21BA"/>
    <w:rsid w:val="17237EFC"/>
    <w:rsid w:val="1763654B"/>
    <w:rsid w:val="178C5AA1"/>
    <w:rsid w:val="18194E5B"/>
    <w:rsid w:val="181F6915"/>
    <w:rsid w:val="18F7512B"/>
    <w:rsid w:val="19B60BB4"/>
    <w:rsid w:val="19CD414F"/>
    <w:rsid w:val="1A1D6E85"/>
    <w:rsid w:val="1A623B0D"/>
    <w:rsid w:val="1A907657"/>
    <w:rsid w:val="1AC44BF5"/>
    <w:rsid w:val="1B7E3953"/>
    <w:rsid w:val="1BBC5647"/>
    <w:rsid w:val="1C86133B"/>
    <w:rsid w:val="1C862BC0"/>
    <w:rsid w:val="1D172BCC"/>
    <w:rsid w:val="1D4E55A7"/>
    <w:rsid w:val="1D70551D"/>
    <w:rsid w:val="1E4470D6"/>
    <w:rsid w:val="1EF03BDF"/>
    <w:rsid w:val="1F0B19A2"/>
    <w:rsid w:val="1F415D71"/>
    <w:rsid w:val="1F642E60"/>
    <w:rsid w:val="1F867B54"/>
    <w:rsid w:val="205E1FA5"/>
    <w:rsid w:val="206B4E60"/>
    <w:rsid w:val="20B816B5"/>
    <w:rsid w:val="2117483A"/>
    <w:rsid w:val="21C423DC"/>
    <w:rsid w:val="2254540E"/>
    <w:rsid w:val="227B0BEC"/>
    <w:rsid w:val="231A1384"/>
    <w:rsid w:val="23256DAA"/>
    <w:rsid w:val="233314C7"/>
    <w:rsid w:val="23474F72"/>
    <w:rsid w:val="234B4A63"/>
    <w:rsid w:val="23BF2D5B"/>
    <w:rsid w:val="2423778D"/>
    <w:rsid w:val="24D10F97"/>
    <w:rsid w:val="251D6EAD"/>
    <w:rsid w:val="2613738E"/>
    <w:rsid w:val="2670658E"/>
    <w:rsid w:val="26B172D2"/>
    <w:rsid w:val="26EA6341"/>
    <w:rsid w:val="273121C1"/>
    <w:rsid w:val="273B6B9C"/>
    <w:rsid w:val="275B2D9A"/>
    <w:rsid w:val="276205CD"/>
    <w:rsid w:val="276C7B5F"/>
    <w:rsid w:val="277F01E4"/>
    <w:rsid w:val="2790513A"/>
    <w:rsid w:val="27A74232"/>
    <w:rsid w:val="289E3886"/>
    <w:rsid w:val="28EE2BAE"/>
    <w:rsid w:val="29162311"/>
    <w:rsid w:val="29170EB2"/>
    <w:rsid w:val="297B7724"/>
    <w:rsid w:val="2A3A138D"/>
    <w:rsid w:val="2AA607D0"/>
    <w:rsid w:val="2B513946"/>
    <w:rsid w:val="2C092CED"/>
    <w:rsid w:val="2D947006"/>
    <w:rsid w:val="2D962D7E"/>
    <w:rsid w:val="2DC378EB"/>
    <w:rsid w:val="2E163EBF"/>
    <w:rsid w:val="2E5845FC"/>
    <w:rsid w:val="2E905A1F"/>
    <w:rsid w:val="2EA9088F"/>
    <w:rsid w:val="2EF508C3"/>
    <w:rsid w:val="2F2148C9"/>
    <w:rsid w:val="2F370591"/>
    <w:rsid w:val="2F394DAF"/>
    <w:rsid w:val="2F3A598B"/>
    <w:rsid w:val="2F3B1E2F"/>
    <w:rsid w:val="2F5C1DA5"/>
    <w:rsid w:val="2F854E58"/>
    <w:rsid w:val="2FE14059"/>
    <w:rsid w:val="2FEF4EA2"/>
    <w:rsid w:val="303D1BD7"/>
    <w:rsid w:val="304271ED"/>
    <w:rsid w:val="30A734F4"/>
    <w:rsid w:val="30E26576"/>
    <w:rsid w:val="310821E5"/>
    <w:rsid w:val="310F13B2"/>
    <w:rsid w:val="314B3E80"/>
    <w:rsid w:val="31EA5447"/>
    <w:rsid w:val="328238D1"/>
    <w:rsid w:val="32877139"/>
    <w:rsid w:val="329F4483"/>
    <w:rsid w:val="33134E71"/>
    <w:rsid w:val="348F22D5"/>
    <w:rsid w:val="34C06933"/>
    <w:rsid w:val="34CC52D7"/>
    <w:rsid w:val="35576957"/>
    <w:rsid w:val="35B93B6F"/>
    <w:rsid w:val="36814A24"/>
    <w:rsid w:val="36CE5337"/>
    <w:rsid w:val="381E22EE"/>
    <w:rsid w:val="386C5BAC"/>
    <w:rsid w:val="38AE3672"/>
    <w:rsid w:val="38FD1F03"/>
    <w:rsid w:val="390C2146"/>
    <w:rsid w:val="3962445C"/>
    <w:rsid w:val="39894A2E"/>
    <w:rsid w:val="399F2FBB"/>
    <w:rsid w:val="39DC7D6B"/>
    <w:rsid w:val="3A267859"/>
    <w:rsid w:val="3A461688"/>
    <w:rsid w:val="3A5B15D7"/>
    <w:rsid w:val="3AC3717D"/>
    <w:rsid w:val="3B3911ED"/>
    <w:rsid w:val="3C382211"/>
    <w:rsid w:val="3C5B5562"/>
    <w:rsid w:val="3C753C66"/>
    <w:rsid w:val="3CA174DE"/>
    <w:rsid w:val="3CE33F43"/>
    <w:rsid w:val="3DA768E2"/>
    <w:rsid w:val="3DDE1C46"/>
    <w:rsid w:val="3EEB27FE"/>
    <w:rsid w:val="3F073ADC"/>
    <w:rsid w:val="3F095E8F"/>
    <w:rsid w:val="3F620D12"/>
    <w:rsid w:val="3FBA0B4E"/>
    <w:rsid w:val="3FD538C2"/>
    <w:rsid w:val="40C71F4C"/>
    <w:rsid w:val="415B3C6B"/>
    <w:rsid w:val="41823260"/>
    <w:rsid w:val="41C71300"/>
    <w:rsid w:val="427A2817"/>
    <w:rsid w:val="42AD6748"/>
    <w:rsid w:val="438439C9"/>
    <w:rsid w:val="43AD2778"/>
    <w:rsid w:val="43C52C83"/>
    <w:rsid w:val="444E3F5B"/>
    <w:rsid w:val="44DF2E05"/>
    <w:rsid w:val="451A3E3D"/>
    <w:rsid w:val="451F76A5"/>
    <w:rsid w:val="45B47DEE"/>
    <w:rsid w:val="45FC3543"/>
    <w:rsid w:val="4625224C"/>
    <w:rsid w:val="46847726"/>
    <w:rsid w:val="47723ABC"/>
    <w:rsid w:val="486275B7"/>
    <w:rsid w:val="48800083"/>
    <w:rsid w:val="491F5EC6"/>
    <w:rsid w:val="4924528A"/>
    <w:rsid w:val="49570AD5"/>
    <w:rsid w:val="498B355B"/>
    <w:rsid w:val="4A723154"/>
    <w:rsid w:val="4A8E6E5F"/>
    <w:rsid w:val="4AAF22A8"/>
    <w:rsid w:val="4AF929AE"/>
    <w:rsid w:val="4B165A7F"/>
    <w:rsid w:val="4B840262"/>
    <w:rsid w:val="4C043151"/>
    <w:rsid w:val="4C0F4ADE"/>
    <w:rsid w:val="4C83676C"/>
    <w:rsid w:val="4D7A3337"/>
    <w:rsid w:val="4D956757"/>
    <w:rsid w:val="4DB36BDD"/>
    <w:rsid w:val="4E353A96"/>
    <w:rsid w:val="4EBF69BD"/>
    <w:rsid w:val="4EC07803"/>
    <w:rsid w:val="4F3E697A"/>
    <w:rsid w:val="4FBA4253"/>
    <w:rsid w:val="4FE13ED5"/>
    <w:rsid w:val="5006393C"/>
    <w:rsid w:val="50615016"/>
    <w:rsid w:val="506A5C79"/>
    <w:rsid w:val="506B379F"/>
    <w:rsid w:val="5088576D"/>
    <w:rsid w:val="511018A7"/>
    <w:rsid w:val="51EC30C9"/>
    <w:rsid w:val="520A56A8"/>
    <w:rsid w:val="52135DFE"/>
    <w:rsid w:val="52622E1E"/>
    <w:rsid w:val="52C13B4A"/>
    <w:rsid w:val="53081779"/>
    <w:rsid w:val="531E2D4A"/>
    <w:rsid w:val="54C811C0"/>
    <w:rsid w:val="556C4241"/>
    <w:rsid w:val="55A97243"/>
    <w:rsid w:val="55E13070"/>
    <w:rsid w:val="560D0856"/>
    <w:rsid w:val="56D025AE"/>
    <w:rsid w:val="56E12A0D"/>
    <w:rsid w:val="574A366F"/>
    <w:rsid w:val="57DB3900"/>
    <w:rsid w:val="581A7F84"/>
    <w:rsid w:val="587C1A74"/>
    <w:rsid w:val="58B54151"/>
    <w:rsid w:val="58C957A0"/>
    <w:rsid w:val="591305FD"/>
    <w:rsid w:val="59CB2660"/>
    <w:rsid w:val="5AD54636"/>
    <w:rsid w:val="5AEA7ACA"/>
    <w:rsid w:val="5B5A4801"/>
    <w:rsid w:val="5CFF4C0D"/>
    <w:rsid w:val="5D395350"/>
    <w:rsid w:val="5D3B49B3"/>
    <w:rsid w:val="5D4A130C"/>
    <w:rsid w:val="5D665A1A"/>
    <w:rsid w:val="5DD010E5"/>
    <w:rsid w:val="5DF748C4"/>
    <w:rsid w:val="5E0240EC"/>
    <w:rsid w:val="5E9071F2"/>
    <w:rsid w:val="5F37766E"/>
    <w:rsid w:val="5FC101C7"/>
    <w:rsid w:val="601654D5"/>
    <w:rsid w:val="60F6689E"/>
    <w:rsid w:val="611D0AE5"/>
    <w:rsid w:val="61361F5C"/>
    <w:rsid w:val="61F2764D"/>
    <w:rsid w:val="62571338"/>
    <w:rsid w:val="629E7A04"/>
    <w:rsid w:val="6472739A"/>
    <w:rsid w:val="64EB6A8D"/>
    <w:rsid w:val="657D13E8"/>
    <w:rsid w:val="66F127F8"/>
    <w:rsid w:val="6734593C"/>
    <w:rsid w:val="6759214B"/>
    <w:rsid w:val="67B21A22"/>
    <w:rsid w:val="67F85E08"/>
    <w:rsid w:val="68774F7F"/>
    <w:rsid w:val="6888718C"/>
    <w:rsid w:val="68D51CA5"/>
    <w:rsid w:val="691C78D4"/>
    <w:rsid w:val="692C7B17"/>
    <w:rsid w:val="69731BEA"/>
    <w:rsid w:val="6A0C16F7"/>
    <w:rsid w:val="6A892D47"/>
    <w:rsid w:val="6ADA35A3"/>
    <w:rsid w:val="6B064398"/>
    <w:rsid w:val="6B3453A9"/>
    <w:rsid w:val="6C0E769F"/>
    <w:rsid w:val="6C180827"/>
    <w:rsid w:val="6C450EF0"/>
    <w:rsid w:val="6C53360D"/>
    <w:rsid w:val="6CBB3BFD"/>
    <w:rsid w:val="6CD209D6"/>
    <w:rsid w:val="6CD219FF"/>
    <w:rsid w:val="6CFA1CDB"/>
    <w:rsid w:val="6D486AFE"/>
    <w:rsid w:val="6DC6021C"/>
    <w:rsid w:val="6DDB5FB0"/>
    <w:rsid w:val="6E1D3ED3"/>
    <w:rsid w:val="6E4964A3"/>
    <w:rsid w:val="6E625D89"/>
    <w:rsid w:val="6E730F69"/>
    <w:rsid w:val="6E7C509D"/>
    <w:rsid w:val="6FF704D5"/>
    <w:rsid w:val="7013357E"/>
    <w:rsid w:val="70473489"/>
    <w:rsid w:val="7064228D"/>
    <w:rsid w:val="70710506"/>
    <w:rsid w:val="72023B0B"/>
    <w:rsid w:val="72AE5A41"/>
    <w:rsid w:val="743D52CE"/>
    <w:rsid w:val="747B1953"/>
    <w:rsid w:val="75A31161"/>
    <w:rsid w:val="764861AD"/>
    <w:rsid w:val="76634D94"/>
    <w:rsid w:val="766F3739"/>
    <w:rsid w:val="76EE0B02"/>
    <w:rsid w:val="77FB2D90"/>
    <w:rsid w:val="7840538D"/>
    <w:rsid w:val="79E104AA"/>
    <w:rsid w:val="7A1A39BC"/>
    <w:rsid w:val="7A3905A1"/>
    <w:rsid w:val="7AFB559C"/>
    <w:rsid w:val="7B0D52CF"/>
    <w:rsid w:val="7BC42DCB"/>
    <w:rsid w:val="7C9E6B26"/>
    <w:rsid w:val="7CA80172"/>
    <w:rsid w:val="7D8349B7"/>
    <w:rsid w:val="7DC205F3"/>
    <w:rsid w:val="7DE95B7F"/>
    <w:rsid w:val="7DF033B2"/>
    <w:rsid w:val="7EB42631"/>
    <w:rsid w:val="7EB51F05"/>
    <w:rsid w:val="7EEA6A1B"/>
    <w:rsid w:val="7EFB02D5"/>
    <w:rsid w:val="7FA77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3"/>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3"/>
    <w:qFormat/>
    <w:uiPriority w:val="0"/>
    <w:pPr>
      <w:jc w:val="both"/>
      <w:textAlignment w:val="baseline"/>
    </w:pPr>
  </w:style>
  <w:style w:type="paragraph" w:customStyle="1" w:styleId="3">
    <w:name w:val="Index5"/>
    <w:basedOn w:val="1"/>
    <w:next w:val="1"/>
    <w:qFormat/>
    <w:uiPriority w:val="0"/>
    <w:pPr>
      <w:ind w:left="1680"/>
      <w:jc w:val="both"/>
      <w:textAlignment w:val="baseline"/>
    </w:pPr>
  </w:style>
  <w:style w:type="paragraph" w:styleId="7">
    <w:name w:val="Salutation"/>
    <w:basedOn w:val="1"/>
    <w:next w:val="1"/>
    <w:qFormat/>
    <w:uiPriority w:val="0"/>
    <w:rPr>
      <w:rFonts w:ascii="Times New Roman" w:hAnsi="Times New Roman" w:eastAsia="宋体" w:cs="Times New Roman"/>
    </w:r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Body Text Indent"/>
    <w:basedOn w:val="1"/>
    <w:next w:val="10"/>
    <w:qFormat/>
    <w:uiPriority w:val="99"/>
    <w:pPr>
      <w:spacing w:before="0" w:beforeAutospacing="0" w:after="120" w:afterAutospacing="0"/>
      <w:ind w:left="420" w:leftChars="200" w:right="0"/>
      <w:jc w:val="left"/>
    </w:pPr>
    <w:rPr>
      <w:rFonts w:hint="eastAsia" w:ascii="宋体" w:hAnsi="宋体" w:eastAsia="宋体" w:cs="宋体"/>
      <w:kern w:val="0"/>
      <w:sz w:val="24"/>
      <w:szCs w:val="24"/>
      <w:lang w:val="en-US" w:eastAsia="zh-CN" w:bidi="ar"/>
    </w:rPr>
  </w:style>
  <w:style w:type="paragraph" w:styleId="10">
    <w:name w:val="Body Text First Indent 2"/>
    <w:basedOn w:val="9"/>
    <w:next w:val="1"/>
    <w:qFormat/>
    <w:uiPriority w:val="99"/>
    <w:pPr>
      <w:spacing w:before="0" w:beforeAutospacing="0" w:after="120" w:afterAutospacing="0"/>
      <w:ind w:left="420" w:leftChars="200" w:right="0" w:firstLine="420" w:firstLineChars="200"/>
      <w:jc w:val="left"/>
    </w:pPr>
    <w:rPr>
      <w:rFonts w:hint="eastAsia" w:ascii="宋体" w:hAnsi="宋体" w:eastAsia="宋体" w:cs="宋体"/>
      <w:kern w:val="0"/>
      <w:sz w:val="24"/>
      <w:szCs w:val="24"/>
      <w:lang w:val="en-US" w:eastAsia="zh-CN" w:bidi="ar"/>
    </w:r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toc 2"/>
    <w:basedOn w:val="1"/>
    <w:next w:val="1"/>
    <w:qFormat/>
    <w:uiPriority w:val="0"/>
    <w:pPr>
      <w:tabs>
        <w:tab w:val="right" w:leader="dot" w:pos="8296"/>
      </w:tabs>
      <w:ind w:left="200" w:leftChars="200"/>
    </w:pPr>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customStyle="1" w:styleId="22">
    <w:name w:val="标题 1 字符"/>
    <w:basedOn w:val="19"/>
    <w:link w:val="4"/>
    <w:qFormat/>
    <w:uiPriority w:val="0"/>
    <w:rPr>
      <w:rFonts w:ascii="Times New Roman" w:hAnsi="Times New Roman" w:eastAsia="宋体" w:cs="Times New Roman"/>
      <w:b/>
      <w:bCs/>
      <w:kern w:val="44"/>
      <w:sz w:val="44"/>
      <w:szCs w:val="44"/>
      <w:lang w:val="en-US" w:eastAsia="zh-CN" w:bidi="ar-SA"/>
    </w:rPr>
  </w:style>
  <w:style w:type="character" w:customStyle="1" w:styleId="23">
    <w:name w:val="标题 2 字符"/>
    <w:basedOn w:val="19"/>
    <w:link w:val="5"/>
    <w:qFormat/>
    <w:uiPriority w:val="0"/>
    <w:rPr>
      <w:rFonts w:ascii="Cambria" w:hAnsi="Cambria" w:eastAsia="宋体" w:cs="Times New Roman"/>
      <w:b/>
      <w:bCs/>
      <w:kern w:val="2"/>
      <w:sz w:val="32"/>
      <w:szCs w:val="32"/>
      <w:lang w:val="en-US" w:eastAsia="zh-CN" w:bidi="ar-SA"/>
    </w:rPr>
  </w:style>
  <w:style w:type="character" w:customStyle="1" w:styleId="24">
    <w:name w:val="Header Char"/>
    <w:basedOn w:val="19"/>
    <w:qFormat/>
    <w:uiPriority w:val="0"/>
    <w:rPr>
      <w:rFonts w:ascii="Times New Roman" w:hAnsi="Times New Roman"/>
      <w:sz w:val="18"/>
      <w:szCs w:val="18"/>
    </w:rPr>
  </w:style>
  <w:style w:type="character" w:customStyle="1" w:styleId="25">
    <w:name w:val="Footer Char"/>
    <w:basedOn w:val="19"/>
    <w:qFormat/>
    <w:uiPriority w:val="0"/>
    <w:rPr>
      <w:rFonts w:ascii="Times New Roman" w:hAnsi="Times New Roman"/>
      <w:sz w:val="18"/>
      <w:szCs w:val="18"/>
    </w:rPr>
  </w:style>
  <w:style w:type="character" w:customStyle="1" w:styleId="26">
    <w:name w:val="Body Text Char"/>
    <w:basedOn w:val="19"/>
    <w:qFormat/>
    <w:uiPriority w:val="0"/>
    <w:rPr>
      <w:rFonts w:ascii="Times New Roman" w:hAnsi="Times New Roman"/>
      <w:szCs w:val="24"/>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8">
    <w:name w:val="List Paragraph"/>
    <w:basedOn w:val="1"/>
    <w:qFormat/>
    <w:uiPriority w:val="0"/>
    <w:pPr>
      <w:ind w:firstLine="200" w:firstLineChars="200"/>
    </w:pPr>
  </w:style>
  <w:style w:type="paragraph" w:customStyle="1" w:styleId="29">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TOC 标题2"/>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1">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32">
    <w:name w:val="21"/>
    <w:basedOn w:val="19"/>
    <w:qFormat/>
    <w:uiPriority w:val="0"/>
    <w:rPr>
      <w:rFonts w:hint="default" w:ascii="Times New Roman" w:hAnsi="Times New Roman" w:cs="Times New Roman"/>
      <w:b/>
    </w:rPr>
  </w:style>
  <w:style w:type="paragraph" w:customStyle="1" w:styleId="33">
    <w:name w:val="四号正文"/>
    <w:basedOn w:val="1"/>
    <w:qFormat/>
    <w:uiPriority w:val="0"/>
    <w:pPr>
      <w:spacing w:line="360" w:lineRule="auto"/>
    </w:pPr>
    <w:rPr>
      <w:rFonts w:ascii="??" w:hAnsi="??" w:eastAsia="宋体"/>
      <w:color w:val="000000"/>
      <w:kern w:val="0"/>
      <w:sz w:val="28"/>
      <w:szCs w:val="21"/>
      <w:lang w:val="zh-CN"/>
    </w:rPr>
  </w:style>
  <w:style w:type="paragraph" w:customStyle="1" w:styleId="34">
    <w:name w:val="Body Text First Indent 21"/>
    <w:basedOn w:val="35"/>
    <w:qFormat/>
    <w:uiPriority w:val="0"/>
    <w:pPr>
      <w:ind w:firstLine="420" w:firstLineChars="200"/>
    </w:pPr>
    <w:rPr>
      <w:rFonts w:ascii="Calibri" w:hAnsi="Calibri" w:eastAsia="宋体" w:cs="Times New Roman"/>
    </w:rPr>
  </w:style>
  <w:style w:type="paragraph" w:customStyle="1" w:styleId="35">
    <w:name w:val="Body Text Indent1"/>
    <w:basedOn w:val="1"/>
    <w:qFormat/>
    <w:uiPriority w:val="0"/>
    <w:pPr>
      <w:ind w:left="420" w:leftChars="200"/>
    </w:pPr>
    <w:rPr>
      <w:rFonts w:ascii="Calibri" w:hAnsi="Calibri" w:eastAsia="宋体"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23&#24180;&#20915;&#31639;&#20844;&#24320;\1.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3&#24180;&#20915;&#31639;&#20844;&#24320;\1.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023&#24180;&#20915;&#31639;&#20844;&#24320;\1.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3&#24180;&#20915;&#31639;&#20844;&#24320;\1.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23&#24180;&#20915;&#31639;&#20844;&#24320;\1.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22&#24180;&#20915;&#31639;&#20844;&#24320;\&#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收支决算情况变动表</a:t>
            </a:r>
          </a:p>
        </c:rich>
      </c:tx>
      <c:layout/>
      <c:overlay val="0"/>
      <c:spPr>
        <a:noFill/>
        <a:ln>
          <a:noFill/>
        </a:ln>
        <a:effectLst/>
      </c:spPr>
    </c:title>
    <c:autoTitleDeleted val="0"/>
    <c:plotArea>
      <c:layout/>
      <c:barChart>
        <c:barDir val="col"/>
        <c:grouping val="clustered"/>
        <c:varyColors val="0"/>
        <c:ser>
          <c:idx val="0"/>
          <c:order val="0"/>
          <c:tx>
            <c:strRef>
              <c:f>[1.xls]Sheet1!$A$4</c:f>
              <c:strCache>
                <c:ptCount val="1"/>
                <c:pt idx="0">
                  <c:v>收入</c:v>
                </c:pt>
              </c:strCache>
            </c:strRef>
          </c:tx>
          <c:spPr>
            <a:solidFill>
              <a:schemeClr val="accent1"/>
            </a:solidFill>
            <a:ln>
              <a:noFill/>
            </a:ln>
            <a:effectLst/>
          </c:spPr>
          <c:invertIfNegative val="0"/>
          <c:dLbls>
            <c:delete val="1"/>
          </c:dLbls>
          <c:cat>
            <c:multiLvlStrRef>
              <c:f>[1.xls]Sheet1!$B$2:$C$3</c:f>
              <c:multiLvlStrCache>
                <c:ptCount val="2"/>
                <c:lvl>
                  <c:pt idx="0">
                    <c:v>2022年</c:v>
                  </c:pt>
                  <c:pt idx="1">
                    <c:v>2023年</c:v>
                  </c:pt>
                </c:lvl>
                <c:lvl/>
              </c:multiLvlStrCache>
            </c:multiLvlStrRef>
          </c:cat>
          <c:val>
            <c:numRef>
              <c:f>[1.xls]Sheet1!$B$4:$C$4</c:f>
              <c:numCache>
                <c:formatCode>General</c:formatCode>
                <c:ptCount val="2"/>
                <c:pt idx="0">
                  <c:v>2867.91</c:v>
                </c:pt>
                <c:pt idx="1">
                  <c:v>6705.41</c:v>
                </c:pt>
              </c:numCache>
            </c:numRef>
          </c:val>
        </c:ser>
        <c:ser>
          <c:idx val="1"/>
          <c:order val="1"/>
          <c:tx>
            <c:strRef>
              <c:f>[1.xls]Sheet1!$A$5</c:f>
              <c:strCache>
                <c:ptCount val="1"/>
                <c:pt idx="0">
                  <c:v>支出</c:v>
                </c:pt>
              </c:strCache>
            </c:strRef>
          </c:tx>
          <c:spPr>
            <a:solidFill>
              <a:schemeClr val="accent2"/>
            </a:solidFill>
            <a:ln>
              <a:noFill/>
            </a:ln>
            <a:effectLst/>
          </c:spPr>
          <c:invertIfNegative val="0"/>
          <c:dLbls>
            <c:delete val="1"/>
          </c:dLbls>
          <c:cat>
            <c:multiLvlStrRef>
              <c:f>[1.xls]Sheet1!$B$2:$C$3</c:f>
              <c:multiLvlStrCache>
                <c:ptCount val="2"/>
                <c:lvl>
                  <c:pt idx="0">
                    <c:v>2022年</c:v>
                  </c:pt>
                  <c:pt idx="1">
                    <c:v>2023年</c:v>
                  </c:pt>
                </c:lvl>
                <c:lvl/>
              </c:multiLvlStrCache>
            </c:multiLvlStrRef>
          </c:cat>
          <c:val>
            <c:numRef>
              <c:f>[1.xls]Sheet1!$B$5:$C$5</c:f>
              <c:numCache>
                <c:formatCode>General</c:formatCode>
                <c:ptCount val="2"/>
                <c:pt idx="0">
                  <c:v>3015.28</c:v>
                </c:pt>
                <c:pt idx="1">
                  <c:v>6146.04</c:v>
                </c:pt>
              </c:numCache>
            </c:numRef>
          </c:val>
        </c:ser>
        <c:dLbls>
          <c:showLegendKey val="0"/>
          <c:showVal val="0"/>
          <c:showCatName val="0"/>
          <c:showSerName val="0"/>
          <c:showPercent val="0"/>
          <c:showBubbleSize val="0"/>
        </c:dLbls>
        <c:gapWidth val="246"/>
        <c:overlap val="-28"/>
        <c:axId val="525783360"/>
        <c:axId val="279398905"/>
      </c:barChart>
      <c:catAx>
        <c:axId val="5257833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9398905"/>
        <c:crosses val="autoZero"/>
        <c:auto val="1"/>
        <c:lblAlgn val="ctr"/>
        <c:lblOffset val="100"/>
        <c:noMultiLvlLbl val="0"/>
      </c:catAx>
      <c:valAx>
        <c:axId val="27939890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57833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72f2ae3-56b9-4c57-8ce1-277e2cbe7d2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tLang="en-US"/>
              <a:t>收入决算结构图</a:t>
            </a:r>
            <a:endParaRPr lang="en-US" altLang="zh-CN"/>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[1.xls]Sheet1!$B$32:$B$33</c:f>
              <c:strCache>
                <c:ptCount val="2"/>
                <c:pt idx="0">
                  <c:v>一般公共预算财政拨款收入</c:v>
                </c:pt>
                <c:pt idx="1">
                  <c:v>事业收入</c:v>
                </c:pt>
              </c:strCache>
            </c:strRef>
          </c:cat>
          <c:val>
            <c:numRef>
              <c:f>[1.xls]Sheet1!$C$32:$C$33</c:f>
              <c:numCache>
                <c:formatCode>0.00%</c:formatCode>
                <c:ptCount val="2"/>
                <c:pt idx="0">
                  <c:v>0.5793</c:v>
                </c:pt>
                <c:pt idx="1">
                  <c:v>0.4207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b8699f2-97bc-40ba-9529-c3d5c2cc183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[1.xls]Sheet1!$B$47:$B$48</c:f>
              <c:strCache>
                <c:ptCount val="2"/>
                <c:pt idx="0">
                  <c:v>基本支出</c:v>
                </c:pt>
                <c:pt idx="1">
                  <c:v>项目支出</c:v>
                </c:pt>
              </c:strCache>
            </c:strRef>
          </c:cat>
          <c:val>
            <c:numRef>
              <c:f>[1.xls]Sheet1!$C$47:$C$48</c:f>
              <c:numCache>
                <c:formatCode>0.00%</c:formatCode>
                <c:ptCount val="2"/>
                <c:pt idx="0">
                  <c:v>0.7871</c:v>
                </c:pt>
                <c:pt idx="1">
                  <c:v>0.2129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e313a42-0536-4d12-b10f-fd6ea2ee937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财政拨款收、支决算变动情况表</a:t>
            </a:r>
          </a:p>
        </c:rich>
      </c:tx>
      <c:layout/>
      <c:overlay val="0"/>
      <c:spPr>
        <a:noFill/>
        <a:ln>
          <a:noFill/>
        </a:ln>
        <a:effectLst/>
      </c:spPr>
    </c:title>
    <c:autoTitleDeleted val="0"/>
    <c:plotArea>
      <c:layout/>
      <c:barChart>
        <c:barDir val="col"/>
        <c:grouping val="clustered"/>
        <c:varyColors val="0"/>
        <c:ser>
          <c:idx val="0"/>
          <c:order val="0"/>
          <c:tx>
            <c:strRef>
              <c:f>[1.xls]Sheet1!$B$61</c:f>
              <c:strCache>
                <c:ptCount val="1"/>
                <c:pt idx="0">
                  <c:v>财政拨款收入</c:v>
                </c:pt>
              </c:strCache>
            </c:strRef>
          </c:tx>
          <c:spPr>
            <a:solidFill>
              <a:schemeClr val="accent1"/>
            </a:solidFill>
            <a:ln>
              <a:noFill/>
            </a:ln>
            <a:effectLst/>
          </c:spPr>
          <c:invertIfNegative val="0"/>
          <c:dLbls>
            <c:delete val="1"/>
          </c:dLbls>
          <c:cat>
            <c:strRef>
              <c:f>[1.xls]Sheet1!$C$60:$D$60</c:f>
              <c:strCache>
                <c:ptCount val="2"/>
                <c:pt idx="0">
                  <c:v>2022年</c:v>
                </c:pt>
                <c:pt idx="1">
                  <c:v>2023年</c:v>
                </c:pt>
              </c:strCache>
            </c:strRef>
          </c:cat>
          <c:val>
            <c:numRef>
              <c:f>[1.xls]Sheet1!$C$61:$D$61</c:f>
              <c:numCache>
                <c:formatCode>General</c:formatCode>
                <c:ptCount val="2"/>
                <c:pt idx="0">
                  <c:v>2853.23</c:v>
                </c:pt>
                <c:pt idx="1">
                  <c:v>3884.5</c:v>
                </c:pt>
              </c:numCache>
            </c:numRef>
          </c:val>
        </c:ser>
        <c:ser>
          <c:idx val="1"/>
          <c:order val="1"/>
          <c:tx>
            <c:strRef>
              <c:f>[1.xls]Sheet1!$B$62</c:f>
              <c:strCache>
                <c:ptCount val="1"/>
                <c:pt idx="0">
                  <c:v>财政拨款支出</c:v>
                </c:pt>
              </c:strCache>
            </c:strRef>
          </c:tx>
          <c:spPr>
            <a:solidFill>
              <a:schemeClr val="accent2"/>
            </a:solidFill>
            <a:ln>
              <a:noFill/>
            </a:ln>
            <a:effectLst/>
          </c:spPr>
          <c:invertIfNegative val="0"/>
          <c:dLbls>
            <c:delete val="1"/>
          </c:dLbls>
          <c:cat>
            <c:strRef>
              <c:f>[1.xls]Sheet1!$C$60:$D$60</c:f>
              <c:strCache>
                <c:ptCount val="2"/>
                <c:pt idx="0">
                  <c:v>2022年</c:v>
                </c:pt>
                <c:pt idx="1">
                  <c:v>2023年</c:v>
                </c:pt>
              </c:strCache>
            </c:strRef>
          </c:cat>
          <c:val>
            <c:numRef>
              <c:f>[1.xls]Sheet1!$C$62:$D$62</c:f>
              <c:numCache>
                <c:formatCode>General</c:formatCode>
                <c:ptCount val="2"/>
                <c:pt idx="0">
                  <c:v>3000.59</c:v>
                </c:pt>
                <c:pt idx="1">
                  <c:v>3884.5</c:v>
                </c:pt>
              </c:numCache>
            </c:numRef>
          </c:val>
        </c:ser>
        <c:dLbls>
          <c:showLegendKey val="0"/>
          <c:showVal val="0"/>
          <c:showCatName val="0"/>
          <c:showSerName val="0"/>
          <c:showPercent val="0"/>
          <c:showBubbleSize val="0"/>
        </c:dLbls>
        <c:gapWidth val="246"/>
        <c:overlap val="-28"/>
        <c:axId val="467191542"/>
        <c:axId val="522706984"/>
      </c:barChart>
      <c:catAx>
        <c:axId val="46719154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2706984"/>
        <c:crosses val="autoZero"/>
        <c:auto val="1"/>
        <c:lblAlgn val="ctr"/>
        <c:lblOffset val="100"/>
        <c:noMultiLvlLbl val="0"/>
      </c:catAx>
      <c:valAx>
        <c:axId val="52270698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719154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36aec20-d295-4d1d-a24e-2fd93c7fd4a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财政拨款支出决算变动情况图</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[1.xls]Sheet1!$C$78:$D$78</c:f>
              <c:strCache>
                <c:ptCount val="2"/>
                <c:pt idx="0">
                  <c:v>2022年</c:v>
                </c:pt>
                <c:pt idx="1">
                  <c:v>2023年</c:v>
                </c:pt>
              </c:strCache>
            </c:strRef>
          </c:cat>
          <c:val>
            <c:numRef>
              <c:f>[1.xls]Sheet1!$C$79:$D$79</c:f>
              <c:numCache>
                <c:formatCode>General</c:formatCode>
                <c:ptCount val="2"/>
                <c:pt idx="0">
                  <c:v>3000.59</c:v>
                </c:pt>
                <c:pt idx="1">
                  <c:v>3884.5</c:v>
                </c:pt>
              </c:numCache>
            </c:numRef>
          </c:val>
        </c:ser>
        <c:dLbls>
          <c:showLegendKey val="0"/>
          <c:showVal val="0"/>
          <c:showCatName val="0"/>
          <c:showSerName val="0"/>
          <c:showPercent val="0"/>
          <c:showBubbleSize val="0"/>
        </c:dLbls>
        <c:gapWidth val="246"/>
        <c:overlap val="-28"/>
        <c:axId val="795978720"/>
        <c:axId val="89518301"/>
      </c:barChart>
      <c:catAx>
        <c:axId val="7959787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518301"/>
        <c:crosses val="autoZero"/>
        <c:auto val="1"/>
        <c:lblAlgn val="ctr"/>
        <c:lblOffset val="100"/>
        <c:noMultiLvlLbl val="0"/>
      </c:catAx>
      <c:valAx>
        <c:axId val="8951830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597872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09c9639-f8b3-461d-964c-ea34b415a43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'[新建 XLSX 工作表.xlsx]Sheet1'!$B$117</c:f>
              <c:strCache>
                <c:ptCount val="1"/>
                <c:pt idx="0">
                  <c:v>一般公共预算财政拨款支出决算结构图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elete val="1"/>
          </c:dLbls>
          <c:cat>
            <c:strRef>
              <c:f>'[新建 XLSX 工作表.xlsx]Sheet1'!$A$118:$A$120</c:f>
              <c:strCache>
                <c:ptCount val="3"/>
                <c:pt idx="0">
                  <c:v>社会保障和就业</c:v>
                </c:pt>
                <c:pt idx="1">
                  <c:v>卫生健康支出</c:v>
                </c:pt>
                <c:pt idx="2">
                  <c:v>住房保障</c:v>
                </c:pt>
              </c:strCache>
            </c:strRef>
          </c:cat>
          <c:val>
            <c:numRef>
              <c:f>'[新建 XLSX 工作表.xlsx]Sheet1'!$B$118:$B$120</c:f>
              <c:numCache>
                <c:formatCode>General</c:formatCode>
                <c:ptCount val="3"/>
                <c:pt idx="0">
                  <c:v>329.61</c:v>
                </c:pt>
                <c:pt idx="1">
                  <c:v>2490.19</c:v>
                </c:pt>
                <c:pt idx="2">
                  <c:v>180.79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30cd00d-f940-4db8-bd3d-59553210c69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7999</Words>
  <Characters>9381</Characters>
  <Lines>44</Lines>
  <Paragraphs>12</Paragraphs>
  <TotalTime>3</TotalTime>
  <ScaleCrop>false</ScaleCrop>
  <LinksUpToDate>false</LinksUpToDate>
  <CharactersWithSpaces>9465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安</cp:lastModifiedBy>
  <cp:lastPrinted>2022-08-06T02:23:00Z</cp:lastPrinted>
  <dcterms:modified xsi:type="dcterms:W3CDTF">2024-11-14T08:52:35Z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C264AF6540DE48B5898D096C28EBF464_13</vt:lpwstr>
  </property>
</Properties>
</file>