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A3718">
      <w:pPr>
        <w:pageBreakBefore w:val="0"/>
        <w:kinsoku/>
        <w:wordWrap/>
        <w:overflowPunct/>
        <w:topLinePunct w:val="0"/>
        <w:bidi w:val="0"/>
        <w:spacing w:line="576" w:lineRule="exact"/>
        <w:jc w:val="center"/>
        <w:textAlignment w:val="auto"/>
        <w:outlineLvl w:val="0"/>
        <w:rPr>
          <w:rFonts w:ascii="方正小标宋简体" w:hAnsi="宋体" w:eastAsia="方正小标宋简体"/>
          <w:sz w:val="72"/>
          <w:szCs w:val="72"/>
        </w:rPr>
      </w:pPr>
      <w:bookmarkStart w:id="0" w:name="_Toc15396475"/>
      <w:bookmarkStart w:id="1" w:name="_Toc15377193"/>
      <w:bookmarkStart w:id="2" w:name="_Toc15396597"/>
      <w:bookmarkStart w:id="3" w:name="_Toc15378441"/>
      <w:bookmarkStart w:id="4" w:name="_Toc15377425"/>
      <w:bookmarkStart w:id="5" w:name="_Toc15306267"/>
    </w:p>
    <w:p w14:paraId="4CDF6F2E">
      <w:pPr>
        <w:pStyle w:val="7"/>
        <w:pageBreakBefore w:val="0"/>
        <w:kinsoku/>
        <w:wordWrap/>
        <w:overflowPunct/>
        <w:topLinePunct w:val="0"/>
        <w:bidi w:val="0"/>
        <w:spacing w:before="93" w:line="576" w:lineRule="exact"/>
        <w:textAlignment w:val="auto"/>
      </w:pPr>
    </w:p>
    <w:bookmarkEnd w:id="0"/>
    <w:bookmarkEnd w:id="1"/>
    <w:bookmarkEnd w:id="2"/>
    <w:bookmarkEnd w:id="3"/>
    <w:bookmarkEnd w:id="4"/>
    <w:bookmarkEnd w:id="5"/>
    <w:p w14:paraId="7D677AF4">
      <w:pPr>
        <w:pStyle w:val="16"/>
        <w:keepNext w:val="0"/>
        <w:keepLines w:val="0"/>
        <w:pageBreakBefore w:val="0"/>
        <w:widowControl/>
        <w:suppressLineNumbers w:val="0"/>
        <w:shd w:val="clear" w:color="auto" w:fill="auto"/>
        <w:kinsoku/>
        <w:wordWrap/>
        <w:topLinePunct w:val="0"/>
        <w:bidi w:val="0"/>
        <w:spacing w:line="576" w:lineRule="exact"/>
        <w:ind w:left="0" w:right="75"/>
        <w:jc w:val="center"/>
        <w:rPr>
          <w:rStyle w:val="19"/>
          <w:rFonts w:hint="eastAsia" w:ascii="方正小标宋简体" w:hAnsi="方正小标宋简体" w:eastAsia="方正小标宋简体" w:cs="方正小标宋简体"/>
          <w:sz w:val="60"/>
          <w:szCs w:val="60"/>
          <w:shd w:val="clear" w:color="auto" w:fill="FFFFFF"/>
        </w:rPr>
      </w:pPr>
      <w:r>
        <w:rPr>
          <w:rStyle w:val="19"/>
          <w:rFonts w:hint="eastAsia" w:ascii="方正小标宋简体" w:hAnsi="方正小标宋简体" w:eastAsia="方正小标宋简体" w:cs="方正小标宋简体"/>
          <w:sz w:val="60"/>
          <w:szCs w:val="60"/>
          <w:shd w:val="clear" w:color="auto" w:fill="FFFFFF"/>
        </w:rPr>
        <w:t>2023年度</w:t>
      </w:r>
    </w:p>
    <w:p w14:paraId="72657682">
      <w:pPr>
        <w:pStyle w:val="16"/>
        <w:keepNext w:val="0"/>
        <w:keepLines w:val="0"/>
        <w:pageBreakBefore w:val="0"/>
        <w:widowControl/>
        <w:suppressLineNumbers w:val="0"/>
        <w:shd w:val="clear" w:color="auto" w:fill="auto"/>
        <w:kinsoku/>
        <w:wordWrap/>
        <w:topLinePunct w:val="0"/>
        <w:bidi w:val="0"/>
        <w:spacing w:line="576" w:lineRule="exact"/>
        <w:ind w:left="0" w:right="75"/>
        <w:jc w:val="center"/>
        <w:rPr>
          <w:rStyle w:val="19"/>
          <w:rFonts w:hint="eastAsia" w:ascii="方正小标宋简体" w:hAnsi="方正小标宋简体" w:eastAsia="方正小标宋简体" w:cs="方正小标宋简体"/>
          <w:sz w:val="60"/>
          <w:szCs w:val="60"/>
          <w:shd w:val="clear" w:color="auto" w:fill="FFFFFF"/>
          <w:lang w:eastAsia="zh-CN"/>
        </w:rPr>
      </w:pPr>
      <w:r>
        <w:rPr>
          <w:rStyle w:val="19"/>
          <w:rFonts w:hint="eastAsia" w:ascii="方正小标宋简体" w:hAnsi="方正小标宋简体" w:eastAsia="方正小标宋简体" w:cs="方正小标宋简体"/>
          <w:sz w:val="60"/>
          <w:szCs w:val="60"/>
          <w:shd w:val="clear" w:color="auto" w:fill="FFFFFF"/>
          <w:lang w:eastAsia="zh-CN"/>
        </w:rPr>
        <w:t>红原县邛溪镇人民政府</w:t>
      </w:r>
    </w:p>
    <w:p w14:paraId="7DAA1012">
      <w:pPr>
        <w:pStyle w:val="16"/>
        <w:keepNext w:val="0"/>
        <w:keepLines w:val="0"/>
        <w:pageBreakBefore w:val="0"/>
        <w:widowControl/>
        <w:suppressLineNumbers w:val="0"/>
        <w:shd w:val="clear" w:color="auto" w:fill="auto"/>
        <w:kinsoku/>
        <w:wordWrap/>
        <w:topLinePunct w:val="0"/>
        <w:bidi w:val="0"/>
        <w:spacing w:line="576" w:lineRule="exact"/>
        <w:ind w:left="0" w:right="75"/>
        <w:jc w:val="center"/>
        <w:rPr>
          <w:rStyle w:val="19"/>
          <w:rFonts w:hint="default" w:ascii="方正小标宋简体" w:hAnsi="方正小标宋简体" w:eastAsia="方正小标宋简体" w:cs="方正小标宋简体"/>
          <w:sz w:val="60"/>
          <w:szCs w:val="60"/>
          <w:shd w:val="clear" w:color="auto" w:fill="FFFFFF"/>
          <w:lang w:val="en-US" w:eastAsia="zh-CN"/>
        </w:rPr>
      </w:pPr>
      <w:r>
        <w:rPr>
          <w:rStyle w:val="19"/>
          <w:rFonts w:hint="eastAsia" w:ascii="方正小标宋简体" w:hAnsi="方正小标宋简体" w:eastAsia="方正小标宋简体" w:cs="方正小标宋简体"/>
          <w:sz w:val="60"/>
          <w:szCs w:val="60"/>
          <w:shd w:val="clear" w:color="auto" w:fill="FFFFFF"/>
          <w:lang w:eastAsia="zh-CN"/>
        </w:rPr>
        <w:t>决算公开</w:t>
      </w:r>
      <w:bookmarkStart w:id="47" w:name="_GoBack"/>
      <w:bookmarkEnd w:id="47"/>
      <w:r>
        <w:rPr>
          <w:rStyle w:val="19"/>
          <w:rFonts w:hint="eastAsia" w:ascii="方正小标宋简体" w:hAnsi="方正小标宋简体" w:eastAsia="方正小标宋简体" w:cs="方正小标宋简体"/>
          <w:sz w:val="60"/>
          <w:szCs w:val="60"/>
          <w:shd w:val="clear" w:color="auto" w:fill="FFFFFF"/>
          <w:lang w:val="en-US" w:eastAsia="zh-CN"/>
        </w:rPr>
        <w:t>报告</w:t>
      </w:r>
    </w:p>
    <w:p w14:paraId="763A4162">
      <w:pPr>
        <w:pStyle w:val="16"/>
        <w:keepNext w:val="0"/>
        <w:keepLines w:val="0"/>
        <w:pageBreakBefore w:val="0"/>
        <w:widowControl/>
        <w:suppressLineNumbers w:val="0"/>
        <w:kinsoku/>
        <w:wordWrap/>
        <w:topLinePunct w:val="0"/>
        <w:bidi w:val="0"/>
        <w:spacing w:line="576" w:lineRule="exact"/>
        <w:ind w:left="0" w:right="75"/>
        <w:jc w:val="left"/>
        <w:rPr>
          <w:rStyle w:val="19"/>
          <w:rFonts w:hint="eastAsia" w:ascii="方正小标宋简体" w:hAnsi="方正小标宋简体" w:eastAsia="方正小标宋简体" w:cs="方正小标宋简体"/>
          <w:sz w:val="44"/>
          <w:szCs w:val="44"/>
          <w:shd w:val="clear" w:color="auto" w:fill="FFFFFF"/>
          <w:lang w:eastAsia="zh-CN"/>
        </w:rPr>
      </w:pPr>
    </w:p>
    <w:p w14:paraId="7CC677B7">
      <w:pPr>
        <w:pStyle w:val="16"/>
        <w:keepNext w:val="0"/>
        <w:keepLines w:val="0"/>
        <w:pageBreakBefore w:val="0"/>
        <w:widowControl/>
        <w:suppressLineNumbers w:val="0"/>
        <w:kinsoku/>
        <w:wordWrap/>
        <w:topLinePunct w:val="0"/>
        <w:bidi w:val="0"/>
        <w:spacing w:line="576" w:lineRule="exact"/>
        <w:ind w:left="0" w:right="75"/>
        <w:jc w:val="left"/>
        <w:rPr>
          <w:rStyle w:val="19"/>
          <w:rFonts w:hint="eastAsia" w:ascii="方正小标宋简体" w:hAnsi="方正小标宋简体" w:eastAsia="方正小标宋简体" w:cs="方正小标宋简体"/>
          <w:sz w:val="44"/>
          <w:szCs w:val="44"/>
          <w:shd w:val="clear" w:color="auto" w:fill="FFFFFF"/>
          <w:lang w:eastAsia="zh-CN"/>
        </w:rPr>
      </w:pPr>
    </w:p>
    <w:p w14:paraId="31B924CB">
      <w:pPr>
        <w:pStyle w:val="16"/>
        <w:keepNext w:val="0"/>
        <w:keepLines w:val="0"/>
        <w:pageBreakBefore w:val="0"/>
        <w:widowControl/>
        <w:suppressLineNumbers w:val="0"/>
        <w:kinsoku/>
        <w:wordWrap/>
        <w:topLinePunct w:val="0"/>
        <w:bidi w:val="0"/>
        <w:spacing w:line="576" w:lineRule="exact"/>
        <w:ind w:left="0" w:right="75"/>
        <w:jc w:val="left"/>
        <w:rPr>
          <w:rStyle w:val="19"/>
          <w:rFonts w:hint="eastAsia" w:ascii="方正小标宋简体" w:hAnsi="方正小标宋简体" w:eastAsia="方正小标宋简体" w:cs="方正小标宋简体"/>
          <w:sz w:val="44"/>
          <w:szCs w:val="44"/>
          <w:shd w:val="clear" w:color="auto" w:fill="FFFFFF"/>
          <w:lang w:eastAsia="zh-CN"/>
        </w:rPr>
      </w:pPr>
    </w:p>
    <w:p w14:paraId="7E63DC1F">
      <w:pPr>
        <w:pStyle w:val="16"/>
        <w:keepNext w:val="0"/>
        <w:keepLines w:val="0"/>
        <w:pageBreakBefore w:val="0"/>
        <w:widowControl/>
        <w:suppressLineNumbers w:val="0"/>
        <w:kinsoku/>
        <w:wordWrap/>
        <w:topLinePunct w:val="0"/>
        <w:bidi w:val="0"/>
        <w:spacing w:line="576" w:lineRule="exact"/>
        <w:ind w:left="0" w:right="75"/>
        <w:jc w:val="left"/>
        <w:rPr>
          <w:rStyle w:val="19"/>
          <w:rFonts w:hint="eastAsia" w:ascii="方正小标宋简体" w:hAnsi="方正小标宋简体" w:eastAsia="方正小标宋简体" w:cs="方正小标宋简体"/>
          <w:sz w:val="44"/>
          <w:szCs w:val="44"/>
          <w:shd w:val="clear" w:color="auto" w:fill="FFFFFF"/>
          <w:lang w:eastAsia="zh-CN"/>
        </w:rPr>
      </w:pPr>
    </w:p>
    <w:p w14:paraId="120BB8F0">
      <w:pPr>
        <w:pStyle w:val="16"/>
        <w:keepNext w:val="0"/>
        <w:keepLines w:val="0"/>
        <w:pageBreakBefore w:val="0"/>
        <w:widowControl/>
        <w:suppressLineNumbers w:val="0"/>
        <w:kinsoku/>
        <w:wordWrap/>
        <w:topLinePunct w:val="0"/>
        <w:bidi w:val="0"/>
        <w:spacing w:line="576" w:lineRule="exact"/>
        <w:ind w:left="0" w:right="75"/>
        <w:jc w:val="left"/>
        <w:rPr>
          <w:sz w:val="24"/>
          <w:szCs w:val="24"/>
          <w:shd w:val="clear" w:color="auto" w:fill="FFFFFF"/>
        </w:rPr>
      </w:pPr>
    </w:p>
    <w:p w14:paraId="0F9BA769">
      <w:pPr>
        <w:pStyle w:val="16"/>
        <w:keepNext w:val="0"/>
        <w:keepLines w:val="0"/>
        <w:pageBreakBefore w:val="0"/>
        <w:widowControl/>
        <w:suppressLineNumbers w:val="0"/>
        <w:kinsoku/>
        <w:wordWrap/>
        <w:topLinePunct w:val="0"/>
        <w:bidi w:val="0"/>
        <w:spacing w:line="576" w:lineRule="exact"/>
        <w:ind w:left="0" w:right="75"/>
        <w:jc w:val="left"/>
        <w:rPr>
          <w:sz w:val="24"/>
          <w:szCs w:val="24"/>
          <w:shd w:val="clear" w:color="auto" w:fill="FFFFFF"/>
        </w:rPr>
      </w:pPr>
    </w:p>
    <w:p w14:paraId="13543C51">
      <w:pPr>
        <w:pStyle w:val="16"/>
        <w:keepNext w:val="0"/>
        <w:keepLines w:val="0"/>
        <w:pageBreakBefore w:val="0"/>
        <w:widowControl/>
        <w:suppressLineNumbers w:val="0"/>
        <w:kinsoku/>
        <w:wordWrap/>
        <w:topLinePunct w:val="0"/>
        <w:bidi w:val="0"/>
        <w:spacing w:line="576" w:lineRule="exact"/>
        <w:ind w:left="0" w:right="75"/>
        <w:jc w:val="left"/>
        <w:rPr>
          <w:sz w:val="24"/>
          <w:szCs w:val="24"/>
          <w:shd w:val="clear" w:color="auto" w:fill="FFFFFF"/>
        </w:rPr>
      </w:pPr>
    </w:p>
    <w:p w14:paraId="1501EBF0">
      <w:pPr>
        <w:pStyle w:val="16"/>
        <w:keepNext w:val="0"/>
        <w:keepLines w:val="0"/>
        <w:pageBreakBefore w:val="0"/>
        <w:widowControl/>
        <w:suppressLineNumbers w:val="0"/>
        <w:kinsoku/>
        <w:wordWrap/>
        <w:topLinePunct w:val="0"/>
        <w:bidi w:val="0"/>
        <w:spacing w:line="576" w:lineRule="exact"/>
        <w:ind w:left="0" w:right="75"/>
        <w:jc w:val="left"/>
      </w:pPr>
      <w:r>
        <w:rPr>
          <w:sz w:val="24"/>
          <w:szCs w:val="24"/>
          <w:shd w:val="clear" w:color="auto" w:fill="FFFFFF"/>
        </w:rPr>
        <w:t>保密审查情况：已审查，内容审定</w:t>
      </w:r>
    </w:p>
    <w:p w14:paraId="765352C0">
      <w:pPr>
        <w:pStyle w:val="16"/>
        <w:keepNext w:val="0"/>
        <w:keepLines w:val="0"/>
        <w:pageBreakBefore w:val="0"/>
        <w:widowControl/>
        <w:suppressLineNumbers w:val="0"/>
        <w:kinsoku/>
        <w:wordWrap/>
        <w:topLinePunct w:val="0"/>
        <w:bidi w:val="0"/>
        <w:spacing w:line="576" w:lineRule="exact"/>
        <w:ind w:left="0" w:right="75"/>
        <w:jc w:val="left"/>
        <w:rPr>
          <w:rStyle w:val="19"/>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14:paraId="71EDB543">
      <w:pPr>
        <w:pageBreakBefore w:val="0"/>
        <w:widowControl/>
        <w:kinsoku/>
        <w:wordWrap/>
        <w:overflowPunct/>
        <w:topLinePunct w:val="0"/>
        <w:bidi w:val="0"/>
        <w:spacing w:line="576" w:lineRule="exact"/>
        <w:jc w:val="center"/>
        <w:textAlignment w:val="auto"/>
        <w:rPr>
          <w:rFonts w:ascii="黑体" w:hAnsi="黑体" w:eastAsia="黑体"/>
          <w:sz w:val="48"/>
          <w:szCs w:val="48"/>
        </w:rPr>
      </w:pPr>
      <w:r>
        <w:rPr>
          <w:rFonts w:hint="eastAsia" w:ascii="黑体" w:hAnsi="黑体" w:eastAsia="黑体"/>
          <w:sz w:val="48"/>
          <w:szCs w:val="48"/>
        </w:rPr>
        <w:t>目录</w:t>
      </w:r>
    </w:p>
    <w:p w14:paraId="2DE82DD6">
      <w:pPr>
        <w:pageBreakBefore w:val="0"/>
        <w:widowControl/>
        <w:kinsoku/>
        <w:wordWrap/>
        <w:overflowPunct/>
        <w:topLinePunct w:val="0"/>
        <w:bidi w:val="0"/>
        <w:spacing w:line="576" w:lineRule="exact"/>
        <w:jc w:val="center"/>
        <w:textAlignment w:val="auto"/>
        <w:rPr>
          <w:rFonts w:ascii="黑体" w:hAnsi="黑体" w:eastAsia="黑体" w:cstheme="minorBidi"/>
          <w:sz w:val="28"/>
          <w:szCs w:val="28"/>
        </w:rPr>
      </w:pPr>
    </w:p>
    <w:p w14:paraId="1D6D70B9">
      <w:pPr>
        <w:pageBreakBefore w:val="0"/>
        <w:widowControl/>
        <w:kinsoku/>
        <w:wordWrap/>
        <w:overflowPunct/>
        <w:topLinePunct w:val="0"/>
        <w:bidi w:val="0"/>
        <w:spacing w:line="576" w:lineRule="exact"/>
        <w:jc w:val="center"/>
        <w:textAlignment w:val="auto"/>
        <w:rPr>
          <w:rFonts w:ascii="黑体" w:hAnsi="黑体" w:eastAsia="黑体" w:cstheme="minorBidi"/>
          <w:sz w:val="28"/>
          <w:szCs w:val="28"/>
        </w:rPr>
      </w:pPr>
      <w:bookmarkStart w:id="6" w:name="_Toc15396599"/>
      <w:bookmarkStart w:id="7" w:name="_Toc15377196"/>
    </w:p>
    <w:p w14:paraId="2098FFA9">
      <w:pPr>
        <w:pStyle w:val="14"/>
        <w:pageBreakBefore w:val="0"/>
        <w:kinsoku/>
        <w:wordWrap/>
        <w:overflowPunct/>
        <w:topLinePunct w:val="0"/>
        <w:bidi w:val="0"/>
        <w:spacing w:line="576" w:lineRule="exact"/>
        <w:textAlignment w:val="auto"/>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19</w:t>
      </w:r>
      <w:r>
        <w:rPr>
          <w:rFonts w:hint="eastAsia"/>
        </w:rPr>
        <w:t>日</w:t>
      </w:r>
    </w:p>
    <w:p w14:paraId="53B75319">
      <w:pPr>
        <w:pageBreakBefore w:val="0"/>
        <w:kinsoku/>
        <w:wordWrap/>
        <w:overflowPunct/>
        <w:topLinePunct w:val="0"/>
        <w:bidi w:val="0"/>
        <w:spacing w:line="576" w:lineRule="exact"/>
        <w:textAlignment w:val="auto"/>
      </w:pPr>
    </w:p>
    <w:p w14:paraId="0C0E8F16">
      <w:pPr>
        <w:pStyle w:val="14"/>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color w:val="auto"/>
        </w:rPr>
        <w:fldChar w:fldCharType="begin"/>
      </w:r>
      <w:r>
        <w:rPr>
          <w:color w:val="auto"/>
        </w:rPr>
        <w:instrText xml:space="preserve">TOC \o "1-2" \h \u </w:instrText>
      </w:r>
      <w:r>
        <w:rPr>
          <w:color w:val="auto"/>
        </w:rPr>
        <w:fldChar w:fldCharType="separate"/>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_Toc10305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xml:space="preserve">第一部分 </w:t>
      </w:r>
      <w:r>
        <w:rPr>
          <w:rFonts w:hint="eastAsia" w:ascii="仿宋_GB2312" w:hAnsi="仿宋_GB2312" w:eastAsia="仿宋_GB2312" w:cs="仿宋_GB2312"/>
          <w:bCs w:val="0"/>
          <w:sz w:val="30"/>
          <w:szCs w:val="30"/>
        </w:rPr>
        <w:t>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_Toc10305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E20FD09">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_Toc5949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一、 部门职责</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_Toc5949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61AC658B">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_Toc6464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_Toc6464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3BFDD67">
      <w:pPr>
        <w:pStyle w:val="14"/>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_Toc4287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第二部分 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年度</w:t>
      </w:r>
      <w:r>
        <w:rPr>
          <w:rFonts w:hint="eastAsia" w:ascii="仿宋_GB2312" w:hAnsi="仿宋_GB2312" w:eastAsia="仿宋_GB2312" w:cs="仿宋_GB2312"/>
          <w:bCs/>
          <w:sz w:val="30"/>
          <w:szCs w:val="30"/>
        </w:rPr>
        <w:t>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0</w:t>
      </w:r>
    </w:p>
    <w:p w14:paraId="4F8906B5">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_Toc12888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0</w:t>
      </w:r>
    </w:p>
    <w:p w14:paraId="2B1C30DF">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_Toc29497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 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_Toc29497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3E8C2159">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_Toc17859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 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_Toc17859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2A76D61A">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_Toc18206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_Toc18206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22602A8F">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_Toc29964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_Toc29964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0859ECEB">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六、一般公共预算财政拨款基本支出决算情况说明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_Toc29471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27ED973E">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_Toc16831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七、财政拨款“三公”经费支出决算情况说明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_Toc16831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5B35B295">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_Toc6663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八、政府性基金预算支出决算情况说明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_Toc6663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197BB810">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_Toc10406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九、 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_Toc10406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0DB5B17C">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_Toc19090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 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_Toc19090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ACDE6EE">
      <w:pPr>
        <w:pStyle w:val="14"/>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_Toc32480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第三部分 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1</w:t>
      </w:r>
    </w:p>
    <w:p w14:paraId="5421D1A5">
      <w:pPr>
        <w:pStyle w:val="14"/>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_Toc2545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4</w:t>
      </w:r>
    </w:p>
    <w:p w14:paraId="7F4A947B">
      <w:pPr>
        <w:pStyle w:val="14"/>
        <w:pageBreakBefore w:val="0"/>
        <w:tabs>
          <w:tab w:val="right" w:leader="dot" w:pos="8306"/>
          <w:tab w:val="clear" w:pos="8296"/>
        </w:tabs>
        <w:kinsoku/>
        <w:wordWrap/>
        <w:overflowPunct/>
        <w:topLinePunct w:val="0"/>
        <w:bidi w:val="0"/>
        <w:spacing w:line="576" w:lineRule="exact"/>
        <w:textAlignment w:val="auto"/>
        <w:rPr>
          <w:rFonts w:hint="eastAsia" w:eastAsia="仿宋_GB2312"/>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8</w:t>
      </w:r>
    </w:p>
    <w:p w14:paraId="5C1380C0">
      <w:pPr>
        <w:pageBreakBefore w:val="0"/>
        <w:kinsoku/>
        <w:wordWrap/>
        <w:overflowPunct/>
        <w:topLinePunct w:val="0"/>
        <w:bidi w:val="0"/>
        <w:spacing w:line="576" w:lineRule="exact"/>
        <w:textAlignment w:val="auto"/>
        <w:rPr>
          <w:color w:val="auto"/>
        </w:rPr>
      </w:pPr>
      <w:r>
        <w:rPr>
          <w:color w:val="auto"/>
        </w:rPr>
        <w:fldChar w:fldCharType="end"/>
      </w:r>
    </w:p>
    <w:p w14:paraId="7727C0FA">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一、收入支出决算总表</w:t>
      </w:r>
    </w:p>
    <w:p w14:paraId="070A3EB7">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二、收入决算表</w:t>
      </w:r>
    </w:p>
    <w:p w14:paraId="1F03D79F">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三、支出决算表</w:t>
      </w:r>
    </w:p>
    <w:p w14:paraId="14FBFF5E">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四、财政拨款收入支出决算总表</w:t>
      </w:r>
    </w:p>
    <w:p w14:paraId="37F956C8">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五、财政拨款支出决算明细表</w:t>
      </w:r>
    </w:p>
    <w:p w14:paraId="5452B71B">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六、一般公共预算财政拨款支出决算表</w:t>
      </w:r>
    </w:p>
    <w:p w14:paraId="1F2D8EF0">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七、一般公共预算财政拨款支出决算明细表</w:t>
      </w:r>
    </w:p>
    <w:p w14:paraId="2E2FBECA">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八、一般公共预算财政拨款基本支出决算明细表</w:t>
      </w:r>
    </w:p>
    <w:p w14:paraId="32263791">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九、一般公共预算财政拨款项目支出决算表</w:t>
      </w:r>
    </w:p>
    <w:p w14:paraId="5E70903E">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十、政府性基金预算财政拨款收入支出决算表</w:t>
      </w:r>
    </w:p>
    <w:p w14:paraId="6971AE75">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十一、国有资本经营预算财政拨款收入支出决算表</w:t>
      </w:r>
    </w:p>
    <w:p w14:paraId="35183571">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十二、国有资本经营预算财政拨款支出决算表</w:t>
      </w:r>
    </w:p>
    <w:p w14:paraId="491EAB6F">
      <w:pPr>
        <w:pStyle w:val="15"/>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十三、财政拨款“三公”经费支出决算表</w:t>
      </w:r>
    </w:p>
    <w:p w14:paraId="0411C6D8">
      <w:pPr>
        <w:pageBreakBefore w:val="0"/>
        <w:widowControl/>
        <w:kinsoku/>
        <w:wordWrap/>
        <w:overflowPunct/>
        <w:topLinePunct w:val="0"/>
        <w:bidi w:val="0"/>
        <w:adjustRightInd w:val="0"/>
        <w:snapToGrid w:val="0"/>
        <w:spacing w:line="576" w:lineRule="exact"/>
        <w:ind w:firstLine="1320" w:firstLineChars="550"/>
        <w:jc w:val="left"/>
        <w:textAlignment w:val="auto"/>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18A63CCD">
      <w:pPr>
        <w:pageBreakBefore w:val="0"/>
        <w:widowControl/>
        <w:kinsoku/>
        <w:wordWrap/>
        <w:overflowPunct/>
        <w:topLinePunct w:val="0"/>
        <w:bidi w:val="0"/>
        <w:spacing w:line="576" w:lineRule="exact"/>
        <w:jc w:val="left"/>
        <w:textAlignment w:val="auto"/>
        <w:rPr>
          <w:rFonts w:ascii="仿宋" w:hAnsi="仿宋" w:eastAsia="仿宋"/>
          <w:bCs/>
          <w:kern w:val="44"/>
          <w:sz w:val="24"/>
        </w:rPr>
      </w:pPr>
      <w:r>
        <w:rPr>
          <w:rFonts w:ascii="仿宋" w:hAnsi="仿宋" w:eastAsia="仿宋"/>
          <w:b/>
          <w:sz w:val="24"/>
        </w:rPr>
        <w:br w:type="page"/>
      </w:r>
    </w:p>
    <w:p w14:paraId="76B70A5C">
      <w:pPr>
        <w:pStyle w:val="2"/>
        <w:pageBreakBefore w:val="0"/>
        <w:kinsoku/>
        <w:wordWrap/>
        <w:overflowPunct/>
        <w:topLinePunct w:val="0"/>
        <w:bidi w:val="0"/>
        <w:spacing w:line="576" w:lineRule="exact"/>
        <w:jc w:val="center"/>
        <w:textAlignment w:val="auto"/>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6"/>
      <w:bookmarkEnd w:id="7"/>
    </w:p>
    <w:p w14:paraId="3AC9D50D">
      <w:pPr>
        <w:pageBreakBefore w:val="0"/>
        <w:widowControl/>
        <w:kinsoku/>
        <w:wordWrap/>
        <w:overflowPunct/>
        <w:topLinePunct w:val="0"/>
        <w:bidi w:val="0"/>
        <w:spacing w:line="576" w:lineRule="exact"/>
        <w:jc w:val="left"/>
        <w:textAlignment w:val="auto"/>
        <w:rPr>
          <w:rFonts w:ascii="黑体" w:eastAsia="黑体"/>
          <w:sz w:val="32"/>
          <w:szCs w:val="32"/>
        </w:rPr>
      </w:pPr>
    </w:p>
    <w:p w14:paraId="5EA1C8D8">
      <w:pPr>
        <w:pStyle w:val="12"/>
        <w:pageBreakBefore w:val="0"/>
        <w:kinsoku/>
        <w:wordWrap/>
        <w:overflowPunct/>
        <w:topLinePunct w:val="0"/>
        <w:bidi w:val="0"/>
        <w:spacing w:line="576" w:lineRule="exact"/>
        <w:ind w:firstLine="640" w:firstLineChars="200"/>
        <w:textAlignment w:val="auto"/>
        <w:rPr>
          <w:rStyle w:val="38"/>
          <w:rFonts w:hint="eastAsia" w:ascii="黑体" w:hAnsi="黑体" w:eastAsia="黑体"/>
          <w:b w:val="0"/>
          <w:bCs w:val="0"/>
        </w:rPr>
      </w:pPr>
      <w:r>
        <w:rPr>
          <w:rStyle w:val="38"/>
          <w:rFonts w:hint="eastAsia" w:ascii="黑体" w:hAnsi="黑体" w:eastAsia="黑体"/>
          <w:b w:val="0"/>
          <w:bCs w:val="0"/>
          <w:lang w:eastAsia="zh-CN"/>
        </w:rPr>
        <w:t>一、</w:t>
      </w:r>
      <w:r>
        <w:rPr>
          <w:rStyle w:val="38"/>
          <w:rFonts w:hint="eastAsia" w:ascii="黑体" w:hAnsi="黑体" w:eastAsia="黑体"/>
          <w:b w:val="0"/>
          <w:bCs w:val="0"/>
        </w:rPr>
        <w:t>部门职责</w:t>
      </w:r>
      <w:bookmarkStart w:id="8" w:name="_Toc57146357"/>
    </w:p>
    <w:bookmarkEnd w:id="8"/>
    <w:p w14:paraId="1BE2E6E9">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(一)乡党委工作职责</w:t>
      </w:r>
    </w:p>
    <w:p w14:paraId="2EB7476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(1)宣传和贯彻执行党的路线、方针、政策和党中央、上级党组织及辖区内党委(或党员大会)的决议;</w:t>
      </w:r>
    </w:p>
    <w:p w14:paraId="3EE079E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(2)领导乡政府机关、群众组织和其他各类组织，加强指导和规范,支持和保证这些机关和组织依照国家法律法规及各自章程履行职责;</w:t>
      </w:r>
    </w:p>
    <w:p w14:paraId="30D0F54E">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讨论和决定辖区内经济建设、政治建设、文化建设、社会建设、生态文明建设、党的建设、乡村振兴中和社会发展中的重大问题。需由乡政权机关或集体经济组织决定的重要事项，经乡党委研究讨论后,由乡政权机关或集体经济组织依照法律和有关规定作出决定;</w:t>
      </w:r>
    </w:p>
    <w:p w14:paraId="173C28A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加强党委自身建设和以党支部为核心的村级组织建设，以及其他隶属乡党委的党组织建设，抓好发展党员工作，加强党员队伍建设。维护和执行党的纪律，监督党员干部和其他任何工作人员严格遵守国家法律法规;</w:t>
      </w:r>
    </w:p>
    <w:p w14:paraId="3CF8BBE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(5)按照干部管理权限，负责对本级乡村干部的教育、管理、选拔和监督工作。协助管理上级有关部门驻乡单位的干部。做好人才服务和引进工作;</w:t>
      </w:r>
    </w:p>
    <w:p w14:paraId="4E1D2C3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(6)领导本乡的基层治理，加强社会主义民主法治建设和精神文明建设，加强社会治安综合治理，做好生态环保、美丽乡村建设、民主保障、巩固脱贫成果、民族宗教、微网实格、群众工作等工作;</w:t>
      </w:r>
    </w:p>
    <w:p w14:paraId="1EECFE9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(7)完成县委交办的其他工作任务。</w:t>
      </w:r>
    </w:p>
    <w:p w14:paraId="0B3A3E62">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(二)乡人民代表大会工作职责</w:t>
      </w:r>
    </w:p>
    <w:p w14:paraId="315D2553">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(1)坚持党的领导，监督保证宪法、法律、法规及乡人民代表大会和上级人民代表大会及其常务委员会的决议、决定在本行政区域内的遵守和执行;</w:t>
      </w:r>
    </w:p>
    <w:p w14:paraId="0DCBEAB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(2)决定召集和主持本届人民代表大会会议，对本届人民代表大会负责并报告工作,决定召集下届人民代表大会第一次会议;</w:t>
      </w:r>
    </w:p>
    <w:p w14:paraId="27583CF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(3)听取、审议本级人民政府工作报告，通过相应决议、决定，检查、督促本级人民政府对乡人民代表大会决议、决定的贯彻执行;</w:t>
      </w:r>
    </w:p>
    <w:p w14:paraId="35A6F90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(4)讨论辖区内的重大事项，向乡人民政府提出建议或者决定;</w:t>
      </w:r>
    </w:p>
    <w:p w14:paraId="11C86E2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(5)根据乡人民政府的建议，决定乡人民代表大会通过的建设计划、财政预算的部分变更;</w:t>
      </w:r>
    </w:p>
    <w:p w14:paraId="7CE5BF0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(6)督促乡人民政府研究办理乡人民代表大会代表的视察，和调查，指导代表小组开展活动，密切联系代表，听取和反映他们的意见和要求;</w:t>
      </w:r>
    </w:p>
    <w:p w14:paraId="7814538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(7)受理人民群众对本级国家机关和工作人员的申诉和意见;</w:t>
      </w:r>
    </w:p>
    <w:p w14:paraId="2D1C619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(8)选举本级人民代表大会主席团成员、主席，乡人民政府乡长、副乡长;决定接受乡长、副乡长的辞职，并报下一次人民代表大会会议备案;乡长因故不能担任职务时，从副乡长中决定代理人选;</w:t>
      </w:r>
    </w:p>
    <w:p w14:paraId="68B4C6F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(9)指导选区依法罢免和补选人民代表大会代表;</w:t>
      </w:r>
    </w:p>
    <w:p w14:paraId="3B98205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(10)保护社会主义全民所有财产和劳动群众集体所有财产;保障公民人身、民主、财产等合法权利;保障各种经济组织合法权利;</w:t>
      </w:r>
    </w:p>
    <w:p w14:paraId="372DCD5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(11)完成乡人民代表大会和上级人民代表大会常务委员会交办的其他事项。</w:t>
      </w:r>
    </w:p>
    <w:p w14:paraId="6575157D">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(三)乡人民政府工作职责</w:t>
      </w:r>
    </w:p>
    <w:p w14:paraId="4730E72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落实国家政策，严格依法行政，发挥经济管理职能，加强政策引导，制定发展规划，服务市场主体和营造发展环境，搞好市场监管，大力促进社会事业发展，发展乡村经济、文化和提请乡人民代表大会会议审议决定;撤销本级人民政府不适当的社会事业，提供公共服务，维护社会稳定，构建社会主义和谐社会;</w:t>
      </w:r>
    </w:p>
    <w:p w14:paraId="710FF7A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(2)贯彻执行党的路线、方针、政策及国家法律法规，执行本级人民代表大会决议和上级国家行政机关决定、命令，发布决定、命令;</w:t>
      </w:r>
    </w:p>
    <w:p w14:paraId="08E402F3">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制定辖区内经济建设和社会发展规划、政策，促进本行政区域内经济和社会发展，做好招商引资工作，努力提高本地区经济实力和可持续发展水平，提高人民群众生活水平和质量;负责乡村建设规划、实施、管理和服务工作，推动乡村振兴宜居宜业和美丽乡村建设;</w:t>
      </w:r>
    </w:p>
    <w:p w14:paraId="59DD4E0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编制和执行辖区内国民经济和社会发展计划，领导管理全乡经济、教育、科技、文化、卫生、城乡建设，环境保护事业和财政、民政、公安、司法行政、行政监察、审计、计划生育等行政工作，领导和协助辖区内机关和企事业单位;</w:t>
      </w:r>
    </w:p>
    <w:p w14:paraId="25163E2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(5)保护社会主义的全民所有的财产和劳动群众集体所有的财产，保护公民私人所有的合法财产，维护社会秩序，保障公民的人身权利、民主权利和其他权利;</w:t>
      </w:r>
    </w:p>
    <w:p w14:paraId="6ED6451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(6)负责辖区内综合行政执法工作，维护社会秩序;</w:t>
      </w:r>
    </w:p>
    <w:p w14:paraId="1E0C3C3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(7)保障公民人身、民主、财产等合法权利;</w:t>
      </w:r>
    </w:p>
    <w:p w14:paraId="709E252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(8)保护各种经济组织的合法权益;</w:t>
      </w:r>
    </w:p>
    <w:p w14:paraId="396D3D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(9)保障少数民族的权利和尊重少数民族的风俗习惯;</w:t>
      </w:r>
    </w:p>
    <w:p w14:paraId="5331023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(10)统筹管理辖区内寺庙及僧侣工作,规范寺庙管理制度;</w:t>
      </w:r>
    </w:p>
    <w:p w14:paraId="6334840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(11)履行法律规定赋予的其他职责;</w:t>
      </w:r>
    </w:p>
    <w:p w14:paraId="7984F28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(12)完成县委、县政府交办的其他事项。</w:t>
      </w:r>
    </w:p>
    <w:p w14:paraId="61C7D0F0">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(四)乡纪检监察工作职责</w:t>
      </w:r>
    </w:p>
    <w:p w14:paraId="5905DC7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(1)负责贯彻落实中央和上级党委、政府关于加强党风廉政的决定;维护党的章程和其他党内法规，检查党的路线、方针、政策和决议执行情况;负责对党风廉政建设责任制执行情况进行监督检查;</w:t>
      </w:r>
    </w:p>
    <w:p w14:paraId="535D587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(2)贯彻落实上级纪委相关工作决定，监督检查本乡各部门及其工作人员执行国家法律法规、政策和乡党委决定、决议情况;负责部署全乡纠正行业不正之风工作并进行监督、检查、指导;</w:t>
      </w:r>
    </w:p>
    <w:p w14:paraId="7B2318A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(3)负责组织协调全乡党风廉政建设及反腐败工作;协助乡党委抓好农村基层党风廉政建设工作;</w:t>
      </w:r>
    </w:p>
    <w:p w14:paraId="06B768A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(4)负责调查处理全乡各单位各部门及工作人员违反国家法律法规、政策或违反政纪行为，并根据责任人所犯错误，按有关程序，作出处分决定;</w:t>
      </w:r>
    </w:p>
    <w:p w14:paraId="7EC28AA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(5)受理基层党支部、党员和领导干部违反党纪政纪的信</w:t>
      </w:r>
    </w:p>
    <w:p w14:paraId="397103A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访和举报;调查处理基层党支部和党员、领导干部违反党纪政纪</w:t>
      </w:r>
    </w:p>
    <w:p w14:paraId="36CA022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的行为或提出处理建议;</w:t>
      </w:r>
    </w:p>
    <w:p w14:paraId="20EE0B7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受理党员、党员领导干部及行政干部不服党纪政纪处分的申诉;受理监察对象不服政纪处分申诉，保护党员和国家工作人员正当权利及合法权益;(7)会同有关部门做好党风党纪和廉洁从政的教育、宣传、调研等工作，对乡、村党员及干部进行遵纪守法、廉洁从政教育;</w:t>
      </w:r>
    </w:p>
    <w:p w14:paraId="497AAC7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(8)做好执法监察工作;</w:t>
      </w:r>
    </w:p>
    <w:p w14:paraId="3976B96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(9)完成乡党委、乡政府和上级纪检监察机关交办的有关工作。</w:t>
      </w:r>
    </w:p>
    <w:p w14:paraId="741F5228">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(五)乡人民武装部工作职责</w:t>
      </w:r>
    </w:p>
    <w:p w14:paraId="384FD0D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(1)负责本区域的民兵组织建设、政治教育、军事训练、武器装备管理;</w:t>
      </w:r>
    </w:p>
    <w:p w14:paraId="030CF75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(2)组织带领民兵完成战备执勤任务，配合公安部门维护社会治安。协助做好地方群防群治巡逻，协助地方维护社会政治稳定;</w:t>
      </w:r>
    </w:p>
    <w:p w14:paraId="10002DE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(3)发动和组织民兵参加三个文明建设，开展以劳养武活动，完成急难险重任务;</w:t>
      </w:r>
    </w:p>
    <w:p w14:paraId="493CBD0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(4)战时组织带领民兵参军参战，支援前线;</w:t>
      </w:r>
    </w:p>
    <w:p w14:paraId="17FAE48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(5)负责本区域的征兵工作和预备役士兵，预备役军官登记统计工作;</w:t>
      </w:r>
    </w:p>
    <w:p w14:paraId="13DC42C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(6)会同有关部门进行战争潜力调查，做好相关的动员准备工作;</w:t>
      </w:r>
    </w:p>
    <w:p w14:paraId="555852C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(7)协同预备役部(分)队落实参训人员，做好兵役管理、动员集结等工作;</w:t>
      </w:r>
    </w:p>
    <w:p w14:paraId="7C62BBA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(8)协助有关部门开展国防教育，做好退伍军人的安置和优烈军属的优抚工作;</w:t>
      </w:r>
    </w:p>
    <w:p w14:paraId="20565D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(9)协助军队做好本区域的军事设施保护工作;</w:t>
      </w:r>
    </w:p>
    <w:p w14:paraId="12BCDA6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(10)为退役退伍干部提供管理及服务;</w:t>
      </w:r>
    </w:p>
    <w:p w14:paraId="421E2BF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(11)完成乡党委、乡政府和上级军事机关交办的其他工作任务。</w:t>
      </w:r>
    </w:p>
    <w:p w14:paraId="63624D8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二、机构设置</w:t>
      </w:r>
    </w:p>
    <w:p w14:paraId="1875540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rPr>
      </w:pPr>
      <w:r>
        <w:rPr>
          <w:rFonts w:hint="eastAsia" w:ascii="仿宋_GB2312" w:hAnsi="仿宋_GB2312" w:eastAsia="仿宋_GB2312" w:cs="仿宋_GB2312"/>
          <w:b w:val="0"/>
          <w:bCs w:val="0"/>
          <w:color w:val="auto"/>
          <w:kern w:val="2"/>
          <w:sz w:val="32"/>
          <w:szCs w:val="32"/>
          <w:highlight w:val="none"/>
          <w:lang w:val="en-US" w:eastAsia="zh-CN" w:bidi="ar-SA"/>
        </w:rPr>
        <w:t>我单位为独立核算全额拨款行政单位，下设单位（股室）10个，其中行政单位6个，参照公务员法管理的事业单位6个。分别是：经济发展和乡村振兴办公室、社会事务和应急管理办公室、村镇规划建设办公室、财政工作办公室、社会事业服务中心、便民服务中心、社会事业服务中心、农业农村服务中心、综合文化服务中心、退役军人服务。截止2023年年末编制人数43人，在编在职人数43人，其中公务员编制27个，行政工勤编制3个，事业编制13个。</w:t>
      </w:r>
      <w:bookmarkStart w:id="9" w:name="_Toc15396602"/>
      <w:bookmarkStart w:id="10" w:name="_Toc15377204"/>
    </w:p>
    <w:p w14:paraId="72B6EA4C">
      <w:pPr>
        <w:pStyle w:val="2"/>
        <w:pageBreakBefore w:val="0"/>
        <w:kinsoku/>
        <w:wordWrap/>
        <w:overflowPunct/>
        <w:topLinePunct w:val="0"/>
        <w:bidi w:val="0"/>
        <w:spacing w:line="576" w:lineRule="exact"/>
        <w:ind w:right="440"/>
        <w:jc w:val="center"/>
        <w:textAlignment w:val="auto"/>
      </w:pPr>
      <w:r>
        <w:rPr>
          <w:rFonts w:hint="eastAsia" w:ascii="黑体" w:hAnsi="黑体" w:eastAsia="黑体"/>
          <w:b w:val="0"/>
        </w:rPr>
        <w:t>第二部分 2023年度</w:t>
      </w:r>
      <w:r>
        <w:rPr>
          <w:rStyle w:val="30"/>
          <w:rFonts w:hint="eastAsia" w:ascii="黑体" w:hAnsi="黑体" w:eastAsia="黑体"/>
          <w:b w:val="0"/>
          <w:bCs/>
        </w:rPr>
        <w:t>部门决算情况说明</w:t>
      </w:r>
      <w:bookmarkEnd w:id="9"/>
      <w:bookmarkEnd w:id="10"/>
    </w:p>
    <w:p w14:paraId="41B13D3D">
      <w:pPr>
        <w:pStyle w:val="29"/>
        <w:pageBreakBefore w:val="0"/>
        <w:numPr>
          <w:ilvl w:val="0"/>
          <w:numId w:val="1"/>
        </w:numPr>
        <w:kinsoku/>
        <w:wordWrap/>
        <w:overflowPunct/>
        <w:topLinePunct w:val="0"/>
        <w:bidi w:val="0"/>
        <w:spacing w:line="576" w:lineRule="exact"/>
        <w:ind w:firstLineChars="0"/>
        <w:textAlignment w:val="auto"/>
        <w:outlineLvl w:val="1"/>
        <w:rPr>
          <w:rStyle w:val="31"/>
          <w:rFonts w:ascii="黑体" w:hAnsi="黑体" w:eastAsia="黑体"/>
          <w:b w:val="0"/>
        </w:rPr>
      </w:pPr>
      <w:bookmarkStart w:id="11" w:name="_Toc15396603"/>
      <w:bookmarkStart w:id="12"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11"/>
      <w:bookmarkEnd w:id="12"/>
    </w:p>
    <w:p w14:paraId="3B0D7BB6">
      <w:pPr>
        <w:pageBreakBefore w:val="0"/>
        <w:kinsoku/>
        <w:wordWrap/>
        <w:overflowPunct/>
        <w:topLinePunct w:val="0"/>
        <w:bidi w:val="0"/>
        <w:spacing w:line="576"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2023年度收、支总计均为</w:t>
      </w:r>
      <w:r>
        <w:rPr>
          <w:rFonts w:hint="eastAsia" w:eastAsia="仿宋"/>
          <w:sz w:val="32"/>
          <w:szCs w:val="32"/>
          <w:lang w:val="en-US" w:eastAsia="zh-CN"/>
        </w:rPr>
        <w:t>1739.6</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与2022年度相比，收、支总计各减少</w:t>
      </w:r>
      <w:r>
        <w:rPr>
          <w:rFonts w:hint="eastAsia" w:ascii="仿宋" w:hAnsi="仿宋" w:eastAsia="仿宋"/>
          <w:sz w:val="32"/>
          <w:szCs w:val="32"/>
          <w:lang w:val="en-US" w:eastAsia="zh-CN"/>
        </w:rPr>
        <w:t>270.36</w:t>
      </w:r>
      <w:r>
        <w:rPr>
          <w:rFonts w:hint="eastAsia" w:ascii="仿宋" w:hAnsi="仿宋" w:eastAsia="仿宋"/>
          <w:sz w:val="32"/>
          <w:szCs w:val="32"/>
        </w:rPr>
        <w:t>万元，下降</w:t>
      </w:r>
      <w:r>
        <w:rPr>
          <w:rFonts w:hint="eastAsia" w:ascii="仿宋" w:hAnsi="仿宋" w:eastAsia="仿宋"/>
          <w:sz w:val="32"/>
          <w:szCs w:val="32"/>
          <w:lang w:val="en-US" w:eastAsia="zh-CN"/>
        </w:rPr>
        <w:t>13.5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抗疫情支出减少</w:t>
      </w:r>
      <w:r>
        <w:rPr>
          <w:rFonts w:hint="eastAsia" w:ascii="仿宋" w:hAnsi="仿宋" w:eastAsia="仿宋"/>
          <w:sz w:val="32"/>
          <w:szCs w:val="32"/>
        </w:rPr>
        <w:t>。</w:t>
      </w:r>
    </w:p>
    <w:p w14:paraId="6A7A8A0F">
      <w:pPr>
        <w:pageBreakBefore w:val="0"/>
        <w:kinsoku/>
        <w:wordWrap/>
        <w:overflowPunct/>
        <w:topLinePunct w:val="0"/>
        <w:bidi w:val="0"/>
        <w:spacing w:line="576" w:lineRule="exact"/>
        <w:ind w:firstLine="640" w:firstLineChars="200"/>
        <w:jc w:val="left"/>
        <w:textAlignment w:val="auto"/>
        <w:rPr>
          <w:rFonts w:hint="eastAsia" w:ascii="仿宋" w:hAnsi="仿宋" w:eastAsia="仿宋"/>
          <w:sz w:val="32"/>
          <w:szCs w:val="32"/>
        </w:rPr>
      </w:pPr>
      <w:r>
        <w:rPr>
          <w:rFonts w:hint="eastAsia" w:ascii="仿宋" w:hAnsi="仿宋" w:eastAsia="仿宋"/>
          <w:color w:val="auto"/>
          <w:sz w:val="32"/>
          <w:szCs w:val="32"/>
          <w:highlight w:val="none"/>
        </w:rPr>
        <w:drawing>
          <wp:anchor distT="0" distB="0" distL="114300" distR="114300" simplePos="0" relativeHeight="251659264" behindDoc="0" locked="0" layoutInCell="1" allowOverlap="1">
            <wp:simplePos x="0" y="0"/>
            <wp:positionH relativeFrom="column">
              <wp:posOffset>29845</wp:posOffset>
            </wp:positionH>
            <wp:positionV relativeFrom="paragraph">
              <wp:posOffset>212725</wp:posOffset>
            </wp:positionV>
            <wp:extent cx="4686935" cy="2821940"/>
            <wp:effectExtent l="4445" t="5080" r="13970" b="1143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240CF27">
      <w:pPr>
        <w:pStyle w:val="6"/>
        <w:pageBreakBefore w:val="0"/>
        <w:kinsoku/>
        <w:wordWrap/>
        <w:overflowPunct/>
        <w:topLinePunct w:val="0"/>
        <w:bidi w:val="0"/>
        <w:spacing w:line="576" w:lineRule="exact"/>
        <w:textAlignment w:val="auto"/>
        <w:rPr>
          <w:rFonts w:hint="eastAsia" w:ascii="仿宋" w:hAnsi="仿宋" w:eastAsia="仿宋"/>
          <w:sz w:val="32"/>
          <w:szCs w:val="32"/>
        </w:rPr>
      </w:pPr>
    </w:p>
    <w:p w14:paraId="22126BAE">
      <w:pPr>
        <w:pageBreakBefore w:val="0"/>
        <w:kinsoku/>
        <w:wordWrap/>
        <w:overflowPunct/>
        <w:topLinePunct w:val="0"/>
        <w:bidi w:val="0"/>
        <w:spacing w:line="576" w:lineRule="exact"/>
        <w:textAlignment w:val="auto"/>
      </w:pPr>
    </w:p>
    <w:p w14:paraId="151152AB">
      <w:pPr>
        <w:pStyle w:val="29"/>
        <w:pageBreakBefore w:val="0"/>
        <w:widowControl w:val="0"/>
        <w:numPr>
          <w:ilvl w:val="0"/>
          <w:numId w:val="0"/>
        </w:numPr>
        <w:kinsoku/>
        <w:wordWrap/>
        <w:overflowPunct/>
        <w:topLinePunct w:val="0"/>
        <w:bidi w:val="0"/>
        <w:spacing w:line="576" w:lineRule="exact"/>
        <w:jc w:val="both"/>
        <w:textAlignment w:val="auto"/>
        <w:outlineLvl w:val="1"/>
        <w:rPr>
          <w:rStyle w:val="31"/>
          <w:rFonts w:ascii="黑体" w:hAnsi="黑体" w:eastAsia="黑体"/>
          <w:b w:val="0"/>
        </w:rPr>
      </w:pPr>
      <w:bookmarkStart w:id="13" w:name="_Toc15377206"/>
      <w:bookmarkStart w:id="14" w:name="_Toc15396604"/>
    </w:p>
    <w:p w14:paraId="54BD99B1">
      <w:pPr>
        <w:pStyle w:val="29"/>
        <w:pageBreakBefore w:val="0"/>
        <w:widowControl w:val="0"/>
        <w:numPr>
          <w:ilvl w:val="0"/>
          <w:numId w:val="0"/>
        </w:numPr>
        <w:kinsoku/>
        <w:wordWrap/>
        <w:overflowPunct/>
        <w:topLinePunct w:val="0"/>
        <w:bidi w:val="0"/>
        <w:spacing w:line="576" w:lineRule="exact"/>
        <w:jc w:val="both"/>
        <w:textAlignment w:val="auto"/>
        <w:outlineLvl w:val="1"/>
        <w:rPr>
          <w:rStyle w:val="31"/>
          <w:rFonts w:ascii="黑体" w:hAnsi="黑体" w:eastAsia="黑体"/>
          <w:b w:val="0"/>
        </w:rPr>
      </w:pPr>
    </w:p>
    <w:p w14:paraId="0CF0B226">
      <w:pPr>
        <w:pStyle w:val="29"/>
        <w:pageBreakBefore w:val="0"/>
        <w:widowControl w:val="0"/>
        <w:numPr>
          <w:ilvl w:val="0"/>
          <w:numId w:val="0"/>
        </w:numPr>
        <w:kinsoku/>
        <w:wordWrap/>
        <w:overflowPunct/>
        <w:topLinePunct w:val="0"/>
        <w:bidi w:val="0"/>
        <w:spacing w:line="576" w:lineRule="exact"/>
        <w:jc w:val="both"/>
        <w:textAlignment w:val="auto"/>
        <w:outlineLvl w:val="1"/>
        <w:rPr>
          <w:rStyle w:val="31"/>
          <w:rFonts w:ascii="黑体" w:hAnsi="黑体" w:eastAsia="黑体"/>
          <w:b w:val="0"/>
        </w:rPr>
      </w:pPr>
    </w:p>
    <w:p w14:paraId="05B110C0">
      <w:pPr>
        <w:pStyle w:val="29"/>
        <w:pageBreakBefore w:val="0"/>
        <w:widowControl w:val="0"/>
        <w:numPr>
          <w:ilvl w:val="0"/>
          <w:numId w:val="0"/>
        </w:numPr>
        <w:kinsoku/>
        <w:wordWrap/>
        <w:overflowPunct/>
        <w:topLinePunct w:val="0"/>
        <w:bidi w:val="0"/>
        <w:spacing w:line="576" w:lineRule="exact"/>
        <w:jc w:val="both"/>
        <w:textAlignment w:val="auto"/>
        <w:outlineLvl w:val="1"/>
        <w:rPr>
          <w:rStyle w:val="31"/>
          <w:rFonts w:ascii="黑体" w:hAnsi="黑体" w:eastAsia="黑体"/>
          <w:b w:val="0"/>
        </w:rPr>
      </w:pPr>
    </w:p>
    <w:p w14:paraId="652D24B2">
      <w:pPr>
        <w:pStyle w:val="29"/>
        <w:pageBreakBefore w:val="0"/>
        <w:widowControl w:val="0"/>
        <w:numPr>
          <w:ilvl w:val="0"/>
          <w:numId w:val="0"/>
        </w:numPr>
        <w:kinsoku/>
        <w:wordWrap/>
        <w:overflowPunct/>
        <w:topLinePunct w:val="0"/>
        <w:bidi w:val="0"/>
        <w:spacing w:line="576" w:lineRule="exact"/>
        <w:jc w:val="both"/>
        <w:textAlignment w:val="auto"/>
        <w:outlineLvl w:val="1"/>
        <w:rPr>
          <w:rStyle w:val="31"/>
          <w:rFonts w:ascii="黑体" w:hAnsi="黑体" w:eastAsia="黑体"/>
          <w:b w:val="0"/>
        </w:rPr>
      </w:pPr>
    </w:p>
    <w:p w14:paraId="384227E6">
      <w:pPr>
        <w:pStyle w:val="29"/>
        <w:pageBreakBefore w:val="0"/>
        <w:widowControl w:val="0"/>
        <w:numPr>
          <w:ilvl w:val="0"/>
          <w:numId w:val="0"/>
        </w:numPr>
        <w:kinsoku/>
        <w:wordWrap/>
        <w:overflowPunct/>
        <w:topLinePunct w:val="0"/>
        <w:bidi w:val="0"/>
        <w:spacing w:line="576" w:lineRule="exact"/>
        <w:jc w:val="both"/>
        <w:textAlignment w:val="auto"/>
        <w:outlineLvl w:val="1"/>
        <w:rPr>
          <w:rStyle w:val="31"/>
          <w:rFonts w:ascii="黑体" w:hAnsi="黑体" w:eastAsia="黑体"/>
          <w:b w:val="0"/>
        </w:rPr>
      </w:pPr>
    </w:p>
    <w:p w14:paraId="755EF2C1">
      <w:pPr>
        <w:pStyle w:val="29"/>
        <w:pageBreakBefore w:val="0"/>
        <w:numPr>
          <w:ilvl w:val="0"/>
          <w:numId w:val="1"/>
        </w:numPr>
        <w:kinsoku/>
        <w:wordWrap/>
        <w:overflowPunct/>
        <w:topLinePunct w:val="0"/>
        <w:bidi w:val="0"/>
        <w:spacing w:line="576" w:lineRule="exact"/>
        <w:ind w:firstLineChars="0"/>
        <w:textAlignment w:val="auto"/>
        <w:outlineLvl w:val="1"/>
        <w:rPr>
          <w:rStyle w:val="31"/>
          <w:rFonts w:ascii="黑体" w:hAnsi="黑体" w:eastAsia="黑体"/>
          <w:b w:val="0"/>
        </w:rPr>
      </w:pPr>
      <w:r>
        <w:rPr>
          <w:rFonts w:hint="eastAsia" w:ascii="黑体" w:hAnsi="黑体" w:eastAsia="黑体"/>
          <w:sz w:val="32"/>
          <w:szCs w:val="32"/>
        </w:rPr>
        <w:t>收</w:t>
      </w:r>
      <w:r>
        <w:rPr>
          <w:rStyle w:val="31"/>
          <w:rFonts w:hint="eastAsia" w:ascii="黑体" w:hAnsi="黑体" w:eastAsia="黑体"/>
          <w:b w:val="0"/>
        </w:rPr>
        <w:t>入决算情况说明</w:t>
      </w:r>
      <w:bookmarkEnd w:id="13"/>
      <w:bookmarkEnd w:id="14"/>
    </w:p>
    <w:p w14:paraId="13E1A329">
      <w:pPr>
        <w:pageBreakBefore w:val="0"/>
        <w:kinsoku/>
        <w:wordWrap/>
        <w:overflowPunct/>
        <w:topLinePunct w:val="0"/>
        <w:bidi w:val="0"/>
        <w:spacing w:line="576" w:lineRule="exact"/>
        <w:ind w:firstLine="640" w:firstLineChars="200"/>
        <w:jc w:val="left"/>
        <w:textAlignment w:val="auto"/>
        <w:outlineLvl w:val="1"/>
        <w:rPr>
          <w:rFonts w:ascii="仿宋" w:hAnsi="仿宋" w:eastAsia="仿宋"/>
          <w:sz w:val="32"/>
          <w:szCs w:val="32"/>
        </w:rPr>
      </w:pPr>
      <w:r>
        <w:rPr>
          <w:rFonts w:hint="eastAsia" w:ascii="仿宋" w:hAnsi="仿宋" w:eastAsia="仿宋"/>
          <w:sz w:val="32"/>
          <w:szCs w:val="32"/>
        </w:rPr>
        <w:t>2023年度本年收入合计</w:t>
      </w:r>
      <w:r>
        <w:rPr>
          <w:rFonts w:hint="eastAsia" w:eastAsia="仿宋"/>
          <w:sz w:val="32"/>
          <w:szCs w:val="32"/>
          <w:lang w:val="en-US" w:eastAsia="zh-CN"/>
        </w:rPr>
        <w:t>1739.6</w:t>
      </w:r>
      <w:r>
        <w:rPr>
          <w:rFonts w:hint="eastAsia" w:ascii="仿宋" w:hAnsi="仿宋" w:eastAsia="仿宋"/>
          <w:sz w:val="32"/>
          <w:szCs w:val="32"/>
        </w:rPr>
        <w:t>万元，其中：一般公共预算财政拨款收入</w:t>
      </w:r>
      <w:r>
        <w:rPr>
          <w:rFonts w:hint="eastAsia"/>
          <w:sz w:val="32"/>
          <w:szCs w:val="32"/>
        </w:rPr>
        <w:t>1,056.54</w:t>
      </w:r>
      <w:r>
        <w:rPr>
          <w:rFonts w:hint="eastAsia" w:ascii="仿宋" w:hAnsi="仿宋" w:eastAsia="仿宋"/>
          <w:sz w:val="32"/>
          <w:szCs w:val="32"/>
        </w:rPr>
        <w:t>万元，占</w:t>
      </w:r>
      <w:r>
        <w:rPr>
          <w:rFonts w:hint="eastAsia" w:eastAsia="仿宋"/>
          <w:sz w:val="32"/>
          <w:szCs w:val="32"/>
          <w:lang w:val="en-US" w:eastAsia="zh-CN"/>
        </w:rPr>
        <w:t>60.73</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eastAsia="仿宋"/>
          <w:sz w:val="32"/>
          <w:szCs w:val="32"/>
          <w:lang w:val="en-US" w:eastAsia="zh-CN"/>
        </w:rPr>
        <w:t>683.06</w:t>
      </w:r>
      <w:r>
        <w:rPr>
          <w:rFonts w:hint="eastAsia" w:ascii="仿宋" w:hAnsi="仿宋" w:eastAsia="仿宋"/>
          <w:sz w:val="32"/>
          <w:szCs w:val="32"/>
        </w:rPr>
        <w:t>万元，占</w:t>
      </w:r>
      <w:r>
        <w:rPr>
          <w:rFonts w:hint="eastAsia" w:eastAsia="仿宋"/>
          <w:sz w:val="32"/>
          <w:szCs w:val="32"/>
          <w:lang w:val="en-US" w:eastAsia="zh-CN"/>
        </w:rPr>
        <w:t>39.27</w:t>
      </w:r>
      <w:r>
        <w:rPr>
          <w:rFonts w:ascii="仿宋" w:hAnsi="仿宋" w:eastAsia="仿宋"/>
          <w:sz w:val="32"/>
          <w:szCs w:val="32"/>
        </w:rPr>
        <w:t>%</w:t>
      </w:r>
      <w:r>
        <w:rPr>
          <w:rFonts w:hint="eastAsia" w:ascii="仿宋" w:hAnsi="仿宋" w:eastAsia="仿宋"/>
          <w:sz w:val="32"/>
          <w:szCs w:val="32"/>
        </w:rPr>
        <w:t>。</w:t>
      </w:r>
    </w:p>
    <w:p w14:paraId="18FEB648">
      <w:pPr>
        <w:pageBreakBefore w:val="0"/>
        <w:kinsoku/>
        <w:wordWrap/>
        <w:overflowPunct/>
        <w:topLinePunct w:val="0"/>
        <w:bidi w:val="0"/>
        <w:spacing w:line="576" w:lineRule="exact"/>
        <w:ind w:firstLine="643" w:firstLineChars="200"/>
        <w:textAlignment w:val="auto"/>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6CAD37E2">
      <w:pPr>
        <w:pageBreakBefore w:val="0"/>
        <w:kinsoku/>
        <w:wordWrap/>
        <w:overflowPunct/>
        <w:topLinePunct w:val="0"/>
        <w:bidi w:val="0"/>
        <w:spacing w:line="576" w:lineRule="exact"/>
        <w:ind w:firstLine="640" w:firstLineChars="200"/>
        <w:textAlignment w:val="auto"/>
        <w:outlineLvl w:val="1"/>
        <w:rPr>
          <w:rFonts w:ascii="仿宋" w:hAnsi="仿宋" w:eastAsia="仿宋"/>
          <w:sz w:val="32"/>
          <w:szCs w:val="32"/>
        </w:rPr>
      </w:pPr>
      <w:r>
        <w:rPr>
          <w:rFonts w:hint="eastAsia" w:ascii="仿宋" w:hAnsi="仿宋" w:eastAsia="仿宋"/>
          <w:color w:val="auto"/>
          <w:sz w:val="32"/>
          <w:szCs w:val="32"/>
          <w:highlight w:val="none"/>
        </w:rPr>
        <w:drawing>
          <wp:anchor distT="0" distB="0" distL="114300" distR="114300" simplePos="0" relativeHeight="251660288" behindDoc="1" locked="0" layoutInCell="1" allowOverlap="1">
            <wp:simplePos x="0" y="0"/>
            <wp:positionH relativeFrom="column">
              <wp:posOffset>35560</wp:posOffset>
            </wp:positionH>
            <wp:positionV relativeFrom="paragraph">
              <wp:posOffset>74295</wp:posOffset>
            </wp:positionV>
            <wp:extent cx="4737735" cy="2287270"/>
            <wp:effectExtent l="4445" t="4445" r="20320" b="13335"/>
            <wp:wrapTight wrapText="bothSides">
              <wp:wrapPolygon>
                <wp:start x="-20" y="-42"/>
                <wp:lineTo x="-20" y="21546"/>
                <wp:lineTo x="21519" y="21546"/>
                <wp:lineTo x="21519" y="-42"/>
                <wp:lineTo x="-20" y="-42"/>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6A15931">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14302AC2">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06092384">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33D8BF28">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713222F5">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54E75820">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0AFEC696">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（图2：收入决算结构图）（饼状图）</w:t>
      </w:r>
    </w:p>
    <w:p w14:paraId="7D6407B7">
      <w:pPr>
        <w:pageBreakBefore w:val="0"/>
        <w:kinsoku/>
        <w:wordWrap/>
        <w:overflowPunct/>
        <w:topLinePunct w:val="0"/>
        <w:bidi w:val="0"/>
        <w:spacing w:line="576" w:lineRule="exact"/>
        <w:ind w:firstLine="640" w:firstLineChars="200"/>
        <w:textAlignment w:val="auto"/>
        <w:rPr>
          <w:rFonts w:ascii="仿宋_GB2312" w:eastAsia="仿宋_GB2312"/>
          <w:sz w:val="32"/>
          <w:szCs w:val="32"/>
        </w:rPr>
      </w:pPr>
    </w:p>
    <w:p w14:paraId="45C66AE6">
      <w:pPr>
        <w:pStyle w:val="29"/>
        <w:pageBreakBefore w:val="0"/>
        <w:numPr>
          <w:ilvl w:val="0"/>
          <w:numId w:val="1"/>
        </w:numPr>
        <w:kinsoku/>
        <w:wordWrap/>
        <w:overflowPunct/>
        <w:topLinePunct w:val="0"/>
        <w:bidi w:val="0"/>
        <w:spacing w:line="576" w:lineRule="exact"/>
        <w:ind w:firstLineChars="0"/>
        <w:textAlignment w:val="auto"/>
        <w:outlineLvl w:val="1"/>
        <w:rPr>
          <w:rStyle w:val="31"/>
          <w:rFonts w:ascii="黑体" w:hAnsi="黑体" w:eastAsia="黑体"/>
          <w:b w:val="0"/>
        </w:rPr>
      </w:pPr>
      <w:bookmarkStart w:id="15" w:name="_Toc15377207"/>
      <w:bookmarkStart w:id="16" w:name="_Toc15396605"/>
      <w:r>
        <w:rPr>
          <w:rFonts w:hint="eastAsia" w:ascii="黑体" w:hAnsi="黑体" w:eastAsia="黑体"/>
          <w:sz w:val="32"/>
          <w:szCs w:val="32"/>
        </w:rPr>
        <w:t>支</w:t>
      </w:r>
      <w:r>
        <w:rPr>
          <w:rStyle w:val="31"/>
          <w:rFonts w:hint="eastAsia" w:ascii="黑体" w:hAnsi="黑体" w:eastAsia="黑体"/>
          <w:b w:val="0"/>
        </w:rPr>
        <w:t>出决算情况说明</w:t>
      </w:r>
      <w:bookmarkEnd w:id="15"/>
      <w:bookmarkEnd w:id="16"/>
    </w:p>
    <w:p w14:paraId="2FAC8C94">
      <w:pPr>
        <w:pageBreakBefore w:val="0"/>
        <w:kinsoku/>
        <w:wordWrap/>
        <w:overflowPunct/>
        <w:topLinePunct w:val="0"/>
        <w:bidi w:val="0"/>
        <w:spacing w:line="576" w:lineRule="exact"/>
        <w:ind w:firstLine="640" w:firstLineChars="200"/>
        <w:textAlignment w:val="auto"/>
        <w:outlineLvl w:val="1"/>
        <w:rPr>
          <w:rFonts w:ascii="仿宋" w:hAnsi="仿宋" w:eastAsia="仿宋"/>
          <w:sz w:val="32"/>
          <w:szCs w:val="32"/>
        </w:rPr>
      </w:pPr>
      <w:r>
        <w:rPr>
          <w:rFonts w:hint="eastAsia" w:ascii="仿宋" w:hAnsi="仿宋" w:eastAsia="仿宋"/>
          <w:sz w:val="32"/>
          <w:szCs w:val="32"/>
        </w:rPr>
        <w:t>2023年度本年支出合计</w:t>
      </w:r>
      <w:r>
        <w:rPr>
          <w:rFonts w:hint="eastAsia" w:eastAsia="仿宋"/>
          <w:sz w:val="32"/>
          <w:szCs w:val="32"/>
          <w:lang w:val="en-US" w:eastAsia="zh-CN"/>
        </w:rPr>
        <w:t>1739.6</w:t>
      </w:r>
      <w:r>
        <w:rPr>
          <w:rFonts w:hint="eastAsia" w:ascii="仿宋" w:hAnsi="仿宋" w:eastAsia="仿宋"/>
          <w:sz w:val="32"/>
          <w:szCs w:val="32"/>
        </w:rPr>
        <w:t>万元，其中：基本支出</w:t>
      </w:r>
      <w:r>
        <w:rPr>
          <w:rFonts w:hint="eastAsia"/>
          <w:sz w:val="32"/>
          <w:szCs w:val="32"/>
        </w:rPr>
        <w:t>1,310.61</w:t>
      </w:r>
      <w:r>
        <w:rPr>
          <w:rFonts w:hint="eastAsia" w:ascii="仿宋" w:hAnsi="仿宋" w:eastAsia="仿宋"/>
          <w:sz w:val="32"/>
          <w:szCs w:val="32"/>
        </w:rPr>
        <w:t>万元，占</w:t>
      </w:r>
      <w:r>
        <w:rPr>
          <w:rFonts w:hint="eastAsia" w:eastAsia="仿宋"/>
          <w:sz w:val="32"/>
          <w:szCs w:val="32"/>
          <w:lang w:val="en-US" w:eastAsia="zh-CN"/>
        </w:rPr>
        <w:t>75.34</w:t>
      </w:r>
      <w:r>
        <w:rPr>
          <w:rFonts w:ascii="仿宋" w:hAnsi="仿宋" w:eastAsia="仿宋"/>
          <w:sz w:val="32"/>
          <w:szCs w:val="32"/>
        </w:rPr>
        <w:t>%</w:t>
      </w:r>
      <w:r>
        <w:rPr>
          <w:rFonts w:hint="eastAsia" w:ascii="仿宋" w:hAnsi="仿宋" w:eastAsia="仿宋"/>
          <w:sz w:val="32"/>
          <w:szCs w:val="32"/>
        </w:rPr>
        <w:t>；项目支出</w:t>
      </w:r>
      <w:r>
        <w:rPr>
          <w:rFonts w:hint="eastAsia"/>
          <w:sz w:val="32"/>
          <w:szCs w:val="32"/>
        </w:rPr>
        <w:t>428.98</w:t>
      </w:r>
      <w:r>
        <w:rPr>
          <w:rFonts w:hint="eastAsia" w:ascii="仿宋" w:hAnsi="仿宋" w:eastAsia="仿宋"/>
          <w:sz w:val="32"/>
          <w:szCs w:val="32"/>
        </w:rPr>
        <w:t>万元，占</w:t>
      </w:r>
      <w:r>
        <w:rPr>
          <w:rFonts w:hint="eastAsia" w:eastAsia="仿宋"/>
          <w:sz w:val="32"/>
          <w:szCs w:val="32"/>
          <w:lang w:val="en-US" w:eastAsia="zh-CN"/>
        </w:rPr>
        <w:t>24.66</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4292DD6">
      <w:pPr>
        <w:pageBreakBefore w:val="0"/>
        <w:kinsoku/>
        <w:wordWrap/>
        <w:overflowPunct/>
        <w:topLinePunct w:val="0"/>
        <w:bidi w:val="0"/>
        <w:spacing w:line="576" w:lineRule="exact"/>
        <w:ind w:firstLine="643" w:firstLineChars="200"/>
        <w:textAlignment w:val="auto"/>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175CA01E">
      <w:pPr>
        <w:pageBreakBefore w:val="0"/>
        <w:kinsoku/>
        <w:wordWrap/>
        <w:overflowPunct/>
        <w:topLinePunct w:val="0"/>
        <w:bidi w:val="0"/>
        <w:spacing w:line="576" w:lineRule="exact"/>
        <w:ind w:firstLine="640"/>
        <w:textAlignment w:val="auto"/>
        <w:rPr>
          <w:rFonts w:ascii="仿宋" w:hAnsi="仿宋" w:eastAsia="仿宋"/>
          <w:sz w:val="32"/>
          <w:szCs w:val="32"/>
          <w:shd w:val="pct10" w:color="auto" w:fill="FFFFFF"/>
        </w:rPr>
      </w:pPr>
      <w:r>
        <w:rPr>
          <w:rFonts w:hint="eastAsia" w:ascii="仿宋_GB2312" w:hAnsi="仿宋_GB2312" w:eastAsia="仿宋_GB2312" w:cs="仿宋_GB2312"/>
          <w:color w:val="auto"/>
          <w:sz w:val="32"/>
          <w:szCs w:val="32"/>
          <w:highlight w:val="none"/>
          <w:shd w:val="clear" w:color="auto" w:fill="FFFFFF"/>
        </w:rPr>
        <w:drawing>
          <wp:anchor distT="0" distB="0" distL="114300" distR="114300" simplePos="0" relativeHeight="251661312" behindDoc="1" locked="0" layoutInCell="1" allowOverlap="1">
            <wp:simplePos x="0" y="0"/>
            <wp:positionH relativeFrom="column">
              <wp:posOffset>469900</wp:posOffset>
            </wp:positionH>
            <wp:positionV relativeFrom="paragraph">
              <wp:posOffset>42545</wp:posOffset>
            </wp:positionV>
            <wp:extent cx="4247515" cy="2262505"/>
            <wp:effectExtent l="4445" t="4445" r="15240" b="19050"/>
            <wp:wrapTight wrapText="bothSides">
              <wp:wrapPolygon>
                <wp:start x="-23" y="-42"/>
                <wp:lineTo x="-23" y="21418"/>
                <wp:lineTo x="21484" y="21418"/>
                <wp:lineTo x="21484" y="-42"/>
                <wp:lineTo x="-23" y="-42"/>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957BFCB">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（图3：支出决算结构图）（饼状图）</w:t>
      </w:r>
    </w:p>
    <w:p w14:paraId="29B58C63">
      <w:pPr>
        <w:pageBreakBefore w:val="0"/>
        <w:kinsoku/>
        <w:wordWrap/>
        <w:overflowPunct/>
        <w:topLinePunct w:val="0"/>
        <w:bidi w:val="0"/>
        <w:spacing w:line="576" w:lineRule="exact"/>
        <w:ind w:firstLine="640" w:firstLineChars="200"/>
        <w:textAlignment w:val="auto"/>
        <w:rPr>
          <w:rFonts w:ascii="仿宋_GB2312" w:eastAsia="仿宋_GB2312"/>
          <w:sz w:val="32"/>
          <w:szCs w:val="32"/>
        </w:rPr>
      </w:pPr>
    </w:p>
    <w:p w14:paraId="62ACD8E6">
      <w:pPr>
        <w:pageBreakBefore w:val="0"/>
        <w:kinsoku/>
        <w:wordWrap/>
        <w:overflowPunct/>
        <w:topLinePunct w:val="0"/>
        <w:bidi w:val="0"/>
        <w:spacing w:line="576" w:lineRule="exact"/>
        <w:ind w:firstLine="640" w:firstLineChars="200"/>
        <w:textAlignment w:val="auto"/>
        <w:outlineLvl w:val="1"/>
        <w:rPr>
          <w:rStyle w:val="31"/>
          <w:rFonts w:ascii="黑体" w:hAnsi="黑体" w:eastAsia="黑体"/>
          <w:b w:val="0"/>
        </w:rPr>
      </w:pPr>
      <w:bookmarkStart w:id="17" w:name="_Toc15377208"/>
      <w:bookmarkStart w:id="18" w:name="_Toc15396606"/>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17"/>
      <w:bookmarkEnd w:id="18"/>
    </w:p>
    <w:p w14:paraId="0E876F31">
      <w:pPr>
        <w:pageBreakBefore w:val="0"/>
        <w:kinsoku/>
        <w:wordWrap/>
        <w:overflowPunct/>
        <w:topLinePunct w:val="0"/>
        <w:bidi w:val="0"/>
        <w:spacing w:line="576" w:lineRule="exact"/>
        <w:ind w:firstLine="640"/>
        <w:textAlignment w:val="auto"/>
        <w:rPr>
          <w:rFonts w:hint="eastAsia" w:ascii="仿宋" w:hAnsi="仿宋" w:eastAsia="仿宋"/>
          <w:sz w:val="32"/>
          <w:szCs w:val="32"/>
          <w:lang w:eastAsia="zh-CN"/>
        </w:rPr>
      </w:pPr>
      <w:r>
        <w:rPr>
          <w:rFonts w:hint="eastAsia" w:ascii="仿宋" w:hAnsi="仿宋" w:eastAsia="仿宋"/>
          <w:sz w:val="32"/>
          <w:szCs w:val="32"/>
        </w:rPr>
        <w:t>2023年度财政拨款收、支总计均为</w:t>
      </w:r>
      <w:r>
        <w:rPr>
          <w:rFonts w:hint="eastAsia"/>
          <w:sz w:val="32"/>
          <w:szCs w:val="32"/>
        </w:rPr>
        <w:t>1739.6</w:t>
      </w:r>
      <w:r>
        <w:rPr>
          <w:rFonts w:hint="eastAsia" w:ascii="仿宋" w:hAnsi="仿宋" w:eastAsia="仿宋"/>
          <w:sz w:val="32"/>
          <w:szCs w:val="32"/>
        </w:rPr>
        <w:t>万元。与2022年度相比，财政拨款收、支总计各减少</w:t>
      </w:r>
      <w:r>
        <w:rPr>
          <w:rFonts w:hint="eastAsia" w:ascii="仿宋" w:hAnsi="仿宋" w:eastAsia="仿宋"/>
          <w:sz w:val="32"/>
          <w:szCs w:val="32"/>
          <w:lang w:val="en-US" w:eastAsia="zh-CN"/>
        </w:rPr>
        <w:t>236.86</w:t>
      </w:r>
      <w:r>
        <w:rPr>
          <w:rFonts w:hint="eastAsia" w:ascii="仿宋" w:hAnsi="仿宋" w:eastAsia="仿宋"/>
          <w:sz w:val="32"/>
          <w:szCs w:val="32"/>
        </w:rPr>
        <w:t>万元，下降</w:t>
      </w:r>
      <w:r>
        <w:rPr>
          <w:rFonts w:hint="eastAsia" w:ascii="仿宋" w:hAnsi="仿宋" w:eastAsia="仿宋"/>
          <w:sz w:val="32"/>
          <w:szCs w:val="32"/>
          <w:lang w:val="en-US" w:eastAsia="zh-CN"/>
        </w:rPr>
        <w:t>11.98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w:t>
      </w:r>
    </w:p>
    <w:p w14:paraId="4A62B4BA">
      <w:pPr>
        <w:pageBreakBefore w:val="0"/>
        <w:kinsoku/>
        <w:wordWrap/>
        <w:overflowPunct/>
        <w:topLinePunct w:val="0"/>
        <w:bidi w:val="0"/>
        <w:spacing w:line="576" w:lineRule="exact"/>
        <w:ind w:firstLine="640"/>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1373128E">
      <w:pPr>
        <w:pStyle w:val="6"/>
        <w:pageBreakBefore w:val="0"/>
        <w:kinsoku/>
        <w:wordWrap/>
        <w:overflowPunct/>
        <w:topLinePunct w:val="0"/>
        <w:bidi w:val="0"/>
        <w:spacing w:line="576" w:lineRule="exact"/>
        <w:textAlignment w:val="auto"/>
      </w:pPr>
      <w:r>
        <w:rPr>
          <w:rFonts w:hint="eastAsia"/>
          <w:color w:val="auto"/>
          <w:highlight w:val="none"/>
        </w:rPr>
        <w:drawing>
          <wp:anchor distT="0" distB="0" distL="114300" distR="114300" simplePos="0" relativeHeight="251662336" behindDoc="1" locked="0" layoutInCell="1" allowOverlap="1">
            <wp:simplePos x="0" y="0"/>
            <wp:positionH relativeFrom="column">
              <wp:posOffset>280035</wp:posOffset>
            </wp:positionH>
            <wp:positionV relativeFrom="paragraph">
              <wp:posOffset>159385</wp:posOffset>
            </wp:positionV>
            <wp:extent cx="4686935" cy="2334260"/>
            <wp:effectExtent l="5080" t="5080" r="13335" b="22860"/>
            <wp:wrapTight wrapText="bothSides">
              <wp:wrapPolygon>
                <wp:start x="-23" y="-47"/>
                <wp:lineTo x="-23" y="21459"/>
                <wp:lineTo x="21574" y="21459"/>
                <wp:lineTo x="21574" y="-47"/>
                <wp:lineTo x="-23" y="-47"/>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DB3B280">
      <w:pPr>
        <w:pageBreakBefore w:val="0"/>
        <w:kinsoku/>
        <w:wordWrap/>
        <w:overflowPunct/>
        <w:topLinePunct w:val="0"/>
        <w:bidi w:val="0"/>
        <w:spacing w:line="576" w:lineRule="exact"/>
        <w:textAlignment w:val="auto"/>
        <w:rPr>
          <w:rFonts w:ascii="仿宋" w:hAnsi="仿宋" w:eastAsia="仿宋"/>
          <w:sz w:val="32"/>
          <w:szCs w:val="32"/>
        </w:rPr>
      </w:pPr>
    </w:p>
    <w:p w14:paraId="042ACFDD">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（图4：财政拨款收、支决算总计变动情况）（柱状图）</w:t>
      </w:r>
    </w:p>
    <w:p w14:paraId="029488F3">
      <w:pPr>
        <w:pageBreakBefore w:val="0"/>
        <w:kinsoku/>
        <w:wordWrap/>
        <w:overflowPunct/>
        <w:topLinePunct w:val="0"/>
        <w:bidi w:val="0"/>
        <w:spacing w:line="576" w:lineRule="exact"/>
        <w:ind w:firstLine="640" w:firstLineChars="200"/>
        <w:textAlignment w:val="auto"/>
        <w:outlineLvl w:val="1"/>
        <w:rPr>
          <w:rStyle w:val="31"/>
          <w:rFonts w:ascii="黑体" w:hAnsi="黑体" w:eastAsia="黑体"/>
          <w:b w:val="0"/>
        </w:rPr>
      </w:pPr>
      <w:bookmarkStart w:id="19" w:name="_Toc15396607"/>
      <w:bookmarkStart w:id="20"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19"/>
      <w:bookmarkEnd w:id="20"/>
    </w:p>
    <w:p w14:paraId="5888B266">
      <w:pPr>
        <w:pageBreakBefore w:val="0"/>
        <w:kinsoku/>
        <w:wordWrap/>
        <w:overflowPunct/>
        <w:topLinePunct w:val="0"/>
        <w:bidi w:val="0"/>
        <w:spacing w:line="576" w:lineRule="exact"/>
        <w:ind w:firstLine="643" w:firstLineChars="200"/>
        <w:textAlignment w:val="auto"/>
        <w:outlineLvl w:val="2"/>
        <w:rPr>
          <w:rFonts w:ascii="仿宋" w:hAnsi="仿宋" w:eastAsia="仿宋"/>
          <w:b/>
          <w:sz w:val="32"/>
          <w:szCs w:val="32"/>
        </w:rPr>
      </w:pPr>
      <w:bookmarkStart w:id="21" w:name="_Toc15377210"/>
      <w:r>
        <w:rPr>
          <w:rFonts w:hint="eastAsia" w:ascii="仿宋" w:hAnsi="仿宋" w:eastAsia="仿宋"/>
          <w:b/>
          <w:sz w:val="32"/>
          <w:szCs w:val="32"/>
        </w:rPr>
        <w:t>（一）一般公共预算财政拨款支出决算总体情况</w:t>
      </w:r>
      <w:bookmarkEnd w:id="21"/>
    </w:p>
    <w:p w14:paraId="49D1527C">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1739.6</w:t>
      </w:r>
      <w:r>
        <w:rPr>
          <w:rFonts w:hint="eastAsia" w:ascii="仿宋" w:hAnsi="仿宋" w:eastAsia="仿宋"/>
          <w:sz w:val="32"/>
          <w:szCs w:val="32"/>
        </w:rPr>
        <w:t>万元，占本年支出合计的</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236.86</w:t>
      </w:r>
      <w:r>
        <w:rPr>
          <w:rFonts w:hint="eastAsia" w:ascii="仿宋" w:hAnsi="仿宋" w:eastAsia="仿宋"/>
          <w:sz w:val="32"/>
          <w:szCs w:val="32"/>
        </w:rPr>
        <w:t>万元，下降</w:t>
      </w:r>
      <w:r>
        <w:rPr>
          <w:rFonts w:hint="eastAsia" w:ascii="仿宋" w:hAnsi="仿宋" w:eastAsia="仿宋"/>
          <w:sz w:val="32"/>
          <w:szCs w:val="32"/>
          <w:lang w:val="en-US" w:eastAsia="zh-CN"/>
        </w:rPr>
        <w:t>11.98</w:t>
      </w:r>
      <w:r>
        <w:rPr>
          <w:rFonts w:ascii="仿宋" w:hAnsi="仿宋" w:eastAsia="仿宋"/>
          <w:sz w:val="32"/>
          <w:szCs w:val="32"/>
        </w:rPr>
        <w:t>%</w:t>
      </w:r>
      <w:r>
        <w:rPr>
          <w:rFonts w:hint="eastAsia" w:ascii="仿宋" w:hAnsi="仿宋" w:eastAsia="仿宋"/>
          <w:sz w:val="32"/>
          <w:szCs w:val="32"/>
        </w:rPr>
        <w:t>。</w:t>
      </w:r>
    </w:p>
    <w:p w14:paraId="290E8358">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ascii="仿宋" w:hAnsi="仿宋" w:eastAsia="仿宋"/>
          <w:color w:val="auto"/>
          <w:sz w:val="32"/>
          <w:szCs w:val="32"/>
          <w:highlight w:val="none"/>
        </w:rPr>
        <w:drawing>
          <wp:anchor distT="0" distB="0" distL="114300" distR="114300" simplePos="0" relativeHeight="251663360" behindDoc="1" locked="0" layoutInCell="1" allowOverlap="1">
            <wp:simplePos x="0" y="0"/>
            <wp:positionH relativeFrom="column">
              <wp:posOffset>120650</wp:posOffset>
            </wp:positionH>
            <wp:positionV relativeFrom="paragraph">
              <wp:posOffset>64135</wp:posOffset>
            </wp:positionV>
            <wp:extent cx="4925060" cy="1779270"/>
            <wp:effectExtent l="4445" t="4445" r="23495" b="6985"/>
            <wp:wrapTight wrapText="bothSides">
              <wp:wrapPolygon>
                <wp:start x="-19" y="-54"/>
                <wp:lineTo x="-19" y="21454"/>
                <wp:lineTo x="21536" y="21454"/>
                <wp:lineTo x="21536" y="-54"/>
                <wp:lineTo x="-19" y="-5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38D532D">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33419443">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6CE05972">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4A44DAEE">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2776A2ED">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12E79F5E">
      <w:pPr>
        <w:pageBreakBefore w:val="0"/>
        <w:kinsoku/>
        <w:wordWrap/>
        <w:overflowPunct/>
        <w:topLinePunct w:val="0"/>
        <w:bidi w:val="0"/>
        <w:spacing w:line="576" w:lineRule="exact"/>
        <w:ind w:firstLine="321" w:firstLineChars="100"/>
        <w:textAlignment w:val="auto"/>
        <w:outlineLvl w:val="2"/>
        <w:rPr>
          <w:rFonts w:ascii="仿宋" w:hAnsi="仿宋" w:eastAsia="仿宋"/>
          <w:b/>
          <w:sz w:val="32"/>
          <w:szCs w:val="32"/>
        </w:rPr>
      </w:pPr>
      <w:bookmarkStart w:id="22" w:name="_Toc15377211"/>
      <w:r>
        <w:rPr>
          <w:rFonts w:hint="eastAsia" w:ascii="仿宋" w:hAnsi="仿宋" w:eastAsia="仿宋"/>
          <w:b/>
          <w:sz w:val="32"/>
          <w:szCs w:val="32"/>
        </w:rPr>
        <w:t>（二）一般公共预算财政拨款支出决算结构情况</w:t>
      </w:r>
      <w:bookmarkEnd w:id="22"/>
    </w:p>
    <w:p w14:paraId="62F2BD89">
      <w:pPr>
        <w:pageBreakBefore w:val="0"/>
        <w:kinsoku/>
        <w:wordWrap/>
        <w:overflowPunct/>
        <w:topLinePunct w:val="0"/>
        <w:bidi w:val="0"/>
        <w:spacing w:line="576" w:lineRule="exact"/>
        <w:ind w:firstLine="640"/>
        <w:textAlignment w:val="auto"/>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1739.6</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1,056.54万元，占</w:t>
      </w:r>
      <w:r>
        <w:rPr>
          <w:rFonts w:hint="eastAsia" w:ascii="仿宋" w:hAnsi="仿宋" w:eastAsia="仿宋"/>
          <w:sz w:val="32"/>
          <w:szCs w:val="32"/>
          <w:lang w:val="en-US" w:eastAsia="zh-CN"/>
        </w:rPr>
        <w:t>60.73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5</w:t>
      </w:r>
      <w:r>
        <w:rPr>
          <w:rFonts w:hint="eastAsia" w:ascii="仿宋" w:hAnsi="仿宋" w:eastAsia="仿宋"/>
          <w:b/>
          <w:bCs/>
          <w:sz w:val="32"/>
          <w:szCs w:val="32"/>
        </w:rPr>
        <w:t>万元，占</w:t>
      </w:r>
      <w:r>
        <w:rPr>
          <w:rFonts w:hint="eastAsia" w:ascii="仿宋" w:hAnsi="仿宋" w:eastAsia="仿宋"/>
          <w:b/>
          <w:bCs/>
          <w:sz w:val="32"/>
          <w:szCs w:val="32"/>
          <w:lang w:val="en-US" w:eastAsia="zh-CN"/>
        </w:rPr>
        <w:t>0.28</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148.06</w:t>
      </w:r>
      <w:r>
        <w:rPr>
          <w:rFonts w:hint="eastAsia" w:ascii="仿宋" w:hAnsi="仿宋" w:eastAsia="仿宋"/>
          <w:sz w:val="32"/>
          <w:szCs w:val="32"/>
        </w:rPr>
        <w:t>万元，占</w:t>
      </w:r>
      <w:r>
        <w:rPr>
          <w:rFonts w:hint="eastAsia" w:ascii="仿宋" w:hAnsi="仿宋" w:eastAsia="仿宋"/>
          <w:sz w:val="32"/>
          <w:szCs w:val="32"/>
          <w:lang w:val="en-US" w:eastAsia="zh-CN"/>
        </w:rPr>
        <w:t>8.51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63.3</w:t>
      </w:r>
      <w:r>
        <w:rPr>
          <w:rFonts w:hint="eastAsia" w:ascii="仿宋" w:hAnsi="仿宋" w:eastAsia="仿宋"/>
          <w:sz w:val="32"/>
          <w:szCs w:val="32"/>
        </w:rPr>
        <w:t>万元，占</w:t>
      </w:r>
      <w:r>
        <w:rPr>
          <w:rFonts w:hint="eastAsia" w:ascii="仿宋" w:hAnsi="仿宋" w:eastAsia="仿宋"/>
          <w:sz w:val="32"/>
          <w:szCs w:val="32"/>
          <w:lang w:val="en-US" w:eastAsia="zh-CN"/>
        </w:rPr>
        <w:t>3.63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82.53</w:t>
      </w:r>
      <w:r>
        <w:rPr>
          <w:rFonts w:hint="eastAsia" w:ascii="仿宋" w:hAnsi="仿宋" w:eastAsia="仿宋"/>
          <w:sz w:val="32"/>
          <w:szCs w:val="32"/>
        </w:rPr>
        <w:t>万元，占</w:t>
      </w:r>
      <w:r>
        <w:rPr>
          <w:rFonts w:hint="eastAsia" w:ascii="仿宋" w:hAnsi="仿宋" w:eastAsia="仿宋"/>
          <w:sz w:val="32"/>
          <w:szCs w:val="32"/>
          <w:lang w:val="en-US" w:eastAsia="zh-CN"/>
        </w:rPr>
        <w:t>4.74</w:t>
      </w:r>
      <w:r>
        <w:rPr>
          <w:rFonts w:ascii="仿宋" w:hAnsi="仿宋" w:eastAsia="仿宋"/>
          <w:sz w:val="32"/>
          <w:szCs w:val="32"/>
        </w:rPr>
        <w:t>%</w:t>
      </w:r>
      <w:r>
        <w:rPr>
          <w:rFonts w:hint="eastAsia" w:ascii="仿宋" w:hAnsi="仿宋" w:eastAsia="仿宋"/>
          <w:sz w:val="32"/>
          <w:szCs w:val="32"/>
        </w:rPr>
        <w:t>；</w:t>
      </w:r>
    </w:p>
    <w:p w14:paraId="5209C5D0">
      <w:pPr>
        <w:pageBreakBefore w:val="0"/>
        <w:kinsoku/>
        <w:wordWrap/>
        <w:overflowPunct/>
        <w:topLinePunct w:val="0"/>
        <w:bidi w:val="0"/>
        <w:spacing w:line="576" w:lineRule="exact"/>
        <w:ind w:firstLine="640"/>
        <w:textAlignment w:val="auto"/>
        <w:rPr>
          <w:rFonts w:ascii="仿宋" w:hAnsi="仿宋" w:eastAsia="仿宋"/>
          <w:b/>
          <w:sz w:val="32"/>
          <w:szCs w:val="32"/>
        </w:rPr>
      </w:pPr>
      <w:r>
        <w:rPr>
          <w:rFonts w:hint="eastAsia" w:ascii="仿宋" w:hAnsi="仿宋" w:eastAsia="仿宋"/>
          <w:b/>
          <w:sz w:val="32"/>
          <w:szCs w:val="32"/>
        </w:rPr>
        <w:t>（注：数据来源于财决01-1表，仅罗列本部门涉及的</w:t>
      </w:r>
      <w:r>
        <w:rPr>
          <w:rFonts w:hint="eastAsia" w:ascii="仿宋" w:hAnsi="仿宋" w:eastAsia="仿宋"/>
          <w:color w:val="auto"/>
          <w:sz w:val="32"/>
          <w:szCs w:val="32"/>
          <w:highlight w:val="none"/>
        </w:rPr>
        <w:drawing>
          <wp:anchor distT="0" distB="0" distL="114300" distR="114300" simplePos="0" relativeHeight="251664384" behindDoc="1" locked="0" layoutInCell="1" allowOverlap="1">
            <wp:simplePos x="0" y="0"/>
            <wp:positionH relativeFrom="column">
              <wp:posOffset>333375</wp:posOffset>
            </wp:positionH>
            <wp:positionV relativeFrom="paragraph">
              <wp:posOffset>1068705</wp:posOffset>
            </wp:positionV>
            <wp:extent cx="4496435" cy="2857500"/>
            <wp:effectExtent l="5080" t="4445" r="13335" b="14605"/>
            <wp:wrapTight wrapText="bothSides">
              <wp:wrapPolygon>
                <wp:start x="-24" y="-34"/>
                <wp:lineTo x="-24" y="21566"/>
                <wp:lineTo x="21573" y="21566"/>
                <wp:lineTo x="21573" y="-34"/>
                <wp:lineTo x="-24" y="-34"/>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b/>
          <w:sz w:val="32"/>
          <w:szCs w:val="32"/>
        </w:rPr>
        <w:t>全部功能分类科目，至类级。）</w:t>
      </w:r>
    </w:p>
    <w:p w14:paraId="07531E51">
      <w:pPr>
        <w:pageBreakBefore w:val="0"/>
        <w:kinsoku/>
        <w:wordWrap/>
        <w:overflowPunct/>
        <w:topLinePunct w:val="0"/>
        <w:bidi w:val="0"/>
        <w:spacing w:line="576" w:lineRule="exact"/>
        <w:ind w:firstLine="640"/>
        <w:textAlignment w:val="auto"/>
        <w:rPr>
          <w:rFonts w:ascii="仿宋" w:hAnsi="仿宋" w:eastAsia="仿宋"/>
          <w:sz w:val="32"/>
          <w:szCs w:val="32"/>
        </w:rPr>
      </w:pPr>
    </w:p>
    <w:p w14:paraId="2C12E6EA">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（图6：一般公共预算财政拨款支出决算结构）（饼状图）</w:t>
      </w:r>
    </w:p>
    <w:p w14:paraId="403A7BE5">
      <w:pPr>
        <w:pageBreakBefore w:val="0"/>
        <w:kinsoku/>
        <w:wordWrap/>
        <w:overflowPunct/>
        <w:topLinePunct w:val="0"/>
        <w:bidi w:val="0"/>
        <w:spacing w:line="576" w:lineRule="exact"/>
        <w:ind w:firstLine="643" w:firstLineChars="200"/>
        <w:textAlignment w:val="auto"/>
        <w:outlineLvl w:val="2"/>
        <w:rPr>
          <w:rFonts w:ascii="仿宋" w:hAnsi="仿宋" w:eastAsia="仿宋"/>
          <w:b/>
          <w:sz w:val="32"/>
          <w:szCs w:val="32"/>
        </w:rPr>
      </w:pPr>
      <w:bookmarkStart w:id="23" w:name="_Toc15377212"/>
      <w:r>
        <w:rPr>
          <w:rFonts w:hint="eastAsia" w:ascii="仿宋" w:hAnsi="仿宋" w:eastAsia="仿宋"/>
          <w:b/>
          <w:sz w:val="32"/>
          <w:szCs w:val="32"/>
        </w:rPr>
        <w:t>（三）一般公共预算财政拨款支出决算具体情况</w:t>
      </w:r>
      <w:bookmarkEnd w:id="23"/>
    </w:p>
    <w:p w14:paraId="3A2616B6">
      <w:pPr>
        <w:pageBreakBefore w:val="0"/>
        <w:kinsoku/>
        <w:wordWrap/>
        <w:overflowPunct/>
        <w:topLinePunct w:val="0"/>
        <w:bidi w:val="0"/>
        <w:spacing w:line="576" w:lineRule="exact"/>
        <w:ind w:firstLine="643" w:firstLineChars="200"/>
        <w:textAlignment w:val="auto"/>
        <w:outlineLvl w:val="2"/>
        <w:rPr>
          <w:rFonts w:ascii="仿宋" w:hAnsi="仿宋" w:eastAsia="仿宋"/>
          <w:sz w:val="32"/>
          <w:szCs w:val="32"/>
        </w:rPr>
      </w:pPr>
      <w:bookmarkStart w:id="24" w:name="_Toc15378460"/>
      <w:bookmarkStart w:id="25" w:name="_Toc15377444"/>
      <w:bookmarkStart w:id="26" w:name="_Toc15377213"/>
      <w:r>
        <w:rPr>
          <w:rFonts w:hint="eastAsia" w:ascii="仿宋" w:hAnsi="仿宋" w:eastAsia="仿宋"/>
          <w:b/>
          <w:sz w:val="32"/>
          <w:szCs w:val="32"/>
        </w:rPr>
        <w:t>2023年度一般公共预算支出决算数为</w:t>
      </w:r>
      <w:r>
        <w:rPr>
          <w:sz w:val="32"/>
          <w:szCs w:val="32"/>
        </w:rPr>
        <w:t>1739.6</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24"/>
      <w:bookmarkEnd w:id="25"/>
      <w:bookmarkEnd w:id="26"/>
    </w:p>
    <w:p w14:paraId="7521A71C">
      <w:pPr>
        <w:pageBreakBefore w:val="0"/>
        <w:numPr>
          <w:ilvl w:val="0"/>
          <w:numId w:val="0"/>
        </w:numPr>
        <w:kinsoku/>
        <w:wordWrap/>
        <w:overflowPunct/>
        <w:topLinePunct w:val="0"/>
        <w:bidi w:val="0"/>
        <w:spacing w:line="576" w:lineRule="exact"/>
        <w:ind w:firstLine="643" w:firstLineChars="200"/>
        <w:textAlignment w:val="auto"/>
        <w:rPr>
          <w:rFonts w:hint="eastAsia" w:ascii="仿宋_GB2312" w:hAnsi="仿宋_GB2312" w:eastAsia="仿宋_GB2312" w:cs="仿宋_GB2312"/>
          <w:color w:val="0000FF"/>
          <w:sz w:val="32"/>
          <w:szCs w:val="32"/>
          <w:shd w:val="clear" w:color="auto" w:fill="FFFFFF"/>
          <w:lang w:val="en-US" w:eastAsia="zh-CN"/>
        </w:rPr>
      </w:pPr>
      <w:r>
        <w:rPr>
          <w:rStyle w:val="19"/>
          <w:rFonts w:hint="eastAsia" w:ascii="仿宋" w:hAnsi="仿宋" w:eastAsia="仿宋"/>
          <w:bCs/>
          <w:sz w:val="32"/>
          <w:szCs w:val="32"/>
          <w:highlight w:val="none"/>
          <w:lang w:val="en-US" w:eastAsia="zh-CN"/>
        </w:rPr>
        <w:t>1.</w:t>
      </w:r>
      <w:r>
        <w:rPr>
          <w:rStyle w:val="19"/>
          <w:rFonts w:hint="eastAsia" w:ascii="仿宋" w:hAnsi="仿宋" w:eastAsia="仿宋"/>
          <w:bCs/>
          <w:sz w:val="32"/>
          <w:szCs w:val="32"/>
          <w:highlight w:val="none"/>
        </w:rPr>
        <w:t>一般公共服务</w:t>
      </w:r>
      <w:r>
        <w:rPr>
          <w:rStyle w:val="19"/>
          <w:rFonts w:ascii="仿宋" w:hAnsi="仿宋" w:eastAsia="仿宋"/>
          <w:bCs/>
          <w:sz w:val="32"/>
          <w:szCs w:val="32"/>
          <w:highlight w:val="none"/>
        </w:rPr>
        <w:t>:</w:t>
      </w:r>
      <w:r>
        <w:rPr>
          <w:rFonts w:hint="eastAsia" w:ascii="仿宋_GB2312" w:hAnsi="仿宋_GB2312" w:eastAsia="仿宋_GB2312" w:cs="仿宋_GB2312"/>
          <w:sz w:val="32"/>
          <w:szCs w:val="32"/>
          <w:shd w:val="clear" w:color="auto" w:fill="FFFFFF"/>
          <w:lang w:val="en-US" w:eastAsia="zh-CN"/>
        </w:rPr>
        <w:t>支出决算1056.54万元,</w:t>
      </w:r>
      <w:r>
        <w:rPr>
          <w:rStyle w:val="19"/>
          <w:rFonts w:hint="eastAsia" w:ascii="仿宋" w:hAnsi="仿宋" w:eastAsia="仿宋"/>
          <w:b w:val="0"/>
          <w:bCs/>
          <w:sz w:val="32"/>
          <w:szCs w:val="32"/>
        </w:rPr>
        <w:t>20101</w:t>
      </w:r>
      <w:r>
        <w:rPr>
          <w:rFonts w:hint="eastAsia" w:ascii="仿宋_GB2312" w:hAnsi="仿宋_GB2312" w:eastAsia="仿宋_GB2312" w:cs="仿宋_GB2312"/>
          <w:sz w:val="32"/>
          <w:szCs w:val="32"/>
          <w:shd w:val="clear" w:color="auto" w:fill="FFFFFF"/>
          <w:lang w:val="en-US" w:eastAsia="zh-CN"/>
        </w:rPr>
        <w:t>-</w:t>
      </w:r>
      <w:r>
        <w:rPr>
          <w:rStyle w:val="19"/>
          <w:rFonts w:hint="eastAsia" w:ascii="仿宋" w:hAnsi="仿宋" w:eastAsia="仿宋"/>
          <w:b w:val="0"/>
          <w:bCs/>
          <w:sz w:val="32"/>
          <w:szCs w:val="32"/>
        </w:rPr>
        <w:t>人大事务</w:t>
      </w:r>
      <w:r>
        <w:rPr>
          <w:rStyle w:val="19"/>
          <w:rFonts w:hint="eastAsia" w:ascii="仿宋" w:hAnsi="仿宋" w:eastAsia="仿宋"/>
          <w:b w:val="0"/>
          <w:bCs/>
          <w:sz w:val="32"/>
          <w:szCs w:val="32"/>
          <w:lang w:val="en-US" w:eastAsia="zh-CN"/>
        </w:rPr>
        <w:t>3.24万元，20103-政府办公厅（室）及相关机构事务1043.30万元，20134-统战事务10万元。</w:t>
      </w:r>
    </w:p>
    <w:p w14:paraId="69CF8D24">
      <w:pPr>
        <w:pageBreakBefore w:val="0"/>
        <w:kinsoku/>
        <w:wordWrap/>
        <w:overflowPunct/>
        <w:topLinePunct w:val="0"/>
        <w:bidi w:val="0"/>
        <w:spacing w:line="576" w:lineRule="exact"/>
        <w:ind w:firstLine="643" w:firstLineChars="200"/>
        <w:textAlignment w:val="auto"/>
        <w:rPr>
          <w:rStyle w:val="19"/>
          <w:rFonts w:hint="eastAsia" w:ascii="仿宋" w:hAnsi="仿宋" w:eastAsia="仿宋"/>
          <w:b w:val="0"/>
          <w:bCs/>
          <w:sz w:val="32"/>
          <w:szCs w:val="32"/>
          <w:lang w:eastAsia="zh-CN"/>
        </w:rPr>
      </w:pPr>
      <w:r>
        <w:rPr>
          <w:rStyle w:val="19"/>
          <w:rFonts w:hint="eastAsia" w:ascii="仿宋" w:hAnsi="仿宋" w:eastAsia="仿宋"/>
          <w:bCs/>
          <w:sz w:val="32"/>
          <w:szCs w:val="32"/>
          <w:lang w:val="en-US" w:eastAsia="zh-CN"/>
        </w:rPr>
        <w:t>2</w:t>
      </w:r>
      <w:r>
        <w:rPr>
          <w:rStyle w:val="19"/>
          <w:rFonts w:ascii="仿宋" w:hAnsi="仿宋" w:eastAsia="仿宋"/>
          <w:bCs/>
          <w:sz w:val="32"/>
          <w:szCs w:val="32"/>
        </w:rPr>
        <w:t>.</w:t>
      </w:r>
      <w:r>
        <w:rPr>
          <w:rStyle w:val="19"/>
          <w:rFonts w:hint="eastAsia" w:ascii="仿宋" w:hAnsi="仿宋" w:eastAsia="仿宋"/>
          <w:bCs/>
          <w:sz w:val="32"/>
          <w:szCs w:val="32"/>
        </w:rPr>
        <w:t>文化旅游体育与传媒</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w:t>
      </w:r>
      <w:r>
        <w:rPr>
          <w:rStyle w:val="19"/>
          <w:rFonts w:hint="eastAsia" w:ascii="仿宋" w:hAnsi="仿宋" w:eastAsia="仿宋"/>
          <w:b w:val="0"/>
          <w:bCs/>
          <w:sz w:val="32"/>
          <w:szCs w:val="32"/>
        </w:rPr>
        <w:t>万元，20701</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文化和旅游5</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2070104</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图书馆5</w:t>
      </w:r>
      <w:r>
        <w:rPr>
          <w:rStyle w:val="19"/>
          <w:rFonts w:hint="eastAsia" w:ascii="仿宋" w:hAnsi="仿宋" w:eastAsia="仿宋"/>
          <w:b w:val="0"/>
          <w:bCs/>
          <w:sz w:val="32"/>
          <w:szCs w:val="32"/>
          <w:lang w:eastAsia="zh-CN"/>
        </w:rPr>
        <w:t>万元。</w:t>
      </w:r>
    </w:p>
    <w:p w14:paraId="3118A95F">
      <w:pPr>
        <w:pageBreakBefore w:val="0"/>
        <w:kinsoku/>
        <w:wordWrap/>
        <w:overflowPunct/>
        <w:topLinePunct w:val="0"/>
        <w:bidi w:val="0"/>
        <w:spacing w:line="576" w:lineRule="exact"/>
        <w:ind w:firstLine="643" w:firstLineChars="200"/>
        <w:textAlignment w:val="auto"/>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3</w:t>
      </w:r>
      <w:r>
        <w:rPr>
          <w:rStyle w:val="19"/>
          <w:rFonts w:ascii="仿宋" w:hAnsi="仿宋" w:eastAsia="仿宋"/>
          <w:bCs/>
          <w:sz w:val="32"/>
          <w:szCs w:val="32"/>
        </w:rPr>
        <w:t>.</w:t>
      </w:r>
      <w:r>
        <w:rPr>
          <w:rStyle w:val="19"/>
          <w:rFonts w:hint="eastAsia" w:ascii="仿宋" w:hAnsi="仿宋" w:eastAsia="仿宋"/>
          <w:bCs/>
          <w:sz w:val="32"/>
          <w:szCs w:val="32"/>
        </w:rPr>
        <w:t>社会保障和就业</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148.06</w:t>
      </w:r>
      <w:r>
        <w:rPr>
          <w:rStyle w:val="19"/>
          <w:rFonts w:hint="eastAsia" w:ascii="仿宋" w:hAnsi="仿宋" w:eastAsia="仿宋"/>
          <w:b w:val="0"/>
          <w:bCs/>
          <w:sz w:val="32"/>
          <w:szCs w:val="32"/>
        </w:rPr>
        <w:t>万元，20805</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行政事业单位养老支出148.06</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2080505</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机关事业单位基本养老保险缴费支出98.71</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2080506</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机关事业单位职业年金缴费支出</w:t>
      </w:r>
      <w:r>
        <w:rPr>
          <w:rStyle w:val="19"/>
          <w:rFonts w:hint="eastAsia" w:ascii="仿宋" w:hAnsi="仿宋" w:eastAsia="仿宋"/>
          <w:b w:val="0"/>
          <w:bCs/>
          <w:sz w:val="32"/>
          <w:szCs w:val="32"/>
        </w:rPr>
        <w:tab/>
      </w:r>
      <w:r>
        <w:rPr>
          <w:rStyle w:val="19"/>
          <w:rFonts w:hint="eastAsia" w:ascii="仿宋" w:hAnsi="仿宋" w:eastAsia="仿宋"/>
          <w:b w:val="0"/>
          <w:bCs/>
          <w:sz w:val="32"/>
          <w:szCs w:val="32"/>
        </w:rPr>
        <w:t>49.35。</w:t>
      </w:r>
    </w:p>
    <w:p w14:paraId="1A6E3BE8">
      <w:pPr>
        <w:pageBreakBefore w:val="0"/>
        <w:kinsoku/>
        <w:wordWrap/>
        <w:overflowPunct/>
        <w:topLinePunct w:val="0"/>
        <w:bidi w:val="0"/>
        <w:spacing w:line="576" w:lineRule="exact"/>
        <w:ind w:firstLine="643" w:firstLineChars="200"/>
        <w:textAlignment w:val="auto"/>
        <w:rPr>
          <w:rFonts w:ascii="仿宋" w:hAnsi="仿宋" w:eastAsia="仿宋"/>
          <w:b/>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Fonts w:hint="eastAsia" w:ascii="仿宋" w:hAnsi="仿宋" w:eastAsia="仿宋"/>
          <w:b/>
          <w:bCs/>
          <w:sz w:val="32"/>
          <w:szCs w:val="32"/>
        </w:rPr>
        <w:t>卫生健康</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63.30</w:t>
      </w:r>
      <w:r>
        <w:rPr>
          <w:rStyle w:val="19"/>
          <w:rFonts w:hint="eastAsia" w:ascii="仿宋" w:hAnsi="仿宋" w:eastAsia="仿宋"/>
          <w:b w:val="0"/>
          <w:bCs/>
          <w:sz w:val="32"/>
          <w:szCs w:val="32"/>
        </w:rPr>
        <w:t>万元，21011</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行政事业单位医63.30</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2101101</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行政单位医疗</w:t>
      </w:r>
      <w:r>
        <w:rPr>
          <w:rStyle w:val="19"/>
          <w:rFonts w:hint="eastAsia" w:ascii="仿宋" w:hAnsi="仿宋" w:eastAsia="仿宋"/>
          <w:b w:val="0"/>
          <w:bCs/>
          <w:sz w:val="32"/>
          <w:szCs w:val="32"/>
        </w:rPr>
        <w:tab/>
      </w:r>
      <w:r>
        <w:rPr>
          <w:rStyle w:val="19"/>
          <w:rFonts w:hint="eastAsia" w:ascii="仿宋" w:hAnsi="仿宋" w:eastAsia="仿宋"/>
          <w:b w:val="0"/>
          <w:bCs/>
          <w:sz w:val="32"/>
          <w:szCs w:val="32"/>
        </w:rPr>
        <w:t>34.67</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2101102</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事业单位医疗15.71</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2101103</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公务员医疗补助</w:t>
      </w:r>
      <w:r>
        <w:rPr>
          <w:rStyle w:val="19"/>
          <w:rFonts w:hint="eastAsia" w:ascii="仿宋" w:hAnsi="仿宋" w:eastAsia="仿宋"/>
          <w:b w:val="0"/>
          <w:bCs/>
          <w:sz w:val="32"/>
          <w:szCs w:val="32"/>
        </w:rPr>
        <w:tab/>
      </w:r>
      <w:r>
        <w:rPr>
          <w:rStyle w:val="19"/>
          <w:rFonts w:hint="eastAsia" w:ascii="仿宋" w:hAnsi="仿宋" w:eastAsia="仿宋"/>
          <w:b w:val="0"/>
          <w:bCs/>
          <w:sz w:val="32"/>
          <w:szCs w:val="32"/>
        </w:rPr>
        <w:t>8.58</w:t>
      </w:r>
      <w:r>
        <w:rPr>
          <w:rStyle w:val="19"/>
          <w:rFonts w:hint="eastAsia" w:ascii="仿宋" w:hAnsi="仿宋" w:eastAsia="仿宋"/>
          <w:b w:val="0"/>
          <w:bCs/>
          <w:sz w:val="32"/>
          <w:szCs w:val="32"/>
          <w:lang w:eastAsia="zh-CN"/>
        </w:rPr>
        <w:t>万元，</w:t>
      </w:r>
      <w:r>
        <w:rPr>
          <w:rStyle w:val="19"/>
          <w:rFonts w:hint="eastAsia" w:ascii="仿宋" w:hAnsi="仿宋" w:eastAsia="仿宋"/>
          <w:b w:val="0"/>
          <w:bCs/>
          <w:sz w:val="32"/>
          <w:szCs w:val="32"/>
        </w:rPr>
        <w:t>2101199</w:t>
      </w:r>
      <w:r>
        <w:rPr>
          <w:rStyle w:val="19"/>
          <w:rFonts w:hint="eastAsia" w:ascii="仿宋" w:hAnsi="仿宋" w:eastAsia="仿宋"/>
          <w:b w:val="0"/>
          <w:bCs/>
          <w:sz w:val="32"/>
          <w:szCs w:val="32"/>
          <w:lang w:val="en-US" w:eastAsia="zh-CN"/>
        </w:rPr>
        <w:t>-</w:t>
      </w:r>
      <w:r>
        <w:rPr>
          <w:rStyle w:val="19"/>
          <w:rFonts w:hint="eastAsia" w:ascii="仿宋" w:hAnsi="仿宋" w:eastAsia="仿宋"/>
          <w:b w:val="0"/>
          <w:bCs/>
          <w:sz w:val="32"/>
          <w:szCs w:val="32"/>
        </w:rPr>
        <w:t>其他行政事业单位医疗支出4.34</w:t>
      </w:r>
      <w:r>
        <w:rPr>
          <w:rStyle w:val="19"/>
          <w:rFonts w:hint="eastAsia" w:ascii="仿宋" w:hAnsi="仿宋" w:eastAsia="仿宋"/>
          <w:b w:val="0"/>
          <w:bCs/>
          <w:sz w:val="32"/>
          <w:szCs w:val="32"/>
          <w:lang w:eastAsia="zh-CN"/>
        </w:rPr>
        <w:t>万元。</w:t>
      </w:r>
    </w:p>
    <w:p w14:paraId="126076F9">
      <w:pPr>
        <w:pageBreakBefore w:val="0"/>
        <w:kinsoku/>
        <w:wordWrap/>
        <w:overflowPunct/>
        <w:topLinePunct w:val="0"/>
        <w:bidi w:val="0"/>
        <w:spacing w:line="576" w:lineRule="exact"/>
        <w:ind w:firstLine="643" w:firstLineChars="200"/>
        <w:textAlignment w:val="auto"/>
        <w:rPr>
          <w:rStyle w:val="19"/>
          <w:rFonts w:hint="eastAsia" w:ascii="仿宋" w:hAnsi="仿宋" w:eastAsia="仿宋"/>
          <w:b w:val="0"/>
          <w:bCs/>
          <w:sz w:val="32"/>
          <w:szCs w:val="32"/>
        </w:rPr>
      </w:pPr>
      <w:r>
        <w:rPr>
          <w:rFonts w:hint="eastAsia" w:ascii="仿宋" w:hAnsi="仿宋" w:eastAsia="仿宋" w:cs="Times New Roman"/>
          <w:b/>
          <w:bCs/>
          <w:kern w:val="2"/>
          <w:sz w:val="32"/>
          <w:szCs w:val="32"/>
          <w:lang w:val="en-US" w:eastAsia="zh-CN" w:bidi="ar-SA"/>
        </w:rPr>
        <w:t>5.城乡社区：</w:t>
      </w:r>
      <w:r>
        <w:rPr>
          <w:rStyle w:val="19"/>
          <w:rFonts w:hint="eastAsia" w:ascii="仿宋" w:hAnsi="仿宋" w:eastAsia="仿宋" w:cs="Times New Roman"/>
          <w:b w:val="0"/>
          <w:bCs/>
          <w:sz w:val="32"/>
          <w:szCs w:val="32"/>
          <w:lang w:val="en-US" w:eastAsia="zh-CN"/>
        </w:rPr>
        <w:t>支出决算为5.45，21205-城乡社区环境卫生</w:t>
      </w:r>
      <w:r>
        <w:rPr>
          <w:rStyle w:val="19"/>
          <w:rFonts w:hint="eastAsia" w:ascii="仿宋" w:hAnsi="仿宋" w:eastAsia="仿宋" w:cs="Times New Roman"/>
          <w:b w:val="0"/>
          <w:bCs/>
          <w:sz w:val="32"/>
          <w:szCs w:val="32"/>
          <w:lang w:val="en-US" w:eastAsia="zh-CN"/>
        </w:rPr>
        <w:tab/>
      </w:r>
      <w:r>
        <w:rPr>
          <w:rStyle w:val="19"/>
          <w:rFonts w:hint="eastAsia" w:ascii="仿宋" w:hAnsi="仿宋" w:eastAsia="仿宋" w:cs="Times New Roman"/>
          <w:b w:val="0"/>
          <w:bCs/>
          <w:sz w:val="32"/>
          <w:szCs w:val="32"/>
          <w:lang w:val="en-US" w:eastAsia="zh-CN"/>
        </w:rPr>
        <w:t>5.45万元，2120501</w:t>
      </w:r>
      <w:r>
        <w:rPr>
          <w:rStyle w:val="19"/>
          <w:rFonts w:hint="eastAsia" w:ascii="仿宋" w:hAnsi="仿宋" w:eastAsia="仿宋" w:cs="Times New Roman"/>
          <w:b w:val="0"/>
          <w:bCs/>
          <w:sz w:val="32"/>
          <w:szCs w:val="32"/>
          <w:lang w:val="en-US" w:eastAsia="zh-CN"/>
        </w:rPr>
        <w:tab/>
      </w:r>
      <w:r>
        <w:rPr>
          <w:rStyle w:val="19"/>
          <w:rFonts w:hint="eastAsia" w:ascii="仿宋" w:hAnsi="仿宋" w:eastAsia="仿宋" w:cs="Times New Roman"/>
          <w:b w:val="0"/>
          <w:bCs/>
          <w:sz w:val="32"/>
          <w:szCs w:val="32"/>
          <w:lang w:val="en-US" w:eastAsia="zh-CN"/>
        </w:rPr>
        <w:t>-城乡社区环境卫生5.45万元。</w:t>
      </w:r>
    </w:p>
    <w:p w14:paraId="15631656">
      <w:pPr>
        <w:pageBreakBefore w:val="0"/>
        <w:kinsoku/>
        <w:wordWrap/>
        <w:overflowPunct/>
        <w:topLinePunct w:val="0"/>
        <w:bidi w:val="0"/>
        <w:spacing w:line="576" w:lineRule="exact"/>
        <w:ind w:firstLine="643" w:firstLineChars="200"/>
        <w:textAlignment w:val="auto"/>
        <w:rPr>
          <w:rStyle w:val="19"/>
          <w:rFonts w:hint="eastAsia" w:ascii="仿宋" w:hAnsi="仿宋" w:eastAsia="仿宋"/>
          <w:b w:val="0"/>
          <w:bCs/>
          <w:sz w:val="32"/>
          <w:szCs w:val="32"/>
        </w:rPr>
      </w:pPr>
      <w:r>
        <w:rPr>
          <w:rFonts w:hint="eastAsia" w:ascii="仿宋" w:hAnsi="仿宋" w:eastAsia="仿宋" w:cs="Times New Roman"/>
          <w:b/>
          <w:bCs/>
          <w:kern w:val="2"/>
          <w:sz w:val="32"/>
          <w:szCs w:val="32"/>
          <w:lang w:val="en-US" w:eastAsia="zh-CN" w:bidi="ar-SA"/>
        </w:rPr>
        <w:t>6.农林水：</w:t>
      </w:r>
      <w:r>
        <w:rPr>
          <w:rFonts w:hint="eastAsia" w:ascii="仿宋_GB2312" w:hAnsi="仿宋_GB2312" w:eastAsia="仿宋_GB2312" w:cs="仿宋_GB2312"/>
          <w:kern w:val="2"/>
          <w:sz w:val="32"/>
          <w:szCs w:val="32"/>
          <w:shd w:val="clear" w:color="auto" w:fill="FFFFFF"/>
          <w:lang w:val="en-US" w:eastAsia="zh-CN" w:bidi="ar-SA"/>
        </w:rPr>
        <w:t>支出决算为378.71万元。21301-</w:t>
      </w:r>
      <w:r>
        <w:rPr>
          <w:rFonts w:hint="eastAsia" w:ascii="仿宋_GB2312" w:hAnsi="仿宋_GB2312" w:eastAsia="仿宋_GB2312" w:cs="仿宋_GB2312"/>
          <w:kern w:val="2"/>
          <w:sz w:val="32"/>
          <w:szCs w:val="32"/>
          <w:shd w:val="clear" w:color="auto" w:fill="FFFFFF"/>
          <w:lang w:val="en-US" w:eastAsia="zh-CN" w:bidi="ar-SA"/>
        </w:rPr>
        <w:tab/>
      </w:r>
      <w:r>
        <w:rPr>
          <w:rFonts w:hint="eastAsia" w:ascii="仿宋_GB2312" w:hAnsi="仿宋_GB2312" w:eastAsia="仿宋_GB2312" w:cs="仿宋_GB2312"/>
          <w:kern w:val="2"/>
          <w:sz w:val="32"/>
          <w:szCs w:val="32"/>
          <w:shd w:val="clear" w:color="auto" w:fill="FFFFFF"/>
          <w:lang w:val="en-US" w:eastAsia="zh-CN" w:bidi="ar-SA"/>
        </w:rPr>
        <w:t>农业农村58.24万元，2130199-其他农业农村支出58.24万元。</w:t>
      </w:r>
    </w:p>
    <w:p w14:paraId="4CC1DB7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19"/>
          <w:rFonts w:hint="eastAsia" w:ascii="仿宋" w:hAnsi="仿宋" w:eastAsia="仿宋"/>
          <w:b w:val="0"/>
          <w:bCs/>
          <w:sz w:val="32"/>
          <w:szCs w:val="32"/>
        </w:rPr>
      </w:pPr>
      <w:r>
        <w:rPr>
          <w:rFonts w:hint="eastAsia" w:ascii="仿宋" w:hAnsi="仿宋" w:eastAsia="仿宋" w:cs="Times New Roman"/>
          <w:b/>
          <w:bCs/>
          <w:kern w:val="2"/>
          <w:sz w:val="32"/>
          <w:szCs w:val="32"/>
          <w:lang w:val="en-US" w:eastAsia="zh-CN" w:bidi="ar-SA"/>
        </w:rPr>
        <w:t>7.巩固脱贫攻坚成果衔接乡村振兴：</w:t>
      </w:r>
      <w:r>
        <w:rPr>
          <w:rFonts w:hint="eastAsia" w:ascii="仿宋_GB2312" w:hAnsi="仿宋_GB2312" w:eastAsia="仿宋_GB2312" w:cs="仿宋_GB2312"/>
          <w:kern w:val="2"/>
          <w:sz w:val="32"/>
          <w:szCs w:val="32"/>
          <w:shd w:val="clear" w:color="auto" w:fill="FFFFFF"/>
          <w:lang w:val="en-US" w:eastAsia="zh-CN" w:bidi="ar-SA"/>
        </w:rPr>
        <w:t>支出决算69.85万元，2130502-一般行政管理事务1.85万元，2130504-农村基础设施建设63.01万元，2130599-其他巩固脱贫攻坚成果衔接乡村振兴支出5.00万元。</w:t>
      </w:r>
    </w:p>
    <w:p w14:paraId="0FBC70B6">
      <w:pPr>
        <w:pStyle w:val="12"/>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hint="eastAsia" w:ascii="仿宋_GB2312" w:hAnsi="仿宋_GB2312" w:eastAsia="仿宋_GB2312" w:cs="仿宋_GB2312"/>
          <w:kern w:val="2"/>
          <w:sz w:val="32"/>
          <w:szCs w:val="32"/>
          <w:shd w:val="clear" w:color="auto" w:fill="FFFFFF"/>
          <w:lang w:val="en-US" w:eastAsia="zh-CN" w:bidi="ar-SA"/>
        </w:rPr>
      </w:pPr>
      <w:r>
        <w:rPr>
          <w:rFonts w:hint="eastAsia" w:ascii="仿宋" w:hAnsi="仿宋" w:eastAsia="仿宋" w:cs="Times New Roman"/>
          <w:b/>
          <w:bCs/>
          <w:kern w:val="2"/>
          <w:sz w:val="32"/>
          <w:szCs w:val="32"/>
          <w:lang w:val="en-US" w:eastAsia="zh-CN" w:bidi="ar-SA"/>
        </w:rPr>
        <w:t>8.农村综合改革：</w:t>
      </w:r>
      <w:r>
        <w:rPr>
          <w:rFonts w:hint="eastAsia" w:ascii="仿宋_GB2312" w:hAnsi="仿宋_GB2312" w:eastAsia="仿宋_GB2312" w:cs="仿宋_GB2312"/>
          <w:kern w:val="2"/>
          <w:sz w:val="32"/>
          <w:szCs w:val="32"/>
          <w:shd w:val="clear" w:color="auto" w:fill="FFFFFF"/>
          <w:lang w:val="en-US" w:eastAsia="zh-CN" w:bidi="ar-SA"/>
        </w:rPr>
        <w:t>支出决算为250.62万元，2130705-对村民委员会和村党支部的补助250.62万元。</w:t>
      </w:r>
    </w:p>
    <w:p w14:paraId="7D0E3499">
      <w:pPr>
        <w:pageBreakBefore w:val="0"/>
        <w:kinsoku/>
        <w:wordWrap/>
        <w:overflowPunct/>
        <w:topLinePunct w:val="0"/>
        <w:bidi w:val="0"/>
        <w:spacing w:line="576" w:lineRule="exact"/>
        <w:ind w:firstLine="643" w:firstLineChars="200"/>
        <w:textAlignment w:val="auto"/>
        <w:rPr>
          <w:rFonts w:ascii="仿宋" w:hAnsi="仿宋" w:eastAsia="仿宋"/>
          <w:b/>
          <w:sz w:val="32"/>
          <w:szCs w:val="32"/>
        </w:rPr>
      </w:pPr>
      <w:r>
        <w:rPr>
          <w:rFonts w:hint="eastAsia" w:ascii="仿宋" w:hAnsi="仿宋" w:eastAsia="仿宋" w:cs="Times New Roman"/>
          <w:b/>
          <w:bCs/>
          <w:kern w:val="2"/>
          <w:sz w:val="32"/>
          <w:szCs w:val="32"/>
          <w:lang w:val="en-US" w:eastAsia="zh-CN" w:bidi="ar-SA"/>
        </w:rPr>
        <w:t>9.住房保障：</w:t>
      </w:r>
      <w:r>
        <w:rPr>
          <w:rFonts w:hint="eastAsia" w:ascii="仿宋_GB2312" w:hAnsi="仿宋_GB2312" w:eastAsia="仿宋_GB2312" w:cs="仿宋_GB2312"/>
          <w:kern w:val="2"/>
          <w:sz w:val="32"/>
          <w:szCs w:val="32"/>
          <w:shd w:val="clear" w:color="auto" w:fill="FFFFFF"/>
          <w:lang w:val="en-US" w:eastAsia="zh-CN" w:bidi="ar-SA"/>
        </w:rPr>
        <w:t>住房保障支出</w:t>
      </w:r>
      <w:r>
        <w:rPr>
          <w:rFonts w:hint="eastAsia" w:ascii="仿宋_GB2312" w:hAnsi="仿宋_GB2312" w:eastAsia="仿宋_GB2312" w:cs="仿宋_GB2312"/>
          <w:kern w:val="2"/>
          <w:sz w:val="32"/>
          <w:szCs w:val="32"/>
          <w:shd w:val="clear" w:color="auto" w:fill="FFFFFF"/>
          <w:lang w:val="en-US" w:eastAsia="zh-CN" w:bidi="ar-SA"/>
        </w:rPr>
        <w:tab/>
      </w:r>
      <w:r>
        <w:rPr>
          <w:rFonts w:hint="eastAsia" w:ascii="仿宋_GB2312" w:hAnsi="仿宋_GB2312" w:eastAsia="仿宋_GB2312" w:cs="仿宋_GB2312"/>
          <w:kern w:val="2"/>
          <w:sz w:val="32"/>
          <w:szCs w:val="32"/>
          <w:shd w:val="clear" w:color="auto" w:fill="FFFFFF"/>
          <w:lang w:val="en-US" w:eastAsia="zh-CN" w:bidi="ar-SA"/>
        </w:rPr>
        <w:t>82.53万元，22102-住房改革支出82.53万元，2210201</w:t>
      </w:r>
      <w:r>
        <w:rPr>
          <w:rFonts w:hint="eastAsia" w:ascii="仿宋_GB2312" w:hAnsi="仿宋_GB2312" w:eastAsia="仿宋_GB2312" w:cs="仿宋_GB2312"/>
          <w:kern w:val="2"/>
          <w:sz w:val="32"/>
          <w:szCs w:val="32"/>
          <w:shd w:val="clear" w:color="auto" w:fill="FFFFFF"/>
          <w:lang w:val="en-US" w:eastAsia="zh-CN" w:bidi="ar-SA"/>
        </w:rPr>
        <w:tab/>
      </w:r>
      <w:r>
        <w:rPr>
          <w:rFonts w:hint="eastAsia" w:ascii="仿宋_GB2312" w:hAnsi="仿宋_GB2312" w:eastAsia="仿宋_GB2312" w:cs="仿宋_GB2312"/>
          <w:kern w:val="2"/>
          <w:sz w:val="32"/>
          <w:szCs w:val="32"/>
          <w:shd w:val="clear" w:color="auto" w:fill="FFFFFF"/>
          <w:lang w:val="en-US" w:eastAsia="zh-CN" w:bidi="ar-SA"/>
        </w:rPr>
        <w:t>-住房公积金82.53万元。</w:t>
      </w:r>
    </w:p>
    <w:p w14:paraId="7A2428F9">
      <w:pPr>
        <w:pageBreakBefore w:val="0"/>
        <w:tabs>
          <w:tab w:val="right" w:pos="8306"/>
        </w:tabs>
        <w:kinsoku/>
        <w:wordWrap/>
        <w:overflowPunct/>
        <w:topLinePunct w:val="0"/>
        <w:bidi w:val="0"/>
        <w:spacing w:line="576" w:lineRule="exact"/>
        <w:ind w:firstLine="640"/>
        <w:textAlignment w:val="auto"/>
        <w:outlineLvl w:val="1"/>
        <w:rPr>
          <w:rStyle w:val="31"/>
        </w:rPr>
      </w:pPr>
      <w:bookmarkStart w:id="27" w:name="_Toc15377214"/>
      <w:bookmarkStart w:id="28"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27"/>
      <w:bookmarkEnd w:id="28"/>
      <w:r>
        <w:rPr>
          <w:rStyle w:val="31"/>
          <w:rFonts w:ascii="黑体" w:hAnsi="黑体" w:eastAsia="黑体"/>
          <w:b w:val="0"/>
        </w:rPr>
        <w:tab/>
      </w:r>
    </w:p>
    <w:p w14:paraId="4995AD21">
      <w:pPr>
        <w:pageBreakBefore w:val="0"/>
        <w:kinsoku/>
        <w:wordWrap/>
        <w:overflowPunct/>
        <w:topLinePunct w:val="0"/>
        <w:bidi w:val="0"/>
        <w:spacing w:line="576" w:lineRule="exact"/>
        <w:ind w:firstLine="645"/>
        <w:textAlignment w:val="auto"/>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1310.61</w:t>
      </w:r>
      <w:r>
        <w:rPr>
          <w:rFonts w:hint="eastAsia" w:ascii="仿宋" w:hAnsi="仿宋" w:eastAsia="仿宋"/>
          <w:sz w:val="32"/>
          <w:szCs w:val="32"/>
        </w:rPr>
        <w:t>万元，其中：</w:t>
      </w:r>
    </w:p>
    <w:p w14:paraId="695A5045">
      <w:pPr>
        <w:pageBreakBefore w:val="0"/>
        <w:kinsoku/>
        <w:wordWrap/>
        <w:overflowPunct/>
        <w:topLinePunct w:val="0"/>
        <w:bidi w:val="0"/>
        <w:spacing w:line="576" w:lineRule="exact"/>
        <w:ind w:firstLine="645"/>
        <w:textAlignment w:val="auto"/>
        <w:rPr>
          <w:rFonts w:ascii="仿宋" w:hAnsi="仿宋" w:eastAsia="仿宋"/>
          <w:sz w:val="32"/>
          <w:szCs w:val="32"/>
        </w:rPr>
      </w:pPr>
      <w:r>
        <w:rPr>
          <w:rFonts w:hint="eastAsia" w:ascii="仿宋" w:hAnsi="仿宋" w:eastAsia="仿宋"/>
          <w:sz w:val="32"/>
          <w:szCs w:val="32"/>
        </w:rPr>
        <w:t>人员经费</w:t>
      </w:r>
      <w:r>
        <w:rPr>
          <w:rFonts w:hint="eastAsia" w:eastAsia="仿宋"/>
          <w:sz w:val="32"/>
          <w:szCs w:val="32"/>
          <w:lang w:val="en-US" w:eastAsia="zh-CN"/>
        </w:rPr>
        <w:t>1178.38</w:t>
      </w:r>
      <w:r>
        <w:rPr>
          <w:rFonts w:hint="eastAsia" w:ascii="仿宋" w:hAnsi="仿宋" w:eastAsia="仿宋"/>
          <w:sz w:val="32"/>
          <w:szCs w:val="32"/>
        </w:rPr>
        <w:t>万元，主要包括：基本工资</w:t>
      </w:r>
      <w:r>
        <w:rPr>
          <w:rFonts w:hint="eastAsia" w:ascii="仿宋" w:hAnsi="仿宋" w:eastAsia="仿宋"/>
          <w:sz w:val="32"/>
          <w:szCs w:val="32"/>
          <w:lang w:val="en-US" w:eastAsia="zh-CN"/>
        </w:rPr>
        <w:t>195.35万元、</w:t>
      </w:r>
      <w:r>
        <w:rPr>
          <w:rFonts w:hint="eastAsia" w:ascii="仿宋" w:hAnsi="仿宋" w:eastAsia="仿宋"/>
          <w:sz w:val="32"/>
          <w:szCs w:val="32"/>
        </w:rPr>
        <w:t>津贴补贴</w:t>
      </w:r>
      <w:r>
        <w:rPr>
          <w:rFonts w:hint="eastAsia" w:ascii="仿宋" w:hAnsi="仿宋" w:eastAsia="仿宋"/>
          <w:sz w:val="32"/>
          <w:szCs w:val="32"/>
          <w:lang w:val="en-US" w:eastAsia="zh-CN"/>
        </w:rPr>
        <w:t>369.03万元</w:t>
      </w:r>
      <w:r>
        <w:rPr>
          <w:rFonts w:hint="eastAsia" w:ascii="仿宋" w:hAnsi="仿宋" w:eastAsia="仿宋"/>
          <w:sz w:val="32"/>
          <w:szCs w:val="32"/>
        </w:rPr>
        <w:t>、奖金</w:t>
      </w:r>
      <w:r>
        <w:rPr>
          <w:rFonts w:hint="eastAsia" w:ascii="仿宋" w:hAnsi="仿宋" w:eastAsia="仿宋"/>
          <w:sz w:val="32"/>
          <w:szCs w:val="32"/>
          <w:lang w:val="en-US" w:eastAsia="zh-CN"/>
        </w:rPr>
        <w:t>262.69万元</w:t>
      </w:r>
      <w:r>
        <w:rPr>
          <w:rFonts w:hint="eastAsia" w:ascii="仿宋" w:hAnsi="仿宋" w:eastAsia="仿宋"/>
          <w:sz w:val="32"/>
          <w:szCs w:val="32"/>
        </w:rPr>
        <w:t>、绩效工资</w:t>
      </w:r>
      <w:r>
        <w:rPr>
          <w:rFonts w:hint="eastAsia" w:ascii="仿宋" w:hAnsi="仿宋" w:eastAsia="仿宋"/>
          <w:sz w:val="32"/>
          <w:szCs w:val="32"/>
          <w:lang w:val="en-US" w:eastAsia="zh-CN"/>
        </w:rPr>
        <w:t>41.52万元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98.71万元</w:t>
      </w:r>
      <w:r>
        <w:rPr>
          <w:rFonts w:hint="eastAsia" w:ascii="仿宋" w:hAnsi="仿宋" w:eastAsia="仿宋"/>
          <w:sz w:val="32"/>
          <w:szCs w:val="32"/>
        </w:rPr>
        <w:t>、职业年金缴费</w:t>
      </w:r>
      <w:r>
        <w:rPr>
          <w:rFonts w:hint="eastAsia" w:ascii="仿宋" w:hAnsi="仿宋" w:eastAsia="仿宋"/>
          <w:sz w:val="32"/>
          <w:szCs w:val="32"/>
          <w:lang w:val="en-US" w:eastAsia="zh-CN"/>
        </w:rPr>
        <w:t>49.35万元</w:t>
      </w:r>
      <w:r>
        <w:rPr>
          <w:rFonts w:hint="eastAsia" w:ascii="仿宋" w:hAnsi="仿宋" w:eastAsia="仿宋"/>
          <w:sz w:val="32"/>
          <w:szCs w:val="32"/>
        </w:rPr>
        <w:t>、</w:t>
      </w:r>
      <w:r>
        <w:rPr>
          <w:rFonts w:hint="eastAsia" w:ascii="仿宋" w:hAnsi="仿宋" w:eastAsia="仿宋"/>
          <w:sz w:val="32"/>
          <w:szCs w:val="32"/>
          <w:lang w:eastAsia="zh-CN"/>
        </w:rPr>
        <w:t>基本医疗保险费</w:t>
      </w:r>
      <w:r>
        <w:rPr>
          <w:rFonts w:hint="eastAsia" w:ascii="仿宋" w:hAnsi="仿宋" w:eastAsia="仿宋"/>
          <w:sz w:val="32"/>
          <w:szCs w:val="32"/>
          <w:lang w:val="en-US" w:eastAsia="zh-CN"/>
        </w:rPr>
        <w:t>50.37万元、公务员补助缴费12.95万元、</w:t>
      </w:r>
      <w:r>
        <w:rPr>
          <w:rFonts w:hint="eastAsia" w:ascii="仿宋" w:hAnsi="仿宋" w:eastAsia="仿宋"/>
          <w:sz w:val="32"/>
          <w:szCs w:val="32"/>
        </w:rPr>
        <w:t>其他社会保障缴费</w:t>
      </w:r>
      <w:r>
        <w:rPr>
          <w:rFonts w:hint="eastAsia" w:ascii="仿宋" w:hAnsi="仿宋" w:eastAsia="仿宋"/>
          <w:sz w:val="32"/>
          <w:szCs w:val="32"/>
          <w:lang w:val="en-US" w:eastAsia="zh-CN"/>
        </w:rPr>
        <w:t>11.46万元</w:t>
      </w:r>
      <w:r>
        <w:rPr>
          <w:rFonts w:hint="eastAsia" w:ascii="仿宋" w:hAnsi="仿宋" w:eastAsia="仿宋"/>
          <w:sz w:val="32"/>
          <w:szCs w:val="32"/>
        </w:rPr>
        <w:t>、住房公积金</w:t>
      </w:r>
      <w:r>
        <w:rPr>
          <w:rFonts w:hint="eastAsia" w:ascii="仿宋" w:hAnsi="仿宋" w:eastAsia="仿宋"/>
          <w:sz w:val="32"/>
          <w:szCs w:val="32"/>
          <w:lang w:val="en-US" w:eastAsia="zh-CN"/>
        </w:rPr>
        <w:t>82.53万元</w:t>
      </w:r>
      <w:r>
        <w:rPr>
          <w:rFonts w:hint="eastAsia" w:ascii="仿宋" w:hAnsi="仿宋" w:eastAsia="仿宋"/>
          <w:sz w:val="32"/>
          <w:szCs w:val="32"/>
        </w:rPr>
        <w:t>、</w:t>
      </w:r>
      <w:r>
        <w:rPr>
          <w:rFonts w:hint="eastAsia" w:ascii="仿宋" w:hAnsi="仿宋" w:eastAsia="仿宋"/>
          <w:sz w:val="32"/>
          <w:szCs w:val="32"/>
          <w:lang w:eastAsia="zh-CN"/>
        </w:rPr>
        <w:t>医疗费</w:t>
      </w:r>
      <w:r>
        <w:rPr>
          <w:rFonts w:hint="eastAsia" w:ascii="仿宋" w:hAnsi="仿宋" w:eastAsia="仿宋"/>
          <w:sz w:val="32"/>
          <w:szCs w:val="32"/>
          <w:lang w:val="en-US" w:eastAsia="zh-CN"/>
        </w:rPr>
        <w:t>4.44、对个人和家庭的补助49.16、抚恤金27.78万元、生活补助30.37万元、医疗补助、个人农业生产补贴</w:t>
      </w:r>
      <w:r>
        <w:rPr>
          <w:rFonts w:hint="eastAsia" w:ascii="仿宋" w:hAnsi="仿宋" w:eastAsia="仿宋"/>
          <w:sz w:val="32"/>
          <w:szCs w:val="32"/>
        </w:rPr>
        <w:t>等。</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78.08</w:t>
      </w:r>
      <w:r>
        <w:rPr>
          <w:rFonts w:hint="eastAsia" w:ascii="仿宋" w:hAnsi="仿宋" w:eastAsia="仿宋"/>
          <w:sz w:val="32"/>
          <w:szCs w:val="32"/>
        </w:rPr>
        <w:t>万元，主要包括：办公费</w:t>
      </w:r>
      <w:r>
        <w:rPr>
          <w:rFonts w:hint="eastAsia" w:ascii="仿宋" w:hAnsi="仿宋" w:eastAsia="仿宋"/>
          <w:sz w:val="32"/>
          <w:szCs w:val="32"/>
          <w:lang w:val="en-US" w:eastAsia="zh-CN"/>
        </w:rPr>
        <w:t>23.15万元</w:t>
      </w:r>
      <w:r>
        <w:rPr>
          <w:rFonts w:hint="eastAsia" w:ascii="仿宋" w:hAnsi="仿宋" w:eastAsia="仿宋"/>
          <w:sz w:val="32"/>
          <w:szCs w:val="32"/>
        </w:rPr>
        <w:t>、印刷费</w:t>
      </w:r>
      <w:r>
        <w:rPr>
          <w:rFonts w:hint="eastAsia" w:ascii="仿宋" w:hAnsi="仿宋" w:eastAsia="仿宋"/>
          <w:sz w:val="32"/>
          <w:szCs w:val="32"/>
          <w:lang w:val="en-US" w:eastAsia="zh-CN"/>
        </w:rPr>
        <w:t>24.40万元</w:t>
      </w:r>
      <w:r>
        <w:rPr>
          <w:rFonts w:hint="eastAsia" w:ascii="仿宋" w:hAnsi="仿宋" w:eastAsia="仿宋"/>
          <w:sz w:val="32"/>
          <w:szCs w:val="32"/>
        </w:rPr>
        <w:t>、电费</w:t>
      </w:r>
      <w:r>
        <w:rPr>
          <w:rFonts w:hint="eastAsia" w:ascii="仿宋" w:hAnsi="仿宋" w:eastAsia="仿宋"/>
          <w:sz w:val="32"/>
          <w:szCs w:val="32"/>
          <w:lang w:val="en-US" w:eastAsia="zh-CN"/>
        </w:rPr>
        <w:t>6.50万元</w:t>
      </w:r>
      <w:r>
        <w:rPr>
          <w:rFonts w:hint="eastAsia" w:ascii="仿宋" w:hAnsi="仿宋" w:eastAsia="仿宋"/>
          <w:sz w:val="32"/>
          <w:szCs w:val="32"/>
        </w:rPr>
        <w:t>、邮电费</w:t>
      </w:r>
      <w:r>
        <w:rPr>
          <w:rFonts w:hint="eastAsia" w:ascii="仿宋" w:hAnsi="仿宋" w:eastAsia="仿宋"/>
          <w:sz w:val="32"/>
          <w:szCs w:val="32"/>
          <w:lang w:val="en-US" w:eastAsia="zh-CN"/>
        </w:rPr>
        <w:t>1.4万元</w:t>
      </w:r>
      <w:r>
        <w:rPr>
          <w:rFonts w:hint="eastAsia" w:ascii="仿宋" w:hAnsi="仿宋" w:eastAsia="仿宋"/>
          <w:sz w:val="32"/>
          <w:szCs w:val="32"/>
        </w:rPr>
        <w:t>、取暖费、物业管理费、差旅费</w:t>
      </w:r>
      <w:r>
        <w:rPr>
          <w:rFonts w:hint="eastAsia" w:ascii="仿宋" w:hAnsi="仿宋" w:eastAsia="仿宋"/>
          <w:sz w:val="32"/>
          <w:szCs w:val="32"/>
          <w:lang w:val="en-US" w:eastAsia="zh-CN"/>
        </w:rPr>
        <w:t>4万元</w:t>
      </w:r>
      <w:r>
        <w:rPr>
          <w:rFonts w:hint="eastAsia" w:ascii="仿宋" w:hAnsi="仿宋" w:eastAsia="仿宋"/>
          <w:sz w:val="32"/>
          <w:szCs w:val="32"/>
        </w:rPr>
        <w:t>、会议费</w:t>
      </w:r>
      <w:r>
        <w:rPr>
          <w:rFonts w:hint="eastAsia" w:ascii="仿宋" w:hAnsi="仿宋" w:eastAsia="仿宋"/>
          <w:sz w:val="32"/>
          <w:szCs w:val="32"/>
          <w:lang w:val="en-US" w:eastAsia="zh-CN"/>
        </w:rPr>
        <w:t>0.44万元</w:t>
      </w:r>
      <w:r>
        <w:rPr>
          <w:rFonts w:hint="eastAsia" w:ascii="仿宋" w:hAnsi="仿宋" w:eastAsia="仿宋"/>
          <w:sz w:val="32"/>
          <w:szCs w:val="32"/>
        </w:rPr>
        <w:t>、培训费</w:t>
      </w:r>
      <w:r>
        <w:rPr>
          <w:rFonts w:hint="eastAsia" w:ascii="仿宋" w:hAnsi="仿宋" w:eastAsia="仿宋"/>
          <w:sz w:val="32"/>
          <w:szCs w:val="32"/>
          <w:lang w:val="en-US" w:eastAsia="zh-CN"/>
        </w:rPr>
        <w:t>1.77万元</w:t>
      </w:r>
      <w:r>
        <w:rPr>
          <w:rFonts w:hint="eastAsia" w:ascii="仿宋" w:hAnsi="仿宋" w:eastAsia="仿宋"/>
          <w:sz w:val="32"/>
          <w:szCs w:val="32"/>
        </w:rPr>
        <w:t>、劳务费</w:t>
      </w:r>
      <w:r>
        <w:rPr>
          <w:rFonts w:hint="eastAsia" w:ascii="仿宋" w:hAnsi="仿宋" w:eastAsia="仿宋"/>
          <w:sz w:val="32"/>
          <w:szCs w:val="32"/>
          <w:lang w:val="en-US" w:eastAsia="zh-CN"/>
        </w:rPr>
        <w:t>3.60万元</w:t>
      </w:r>
      <w:r>
        <w:rPr>
          <w:rFonts w:hint="eastAsia" w:ascii="仿宋" w:hAnsi="仿宋" w:eastAsia="仿宋"/>
          <w:sz w:val="32"/>
          <w:szCs w:val="32"/>
        </w:rPr>
        <w:t>、工会经费</w:t>
      </w:r>
      <w:r>
        <w:rPr>
          <w:rFonts w:hint="eastAsia" w:ascii="仿宋" w:hAnsi="仿宋" w:eastAsia="仿宋"/>
          <w:sz w:val="32"/>
          <w:szCs w:val="32"/>
          <w:lang w:val="en-US" w:eastAsia="zh-CN"/>
        </w:rPr>
        <w:t>8.36万元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4.45万元</w:t>
      </w:r>
      <w:r>
        <w:rPr>
          <w:rFonts w:hint="eastAsia" w:ascii="仿宋" w:hAnsi="仿宋" w:eastAsia="仿宋"/>
          <w:sz w:val="32"/>
          <w:szCs w:val="32"/>
        </w:rPr>
        <w:t>、办公设备购置</w:t>
      </w:r>
      <w:r>
        <w:rPr>
          <w:rFonts w:hint="eastAsia" w:ascii="仿宋" w:hAnsi="仿宋" w:eastAsia="仿宋"/>
          <w:sz w:val="32"/>
          <w:szCs w:val="32"/>
          <w:lang w:val="en-US" w:eastAsia="zh-CN"/>
        </w:rPr>
        <w:t>5万元</w:t>
      </w:r>
      <w:r>
        <w:rPr>
          <w:rFonts w:hint="eastAsia" w:ascii="仿宋" w:hAnsi="仿宋" w:eastAsia="仿宋"/>
          <w:sz w:val="32"/>
          <w:szCs w:val="32"/>
        </w:rPr>
        <w:t>等。</w:t>
      </w:r>
    </w:p>
    <w:p w14:paraId="144821E8">
      <w:pPr>
        <w:pageBreakBefore w:val="0"/>
        <w:kinsoku/>
        <w:wordWrap/>
        <w:overflowPunct/>
        <w:topLinePunct w:val="0"/>
        <w:bidi w:val="0"/>
        <w:spacing w:line="576" w:lineRule="exact"/>
        <w:ind w:firstLine="640" w:firstLineChars="200"/>
        <w:textAlignment w:val="auto"/>
        <w:outlineLvl w:val="1"/>
        <w:rPr>
          <w:rStyle w:val="31"/>
          <w:rFonts w:ascii="黑体" w:hAnsi="黑体" w:eastAsia="黑体"/>
          <w:b w:val="0"/>
        </w:rPr>
      </w:pPr>
      <w:bookmarkStart w:id="29" w:name="_Toc15396609"/>
      <w:bookmarkStart w:id="30"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29"/>
      <w:bookmarkEnd w:id="30"/>
    </w:p>
    <w:p w14:paraId="59CA3620">
      <w:pPr>
        <w:pageBreakBefore w:val="0"/>
        <w:kinsoku/>
        <w:wordWrap/>
        <w:overflowPunct/>
        <w:topLinePunct w:val="0"/>
        <w:bidi w:val="0"/>
        <w:spacing w:line="576" w:lineRule="exact"/>
        <w:ind w:firstLine="640"/>
        <w:textAlignment w:val="auto"/>
        <w:outlineLvl w:val="2"/>
        <w:rPr>
          <w:rFonts w:ascii="仿宋" w:hAnsi="仿宋" w:eastAsia="仿宋"/>
          <w:b/>
          <w:sz w:val="32"/>
          <w:szCs w:val="32"/>
        </w:rPr>
      </w:pPr>
      <w:bookmarkStart w:id="31" w:name="_Toc15377216"/>
      <w:r>
        <w:rPr>
          <w:rFonts w:hint="eastAsia" w:ascii="仿宋" w:hAnsi="仿宋" w:eastAsia="仿宋"/>
          <w:b/>
          <w:sz w:val="32"/>
          <w:szCs w:val="32"/>
        </w:rPr>
        <w:t>（一）“三公”经费财政拨款支出决算总体情况说明</w:t>
      </w:r>
      <w:bookmarkEnd w:id="31"/>
    </w:p>
    <w:p w14:paraId="766C9FE2">
      <w:pPr>
        <w:pageBreakBefore w:val="0"/>
        <w:kinsoku/>
        <w:wordWrap/>
        <w:overflowPunct/>
        <w:topLinePunct w:val="0"/>
        <w:bidi w:val="0"/>
        <w:spacing w:line="576" w:lineRule="exact"/>
        <w:ind w:firstLine="64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 w:hAnsi="仿宋" w:eastAsia="仿宋"/>
          <w:sz w:val="32"/>
          <w:szCs w:val="32"/>
        </w:rPr>
        <w:t>2023年度“三公”经费财政拨款支出决算为</w:t>
      </w:r>
      <w:r>
        <w:rPr>
          <w:sz w:val="32"/>
          <w:szCs w:val="32"/>
        </w:rPr>
        <w:t>4.45</w:t>
      </w:r>
      <w:r>
        <w:rPr>
          <w:rFonts w:hint="eastAsia" w:ascii="仿宋" w:hAnsi="仿宋" w:eastAsia="仿宋"/>
          <w:sz w:val="32"/>
          <w:szCs w:val="32"/>
        </w:rPr>
        <w:t>万元，完成预算</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w:t>
      </w:r>
      <w:r>
        <w:rPr>
          <w:rFonts w:hint="eastAsia" w:ascii="仿宋_GB2312" w:hAnsi="仿宋_GB2312" w:eastAsia="仿宋_GB2312" w:cs="仿宋_GB2312"/>
          <w:color w:val="auto"/>
          <w:sz w:val="32"/>
          <w:szCs w:val="32"/>
          <w:highlight w:val="none"/>
          <w:shd w:val="clear" w:color="auto" w:fill="FFFFFF"/>
        </w:rPr>
        <w:t>决算数与预算数持平。</w:t>
      </w:r>
    </w:p>
    <w:p w14:paraId="5046ED70">
      <w:pPr>
        <w:pageBreakBefore w:val="0"/>
        <w:kinsoku/>
        <w:wordWrap/>
        <w:overflowPunct/>
        <w:topLinePunct w:val="0"/>
        <w:bidi w:val="0"/>
        <w:spacing w:line="576" w:lineRule="exact"/>
        <w:ind w:firstLine="640"/>
        <w:textAlignment w:val="auto"/>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50A402CE">
      <w:pPr>
        <w:pageBreakBefore w:val="0"/>
        <w:kinsoku/>
        <w:wordWrap/>
        <w:overflowPunct/>
        <w:topLinePunct w:val="0"/>
        <w:bidi w:val="0"/>
        <w:spacing w:line="576" w:lineRule="exact"/>
        <w:ind w:firstLine="640"/>
        <w:textAlignment w:val="auto"/>
        <w:outlineLvl w:val="2"/>
        <w:rPr>
          <w:rFonts w:ascii="仿宋" w:hAnsi="仿宋" w:eastAsia="仿宋"/>
          <w:b/>
          <w:sz w:val="32"/>
          <w:szCs w:val="32"/>
        </w:rPr>
      </w:pPr>
      <w:bookmarkStart w:id="32" w:name="_Toc15377217"/>
      <w:r>
        <w:rPr>
          <w:rFonts w:hint="eastAsia" w:ascii="仿宋" w:hAnsi="仿宋" w:eastAsia="仿宋"/>
          <w:b/>
          <w:sz w:val="32"/>
          <w:szCs w:val="32"/>
        </w:rPr>
        <w:t>（二）“三公”经费财政拨款支出决算具体情况说明</w:t>
      </w:r>
      <w:bookmarkEnd w:id="32"/>
    </w:p>
    <w:p w14:paraId="5D99BB79">
      <w:pPr>
        <w:pageBreakBefore w:val="0"/>
        <w:kinsoku/>
        <w:wordWrap/>
        <w:overflowPunct/>
        <w:topLinePunct w:val="0"/>
        <w:bidi w:val="0"/>
        <w:spacing w:line="576" w:lineRule="exact"/>
        <w:ind w:firstLine="640"/>
        <w:textAlignment w:val="auto"/>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4.45</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14:paraId="0539072F">
      <w:pPr>
        <w:pStyle w:val="6"/>
        <w:pageBreakBefore w:val="0"/>
        <w:kinsoku/>
        <w:wordWrap/>
        <w:overflowPunct/>
        <w:topLinePunct w:val="0"/>
        <w:bidi w:val="0"/>
        <w:spacing w:line="576" w:lineRule="exact"/>
        <w:textAlignment w:val="auto"/>
      </w:pPr>
      <w:r>
        <w:rPr>
          <w:rFonts w:hint="eastAsia" w:ascii="仿宋" w:hAnsi="仿宋" w:eastAsia="仿宋"/>
          <w:color w:val="auto"/>
          <w:sz w:val="32"/>
          <w:szCs w:val="32"/>
          <w:highlight w:val="none"/>
        </w:rPr>
        <w:drawing>
          <wp:anchor distT="0" distB="0" distL="114300" distR="114300" simplePos="0" relativeHeight="251665408" behindDoc="1" locked="0" layoutInCell="1" allowOverlap="1">
            <wp:simplePos x="0" y="0"/>
            <wp:positionH relativeFrom="column">
              <wp:posOffset>439420</wp:posOffset>
            </wp:positionH>
            <wp:positionV relativeFrom="paragraph">
              <wp:posOffset>137795</wp:posOffset>
            </wp:positionV>
            <wp:extent cx="4657090" cy="2202180"/>
            <wp:effectExtent l="5080" t="4445" r="5080" b="22225"/>
            <wp:wrapTight wrapText="bothSides">
              <wp:wrapPolygon>
                <wp:start x="-24" y="-44"/>
                <wp:lineTo x="-24" y="21444"/>
                <wp:lineTo x="21535" y="21444"/>
                <wp:lineTo x="21535" y="-44"/>
                <wp:lineTo x="-24" y="-44"/>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4D88163">
      <w:pPr>
        <w:pageBreakBefore w:val="0"/>
        <w:kinsoku/>
        <w:wordWrap/>
        <w:overflowPunct/>
        <w:topLinePunct w:val="0"/>
        <w:bidi w:val="0"/>
        <w:spacing w:line="576" w:lineRule="exact"/>
        <w:ind w:firstLine="640"/>
        <w:textAlignment w:val="auto"/>
        <w:rPr>
          <w:rFonts w:hint="eastAsia" w:ascii="仿宋" w:hAnsi="仿宋" w:eastAsia="仿宋"/>
          <w:sz w:val="32"/>
          <w:szCs w:val="32"/>
        </w:rPr>
      </w:pPr>
    </w:p>
    <w:p w14:paraId="763F847E">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（图7：“三公”经费财政拨款支出结构）（饼状图）</w:t>
      </w:r>
    </w:p>
    <w:p w14:paraId="46BBC79A">
      <w:pPr>
        <w:pageBreakBefore w:val="0"/>
        <w:kinsoku/>
        <w:wordWrap/>
        <w:overflowPunct/>
        <w:topLinePunct w:val="0"/>
        <w:bidi w:val="0"/>
        <w:spacing w:line="576" w:lineRule="exact"/>
        <w:ind w:firstLine="640"/>
        <w:textAlignment w:val="auto"/>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p>
    <w:p w14:paraId="42B41946">
      <w:pPr>
        <w:pageBreakBefore w:val="0"/>
        <w:kinsoku/>
        <w:wordWrap/>
        <w:overflowPunct/>
        <w:topLinePunct w:val="0"/>
        <w:bidi w:val="0"/>
        <w:spacing w:line="576" w:lineRule="exact"/>
        <w:ind w:firstLine="640"/>
        <w:textAlignment w:val="auto"/>
        <w:rPr>
          <w:rFonts w:ascii="仿宋_GB2312" w:hAnsi="仿宋_GB2312" w:eastAsia="仿宋_GB2312" w:cs="仿宋_GB2312"/>
          <w:color w:val="auto"/>
          <w:sz w:val="32"/>
          <w:szCs w:val="32"/>
          <w:highlight w:val="none"/>
          <w:shd w:val="clear" w:color="auto" w:fill="FFFFFF"/>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4.45</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Fonts w:hint="eastAsia" w:eastAsia="仿宋"/>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w:t>
      </w:r>
      <w:r>
        <w:rPr>
          <w:rFonts w:hint="eastAsia" w:ascii="仿宋_GB2312" w:eastAsia="仿宋_GB2312"/>
          <w:sz w:val="32"/>
          <w:szCs w:val="32"/>
          <w:lang w:val="en-US" w:eastAsia="zh-CN"/>
        </w:rPr>
        <w:t>0.66</w:t>
      </w:r>
      <w:r>
        <w:rPr>
          <w:rFonts w:hint="eastAsia" w:ascii="仿宋_GB2312" w:eastAsia="仿宋_GB2312"/>
          <w:sz w:val="32"/>
          <w:szCs w:val="32"/>
        </w:rPr>
        <w:t>万元，</w:t>
      </w:r>
      <w:r>
        <w:rPr>
          <w:rFonts w:hint="eastAsia" w:ascii="仿宋_GB2312" w:hAnsi="仿宋_GB2312" w:eastAsia="仿宋_GB2312" w:cs="仿宋_GB2312"/>
          <w:color w:val="auto"/>
          <w:sz w:val="32"/>
          <w:szCs w:val="32"/>
          <w:highlight w:val="none"/>
          <w:shd w:val="clear" w:color="auto" w:fill="FFFFFF"/>
        </w:rPr>
        <w:t>主要原因是</w:t>
      </w:r>
      <w:r>
        <w:rPr>
          <w:rFonts w:hint="eastAsia" w:ascii="仿宋_GB2312" w:hAnsi="仿宋_GB2312" w:eastAsia="仿宋_GB2312" w:cs="仿宋_GB2312"/>
          <w:color w:val="auto"/>
          <w:sz w:val="32"/>
          <w:szCs w:val="32"/>
          <w:highlight w:val="none"/>
          <w:shd w:val="clear" w:color="auto" w:fill="FFFFFF"/>
          <w:lang w:eastAsia="zh-CN"/>
        </w:rPr>
        <w:t>厉行节约</w:t>
      </w:r>
      <w:r>
        <w:rPr>
          <w:rFonts w:hint="eastAsia" w:ascii="仿宋_GB2312" w:hAnsi="仿宋_GB2312" w:eastAsia="仿宋_GB2312" w:cs="仿宋_GB2312"/>
          <w:color w:val="auto"/>
          <w:sz w:val="32"/>
          <w:szCs w:val="32"/>
          <w:highlight w:val="none"/>
          <w:shd w:val="clear" w:color="auto" w:fill="FFFFFF"/>
        </w:rPr>
        <w:t>。</w:t>
      </w:r>
    </w:p>
    <w:p w14:paraId="14DCFD22">
      <w:pPr>
        <w:pageBreakBefore w:val="0"/>
        <w:kinsoku/>
        <w:wordWrap/>
        <w:overflowPunct/>
        <w:topLinePunct w:val="0"/>
        <w:bidi w:val="0"/>
        <w:spacing w:line="576" w:lineRule="exact"/>
        <w:ind w:firstLine="640" w:firstLineChars="200"/>
        <w:textAlignment w:val="auto"/>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3E5AD447">
      <w:pPr>
        <w:pageBreakBefore w:val="0"/>
        <w:kinsoku/>
        <w:wordWrap/>
        <w:overflowPunct/>
        <w:topLinePunct w:val="0"/>
        <w:bidi w:val="0"/>
        <w:spacing w:line="576" w:lineRule="exact"/>
        <w:ind w:firstLine="643" w:firstLineChars="200"/>
        <w:textAlignment w:val="auto"/>
        <w:rPr>
          <w:rFonts w:ascii="仿宋_GB2312" w:eastAsia="仿宋_GB2312"/>
          <w:color w:val="auto"/>
          <w:sz w:val="32"/>
          <w:szCs w:val="32"/>
          <w:highlight w:val="none"/>
        </w:rPr>
      </w:pPr>
      <w:r>
        <w:rPr>
          <w:rFonts w:hint="eastAsia" w:ascii="仿宋_GB2312" w:eastAsia="仿宋_GB2312"/>
          <w:b/>
          <w:sz w:val="32"/>
          <w:szCs w:val="32"/>
        </w:rPr>
        <w:t>公务用车运行维护费支出</w:t>
      </w:r>
      <w:r>
        <w:rPr>
          <w:sz w:val="32"/>
          <w:szCs w:val="32"/>
        </w:rPr>
        <w:t>4.45</w:t>
      </w:r>
      <w:r>
        <w:rPr>
          <w:rFonts w:hint="eastAsia" w:ascii="仿宋_GB2312" w:eastAsia="仿宋_GB2312"/>
          <w:sz w:val="32"/>
          <w:szCs w:val="32"/>
        </w:rPr>
        <w:t>万元。</w:t>
      </w:r>
      <w:r>
        <w:rPr>
          <w:rFonts w:hint="eastAsia" w:ascii="仿宋_GB2312" w:eastAsia="仿宋_GB2312"/>
          <w:color w:val="auto"/>
          <w:sz w:val="32"/>
          <w:szCs w:val="32"/>
          <w:highlight w:val="none"/>
        </w:rPr>
        <w:t>主要用于下村、出差等所需的公务用车燃料费、维修费、过路费、保险费等支出。</w:t>
      </w:r>
    </w:p>
    <w:p w14:paraId="15E31F2B">
      <w:pPr>
        <w:pageBreakBefore w:val="0"/>
        <w:numPr>
          <w:ilvl w:val="0"/>
          <w:numId w:val="2"/>
        </w:numPr>
        <w:kinsoku/>
        <w:wordWrap/>
        <w:overflowPunct/>
        <w:topLinePunct w:val="0"/>
        <w:bidi w:val="0"/>
        <w:spacing w:line="576" w:lineRule="exact"/>
        <w:ind w:firstLine="640"/>
        <w:textAlignment w:val="auto"/>
        <w:outlineLvl w:val="1"/>
        <w:rPr>
          <w:rStyle w:val="19"/>
          <w:rFonts w:hint="eastAsia" w:ascii="仿宋" w:hAnsi="仿宋" w:eastAsia="仿宋"/>
          <w:b w:val="0"/>
          <w:bCs/>
          <w:sz w:val="32"/>
          <w:szCs w:val="32"/>
        </w:rPr>
      </w:pP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Fonts w:hint="eastAsia" w:eastAsia="仿宋"/>
          <w:sz w:val="32"/>
          <w:szCs w:val="32"/>
          <w:lang w:val="en-US" w:eastAsia="zh-CN"/>
        </w:rPr>
        <w:t>100</w:t>
      </w:r>
      <w:r>
        <w:rPr>
          <w:sz w:val="32"/>
          <w:szCs w:val="32"/>
        </w:rPr>
        <w:t>%</w:t>
      </w:r>
      <w:r>
        <w:rPr>
          <w:rStyle w:val="19"/>
          <w:rFonts w:hint="eastAsia" w:ascii="仿宋" w:hAnsi="仿宋" w:eastAsia="仿宋"/>
          <w:b w:val="0"/>
          <w:bCs/>
          <w:sz w:val="32"/>
          <w:szCs w:val="32"/>
        </w:rPr>
        <w:t>。</w:t>
      </w:r>
      <w:bookmarkStart w:id="33" w:name="_Toc15396610"/>
      <w:bookmarkStart w:id="34" w:name="_Toc15377218"/>
    </w:p>
    <w:p w14:paraId="2E57AA2C">
      <w:pPr>
        <w:pageBreakBefore w:val="0"/>
        <w:numPr>
          <w:ilvl w:val="0"/>
          <w:numId w:val="0"/>
        </w:numPr>
        <w:kinsoku/>
        <w:wordWrap/>
        <w:overflowPunct/>
        <w:topLinePunct w:val="0"/>
        <w:bidi w:val="0"/>
        <w:spacing w:line="576" w:lineRule="exact"/>
        <w:ind w:firstLine="640" w:firstLineChars="200"/>
        <w:textAlignment w:val="auto"/>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33"/>
      <w:bookmarkEnd w:id="34"/>
    </w:p>
    <w:p w14:paraId="07C748A3">
      <w:pPr>
        <w:pageBreakBefore w:val="0"/>
        <w:kinsoku/>
        <w:wordWrap/>
        <w:overflowPunct/>
        <w:topLinePunct w:val="0"/>
        <w:bidi w:val="0"/>
        <w:spacing w:line="576" w:lineRule="exact"/>
        <w:ind w:firstLine="640"/>
        <w:textAlignment w:val="auto"/>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14:paraId="734FC2E8">
      <w:pPr>
        <w:pageBreakBefore w:val="0"/>
        <w:numPr>
          <w:ilvl w:val="0"/>
          <w:numId w:val="3"/>
        </w:numPr>
        <w:kinsoku/>
        <w:wordWrap/>
        <w:overflowPunct/>
        <w:topLinePunct w:val="0"/>
        <w:bidi w:val="0"/>
        <w:spacing w:line="576" w:lineRule="exact"/>
        <w:ind w:firstLine="640"/>
        <w:textAlignment w:val="auto"/>
        <w:outlineLvl w:val="1"/>
        <w:rPr>
          <w:rStyle w:val="31"/>
          <w:rFonts w:ascii="黑体" w:hAnsi="黑体" w:eastAsia="黑体"/>
          <w:b w:val="0"/>
        </w:rPr>
      </w:pPr>
      <w:bookmarkStart w:id="35" w:name="_Toc15377219"/>
      <w:bookmarkStart w:id="36" w:name="_Toc15396611"/>
      <w:r>
        <w:rPr>
          <w:rStyle w:val="31"/>
          <w:rFonts w:hint="eastAsia" w:ascii="黑体" w:hAnsi="黑体" w:eastAsia="黑体"/>
          <w:b w:val="0"/>
        </w:rPr>
        <w:t>国有资本经营预算支出决算情况说明</w:t>
      </w:r>
      <w:bookmarkEnd w:id="35"/>
      <w:bookmarkEnd w:id="36"/>
    </w:p>
    <w:p w14:paraId="561A1231">
      <w:pPr>
        <w:pageBreakBefore w:val="0"/>
        <w:kinsoku/>
        <w:wordWrap/>
        <w:overflowPunct/>
        <w:topLinePunct w:val="0"/>
        <w:bidi w:val="0"/>
        <w:spacing w:line="576" w:lineRule="exact"/>
        <w:ind w:firstLine="640"/>
        <w:textAlignment w:val="auto"/>
        <w:rPr>
          <w:rFonts w:ascii="仿宋_GB2312" w:eastAsia="仿宋_GB2312"/>
          <w:sz w:val="32"/>
          <w:szCs w:val="32"/>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502128F6">
      <w:pPr>
        <w:pageBreakBefore w:val="0"/>
        <w:kinsoku/>
        <w:wordWrap/>
        <w:overflowPunct/>
        <w:topLinePunct w:val="0"/>
        <w:bidi w:val="0"/>
        <w:spacing w:line="576" w:lineRule="exact"/>
        <w:jc w:val="center"/>
        <w:textAlignment w:val="auto"/>
        <w:rPr>
          <w:rFonts w:ascii="方正小标宋简体" w:hAnsi="方正小标宋简体" w:eastAsia="方正小标宋简体" w:cs="方正小标宋简体"/>
          <w:sz w:val="44"/>
          <w:szCs w:val="44"/>
        </w:rPr>
      </w:pPr>
    </w:p>
    <w:p w14:paraId="78AABEB2">
      <w:pPr>
        <w:pageBreakBefore w:val="0"/>
        <w:numPr>
          <w:ilvl w:val="0"/>
          <w:numId w:val="3"/>
        </w:numPr>
        <w:kinsoku/>
        <w:wordWrap/>
        <w:overflowPunct/>
        <w:topLinePunct w:val="0"/>
        <w:bidi w:val="0"/>
        <w:spacing w:line="576" w:lineRule="exact"/>
        <w:ind w:firstLine="640"/>
        <w:textAlignment w:val="auto"/>
        <w:outlineLvl w:val="1"/>
        <w:rPr>
          <w:rStyle w:val="31"/>
          <w:rFonts w:ascii="黑体" w:hAnsi="黑体" w:eastAsia="黑体"/>
          <w:b w:val="0"/>
        </w:rPr>
      </w:pPr>
      <w:bookmarkStart w:id="37" w:name="_Toc15396612"/>
      <w:bookmarkStart w:id="38" w:name="_Toc15377221"/>
      <w:r>
        <w:rPr>
          <w:rStyle w:val="31"/>
          <w:rFonts w:hint="eastAsia" w:ascii="黑体" w:hAnsi="黑体" w:eastAsia="黑体"/>
          <w:b w:val="0"/>
        </w:rPr>
        <w:t>其他重要事项的情况说明</w:t>
      </w:r>
      <w:bookmarkEnd w:id="37"/>
      <w:bookmarkEnd w:id="38"/>
    </w:p>
    <w:p w14:paraId="573A0C4F">
      <w:pPr>
        <w:pageBreakBefore w:val="0"/>
        <w:kinsoku/>
        <w:wordWrap/>
        <w:overflowPunct/>
        <w:topLinePunct w:val="0"/>
        <w:bidi w:val="0"/>
        <w:spacing w:line="576" w:lineRule="exact"/>
        <w:ind w:firstLine="643" w:firstLineChars="200"/>
        <w:textAlignment w:val="auto"/>
        <w:outlineLvl w:val="2"/>
        <w:rPr>
          <w:rFonts w:ascii="仿宋" w:hAnsi="仿宋" w:eastAsia="仿宋"/>
          <w:sz w:val="32"/>
          <w:szCs w:val="32"/>
        </w:rPr>
      </w:pPr>
      <w:bookmarkStart w:id="39" w:name="_Toc15377222"/>
      <w:r>
        <w:rPr>
          <w:rFonts w:hint="eastAsia" w:ascii="仿宋" w:hAnsi="仿宋" w:eastAsia="仿宋"/>
          <w:b/>
          <w:sz w:val="32"/>
          <w:szCs w:val="32"/>
        </w:rPr>
        <w:t>（一）机关运行经费支出情况</w:t>
      </w:r>
      <w:bookmarkEnd w:id="39"/>
    </w:p>
    <w:p w14:paraId="0FB24059">
      <w:pPr>
        <w:pageBreakBefore w:val="0"/>
        <w:kinsoku/>
        <w:wordWrap/>
        <w:overflowPunct/>
        <w:topLinePunct w:val="0"/>
        <w:bidi w:val="0"/>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2023年度，</w:t>
      </w:r>
      <w:r>
        <w:rPr>
          <w:rFonts w:hint="eastAsia"/>
          <w:sz w:val="32"/>
          <w:szCs w:val="32"/>
        </w:rPr>
        <w:t>红原县邛溪镇人民政府</w:t>
      </w:r>
      <w:r>
        <w:rPr>
          <w:rFonts w:hint="eastAsia" w:ascii="仿宋_GB2312" w:eastAsia="仿宋_GB2312"/>
          <w:sz w:val="32"/>
          <w:szCs w:val="32"/>
        </w:rPr>
        <w:t>机关运行经费支出</w:t>
      </w:r>
      <w:r>
        <w:rPr>
          <w:rFonts w:hint="eastAsia" w:eastAsia="仿宋_GB2312"/>
          <w:sz w:val="32"/>
          <w:szCs w:val="32"/>
          <w:lang w:val="en-US" w:eastAsia="zh-CN"/>
        </w:rPr>
        <w:t>1123.95万元。</w:t>
      </w:r>
    </w:p>
    <w:p w14:paraId="23435CA8">
      <w:pPr>
        <w:pageBreakBefore w:val="0"/>
        <w:kinsoku/>
        <w:wordWrap/>
        <w:overflowPunct/>
        <w:topLinePunct w:val="0"/>
        <w:bidi w:val="0"/>
        <w:spacing w:line="576" w:lineRule="exact"/>
        <w:ind w:firstLine="643" w:firstLineChars="200"/>
        <w:textAlignment w:val="auto"/>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74B11758">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sz w:val="32"/>
          <w:szCs w:val="32"/>
        </w:rPr>
      </w:pPr>
      <w:bookmarkStart w:id="40" w:name="_Toc15377223"/>
      <w:r>
        <w:rPr>
          <w:rFonts w:hint="eastAsia" w:ascii="仿宋" w:hAnsi="仿宋" w:eastAsia="仿宋"/>
          <w:b/>
          <w:sz w:val="32"/>
          <w:szCs w:val="32"/>
        </w:rPr>
        <w:t>（二）政府采购支出情况</w:t>
      </w:r>
      <w:bookmarkEnd w:id="40"/>
    </w:p>
    <w:p w14:paraId="35EB9370">
      <w:pPr>
        <w:pageBreakBefore w:val="0"/>
        <w:kinsoku/>
        <w:wordWrap/>
        <w:overflowPunct/>
        <w:topLinePunct w:val="0"/>
        <w:bidi w:val="0"/>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2023年度，</w:t>
      </w:r>
      <w:r>
        <w:rPr>
          <w:rFonts w:hint="eastAsia"/>
          <w:sz w:val="32"/>
          <w:szCs w:val="32"/>
        </w:rPr>
        <w:t>红原县邛溪镇人民政府</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p>
    <w:p w14:paraId="2BA6A179">
      <w:pPr>
        <w:pageBreakBefore w:val="0"/>
        <w:kinsoku/>
        <w:wordWrap/>
        <w:overflowPunct/>
        <w:topLinePunct w:val="0"/>
        <w:bidi w:val="0"/>
        <w:spacing w:line="576" w:lineRule="exact"/>
        <w:ind w:firstLine="643" w:firstLineChars="200"/>
        <w:textAlignment w:val="auto"/>
        <w:rPr>
          <w:rFonts w:ascii="仿宋" w:hAnsi="仿宋" w:eastAsia="仿宋"/>
          <w:b/>
          <w:sz w:val="32"/>
          <w:szCs w:val="32"/>
        </w:rPr>
      </w:pPr>
      <w:bookmarkStart w:id="41" w:name="_Toc15377224"/>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5265D9D">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sz w:val="32"/>
          <w:szCs w:val="32"/>
        </w:rPr>
      </w:pPr>
      <w:r>
        <w:rPr>
          <w:rFonts w:hint="eastAsia" w:ascii="仿宋" w:hAnsi="仿宋" w:eastAsia="仿宋"/>
          <w:b/>
          <w:sz w:val="32"/>
          <w:szCs w:val="32"/>
        </w:rPr>
        <w:t>（三）国有资产占有使用情况</w:t>
      </w:r>
      <w:bookmarkEnd w:id="41"/>
    </w:p>
    <w:p w14:paraId="0EF3740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红原县邛溪镇人民政府</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w:t>
      </w:r>
      <w:r>
        <w:rPr>
          <w:rFonts w:hint="eastAsia" w:ascii="仿宋_GB2312" w:hAnsi="仿宋_GB2312" w:eastAsia="仿宋_GB2312" w:cs="仿宋_GB2312"/>
          <w:color w:val="auto"/>
          <w:sz w:val="32"/>
          <w:szCs w:val="32"/>
          <w:highlight w:val="none"/>
          <w:shd w:val="clear" w:color="auto" w:fill="FFFFFF"/>
        </w:rPr>
        <w:t>主要领导干部用车0辆、一般公务用车2辆，主要是用于日常出差、下村开展工作等方面使用。</w:t>
      </w:r>
    </w:p>
    <w:p w14:paraId="449C9F56">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2EC27B73">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6687071F">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0123BC97">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3CE2A8DC">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34DB9355">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24624D5">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3631529E">
      <w:pPr>
        <w:pageBreakBefore w:val="0"/>
        <w:numPr>
          <w:ilvl w:val="0"/>
          <w:numId w:val="4"/>
        </w:numPr>
        <w:kinsoku/>
        <w:wordWrap/>
        <w:overflowPunct/>
        <w:topLinePunct w:val="0"/>
        <w:bidi w:val="0"/>
        <w:spacing w:line="576" w:lineRule="exact"/>
        <w:ind w:firstLine="660" w:firstLineChars="150"/>
        <w:jc w:val="center"/>
        <w:textAlignment w:val="auto"/>
        <w:outlineLvl w:val="0"/>
        <w:rPr>
          <w:rFonts w:ascii="宋体"/>
          <w:b/>
          <w:color w:val="auto"/>
          <w:sz w:val="44"/>
          <w:szCs w:val="44"/>
          <w:highlight w:val="none"/>
        </w:rPr>
      </w:pPr>
      <w:bookmarkStart w:id="42" w:name="_Toc57146381"/>
      <w:bookmarkStart w:id="43" w:name="_Toc15396613"/>
      <w:bookmarkStart w:id="44" w:name="_Toc15377225"/>
      <w:r>
        <w:rPr>
          <w:rFonts w:hint="eastAsia" w:ascii="黑体" w:hAnsi="黑体" w:eastAsia="黑体"/>
          <w:color w:val="auto"/>
          <w:sz w:val="44"/>
          <w:szCs w:val="44"/>
          <w:highlight w:val="none"/>
        </w:rPr>
        <w:t>名</w:t>
      </w:r>
      <w:r>
        <w:rPr>
          <w:rStyle w:val="30"/>
          <w:rFonts w:hint="eastAsia" w:ascii="黑体" w:hAnsi="黑体" w:eastAsia="黑体"/>
          <w:b w:val="0"/>
          <w:color w:val="auto"/>
          <w:highlight w:val="none"/>
        </w:rPr>
        <w:t>词解释</w:t>
      </w:r>
      <w:bookmarkEnd w:id="42"/>
      <w:bookmarkEnd w:id="43"/>
      <w:bookmarkEnd w:id="44"/>
    </w:p>
    <w:p w14:paraId="347418A9">
      <w:pPr>
        <w:pageBreakBefore w:val="0"/>
        <w:numPr>
          <w:ilvl w:val="0"/>
          <w:numId w:val="0"/>
        </w:numPr>
        <w:kinsoku/>
        <w:wordWrap/>
        <w:overflowPunct/>
        <w:topLinePunct w:val="0"/>
        <w:bidi w:val="0"/>
        <w:spacing w:line="576" w:lineRule="exact"/>
        <w:jc w:val="both"/>
        <w:textAlignment w:val="auto"/>
        <w:outlineLvl w:val="0"/>
        <w:rPr>
          <w:rFonts w:ascii="宋体"/>
          <w:b/>
          <w:color w:val="auto"/>
          <w:sz w:val="44"/>
          <w:szCs w:val="44"/>
          <w:highlight w:val="none"/>
        </w:rPr>
      </w:pPr>
    </w:p>
    <w:p w14:paraId="41381D05">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1.财政拨款收入：指单位从同级财政部门取得的财政预算资金。</w:t>
      </w:r>
    </w:p>
    <w:p w14:paraId="5CF3C884">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2.其他收入：指单位取得财政拨款收入以外的各项收入。主要是眉山援建项目收入等。</w:t>
      </w:r>
    </w:p>
    <w:p w14:paraId="37CB1A6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3.年初结转和结余：指以前年度尚未完成、结转到本年按有关规定继续使用的资金。</w:t>
      </w:r>
    </w:p>
    <w:p w14:paraId="4DA9E24B">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4、年末结转和结余：指单位按有关规定结转到下年或以后年度继续使用的资金。</w:t>
      </w:r>
    </w:p>
    <w:p w14:paraId="270E0BE0">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5. 一般公共服务（类）201（款）01（项）01——行政运行：反映行政单位（包括实行公务员管理的事业单位）的基本支出反映行政单位（包括实行公务员管理的事业单位）的基本支出。</w:t>
      </w:r>
    </w:p>
    <w:p w14:paraId="1D04881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6. 一般公共服务（类）201（款）01（项）04——人大会议费：反映各级人大召开"人代会"等专门会议的支出</w:t>
      </w:r>
    </w:p>
    <w:p w14:paraId="4227B8A4">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7. 一般公共服务（类）201（款03（项）01——行政运行：反映各级政府办公厅（室）及相关机构的支出</w:t>
      </w:r>
    </w:p>
    <w:p w14:paraId="0E8A88F1">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8. 一般公共服务（类）201（款）03（项）99——其他政府办公厅（室）及相关机构事务支出：反映除上述项目以外的其他政府办公厅（室）及相关机构事务支出。</w:t>
      </w:r>
    </w:p>
    <w:p w14:paraId="03C78A69">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9. 一般公共服务（类）201（款）06（项）01—行政运行: 反映财政事务方面的支出。</w:t>
      </w:r>
    </w:p>
    <w:p w14:paraId="23848E31">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10. 一般公共服务（类）201（款）31（项）01—其它政府办公厅及相关事务支出:反映行政单位（包括实行公务员管理的事业单位）的基本支出 </w:t>
      </w:r>
    </w:p>
    <w:p w14:paraId="38BF84F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11.社会保障和就业支出（类）208（款）05（项）05——机关事业单位基本养老保险缴费支出：反映机关事业单位实施养老保险制度的单位缴纳的基本养老保险费支出。</w:t>
      </w:r>
    </w:p>
    <w:p w14:paraId="6D4641EC">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12. 社会保障和就业支出（类）208（款）05（项）06——机关事业单位职业年金缴费支出：反映机关事业单位实施养老保险制度匝单位缴纳的职业年金支出。</w:t>
      </w:r>
    </w:p>
    <w:p w14:paraId="2429077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13.医疗卫生与计划生育支出(类）210（款）11（项）01——行政单位医疗：反映财政部门集中安排的公务员医疗补助经费。</w:t>
      </w:r>
    </w:p>
    <w:p w14:paraId="7B99B71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14.医疗卫生与计划生育支出(类）210（款）11（项）02——事业单位医疗：反映除为行政单位（包括实行公务员管理的事业单位）提供后勤服务的各类后勤服务中心、医务室等附属事业单位外的其他事业单位基本支出</w:t>
      </w:r>
    </w:p>
    <w:p w14:paraId="5BDB3345">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15.农林水支出（类）213（款）01（项）42—农村道路建设：反映用于农村公路、乡村道路建设方面的支出。</w:t>
      </w:r>
    </w:p>
    <w:p w14:paraId="35CFD29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16.农林水支出（类）213（款）01（项）52—对高校毕业生到基层任职补助：反映按规定对高校毕业生到基层任职的补助支出</w:t>
      </w:r>
    </w:p>
    <w:p w14:paraId="515EF962">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17.农林水支出（类）213（款）02（项）04—林业事业机构：反映用于林业事业单位的基本支出</w:t>
      </w:r>
    </w:p>
    <w:p w14:paraId="3F30C4E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14:paraId="34043CDB">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19.农林水支出（类）213（款）07（项）05—对村民委员会和党支部补助：反映各级财政对村民委员会和村党支部的补助支出，以及支持建立县级基本财力保障机制安排的村级组织运转奖补资金</w:t>
      </w:r>
    </w:p>
    <w:p w14:paraId="28C8A00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20.住房保障支出(类）221（款）02（项）01—住房公积金：反映行政事业单位按人力资源和社会保障部、财政部规定的基本工资和津贴补贴以及规定比例为职工缴纳的住房公积金。</w:t>
      </w:r>
    </w:p>
    <w:p w14:paraId="4A44495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21.其他支出(类）229（款）99（项）01—其他支出：反映除上述项目以外其他不能划分到具体功能科目中的支出项目</w:t>
      </w:r>
    </w:p>
    <w:p w14:paraId="24DA3F38">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22.年末结转和结余：指本年度或以前年度预算安排、因客观条件发生变化无法按原计划实施，需延迟到以后年度按有关规定继续使用的资金。</w:t>
      </w:r>
    </w:p>
    <w:p w14:paraId="7777B29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23.基本支出：指为保障机构正常运转、完成日常工作任务而发生的人员支出和公用支出。</w:t>
      </w:r>
    </w:p>
    <w:p w14:paraId="7A0D2CA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24.项目支出：指在基本支出之外为完成特定行政任务和事业发展目标所发生的支出。</w:t>
      </w:r>
    </w:p>
    <w:p w14:paraId="7CA24884">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AF7D926">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14:paraId="4C48E53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27.基本支出：指为保障机构正常运转、完成日常工作任务而发生的人员支出和公用支出。</w:t>
      </w:r>
    </w:p>
    <w:p w14:paraId="2990213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28.项目支出：指在基本支出之外为完成特定行政任务和事业发展目标所发生的支出。 </w:t>
      </w:r>
    </w:p>
    <w:p w14:paraId="50FF84D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29.经营支出：指事业单位在专业业务活动及其辅助活动之外开展非独立核算经营活动发生的支出。</w:t>
      </w:r>
    </w:p>
    <w:p w14:paraId="697F32F6">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E7019E3">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3A38D0">
      <w:pPr>
        <w:pStyle w:val="12"/>
        <w:pageBreakBefore w:val="0"/>
        <w:kinsoku/>
        <w:wordWrap/>
        <w:overflowPunct/>
        <w:topLinePunct w:val="0"/>
        <w:bidi w:val="0"/>
        <w:spacing w:line="576" w:lineRule="exact"/>
        <w:textAlignment w:val="auto"/>
        <w:rPr>
          <w:rFonts w:ascii="仿宋" w:hAnsi="仿宋" w:eastAsia="仿宋"/>
          <w:b/>
          <w:sz w:val="32"/>
          <w:szCs w:val="32"/>
        </w:rPr>
      </w:pPr>
    </w:p>
    <w:p w14:paraId="10ECBFC3">
      <w:pPr>
        <w:pageBreakBefore w:val="0"/>
        <w:kinsoku/>
        <w:wordWrap/>
        <w:overflowPunct/>
        <w:topLinePunct w:val="0"/>
        <w:bidi w:val="0"/>
        <w:spacing w:line="576" w:lineRule="exact"/>
        <w:textAlignment w:val="auto"/>
        <w:rPr>
          <w:rFonts w:ascii="仿宋" w:hAnsi="仿宋" w:eastAsia="仿宋"/>
          <w:b/>
          <w:sz w:val="32"/>
          <w:szCs w:val="32"/>
        </w:rPr>
      </w:pPr>
    </w:p>
    <w:p w14:paraId="22CB4F28">
      <w:pPr>
        <w:pStyle w:val="2"/>
        <w:pageBreakBefore w:val="0"/>
        <w:kinsoku/>
        <w:wordWrap/>
        <w:overflowPunct/>
        <w:topLinePunct w:val="0"/>
        <w:bidi w:val="0"/>
        <w:spacing w:line="576" w:lineRule="exact"/>
        <w:ind w:firstLine="2640" w:firstLineChars="600"/>
        <w:jc w:val="both"/>
        <w:textAlignment w:val="auto"/>
        <w:rPr>
          <w:rFonts w:hint="eastAsia" w:ascii="黑体" w:hAnsi="黑体" w:eastAsia="黑体"/>
          <w:b w:val="0"/>
        </w:rPr>
      </w:pPr>
    </w:p>
    <w:p w14:paraId="3457D3C8">
      <w:pPr>
        <w:rPr>
          <w:rFonts w:hint="eastAsia" w:ascii="黑体" w:hAnsi="黑体" w:eastAsia="黑体"/>
          <w:b w:val="0"/>
        </w:rPr>
      </w:pPr>
    </w:p>
    <w:p w14:paraId="62B206CD">
      <w:pPr>
        <w:rPr>
          <w:rFonts w:hint="eastAsia" w:ascii="黑体" w:hAnsi="黑体" w:eastAsia="黑体"/>
          <w:b w:val="0"/>
        </w:rPr>
      </w:pPr>
    </w:p>
    <w:p w14:paraId="5C8496C7">
      <w:pPr>
        <w:rPr>
          <w:rFonts w:hint="eastAsia" w:ascii="黑体" w:hAnsi="黑体" w:eastAsia="黑体"/>
          <w:b w:val="0"/>
        </w:rPr>
      </w:pPr>
    </w:p>
    <w:p w14:paraId="412B311D">
      <w:pPr>
        <w:rPr>
          <w:rFonts w:hint="eastAsia" w:ascii="黑体" w:hAnsi="黑体" w:eastAsia="黑体"/>
          <w:b w:val="0"/>
        </w:rPr>
      </w:pPr>
    </w:p>
    <w:p w14:paraId="503254E6">
      <w:pPr>
        <w:rPr>
          <w:rFonts w:hint="eastAsia" w:ascii="黑体" w:hAnsi="黑体" w:eastAsia="黑体"/>
          <w:b w:val="0"/>
        </w:rPr>
      </w:pPr>
    </w:p>
    <w:p w14:paraId="1E8559E5">
      <w:pPr>
        <w:rPr>
          <w:rFonts w:hint="eastAsia" w:ascii="黑体" w:hAnsi="黑体" w:eastAsia="黑体"/>
          <w:b w:val="0"/>
        </w:rPr>
      </w:pPr>
    </w:p>
    <w:p w14:paraId="2F77C495">
      <w:pPr>
        <w:rPr>
          <w:rFonts w:hint="eastAsia" w:ascii="黑体" w:hAnsi="黑体" w:eastAsia="黑体"/>
          <w:b w:val="0"/>
        </w:rPr>
      </w:pPr>
    </w:p>
    <w:p w14:paraId="69A0C900">
      <w:pPr>
        <w:rPr>
          <w:rFonts w:hint="eastAsia" w:ascii="黑体" w:hAnsi="黑体" w:eastAsia="黑体"/>
          <w:b w:val="0"/>
        </w:rPr>
      </w:pPr>
    </w:p>
    <w:p w14:paraId="4618893A">
      <w:pPr>
        <w:rPr>
          <w:rFonts w:hint="eastAsia" w:ascii="黑体" w:hAnsi="黑体" w:eastAsia="黑体"/>
          <w:b w:val="0"/>
        </w:rPr>
      </w:pPr>
    </w:p>
    <w:p w14:paraId="4B6EDB49">
      <w:pPr>
        <w:rPr>
          <w:rFonts w:hint="eastAsia" w:ascii="黑体" w:hAnsi="黑体" w:eastAsia="黑体"/>
          <w:b w:val="0"/>
        </w:rPr>
      </w:pPr>
    </w:p>
    <w:p w14:paraId="7CC5C054">
      <w:pPr>
        <w:rPr>
          <w:rFonts w:hint="eastAsia" w:ascii="黑体" w:hAnsi="黑体" w:eastAsia="黑体"/>
          <w:b w:val="0"/>
        </w:rPr>
      </w:pPr>
    </w:p>
    <w:p w14:paraId="769C74B3">
      <w:pPr>
        <w:rPr>
          <w:rFonts w:hint="eastAsia" w:ascii="黑体" w:hAnsi="黑体" w:eastAsia="黑体"/>
          <w:b w:val="0"/>
        </w:rPr>
      </w:pPr>
    </w:p>
    <w:p w14:paraId="2862C039">
      <w:pPr>
        <w:rPr>
          <w:rFonts w:hint="eastAsia" w:ascii="黑体" w:hAnsi="黑体" w:eastAsia="黑体"/>
          <w:b w:val="0"/>
        </w:rPr>
      </w:pPr>
    </w:p>
    <w:p w14:paraId="5B5FDA8A">
      <w:pPr>
        <w:rPr>
          <w:rFonts w:hint="eastAsia" w:ascii="黑体" w:hAnsi="黑体" w:eastAsia="黑体"/>
          <w:b w:val="0"/>
        </w:rPr>
      </w:pPr>
    </w:p>
    <w:p w14:paraId="20371B46">
      <w:pPr>
        <w:pStyle w:val="2"/>
        <w:pageBreakBefore w:val="0"/>
        <w:kinsoku/>
        <w:wordWrap/>
        <w:overflowPunct/>
        <w:topLinePunct w:val="0"/>
        <w:autoSpaceDE/>
        <w:autoSpaceDN/>
        <w:bidi w:val="0"/>
        <w:spacing w:line="576" w:lineRule="exact"/>
        <w:ind w:firstLine="2640" w:firstLineChars="600"/>
        <w:jc w:val="both"/>
        <w:textAlignment w:val="auto"/>
        <w:rPr>
          <w:rFonts w:ascii="黑体" w:hAnsi="黑体" w:eastAsia="黑体"/>
          <w:b w:val="0"/>
        </w:rPr>
      </w:pPr>
      <w:r>
        <w:rPr>
          <w:rFonts w:hint="eastAsia" w:ascii="黑体" w:hAnsi="黑体" w:eastAsia="黑体"/>
          <w:b w:val="0"/>
        </w:rPr>
        <w:t>第四部分 附件</w:t>
      </w:r>
    </w:p>
    <w:p w14:paraId="27D7ED99">
      <w:pPr>
        <w:pageBreakBefore w:val="0"/>
        <w:kinsoku/>
        <w:wordWrap/>
        <w:overflowPunct/>
        <w:topLinePunct w:val="0"/>
        <w:autoSpaceDE/>
        <w:autoSpaceDN/>
        <w:bidi w:val="0"/>
        <w:spacing w:line="576" w:lineRule="exact"/>
        <w:textAlignment w:val="auto"/>
      </w:pPr>
    </w:p>
    <w:p w14:paraId="59520ECF">
      <w:pPr>
        <w:pageBreakBefore w:val="0"/>
        <w:kinsoku/>
        <w:wordWrap/>
        <w:overflowPunct/>
        <w:topLinePunct w:val="0"/>
        <w:autoSpaceDE/>
        <w:autoSpaceDN/>
        <w:bidi w:val="0"/>
        <w:spacing w:line="576" w:lineRule="exact"/>
        <w:textAlignment w:val="auto"/>
        <w:rPr>
          <w:rFonts w:ascii="黑体" w:hAnsi="黑体" w:eastAsia="黑体"/>
          <w:sz w:val="32"/>
          <w:szCs w:val="32"/>
        </w:rPr>
      </w:pPr>
      <w:r>
        <w:rPr>
          <w:rFonts w:hint="eastAsia" w:ascii="黑体" w:hAnsi="黑体" w:eastAsia="黑体"/>
          <w:sz w:val="32"/>
          <w:szCs w:val="32"/>
        </w:rPr>
        <w:t>附件1</w:t>
      </w:r>
    </w:p>
    <w:p w14:paraId="11D612B1">
      <w:pPr>
        <w:pageBreakBefore w:val="0"/>
        <w:widowControl/>
        <w:kinsoku/>
        <w:wordWrap/>
        <w:overflowPunct/>
        <w:topLinePunct w:val="0"/>
        <w:autoSpaceDE/>
        <w:autoSpaceDN/>
        <w:bidi w:val="0"/>
        <w:spacing w:line="576" w:lineRule="exact"/>
        <w:contextualSpacing/>
        <w:jc w:val="center"/>
        <w:textAlignment w:val="auto"/>
        <w:rPr>
          <w:rFonts w:hint="eastAsia" w:ascii="方正小标宋_GBK" w:hAnsi="方正小标宋_GBK" w:eastAsia="方正小标宋_GBK" w:cs="方正小标宋_GBK"/>
          <w:b w:val="0"/>
          <w:bCs/>
          <w:sz w:val="44"/>
          <w:szCs w:val="44"/>
          <w:highlight w:val="none"/>
          <w:shd w:val="clear" w:color="auto" w:fill="FFFFFF"/>
          <w:lang w:val="en-US" w:eastAsia="zh-CN"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红原县邛溪镇</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人民政府</w:t>
      </w:r>
    </w:p>
    <w:p w14:paraId="17AEA261">
      <w:pPr>
        <w:pageBreakBefore w:val="0"/>
        <w:widowControl/>
        <w:kinsoku/>
        <w:wordWrap/>
        <w:overflowPunct/>
        <w:topLinePunct w:val="0"/>
        <w:autoSpaceDE/>
        <w:autoSpaceDN/>
        <w:bidi w:val="0"/>
        <w:spacing w:line="576" w:lineRule="exact"/>
        <w:contextualSpacing/>
        <w:jc w:val="center"/>
        <w:textAlignment w:val="auto"/>
        <w:rPr>
          <w:rFonts w:hint="eastAsia" w:ascii="方正小标宋_GBK" w:hAnsi="方正小标宋_GBK" w:eastAsia="方正小标宋_GBK" w:cs="方正小标宋_GBK"/>
          <w:b w:val="0"/>
          <w:bCs/>
          <w:sz w:val="44"/>
          <w:szCs w:val="44"/>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关于</w:t>
      </w:r>
      <w:r>
        <w:rPr>
          <w:rFonts w:hint="eastAsia" w:ascii="方正小标宋_GBK" w:hAnsi="方正小标宋_GBK" w:eastAsia="方正小标宋_GBK" w:cs="方正小标宋_GBK"/>
          <w:b w:val="0"/>
          <w:bCs/>
          <w:sz w:val="44"/>
          <w:szCs w:val="44"/>
          <w:highlight w:val="none"/>
          <w:shd w:val="clear" w:color="auto" w:fill="FFFFFF"/>
          <w:lang w:bidi="ar-SA"/>
        </w:rPr>
        <w:t>2</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023</w:t>
      </w:r>
      <w:r>
        <w:rPr>
          <w:rFonts w:hint="eastAsia" w:ascii="方正小标宋_GBK" w:hAnsi="方正小标宋_GBK" w:eastAsia="方正小标宋_GBK" w:cs="方正小标宋_GBK"/>
          <w:b w:val="0"/>
          <w:bCs/>
          <w:sz w:val="44"/>
          <w:szCs w:val="44"/>
          <w:highlight w:val="none"/>
          <w:shd w:val="clear" w:color="auto" w:fill="FFFFFF"/>
          <w:lang w:bidi="ar-SA"/>
        </w:rPr>
        <w:t>年</w:t>
      </w:r>
      <w:r>
        <w:rPr>
          <w:rFonts w:hint="eastAsia" w:ascii="方正小标宋_GBK" w:hAnsi="方正小标宋_GBK" w:eastAsia="方正小标宋_GBK" w:cs="方正小标宋_GBK"/>
          <w:b w:val="0"/>
          <w:bCs/>
          <w:sz w:val="44"/>
          <w:szCs w:val="44"/>
          <w:highlight w:val="none"/>
          <w:shd w:val="clear" w:color="auto" w:fill="FFFFFF"/>
          <w:lang w:eastAsia="zh-CN" w:bidi="ar-SA"/>
        </w:rPr>
        <w:t>度</w:t>
      </w:r>
      <w:r>
        <w:rPr>
          <w:rFonts w:hint="eastAsia" w:ascii="方正小标宋_GBK" w:hAnsi="方正小标宋_GBK" w:eastAsia="方正小标宋_GBK" w:cs="方正小标宋_GBK"/>
          <w:b w:val="0"/>
          <w:bCs/>
          <w:sz w:val="44"/>
          <w:szCs w:val="44"/>
          <w:highlight w:val="none"/>
          <w:shd w:val="clear" w:color="auto" w:fill="FFFFFF"/>
          <w:lang w:bidi="ar-SA"/>
        </w:rPr>
        <w:t>部门整体支出绩效评价</w:t>
      </w:r>
    </w:p>
    <w:p w14:paraId="068D613A">
      <w:pPr>
        <w:pageBreakBefore w:val="0"/>
        <w:widowControl/>
        <w:kinsoku/>
        <w:wordWrap/>
        <w:overflowPunct/>
        <w:topLinePunct w:val="0"/>
        <w:autoSpaceDE/>
        <w:autoSpaceDN/>
        <w:bidi w:val="0"/>
        <w:spacing w:line="576" w:lineRule="exact"/>
        <w:contextualSpacing/>
        <w:jc w:val="center"/>
        <w:textAlignment w:val="auto"/>
        <w:rPr>
          <w:rFonts w:ascii="黑体" w:hAnsi="宋体" w:eastAsia="黑体" w:cs="宋体"/>
          <w:color w:val="000000"/>
          <w:kern w:val="0"/>
          <w:sz w:val="24"/>
          <w:szCs w:val="32"/>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自评</w:t>
      </w:r>
      <w:r>
        <w:rPr>
          <w:rFonts w:hint="eastAsia" w:ascii="方正小标宋_GBK" w:hAnsi="方正小标宋_GBK" w:eastAsia="方正小标宋_GBK" w:cs="方正小标宋_GBK"/>
          <w:b w:val="0"/>
          <w:bCs/>
          <w:sz w:val="44"/>
          <w:szCs w:val="44"/>
          <w:highlight w:val="none"/>
          <w:shd w:val="clear" w:color="auto" w:fill="FFFFFF"/>
          <w:lang w:bidi="ar-SA"/>
        </w:rPr>
        <w:t>报告</w:t>
      </w:r>
    </w:p>
    <w:p w14:paraId="1248B40C">
      <w:pPr>
        <w:pageBreakBefore w:val="0"/>
        <w:kinsoku/>
        <w:wordWrap/>
        <w:overflowPunct/>
        <w:topLinePunct w:val="0"/>
        <w:autoSpaceDE/>
        <w:autoSpaceDN/>
        <w:bidi w:val="0"/>
        <w:spacing w:line="576" w:lineRule="exact"/>
        <w:jc w:val="center"/>
        <w:textAlignment w:val="auto"/>
        <w:rPr>
          <w:rFonts w:ascii="仿宋_GB2312" w:eastAsia="仿宋_GB2312"/>
          <w:sz w:val="32"/>
          <w:szCs w:val="32"/>
        </w:rPr>
      </w:pPr>
      <w:r>
        <w:rPr>
          <w:rFonts w:hint="eastAsia" w:ascii="仿宋_GB2312" w:eastAsia="仿宋_GB2312"/>
          <w:sz w:val="32"/>
          <w:szCs w:val="32"/>
        </w:rPr>
        <w:t>（报告范围包括机关和下属单位）</w:t>
      </w:r>
    </w:p>
    <w:p w14:paraId="4D65DCFF">
      <w:pPr>
        <w:pageBreakBefore w:val="0"/>
        <w:kinsoku/>
        <w:wordWrap/>
        <w:overflowPunct/>
        <w:topLinePunct w:val="0"/>
        <w:autoSpaceDE/>
        <w:autoSpaceDN/>
        <w:bidi w:val="0"/>
        <w:spacing w:line="576" w:lineRule="exact"/>
        <w:textAlignment w:val="auto"/>
      </w:pPr>
    </w:p>
    <w:p w14:paraId="1D5CBFC8">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rPr>
      </w:pPr>
      <w:r>
        <w:rPr>
          <w:rFonts w:hint="eastAsia" w:eastAsia="仿宋_GB2312"/>
          <w:sz w:val="32"/>
          <w:szCs w:val="32"/>
          <w:lang w:val="zh-CN"/>
        </w:rPr>
        <w:t>一、</w:t>
      </w:r>
      <w:r>
        <w:rPr>
          <w:rFonts w:hint="default" w:eastAsia="仿宋_GB2312"/>
          <w:sz w:val="32"/>
          <w:szCs w:val="32"/>
          <w:lang w:val="zh-CN"/>
        </w:rPr>
        <w:t>部门基本情况</w:t>
      </w:r>
    </w:p>
    <w:p w14:paraId="5D0FF6DC">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rPr>
      </w:pPr>
      <w:r>
        <w:rPr>
          <w:rFonts w:hint="eastAsia" w:eastAsia="仿宋_GB2312"/>
          <w:sz w:val="32"/>
          <w:szCs w:val="32"/>
          <w:lang w:val="zh-CN"/>
        </w:rPr>
        <w:t>（一）</w:t>
      </w:r>
      <w:r>
        <w:rPr>
          <w:rFonts w:hint="default" w:eastAsia="仿宋_GB2312"/>
          <w:sz w:val="32"/>
          <w:szCs w:val="32"/>
          <w:lang w:val="zh-CN"/>
        </w:rPr>
        <w:t>机构组成。</w:t>
      </w:r>
    </w:p>
    <w:p w14:paraId="512C6CC6">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ascii="仿宋_GB2312" w:hAnsi="仿宋_GB2312" w:eastAsia="仿宋_GB2312" w:cs="仿宋_GB2312"/>
          <w:b w:val="0"/>
          <w:bCs w:val="0"/>
          <w:color w:val="auto"/>
          <w:kern w:val="2"/>
          <w:sz w:val="32"/>
          <w:szCs w:val="32"/>
          <w:highlight w:val="none"/>
          <w:lang w:val="en-US" w:eastAsia="zh-CN" w:bidi="ar-SA"/>
        </w:rPr>
        <w:t>我单位为独立核算全额拨款行政单位，下设单位（股室）10个，其中行政单位6个，参照公务员法管理的事业单位6个。分别是：经济发展和乡村振兴办公室、社会事务和应急管理办公室、村镇规划建设办公室、财政工作办公室、社会事业服务中心、便民服务中心、社会事业服务中心、农业农村服务中心、综合文化服务中心、退役军人服务。</w:t>
      </w:r>
      <w:r>
        <w:rPr>
          <w:rFonts w:hint="eastAsia" w:eastAsia="仿宋_GB2312"/>
          <w:sz w:val="32"/>
          <w:szCs w:val="32"/>
          <w:lang w:val="zh-CN" w:eastAsia="zh-CN"/>
        </w:rPr>
        <w:t>邛溪镇辖5个行政村，2个社区，总共</w:t>
      </w:r>
      <w:r>
        <w:rPr>
          <w:rFonts w:hint="eastAsia" w:eastAsia="仿宋_GB2312"/>
          <w:sz w:val="32"/>
          <w:szCs w:val="32"/>
          <w:lang w:val="en-US" w:eastAsia="zh-CN"/>
        </w:rPr>
        <w:t>35</w:t>
      </w:r>
      <w:r>
        <w:rPr>
          <w:rFonts w:hint="eastAsia" w:eastAsia="仿宋_GB2312"/>
          <w:sz w:val="32"/>
          <w:szCs w:val="32"/>
          <w:lang w:val="zh-CN" w:eastAsia="zh-CN"/>
        </w:rPr>
        <w:t>名村社干部。</w:t>
      </w:r>
    </w:p>
    <w:p w14:paraId="33EFC1C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default" w:eastAsia="仿宋_GB2312"/>
          <w:sz w:val="32"/>
          <w:szCs w:val="32"/>
          <w:lang w:val="zh-CN"/>
        </w:rPr>
        <w:t>机构职能</w:t>
      </w:r>
      <w:r>
        <w:rPr>
          <w:rFonts w:hint="eastAsia" w:eastAsia="仿宋_GB2312"/>
          <w:sz w:val="32"/>
          <w:szCs w:val="32"/>
          <w:lang w:val="zh-CN"/>
        </w:rPr>
        <w:t>。</w:t>
      </w:r>
    </w:p>
    <w:p w14:paraId="0CD70EB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根据邛溪镇三定方案（红委办【202</w:t>
      </w:r>
      <w:r>
        <w:rPr>
          <w:rFonts w:hint="eastAsia" w:eastAsia="仿宋_GB2312"/>
          <w:sz w:val="32"/>
          <w:szCs w:val="32"/>
          <w:lang w:val="en-US" w:eastAsia="zh-CN"/>
        </w:rPr>
        <w:t>4</w:t>
      </w:r>
      <w:r>
        <w:rPr>
          <w:rFonts w:hint="eastAsia" w:eastAsia="仿宋_GB2312"/>
          <w:sz w:val="32"/>
          <w:szCs w:val="32"/>
          <w:lang w:val="zh-CN" w:eastAsia="zh-CN"/>
        </w:rPr>
        <w:t>】</w:t>
      </w:r>
      <w:r>
        <w:rPr>
          <w:rFonts w:hint="eastAsia" w:eastAsia="仿宋_GB2312"/>
          <w:sz w:val="32"/>
          <w:szCs w:val="32"/>
          <w:lang w:val="en-US" w:eastAsia="zh-CN"/>
        </w:rPr>
        <w:t>72</w:t>
      </w:r>
      <w:r>
        <w:rPr>
          <w:rFonts w:hint="eastAsia" w:eastAsia="仿宋_GB2312"/>
          <w:sz w:val="32"/>
          <w:szCs w:val="32"/>
          <w:lang w:val="zh-CN" w:eastAsia="zh-CN"/>
        </w:rPr>
        <w:t>号）。</w:t>
      </w:r>
    </w:p>
    <w:p w14:paraId="7DC09AC7">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eastAsia" w:eastAsia="仿宋_GB2312"/>
          <w:sz w:val="32"/>
          <w:szCs w:val="32"/>
          <w:lang w:val="zh-CN"/>
        </w:rPr>
        <w:t>（</w:t>
      </w:r>
      <w:r>
        <w:rPr>
          <w:rFonts w:hint="eastAsia" w:eastAsia="仿宋_GB2312"/>
          <w:sz w:val="32"/>
          <w:szCs w:val="32"/>
          <w:lang w:val="zh-CN" w:eastAsia="zh-CN"/>
        </w:rPr>
        <w:t>1</w:t>
      </w:r>
      <w:r>
        <w:rPr>
          <w:rFonts w:hint="eastAsia" w:eastAsia="仿宋_GB2312"/>
          <w:sz w:val="32"/>
          <w:szCs w:val="32"/>
          <w:lang w:val="zh-CN"/>
        </w:rPr>
        <w:t>）</w:t>
      </w:r>
      <w:r>
        <w:rPr>
          <w:rFonts w:hint="eastAsia" w:eastAsia="仿宋_GB2312"/>
          <w:sz w:val="32"/>
          <w:szCs w:val="32"/>
          <w:lang w:val="zh-CN" w:eastAsia="zh-CN"/>
        </w:rPr>
        <w:t>镇</w:t>
      </w:r>
      <w:r>
        <w:rPr>
          <w:rFonts w:hint="eastAsia" w:eastAsia="仿宋_GB2312"/>
          <w:sz w:val="32"/>
          <w:szCs w:val="32"/>
          <w:lang w:val="zh-CN"/>
        </w:rPr>
        <w:t>党委工作职责</w:t>
      </w:r>
    </w:p>
    <w:p w14:paraId="6A406B91">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镇</w:t>
      </w:r>
      <w:r>
        <w:rPr>
          <w:rFonts w:hint="eastAsia" w:eastAsia="仿宋_GB2312"/>
          <w:sz w:val="32"/>
          <w:szCs w:val="32"/>
          <w:lang w:val="zh-CN"/>
        </w:rPr>
        <w:t>党委工作职责：</w:t>
      </w:r>
      <w:r>
        <w:rPr>
          <w:rFonts w:hint="eastAsia" w:eastAsia="仿宋_GB2312"/>
          <w:sz w:val="32"/>
          <w:szCs w:val="32"/>
          <w:lang w:val="zh-CN" w:eastAsia="zh-CN"/>
        </w:rPr>
        <w:t>镇党委是本镇各项工作的领导核心，是农村改革和经济建设的直接组织者和领导者，其主要职责:</w:t>
      </w:r>
    </w:p>
    <w:p w14:paraId="23EADA7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1.负责贯彻执行党的路线方针政策和上级党组织及本镇党员代表大会的决议;</w:t>
      </w:r>
    </w:p>
    <w:p w14:paraId="46F2534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2.讨论决定本镇经济建设和社会发展的重大问题;</w:t>
      </w:r>
    </w:p>
    <w:p w14:paraId="58ACC38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3.领导镇政权机关和群众组织，支持和保证这些机机关和组织依照国家法律法规及各自章程充分行使职权;</w:t>
      </w:r>
    </w:p>
    <w:p w14:paraId="2EF1631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4.加强镇党委自身建设和以党支部为核心的村级组织建设;</w:t>
      </w:r>
    </w:p>
    <w:p w14:paraId="06E7161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5.按照干部管理权限，负责对干部的教育、培养、选拔、考核和监督工作;</w:t>
      </w:r>
    </w:p>
    <w:p w14:paraId="2F1982A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6.领导本镇的社会主义民主法制建设和精神文明建设，以及社会治安综合治理、维护稳定、党风廉政和计划生育等工作。</w:t>
      </w:r>
    </w:p>
    <w:p w14:paraId="7EF3BFAE">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镇</w:t>
      </w:r>
      <w:r>
        <w:rPr>
          <w:rFonts w:hint="eastAsia" w:eastAsia="仿宋_GB2312"/>
          <w:sz w:val="32"/>
          <w:szCs w:val="32"/>
          <w:lang w:val="zh-CN"/>
        </w:rPr>
        <w:t>人民代表大会工作职责：</w:t>
      </w:r>
      <w:r>
        <w:rPr>
          <w:rFonts w:hint="eastAsia" w:eastAsia="仿宋_GB2312"/>
          <w:sz w:val="32"/>
          <w:szCs w:val="32"/>
          <w:lang w:val="zh-CN" w:eastAsia="zh-CN"/>
        </w:rPr>
        <w:t>1.负责召开本级人民代表大会会议的具体准备工作;</w:t>
      </w:r>
    </w:p>
    <w:p w14:paraId="36D75E9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2.负责联系本级人民代表大会代表，组织代表开展活动，总结交流代表小组活动经验；</w:t>
      </w:r>
    </w:p>
    <w:p w14:paraId="7A5B5EC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3.反映代表和群众对本级人民政府工作的建议、批评</w:t>
      </w:r>
    </w:p>
    <w:p w14:paraId="1DA2BC8B">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意见；</w:t>
      </w:r>
    </w:p>
    <w:p w14:paraId="5AE0C6D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4.参加本级人民政府的重要会议;</w:t>
      </w:r>
    </w:p>
    <w:p w14:paraId="59FCAA01">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5.组织实施本级人民代表大会和主席团决定的事项；</w:t>
      </w:r>
    </w:p>
    <w:p w14:paraId="033A172C">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6.督促办理代表和人民群众的来信来访。</w:t>
      </w:r>
    </w:p>
    <w:p w14:paraId="23C99EE0">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镇</w:t>
      </w:r>
      <w:r>
        <w:rPr>
          <w:rFonts w:hint="eastAsia" w:eastAsia="仿宋_GB2312"/>
          <w:sz w:val="32"/>
          <w:szCs w:val="32"/>
          <w:lang w:val="zh-CN"/>
        </w:rPr>
        <w:t>人民政府工作职责</w:t>
      </w:r>
      <w:r>
        <w:rPr>
          <w:rFonts w:eastAsia="仿宋_GB2312"/>
          <w:sz w:val="32"/>
          <w:szCs w:val="32"/>
          <w:lang w:val="zh-CN"/>
        </w:rPr>
        <w:t>:</w:t>
      </w:r>
      <w:r>
        <w:rPr>
          <w:rFonts w:hint="eastAsia" w:eastAsia="仿宋_GB2312"/>
          <w:sz w:val="32"/>
          <w:szCs w:val="32"/>
          <w:lang w:val="zh-CN" w:eastAsia="zh-CN"/>
        </w:rPr>
        <w:t>1.贯彻执行党的路线方针政策和国家法律法规，贯彻执</w:t>
      </w:r>
    </w:p>
    <w:p w14:paraId="670A588D">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行上级行政机关的决议、命令及同级党委的决定，执行镇人民代表大会的决议;</w:t>
      </w:r>
    </w:p>
    <w:p w14:paraId="5E2BE5E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2.对镇人民代表大会及其主席团和上级行政机关负责</w:t>
      </w:r>
    </w:p>
    <w:p w14:paraId="576F33B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并报告工作;</w:t>
      </w:r>
    </w:p>
    <w:p w14:paraId="4E6AE84B">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3.编制和执行镇国民经济和社会发展计划，编制并执</w:t>
      </w:r>
    </w:p>
    <w:p w14:paraId="45B8F92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执行行政预算;</w:t>
      </w:r>
    </w:p>
    <w:p w14:paraId="6D5F45E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4.管理本行政区域经济和各项社会事业的行政工作；</w:t>
      </w:r>
    </w:p>
    <w:p w14:paraId="7B78ABE4">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5.负责辖区内法律赋予的行政执法工作，维护社会秩序，保护公民人身、民主、财产等权利，保护各种经济组织的合法权益;</w:t>
      </w:r>
    </w:p>
    <w:p w14:paraId="3F690E4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6.指导、支持和帮助村民委员会工作;</w:t>
      </w:r>
    </w:p>
    <w:p w14:paraId="61207A7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7.法律规定赋予的其它职责。</w:t>
      </w:r>
    </w:p>
    <w:p w14:paraId="468DE4E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纪委（派出监察室）工作职责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14:paraId="14F6239C">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14:paraId="5526DC4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3.领导下辖纪检组织的工作，指导村务监督机构的工作。</w:t>
      </w:r>
    </w:p>
    <w:p w14:paraId="6E912FEB">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4.负责村（社）纪检监察组织的自身建设。</w:t>
      </w:r>
    </w:p>
    <w:p w14:paraId="7CC0C027">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5.完成县纪委监委和乡镇党委交办的其他任务。</w:t>
      </w:r>
    </w:p>
    <w:p w14:paraId="65389FB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镇人民武装部工作职责</w:t>
      </w:r>
    </w:p>
    <w:p w14:paraId="741016E1">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1.负责民兵组织建设、政治教育、军事训练;</w:t>
      </w:r>
    </w:p>
    <w:p w14:paraId="4CA2A4D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2.为本系统自主择业转业干部提供管理和服务;</w:t>
      </w:r>
    </w:p>
    <w:p w14:paraId="69BF4A07">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3.组织带领民兵完成战备执勤任务，配合公安部门维护社会治安;</w:t>
      </w:r>
    </w:p>
    <w:p w14:paraId="5A4F7C69">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4.战时组织带领民兵参军参战，支援前线;</w:t>
      </w:r>
    </w:p>
    <w:p w14:paraId="5BBE7DC6">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5.负责征兵工作和预备役士兵、预备役军官登记统计等工作;</w:t>
      </w:r>
    </w:p>
    <w:p w14:paraId="31C994C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6.协同预备役部(分)队落实参训人员，做好兵员管理、动员集结等工作;</w:t>
      </w:r>
    </w:p>
    <w:p w14:paraId="3054B4C6">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7.协助有关部门开展国防教育，做好退伍人员的安置和烈军属的优抚工作;</w:t>
      </w:r>
    </w:p>
    <w:p w14:paraId="3019F95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8.完成地方党委、人民政府和上级军事机关交给的其他工作任务。</w:t>
      </w:r>
    </w:p>
    <w:p w14:paraId="6CD70C02">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镇寺庙管理所工作职责</w:t>
      </w:r>
    </w:p>
    <w:p w14:paraId="6D54997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1.负责明确职责，落实寺院管理责任制。;</w:t>
      </w:r>
    </w:p>
    <w:p w14:paraId="1D0FCE40">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2.负责创新方式，深化寺院法制宣传教育;</w:t>
      </w:r>
    </w:p>
    <w:p w14:paraId="0710913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3.负责整合资源，加强民管会班子建设;</w:t>
      </w:r>
    </w:p>
    <w:p w14:paraId="0E4CAA8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4.负责统筹谋划，推动寺院公共服务建设：</w:t>
      </w:r>
    </w:p>
    <w:p w14:paraId="47AAC6C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5.完成地方党委、人民政府和上级部门交给的其他工作任务。</w:t>
      </w:r>
    </w:p>
    <w:p w14:paraId="1E308E03">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rPr>
      </w:pPr>
      <w:r>
        <w:rPr>
          <w:rFonts w:hint="default" w:eastAsia="仿宋_GB2312"/>
          <w:sz w:val="32"/>
          <w:szCs w:val="32"/>
          <w:lang w:val="zh-CN"/>
        </w:rPr>
        <w:t>二、</w:t>
      </w:r>
      <w:r>
        <w:rPr>
          <w:rFonts w:hint="default" w:eastAsia="仿宋_GB2312"/>
          <w:sz w:val="32"/>
          <w:szCs w:val="32"/>
          <w:lang w:val="zh-CN" w:eastAsia="zh-CN"/>
        </w:rPr>
        <w:t>部门</w:t>
      </w:r>
      <w:r>
        <w:rPr>
          <w:rFonts w:hint="default" w:eastAsia="仿宋_GB2312"/>
          <w:sz w:val="32"/>
          <w:szCs w:val="32"/>
          <w:lang w:val="zh-CN"/>
        </w:rPr>
        <w:t>资金收支情况</w:t>
      </w:r>
    </w:p>
    <w:p w14:paraId="33EA6774">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default" w:eastAsia="仿宋_GB2312"/>
          <w:sz w:val="32"/>
          <w:szCs w:val="32"/>
          <w:lang w:val="zh-CN" w:eastAsia="zh-CN"/>
        </w:rPr>
        <w:t>2020年邛溪镇人民政府收入预算总额为870.12万元，其中：当年财政拨款收入870.12万元。相应安排支出预算870.12万元，其中：一般公共服务533.96万元，社会保障和就业103.87万元，卫生健康36.62万元，住房保障支出67.71万元，农林水支出132.96万元。</w:t>
      </w:r>
    </w:p>
    <w:p w14:paraId="398189B2">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default" w:eastAsia="仿宋_GB2312"/>
          <w:sz w:val="32"/>
          <w:szCs w:val="32"/>
          <w:lang w:val="zh-CN" w:eastAsia="zh-CN"/>
        </w:rPr>
        <w:t>（二）支出预算安排情况</w:t>
      </w:r>
    </w:p>
    <w:p w14:paraId="37A31A32">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default" w:eastAsia="仿宋_GB2312"/>
          <w:sz w:val="32"/>
          <w:szCs w:val="32"/>
          <w:lang w:val="zh-CN" w:eastAsia="zh-CN"/>
        </w:rPr>
        <w:t xml:space="preserve">邛溪镇人民政府预算安排支出主要用于保障该部门机构正常运转、完成日常工作任务以及承担政府事业发展相关工作。  </w:t>
      </w:r>
    </w:p>
    <w:p w14:paraId="50780C2C">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default" w:eastAsia="仿宋_GB2312"/>
          <w:sz w:val="32"/>
          <w:szCs w:val="32"/>
          <w:lang w:val="zh-CN" w:eastAsia="zh-CN"/>
        </w:rPr>
        <w:t>基本支出847.69万元。其中人员经费支出785.70万元，机关运行经费61.98万元，其中：办公费25.83万元，差旅费4万元，工会经费5.35万元，公务用车运行维护费7.3万元，印刷费5万元，电费5.4万元，邮电费3.1万元，培训费1.7万元，公务接待费0.6万元，劳务费2.5万元，工会经费3.54万元，水费0.8万元。</w:t>
      </w:r>
    </w:p>
    <w:p w14:paraId="662D90A8">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default" w:eastAsia="仿宋_GB2312"/>
          <w:sz w:val="32"/>
          <w:szCs w:val="32"/>
          <w:lang w:val="zh-CN" w:eastAsia="zh-CN"/>
        </w:rPr>
        <w:t>按支出功能分类主要用于以下方面:</w:t>
      </w:r>
    </w:p>
    <w:p w14:paraId="083B9750">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1.</w:t>
      </w:r>
      <w:r>
        <w:rPr>
          <w:rFonts w:hint="default" w:eastAsia="仿宋_GB2312"/>
          <w:sz w:val="32"/>
          <w:szCs w:val="32"/>
          <w:lang w:val="zh-CN" w:eastAsia="zh-CN"/>
        </w:rPr>
        <w:t>一般公共服务533.96万元，主要用于机关及下属事业单位人员工资、日常运转以及为完成特定行政工作任务和事业发展目标而安排的年度项目支出。</w:t>
      </w:r>
    </w:p>
    <w:p w14:paraId="54E7F270">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2.</w:t>
      </w:r>
      <w:r>
        <w:rPr>
          <w:rFonts w:hint="default" w:eastAsia="仿宋_GB2312"/>
          <w:sz w:val="32"/>
          <w:szCs w:val="32"/>
          <w:lang w:val="zh-CN" w:eastAsia="zh-CN"/>
        </w:rPr>
        <w:t>社会保障和就业103.87万元，主要用于机关及下属事业单位养老保险及职业年金缴费。</w:t>
      </w:r>
    </w:p>
    <w:p w14:paraId="78AD3503">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3.</w:t>
      </w:r>
      <w:r>
        <w:rPr>
          <w:rFonts w:hint="default" w:eastAsia="仿宋_GB2312"/>
          <w:sz w:val="32"/>
          <w:szCs w:val="32"/>
          <w:lang w:val="zh-CN" w:eastAsia="zh-CN"/>
        </w:rPr>
        <w:t>卫生健康36.62万元，主要用于机关及下属事业单位按照规定标准为职工缴纳的基本医疗保险及公务员医疗补助等支出。</w:t>
      </w:r>
    </w:p>
    <w:p w14:paraId="2FCFDF2C">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4.</w:t>
      </w:r>
      <w:r>
        <w:rPr>
          <w:rFonts w:hint="default" w:eastAsia="仿宋_GB2312"/>
          <w:sz w:val="32"/>
          <w:szCs w:val="32"/>
          <w:lang w:val="zh-CN" w:eastAsia="zh-CN"/>
        </w:rPr>
        <w:t>住房保障支出62.71万元，用于机关及下属事业单位按照规定标准为职工缴纳住房公积金等支出。</w:t>
      </w:r>
    </w:p>
    <w:p w14:paraId="03CF81E7">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5.</w:t>
      </w:r>
      <w:r>
        <w:rPr>
          <w:rFonts w:hint="default" w:eastAsia="仿宋_GB2312"/>
          <w:sz w:val="32"/>
          <w:szCs w:val="32"/>
          <w:lang w:val="zh-CN" w:eastAsia="zh-CN"/>
        </w:rPr>
        <w:t>农林水支出132.96万元，用于村干部生活补助及对村民委员会的补助支出。</w:t>
      </w:r>
    </w:p>
    <w:p w14:paraId="4DD033A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eastAsia" w:eastAsia="仿宋_GB2312"/>
          <w:sz w:val="32"/>
          <w:szCs w:val="32"/>
          <w:lang w:val="zh-CN"/>
        </w:rPr>
        <w:t>（三）“三公”经费预算执行情况</w:t>
      </w:r>
    </w:p>
    <w:p w14:paraId="3D5260A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2020年度三公经费预算安排支出为7.9万元，其中：出国费0万元，与上年持平，主要原因为未安排因公出国；公车购置费0元，与上年持平；公务用车运行费支出7.3万元，较上年增加4%，原因增加了相关开支；公务接待费0.6万元，较上年度预算持平，本年度我们将严格执行“八项规定、六项禁令”，结合本年度工作需要，减少不必要的开支。</w:t>
      </w:r>
    </w:p>
    <w:p w14:paraId="65000ABC">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三、部门整体预算绩效管理情况</w:t>
      </w:r>
    </w:p>
    <w:p w14:paraId="59CB228D">
      <w:pPr>
        <w:pStyle w:val="7"/>
        <w:pageBreakBefore w:val="0"/>
        <w:numPr>
          <w:ilvl w:val="0"/>
          <w:numId w:val="5"/>
        </w:numPr>
        <w:kinsoku/>
        <w:wordWrap/>
        <w:overflowPunct/>
        <w:topLinePunct w:val="0"/>
        <w:autoSpaceDE/>
        <w:autoSpaceDN/>
        <w:bidi w:val="0"/>
        <w:spacing w:before="93" w:line="576" w:lineRule="exact"/>
        <w:ind w:left="420" w:leftChars="200"/>
        <w:textAlignment w:val="auto"/>
        <w:rPr>
          <w:rFonts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预算编制情况</w:t>
      </w:r>
    </w:p>
    <w:p w14:paraId="2F8AD510">
      <w:pPr>
        <w:pStyle w:val="7"/>
        <w:pageBreakBefore w:val="0"/>
        <w:kinsoku/>
        <w:wordWrap/>
        <w:overflowPunct/>
        <w:topLinePunct w:val="0"/>
        <w:autoSpaceDE/>
        <w:autoSpaceDN/>
        <w:bidi w:val="0"/>
        <w:spacing w:before="93" w:line="576" w:lineRule="exact"/>
        <w:textAlignment w:val="auto"/>
        <w:rPr>
          <w:rFonts w:hAnsi="仿宋_GB2312" w:cs="仿宋_GB2312"/>
          <w:color w:val="auto"/>
          <w:sz w:val="32"/>
          <w:szCs w:val="32"/>
          <w:highlight w:val="none"/>
        </w:rPr>
      </w:pPr>
      <w:r>
        <w:rPr>
          <w:rFonts w:hint="eastAsia" w:ascii="楷体" w:hAnsi="楷体" w:eastAsia="楷体" w:cs="楷体"/>
          <w:color w:val="auto"/>
          <w:sz w:val="32"/>
          <w:szCs w:val="32"/>
          <w:highlight w:val="none"/>
        </w:rPr>
        <w:t xml:space="preserve">    </w:t>
      </w:r>
      <w:r>
        <w:rPr>
          <w:rFonts w:hint="eastAsia" w:hAnsi="仿宋_GB2312" w:cs="仿宋_GB2312"/>
          <w:color w:val="auto"/>
          <w:sz w:val="32"/>
          <w:szCs w:val="32"/>
          <w:highlight w:val="none"/>
        </w:rPr>
        <w:t>按照县财政预算编制工作要求，我镇组织财务人员积极参与预算编制培训会，及时掌握预算编制口径等相关知识，结合单位工作实际，按照“两上两下”编制方式，全面、及时、完整地编制了单位预算，并经财政部门审核下达。</w:t>
      </w:r>
    </w:p>
    <w:p w14:paraId="7988EEB3">
      <w:pPr>
        <w:pStyle w:val="7"/>
        <w:pageBreakBefore w:val="0"/>
        <w:numPr>
          <w:ilvl w:val="0"/>
          <w:numId w:val="5"/>
        </w:numPr>
        <w:kinsoku/>
        <w:wordWrap/>
        <w:overflowPunct/>
        <w:topLinePunct w:val="0"/>
        <w:autoSpaceDE/>
        <w:autoSpaceDN/>
        <w:bidi w:val="0"/>
        <w:spacing w:before="93" w:line="576" w:lineRule="exact"/>
        <w:ind w:left="420" w:leftChars="200"/>
        <w:textAlignment w:val="auto"/>
        <w:rPr>
          <w:rFonts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执行管理情况</w:t>
      </w:r>
    </w:p>
    <w:p w14:paraId="0FF612C5">
      <w:pPr>
        <w:pStyle w:val="7"/>
        <w:pageBreakBefore w:val="0"/>
        <w:kinsoku/>
        <w:wordWrap/>
        <w:overflowPunct/>
        <w:topLinePunct w:val="0"/>
        <w:autoSpaceDE/>
        <w:autoSpaceDN/>
        <w:bidi w:val="0"/>
        <w:spacing w:before="93" w:line="576" w:lineRule="exact"/>
        <w:ind w:firstLine="640"/>
        <w:textAlignment w:val="auto"/>
        <w:rPr>
          <w:rFonts w:hAnsi="仿宋_GB2312" w:cs="仿宋_GB2312"/>
          <w:color w:val="auto"/>
          <w:sz w:val="32"/>
          <w:szCs w:val="32"/>
          <w:highlight w:val="none"/>
        </w:rPr>
      </w:pPr>
      <w:r>
        <w:rPr>
          <w:rFonts w:hint="eastAsia" w:hAnsi="仿宋_GB2312" w:cs="仿宋_GB2312"/>
          <w:color w:val="auto"/>
          <w:sz w:val="32"/>
          <w:szCs w:val="32"/>
          <w:highlight w:val="none"/>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14:paraId="5CBC2C4A">
      <w:pPr>
        <w:pStyle w:val="7"/>
        <w:pageBreakBefore w:val="0"/>
        <w:kinsoku/>
        <w:wordWrap/>
        <w:overflowPunct/>
        <w:topLinePunct w:val="0"/>
        <w:autoSpaceDE/>
        <w:autoSpaceDN/>
        <w:bidi w:val="0"/>
        <w:spacing w:before="93" w:line="576" w:lineRule="exact"/>
        <w:ind w:firstLine="640"/>
        <w:textAlignment w:val="auto"/>
        <w:rPr>
          <w:rFonts w:hAnsi="仿宋_GB2312" w:cs="仿宋_GB2312"/>
          <w:color w:val="auto"/>
          <w:sz w:val="32"/>
          <w:szCs w:val="32"/>
          <w:highlight w:val="none"/>
        </w:rPr>
      </w:pPr>
      <w:r>
        <w:rPr>
          <w:rFonts w:hint="eastAsia" w:hAnsi="仿宋_GB2312" w:cs="仿宋_GB2312"/>
          <w:color w:val="auto"/>
          <w:sz w:val="32"/>
          <w:szCs w:val="32"/>
          <w:highlight w:val="none"/>
          <w:lang w:eastAsia="zh-CN"/>
        </w:rPr>
        <w:t>202</w:t>
      </w:r>
      <w:r>
        <w:rPr>
          <w:rFonts w:hint="eastAsia" w:hAnsi="仿宋_GB2312" w:cs="仿宋_GB2312"/>
          <w:color w:val="auto"/>
          <w:sz w:val="32"/>
          <w:szCs w:val="32"/>
          <w:highlight w:val="none"/>
          <w:lang w:val="en-US" w:eastAsia="zh-CN"/>
        </w:rPr>
        <w:t>3</w:t>
      </w:r>
      <w:r>
        <w:rPr>
          <w:rFonts w:hint="eastAsia" w:hAnsi="仿宋_GB2312" w:cs="仿宋_GB2312"/>
          <w:color w:val="auto"/>
          <w:sz w:val="32"/>
          <w:szCs w:val="32"/>
          <w:highlight w:val="none"/>
          <w:lang w:eastAsia="zh-CN"/>
        </w:rPr>
        <w:t>年</w:t>
      </w:r>
      <w:r>
        <w:rPr>
          <w:rFonts w:hint="eastAsia" w:hAnsi="仿宋_GB2312" w:cs="仿宋_GB2312"/>
          <w:color w:val="auto"/>
          <w:sz w:val="32"/>
          <w:szCs w:val="32"/>
          <w:highlight w:val="none"/>
        </w:rPr>
        <w:t>度“三公“经费支出情况：无出国出境及接待费用；公务用车运行费为</w:t>
      </w:r>
      <w:r>
        <w:rPr>
          <w:rFonts w:hint="eastAsia" w:hAnsi="仿宋_GB2312" w:cs="仿宋_GB2312"/>
          <w:color w:val="auto"/>
          <w:sz w:val="32"/>
          <w:szCs w:val="32"/>
          <w:highlight w:val="none"/>
          <w:lang w:val="en-US" w:eastAsia="zh-CN"/>
        </w:rPr>
        <w:t>7.3</w:t>
      </w:r>
      <w:r>
        <w:rPr>
          <w:rFonts w:hint="eastAsia" w:ascii="仿宋" w:hAnsi="仿宋" w:eastAsia="仿宋"/>
          <w:color w:val="auto"/>
          <w:sz w:val="32"/>
          <w:szCs w:val="32"/>
          <w:highlight w:val="none"/>
          <w:lang w:val="en-US" w:eastAsia="zh-CN"/>
        </w:rPr>
        <w:t>万</w:t>
      </w:r>
      <w:r>
        <w:rPr>
          <w:rFonts w:hint="eastAsia" w:hAnsi="仿宋_GB2312" w:cs="仿宋_GB2312"/>
          <w:color w:val="auto"/>
          <w:sz w:val="32"/>
          <w:szCs w:val="32"/>
          <w:highlight w:val="none"/>
        </w:rPr>
        <w:t>元。</w:t>
      </w:r>
    </w:p>
    <w:p w14:paraId="135BDF50">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包括部门绩效目标制定、目标实现、预算编制准确、支出控制、预算动态调整、执行进度、预算完成情况和违规记录等情况。</w:t>
      </w:r>
    </w:p>
    <w:p w14:paraId="245287DD">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w:t>
      </w:r>
      <w:r>
        <w:rPr>
          <w:rFonts w:hint="eastAsia" w:ascii="楷体_GB2312" w:hAnsi="楷体_GB2312" w:eastAsia="楷体_GB2312" w:cs="楷体_GB2312"/>
          <w:b/>
          <w:bCs/>
          <w:color w:val="auto"/>
          <w:kern w:val="0"/>
          <w:sz w:val="32"/>
          <w:szCs w:val="32"/>
          <w:highlight w:val="none"/>
          <w:shd w:val="clear" w:color="auto" w:fill="FFFFFF"/>
        </w:rPr>
        <w:t>三</w:t>
      </w:r>
      <w:r>
        <w:rPr>
          <w:rFonts w:hint="eastAsia" w:ascii="楷体_GB2312" w:hAnsi="楷体_GB2312" w:eastAsia="楷体_GB2312" w:cs="楷体_GB2312"/>
          <w:b/>
          <w:bCs/>
          <w:color w:val="auto"/>
          <w:kern w:val="0"/>
          <w:sz w:val="32"/>
          <w:szCs w:val="32"/>
          <w:highlight w:val="none"/>
          <w:shd w:val="clear" w:color="auto" w:fill="FFFFFF"/>
          <w:lang w:val="zh-CN"/>
        </w:rPr>
        <w:t>）结果应用情况。</w:t>
      </w:r>
    </w:p>
    <w:p w14:paraId="0B652122">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包括绩效自评公开、评价结果整改和应用结果反馈等情况。</w:t>
      </w:r>
    </w:p>
    <w:p w14:paraId="14B337B3">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黑体" w:hAnsi="宋体" w:eastAsia="黑体" w:cs="宋体"/>
          <w:color w:val="auto"/>
          <w:kern w:val="0"/>
          <w:sz w:val="32"/>
          <w:szCs w:val="32"/>
          <w:highlight w:val="none"/>
          <w:shd w:val="clear" w:color="auto" w:fill="FFFFFF"/>
          <w:lang w:val="zh-CN"/>
        </w:rPr>
      </w:pPr>
      <w:r>
        <w:rPr>
          <w:rFonts w:hint="default" w:ascii="黑体" w:hAnsi="宋体" w:eastAsia="黑体" w:cs="宋体"/>
          <w:color w:val="auto"/>
          <w:kern w:val="0"/>
          <w:sz w:val="32"/>
          <w:szCs w:val="32"/>
          <w:highlight w:val="none"/>
          <w:shd w:val="clear" w:color="auto" w:fill="FFFFFF"/>
          <w:lang w:val="zh-CN" w:eastAsia="zh-CN"/>
        </w:rPr>
        <w:t>四、</w:t>
      </w:r>
      <w:r>
        <w:rPr>
          <w:rFonts w:hint="default" w:ascii="黑体" w:hAnsi="宋体" w:eastAsia="黑体" w:cs="宋体"/>
          <w:color w:val="auto"/>
          <w:kern w:val="0"/>
          <w:sz w:val="32"/>
          <w:szCs w:val="32"/>
          <w:highlight w:val="none"/>
          <w:shd w:val="clear" w:color="auto" w:fill="FFFFFF"/>
          <w:lang w:val="zh-CN"/>
        </w:rPr>
        <w:t>评价结论及建议</w:t>
      </w:r>
    </w:p>
    <w:p w14:paraId="42D53FED">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（一）评价结论</w:t>
      </w:r>
    </w:p>
    <w:p w14:paraId="5B9DFCF3">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我镇预算绩效及管理整体评价良好，预算收入和支出相符。</w:t>
      </w:r>
    </w:p>
    <w:p w14:paraId="201F487F">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（二）存在问题</w:t>
      </w:r>
    </w:p>
    <w:p w14:paraId="7B53446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bookmarkStart w:id="45" w:name="_Toc18861"/>
      <w:r>
        <w:rPr>
          <w:rFonts w:hint="eastAsia" w:eastAsia="仿宋_GB2312"/>
          <w:sz w:val="32"/>
          <w:szCs w:val="32"/>
          <w:lang w:val="zh-CN" w:eastAsia="zh-CN"/>
        </w:rPr>
        <w:t>一是内控制度建立的不够健全、完善、责任划分不够明确、执行力度不强；二是绩效目标设立不够明确、细化和量化。虽然设立了项目资金绩效目标，但目标不够明确、细化和量化</w:t>
      </w:r>
      <w:bookmarkEnd w:id="45"/>
      <w:r>
        <w:rPr>
          <w:rFonts w:hint="eastAsia" w:eastAsia="仿宋_GB2312"/>
          <w:sz w:val="32"/>
          <w:szCs w:val="32"/>
          <w:lang w:val="zh-CN" w:eastAsia="zh-CN"/>
        </w:rPr>
        <w:t>；三是财务人员业务能力较弱，理解不到位。</w:t>
      </w:r>
    </w:p>
    <w:p w14:paraId="5494028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改进建议</w:t>
      </w:r>
    </w:p>
    <w:p w14:paraId="78ABEBB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eastAsia" w:eastAsia="仿宋_GB2312"/>
          <w:sz w:val="32"/>
          <w:szCs w:val="32"/>
          <w:lang w:val="zh-CN" w:eastAsia="zh-CN"/>
        </w:rPr>
        <w:t xml:space="preserve"> 1.</w:t>
      </w:r>
      <w:r>
        <w:rPr>
          <w:rFonts w:hint="eastAsia" w:eastAsia="仿宋_GB2312"/>
          <w:sz w:val="32"/>
          <w:szCs w:val="32"/>
          <w:lang w:val="zh-CN"/>
        </w:rPr>
        <w:t>单位资产管理由办公室总负责，使用人具体负责管理，对不能继续使用的资产由使用人交回办公室并提出申请，由办公室提供材料交给财务室按照相关程序统一处置。财政所应及时在系统中录入资产信息，每年对单位资产进行一次集中清理，对不能使用的资产及时报相关部门进行报废处理。</w:t>
      </w:r>
    </w:p>
    <w:p w14:paraId="0459E34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2.进一步完善内部管理制度，提升管理效能，更好地履行生态文明建设职能。</w:t>
      </w:r>
    </w:p>
    <w:p w14:paraId="666EA5E2">
      <w:pPr>
        <w:pageBreakBefore w:val="0"/>
        <w:kinsoku/>
        <w:wordWrap/>
        <w:overflowPunct/>
        <w:topLinePunct w:val="0"/>
        <w:autoSpaceDE/>
        <w:autoSpaceDN/>
        <w:bidi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eastAsia="zh-CN"/>
        </w:rPr>
        <w:t>3.</w:t>
      </w:r>
      <w:r>
        <w:rPr>
          <w:rFonts w:hint="eastAsia" w:eastAsia="仿宋_GB2312"/>
          <w:sz w:val="32"/>
          <w:szCs w:val="32"/>
          <w:lang w:val="zh-CN"/>
        </w:rPr>
        <w:t>规范账务处理，提高财务信息质量</w:t>
      </w:r>
    </w:p>
    <w:p w14:paraId="38A2AF51">
      <w:pPr>
        <w:pageBreakBefore w:val="0"/>
        <w:kinsoku/>
        <w:wordWrap/>
        <w:overflowPunct/>
        <w:topLinePunct w:val="0"/>
        <w:autoSpaceDE/>
        <w:autoSpaceDN/>
        <w:bidi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rPr>
        <w:t>严格按照《会计法》、《行政单位会计制度》、《行政单位财务规则》等规定，结合实际情况，科学设置支出科目，规范财务核算，完整披露相关信息。</w:t>
      </w:r>
    </w:p>
    <w:p w14:paraId="23E75AF8">
      <w:pPr>
        <w:pageBreakBefore w:val="0"/>
        <w:kinsoku/>
        <w:wordWrap/>
        <w:overflowPunct/>
        <w:topLinePunct w:val="0"/>
        <w:autoSpaceDE/>
        <w:autoSpaceDN/>
        <w:bidi w:val="0"/>
        <w:spacing w:line="576" w:lineRule="exact"/>
        <w:ind w:firstLine="640" w:firstLineChars="200"/>
        <w:textAlignment w:val="auto"/>
        <w:rPr>
          <w:rFonts w:eastAsia="仿宋_GB2312"/>
          <w:sz w:val="32"/>
          <w:szCs w:val="32"/>
          <w:lang w:val="zh-CN"/>
        </w:rPr>
      </w:pPr>
    </w:p>
    <w:p w14:paraId="68D2A952">
      <w:pPr>
        <w:pageBreakBefore w:val="0"/>
        <w:kinsoku/>
        <w:wordWrap/>
        <w:overflowPunct/>
        <w:topLinePunct w:val="0"/>
        <w:bidi w:val="0"/>
        <w:spacing w:line="576" w:lineRule="exact"/>
        <w:textAlignment w:val="auto"/>
      </w:pPr>
    </w:p>
    <w:p w14:paraId="1892BB95">
      <w:pPr>
        <w:pageBreakBefore w:val="0"/>
        <w:kinsoku/>
        <w:wordWrap/>
        <w:overflowPunct/>
        <w:topLinePunct w:val="0"/>
        <w:bidi w:val="0"/>
        <w:spacing w:line="576" w:lineRule="exact"/>
        <w:textAlignment w:val="auto"/>
      </w:pPr>
    </w:p>
    <w:p w14:paraId="5C038939">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7EE5EC83">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226E45A5">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F13CC98">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08B325D0">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F1BD3F4">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3E567307">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EEFCBAD">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7CBD5FB0">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115222C">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634AF93">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598B3E4">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6F0F69C8">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1145E14B">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2A2E55BE">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27B2152">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3A648B44">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81A7349">
      <w:pPr>
        <w:pageBreakBefore w:val="0"/>
        <w:kinsoku/>
        <w:wordWrap/>
        <w:overflowPunct/>
        <w:topLinePunct w:val="0"/>
        <w:bidi w:val="0"/>
        <w:spacing w:line="576" w:lineRule="exact"/>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附件2</w:t>
      </w:r>
    </w:p>
    <w:p w14:paraId="63A34B5C">
      <w:pPr>
        <w:pageBreakBefore w:val="0"/>
        <w:kinsoku/>
        <w:wordWrap/>
        <w:overflowPunct/>
        <w:topLinePunct w:val="0"/>
        <w:bidi w:val="0"/>
        <w:spacing w:line="576" w:lineRule="exact"/>
        <w:textAlignment w:val="auto"/>
        <w:rPr>
          <w:rFonts w:eastAsia="仿宋_GB2312"/>
          <w:color w:val="0000FF"/>
          <w:sz w:val="32"/>
          <w:szCs w:val="32"/>
          <w:lang w:val="zh-CN"/>
        </w:rPr>
      </w:pPr>
    </w:p>
    <w:p w14:paraId="6CEF67AE">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仿宋_GB2312" w:hAnsi="宋体" w:eastAsia="仿宋_GB2312" w:cs="仿宋_GB2312"/>
          <w:kern w:val="2"/>
          <w:sz w:val="32"/>
          <w:szCs w:val="24"/>
          <w:lang w:val="en-US" w:eastAsia="zh-CN" w:bidi="ar"/>
        </w:rPr>
        <w:t xml:space="preserve"> </w:t>
      </w:r>
      <w:r>
        <w:rPr>
          <w:rFonts w:hint="eastAsia" w:ascii="方正小标宋_GBK" w:hAnsi="方正小标宋_GBK" w:eastAsia="方正小标宋_GBK" w:cs="方正小标宋_GBK"/>
          <w:color w:val="auto"/>
          <w:kern w:val="2"/>
          <w:sz w:val="44"/>
          <w:szCs w:val="44"/>
          <w:highlight w:val="none"/>
          <w:lang w:val="en-US" w:eastAsia="zh-CN"/>
        </w:rPr>
        <w:t>红原县邛溪镇人民政府</w:t>
      </w:r>
    </w:p>
    <w:p w14:paraId="6A29FD9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关于红原县2023年邛溪镇</w:t>
      </w:r>
    </w:p>
    <w:p w14:paraId="0E70230E">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人居环境提升整治项目的绩效评价报告</w:t>
      </w:r>
    </w:p>
    <w:p w14:paraId="2C0F2063">
      <w:pPr>
        <w:pageBreakBefore w:val="0"/>
        <w:kinsoku/>
        <w:wordWrap/>
        <w:topLinePunct w:val="0"/>
        <w:bidi w:val="0"/>
        <w:spacing w:line="576" w:lineRule="exact"/>
        <w:ind w:firstLine="640" w:firstLineChars="200"/>
        <w:rPr>
          <w:rFonts w:ascii="黑体" w:hAnsi="黑体" w:eastAsia="黑体"/>
          <w:sz w:val="32"/>
          <w:szCs w:val="32"/>
          <w:lang w:val="zh-CN"/>
        </w:rPr>
      </w:pPr>
      <w:r>
        <w:rPr>
          <w:rFonts w:hint="eastAsia" w:ascii="黑体" w:hAnsi="黑体" w:eastAsia="黑体"/>
          <w:sz w:val="32"/>
          <w:szCs w:val="32"/>
          <w:lang w:val="zh-CN"/>
        </w:rPr>
        <w:t>一、项目概况</w:t>
      </w:r>
    </w:p>
    <w:p w14:paraId="6104D85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pPr>
      <w:r>
        <w:rPr>
          <w:rFonts w:hint="eastAsia" w:ascii="楷体_GB2312" w:eastAsia="楷体_GB2312"/>
          <w:b/>
          <w:sz w:val="32"/>
          <w:szCs w:val="32"/>
          <w:lang w:val="zh-CN"/>
        </w:rPr>
        <w:t>（一）设立背景及基本情况。</w:t>
      </w:r>
      <w:r>
        <w:rPr>
          <w:rFonts w:hint="eastAsia" w:ascii="仿宋_GB2312" w:hAnsi="仿宋_GB2312" w:eastAsia="仿宋_GB2312" w:cs="仿宋_GB2312"/>
          <w:sz w:val="32"/>
          <w:szCs w:val="32"/>
          <w:lang w:val="zh-CN"/>
        </w:rPr>
        <w:t>为加快邛溪镇乡村振兴发展，</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邛溪镇实施了</w:t>
      </w:r>
      <w:r>
        <w:rPr>
          <w:rFonts w:hint="eastAsia" w:ascii="仿宋_GB2312" w:hAnsi="宋体" w:eastAsia="仿宋_GB2312" w:cs="仿宋_GB2312"/>
          <w:kern w:val="2"/>
          <w:sz w:val="32"/>
          <w:szCs w:val="24"/>
          <w:lang w:val="zh-CN" w:eastAsia="zh-CN" w:bidi="ar"/>
        </w:rPr>
        <w:t>邛溪镇人居环境提升规划编制项目。</w:t>
      </w:r>
      <w:r>
        <w:rPr>
          <w:rFonts w:hint="eastAsia" w:ascii="仿宋_GB2312" w:hAnsi="宋体" w:eastAsia="仿宋_GB2312" w:cs="仿宋_GB2312"/>
          <w:kern w:val="2"/>
          <w:sz w:val="32"/>
          <w:szCs w:val="24"/>
          <w:lang w:val="en-US" w:eastAsia="zh-CN" w:bidi="ar"/>
        </w:rPr>
        <w:t>该项目下达资金30万元，对邛溪镇</w:t>
      </w:r>
      <w:r>
        <w:rPr>
          <w:rFonts w:hint="eastAsia" w:ascii="仿宋_GB2312" w:hAnsi="宋体" w:eastAsia="仿宋_GB2312" w:cs="仿宋_GB2312"/>
          <w:b w:val="0"/>
          <w:bCs w:val="0"/>
          <w:kern w:val="2"/>
          <w:sz w:val="32"/>
          <w:szCs w:val="24"/>
          <w:lang w:val="zh-CN" w:eastAsia="zh-CN" w:bidi="ar"/>
        </w:rPr>
        <w:t>人居环境提升规划进行编纂。</w:t>
      </w:r>
    </w:p>
    <w:p w14:paraId="79ECECAE">
      <w:pPr>
        <w:pageBreakBefore w:val="0"/>
        <w:kinsoku/>
        <w:wordWrap/>
        <w:topLinePunct w:val="0"/>
        <w:bidi w:val="0"/>
        <w:spacing w:line="576" w:lineRule="exact"/>
        <w:ind w:firstLine="643" w:firstLineChars="200"/>
        <w:rPr>
          <w:rFonts w:hint="eastAsia" w:ascii="仿宋_GB2312" w:hAnsi="仿宋_GB2312" w:eastAsia="仿宋_GB2312" w:cs="仿宋_GB2312"/>
          <w:color w:val="auto"/>
          <w:sz w:val="32"/>
          <w:szCs w:val="32"/>
          <w:lang w:val="zh-CN"/>
        </w:rPr>
      </w:pPr>
      <w:r>
        <w:rPr>
          <w:rFonts w:hint="eastAsia" w:ascii="楷体_GB2312" w:eastAsia="楷体_GB2312"/>
          <w:b/>
          <w:sz w:val="32"/>
          <w:szCs w:val="32"/>
          <w:lang w:val="zh-CN"/>
        </w:rPr>
        <w:t>（二）实施目的及支持方向。</w:t>
      </w:r>
      <w:r>
        <w:rPr>
          <w:rFonts w:hint="eastAsia" w:ascii="仿宋_GB2312" w:hAnsi="仿宋_GB2312" w:eastAsia="仿宋_GB2312" w:cs="仿宋_GB2312"/>
          <w:color w:val="auto"/>
          <w:sz w:val="32"/>
          <w:szCs w:val="32"/>
          <w:lang w:val="zh-CN"/>
        </w:rPr>
        <w:t>该项目建设内容为：一是提升整治全乡人居环境。二是完善提升小型公益设施。</w:t>
      </w:r>
    </w:p>
    <w:p w14:paraId="2A5DAD65">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eastAsia="楷体_GB2312"/>
          <w:b/>
          <w:sz w:val="32"/>
          <w:szCs w:val="32"/>
          <w:lang w:val="zh-CN"/>
        </w:rPr>
        <w:t>（三）预算安排及分配管理。</w:t>
      </w:r>
      <w:r>
        <w:rPr>
          <w:rFonts w:hint="eastAsia" w:ascii="仿宋_GB2312" w:hAnsi="宋体" w:eastAsia="仿宋_GB2312" w:cs="仿宋_GB2312"/>
          <w:kern w:val="2"/>
          <w:sz w:val="32"/>
          <w:szCs w:val="24"/>
          <w:lang w:val="en-US" w:eastAsia="zh-CN" w:bidi="ar"/>
        </w:rPr>
        <w:t>该项目签订合同时间为2023年11月10日，合同总价为29.85万元，</w:t>
      </w:r>
      <w:r>
        <w:rPr>
          <w:rFonts w:hint="eastAsia" w:ascii="仿宋_GB2312" w:hAnsi="仿宋_GB2312" w:eastAsia="仿宋_GB2312" w:cs="仿宋_GB2312"/>
          <w:b w:val="0"/>
          <w:bCs w:val="0"/>
          <w:sz w:val="32"/>
          <w:szCs w:val="32"/>
          <w:lang w:val="en-US" w:eastAsia="zh-CN"/>
        </w:rPr>
        <w:t>对邛溪镇人居环境提升规划进行编纂。</w:t>
      </w:r>
      <w:r>
        <w:rPr>
          <w:rFonts w:hint="eastAsia" w:ascii="仿宋_GB2312" w:hAnsi="仿宋_GB2312" w:eastAsia="仿宋_GB2312" w:cs="仿宋_GB2312"/>
          <w:sz w:val="32"/>
          <w:szCs w:val="32"/>
          <w:lang w:eastAsia="zh-CN"/>
        </w:rPr>
        <w:t>按照合同及文件要求，按时、按质、按量完成目标任务。</w:t>
      </w:r>
    </w:p>
    <w:p w14:paraId="2990520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cs="仿宋_GB2312"/>
          <w:kern w:val="2"/>
          <w:sz w:val="32"/>
          <w:szCs w:val="24"/>
          <w:lang w:val="en-US" w:eastAsia="zh-CN" w:bidi="ar"/>
        </w:rPr>
      </w:pPr>
      <w:r>
        <w:rPr>
          <w:rFonts w:hint="eastAsia" w:ascii="楷体_GB2312" w:eastAsia="楷体_GB2312"/>
          <w:b/>
          <w:sz w:val="32"/>
          <w:szCs w:val="32"/>
          <w:lang w:val="zh-CN"/>
        </w:rPr>
        <w:t>（四）项目绩效目标设置。</w:t>
      </w:r>
      <w:r>
        <w:rPr>
          <w:rFonts w:hint="eastAsia" w:ascii="仿宋_GB2312" w:hAnsi="宋体" w:eastAsia="仿宋_GB2312" w:cs="仿宋_GB2312"/>
          <w:kern w:val="2"/>
          <w:sz w:val="32"/>
          <w:szCs w:val="24"/>
          <w:lang w:val="en-US" w:eastAsia="zh-CN" w:bidi="ar"/>
        </w:rPr>
        <w:t>该项目计划投资30万元，实际到位30万元，资金来源为：衔接资金，年初目标为对邛溪镇</w:t>
      </w:r>
      <w:r>
        <w:rPr>
          <w:rFonts w:hint="eastAsia" w:ascii="仿宋_GB2312" w:hAnsi="宋体" w:eastAsia="仿宋_GB2312" w:cs="仿宋_GB2312"/>
          <w:b w:val="0"/>
          <w:bCs w:val="0"/>
          <w:kern w:val="2"/>
          <w:sz w:val="32"/>
          <w:szCs w:val="24"/>
          <w:lang w:val="zh-CN" w:eastAsia="zh-CN" w:bidi="ar"/>
        </w:rPr>
        <w:t>人居环境提升规划进行编纂。</w:t>
      </w:r>
      <w:r>
        <w:rPr>
          <w:rFonts w:hint="eastAsia" w:ascii="仿宋_GB2312" w:hAnsi="宋体" w:eastAsia="仿宋_GB2312" w:cs="仿宋_GB2312"/>
          <w:kern w:val="2"/>
          <w:sz w:val="32"/>
          <w:szCs w:val="24"/>
          <w:lang w:val="en-US" w:eastAsia="zh-CN" w:bidi="ar"/>
        </w:rPr>
        <w:t>截止目前已完成工程量100％，于2023年12月8日已完成验收，已拨付资金29.85万元，受益群众大于5000人，满意度达100％。</w:t>
      </w:r>
    </w:p>
    <w:p w14:paraId="13505D40">
      <w:pPr>
        <w:pageBreakBefore w:val="0"/>
        <w:kinsoku/>
        <w:wordWrap/>
        <w:topLinePunct w:val="0"/>
        <w:bidi w:val="0"/>
        <w:spacing w:line="576" w:lineRule="exact"/>
        <w:ind w:firstLine="640" w:firstLineChars="200"/>
        <w:rPr>
          <w:rFonts w:ascii="黑体" w:hAnsi="黑体" w:eastAsia="黑体"/>
          <w:sz w:val="32"/>
          <w:szCs w:val="32"/>
          <w:lang w:val="zh-CN"/>
        </w:rPr>
      </w:pPr>
      <w:r>
        <w:rPr>
          <w:rFonts w:hint="eastAsia" w:ascii="黑体" w:hAnsi="黑体" w:eastAsia="黑体"/>
          <w:sz w:val="32"/>
          <w:szCs w:val="32"/>
          <w:lang w:val="zh-CN"/>
        </w:rPr>
        <w:t>二、评价实施</w:t>
      </w:r>
    </w:p>
    <w:p w14:paraId="46A03BA3">
      <w:pPr>
        <w:pageBreakBefore w:val="0"/>
        <w:kinsoku/>
        <w:wordWrap/>
        <w:topLinePunct w:val="0"/>
        <w:bidi w:val="0"/>
        <w:spacing w:line="576" w:lineRule="exact"/>
        <w:ind w:firstLine="643" w:firstLineChars="200"/>
        <w:rPr>
          <w:rFonts w:hint="default" w:eastAsia="仿宋_GB2312"/>
          <w:sz w:val="32"/>
          <w:szCs w:val="32"/>
          <w:lang w:val="en-US"/>
        </w:rPr>
      </w:pPr>
      <w:r>
        <w:rPr>
          <w:rFonts w:hint="eastAsia" w:ascii="楷体_GB2312" w:eastAsia="楷体_GB2312"/>
          <w:b/>
          <w:sz w:val="32"/>
          <w:szCs w:val="32"/>
          <w:lang w:val="zh-CN"/>
        </w:rPr>
        <w:t>（一）评价目的。</w:t>
      </w:r>
      <w:r>
        <w:rPr>
          <w:rFonts w:hint="eastAsia" w:ascii="仿宋_GB2312" w:hAnsi="仿宋_GB2312" w:eastAsia="仿宋_GB2312" w:cs="仿宋_GB2312"/>
          <w:b w:val="0"/>
          <w:bCs w:val="0"/>
          <w:sz w:val="32"/>
          <w:szCs w:val="32"/>
          <w:lang w:val="zh-CN" w:eastAsia="zh-CN"/>
        </w:rPr>
        <w:t>该项目计划对</w:t>
      </w:r>
      <w:r>
        <w:rPr>
          <w:rFonts w:hint="eastAsia" w:ascii="仿宋_GB2312" w:hAnsi="仿宋_GB2312" w:eastAsia="仿宋_GB2312" w:cs="仿宋_GB2312"/>
          <w:b w:val="0"/>
          <w:bCs w:val="0"/>
          <w:sz w:val="32"/>
          <w:szCs w:val="32"/>
          <w:lang w:val="en-US" w:eastAsia="zh-CN"/>
        </w:rPr>
        <w:t>邛溪镇人居环境提升规划进行提升，现已100%完成。</w:t>
      </w:r>
    </w:p>
    <w:p w14:paraId="4D1BC5FC">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kern w:val="2"/>
          <w:sz w:val="32"/>
          <w:szCs w:val="32"/>
          <w:lang w:val="en-US" w:eastAsia="zh-CN" w:bidi="ar"/>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b/>
          <w:bCs/>
          <w:color w:val="auto"/>
          <w:sz w:val="32"/>
          <w:szCs w:val="32"/>
          <w:lang w:val="en-US" w:eastAsia="zh-CN"/>
        </w:rPr>
        <w:t>经济效益：</w:t>
      </w:r>
      <w:r>
        <w:rPr>
          <w:rFonts w:hint="eastAsia" w:ascii="仿宋_GB2312" w:hAnsi="仿宋_GB2312" w:eastAsia="仿宋_GB2312" w:cs="仿宋_GB2312"/>
          <w:color w:val="auto"/>
          <w:kern w:val="2"/>
          <w:sz w:val="32"/>
          <w:szCs w:val="32"/>
          <w:lang w:val="en-US" w:eastAsia="zh-CN" w:bidi="ar"/>
        </w:rPr>
        <w:t>通过改善农村人居环境，如基础设施建设（如道路、路灯、广场等），进一步缩小城乡差距，促进城乡融合发展，增进城乡之间的交流和互动。为农村物流和产业发展提供了便利，推动了农村经济的繁荣。农村人居环境的改善可以吸引更多人才返乡创业，带动农村产业的发展，为农村带来新的经济增长点。</w:t>
      </w:r>
    </w:p>
    <w:p w14:paraId="6E27DA9F">
      <w:pPr>
        <w:keepNext w:val="0"/>
        <w:keepLines w:val="0"/>
        <w:pageBreakBefore w:val="0"/>
        <w:widowControl w:val="0"/>
        <w:numPr>
          <w:ilvl w:val="0"/>
          <w:numId w:val="0"/>
        </w:numPr>
        <w:kinsoku/>
        <w:wordWrap/>
        <w:overflowPunct w:val="0"/>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b/>
          <w:bCs/>
          <w:color w:val="auto"/>
          <w:sz w:val="32"/>
          <w:szCs w:val="32"/>
          <w:lang w:val="en-US" w:eastAsia="zh-CN"/>
        </w:rPr>
        <w:t>社会效益：</w:t>
      </w:r>
      <w:r>
        <w:rPr>
          <w:rFonts w:hint="eastAsia" w:ascii="仿宋_GB2312" w:hAnsi="仿宋_GB2312" w:eastAsia="仿宋_GB2312" w:cs="仿宋_GB2312"/>
          <w:color w:val="auto"/>
          <w:kern w:val="2"/>
          <w:sz w:val="32"/>
          <w:szCs w:val="32"/>
          <w:lang w:val="en-US" w:eastAsia="zh-CN" w:bidi="ar"/>
        </w:rPr>
        <w:t>打造清洁、优雅的居住环境，既是老百姓感受到政府利群利民的大好事，也是群众真正得到实惠的大实事。</w:t>
      </w:r>
      <w:r>
        <w:rPr>
          <w:rFonts w:hint="eastAsia" w:ascii="仿宋_GB2312" w:hAnsi="仿宋_GB2312" w:eastAsia="仿宋_GB2312" w:cs="仿宋_GB2312"/>
          <w:color w:val="auto"/>
          <w:sz w:val="32"/>
          <w:szCs w:val="32"/>
          <w:lang w:val="zh-CN"/>
        </w:rPr>
        <w:t>人居环境提升整治，有效</w:t>
      </w:r>
      <w:r>
        <w:rPr>
          <w:rFonts w:hint="eastAsia" w:ascii="仿宋_GB2312" w:hAnsi="仿宋_GB2312" w:eastAsia="仿宋_GB2312" w:cs="仿宋_GB2312"/>
          <w:color w:val="auto"/>
          <w:kern w:val="2"/>
          <w:sz w:val="32"/>
          <w:szCs w:val="32"/>
          <w:lang w:val="en-US" w:eastAsia="zh-CN" w:bidi="ar"/>
        </w:rPr>
        <w:t>改善群众生活条件、完善的交通等，使农村居民的基本生活需求得以满足，提高了他们的生活幸福感。群众共同参与人居环境的改善，让群众更加关注和参与社会事务，加强了各族群众的团结与互助，提升了群众凝聚力和归属感。提升农村人居环境也包括传承乡村的历史文化和传统习俗，丰富了社会文化的多样性。</w:t>
      </w:r>
    </w:p>
    <w:p w14:paraId="14B81518">
      <w:pPr>
        <w:keepNext w:val="0"/>
        <w:keepLines w:val="0"/>
        <w:pageBreakBefore w:val="0"/>
        <w:widowControl w:val="0"/>
        <w:numPr>
          <w:ilvl w:val="0"/>
          <w:numId w:val="0"/>
        </w:numPr>
        <w:kinsoku/>
        <w:wordWrap/>
        <w:overflowPunct w:val="0"/>
        <w:topLinePunct w:val="0"/>
        <w:autoSpaceDE/>
        <w:autoSpaceDN/>
        <w:bidi w:val="0"/>
        <w:adjustRightInd/>
        <w:snapToGrid/>
        <w:spacing w:after="0" w:line="576" w:lineRule="exact"/>
        <w:ind w:firstLine="643" w:firstLineChars="200"/>
        <w:jc w:val="both"/>
        <w:textAlignment w:val="auto"/>
        <w:rPr>
          <w:rFonts w:hint="eastAsia" w:cs="Times New Roman"/>
          <w:szCs w:val="32"/>
          <w:lang w:eastAsia="zh-CN"/>
        </w:rPr>
      </w:pPr>
      <w:r>
        <w:rPr>
          <w:rFonts w:hint="eastAsia" w:ascii="仿宋_GB2312" w:hAnsi="仿宋_GB2312" w:eastAsia="仿宋_GB2312" w:cs="仿宋_GB2312"/>
          <w:b/>
          <w:bCs/>
          <w:color w:val="auto"/>
          <w:kern w:val="2"/>
          <w:sz w:val="32"/>
          <w:szCs w:val="32"/>
          <w:lang w:val="en-US" w:eastAsia="zh-CN" w:bidi="ar-SA"/>
        </w:rPr>
        <w:t>生态效益：</w:t>
      </w:r>
      <w:r>
        <w:rPr>
          <w:rFonts w:hint="eastAsia" w:ascii="仿宋_GB2312" w:hAnsi="仿宋_GB2312" w:eastAsia="仿宋_GB2312" w:cs="仿宋_GB2312"/>
          <w:color w:val="auto"/>
          <w:kern w:val="2"/>
          <w:sz w:val="32"/>
          <w:szCs w:val="32"/>
          <w:lang w:val="en-US" w:eastAsia="zh-CN" w:bidi="ar"/>
        </w:rPr>
        <w:t>人居环境整治美化亮化可以增加绿地面积，种植各种植物，为鸟类、昆虫等生物提供更多的栖息地和食物，促进生物多样性的保护。绿化覆盖率的提高可以吸收二氧化碳，释放氧气，减少空气中的有害气体含量；同时，植物根系可以过滤土壤中的污染物，减少土壤侵蚀，改善水质。人居环境整治美化亮化可以提供各种生态系统服务，如土壤保持、水源涵养、风沙防护等，维护生物多样性和生态平衡，为人类提供稳定和可持续的生态系统服务</w:t>
      </w:r>
      <w:r>
        <w:rPr>
          <w:rFonts w:hint="eastAsia" w:eastAsia="仿宋_GB2312" w:cs="Times New Roman"/>
          <w:szCs w:val="32"/>
          <w:lang w:eastAsia="zh-CN"/>
        </w:rPr>
        <w:t>。</w:t>
      </w:r>
    </w:p>
    <w:p w14:paraId="027E0DA4">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3" w:firstLineChars="200"/>
        <w:textAlignment w:val="auto"/>
        <w:outlineLvl w:val="9"/>
        <w:rPr>
          <w:rFonts w:hint="eastAsia" w:cs="Times New Roman"/>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kern w:val="2"/>
          <w:sz w:val="32"/>
          <w:szCs w:val="32"/>
          <w:shd w:val="clear" w:color="auto" w:fill="FFFFFF"/>
          <w:lang w:val="zh-CN" w:eastAsia="zh-CN" w:bidi="ar-SA"/>
        </w:rPr>
        <w:t>项目绩效自评所抽样点位合格。</w:t>
      </w:r>
    </w:p>
    <w:p w14:paraId="1727544E">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eastAsia="仿宋_GB2312" w:cs="Times New Roman"/>
          <w:szCs w:val="32"/>
          <w:lang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kern w:val="2"/>
          <w:sz w:val="32"/>
          <w:szCs w:val="32"/>
          <w:shd w:val="clear" w:color="auto" w:fill="FFFFFF"/>
          <w:lang w:val="en-US" w:eastAsia="zh-CN" w:bidi="ar-SA"/>
        </w:rPr>
        <w:t>项目100%验收，实地勘察法。</w:t>
      </w:r>
    </w:p>
    <w:p w14:paraId="4E000CC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kern w:val="2"/>
          <w:sz w:val="32"/>
          <w:szCs w:val="32"/>
          <w:shd w:val="clear" w:color="auto" w:fill="FFFFFF"/>
          <w:lang w:val="en-US" w:eastAsia="zh-CN" w:bidi="ar-SA"/>
        </w:rPr>
        <w:t>由邛溪镇人民政府分工一名副科级牵头，一名经办开展监督验收</w:t>
      </w:r>
      <w:r>
        <w:rPr>
          <w:rFonts w:hint="eastAsia" w:ascii="仿宋_GB2312" w:hAnsi="Times New Roman" w:eastAsia="仿宋_GB2312" w:cs="Times New Roman"/>
          <w:sz w:val="32"/>
          <w:szCs w:val="32"/>
          <w:lang w:val="en-US" w:eastAsia="zh-CN"/>
        </w:rPr>
        <w:t>工作。</w:t>
      </w:r>
    </w:p>
    <w:p w14:paraId="61F68C35">
      <w:pPr>
        <w:pageBreakBefore w:val="0"/>
        <w:kinsoku/>
        <w:wordWrap/>
        <w:topLinePunct w:val="0"/>
        <w:bidi w:val="0"/>
        <w:spacing w:line="576" w:lineRule="exact"/>
        <w:ind w:firstLine="640" w:firstLineChars="200"/>
        <w:rPr>
          <w:rFonts w:ascii="黑体" w:hAnsi="黑体" w:eastAsia="黑体"/>
          <w:sz w:val="32"/>
          <w:szCs w:val="32"/>
          <w:lang w:val="zh-CN"/>
        </w:rPr>
      </w:pPr>
      <w:r>
        <w:rPr>
          <w:rFonts w:hint="eastAsia" w:ascii="黑体" w:hAnsi="黑体" w:eastAsia="黑体"/>
          <w:sz w:val="32"/>
          <w:szCs w:val="32"/>
          <w:lang w:val="zh-CN"/>
        </w:rPr>
        <w:t>三、绩效分析</w:t>
      </w:r>
    </w:p>
    <w:p w14:paraId="5628AE06">
      <w:pPr>
        <w:pageBreakBefore w:val="0"/>
        <w:kinsoku/>
        <w:wordWrap/>
        <w:topLinePunct w:val="0"/>
        <w:bidi w:val="0"/>
        <w:spacing w:line="576" w:lineRule="exact"/>
        <w:ind w:firstLine="640" w:firstLineChars="200"/>
        <w:rPr>
          <w:rFonts w:eastAsia="仿宋_GB2312"/>
          <w:sz w:val="32"/>
          <w:szCs w:val="32"/>
          <w:lang w:val="zh-CN"/>
        </w:rPr>
      </w:pPr>
      <w:r>
        <w:rPr>
          <w:rFonts w:hint="eastAsia" w:eastAsia="仿宋_GB2312"/>
          <w:sz w:val="32"/>
          <w:szCs w:val="32"/>
          <w:lang w:val="zh-CN"/>
        </w:rPr>
        <w:t>根据项目预算绩效评价指标体系“通用指标”“专用指标”“个性指标”涉及二、三级指标进行逐项绩效分析并评分。</w:t>
      </w:r>
    </w:p>
    <w:p w14:paraId="7331457E">
      <w:pPr>
        <w:pageBreakBefore w:val="0"/>
        <w:kinsoku/>
        <w:wordWrap/>
        <w:topLinePunct w:val="0"/>
        <w:bidi w:val="0"/>
        <w:spacing w:line="576"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（一）通用指标绩效分析。</w:t>
      </w:r>
    </w:p>
    <w:p w14:paraId="1C9D6EC0">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eastAsia="zh-CN"/>
        </w:rPr>
        <w:t>项目决策。</w:t>
      </w:r>
      <w:r>
        <w:rPr>
          <w:rFonts w:hint="eastAsia" w:ascii="仿宋_GB2312" w:hAnsi="Times New Roman" w:eastAsia="仿宋_GB2312" w:cs="Times New Roman"/>
          <w:sz w:val="32"/>
          <w:szCs w:val="32"/>
          <w:lang w:val="en-US" w:eastAsia="zh-CN"/>
        </w:rPr>
        <w:t>本项目由红原县邛溪镇负责具体实施，县住建局负责项目监管，县财政局负责监管项目资金。</w:t>
      </w:r>
    </w:p>
    <w:p w14:paraId="38993C2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532B8F2F">
      <w:pPr>
        <w:pageBreakBefore w:val="0"/>
        <w:kinsoku/>
        <w:wordWrap/>
        <w:topLinePunct w:val="0"/>
        <w:bidi w:val="0"/>
        <w:spacing w:line="576" w:lineRule="exact"/>
        <w:ind w:firstLine="640" w:firstLineChars="200"/>
        <w:rPr>
          <w:rFonts w:eastAsia="仿宋_GB2312"/>
          <w:sz w:val="32"/>
          <w:szCs w:val="32"/>
          <w:lang w:val="zh-CN"/>
        </w:rPr>
      </w:pPr>
      <w:r>
        <w:rPr>
          <w:rFonts w:hint="eastAsia" w:ascii="楷体_GB2312" w:eastAsia="楷体_GB2312"/>
          <w:sz w:val="32"/>
          <w:szCs w:val="32"/>
          <w:lang w:val="zh-CN"/>
        </w:rPr>
        <w:t>3.项目实施。</w:t>
      </w:r>
      <w:r>
        <w:rPr>
          <w:rFonts w:hint="eastAsia" w:ascii="仿宋_GB2312" w:hAnsi="宋体" w:eastAsia="仿宋_GB2312" w:cs="仿宋_GB2312"/>
          <w:kern w:val="2"/>
          <w:sz w:val="32"/>
          <w:szCs w:val="24"/>
          <w:lang w:val="en-US" w:eastAsia="zh-CN" w:bidi="ar"/>
        </w:rPr>
        <w:t>该项目计划投资30万元，实际到位30万元，资金来源为：衔接资金，年初目标为对邛溪镇</w:t>
      </w:r>
      <w:r>
        <w:rPr>
          <w:rFonts w:hint="eastAsia" w:ascii="仿宋_GB2312" w:hAnsi="宋体" w:eastAsia="仿宋_GB2312" w:cs="仿宋_GB2312"/>
          <w:b w:val="0"/>
          <w:bCs w:val="0"/>
          <w:kern w:val="2"/>
          <w:sz w:val="32"/>
          <w:szCs w:val="24"/>
          <w:lang w:val="zh-CN" w:eastAsia="zh-CN" w:bidi="ar"/>
        </w:rPr>
        <w:t>人居环境提升规划进行编纂。</w:t>
      </w:r>
      <w:r>
        <w:rPr>
          <w:rFonts w:hint="eastAsia" w:ascii="仿宋_GB2312" w:hAnsi="宋体" w:eastAsia="仿宋_GB2312" w:cs="仿宋_GB2312"/>
          <w:kern w:val="2"/>
          <w:sz w:val="32"/>
          <w:szCs w:val="24"/>
          <w:lang w:val="en-US" w:eastAsia="zh-CN" w:bidi="ar"/>
        </w:rPr>
        <w:t>截止目前已完成工程量100％，于2023年12月8日已完成验收，已拨付资金29.85万元，受益群众大于5000人，满意度达100％。</w:t>
      </w:r>
    </w:p>
    <w:p w14:paraId="50A5BA1F">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楷体_GB2312" w:eastAsia="楷体_GB2312"/>
          <w:sz w:val="32"/>
          <w:szCs w:val="32"/>
          <w:lang w:val="zh-CN"/>
        </w:rPr>
        <w:t>4.项目结果。</w:t>
      </w:r>
      <w:r>
        <w:rPr>
          <w:rFonts w:hint="eastAsia" w:ascii="仿宋_GB2312" w:hAnsi="Times New Roman" w:eastAsia="仿宋_GB2312" w:cs="Times New Roman"/>
          <w:sz w:val="32"/>
          <w:szCs w:val="32"/>
          <w:lang w:val="en-US" w:eastAsia="zh-CN"/>
        </w:rPr>
        <w:t>该项目资金严格按照相关规程进行拨付，</w:t>
      </w:r>
      <w:r>
        <w:rPr>
          <w:rFonts w:hint="eastAsia" w:ascii="仿宋_GB2312" w:hAnsi="仿宋" w:eastAsia="仿宋_GB2312"/>
          <w:sz w:val="32"/>
        </w:rPr>
        <w:t>该项目的实施，将覆盖</w:t>
      </w:r>
      <w:r>
        <w:rPr>
          <w:rFonts w:hint="eastAsia" w:ascii="仿宋_GB2312" w:hAnsi="仿宋" w:eastAsia="仿宋_GB2312"/>
          <w:sz w:val="32"/>
          <w:lang w:eastAsia="zh-CN"/>
        </w:rPr>
        <w:t>全镇</w:t>
      </w:r>
      <w:r>
        <w:rPr>
          <w:rFonts w:hint="eastAsia" w:ascii="仿宋_GB2312" w:hAnsi="仿宋" w:eastAsia="仿宋_GB2312"/>
          <w:sz w:val="32"/>
        </w:rPr>
        <w:t>范围</w:t>
      </w:r>
      <w:r>
        <w:rPr>
          <w:rFonts w:hint="eastAsia" w:ascii="仿宋_GB2312" w:hAnsi="仿宋" w:eastAsia="仿宋_GB2312"/>
          <w:sz w:val="32"/>
          <w:lang w:eastAsia="zh-CN"/>
        </w:rPr>
        <w:t>居民、牧户</w:t>
      </w:r>
      <w:r>
        <w:rPr>
          <w:rFonts w:hint="eastAsia" w:ascii="仿宋_GB2312" w:hAnsi="仿宋" w:eastAsia="仿宋_GB2312"/>
          <w:sz w:val="32"/>
        </w:rPr>
        <w:t>，</w:t>
      </w:r>
      <w:r>
        <w:rPr>
          <w:rFonts w:hint="eastAsia" w:ascii="仿宋_GB2312" w:hAnsi="仿宋" w:eastAsia="仿宋_GB2312"/>
          <w:sz w:val="32"/>
          <w:lang w:eastAsia="zh-CN"/>
        </w:rPr>
        <w:t>邛溪镇的人居环境将得到有力提升，并</w:t>
      </w:r>
      <w:r>
        <w:rPr>
          <w:rFonts w:hint="eastAsia" w:ascii="仿宋_GB2312" w:hAnsi="仿宋" w:eastAsia="仿宋_GB2312"/>
          <w:sz w:val="32"/>
        </w:rPr>
        <w:t>有力推进</w:t>
      </w:r>
      <w:r>
        <w:rPr>
          <w:rFonts w:hint="eastAsia" w:ascii="仿宋_GB2312" w:hAnsi="仿宋" w:eastAsia="仿宋_GB2312"/>
          <w:sz w:val="32"/>
          <w:lang w:eastAsia="zh-CN"/>
        </w:rPr>
        <w:t>邛溪镇</w:t>
      </w:r>
      <w:r>
        <w:rPr>
          <w:rFonts w:hint="eastAsia" w:ascii="仿宋_GB2312" w:hAnsi="仿宋" w:eastAsia="仿宋_GB2312"/>
          <w:sz w:val="32"/>
        </w:rPr>
        <w:t>经济和社会持续发展有力助推我</w:t>
      </w:r>
      <w:r>
        <w:rPr>
          <w:rFonts w:hint="eastAsia" w:ascii="仿宋_GB2312" w:hAnsi="仿宋" w:eastAsia="仿宋_GB2312"/>
          <w:sz w:val="32"/>
          <w:lang w:eastAsia="zh-CN"/>
        </w:rPr>
        <w:t>镇</w:t>
      </w:r>
      <w:r>
        <w:rPr>
          <w:rFonts w:hint="eastAsia" w:ascii="仿宋_GB2312" w:eastAsia="仿宋_GB2312"/>
          <w:sz w:val="32"/>
          <w:szCs w:val="32"/>
          <w:lang w:val="en-US" w:eastAsia="zh-CN"/>
        </w:rPr>
        <w:t>2024年巩固拓展脱贫攻坚成果同乡村振兴有效衔接</w:t>
      </w:r>
      <w:r>
        <w:rPr>
          <w:rFonts w:hint="eastAsia" w:ascii="仿宋_GB2312" w:hAnsi="仿宋" w:eastAsia="仿宋_GB2312"/>
          <w:sz w:val="32"/>
        </w:rPr>
        <w:t>的有力实施。</w:t>
      </w:r>
    </w:p>
    <w:p w14:paraId="3F672C71">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（二）</w:t>
      </w:r>
      <w:r>
        <w:rPr>
          <w:rFonts w:hint="eastAsia" w:ascii="仿宋_GB2312" w:hAnsi="Times New Roman" w:eastAsia="仿宋_GB2312" w:cs="Times New Roman"/>
          <w:b/>
          <w:bCs/>
          <w:sz w:val="32"/>
          <w:szCs w:val="32"/>
          <w:lang w:val="en-US" w:eastAsia="zh-CN"/>
        </w:rPr>
        <w:t>专用指标</w:t>
      </w:r>
      <w:r>
        <w:rPr>
          <w:rFonts w:hint="default" w:ascii="仿宋_GB2312" w:hAnsi="Times New Roman" w:eastAsia="仿宋_GB2312" w:cs="Times New Roman"/>
          <w:b/>
          <w:bCs/>
          <w:sz w:val="32"/>
          <w:szCs w:val="32"/>
          <w:lang w:val="zh-CN"/>
        </w:rPr>
        <w:t>绩效分析。</w:t>
      </w:r>
      <w:r>
        <w:rPr>
          <w:rFonts w:hint="eastAsia" w:ascii="仿宋_GB2312" w:hAnsi="Times New Roman" w:eastAsia="仿宋_GB2312" w:cs="Times New Roman"/>
          <w:sz w:val="32"/>
          <w:szCs w:val="32"/>
          <w:lang w:val="zh-CN" w:eastAsia="zh-CN"/>
        </w:rPr>
        <w:t>根据</w:t>
      </w:r>
      <w:r>
        <w:rPr>
          <w:rFonts w:hint="eastAsia" w:ascii="仿宋_GB2312" w:hAnsi="Times New Roman" w:eastAsia="仿宋_GB2312" w:cs="Times New Roman"/>
          <w:sz w:val="32"/>
          <w:szCs w:val="32"/>
          <w:lang w:val="en-US" w:eastAsia="zh-CN"/>
        </w:rPr>
        <w:t>专项预算项目资金支持对象选择所属指标进行绩效分析。支持对象</w:t>
      </w:r>
      <w:r>
        <w:rPr>
          <w:rFonts w:hint="eastAsia" w:ascii="仿宋_GB2312" w:hAnsi="Times New Roman" w:eastAsia="仿宋_GB2312" w:cs="Times New Roman"/>
          <w:sz w:val="32"/>
          <w:szCs w:val="32"/>
          <w:lang w:val="zh-CN" w:eastAsia="zh-CN"/>
        </w:rPr>
        <w:t>包括产业发展、民生保障、基础设施、行政运转等方面。</w:t>
      </w:r>
    </w:p>
    <w:p w14:paraId="5333979C">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产业发展。过改善农村人居环境，如基础设施建设（如道路、路灯、广场等），进一步缩小城乡差距，促进城乡融合发展，增进城乡之间的交流和互动。为农村物流和产业发展提供了便利，推动了农村经济的繁荣。农村人居环境的改善可以吸引更多人才返乡创业，带动农村产业的发展，为农村带来新的经济增长点。</w:t>
      </w:r>
    </w:p>
    <w:p w14:paraId="77ACF440">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eastAsia="zh-CN"/>
        </w:rPr>
        <w:t>民生保障。</w:t>
      </w:r>
      <w:r>
        <w:rPr>
          <w:rFonts w:hint="eastAsia" w:ascii="仿宋_GB2312" w:hAnsi="Times New Roman" w:eastAsia="仿宋_GB2312" w:cs="Times New Roman"/>
          <w:sz w:val="32"/>
          <w:szCs w:val="32"/>
          <w:lang w:val="en-US" w:eastAsia="zh-CN"/>
        </w:rPr>
        <w:t>打造清洁、优雅的居住环境，既是老百姓感受到政府利群利民的大好事，也是群众真正得到实惠的大实事。</w:t>
      </w:r>
      <w:r>
        <w:rPr>
          <w:rFonts w:hint="eastAsia" w:ascii="仿宋_GB2312" w:hAnsi="Times New Roman" w:eastAsia="仿宋_GB2312" w:cs="Times New Roman"/>
          <w:sz w:val="32"/>
          <w:szCs w:val="32"/>
          <w:lang w:val="zh-CN"/>
        </w:rPr>
        <w:t>人居环境提升整治，有效</w:t>
      </w:r>
      <w:r>
        <w:rPr>
          <w:rFonts w:hint="eastAsia" w:ascii="仿宋_GB2312" w:hAnsi="Times New Roman" w:eastAsia="仿宋_GB2312" w:cs="Times New Roman"/>
          <w:sz w:val="32"/>
          <w:szCs w:val="32"/>
          <w:lang w:val="en-US" w:eastAsia="zh-CN"/>
        </w:rPr>
        <w:t>改善群众生活条件、完善的交通等，使农村居民的基本生活需求得以满足，提高了他们的生活幸福感。群众共同参与人居环境的改善，让群众更加关注和参与社会事务，加强了各族群众的团结与互助，提升了群众凝聚力和归属感。提升农村人居环境也包括传承乡村的历史文化和传统习俗，丰富了社会文化的多样性。</w:t>
      </w:r>
    </w:p>
    <w:p w14:paraId="303F49FA">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3.基础设施。</w:t>
      </w:r>
      <w:r>
        <w:rPr>
          <w:rFonts w:hint="eastAsia" w:ascii="仿宋_GB2312" w:hAnsi="Times New Roman" w:eastAsia="仿宋_GB2312" w:cs="Times New Roman"/>
          <w:sz w:val="32"/>
          <w:szCs w:val="32"/>
        </w:rPr>
        <w:t>项目建设场址具有良好的远近结合区位优势，外部水、电基础设施条件较好，建设场址地质较稳定，为项目建设提供了有利的建设条件。 项目建设规模、技术标准、实施方案、项目组织与管理、投资估算和资金筹措方案是可行的。通过该项目的建设，将积极推进红原县</w:t>
      </w:r>
      <w:r>
        <w:rPr>
          <w:rFonts w:hint="eastAsia" w:ascii="仿宋_GB2312" w:hAnsi="Times New Roman" w:eastAsia="仿宋_GB2312" w:cs="Times New Roman"/>
          <w:sz w:val="32"/>
          <w:szCs w:val="32"/>
          <w:lang w:eastAsia="zh-CN"/>
        </w:rPr>
        <w:t>邛溪镇</w:t>
      </w:r>
      <w:r>
        <w:rPr>
          <w:rFonts w:hint="eastAsia" w:ascii="仿宋_GB2312" w:hAnsi="Times New Roman" w:eastAsia="仿宋_GB2312" w:cs="Times New Roman"/>
          <w:sz w:val="32"/>
          <w:szCs w:val="32"/>
        </w:rPr>
        <w:t>的建设，促进经济发展，具有良好的社会效益。</w:t>
      </w:r>
    </w:p>
    <w:p w14:paraId="66E90292">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楷体_GB2312" w:eastAsia="楷体_GB2312"/>
          <w:sz w:val="32"/>
          <w:szCs w:val="32"/>
          <w:lang w:val="zh-CN"/>
        </w:rPr>
        <w:t>4.行政运转。</w:t>
      </w:r>
      <w:r>
        <w:rPr>
          <w:rFonts w:hint="eastAsia" w:ascii="仿宋_GB2312" w:hAnsi="宋体" w:eastAsia="仿宋_GB2312" w:cs="仿宋_GB2312"/>
          <w:kern w:val="2"/>
          <w:sz w:val="32"/>
          <w:szCs w:val="24"/>
          <w:lang w:val="en-US" w:eastAsia="zh-CN" w:bidi="ar"/>
        </w:rPr>
        <w:t>该项目计划投资30万元，实际到位30万元，资金来源为：衔接资金。截止目前已完成工程量100%,于2023年12月8日已完成验收,已拨付资29.85万元,受益群众大于5000人，满意度达100％。</w:t>
      </w:r>
    </w:p>
    <w:p w14:paraId="47299B2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eastAsia="仿宋_GB2312"/>
          <w:sz w:val="32"/>
          <w:szCs w:val="32"/>
          <w:lang w:val="zh-CN"/>
        </w:rPr>
      </w:pPr>
      <w:r>
        <w:rPr>
          <w:rFonts w:hint="eastAsia" w:ascii="楷体_GB2312" w:eastAsia="楷体_GB2312"/>
          <w:b/>
          <w:sz w:val="32"/>
          <w:szCs w:val="32"/>
          <w:lang w:val="zh-CN"/>
        </w:rPr>
        <w:t>（三）个性指标绩效分析。</w:t>
      </w:r>
      <w:r>
        <w:rPr>
          <w:rFonts w:hint="eastAsia" w:ascii="仿宋_GB2312" w:hAnsi="宋体" w:eastAsia="仿宋_GB2312" w:cs="仿宋_GB2312"/>
          <w:kern w:val="2"/>
          <w:sz w:val="32"/>
          <w:szCs w:val="24"/>
          <w:lang w:val="en-US" w:eastAsia="zh-CN" w:bidi="ar"/>
        </w:rPr>
        <w:t>于2023年12月8日已完成验收，已拨付资金29.85万元，受益群众大于5000人，满意度达100％。</w:t>
      </w:r>
      <w:r>
        <w:rPr>
          <w:rFonts w:hint="eastAsia" w:ascii="仿宋_GB2312" w:hAnsi="Times New Roman" w:eastAsia="仿宋_GB2312" w:cs="Times New Roman"/>
          <w:sz w:val="32"/>
          <w:szCs w:val="32"/>
          <w:lang w:val="en-US" w:eastAsia="zh-CN"/>
        </w:rPr>
        <w:t>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3B2C3C28">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eastAsia="zh-CN"/>
        </w:rPr>
        <w:t>四</w:t>
      </w:r>
      <w:r>
        <w:rPr>
          <w:rFonts w:hint="eastAsia" w:ascii="楷体_GB2312" w:hAnsi="宋体" w:eastAsia="楷体_GB2312" w:cs="Times New Roman"/>
          <w:b/>
          <w:color w:val="auto"/>
          <w:sz w:val="32"/>
          <w:szCs w:val="32"/>
          <w:highlight w:val="none"/>
          <w:u w:val="none"/>
          <w:lang w:val="zh-CN"/>
        </w:rPr>
        <w:t>、评价结论</w:t>
      </w:r>
    </w:p>
    <w:p w14:paraId="4A751D1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本项目为</w:t>
      </w:r>
      <w:r>
        <w:rPr>
          <w:rFonts w:hint="eastAsia" w:ascii="仿宋_GB2312" w:hAnsi="Times New Roman" w:eastAsia="仿宋_GB2312" w:cs="Times New Roman"/>
          <w:sz w:val="32"/>
          <w:szCs w:val="32"/>
          <w:lang w:eastAsia="zh-CN"/>
        </w:rPr>
        <w:t>邛溪镇人居环境提</w:t>
      </w:r>
      <w:r>
        <w:rPr>
          <w:rFonts w:hint="eastAsia" w:ascii="仿宋_GB2312" w:hAnsi="仿宋_GB2312" w:eastAsia="仿宋_GB2312" w:cs="仿宋_GB2312"/>
          <w:color w:val="000000"/>
          <w:kern w:val="0"/>
          <w:sz w:val="32"/>
          <w:szCs w:val="32"/>
          <w:lang w:eastAsia="zh-CN" w:bidi="ar"/>
        </w:rPr>
        <w:t>升改造项目</w:t>
      </w:r>
      <w:r>
        <w:rPr>
          <w:rFonts w:hint="eastAsia" w:ascii="仿宋_GB2312" w:hAnsi="仿宋_GB2312" w:eastAsia="仿宋_GB2312" w:cs="仿宋_GB2312"/>
          <w:color w:val="000000"/>
          <w:kern w:val="0"/>
          <w:sz w:val="32"/>
          <w:szCs w:val="32"/>
          <w:lang w:bidi="ar"/>
        </w:rPr>
        <w:t>，符合国家相关产业政策要求，属于《</w:t>
      </w:r>
      <w:r>
        <w:rPr>
          <w:rFonts w:hint="eastAsia" w:ascii="仿宋_GB2312" w:hAnsi="Times New Roman" w:eastAsia="仿宋_GB2312" w:cs="Times New Roman"/>
          <w:sz w:val="32"/>
          <w:szCs w:val="32"/>
        </w:rPr>
        <w:t>产业结构调整指导目录（2019年本）》鼓励类项目。</w:t>
      </w:r>
    </w:p>
    <w:p w14:paraId="13DB5F9B">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为促进</w:t>
      </w:r>
      <w:r>
        <w:rPr>
          <w:rFonts w:hint="eastAsia" w:ascii="仿宋_GB2312" w:hAnsi="Times New Roman" w:eastAsia="仿宋_GB2312" w:cs="Times New Roman"/>
          <w:sz w:val="32"/>
          <w:szCs w:val="32"/>
          <w:lang w:eastAsia="zh-CN"/>
        </w:rPr>
        <w:t>邛溪镇</w:t>
      </w:r>
      <w:r>
        <w:rPr>
          <w:rFonts w:hint="eastAsia" w:ascii="仿宋_GB2312" w:hAnsi="Times New Roman" w:eastAsia="仿宋_GB2312" w:cs="Times New Roman"/>
          <w:sz w:val="32"/>
          <w:szCs w:val="32"/>
        </w:rPr>
        <w:t>城乡融合、推进城镇化发展、建设美丽乡村具有重要战略意义，本项目的建设是非常必要的。</w:t>
      </w:r>
    </w:p>
    <w:p w14:paraId="3451CCD3">
      <w:pPr>
        <w:pageBreakBefore w:val="0"/>
        <w:kinsoku/>
        <w:wordWrap/>
        <w:topLinePunct w:val="0"/>
        <w:bidi w:val="0"/>
        <w:spacing w:line="576"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Times New Roman" w:eastAsia="仿宋_GB2312" w:cs="Times New Roman"/>
          <w:sz w:val="32"/>
          <w:szCs w:val="32"/>
        </w:rPr>
        <w:t>本项目的建设围绕</w:t>
      </w:r>
      <w:r>
        <w:rPr>
          <w:rFonts w:hint="eastAsia" w:ascii="仿宋_GB2312" w:hAnsi="Times New Roman" w:eastAsia="仿宋_GB2312" w:cs="Times New Roman"/>
          <w:sz w:val="32"/>
          <w:szCs w:val="32"/>
          <w:lang w:eastAsia="zh-CN"/>
        </w:rPr>
        <w:t>邛溪镇</w:t>
      </w:r>
      <w:r>
        <w:rPr>
          <w:rFonts w:hint="eastAsia" w:ascii="仿宋_GB2312" w:hAnsi="Times New Roman" w:eastAsia="仿宋_GB2312" w:cs="Times New Roman"/>
          <w:sz w:val="32"/>
          <w:szCs w:val="32"/>
        </w:rPr>
        <w:t>城乡</w:t>
      </w:r>
      <w:r>
        <w:rPr>
          <w:rFonts w:hint="eastAsia" w:ascii="仿宋_GB2312" w:hAnsi="仿宋_GB2312" w:eastAsia="仿宋_GB2312" w:cs="仿宋_GB2312"/>
          <w:color w:val="000000"/>
          <w:kern w:val="0"/>
          <w:sz w:val="32"/>
          <w:szCs w:val="32"/>
          <w:lang w:bidi="ar"/>
        </w:rPr>
        <w:t>融合发展，加快生态文明体系改革，系统提升改造生态环境，丰富土地资源，促进绿色发展；围绕发展现代农业、</w:t>
      </w:r>
      <w:r>
        <w:rPr>
          <w:rFonts w:hint="eastAsia" w:ascii="仿宋_GB2312" w:hAnsi="仿宋_GB2312" w:eastAsia="仿宋_GB2312" w:cs="仿宋_GB2312"/>
          <w:color w:val="000000"/>
          <w:kern w:val="0"/>
          <w:sz w:val="32"/>
          <w:szCs w:val="32"/>
          <w:lang w:val="en-US" w:eastAsia="zh-CN" w:bidi="ar"/>
        </w:rPr>
        <w:t>商业、旅游业等，</w:t>
      </w:r>
      <w:r>
        <w:rPr>
          <w:rFonts w:hint="eastAsia" w:ascii="仿宋_GB2312" w:hAnsi="仿宋_GB2312" w:eastAsia="仿宋_GB2312" w:cs="仿宋_GB2312"/>
          <w:color w:val="000000"/>
          <w:kern w:val="0"/>
          <w:sz w:val="32"/>
          <w:szCs w:val="32"/>
          <w:lang w:bidi="ar"/>
        </w:rPr>
        <w:t>培育新产业新业态，完善农企利益紧密联结机制，实现城乡经济多元化和农业全产业链发展。</w:t>
      </w:r>
    </w:p>
    <w:p w14:paraId="0D818CC1">
      <w:pPr>
        <w:pageBreakBefore w:val="0"/>
        <w:kinsoku/>
        <w:wordWrap/>
        <w:topLinePunct w:val="0"/>
        <w:bidi w:val="0"/>
        <w:spacing w:line="576" w:lineRule="exact"/>
        <w:ind w:firstLine="640" w:firstLineChars="200"/>
        <w:jc w:val="left"/>
        <w:rPr>
          <w:rFonts w:hint="eastAsia" w:ascii="楷体_GB2312" w:eastAsia="仿宋_GB2312"/>
          <w:b/>
          <w:sz w:val="32"/>
          <w:szCs w:val="32"/>
          <w:lang w:val="en-US" w:eastAsia="zh-CN"/>
        </w:rPr>
      </w:pPr>
      <w:r>
        <w:rPr>
          <w:rFonts w:hint="eastAsia" w:ascii="仿宋_GB2312" w:hAnsi="仿宋_GB2312" w:eastAsia="仿宋_GB2312" w:cs="仿宋_GB2312"/>
          <w:color w:val="000000"/>
          <w:kern w:val="0"/>
          <w:sz w:val="32"/>
          <w:szCs w:val="32"/>
          <w:lang w:bidi="ar"/>
        </w:rPr>
        <w:t>项目建设符合国家鼓励发展的产业政策，符合市场经济的发展需求，符合</w:t>
      </w:r>
      <w:r>
        <w:rPr>
          <w:rFonts w:hint="eastAsia" w:ascii="仿宋_GB2312" w:hAnsi="仿宋_GB2312" w:eastAsia="仿宋_GB2312" w:cs="仿宋_GB2312"/>
          <w:color w:val="000000"/>
          <w:kern w:val="0"/>
          <w:sz w:val="32"/>
          <w:szCs w:val="32"/>
          <w:lang w:eastAsia="zh-CN" w:bidi="ar"/>
        </w:rPr>
        <w:t>红原县</w:t>
      </w:r>
      <w:r>
        <w:rPr>
          <w:rFonts w:hint="eastAsia" w:ascii="仿宋_GB2312" w:hAnsi="仿宋_GB2312" w:eastAsia="仿宋_GB2312" w:cs="仿宋_GB2312"/>
          <w:color w:val="000000"/>
          <w:kern w:val="0"/>
          <w:sz w:val="32"/>
          <w:szCs w:val="32"/>
          <w:lang w:bidi="ar"/>
        </w:rPr>
        <w:t>整体规划要求，对促进当地的经济发展和社会稳定具</w:t>
      </w:r>
      <w:r>
        <w:rPr>
          <w:rFonts w:hint="eastAsia" w:ascii="仿宋_GB2312" w:hAnsi="仿宋_GB2312" w:eastAsia="仿宋_GB2312" w:cs="仿宋_GB2312"/>
          <w:color w:val="000000"/>
          <w:kern w:val="0"/>
          <w:sz w:val="32"/>
          <w:szCs w:val="32"/>
          <w:lang w:eastAsia="zh-CN" w:bidi="ar"/>
        </w:rPr>
        <w:t>有重要意义。</w:t>
      </w:r>
    </w:p>
    <w:p w14:paraId="27EA9C04">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五、存在主要问题</w:t>
      </w:r>
    </w:p>
    <w:p w14:paraId="4A7B1503">
      <w:pPr>
        <w:pStyle w:val="7"/>
        <w:pageBreakBefore w:val="0"/>
        <w:numPr>
          <w:ilvl w:val="0"/>
          <w:numId w:val="0"/>
        </w:numPr>
        <w:tabs>
          <w:tab w:val="left" w:pos="2160"/>
        </w:tabs>
        <w:kinsoku/>
        <w:wordWrap/>
        <w:overflowPunct/>
        <w:topLinePunct w:val="0"/>
        <w:autoSpaceDE/>
        <w:autoSpaceDN/>
        <w:bidi w:val="0"/>
        <w:adjustRightInd/>
        <w:spacing w:line="576" w:lineRule="exact"/>
        <w:ind w:firstLine="640" w:firstLineChars="200"/>
        <w:textAlignment w:val="auto"/>
        <w:rPr>
          <w:rFonts w:hint="eastAsia" w:ascii="黑体" w:hAnsi="黑体" w:cs="黑体"/>
          <w:b w:val="0"/>
          <w:bCs w:val="0"/>
          <w:kern w:val="2"/>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3B598CE3">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六、改进建议</w:t>
      </w:r>
    </w:p>
    <w:p w14:paraId="781AC954">
      <w:pPr>
        <w:pageBreakBefore w:val="0"/>
        <w:tabs>
          <w:tab w:val="left" w:pos="1911"/>
        </w:tabs>
        <w:kinsoku/>
        <w:wordWrap/>
        <w:topLinePunct w:val="0"/>
        <w:bidi w:val="0"/>
        <w:spacing w:line="576" w:lineRule="exact"/>
        <w:ind w:firstLine="640" w:firstLineChars="200"/>
        <w:jc w:val="left"/>
        <w:rPr>
          <w:rFonts w:hint="eastAsia" w:ascii="仿宋_GB2312" w:hAnsi="仿宋_GB2312" w:eastAsia="仿宋_GB2312" w:cs="仿宋_GB2312"/>
          <w:b w:val="0"/>
          <w:bCs w:val="0"/>
          <w:kern w:val="0"/>
          <w:position w:val="0"/>
          <w:sz w:val="32"/>
          <w:szCs w:val="32"/>
          <w:highlight w:val="none"/>
          <w:lang w:val="en" w:eastAsia="zh-CN" w:bidi="ar-SA"/>
        </w:rPr>
      </w:pPr>
      <w:bookmarkStart w:id="46" w:name="_Hlk110546638"/>
      <w:r>
        <w:rPr>
          <w:rFonts w:hint="eastAsia" w:ascii="仿宋_GB2312" w:hAnsi="仿宋_GB2312" w:cs="仿宋_GB2312"/>
          <w:b w:val="0"/>
          <w:bCs w:val="0"/>
          <w:kern w:val="0"/>
          <w:position w:val="0"/>
          <w:sz w:val="32"/>
          <w:szCs w:val="32"/>
          <w:highlight w:val="none"/>
          <w:lang w:val="en-US" w:eastAsia="zh-CN" w:bidi="ar-SA"/>
        </w:rPr>
        <w:t>无。</w:t>
      </w:r>
    </w:p>
    <w:bookmarkEnd w:id="46"/>
    <w:p w14:paraId="712D9640">
      <w:pPr>
        <w:pStyle w:val="6"/>
        <w:pageBreakBefore w:val="0"/>
        <w:kinsoku/>
        <w:wordWrap/>
        <w:topLinePunct w:val="0"/>
        <w:bidi w:val="0"/>
        <w:spacing w:line="576" w:lineRule="exac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 xml:space="preserve"> </w:t>
      </w:r>
    </w:p>
    <w:tbl>
      <w:tblPr>
        <w:tblStyle w:val="17"/>
        <w:tblpPr w:leftFromText="180" w:rightFromText="180" w:vertAnchor="text" w:horzAnchor="page" w:tblpXSpec="center" w:tblpY="577"/>
        <w:tblOverlap w:val="never"/>
        <w:tblW w:w="8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656"/>
        <w:gridCol w:w="981"/>
        <w:gridCol w:w="475"/>
        <w:gridCol w:w="708"/>
        <w:gridCol w:w="882"/>
        <w:gridCol w:w="580"/>
        <w:gridCol w:w="526"/>
        <w:gridCol w:w="856"/>
        <w:gridCol w:w="986"/>
        <w:gridCol w:w="626"/>
      </w:tblGrid>
      <w:tr w14:paraId="6DB4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88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8960EC5">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Style w:val="39"/>
                <w:lang w:val="en-US" w:eastAsia="zh-CN" w:bidi="ar"/>
              </w:rPr>
              <w:t>绩效目标自评表</w:t>
            </w:r>
            <w:r>
              <w:rPr>
                <w:rStyle w:val="40"/>
                <w:lang w:val="en-US" w:eastAsia="zh-CN" w:bidi="ar"/>
              </w:rPr>
              <w:br w:type="textWrapping"/>
            </w:r>
            <w:r>
              <w:rPr>
                <w:rStyle w:val="41"/>
                <w:lang w:val="en-US" w:eastAsia="zh-CN" w:bidi="ar"/>
              </w:rPr>
              <w:t>（2023年度）</w:t>
            </w:r>
          </w:p>
        </w:tc>
      </w:tr>
      <w:tr w14:paraId="593B7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2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88E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1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3025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邛溪镇人居环境提升规划编制项目</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2968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29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77F50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45AA8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C2EE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1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B084C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县乡村振兴局</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D71D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29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D95B4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2CFBA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jc w:val="center"/>
        </w:trPr>
        <w:tc>
          <w:tcPr>
            <w:tcW w:w="219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E93A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373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8020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0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CB48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AC8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FDF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2DA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453E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jc w:val="center"/>
        </w:trPr>
        <w:tc>
          <w:tcPr>
            <w:tcW w:w="21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A27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7A5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B3A8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0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4A3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F91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866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BB7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19CD0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jc w:val="center"/>
        </w:trPr>
        <w:tc>
          <w:tcPr>
            <w:tcW w:w="21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E0E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DFA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AFA5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0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7124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63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CE0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2D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1D0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jc w:val="center"/>
        </w:trPr>
        <w:tc>
          <w:tcPr>
            <w:tcW w:w="21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B85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E13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3FE3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A22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533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A8E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14E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3D093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649566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3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9599A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44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FB001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0ADA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F2FB6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3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79FB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编纂邛溪镇人居环境提升规划1个</w:t>
            </w:r>
          </w:p>
        </w:tc>
        <w:tc>
          <w:tcPr>
            <w:tcW w:w="44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75787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编纂邛溪镇人居环境提升规划1个</w:t>
            </w:r>
          </w:p>
        </w:tc>
      </w:tr>
      <w:tr w14:paraId="6DD9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jc w:val="center"/>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47E40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37A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9CA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A6A1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F7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EDE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044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65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2C51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6254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51289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FA8F0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D50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F9E3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完成规划数量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0F3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ED4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11DF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070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3B9D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264F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F613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940C51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C5A9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8CF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FF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38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224D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650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B2A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44B4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A1150B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39FB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734E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8A5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C87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C2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327F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43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3ABE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754B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6D1C3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0225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39A2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304E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45A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EE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7AC4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E6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0450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434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B690A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9E674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A2BE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DCF9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D8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24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8B99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D9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7E4A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F279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A7B1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3762A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4F4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7D07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FD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4C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D55C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04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8970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D348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25B3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B22F20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3492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B168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3C3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92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33C4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DCD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A7A1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BCA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E80A1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ACF13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278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79C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A8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542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5CF9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D1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942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BB3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AE76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367FB4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972F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6250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9DF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3CD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6066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C8E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0AA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2346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F17C9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B5ECD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6064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10BE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规划编制费用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E8E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F6E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≦30万元</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225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≦30万元</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BBF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8C95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29E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52B17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F71FB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6628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1895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71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F40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AA66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E18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2A4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EE91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A10C4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E05F1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D651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D9F2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73D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4E7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9685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2B0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7B1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5E45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D9C71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5FE66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838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53E6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4F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C72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F95E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D9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211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77FE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26FCE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5816A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09B1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FD6E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4C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C1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75B6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B0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B30D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B6E7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A8BAE4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7608F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4D4A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024F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FF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0F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22B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DC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1824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BB6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801B4E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FCC544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FCB7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3CF6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62F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746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391A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A4D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A2F5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18C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5A595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332E1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F5BF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65AA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B23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4B0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≥5000人</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6C2A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≥5000人</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5DF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9219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B204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1DAE69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7030E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84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2DE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89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15A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1E3E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29C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CC55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080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3AF3B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E9895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6FA8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DB71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CF2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45F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61E0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C5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7CC2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7BD0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9A12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20B0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8B00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F0F8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0A9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E1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52A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50A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B758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BC77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90BB7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D5BDC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ED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3E14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98B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3B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3494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03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AFE9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567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23A8E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709F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0EB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1C1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E2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70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26CF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44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EBED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2AB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1E7B9A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2AB460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176A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A46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3C9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56D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0AD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FA2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353C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6DE4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5B08F4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F947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D0A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310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9A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702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377E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35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BE5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3CCE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CF448C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30D97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CFCE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90B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D0E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C31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0FA2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7D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7408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9F7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7E4C7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C8D14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A50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2271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8BF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2C5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13BA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469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F3DE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228F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D705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94D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E2EC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86D2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受益人口满意度</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571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536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058E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24C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C53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D2F2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7B33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4DD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ED8C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134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267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9B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C84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B1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935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AAAE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B8F7F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95E6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FA66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21C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ED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405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142E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B86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2395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EE1F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06D59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309C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397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47E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26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49B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00C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28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2815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bl>
    <w:p w14:paraId="65B5D2A8">
      <w:pPr>
        <w:pStyle w:val="6"/>
        <w:pageBreakBefore w:val="0"/>
        <w:kinsoku/>
        <w:wordWrap/>
        <w:topLinePunct w:val="0"/>
        <w:bidi w:val="0"/>
        <w:spacing w:line="576" w:lineRule="exact"/>
        <w:rPr>
          <w:rFonts w:hint="eastAsia" w:ascii="仿宋_GB2312" w:hAnsi="宋体" w:eastAsia="仿宋_GB2312" w:cs="仿宋_GB2312"/>
          <w:kern w:val="2"/>
          <w:sz w:val="32"/>
          <w:szCs w:val="24"/>
          <w:lang w:val="en-US" w:eastAsia="zh-CN" w:bidi="ar"/>
        </w:rPr>
      </w:pPr>
    </w:p>
    <w:p w14:paraId="7E597DC0">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 xml:space="preserve"> </w:t>
      </w:r>
    </w:p>
    <w:p w14:paraId="4AF7FF36">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6AE7090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5016937F">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4D8A958D">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09517BF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17ADE8C6">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76419B4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658BB917">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kern w:val="2"/>
          <w:sz w:val="32"/>
          <w:szCs w:val="24"/>
          <w:lang w:val="en-US" w:eastAsia="zh-CN" w:bidi="ar"/>
        </w:rPr>
      </w:pPr>
    </w:p>
    <w:p w14:paraId="4233EB62">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仿宋_GB2312" w:hAnsi="宋体" w:eastAsia="仿宋_GB2312" w:cs="仿宋_GB2312"/>
          <w:b w:val="0"/>
          <w:bCs w:val="0"/>
          <w:kern w:val="2"/>
          <w:sz w:val="32"/>
          <w:szCs w:val="24"/>
          <w:lang w:val="en-US" w:eastAsia="zh-CN" w:bidi="ar"/>
        </w:rPr>
        <w:t xml:space="preserve"> </w:t>
      </w:r>
      <w:r>
        <w:rPr>
          <w:rFonts w:hint="eastAsia" w:ascii="方正小标宋_GBK" w:hAnsi="方正小标宋_GBK" w:eastAsia="方正小标宋_GBK" w:cs="方正小标宋_GBK"/>
          <w:b w:val="0"/>
          <w:bCs w:val="0"/>
          <w:color w:val="auto"/>
          <w:kern w:val="2"/>
          <w:sz w:val="44"/>
          <w:szCs w:val="44"/>
          <w:highlight w:val="none"/>
          <w:lang w:val="en-US" w:eastAsia="zh-CN"/>
        </w:rPr>
        <w:t>红原县邛溪镇人民政府</w:t>
      </w:r>
    </w:p>
    <w:p w14:paraId="625F38D2">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关于红原县2023年邛溪镇</w:t>
      </w:r>
    </w:p>
    <w:p w14:paraId="09CD67AC">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简体" w:hAnsi="宋体" w:eastAsia="方正小标宋简体"/>
          <w:b w:val="0"/>
          <w:bCs w:val="0"/>
          <w:sz w:val="44"/>
          <w:szCs w:val="44"/>
          <w:lang w:eastAsia="zh-CN"/>
        </w:rPr>
        <w:t>财政衔接资金资金</w:t>
      </w:r>
      <w:r>
        <w:rPr>
          <w:rFonts w:hint="eastAsia" w:ascii="方正小标宋_GBK" w:hAnsi="方正小标宋_GBK" w:eastAsia="方正小标宋_GBK" w:cs="方正小标宋_GBK"/>
          <w:b w:val="0"/>
          <w:bCs w:val="0"/>
          <w:color w:val="auto"/>
          <w:kern w:val="2"/>
          <w:sz w:val="44"/>
          <w:szCs w:val="44"/>
          <w:highlight w:val="none"/>
          <w:lang w:val="en-US" w:eastAsia="zh-CN"/>
        </w:rPr>
        <w:t>项目的绩效评价报告</w:t>
      </w:r>
    </w:p>
    <w:p w14:paraId="2BE6F58E">
      <w:pPr>
        <w:keepNext w:val="0"/>
        <w:keepLines w:val="0"/>
        <w:pageBreakBefore w:val="0"/>
        <w:widowControl w:val="0"/>
        <w:suppressLineNumbers w:val="0"/>
        <w:kinsoku/>
        <w:wordWrap/>
        <w:topLinePunct w:val="0"/>
        <w:bidi w:val="0"/>
        <w:spacing w:before="0" w:beforeAutospacing="0" w:after="0" w:afterAutospacing="0" w:line="576" w:lineRule="exact"/>
        <w:ind w:left="0" w:right="0"/>
        <w:jc w:val="both"/>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b w:val="0"/>
          <w:bCs w:val="0"/>
          <w:kern w:val="2"/>
          <w:sz w:val="32"/>
          <w:szCs w:val="24"/>
          <w:lang w:val="en-US" w:eastAsia="zh-CN" w:bidi="ar"/>
        </w:rPr>
        <w:t xml:space="preserve"> </w:t>
      </w: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红原县家庭生态牧场建设项目（草原畜牧业转型升级）</w:t>
      </w:r>
      <w:r>
        <w:rPr>
          <w:rFonts w:hint="eastAsia" w:ascii="仿宋_GB2312" w:hAnsi="宋体" w:eastAsia="仿宋_GB2312" w:cs="仿宋_GB2312"/>
          <w:kern w:val="2"/>
          <w:sz w:val="32"/>
          <w:szCs w:val="24"/>
          <w:lang w:val="en-US" w:eastAsia="zh-CN" w:bidi="ar"/>
        </w:rPr>
        <w:t>）</w:t>
      </w:r>
    </w:p>
    <w:p w14:paraId="054B267E">
      <w:pPr>
        <w:pageBreakBefore w:val="0"/>
        <w:numPr>
          <w:ilvl w:val="0"/>
          <w:numId w:val="0"/>
        </w:numPr>
        <w:kinsoku/>
        <w:wordWrap/>
        <w:topLinePunct w:val="0"/>
        <w:bidi w:val="0"/>
        <w:spacing w:line="576" w:lineRule="exact"/>
        <w:ind w:firstLine="643" w:firstLineChars="200"/>
        <w:jc w:val="both"/>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一、项目概况</w:t>
      </w:r>
    </w:p>
    <w:p w14:paraId="74B9DE30">
      <w:pPr>
        <w:pageBreakBefore w:val="0"/>
        <w:numPr>
          <w:ilvl w:val="0"/>
          <w:numId w:val="0"/>
        </w:numPr>
        <w:kinsoku/>
        <w:wordWrap/>
        <w:topLinePunct w:val="0"/>
        <w:bidi w:val="0"/>
        <w:spacing w:line="576" w:lineRule="exact"/>
        <w:ind w:firstLine="640" w:firstLineChars="200"/>
        <w:jc w:val="both"/>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为了切实增强牧户防灾减灾能力，保护弱畜，提高牧户收入，邛溪镇2023年在辖区各行政村新建家庭牧场共计25个。</w:t>
      </w:r>
    </w:p>
    <w:p w14:paraId="02259218">
      <w:pPr>
        <w:pStyle w:val="6"/>
        <w:pageBreakBefore w:val="0"/>
        <w:numPr>
          <w:ilvl w:val="0"/>
          <w:numId w:val="0"/>
        </w:numPr>
        <w:kinsoku/>
        <w:wordWrap/>
        <w:topLinePunct w:val="0"/>
        <w:bidi w:val="0"/>
        <w:spacing w:line="576" w:lineRule="exact"/>
        <w:ind w:firstLine="643"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（一）财政衔接资金下达预算及项目情况</w:t>
      </w:r>
    </w:p>
    <w:p w14:paraId="33969C3E">
      <w:pPr>
        <w:pageBreakBefore w:val="0"/>
        <w:kinsoku/>
        <w:wordWrap/>
        <w:topLinePunct w:val="0"/>
        <w:bidi w:val="0"/>
        <w:spacing w:line="576" w:lineRule="exact"/>
        <w:ind w:firstLine="7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为了切实增强牧户防灾减灾能力，保护弱畜，提高牧户收入；该项目下达资金500万元，新建家庭牧场25个。</w:t>
      </w:r>
    </w:p>
    <w:p w14:paraId="65154CA4">
      <w:pPr>
        <w:pageBreakBefore w:val="0"/>
        <w:numPr>
          <w:ilvl w:val="0"/>
          <w:numId w:val="6"/>
        </w:numPr>
        <w:kinsoku/>
        <w:wordWrap/>
        <w:topLinePunct w:val="0"/>
        <w:bidi w:val="0"/>
        <w:spacing w:line="576" w:lineRule="exact"/>
        <w:ind w:firstLine="7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财政衔接资金项目绩效目标设定情况</w:t>
      </w:r>
    </w:p>
    <w:p w14:paraId="09E51E44">
      <w:pPr>
        <w:pageBreakBefore w:val="0"/>
        <w:numPr>
          <w:ilvl w:val="0"/>
          <w:numId w:val="0"/>
        </w:numPr>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 xml:space="preserve">该项目为统规自建项目，补助新建家庭牧场25个，每户补助20万元，共计500万元；于2023年4月开始建设，2023年11月1日完成全面验收工作。 </w:t>
      </w:r>
    </w:p>
    <w:p w14:paraId="06FB796E">
      <w:pPr>
        <w:pageBreakBefore w:val="0"/>
        <w:numPr>
          <w:ilvl w:val="0"/>
          <w:numId w:val="7"/>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绩效自评工作开展情况</w:t>
      </w:r>
    </w:p>
    <w:p w14:paraId="6A2FD42D">
      <w:pPr>
        <w:pageBreakBefore w:val="0"/>
        <w:numPr>
          <w:ilvl w:val="0"/>
          <w:numId w:val="0"/>
        </w:numPr>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计划投资500万元，实际到位500万元，资金来源为：衔接资金，年初目标为新建家庭牧场25个，截止目前已完成工程量100％，于2023年11月1日已完成验收100％，已拨付资金100％，共带动受益户数25户，满意度达100％。</w:t>
      </w:r>
    </w:p>
    <w:p w14:paraId="68DAC098">
      <w:pPr>
        <w:pageBreakBefore w:val="0"/>
        <w:numPr>
          <w:ilvl w:val="0"/>
          <w:numId w:val="7"/>
        </w:numPr>
        <w:kinsoku/>
        <w:wordWrap/>
        <w:topLinePunct w:val="0"/>
        <w:bidi w:val="0"/>
        <w:spacing w:line="576" w:lineRule="exact"/>
        <w:ind w:left="0" w:leftChars="0" w:firstLine="643" w:firstLineChars="200"/>
        <w:jc w:val="left"/>
        <w:rPr>
          <w:rFonts w:hint="default"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绩效目标自评完成情况分析</w:t>
      </w:r>
    </w:p>
    <w:p w14:paraId="28184E7B">
      <w:pPr>
        <w:pageBreakBefore w:val="0"/>
        <w:numPr>
          <w:ilvl w:val="0"/>
          <w:numId w:val="8"/>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资金投入情况分析</w:t>
      </w:r>
    </w:p>
    <w:p w14:paraId="0BB2B111">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红原县家庭生态牧场建设项目（草原畜牧业转型升级）。该项目良好完成计划目标，截止评价时已完成任务量</w:t>
      </w:r>
      <w:r>
        <w:rPr>
          <w:rFonts w:hint="eastAsia" w:ascii="仿宋_GB2312" w:hAnsi="宋体" w:eastAsia="仿宋_GB2312" w:cs="仿宋_GB2312"/>
          <w:kern w:val="2"/>
          <w:sz w:val="32"/>
          <w:szCs w:val="24"/>
          <w:lang w:val="en-US" w:eastAsia="zh-CN" w:bidi="ar"/>
        </w:rPr>
        <w:t>100％，已拨付资金100％，资金到位情况及时，资金拨付情况合理，资金管理规范。</w:t>
      </w:r>
    </w:p>
    <w:p w14:paraId="46DB164C">
      <w:pPr>
        <w:keepNext w:val="0"/>
        <w:keepLines w:val="0"/>
        <w:pageBreakBefore w:val="0"/>
        <w:widowControl/>
        <w:suppressLineNumbers w:val="0"/>
        <w:kinsoku/>
        <w:wordWrap/>
        <w:topLinePunct w:val="0"/>
        <w:bidi w:val="0"/>
        <w:spacing w:line="576" w:lineRule="exact"/>
        <w:ind w:firstLine="643"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b/>
          <w:bCs/>
          <w:kern w:val="2"/>
          <w:sz w:val="32"/>
          <w:szCs w:val="24"/>
          <w:lang w:val="en-US" w:eastAsia="zh-CN" w:bidi="ar"/>
        </w:rPr>
        <w:t>（二）绩效目标完成情况分析。</w:t>
      </w:r>
      <w:r>
        <w:rPr>
          <w:rFonts w:hint="eastAsia" w:ascii="仿宋_GB2312" w:hAnsi="宋体" w:eastAsia="仿宋_GB2312" w:cs="仿宋_GB2312"/>
          <w:kern w:val="2"/>
          <w:sz w:val="32"/>
          <w:szCs w:val="24"/>
          <w:lang w:val="en-US" w:eastAsia="zh-CN" w:bidi="ar"/>
        </w:rPr>
        <w:t xml:space="preserve"> </w:t>
      </w:r>
    </w:p>
    <w:p w14:paraId="769D0B0E">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en-US" w:eastAsia="zh-CN" w:bidi="ar"/>
        </w:rPr>
        <w:t xml:space="preserve">截止目前已完成工程量100%,于2023年11月1日已 </w:t>
      </w:r>
    </w:p>
    <w:p w14:paraId="5FDC3751">
      <w:pPr>
        <w:keepNext w:val="0"/>
        <w:keepLines w:val="0"/>
        <w:pageBreakBefore w:val="0"/>
        <w:widowControl/>
        <w:suppressLineNumbers w:val="0"/>
        <w:kinsoku/>
        <w:wordWrap/>
        <w:topLinePunct w:val="0"/>
        <w:bidi w:val="0"/>
        <w:spacing w:line="576" w:lineRule="exact"/>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完成验收100%,已拨付资金100%,共带动受益户数25户,满意度达到100%。</w:t>
      </w:r>
    </w:p>
    <w:p w14:paraId="4465E15D">
      <w:pPr>
        <w:keepNext w:val="0"/>
        <w:keepLines w:val="0"/>
        <w:pageBreakBefore w:val="0"/>
        <w:widowControl/>
        <w:numPr>
          <w:ilvl w:val="0"/>
          <w:numId w:val="0"/>
        </w:numPr>
        <w:suppressLineNumbers w:val="0"/>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（三）项目效益情况</w:t>
      </w:r>
    </w:p>
    <w:p w14:paraId="25C814FE">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经济效益：通过暖棚项目的实施，将进一步完善畜牧养殖基础设施，改善牧区群众畜牧养殖生产条件。同时将有效推行舍饲、半舍饲养殖方式，实行冷季保畜保膘，进一步降低牲畜冬春死亡率，暖季快速育肥，加快牲畜出栏，切实增加牧民收入。助推当地社会经济的高质量发展。为牧区畜牧业经济增长打下坚实的基础。</w:t>
      </w:r>
    </w:p>
    <w:p w14:paraId="13834D84">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社会效益：通过项目建设，有效改善牧区畜牧生产养殖条件，将进一步加快草原畜牧业转型升级，促进畜牧业生产方式转变，带动和提高周边地区畜牧生产能力提高，增强抗灾保畜能力，促进牧户增收。同时可以改变突破传统的饲养方式(即自然养殖、靠天养)，提高科学养殖、品种改良、疫病防治水平，在质上保证突破的发展路子，提高畜牧业质量效益，促进牧民群众稳定增收，加快牧民群众奔康的步伐，实现可持续发展。同时，以点带面可示范带动镇畜牧养殖户的积极性，带动村内经济发展。</w:t>
      </w:r>
    </w:p>
    <w:p w14:paraId="27FCF74D">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生态效益：项目建成后，将有效改善牧区畜牧生产养殖条件，推行舍饲和半舍饲，减轻天然草原放牧压力，推进草畜平衡，增强抗灾保畜能力。同时有利于草畜品种改良、人工种草、草畜动态平衡等现代畜牧生产技术得到应用推广，实现畜牧生产和草原保护建设共同发展。</w:t>
      </w:r>
    </w:p>
    <w:p w14:paraId="15DDEF46">
      <w:pPr>
        <w:keepNext w:val="0"/>
        <w:keepLines w:val="0"/>
        <w:pageBreakBefore w:val="0"/>
        <w:widowControl/>
        <w:numPr>
          <w:ilvl w:val="0"/>
          <w:numId w:val="7"/>
        </w:numPr>
        <w:suppressLineNumbers w:val="0"/>
        <w:kinsoku/>
        <w:wordWrap/>
        <w:topLinePunct w:val="0"/>
        <w:bidi w:val="0"/>
        <w:spacing w:line="576" w:lineRule="exact"/>
        <w:ind w:left="0" w:leftChars="0"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资产后续管护及运营情况</w:t>
      </w:r>
    </w:p>
    <w:p w14:paraId="5C31D832">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该项目后期会建立后续管护机制,确保该项目稳定良好运行,为巩固拓展脱贫攻坚成果,全面实施乡村振兴提供更好保障。</w:t>
      </w:r>
    </w:p>
    <w:p w14:paraId="21263718">
      <w:pPr>
        <w:pStyle w:val="6"/>
        <w:pageBreakBefore w:val="0"/>
        <w:kinsoku/>
        <w:wordWrap/>
        <w:topLinePunct w:val="0"/>
        <w:bidi w:val="0"/>
        <w:spacing w:line="576" w:lineRule="exac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 xml:space="preserve"> </w:t>
      </w:r>
    </w:p>
    <w:tbl>
      <w:tblPr>
        <w:tblStyle w:val="17"/>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833"/>
        <w:gridCol w:w="1185"/>
        <w:gridCol w:w="648"/>
        <w:gridCol w:w="757"/>
        <w:gridCol w:w="958"/>
        <w:gridCol w:w="683"/>
        <w:gridCol w:w="661"/>
        <w:gridCol w:w="885"/>
        <w:gridCol w:w="1040"/>
        <w:gridCol w:w="966"/>
      </w:tblGrid>
      <w:tr w14:paraId="6F01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1" w:hRule="atLeast"/>
          <w:jc w:val="center"/>
        </w:trPr>
        <w:tc>
          <w:tcPr>
            <w:tcW w:w="1020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E6D0E70">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绩效目标自评表</w:t>
            </w:r>
            <w:r>
              <w:rPr>
                <w:rStyle w:val="42"/>
                <w:lang w:val="en-US" w:eastAsia="zh-CN" w:bidi="ar"/>
              </w:rPr>
              <w:br w:type="textWrapping"/>
            </w:r>
            <w:r>
              <w:rPr>
                <w:rStyle w:val="43"/>
                <w:lang w:val="en-US" w:eastAsia="zh-CN" w:bidi="ar"/>
              </w:rPr>
              <w:t>（2023年度）</w:t>
            </w:r>
          </w:p>
        </w:tc>
      </w:tr>
      <w:tr w14:paraId="07A8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A9E29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C26E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红原县家庭生态牧场建设项目（草原畜牧业转型升级）</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756A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3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1A26D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6FCB4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0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9D4BC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DE4B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科农局</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900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7EA46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79661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jc w:val="center"/>
        </w:trPr>
        <w:tc>
          <w:tcPr>
            <w:tcW w:w="20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2CAA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C1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347F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D3C3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DC7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87A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62D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0D86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2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9E74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A0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BC02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4754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60D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9E0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4D4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28677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2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80A3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F8A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E1BE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F841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0B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D1D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654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FF96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20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D259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F38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845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4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EFD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178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53E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625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C0C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jc w:val="center"/>
        </w:trPr>
        <w:tc>
          <w:tcPr>
            <w:tcW w:w="45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A93062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4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F5E7F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54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C1196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1BF99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3"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EA40DD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4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4D939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新建家庭牧场25个</w:t>
            </w:r>
          </w:p>
        </w:tc>
        <w:tc>
          <w:tcPr>
            <w:tcW w:w="54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51C0E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新建家庭牧场25个</w:t>
            </w:r>
          </w:p>
        </w:tc>
      </w:tr>
      <w:tr w14:paraId="0EC9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jc w:val="center"/>
        </w:trPr>
        <w:tc>
          <w:tcPr>
            <w:tcW w:w="45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368FFC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012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056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B8CA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61E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EAD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F191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45D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192C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32C33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C9E13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7F58F1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5DB2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8477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新建家庭生态牧场</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75B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59F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≥25个</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5754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348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DF7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FD46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3FDC7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130D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544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707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3D9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981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6345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EF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462B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E89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395B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44FFA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53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B113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AD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3D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D313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CD5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155E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FFF9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55283E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C90CF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7D8A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BD85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项目（工程）验收合格率</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A1A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7E7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955E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CE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BBF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7DD5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1C5D4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2AB7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3E4A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9563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85D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BF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D5A6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30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2BC7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796F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B371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A9701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AF12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57E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DDE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67B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35C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820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275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5E6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862C1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FA6D9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0A91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87DE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2AC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46A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657D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3FF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6EC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A6B7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4570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69F44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379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A4C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495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FA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E24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39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42B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1F9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BB6B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8B04F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D4E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9859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补助标准新建家庭生态牧场</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65B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ED9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20万元/1个</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5AB4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20万元/1个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456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9B07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6A8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76F3C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C45BC3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FE7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DD73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7CC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8FB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8D94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A8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5B13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E7B8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3DB940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restart"/>
            <w:tcBorders>
              <w:top w:val="single" w:color="000000" w:sz="4" w:space="0"/>
              <w:left w:val="single" w:color="000000" w:sz="4" w:space="0"/>
              <w:bottom w:val="nil"/>
              <w:right w:val="single" w:color="000000" w:sz="4" w:space="0"/>
            </w:tcBorders>
            <w:shd w:val="clear" w:color="auto" w:fill="auto"/>
            <w:textDirection w:val="tbRlV"/>
            <w:vAlign w:val="center"/>
          </w:tcPr>
          <w:p w14:paraId="7C5D5D7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88E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37F8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受益户增收（总收入）</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3C8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F20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≥2000元</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D488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≥2000元</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0BC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252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CE3E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206686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3C77CD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5A9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65D4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F9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DC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357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B3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C9C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CB3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79E19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12EDF80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518C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7D52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746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20D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520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727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38A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BA0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EBF4B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761D3D2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DDF1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6D38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受益户数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510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102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≥25户</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9B0B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≥25户</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362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01A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8DF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AEE8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105925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C2C2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E3D6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4F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51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C560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770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2624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7A3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352FD2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161E193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76C0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7340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366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6A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35A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2B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4157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9B04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E47A8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007BB6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915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EF7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5F4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1DE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A204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8F4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19A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A1A4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43CC6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nil"/>
              <w:right w:val="single" w:color="000000" w:sz="4" w:space="0"/>
            </w:tcBorders>
            <w:shd w:val="clear" w:color="auto" w:fill="auto"/>
            <w:textDirection w:val="tbRlV"/>
            <w:vAlign w:val="center"/>
          </w:tcPr>
          <w:p w14:paraId="77E5D8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CDD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0279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基础设施持续使用年限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9D3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E13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≥20年</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EDAC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2C5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7881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0EC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6FD61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716E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1404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63DD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DA2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B2F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68AC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EDD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D86D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B823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E5D1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FDF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1E7E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1B77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CE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57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6549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FE9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5CE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322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335B3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DC6E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9ABF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138C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F00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8F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A19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54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9037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2881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jc w:val="center"/>
        </w:trPr>
        <w:tc>
          <w:tcPr>
            <w:tcW w:w="4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F31F6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1F37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B13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C90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AB2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00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2BA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89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D05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3788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CCE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CE9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C3A8">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AFA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0CA1">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r>
    </w:tbl>
    <w:p w14:paraId="40C259D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r>
        <w:rPr>
          <w:rFonts w:hint="eastAsia" w:ascii="仿宋_GB2312" w:hAnsi="宋体" w:eastAsia="仿宋_GB2312" w:cs="仿宋_GB2312"/>
          <w:b w:val="0"/>
          <w:bCs w:val="0"/>
          <w:kern w:val="2"/>
          <w:sz w:val="32"/>
          <w:szCs w:val="24"/>
          <w:lang w:val="en-US" w:eastAsia="zh-CN" w:bidi="ar"/>
        </w:rPr>
        <w:t xml:space="preserve"> </w:t>
      </w:r>
    </w:p>
    <w:p w14:paraId="03BE9743">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3B20D10C">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6C842DB0">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28D11653">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C1E6473">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红原县邛溪镇人民政府</w:t>
      </w:r>
    </w:p>
    <w:p w14:paraId="00795CFF">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关于红原县2023年邛溪镇</w:t>
      </w:r>
    </w:p>
    <w:p w14:paraId="39E80D78">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简体" w:hAnsi="宋体" w:eastAsia="方正小标宋简体"/>
          <w:b w:val="0"/>
          <w:bCs w:val="0"/>
          <w:sz w:val="44"/>
          <w:szCs w:val="44"/>
          <w:lang w:eastAsia="zh-CN"/>
        </w:rPr>
        <w:t>财政衔接资金资金</w:t>
      </w:r>
      <w:r>
        <w:rPr>
          <w:rFonts w:hint="eastAsia" w:ascii="方正小标宋_GBK" w:hAnsi="方正小标宋_GBK" w:eastAsia="方正小标宋_GBK" w:cs="方正小标宋_GBK"/>
          <w:b w:val="0"/>
          <w:bCs w:val="0"/>
          <w:color w:val="auto"/>
          <w:kern w:val="2"/>
          <w:sz w:val="44"/>
          <w:szCs w:val="44"/>
          <w:highlight w:val="none"/>
          <w:lang w:val="en-US" w:eastAsia="zh-CN"/>
        </w:rPr>
        <w:t>项目的绩效评价报告</w:t>
      </w:r>
    </w:p>
    <w:p w14:paraId="000F9633">
      <w:pPr>
        <w:pageBreakBefore w:val="0"/>
        <w:kinsoku/>
        <w:wordWrap/>
        <w:topLinePunct w:val="0"/>
        <w:bidi w:val="0"/>
        <w:spacing w:line="576" w:lineRule="exact"/>
        <w:jc w:val="center"/>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邛溪镇牧道（草原防火通道）维修项目</w:t>
      </w:r>
      <w:r>
        <w:rPr>
          <w:rFonts w:hint="eastAsia" w:ascii="仿宋_GB2312" w:hAnsi="宋体" w:eastAsia="仿宋_GB2312" w:cs="仿宋_GB2312"/>
          <w:kern w:val="2"/>
          <w:sz w:val="32"/>
          <w:szCs w:val="24"/>
          <w:lang w:val="en-US" w:eastAsia="zh-CN" w:bidi="ar"/>
        </w:rPr>
        <w:t>）</w:t>
      </w:r>
    </w:p>
    <w:p w14:paraId="6B005820">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14:paraId="22567D2E">
      <w:pPr>
        <w:pageBreakBefore w:val="0"/>
        <w:numPr>
          <w:ilvl w:val="0"/>
          <w:numId w:val="0"/>
        </w:numPr>
        <w:kinsoku/>
        <w:wordWrap/>
        <w:topLinePunct w:val="0"/>
        <w:bidi w:val="0"/>
        <w:spacing w:line="576" w:lineRule="exact"/>
        <w:ind w:firstLine="643" w:firstLineChars="200"/>
        <w:jc w:val="both"/>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一、项目概况</w:t>
      </w:r>
    </w:p>
    <w:p w14:paraId="0AFEFC5B">
      <w:pPr>
        <w:pStyle w:val="6"/>
        <w:pageBreakBefore w:val="0"/>
        <w:numPr>
          <w:ilvl w:val="0"/>
          <w:numId w:val="0"/>
        </w:numPr>
        <w:kinsoku/>
        <w:wordWrap/>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生产性便道（草原防火通道）</w:t>
      </w:r>
      <w:r>
        <w:rPr>
          <w:rFonts w:hint="eastAsia" w:ascii="仿宋_GB2312" w:hAnsi="仿宋_GB2312" w:eastAsia="仿宋_GB2312" w:cs="仿宋_GB2312"/>
          <w:sz w:val="32"/>
          <w:szCs w:val="32"/>
        </w:rPr>
        <w:t>是牧区重要的基础设施，在畜牧业生产、牧民群众的生活和农村经济发展中具有十分重要的作用。</w:t>
      </w:r>
    </w:p>
    <w:p w14:paraId="2C2853A6">
      <w:pPr>
        <w:pStyle w:val="6"/>
        <w:pageBreakBefore w:val="0"/>
        <w:numPr>
          <w:ilvl w:val="0"/>
          <w:numId w:val="0"/>
        </w:numPr>
        <w:kinsoku/>
        <w:wordWrap/>
        <w:topLinePunct w:val="0"/>
        <w:bidi w:val="0"/>
        <w:spacing w:line="576" w:lineRule="exact"/>
        <w:ind w:firstLine="643"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（一）财政衔接资金下达预算及项目情况</w:t>
      </w:r>
    </w:p>
    <w:p w14:paraId="4E661B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仿宋_GB2312" w:eastAsia="仿宋_GB2312" w:cs="仿宋_GB2312"/>
          <w:sz w:val="32"/>
          <w:szCs w:val="32"/>
          <w:lang w:val="en-US" w:eastAsia="zh-CN"/>
        </w:rPr>
        <w:t>生产性便道（草原防火通道）</w:t>
      </w:r>
      <w:r>
        <w:rPr>
          <w:rFonts w:hint="eastAsia" w:ascii="仿宋_GB2312" w:hAnsi="仿宋_GB2312" w:eastAsia="仿宋_GB2312" w:cs="仿宋_GB2312"/>
          <w:sz w:val="32"/>
          <w:szCs w:val="32"/>
        </w:rPr>
        <w:t>是牧区重要的基础设施，在畜牧业生产、牧民群众的生活和农村经济发展中具有十分重要的作用。</w:t>
      </w:r>
      <w:r>
        <w:rPr>
          <w:rFonts w:hint="eastAsia" w:ascii="仿宋_GB2312" w:hAnsi="宋体" w:eastAsia="仿宋_GB2312" w:cs="仿宋_GB2312"/>
          <w:kern w:val="2"/>
          <w:sz w:val="32"/>
          <w:szCs w:val="24"/>
          <w:lang w:val="en-US" w:eastAsia="zh-CN" w:bidi="ar"/>
        </w:rPr>
        <w:t>该项目下达资金25万元，</w:t>
      </w:r>
      <w:r>
        <w:rPr>
          <w:rFonts w:hint="eastAsia" w:ascii="仿宋_GB2312" w:hAnsi="仿宋_GB2312" w:eastAsia="仿宋_GB2312" w:cs="仿宋_GB2312"/>
          <w:sz w:val="32"/>
          <w:szCs w:val="32"/>
          <w:lang w:val="en-US" w:eastAsia="zh-CN"/>
        </w:rPr>
        <w:t>维修生产性便道（草原防火通道）25</w:t>
      </w:r>
      <w:r>
        <w:rPr>
          <w:rFonts w:hint="eastAsia" w:ascii="仿宋_GB2312" w:hAnsi="仿宋_GB2312" w:eastAsia="仿宋_GB2312" w:cs="仿宋_GB2312"/>
          <w:sz w:val="32"/>
          <w:szCs w:val="32"/>
        </w:rPr>
        <w:t>公里。</w:t>
      </w:r>
    </w:p>
    <w:p w14:paraId="1909E93F">
      <w:pPr>
        <w:pageBreakBefore w:val="0"/>
        <w:numPr>
          <w:ilvl w:val="0"/>
          <w:numId w:val="6"/>
        </w:numPr>
        <w:kinsoku/>
        <w:wordWrap/>
        <w:topLinePunct w:val="0"/>
        <w:bidi w:val="0"/>
        <w:spacing w:line="576" w:lineRule="exact"/>
        <w:ind w:firstLine="7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财政衔接资金项目绩效目标设定情况</w:t>
      </w:r>
    </w:p>
    <w:p w14:paraId="787169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宋体" w:eastAsia="仿宋_GB2312" w:cs="仿宋_GB2312"/>
          <w:kern w:val="2"/>
          <w:sz w:val="32"/>
          <w:szCs w:val="24"/>
          <w:lang w:val="en-US" w:eastAsia="zh-CN" w:bidi="ar"/>
        </w:rPr>
        <w:t>该项目通过以工代赈的方式实施，</w:t>
      </w:r>
      <w:r>
        <w:rPr>
          <w:rFonts w:hint="eastAsia" w:ascii="仿宋_GB2312" w:hAnsi="仿宋_GB2312" w:eastAsia="仿宋_GB2312" w:cs="仿宋_GB2312"/>
          <w:sz w:val="32"/>
          <w:szCs w:val="32"/>
          <w:lang w:val="en-US" w:eastAsia="zh-CN"/>
        </w:rPr>
        <w:t>维修生产性便道（草原防火通道）25</w:t>
      </w:r>
      <w:r>
        <w:rPr>
          <w:rFonts w:hint="eastAsia" w:ascii="仿宋_GB2312" w:hAnsi="仿宋_GB2312" w:eastAsia="仿宋_GB2312" w:cs="仿宋_GB2312"/>
          <w:sz w:val="32"/>
          <w:szCs w:val="32"/>
        </w:rPr>
        <w:t>公里</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2023年6月20日完成验收</w:t>
      </w:r>
      <w:r>
        <w:rPr>
          <w:rFonts w:hint="eastAsia" w:ascii="仿宋_GB2312" w:hAnsi="仿宋_GB2312" w:eastAsia="仿宋_GB2312" w:cs="仿宋_GB2312"/>
          <w:sz w:val="32"/>
          <w:szCs w:val="32"/>
          <w:lang w:eastAsia="zh-CN"/>
        </w:rPr>
        <w:t>，按时、按质、按量完成目标任务。</w:t>
      </w:r>
    </w:p>
    <w:p w14:paraId="21C1E5B8">
      <w:pPr>
        <w:pageBreakBefore w:val="0"/>
        <w:numPr>
          <w:ilvl w:val="0"/>
          <w:numId w:val="7"/>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绩效自评工作开展情况</w:t>
      </w:r>
    </w:p>
    <w:p w14:paraId="2510BD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该项目计划投资25万元，实际到位25万元，资金来源为：衔接资金，年初目标为</w:t>
      </w:r>
      <w:r>
        <w:rPr>
          <w:rFonts w:hint="eastAsia" w:ascii="仿宋_GB2312" w:hAnsi="仿宋_GB2312" w:eastAsia="仿宋_GB2312" w:cs="仿宋_GB2312"/>
          <w:sz w:val="32"/>
          <w:szCs w:val="32"/>
          <w:lang w:val="en-US" w:eastAsia="zh-CN"/>
        </w:rPr>
        <w:t>维修生产性便道（草原防火通道）25</w:t>
      </w:r>
      <w:r>
        <w:rPr>
          <w:rFonts w:hint="eastAsia" w:ascii="仿宋_GB2312" w:hAnsi="仿宋_GB2312" w:eastAsia="仿宋_GB2312" w:cs="仿宋_GB2312"/>
          <w:sz w:val="32"/>
          <w:szCs w:val="32"/>
        </w:rPr>
        <w:t>公里</w:t>
      </w:r>
      <w:r>
        <w:rPr>
          <w:rFonts w:hint="eastAsia" w:ascii="仿宋_GB2312" w:hAnsi="仿宋_GB2312" w:eastAsia="仿宋_GB2312" w:cs="仿宋_GB2312"/>
          <w:sz w:val="32"/>
          <w:szCs w:val="32"/>
          <w:lang w:eastAsia="zh-CN"/>
        </w:rPr>
        <w:t>，</w:t>
      </w:r>
      <w:r>
        <w:rPr>
          <w:rFonts w:hint="eastAsia" w:ascii="仿宋_GB2312" w:hAnsi="宋体" w:eastAsia="仿宋_GB2312" w:cs="仿宋_GB2312"/>
          <w:kern w:val="2"/>
          <w:sz w:val="32"/>
          <w:szCs w:val="24"/>
          <w:lang w:val="en-US" w:eastAsia="zh-CN" w:bidi="ar"/>
        </w:rPr>
        <w:t>截止目前已完成工程量100％，于2023年11月5日已完成验收100％，已拨付资金24.993万元，共带动受益人口100余人，满意度达100％。</w:t>
      </w:r>
    </w:p>
    <w:p w14:paraId="6210839F">
      <w:pPr>
        <w:pageBreakBefore w:val="0"/>
        <w:numPr>
          <w:ilvl w:val="0"/>
          <w:numId w:val="7"/>
        </w:numPr>
        <w:kinsoku/>
        <w:wordWrap/>
        <w:topLinePunct w:val="0"/>
        <w:bidi w:val="0"/>
        <w:spacing w:line="576" w:lineRule="exact"/>
        <w:ind w:left="0" w:leftChars="0" w:firstLine="643" w:firstLineChars="200"/>
        <w:jc w:val="left"/>
        <w:rPr>
          <w:rFonts w:hint="default"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绩效目标自评完成情况分析</w:t>
      </w:r>
    </w:p>
    <w:p w14:paraId="3BF4E2AE">
      <w:pPr>
        <w:pageBreakBefore w:val="0"/>
        <w:numPr>
          <w:ilvl w:val="0"/>
          <w:numId w:val="8"/>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资金投入情况分析</w:t>
      </w:r>
    </w:p>
    <w:p w14:paraId="335EFA58">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邛溪镇牧道（草原防火通道）维修项目。该项目良好完成计划目标，截止评价时已完成任务量</w:t>
      </w:r>
      <w:r>
        <w:rPr>
          <w:rFonts w:hint="eastAsia" w:ascii="仿宋_GB2312" w:hAnsi="宋体" w:eastAsia="仿宋_GB2312" w:cs="仿宋_GB2312"/>
          <w:kern w:val="2"/>
          <w:sz w:val="32"/>
          <w:szCs w:val="24"/>
          <w:lang w:val="en-US" w:eastAsia="zh-CN" w:bidi="ar"/>
        </w:rPr>
        <w:t>100％，已拨付资金100％，资金到位情况及时，资金拨付情况合理，资金管理规范。</w:t>
      </w:r>
    </w:p>
    <w:p w14:paraId="3D86E3AE">
      <w:pPr>
        <w:keepNext w:val="0"/>
        <w:keepLines w:val="0"/>
        <w:pageBreakBefore w:val="0"/>
        <w:widowControl/>
        <w:suppressLineNumbers w:val="0"/>
        <w:kinsoku/>
        <w:wordWrap/>
        <w:topLinePunct w:val="0"/>
        <w:bidi w:val="0"/>
        <w:spacing w:line="576" w:lineRule="exact"/>
        <w:ind w:firstLine="643"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b/>
          <w:bCs/>
          <w:kern w:val="2"/>
          <w:sz w:val="32"/>
          <w:szCs w:val="24"/>
          <w:lang w:val="en-US" w:eastAsia="zh-CN" w:bidi="ar"/>
        </w:rPr>
        <w:t>（二）绩效目标完成情况分析。</w:t>
      </w:r>
      <w:r>
        <w:rPr>
          <w:rFonts w:hint="eastAsia" w:ascii="仿宋_GB2312" w:hAnsi="宋体" w:eastAsia="仿宋_GB2312" w:cs="仿宋_GB2312"/>
          <w:kern w:val="2"/>
          <w:sz w:val="32"/>
          <w:szCs w:val="24"/>
          <w:lang w:val="en-US" w:eastAsia="zh-CN" w:bidi="ar"/>
        </w:rPr>
        <w:t xml:space="preserve"> </w:t>
      </w:r>
    </w:p>
    <w:p w14:paraId="61EB0F83">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截止目前已完成工程量100%,于2023年11月5日已完成验收100%,已拨付资金24.993万元,共带动受益人口100余人,满意度达到100%。</w:t>
      </w:r>
    </w:p>
    <w:p w14:paraId="74243284">
      <w:pPr>
        <w:keepNext w:val="0"/>
        <w:keepLines w:val="0"/>
        <w:pageBreakBefore w:val="0"/>
        <w:widowControl/>
        <w:numPr>
          <w:ilvl w:val="0"/>
          <w:numId w:val="0"/>
        </w:numPr>
        <w:suppressLineNumbers w:val="0"/>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（三）项目效益情况</w:t>
      </w:r>
    </w:p>
    <w:p w14:paraId="70A5D5B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经济效益：</w:t>
      </w:r>
      <w:r>
        <w:rPr>
          <w:rFonts w:hint="eastAsia" w:ascii="仿宋_GB2312" w:hAnsi="仿宋_GB2312" w:eastAsia="仿宋_GB2312" w:cs="仿宋_GB2312"/>
          <w:sz w:val="32"/>
          <w:szCs w:val="32"/>
          <w:lang w:val="en-US" w:eastAsia="zh-CN"/>
        </w:rPr>
        <w:t>通过生产性便道（草原防火通道）维修项目的实施，将进一步改善牧区群众生产生活条件。</w:t>
      </w:r>
    </w:p>
    <w:p w14:paraId="257B771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1.将有效</w:t>
      </w:r>
      <w:r>
        <w:rPr>
          <w:rFonts w:hint="eastAsia" w:ascii="仿宋_GB2312" w:hAnsi="仿宋_GB2312" w:eastAsia="仿宋_GB2312" w:cs="仿宋_GB2312"/>
          <w:sz w:val="32"/>
          <w:szCs w:val="32"/>
        </w:rPr>
        <w:t>改善</w:t>
      </w:r>
      <w:r>
        <w:rPr>
          <w:rFonts w:hint="eastAsia" w:ascii="仿宋_GB2312" w:hAnsi="仿宋_GB2312" w:eastAsia="仿宋_GB2312" w:cs="仿宋_GB2312"/>
          <w:sz w:val="32"/>
          <w:szCs w:val="32"/>
          <w:lang w:val="en-US" w:eastAsia="zh-CN"/>
        </w:rPr>
        <w:t>项目实施</w:t>
      </w:r>
      <w:r>
        <w:rPr>
          <w:rFonts w:hint="eastAsia" w:ascii="仿宋_GB2312" w:hAnsi="仿宋_GB2312" w:eastAsia="仿宋_GB2312" w:cs="仿宋_GB2312"/>
          <w:sz w:val="32"/>
          <w:szCs w:val="32"/>
        </w:rPr>
        <w:t>村畜牧业生产</w:t>
      </w:r>
      <w:r>
        <w:rPr>
          <w:rFonts w:hint="eastAsia" w:ascii="仿宋_GB2312" w:hAnsi="仿宋_GB2312" w:eastAsia="仿宋_GB2312" w:cs="仿宋_GB2312"/>
          <w:sz w:val="32"/>
          <w:szCs w:val="32"/>
          <w:lang w:val="en-US" w:eastAsia="zh-CN"/>
        </w:rPr>
        <w:t>生活</w:t>
      </w:r>
      <w:r>
        <w:rPr>
          <w:rFonts w:hint="eastAsia" w:ascii="仿宋_GB2312" w:hAnsi="仿宋_GB2312" w:eastAsia="仿宋_GB2312" w:cs="仿宋_GB2312"/>
          <w:sz w:val="32"/>
          <w:szCs w:val="32"/>
        </w:rPr>
        <w:t>条件，方便当地牧民群众</w:t>
      </w:r>
      <w:r>
        <w:rPr>
          <w:rFonts w:hint="eastAsia" w:ascii="仿宋_GB2312" w:hAnsi="仿宋_GB2312" w:eastAsia="仿宋_GB2312" w:cs="仿宋_GB2312"/>
          <w:sz w:val="32"/>
          <w:szCs w:val="32"/>
          <w:lang w:val="en-US" w:eastAsia="zh-CN"/>
        </w:rPr>
        <w:t>出行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保障基本生产生活。2.便于当地群众售卖畜副产品，</w:t>
      </w:r>
      <w:r>
        <w:rPr>
          <w:rFonts w:hint="eastAsia" w:ascii="仿宋_GB2312" w:hAnsi="仿宋_GB2312" w:eastAsia="仿宋_GB2312" w:cs="仿宋_GB2312"/>
          <w:sz w:val="32"/>
          <w:szCs w:val="32"/>
        </w:rPr>
        <w:t>为当地群众节约生产成本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大大提升畜牧业发展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同时提升</w:t>
      </w:r>
      <w:r>
        <w:rPr>
          <w:rFonts w:hint="eastAsia" w:ascii="仿宋_GB2312" w:hAnsi="仿宋_GB2312" w:eastAsia="仿宋_GB2312" w:cs="仿宋_GB2312"/>
          <w:sz w:val="32"/>
          <w:szCs w:val="32"/>
        </w:rPr>
        <w:t>牧区群众生活生产</w:t>
      </w:r>
      <w:r>
        <w:rPr>
          <w:rFonts w:hint="eastAsia" w:ascii="仿宋_GB2312" w:hAnsi="仿宋_GB2312" w:eastAsia="仿宋_GB2312" w:cs="仿宋_GB2312"/>
          <w:sz w:val="32"/>
          <w:szCs w:val="32"/>
          <w:lang w:val="en-US" w:eastAsia="zh-CN"/>
        </w:rPr>
        <w:t>质量，</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助推当地社会经济的高质量发展。3.通过维修生产性便道（草原防火通道），可有效提高防灾减灾快速联动能力。改善防火受阻情况，提高防灾灭火效率，预防、抢早、打小，促进社会经济和生态环境和谐、稳定发展起到积极的促进作用。</w:t>
      </w:r>
    </w:p>
    <w:p w14:paraId="595A59D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sz w:val="32"/>
          <w:szCs w:val="32"/>
          <w:lang w:val="en-US" w:eastAsia="zh-CN"/>
        </w:rPr>
        <w:t>该项目的实施不仅可改善牧区群众生活条件，方便牧民群众的出行，直接带动畜产品销售。同时该项目的建成，将为牧民群众发展畜牧产品生产，草场转场提供较好的交通条件，减少在路途中的不必要的损失，为农牧民在夏季草场放牧时期的生活补给提供保障。</w:t>
      </w:r>
    </w:p>
    <w:p w14:paraId="3C765DF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生态效益：</w:t>
      </w:r>
      <w:r>
        <w:rPr>
          <w:rFonts w:hint="eastAsia" w:ascii="仿宋_GB2312" w:hAnsi="仿宋_GB2312" w:eastAsia="仿宋_GB2312" w:cs="仿宋_GB2312"/>
          <w:sz w:val="32"/>
          <w:szCs w:val="32"/>
          <w:lang w:val="en-US" w:eastAsia="zh-CN"/>
        </w:rPr>
        <w:t>项目建设有利于保护生态环境，提高农牧民群众生活质量；有利于推动我镇城镇统筹发展，对我镇的国民经济和社会发展助推作用显著。生产性便道（草原防火通道）项目维修后，可以解决100余户村民的销售畜产品，也解决了动物内脏乱抛乱弃，造成草场退化，生产性便道（草原防火通道）减少对保护生态环境起到积极的生态效益。</w:t>
      </w:r>
    </w:p>
    <w:p w14:paraId="480F1566">
      <w:pPr>
        <w:keepNext w:val="0"/>
        <w:keepLines w:val="0"/>
        <w:pageBreakBefore w:val="0"/>
        <w:widowControl/>
        <w:numPr>
          <w:ilvl w:val="0"/>
          <w:numId w:val="7"/>
        </w:numPr>
        <w:suppressLineNumbers w:val="0"/>
        <w:kinsoku/>
        <w:wordWrap/>
        <w:topLinePunct w:val="0"/>
        <w:bidi w:val="0"/>
        <w:spacing w:line="576" w:lineRule="exact"/>
        <w:ind w:left="0" w:leftChars="0"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资产后续管护及运营情况</w:t>
      </w:r>
    </w:p>
    <w:p w14:paraId="757D39AB">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该项目后期会建立后续管护机制,确保该项目稳定良好运行,为巩固拓展脱贫攻坚成果,全面实施乡村振兴提供更好保障。</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865"/>
        <w:gridCol w:w="1246"/>
        <w:gridCol w:w="685"/>
        <w:gridCol w:w="785"/>
        <w:gridCol w:w="979"/>
        <w:gridCol w:w="713"/>
        <w:gridCol w:w="698"/>
        <w:gridCol w:w="914"/>
        <w:gridCol w:w="1075"/>
        <w:gridCol w:w="1016"/>
      </w:tblGrid>
      <w:tr w14:paraId="443C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9" w:hRule="atLeast"/>
          <w:jc w:val="center"/>
        </w:trPr>
        <w:tc>
          <w:tcPr>
            <w:tcW w:w="105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3440015">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（2023年度）</w:t>
            </w:r>
          </w:p>
        </w:tc>
      </w:tr>
      <w:tr w14:paraId="35084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2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7B18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8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EBD5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邛溪镇牧道（草原防火通道）维修项目</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C1CA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387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2BE46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68441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2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E5BBB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8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55A3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科农局</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CB48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87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FCFCA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6597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20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FA5B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F86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1BD8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23FF6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0CF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104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C96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2308C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0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7C6E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C32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9DD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86A0E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1EF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62E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361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14:paraId="1EB30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jc w:val="center"/>
        </w:trPr>
        <w:tc>
          <w:tcPr>
            <w:tcW w:w="20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C70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CFEC">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4A67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5F48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58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23F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54C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BE05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0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16A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0B3B">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4B27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88DC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075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FBC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8C1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D370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jc w:val="center"/>
        </w:trPr>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A16D76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44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39B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56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3CCE5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32DA6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5C07E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44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2683A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维修生产性便道（草原防火通道）25公里</w:t>
            </w:r>
          </w:p>
        </w:tc>
        <w:tc>
          <w:tcPr>
            <w:tcW w:w="56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01B3B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维修生产性便道（草原防火通道）25公里</w:t>
            </w:r>
          </w:p>
        </w:tc>
      </w:tr>
      <w:tr w14:paraId="63825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jc w:val="center"/>
        </w:trPr>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C074E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EB3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A26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760A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063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673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61A1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EF8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5929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17D89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2B6F1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4E53B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A295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9544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维修草原防火通道</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DF1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35D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≥25公里</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FAEA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≥25公里</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F86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E921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98A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A9565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4DBBF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BC9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7D85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C8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C3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1F7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601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B337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F9B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A1F48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0B618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6CE7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8B41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569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0C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FA7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BE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A82F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9294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DFE236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6D1D34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5653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B97D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项目（工程）验收合格率</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324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197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A2AE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2A6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2B4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CCD6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5D2E11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9A299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7B54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6033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3EC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38D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EDB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3A9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F247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14A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DFAADF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F0CD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01A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DAF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8FE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A9D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1C41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25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DD0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34F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87C126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FC954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3FF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93E9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5AB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242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869B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A69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DDEB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376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C1767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C2928A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925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C2C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D82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444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FF50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574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769B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145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6DD2D9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D97D50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5DC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7FAE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58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37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6781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5F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4F7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A28B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218F8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FD9066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0EAA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0CB0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道路补助标准</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A02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766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1万元1公里</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0D6A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1万元1公里</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DEF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BA2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653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06DCF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38A7C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50A3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5979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B85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AE4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7087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A3F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571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B37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00E46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857537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40C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E551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201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BF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A2E4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8F7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EEF2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0258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36393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56AA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81F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17E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D7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4A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F1C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08F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395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041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2A7595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9E8654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8460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E2E1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周边牧户务工增收</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2A4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86C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≥1000元</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438E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≥1000元</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144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23F7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64C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56601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EFF9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7BD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8C1B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6B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C85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27A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0C1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F25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ED4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9088F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89C04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99EC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A7A0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AE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02C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59A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2D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D072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7814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0B556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CD05E3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1975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0563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牧户出行平均缩短时间</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F7E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42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≥1小时</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1BAD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≥1小时</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17B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465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1CC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D8B113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0F9C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F9CA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A11E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受益人口数</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A67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932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≥100人</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F3E9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≥100人</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175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E8FD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94D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EAA3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BD5C6A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077B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660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2880">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4B1E">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D3C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8F3">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357E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82B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8BADA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93EA43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3A87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9C4F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FED7">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2979">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B890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781C">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5786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6F8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9767F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39702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915F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FBA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5AC1">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6C87">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D5B7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0DEF">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645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F0E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0DED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CC375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292D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F33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89B1">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1934">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D060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59C8">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2C54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4910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4EA6E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DC7D4C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E83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CA3D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6BF1">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A4F4">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CDE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AC43">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6F9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A7CE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C6ADE0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FA70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4720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6FB9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35D1">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4DD7">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F447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B064">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F11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638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86CCB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53D29A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622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86B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0E42">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01F2">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182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D00C">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F8BD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157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857094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A4B14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3D5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7912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3BA9">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10D1">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8C3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7D3B">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27DE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5EB9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300186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D331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8C1B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C4CE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8F77">
            <w:pPr>
              <w:keepNext w:val="0"/>
              <w:keepLines w:val="0"/>
              <w:pageBreakBefore w:val="0"/>
              <w:widowControl/>
              <w:suppressLineNumbers w:val="0"/>
              <w:kinsoku/>
              <w:wordWrap/>
              <w:topLinePunct w:val="0"/>
              <w:bidi w:val="0"/>
              <w:spacing w:line="576"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F41F">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3378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5EFF">
            <w:pPr>
              <w:keepNext w:val="0"/>
              <w:keepLines w:val="0"/>
              <w:pageBreakBefore w:val="0"/>
              <w:widowControl/>
              <w:suppressLineNumbers w:val="0"/>
              <w:kinsoku/>
              <w:wordWrap/>
              <w:topLinePunct w:val="0"/>
              <w:bidi w:val="0"/>
              <w:spacing w:line="576"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F72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7E5B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85FD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2ECE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0219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8D6F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411A">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7AAE">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3AE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D981">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026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A47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F7911B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9CF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047C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955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3096">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3CF0">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8218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9D78">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E2E5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9791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80004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4097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431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D7F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D2B3">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70D0">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C60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0D1B">
            <w:pPr>
              <w:pageBreakBefore w:val="0"/>
              <w:kinsoku/>
              <w:wordWrap/>
              <w:topLinePunct w:val="0"/>
              <w:bidi w:val="0"/>
              <w:spacing w:line="576" w:lineRule="exact"/>
              <w:rPr>
                <w:rFonts w:hint="eastAsia" w:ascii="宋体" w:hAnsi="宋体" w:eastAsia="宋体" w:cs="宋体"/>
                <w:i w:val="0"/>
                <w:iCs w:val="0"/>
                <w:color w:val="000000"/>
                <w:sz w:val="22"/>
                <w:szCs w:val="22"/>
                <w:u w:val="none"/>
              </w:rPr>
            </w:pP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F76A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A944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8B2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B45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66D1">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614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E058">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r>
    </w:tbl>
    <w:p w14:paraId="6109756E">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4D994727">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18A3A768">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62D89F7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2D29D1F7">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BDF0153">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47CD5359">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6EF0521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1B03416B">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63BF8486">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45C2563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479E4DE2">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1C626657">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5FB7324">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442D348C">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02BD094B">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14CE011E">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31FE4DD6">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5B3E5E74">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20FF82BB">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54092E4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仿宋_GB2312" w:hAnsi="宋体" w:eastAsia="仿宋_GB2312" w:cs="仿宋_GB2312"/>
          <w:b w:val="0"/>
          <w:bCs w:val="0"/>
          <w:kern w:val="2"/>
          <w:sz w:val="32"/>
          <w:szCs w:val="24"/>
          <w:lang w:val="en-US" w:eastAsia="zh-CN" w:bidi="ar"/>
        </w:rPr>
        <w:t xml:space="preserve"> </w:t>
      </w:r>
      <w:r>
        <w:rPr>
          <w:rFonts w:hint="eastAsia" w:ascii="方正小标宋_GBK" w:hAnsi="方正小标宋_GBK" w:eastAsia="方正小标宋_GBK" w:cs="方正小标宋_GBK"/>
          <w:b w:val="0"/>
          <w:bCs w:val="0"/>
          <w:color w:val="auto"/>
          <w:kern w:val="2"/>
          <w:sz w:val="44"/>
          <w:szCs w:val="44"/>
          <w:highlight w:val="none"/>
          <w:lang w:val="en-US" w:eastAsia="zh-CN"/>
        </w:rPr>
        <w:t>红原县邛溪镇人民政府</w:t>
      </w:r>
    </w:p>
    <w:p w14:paraId="0E0D7ACD">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关于红原县2023年邛溪镇</w:t>
      </w:r>
    </w:p>
    <w:p w14:paraId="7064B501">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简体" w:hAnsi="宋体" w:eastAsia="方正小标宋简体"/>
          <w:b w:val="0"/>
          <w:bCs w:val="0"/>
          <w:sz w:val="44"/>
          <w:szCs w:val="44"/>
          <w:lang w:eastAsia="zh-CN"/>
        </w:rPr>
        <w:t>财政衔接资金资金</w:t>
      </w:r>
      <w:r>
        <w:rPr>
          <w:rFonts w:hint="eastAsia" w:ascii="方正小标宋_GBK" w:hAnsi="方正小标宋_GBK" w:eastAsia="方正小标宋_GBK" w:cs="方正小标宋_GBK"/>
          <w:b w:val="0"/>
          <w:bCs w:val="0"/>
          <w:color w:val="auto"/>
          <w:kern w:val="2"/>
          <w:sz w:val="44"/>
          <w:szCs w:val="44"/>
          <w:highlight w:val="none"/>
          <w:lang w:val="en-US" w:eastAsia="zh-CN"/>
        </w:rPr>
        <w:t>项目的绩效评价报告</w:t>
      </w:r>
    </w:p>
    <w:p w14:paraId="582C321D">
      <w:pPr>
        <w:pageBreakBefore w:val="0"/>
        <w:kinsoku/>
        <w:wordWrap/>
        <w:topLinePunct w:val="0"/>
        <w:bidi w:val="0"/>
        <w:spacing w:line="576" w:lineRule="exact"/>
        <w:jc w:val="center"/>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热多村庭院整治项目</w:t>
      </w:r>
      <w:r>
        <w:rPr>
          <w:rFonts w:hint="eastAsia" w:ascii="仿宋_GB2312" w:hAnsi="宋体" w:eastAsia="仿宋_GB2312" w:cs="仿宋_GB2312"/>
          <w:kern w:val="2"/>
          <w:sz w:val="32"/>
          <w:szCs w:val="24"/>
          <w:lang w:val="en-US" w:eastAsia="zh-CN" w:bidi="ar"/>
        </w:rPr>
        <w:t>）</w:t>
      </w:r>
    </w:p>
    <w:p w14:paraId="793D5E48">
      <w:pPr>
        <w:pageBreakBefore w:val="0"/>
        <w:kinsoku/>
        <w:wordWrap/>
        <w:topLinePunct w:val="0"/>
        <w:bidi w:val="0"/>
        <w:spacing w:line="576" w:lineRule="exact"/>
        <w:jc w:val="both"/>
        <w:rPr>
          <w:rFonts w:hint="eastAsia" w:ascii="仿宋_GB2312" w:hAnsi="宋体" w:eastAsia="仿宋_GB2312" w:cs="仿宋_GB2312"/>
          <w:kern w:val="2"/>
          <w:sz w:val="32"/>
          <w:szCs w:val="24"/>
          <w:lang w:val="en-US" w:eastAsia="zh-CN" w:bidi="ar"/>
        </w:rPr>
      </w:pPr>
    </w:p>
    <w:p w14:paraId="07228BF0">
      <w:pPr>
        <w:pageBreakBefore w:val="0"/>
        <w:numPr>
          <w:ilvl w:val="0"/>
          <w:numId w:val="0"/>
        </w:numPr>
        <w:kinsoku/>
        <w:wordWrap/>
        <w:topLinePunct w:val="0"/>
        <w:bidi w:val="0"/>
        <w:spacing w:line="576" w:lineRule="exact"/>
        <w:ind w:firstLine="643" w:firstLineChars="200"/>
        <w:jc w:val="both"/>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一、项目概况</w:t>
      </w:r>
    </w:p>
    <w:p w14:paraId="0F8770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lang w:val="zh-CN"/>
        </w:rPr>
        <w:t>为深入贯彻落实国务院及</w:t>
      </w:r>
      <w:r>
        <w:rPr>
          <w:rFonts w:hint="eastAsia" w:ascii="仿宋_GB2312" w:hAnsi="仿宋_GB2312" w:eastAsia="仿宋_GB2312" w:cs="仿宋_GB2312"/>
          <w:sz w:val="32"/>
          <w:szCs w:val="32"/>
          <w:lang w:val="en-US" w:eastAsia="zh-CN"/>
        </w:rPr>
        <w:t>省州县</w:t>
      </w:r>
      <w:r>
        <w:rPr>
          <w:rFonts w:hint="eastAsia" w:ascii="仿宋_GB2312" w:hAnsi="仿宋_GB2312" w:eastAsia="仿宋_GB2312" w:cs="仿宋_GB2312"/>
          <w:sz w:val="32"/>
          <w:szCs w:val="32"/>
          <w:lang w:val="zh-CN"/>
        </w:rPr>
        <w:t>农村人居环境整治</w:t>
      </w:r>
      <w:r>
        <w:rPr>
          <w:rFonts w:hint="eastAsia" w:ascii="仿宋_GB2312" w:hAnsi="仿宋_GB2312" w:eastAsia="仿宋_GB2312" w:cs="仿宋_GB2312"/>
          <w:sz w:val="32"/>
          <w:szCs w:val="32"/>
          <w:lang w:val="en-US" w:eastAsia="zh-CN"/>
        </w:rPr>
        <w:t>文件、</w:t>
      </w:r>
      <w:r>
        <w:rPr>
          <w:rFonts w:hint="eastAsia" w:ascii="仿宋_GB2312" w:hAnsi="仿宋_GB2312" w:eastAsia="仿宋_GB2312" w:cs="仿宋_GB2312"/>
          <w:sz w:val="32"/>
          <w:szCs w:val="32"/>
          <w:lang w:val="zh-CN"/>
        </w:rPr>
        <w:t>工作会议精神，践行“绿水青山就是金山银山”理念，全面推进农村人居环境整治提升，加快补齐农村人居环境短板，构建“水清、厕洁、村靓、路净、房美、</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lang w:val="zh-CN"/>
        </w:rPr>
        <w:t>绿”的农村人居环境生态系统，推动全</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val="zh-CN"/>
        </w:rPr>
        <w:t>农村人居环境持续改善，着力提升基层治理和人居环境水平，不断增强群众环保与健康意识，全面开展“美丽庭院”</w:t>
      </w:r>
      <w:r>
        <w:rPr>
          <w:rFonts w:hint="eastAsia" w:ascii="仿宋_GB2312" w:hAnsi="仿宋_GB2312" w:eastAsia="仿宋_GB2312" w:cs="仿宋_GB2312"/>
          <w:sz w:val="32"/>
          <w:szCs w:val="32"/>
          <w:lang w:val="en-US" w:eastAsia="zh-CN"/>
        </w:rPr>
        <w:t>整治</w:t>
      </w:r>
      <w:r>
        <w:rPr>
          <w:rFonts w:hint="eastAsia" w:ascii="仿宋_GB2312" w:hAnsi="仿宋_GB2312" w:eastAsia="仿宋_GB2312" w:cs="仿宋_GB2312"/>
          <w:sz w:val="32"/>
          <w:szCs w:val="32"/>
          <w:lang w:val="zh-CN"/>
        </w:rPr>
        <w:t>，组织引领广大</w:t>
      </w:r>
      <w:r>
        <w:rPr>
          <w:rFonts w:hint="eastAsia" w:ascii="仿宋_GB2312" w:hAnsi="仿宋_GB2312" w:eastAsia="仿宋_GB2312" w:cs="仿宋_GB2312"/>
          <w:sz w:val="32"/>
          <w:szCs w:val="32"/>
          <w:lang w:val="en-US" w:eastAsia="zh-CN"/>
        </w:rPr>
        <w:t>牧户</w:t>
      </w:r>
      <w:r>
        <w:rPr>
          <w:rFonts w:hint="eastAsia" w:ascii="仿宋_GB2312" w:hAnsi="仿宋_GB2312" w:eastAsia="仿宋_GB2312" w:cs="仿宋_GB2312"/>
          <w:sz w:val="32"/>
          <w:szCs w:val="32"/>
          <w:lang w:val="zh-CN"/>
        </w:rPr>
        <w:t>从家庭做起、从改变生活和卫生习惯入手，广泛参与村容村貌提升，全面净化绿化美化房屋、庭院、村庄，争做美丽庭院的创建者，争做庭院经济的经营者，争做和谐庭院的维护者，在“建设美丽新</w:t>
      </w:r>
      <w:r>
        <w:rPr>
          <w:rFonts w:hint="eastAsia" w:ascii="仿宋_GB2312" w:hAnsi="仿宋_GB2312" w:eastAsia="仿宋_GB2312" w:cs="仿宋_GB2312"/>
          <w:sz w:val="32"/>
          <w:szCs w:val="32"/>
          <w:lang w:val="en-US" w:eastAsia="zh-CN"/>
        </w:rPr>
        <w:t>邛溪</w:t>
      </w:r>
      <w:r>
        <w:rPr>
          <w:rFonts w:hint="eastAsia" w:ascii="仿宋_GB2312" w:hAnsi="仿宋_GB2312" w:eastAsia="仿宋_GB2312" w:cs="仿宋_GB2312"/>
          <w:sz w:val="32"/>
          <w:szCs w:val="32"/>
          <w:lang w:val="zh-CN"/>
        </w:rPr>
        <w:t>，共圆伟大中国梦”中贡献力量，</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邛溪镇实施了</w:t>
      </w:r>
      <w:r>
        <w:rPr>
          <w:rFonts w:hint="eastAsia" w:ascii="仿宋_GB2312" w:hAnsi="宋体" w:eastAsia="仿宋_GB2312" w:cs="仿宋_GB2312"/>
          <w:kern w:val="2"/>
          <w:sz w:val="32"/>
          <w:szCs w:val="24"/>
          <w:lang w:val="zh-CN" w:eastAsia="zh-CN" w:bidi="ar"/>
        </w:rPr>
        <w:t>热多村庭院整治项目。</w:t>
      </w:r>
    </w:p>
    <w:p w14:paraId="5CEBAD98">
      <w:pPr>
        <w:pStyle w:val="6"/>
        <w:pageBreakBefore w:val="0"/>
        <w:numPr>
          <w:ilvl w:val="0"/>
          <w:numId w:val="0"/>
        </w:numPr>
        <w:kinsoku/>
        <w:wordWrap/>
        <w:topLinePunct w:val="0"/>
        <w:bidi w:val="0"/>
        <w:spacing w:line="576" w:lineRule="exact"/>
        <w:ind w:firstLine="643"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（一）财政衔接资金下达预算及项目情况</w:t>
      </w:r>
    </w:p>
    <w:p w14:paraId="7687143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仿宋_GB2312" w:eastAsia="仿宋_GB2312" w:cs="仿宋_GB2312"/>
          <w:sz w:val="32"/>
          <w:szCs w:val="32"/>
          <w:lang w:val="zh-CN"/>
        </w:rPr>
        <w:t>为提升村容村貌，全面净化绿化美化房屋、庭院、村庄。</w:t>
      </w:r>
      <w:r>
        <w:rPr>
          <w:rFonts w:hint="eastAsia" w:ascii="仿宋_GB2312" w:hAnsi="宋体" w:eastAsia="仿宋_GB2312" w:cs="仿宋_GB2312"/>
          <w:kern w:val="2"/>
          <w:sz w:val="32"/>
          <w:szCs w:val="24"/>
          <w:lang w:val="en-US" w:eastAsia="zh-CN" w:bidi="ar"/>
        </w:rPr>
        <w:t>该项目下达资金16万元，</w:t>
      </w:r>
      <w:r>
        <w:rPr>
          <w:rFonts w:hint="eastAsia" w:ascii="仿宋_GB2312" w:hAnsi="仿宋_GB2312" w:eastAsia="仿宋_GB2312" w:cs="仿宋_GB2312"/>
          <w:b w:val="0"/>
          <w:bCs w:val="0"/>
          <w:sz w:val="32"/>
          <w:szCs w:val="32"/>
          <w:lang w:val="en-US" w:eastAsia="zh-CN"/>
        </w:rPr>
        <w:t>对热多村77户牧民庭院进行综合治理，入户路改造，生态围栏修建维护，屋内院内环境整治等。</w:t>
      </w:r>
    </w:p>
    <w:p w14:paraId="069F98B1">
      <w:pPr>
        <w:pageBreakBefore w:val="0"/>
        <w:numPr>
          <w:ilvl w:val="0"/>
          <w:numId w:val="6"/>
        </w:numPr>
        <w:kinsoku/>
        <w:wordWrap/>
        <w:topLinePunct w:val="0"/>
        <w:bidi w:val="0"/>
        <w:spacing w:line="576" w:lineRule="exact"/>
        <w:ind w:firstLine="7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财政衔接资金项目绩效目标设定情况</w:t>
      </w:r>
    </w:p>
    <w:p w14:paraId="4CF3F1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宋体" w:eastAsia="仿宋_GB2312" w:cs="仿宋_GB2312"/>
          <w:kern w:val="2"/>
          <w:sz w:val="32"/>
          <w:szCs w:val="24"/>
          <w:lang w:val="en-US" w:eastAsia="zh-CN" w:bidi="ar"/>
        </w:rPr>
        <w:t>该项目为统规自建项目，每户补助资金2000元，</w:t>
      </w:r>
      <w:r>
        <w:rPr>
          <w:rFonts w:hint="eastAsia" w:ascii="仿宋_GB2312" w:hAnsi="仿宋_GB2312" w:eastAsia="仿宋_GB2312" w:cs="仿宋_GB2312"/>
          <w:b w:val="0"/>
          <w:bCs w:val="0"/>
          <w:sz w:val="32"/>
          <w:szCs w:val="32"/>
          <w:lang w:val="en-US" w:eastAsia="zh-CN"/>
        </w:rPr>
        <w:t>对热多村77户牧民庭院进行综合治理，入户路改造，生态围栏修建维护，屋内院内环境整治等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按照文件要求，按时、按质、按量完成目标任务。</w:t>
      </w:r>
    </w:p>
    <w:p w14:paraId="343EB282">
      <w:pPr>
        <w:pageBreakBefore w:val="0"/>
        <w:numPr>
          <w:ilvl w:val="0"/>
          <w:numId w:val="7"/>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绩效自评工作开展情况</w:t>
      </w:r>
    </w:p>
    <w:p w14:paraId="1B59DA2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该项目计划投资16万元，实际到位16万元，资金来源为：衔接资金，年初目标为</w:t>
      </w:r>
      <w:r>
        <w:rPr>
          <w:rFonts w:hint="eastAsia" w:ascii="仿宋_GB2312" w:hAnsi="仿宋_GB2312" w:eastAsia="仿宋_GB2312" w:cs="仿宋_GB2312"/>
          <w:b w:val="0"/>
          <w:bCs w:val="0"/>
          <w:sz w:val="32"/>
          <w:szCs w:val="32"/>
          <w:lang w:val="en-US" w:eastAsia="zh-CN"/>
        </w:rPr>
        <w:t>对热多村77户牧民庭院进行综合治理，入户路改造，生态围栏修建维护，屋内院内环境整治等。</w:t>
      </w:r>
      <w:r>
        <w:rPr>
          <w:rFonts w:hint="eastAsia" w:ascii="仿宋_GB2312" w:hAnsi="宋体" w:eastAsia="仿宋_GB2312" w:cs="仿宋_GB2312"/>
          <w:kern w:val="2"/>
          <w:sz w:val="32"/>
          <w:szCs w:val="24"/>
          <w:lang w:val="en-US" w:eastAsia="zh-CN" w:bidi="ar"/>
        </w:rPr>
        <w:t>截止目前已完成工程量100％，于2023年11月20日已完成验收100％，已拨付资金15.4万元，受益群众户数77户，满意度达100％。</w:t>
      </w:r>
    </w:p>
    <w:p w14:paraId="7CC5D734">
      <w:pPr>
        <w:pageBreakBefore w:val="0"/>
        <w:numPr>
          <w:ilvl w:val="0"/>
          <w:numId w:val="7"/>
        </w:numPr>
        <w:kinsoku/>
        <w:wordWrap/>
        <w:topLinePunct w:val="0"/>
        <w:bidi w:val="0"/>
        <w:spacing w:line="576" w:lineRule="exact"/>
        <w:ind w:left="0" w:leftChars="0" w:firstLine="643" w:firstLineChars="200"/>
        <w:jc w:val="left"/>
        <w:rPr>
          <w:rFonts w:hint="default"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绩效目标自评完成情况分析</w:t>
      </w:r>
    </w:p>
    <w:p w14:paraId="113DC9E6">
      <w:pPr>
        <w:pageBreakBefore w:val="0"/>
        <w:numPr>
          <w:ilvl w:val="0"/>
          <w:numId w:val="8"/>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资金投入情况分析</w:t>
      </w:r>
    </w:p>
    <w:p w14:paraId="36B5A3BC">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热多村庭院整治项目。该项目良好完成计划目标，截止评价时已完成任务量</w:t>
      </w:r>
      <w:r>
        <w:rPr>
          <w:rFonts w:hint="eastAsia" w:ascii="仿宋_GB2312" w:hAnsi="宋体" w:eastAsia="仿宋_GB2312" w:cs="仿宋_GB2312"/>
          <w:kern w:val="2"/>
          <w:sz w:val="32"/>
          <w:szCs w:val="24"/>
          <w:lang w:val="en-US" w:eastAsia="zh-CN" w:bidi="ar"/>
        </w:rPr>
        <w:t>100％，已拨付资金15.4万元，资金到位情况及时，资金拨付情况合理，资金管理规范。</w:t>
      </w:r>
    </w:p>
    <w:p w14:paraId="1D615AB4">
      <w:pPr>
        <w:keepNext w:val="0"/>
        <w:keepLines w:val="0"/>
        <w:pageBreakBefore w:val="0"/>
        <w:widowControl/>
        <w:suppressLineNumbers w:val="0"/>
        <w:kinsoku/>
        <w:wordWrap/>
        <w:topLinePunct w:val="0"/>
        <w:bidi w:val="0"/>
        <w:spacing w:line="576" w:lineRule="exact"/>
        <w:ind w:firstLine="643"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b/>
          <w:bCs/>
          <w:kern w:val="2"/>
          <w:sz w:val="32"/>
          <w:szCs w:val="24"/>
          <w:lang w:val="en-US" w:eastAsia="zh-CN" w:bidi="ar"/>
        </w:rPr>
        <w:t>（二）绩效目标完成情况分析。</w:t>
      </w:r>
      <w:r>
        <w:rPr>
          <w:rFonts w:hint="eastAsia" w:ascii="仿宋_GB2312" w:hAnsi="宋体" w:eastAsia="仿宋_GB2312" w:cs="仿宋_GB2312"/>
          <w:kern w:val="2"/>
          <w:sz w:val="32"/>
          <w:szCs w:val="24"/>
          <w:lang w:val="en-US" w:eastAsia="zh-CN" w:bidi="ar"/>
        </w:rPr>
        <w:t xml:space="preserve"> </w:t>
      </w:r>
    </w:p>
    <w:p w14:paraId="33F919EE">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截止目前已完成工程量100%,于2023年11月20日已完成验收100%,已拨付资金15.4万元,受益群众户数11户，满意度达100％。</w:t>
      </w:r>
    </w:p>
    <w:p w14:paraId="00EEBFC4">
      <w:pPr>
        <w:keepNext w:val="0"/>
        <w:keepLines w:val="0"/>
        <w:pageBreakBefore w:val="0"/>
        <w:widowControl/>
        <w:numPr>
          <w:ilvl w:val="0"/>
          <w:numId w:val="0"/>
        </w:numPr>
        <w:suppressLineNumbers w:val="0"/>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（三）项目效益情况</w:t>
      </w:r>
    </w:p>
    <w:p w14:paraId="55D83A7A">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rPr>
      </w:pPr>
      <w:r>
        <w:rPr>
          <w:rFonts w:hint="eastAsia" w:ascii="仿宋_GB2312" w:hAnsi="仿宋" w:eastAsia="仿宋_GB2312"/>
          <w:sz w:val="32"/>
        </w:rPr>
        <w:t>该项目的实施，将覆盖全村范围</w:t>
      </w:r>
      <w:r>
        <w:rPr>
          <w:rFonts w:hint="eastAsia" w:ascii="仿宋_GB2312" w:hAnsi="仿宋" w:eastAsia="仿宋_GB2312"/>
          <w:sz w:val="32"/>
          <w:lang w:val="en-US" w:eastAsia="zh-CN"/>
        </w:rPr>
        <w:t>住户</w:t>
      </w:r>
      <w:r>
        <w:rPr>
          <w:rFonts w:hint="eastAsia" w:ascii="仿宋_GB2312" w:hAnsi="仿宋" w:eastAsia="仿宋_GB2312"/>
          <w:sz w:val="32"/>
        </w:rPr>
        <w:t>，该项目的实施，将改变广大群众生产生活条件，打造良好的生活和旅游环境，有力推进</w:t>
      </w:r>
      <w:r>
        <w:rPr>
          <w:rFonts w:hint="eastAsia" w:ascii="仿宋_GB2312" w:hAnsi="仿宋" w:eastAsia="仿宋_GB2312"/>
          <w:sz w:val="32"/>
          <w:lang w:eastAsia="zh-CN"/>
        </w:rPr>
        <w:t>邛溪镇</w:t>
      </w:r>
      <w:r>
        <w:rPr>
          <w:rFonts w:hint="eastAsia" w:ascii="仿宋_GB2312" w:hAnsi="仿宋" w:eastAsia="仿宋_GB2312"/>
          <w:sz w:val="32"/>
        </w:rPr>
        <w:t>经济和社会持续发展有力助推我</w:t>
      </w:r>
      <w:r>
        <w:rPr>
          <w:rFonts w:hint="eastAsia" w:ascii="仿宋_GB2312" w:hAnsi="仿宋" w:eastAsia="仿宋_GB2312"/>
          <w:sz w:val="32"/>
          <w:lang w:eastAsia="zh-CN"/>
        </w:rPr>
        <w:t>镇</w:t>
      </w:r>
      <w:r>
        <w:rPr>
          <w:rFonts w:hint="eastAsia" w:ascii="仿宋_GB2312" w:eastAsia="仿宋_GB2312"/>
          <w:sz w:val="32"/>
          <w:szCs w:val="32"/>
          <w:lang w:val="en-US" w:eastAsia="zh-CN"/>
        </w:rPr>
        <w:t>2024年巩固拓展脱贫攻坚成果同乡村振兴有效衔接</w:t>
      </w:r>
      <w:r>
        <w:rPr>
          <w:rFonts w:hint="eastAsia" w:ascii="仿宋_GB2312" w:hAnsi="仿宋" w:eastAsia="仿宋_GB2312"/>
          <w:sz w:val="32"/>
        </w:rPr>
        <w:t>的有力实施。</w:t>
      </w:r>
    </w:p>
    <w:p w14:paraId="388A7565">
      <w:pPr>
        <w:keepNext w:val="0"/>
        <w:keepLines w:val="0"/>
        <w:pageBreakBefore w:val="0"/>
        <w:widowControl/>
        <w:numPr>
          <w:ilvl w:val="0"/>
          <w:numId w:val="7"/>
        </w:numPr>
        <w:suppressLineNumbers w:val="0"/>
        <w:kinsoku/>
        <w:wordWrap/>
        <w:topLinePunct w:val="0"/>
        <w:bidi w:val="0"/>
        <w:spacing w:line="576" w:lineRule="exact"/>
        <w:ind w:left="0" w:leftChars="0"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资产后续管护及运营情况</w:t>
      </w:r>
    </w:p>
    <w:p w14:paraId="16E418CD">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该项目后期会建立后续管护机制,确保该项目稳定良好运行,为巩固拓展脱贫攻坚成果,全面实施乡村振兴提供更好保障。</w:t>
      </w:r>
    </w:p>
    <w:tbl>
      <w:tblPr>
        <w:tblStyle w:val="17"/>
        <w:tblW w:w="9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759"/>
        <w:gridCol w:w="1049"/>
        <w:gridCol w:w="558"/>
        <w:gridCol w:w="697"/>
        <w:gridCol w:w="852"/>
        <w:gridCol w:w="616"/>
        <w:gridCol w:w="579"/>
        <w:gridCol w:w="771"/>
        <w:gridCol w:w="988"/>
        <w:gridCol w:w="867"/>
      </w:tblGrid>
      <w:tr w14:paraId="5FC85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2" w:hRule="atLeast"/>
          <w:jc w:val="center"/>
        </w:trPr>
        <w:tc>
          <w:tcPr>
            <w:tcW w:w="932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1B1B42">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（2023年度）</w:t>
            </w:r>
          </w:p>
        </w:tc>
      </w:tr>
      <w:tr w14:paraId="7451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jc w:val="center"/>
        </w:trPr>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D663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757D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热多村庭院整治项目</w:t>
            </w:r>
          </w:p>
        </w:tc>
        <w:tc>
          <w:tcPr>
            <w:tcW w:w="1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1AC4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33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AECEA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4FCD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EA6D2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CA58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住建局</w:t>
            </w:r>
          </w:p>
        </w:tc>
        <w:tc>
          <w:tcPr>
            <w:tcW w:w="1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F89D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3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6ED82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4A646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9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B464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28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157C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18B4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2E7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D9E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2C7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01E9D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9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936C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5AC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9CC5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D5E3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483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C5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7F6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14:paraId="0EF7C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19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4A1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514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699D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0CD5C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C5C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C66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E4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DAC0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jc w:val="center"/>
        </w:trPr>
        <w:tc>
          <w:tcPr>
            <w:tcW w:w="19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2C8D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CE4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7516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6CE79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CE1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2E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D5F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713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84818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3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AAC3D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4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CF104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7AA41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9FAB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3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CA192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对热多村70户牧民庭院进行综合治理</w:t>
            </w:r>
          </w:p>
        </w:tc>
        <w:tc>
          <w:tcPr>
            <w:tcW w:w="4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46622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整治热多村77户牧民庭院</w:t>
            </w:r>
          </w:p>
        </w:tc>
      </w:tr>
      <w:tr w14:paraId="7106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C06BE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6A5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0E1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FC6C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8AF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F71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5AFD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653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93A1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20680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405BEA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DA244F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5283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9C10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完成庭院整治户数</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0B4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DF9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≥70户</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047A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7FF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BFD0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4231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88C0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30B3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BD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48D0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7AE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416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B58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6B8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C4D7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EBE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B24D2C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F321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846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C1B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4A9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787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D08B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43A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DD70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3D3D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DA67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EE1CE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E0F6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6DE2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项目（工程）验收合格率</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9E0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CBF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829B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7A1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D1D3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113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4DFF5D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25911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AEC0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EA06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243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34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FD0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FC3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EFF7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223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AE1B0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B7CA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310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A36E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76B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A12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310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16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B502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3C95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3D755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EF41B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1223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BA48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64B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53B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34A8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D60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9128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08F6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DE4B9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BC27D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2F25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2493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33C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B0B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ACFB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607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68A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BF83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04E03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4C381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BA19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F719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4D3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80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6624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281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13D8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9F4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A5C1E7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1672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3720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FA86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户均补助</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0C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43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2000元/每户</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9196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2000元/每户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B10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62F4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4F55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7CEBD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1E8F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C9E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6EB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A0F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3A1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DDAA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DF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4569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2CC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E8837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1A96C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95B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0CD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8B6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703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639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36B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5B42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BD43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060E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A47E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B21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BCB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6CE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0F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443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A2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6A0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654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4E516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50A0F5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3670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EA2D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51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541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9037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4EC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EB8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87F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94FB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6F38D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E3B7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715D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961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8BC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1179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37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2F78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1951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4DA97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FBC301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5D1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D13D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79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5C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30AF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5EF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65BF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7372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8BE7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9F40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1765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FF7F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受益群众户数</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AD3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B6D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≥70户</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E6BF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A14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B9D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282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51CA9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36A944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A8A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753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72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35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F019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59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D473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ED13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81CCB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4E84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734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C6FD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B79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88C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FF05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AC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1FAE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9275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29E2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9998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4297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70EE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8A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9A7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870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AD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3689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ED47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2640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4D10C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069D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032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13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86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A76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EE9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778E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F0FC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07FD6C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BDE0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F1B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96D7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D7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C4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4334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45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336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4790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03FD3E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DFD09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242E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C0B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A9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9AC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D79E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E04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200E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6F42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B8057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456A0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5366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E63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86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A2A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F41E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8AB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15EE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9E1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0CE1A2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8C07A9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77D7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0BA4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95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6BE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637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EDF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38CA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4EBF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2ED6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A3C35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5A0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873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D74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C9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0A9C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42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772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D12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B9616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A27A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2761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9E8B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259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EC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9EF4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BBC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5EA9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B1E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3B098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B01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6041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7AD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1E4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E9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6032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9E5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8962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0AD2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EE5F3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3F3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33A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43B4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BC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2C5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B338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C5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423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24DF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AE287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AA22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CE9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DDC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3DD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1D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E64A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11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2FE4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40C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4F2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775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9E57">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912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8E08">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r>
    </w:tbl>
    <w:p w14:paraId="0761A164">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8F8739F">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44C2720E">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1EAC55E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FCC220B">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仿宋_GB2312" w:hAnsi="宋体" w:eastAsia="仿宋_GB2312" w:cs="仿宋_GB2312"/>
          <w:b w:val="0"/>
          <w:bCs w:val="0"/>
          <w:kern w:val="2"/>
          <w:sz w:val="32"/>
          <w:szCs w:val="24"/>
          <w:lang w:val="en-US" w:eastAsia="zh-CN" w:bidi="ar"/>
        </w:rPr>
        <w:t xml:space="preserve"> </w:t>
      </w:r>
      <w:r>
        <w:rPr>
          <w:rFonts w:hint="eastAsia" w:ascii="方正小标宋_GBK" w:hAnsi="方正小标宋_GBK" w:eastAsia="方正小标宋_GBK" w:cs="方正小标宋_GBK"/>
          <w:b w:val="0"/>
          <w:bCs w:val="0"/>
          <w:color w:val="auto"/>
          <w:kern w:val="2"/>
          <w:sz w:val="44"/>
          <w:szCs w:val="44"/>
          <w:highlight w:val="none"/>
          <w:lang w:val="en-US" w:eastAsia="zh-CN"/>
        </w:rPr>
        <w:t>红原县邛溪镇人民政府</w:t>
      </w:r>
    </w:p>
    <w:p w14:paraId="1DB40457">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关于红原县2023年邛溪镇</w:t>
      </w:r>
    </w:p>
    <w:p w14:paraId="28A59662">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简体" w:hAnsi="宋体" w:eastAsia="方正小标宋简体"/>
          <w:b w:val="0"/>
          <w:bCs w:val="0"/>
          <w:sz w:val="44"/>
          <w:szCs w:val="44"/>
          <w:lang w:eastAsia="zh-CN"/>
        </w:rPr>
        <w:t>财政衔接资金资金</w:t>
      </w:r>
      <w:r>
        <w:rPr>
          <w:rFonts w:hint="eastAsia" w:ascii="方正小标宋_GBK" w:hAnsi="方正小标宋_GBK" w:eastAsia="方正小标宋_GBK" w:cs="方正小标宋_GBK"/>
          <w:b w:val="0"/>
          <w:bCs w:val="0"/>
          <w:color w:val="auto"/>
          <w:kern w:val="2"/>
          <w:sz w:val="44"/>
          <w:szCs w:val="44"/>
          <w:highlight w:val="none"/>
          <w:lang w:val="en-US" w:eastAsia="zh-CN"/>
        </w:rPr>
        <w:t>项目的绩效评价报告</w:t>
      </w:r>
    </w:p>
    <w:p w14:paraId="23E99E86">
      <w:pPr>
        <w:pageBreakBefore w:val="0"/>
        <w:kinsoku/>
        <w:wordWrap/>
        <w:topLinePunct w:val="0"/>
        <w:bidi w:val="0"/>
        <w:spacing w:line="576" w:lineRule="exact"/>
        <w:jc w:val="center"/>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红原县邛溪镇生产性便道维修项目</w:t>
      </w:r>
      <w:r>
        <w:rPr>
          <w:rFonts w:hint="eastAsia" w:ascii="仿宋_GB2312" w:hAnsi="宋体" w:eastAsia="仿宋_GB2312" w:cs="仿宋_GB2312"/>
          <w:kern w:val="2"/>
          <w:sz w:val="32"/>
          <w:szCs w:val="24"/>
          <w:lang w:val="en-US" w:eastAsia="zh-CN" w:bidi="ar"/>
        </w:rPr>
        <w:t>）</w:t>
      </w:r>
    </w:p>
    <w:p w14:paraId="576DA1D1">
      <w:pPr>
        <w:pageBreakBefore w:val="0"/>
        <w:kinsoku/>
        <w:wordWrap/>
        <w:topLinePunct w:val="0"/>
        <w:bidi w:val="0"/>
        <w:spacing w:line="576" w:lineRule="exact"/>
        <w:jc w:val="both"/>
        <w:rPr>
          <w:rFonts w:hint="eastAsia" w:ascii="仿宋_GB2312" w:hAnsi="宋体" w:eastAsia="仿宋_GB2312" w:cs="仿宋_GB2312"/>
          <w:kern w:val="2"/>
          <w:sz w:val="32"/>
          <w:szCs w:val="24"/>
          <w:lang w:val="en-US" w:eastAsia="zh-CN" w:bidi="ar"/>
        </w:rPr>
      </w:pPr>
    </w:p>
    <w:p w14:paraId="449A3EF4">
      <w:pPr>
        <w:pageBreakBefore w:val="0"/>
        <w:numPr>
          <w:ilvl w:val="0"/>
          <w:numId w:val="0"/>
        </w:numPr>
        <w:kinsoku/>
        <w:wordWrap/>
        <w:topLinePunct w:val="0"/>
        <w:bidi w:val="0"/>
        <w:spacing w:line="576" w:lineRule="exact"/>
        <w:ind w:firstLine="643" w:firstLineChars="200"/>
        <w:jc w:val="both"/>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一、项目概况</w:t>
      </w:r>
    </w:p>
    <w:p w14:paraId="07F1F7DB">
      <w:pPr>
        <w:pStyle w:val="6"/>
        <w:pageBreakBefore w:val="0"/>
        <w:numPr>
          <w:ilvl w:val="0"/>
          <w:numId w:val="0"/>
        </w:numPr>
        <w:kinsoku/>
        <w:wordWrap/>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生产性便道（草原防火通道）</w:t>
      </w:r>
      <w:r>
        <w:rPr>
          <w:rFonts w:hint="eastAsia" w:ascii="仿宋_GB2312" w:hAnsi="仿宋_GB2312" w:eastAsia="仿宋_GB2312" w:cs="仿宋_GB2312"/>
          <w:sz w:val="32"/>
          <w:szCs w:val="32"/>
        </w:rPr>
        <w:t>是牧区重要的基础设施，在畜牧业生产、牧民群众的生活和农村经济发展中具有十分重要的作用。</w:t>
      </w:r>
    </w:p>
    <w:p w14:paraId="30E80F7B">
      <w:pPr>
        <w:pStyle w:val="6"/>
        <w:pageBreakBefore w:val="0"/>
        <w:numPr>
          <w:ilvl w:val="0"/>
          <w:numId w:val="0"/>
        </w:numPr>
        <w:kinsoku/>
        <w:wordWrap/>
        <w:topLinePunct w:val="0"/>
        <w:bidi w:val="0"/>
        <w:spacing w:line="576" w:lineRule="exact"/>
        <w:ind w:firstLine="643"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（一）财政衔接资金下达预算及项目情况</w:t>
      </w:r>
    </w:p>
    <w:p w14:paraId="6F30810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仿宋_GB2312" w:eastAsia="仿宋_GB2312" w:cs="仿宋_GB2312"/>
          <w:sz w:val="32"/>
          <w:szCs w:val="32"/>
          <w:lang w:val="en-US" w:eastAsia="zh-CN"/>
        </w:rPr>
        <w:t>生产性便道（草原防火通道）</w:t>
      </w:r>
      <w:r>
        <w:rPr>
          <w:rFonts w:hint="eastAsia" w:ascii="仿宋_GB2312" w:hAnsi="仿宋_GB2312" w:eastAsia="仿宋_GB2312" w:cs="仿宋_GB2312"/>
          <w:sz w:val="32"/>
          <w:szCs w:val="32"/>
        </w:rPr>
        <w:t>是牧区重要的基础设施，在畜牧业生产、牧民群众的生活和农村经济发展中具有十分重要的作用。</w:t>
      </w:r>
      <w:r>
        <w:rPr>
          <w:rFonts w:hint="eastAsia" w:ascii="仿宋_GB2312" w:hAnsi="宋体" w:eastAsia="仿宋_GB2312" w:cs="仿宋_GB2312"/>
          <w:kern w:val="2"/>
          <w:sz w:val="32"/>
          <w:szCs w:val="24"/>
          <w:lang w:val="en-US" w:eastAsia="zh-CN" w:bidi="ar"/>
        </w:rPr>
        <w:t>该项目下达资金24万元，</w:t>
      </w:r>
      <w:r>
        <w:rPr>
          <w:rFonts w:hint="eastAsia" w:ascii="仿宋_GB2312" w:hAnsi="仿宋_GB2312" w:eastAsia="仿宋_GB2312" w:cs="仿宋_GB2312"/>
          <w:sz w:val="32"/>
          <w:szCs w:val="32"/>
          <w:lang w:val="en-US" w:eastAsia="zh-CN"/>
        </w:rPr>
        <w:t>维修生产性便道（草原防火通道）24</w:t>
      </w:r>
      <w:r>
        <w:rPr>
          <w:rFonts w:hint="eastAsia" w:ascii="仿宋_GB2312" w:hAnsi="仿宋_GB2312" w:eastAsia="仿宋_GB2312" w:cs="仿宋_GB2312"/>
          <w:sz w:val="32"/>
          <w:szCs w:val="32"/>
        </w:rPr>
        <w:t>公里。</w:t>
      </w:r>
    </w:p>
    <w:p w14:paraId="7C8E6E28">
      <w:pPr>
        <w:pageBreakBefore w:val="0"/>
        <w:numPr>
          <w:ilvl w:val="0"/>
          <w:numId w:val="6"/>
        </w:numPr>
        <w:kinsoku/>
        <w:wordWrap/>
        <w:topLinePunct w:val="0"/>
        <w:bidi w:val="0"/>
        <w:spacing w:line="576" w:lineRule="exact"/>
        <w:ind w:firstLine="7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财政衔接资金项目绩效目标设定情况</w:t>
      </w:r>
    </w:p>
    <w:p w14:paraId="308BE4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宋体" w:eastAsia="仿宋_GB2312" w:cs="仿宋_GB2312"/>
          <w:kern w:val="2"/>
          <w:sz w:val="32"/>
          <w:szCs w:val="24"/>
          <w:lang w:val="en-US" w:eastAsia="zh-CN" w:bidi="ar"/>
        </w:rPr>
        <w:t>该项目通过以工代赈的方式实施，</w:t>
      </w:r>
      <w:r>
        <w:rPr>
          <w:rFonts w:hint="eastAsia" w:ascii="仿宋_GB2312" w:hAnsi="仿宋_GB2312" w:eastAsia="仿宋_GB2312" w:cs="仿宋_GB2312"/>
          <w:sz w:val="32"/>
          <w:szCs w:val="32"/>
          <w:lang w:val="en-US" w:eastAsia="zh-CN"/>
        </w:rPr>
        <w:t>维修生产性便道（草原防火通道）24</w:t>
      </w:r>
      <w:r>
        <w:rPr>
          <w:rFonts w:hint="eastAsia" w:ascii="仿宋_GB2312" w:hAnsi="仿宋_GB2312" w:eastAsia="仿宋_GB2312" w:cs="仿宋_GB2312"/>
          <w:sz w:val="32"/>
          <w:szCs w:val="32"/>
        </w:rPr>
        <w:t>公里</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2023年11月5日完成验收</w:t>
      </w:r>
      <w:r>
        <w:rPr>
          <w:rFonts w:hint="eastAsia" w:ascii="仿宋_GB2312" w:hAnsi="仿宋_GB2312" w:eastAsia="仿宋_GB2312" w:cs="仿宋_GB2312"/>
          <w:sz w:val="32"/>
          <w:szCs w:val="32"/>
          <w:lang w:eastAsia="zh-CN"/>
        </w:rPr>
        <w:t>，按时、按质、按量完成目标任务。</w:t>
      </w:r>
    </w:p>
    <w:p w14:paraId="59868A30">
      <w:pPr>
        <w:pageBreakBefore w:val="0"/>
        <w:numPr>
          <w:ilvl w:val="0"/>
          <w:numId w:val="7"/>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绩效自评工作开展情况</w:t>
      </w:r>
    </w:p>
    <w:p w14:paraId="42ABD7E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该项目计划投资24万元，实际到位24万元，资金来源为：衔接资金，年初目标为</w:t>
      </w:r>
      <w:r>
        <w:rPr>
          <w:rFonts w:hint="eastAsia" w:ascii="仿宋_GB2312" w:hAnsi="仿宋_GB2312" w:eastAsia="仿宋_GB2312" w:cs="仿宋_GB2312"/>
          <w:sz w:val="32"/>
          <w:szCs w:val="32"/>
          <w:lang w:val="en-US" w:eastAsia="zh-CN"/>
        </w:rPr>
        <w:t>维修生产性便道（草原防火通道）24</w:t>
      </w:r>
      <w:r>
        <w:rPr>
          <w:rFonts w:hint="eastAsia" w:ascii="仿宋_GB2312" w:hAnsi="仿宋_GB2312" w:eastAsia="仿宋_GB2312" w:cs="仿宋_GB2312"/>
          <w:sz w:val="32"/>
          <w:szCs w:val="32"/>
        </w:rPr>
        <w:t>公里</w:t>
      </w:r>
      <w:r>
        <w:rPr>
          <w:rFonts w:hint="eastAsia" w:ascii="仿宋_GB2312" w:hAnsi="仿宋_GB2312" w:eastAsia="仿宋_GB2312" w:cs="仿宋_GB2312"/>
          <w:sz w:val="32"/>
          <w:szCs w:val="32"/>
          <w:lang w:eastAsia="zh-CN"/>
        </w:rPr>
        <w:t>，</w:t>
      </w:r>
      <w:r>
        <w:rPr>
          <w:rFonts w:hint="eastAsia" w:ascii="仿宋_GB2312" w:hAnsi="宋体" w:eastAsia="仿宋_GB2312" w:cs="仿宋_GB2312"/>
          <w:kern w:val="2"/>
          <w:sz w:val="32"/>
          <w:szCs w:val="24"/>
          <w:lang w:val="en-US" w:eastAsia="zh-CN" w:bidi="ar"/>
        </w:rPr>
        <w:t>截止目前已完成工程量100％，于2023年11月5日已完成验收100％，已拨付资金100％，共带动受益人口100余人，满意度达100％。</w:t>
      </w:r>
    </w:p>
    <w:p w14:paraId="2565E5B0">
      <w:pPr>
        <w:pageBreakBefore w:val="0"/>
        <w:numPr>
          <w:ilvl w:val="0"/>
          <w:numId w:val="7"/>
        </w:numPr>
        <w:kinsoku/>
        <w:wordWrap/>
        <w:topLinePunct w:val="0"/>
        <w:bidi w:val="0"/>
        <w:spacing w:line="576" w:lineRule="exact"/>
        <w:ind w:left="0" w:leftChars="0" w:firstLine="643" w:firstLineChars="200"/>
        <w:jc w:val="left"/>
        <w:rPr>
          <w:rFonts w:hint="default"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绩效目标自评完成情况分析</w:t>
      </w:r>
    </w:p>
    <w:p w14:paraId="6A002915">
      <w:pPr>
        <w:pageBreakBefore w:val="0"/>
        <w:numPr>
          <w:ilvl w:val="0"/>
          <w:numId w:val="8"/>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资金投入情况分析</w:t>
      </w:r>
    </w:p>
    <w:p w14:paraId="357DA946">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红原县邛溪镇生产性便道维修项目。该项目良好完成计划目标，截止评价时已完成任务量</w:t>
      </w:r>
      <w:r>
        <w:rPr>
          <w:rFonts w:hint="eastAsia" w:ascii="仿宋_GB2312" w:hAnsi="宋体" w:eastAsia="仿宋_GB2312" w:cs="仿宋_GB2312"/>
          <w:kern w:val="2"/>
          <w:sz w:val="32"/>
          <w:szCs w:val="24"/>
          <w:lang w:val="en-US" w:eastAsia="zh-CN" w:bidi="ar"/>
        </w:rPr>
        <w:t>100％，已拨付资金100％，资金到位情况及时，资金拨付情况合理，资金管理规范。</w:t>
      </w:r>
    </w:p>
    <w:p w14:paraId="0391AA7F">
      <w:pPr>
        <w:keepNext w:val="0"/>
        <w:keepLines w:val="0"/>
        <w:pageBreakBefore w:val="0"/>
        <w:widowControl/>
        <w:suppressLineNumbers w:val="0"/>
        <w:kinsoku/>
        <w:wordWrap/>
        <w:topLinePunct w:val="0"/>
        <w:bidi w:val="0"/>
        <w:spacing w:line="576" w:lineRule="exact"/>
        <w:ind w:firstLine="643"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b/>
          <w:bCs/>
          <w:kern w:val="2"/>
          <w:sz w:val="32"/>
          <w:szCs w:val="24"/>
          <w:lang w:val="en-US" w:eastAsia="zh-CN" w:bidi="ar"/>
        </w:rPr>
        <w:t>（二）绩效目标完成情况分析。</w:t>
      </w:r>
      <w:r>
        <w:rPr>
          <w:rFonts w:hint="eastAsia" w:ascii="仿宋_GB2312" w:hAnsi="宋体" w:eastAsia="仿宋_GB2312" w:cs="仿宋_GB2312"/>
          <w:kern w:val="2"/>
          <w:sz w:val="32"/>
          <w:szCs w:val="24"/>
          <w:lang w:val="en-US" w:eastAsia="zh-CN" w:bidi="ar"/>
        </w:rPr>
        <w:t xml:space="preserve"> </w:t>
      </w:r>
    </w:p>
    <w:p w14:paraId="455BECF2">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截止目前已完成工程量100%,于2023年11月5日已完成验收100%,已拨付资金100%,共带动受益人口100余人,满意度达到100%。</w:t>
      </w:r>
    </w:p>
    <w:p w14:paraId="28C22C19">
      <w:pPr>
        <w:keepNext w:val="0"/>
        <w:keepLines w:val="0"/>
        <w:pageBreakBefore w:val="0"/>
        <w:widowControl/>
        <w:numPr>
          <w:ilvl w:val="0"/>
          <w:numId w:val="0"/>
        </w:numPr>
        <w:suppressLineNumbers w:val="0"/>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（三）项目效益情况</w:t>
      </w:r>
    </w:p>
    <w:p w14:paraId="0CEBBFC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经济效益：</w:t>
      </w:r>
      <w:r>
        <w:rPr>
          <w:rFonts w:hint="eastAsia" w:ascii="仿宋_GB2312" w:hAnsi="仿宋_GB2312" w:eastAsia="仿宋_GB2312" w:cs="仿宋_GB2312"/>
          <w:sz w:val="32"/>
          <w:szCs w:val="32"/>
          <w:lang w:val="en-US" w:eastAsia="zh-CN"/>
        </w:rPr>
        <w:t>通过生产性便道（草原防火通道）维修项目的实施，将进一步改善牧区群众生产生活条件。</w:t>
      </w:r>
    </w:p>
    <w:p w14:paraId="1555F9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1.将有效</w:t>
      </w:r>
      <w:r>
        <w:rPr>
          <w:rFonts w:hint="eastAsia" w:ascii="仿宋_GB2312" w:hAnsi="仿宋_GB2312" w:eastAsia="仿宋_GB2312" w:cs="仿宋_GB2312"/>
          <w:sz w:val="32"/>
          <w:szCs w:val="32"/>
        </w:rPr>
        <w:t>改善</w:t>
      </w:r>
      <w:r>
        <w:rPr>
          <w:rFonts w:hint="eastAsia" w:ascii="仿宋_GB2312" w:hAnsi="仿宋_GB2312" w:eastAsia="仿宋_GB2312" w:cs="仿宋_GB2312"/>
          <w:sz w:val="32"/>
          <w:szCs w:val="32"/>
          <w:lang w:val="en-US" w:eastAsia="zh-CN"/>
        </w:rPr>
        <w:t>项目实施</w:t>
      </w:r>
      <w:r>
        <w:rPr>
          <w:rFonts w:hint="eastAsia" w:ascii="仿宋_GB2312" w:hAnsi="仿宋_GB2312" w:eastAsia="仿宋_GB2312" w:cs="仿宋_GB2312"/>
          <w:sz w:val="32"/>
          <w:szCs w:val="32"/>
        </w:rPr>
        <w:t>村畜牧业生产</w:t>
      </w:r>
      <w:r>
        <w:rPr>
          <w:rFonts w:hint="eastAsia" w:ascii="仿宋_GB2312" w:hAnsi="仿宋_GB2312" w:eastAsia="仿宋_GB2312" w:cs="仿宋_GB2312"/>
          <w:sz w:val="32"/>
          <w:szCs w:val="32"/>
          <w:lang w:val="en-US" w:eastAsia="zh-CN"/>
        </w:rPr>
        <w:t>生活</w:t>
      </w:r>
      <w:r>
        <w:rPr>
          <w:rFonts w:hint="eastAsia" w:ascii="仿宋_GB2312" w:hAnsi="仿宋_GB2312" w:eastAsia="仿宋_GB2312" w:cs="仿宋_GB2312"/>
          <w:sz w:val="32"/>
          <w:szCs w:val="32"/>
        </w:rPr>
        <w:t>条件，方便当地牧民群众</w:t>
      </w:r>
      <w:r>
        <w:rPr>
          <w:rFonts w:hint="eastAsia" w:ascii="仿宋_GB2312" w:hAnsi="仿宋_GB2312" w:eastAsia="仿宋_GB2312" w:cs="仿宋_GB2312"/>
          <w:sz w:val="32"/>
          <w:szCs w:val="32"/>
          <w:lang w:val="en-US" w:eastAsia="zh-CN"/>
        </w:rPr>
        <w:t>出行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保障基本生产生活。2.便于当地群众售卖畜副产品，</w:t>
      </w:r>
      <w:r>
        <w:rPr>
          <w:rFonts w:hint="eastAsia" w:ascii="仿宋_GB2312" w:hAnsi="仿宋_GB2312" w:eastAsia="仿宋_GB2312" w:cs="仿宋_GB2312"/>
          <w:sz w:val="32"/>
          <w:szCs w:val="32"/>
        </w:rPr>
        <w:t>为当地群众节约生产成本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大大提升畜牧业发展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同时提升</w:t>
      </w:r>
      <w:r>
        <w:rPr>
          <w:rFonts w:hint="eastAsia" w:ascii="仿宋_GB2312" w:hAnsi="仿宋_GB2312" w:eastAsia="仿宋_GB2312" w:cs="仿宋_GB2312"/>
          <w:sz w:val="32"/>
          <w:szCs w:val="32"/>
        </w:rPr>
        <w:t>牧区群众生活生产</w:t>
      </w:r>
      <w:r>
        <w:rPr>
          <w:rFonts w:hint="eastAsia" w:ascii="仿宋_GB2312" w:hAnsi="仿宋_GB2312" w:eastAsia="仿宋_GB2312" w:cs="仿宋_GB2312"/>
          <w:sz w:val="32"/>
          <w:szCs w:val="32"/>
          <w:lang w:val="en-US" w:eastAsia="zh-CN"/>
        </w:rPr>
        <w:t>质量，</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助推当地社会经济的高质量发展。3.通过维修生产性便道（草原防火通道），可有效提高防灾减灾快速联动能力。改善防火受阻情况，提高防灾灭火效率，预防、抢早、打小，促进社会经济和生态环境和谐、稳定发展起到积极的促进作用。</w:t>
      </w:r>
    </w:p>
    <w:p w14:paraId="0674221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sz w:val="32"/>
          <w:szCs w:val="32"/>
          <w:lang w:val="en-US" w:eastAsia="zh-CN"/>
        </w:rPr>
        <w:t>该项目的实施不仅可改善牧区群众生活条件，方便牧民群众的出行，直接带动畜产品销售。同时该项目的建成，将为牧民群众发展畜牧产品生产，草场转场提供较好的交通条件，减少在路途中的不必要的损失，为农牧民在夏季草场放牧时期的生活补给提供保障。</w:t>
      </w:r>
    </w:p>
    <w:p w14:paraId="2C0F602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生态效益：</w:t>
      </w:r>
      <w:r>
        <w:rPr>
          <w:rFonts w:hint="eastAsia" w:ascii="仿宋_GB2312" w:hAnsi="仿宋_GB2312" w:eastAsia="仿宋_GB2312" w:cs="仿宋_GB2312"/>
          <w:sz w:val="32"/>
          <w:szCs w:val="32"/>
          <w:lang w:val="en-US" w:eastAsia="zh-CN"/>
        </w:rPr>
        <w:t>项目建设有利于保护生态环境，提高农牧民群众生活质量；有利于推动我镇城镇统筹发展，对我镇的国民经济和社会发展助推作用显著。生产性便道（草原防火通道）项目维修后，可以解决40余户村民的销售畜产品，也解决了动物内脏乱抛乱弃，造成草场退化，生产性便道（草原防火通道）减少对保护生态环境起到积极的生态效益。</w:t>
      </w:r>
    </w:p>
    <w:p w14:paraId="38502E74">
      <w:pPr>
        <w:keepNext w:val="0"/>
        <w:keepLines w:val="0"/>
        <w:pageBreakBefore w:val="0"/>
        <w:widowControl/>
        <w:numPr>
          <w:ilvl w:val="0"/>
          <w:numId w:val="7"/>
        </w:numPr>
        <w:suppressLineNumbers w:val="0"/>
        <w:kinsoku/>
        <w:wordWrap/>
        <w:topLinePunct w:val="0"/>
        <w:bidi w:val="0"/>
        <w:spacing w:line="576" w:lineRule="exact"/>
        <w:ind w:left="0" w:leftChars="0"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资产后续管护及运营情况</w:t>
      </w:r>
    </w:p>
    <w:p w14:paraId="5A26F6D9">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该项目后期会建立后续管护机制,确保该项目稳定良好运行,为巩固拓展脱贫攻坚成果,全面实施乡村振兴提供更好保障。</w:t>
      </w:r>
    </w:p>
    <w:tbl>
      <w:tblPr>
        <w:tblStyle w:val="17"/>
        <w:tblW w:w="10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821"/>
        <w:gridCol w:w="1165"/>
        <w:gridCol w:w="635"/>
        <w:gridCol w:w="746"/>
        <w:gridCol w:w="923"/>
        <w:gridCol w:w="672"/>
        <w:gridCol w:w="648"/>
        <w:gridCol w:w="869"/>
        <w:gridCol w:w="1026"/>
        <w:gridCol w:w="951"/>
      </w:tblGrid>
      <w:tr w14:paraId="78B6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7CFB098">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（2023年度）</w:t>
            </w:r>
          </w:p>
        </w:tc>
      </w:tr>
      <w:tr w14:paraId="07FC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8598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CB50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邛溪镇生产性便道维修项目</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E8CE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36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367E4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5722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0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4E02A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87ABB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科农局</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D668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6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66B2D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661F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0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D78E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FB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9894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42C0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C2D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4F3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281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1B3E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84F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195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962D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6DB3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4ED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5F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8DF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2B26F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7880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E9D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2E12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EB1F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2E4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B5E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DEF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03443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0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AA9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10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EDF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026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7DA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B44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02B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B49B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DBF416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42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360C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5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A0E56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058D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D8CB6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42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42189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维修生产性便道（草原防火通道）24公里</w:t>
            </w:r>
          </w:p>
        </w:tc>
        <w:tc>
          <w:tcPr>
            <w:tcW w:w="5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78FA5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维修生产性便道（草原防火通道）24公里</w:t>
            </w:r>
          </w:p>
        </w:tc>
      </w:tr>
      <w:tr w14:paraId="3B504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14DDEA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1CC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AA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0DBC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D5A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BF1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9F01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6E8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A9BB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2DDCD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8F0B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D2CEB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EEAD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58FA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维修草原防火通道</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219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633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≥24公里</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417E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≥24公里</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37F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23B7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553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1D14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DBFA5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A4F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A61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D9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5D7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2E7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6A9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921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73CB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EB5A31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8CD4E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3A4A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F09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E4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EB4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475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355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43B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0C32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90D96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CD0984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48FA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29FC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项目（工程）验收合格率</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70F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BF9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67F3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AE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2CA6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47A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82C7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348C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66FA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C3F4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A5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84C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239F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7F9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A74E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ADA2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1907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F9E87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6FA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F386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A17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E89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02A5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87A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AEAB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34B9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3E0787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B51A0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F041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B64F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A01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8EA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913D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CD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3F0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528A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3A22F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E7AA6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B18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C806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FBF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C4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7A71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77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C31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C781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60927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71261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E5B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67A7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1CC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76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7D3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1AF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C19E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BD1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A749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556F4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0D79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20C4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道路补助标准</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CA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0A3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1万元1公里</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225C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1万元1公里</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DCA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81C5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9C28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00DEE4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4CB02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C47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2007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8C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13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55B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D70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69A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0612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C8BF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E4C0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7BB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6BDA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D6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32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045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90E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7B9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93C3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238C88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C721F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B11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C536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8A4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57F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D70E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F1C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4B77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7784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F2E9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07D8E3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F73F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A1B3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周边牧户务工增收</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9C7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F7B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≥1000元</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F2EC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≥1000元</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CE3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C4D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0062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42B6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C1FFB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0C4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3A2F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FD4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4EB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C6B4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A00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F574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3A05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056758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1087E9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F75F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5E6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8A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A3D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769F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D38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34FB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9BE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0813D3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0B95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259B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2E9E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牧户出行平均缩短时间</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9FA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9E1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≥1小时</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687E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≥1小时</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70B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783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365B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9055F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FA590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9065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955B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136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854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≥100人</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BB7C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C1B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A24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B41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E96264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D1A41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3B31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4EA3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09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266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F18D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37D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94A9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6A4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2389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C0EBC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A6E9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4D6A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939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26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B09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2E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02B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EC9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0BCF1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6BF068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8D99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8ED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7B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8C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AE9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1F4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E0F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AAF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7BA65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4F039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4E7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2DA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8A2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03F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B38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5C6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D907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E7F7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9C9A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3D51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5FF7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7A4D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A9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DB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D9D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B91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5A3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F719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2D607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381BD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C2F1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46A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1F0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143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BEB4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309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F01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87F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58A822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0F9A1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686B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BC17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924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857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7A9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B67E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D785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BFB5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39337B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2FC7F0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B75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8D46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628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CED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31E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39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2C1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4BA4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5A078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7FAD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7F36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B72C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330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710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71E5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5DF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4093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AD87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B7F12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7773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0CC6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DBE5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FD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06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4034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A59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C399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7B22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B85449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B41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3CC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DD8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711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50A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B41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CEF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89DA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F10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880CE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E521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11E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4F9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60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8D8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1B57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9A6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B853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504D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929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927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8490">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52D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892A">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r>
    </w:tbl>
    <w:p w14:paraId="007BA9D7">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0611EF91">
      <w:pPr>
        <w:pStyle w:val="36"/>
        <w:keepNext w:val="0"/>
        <w:keepLines w:val="0"/>
        <w:pageBreakBefore w:val="0"/>
        <w:widowControl w:val="0"/>
        <w:kinsoku/>
        <w:wordWrap/>
        <w:overflowPunct/>
        <w:topLinePunct w:val="0"/>
        <w:autoSpaceDE/>
        <w:autoSpaceDN/>
        <w:bidi w:val="0"/>
        <w:spacing w:line="576" w:lineRule="exact"/>
        <w:ind w:firstLine="1920" w:firstLineChars="600"/>
        <w:jc w:val="both"/>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仿宋_GB2312" w:hAnsi="宋体" w:eastAsia="仿宋_GB2312" w:cs="仿宋_GB2312"/>
          <w:b w:val="0"/>
          <w:bCs w:val="0"/>
          <w:kern w:val="2"/>
          <w:sz w:val="32"/>
          <w:szCs w:val="24"/>
          <w:lang w:val="en-US" w:eastAsia="zh-CN" w:bidi="ar"/>
        </w:rPr>
        <w:t xml:space="preserve"> </w:t>
      </w:r>
      <w:r>
        <w:rPr>
          <w:rFonts w:hint="eastAsia" w:ascii="方正小标宋_GBK" w:hAnsi="方正小标宋_GBK" w:eastAsia="方正小标宋_GBK" w:cs="方正小标宋_GBK"/>
          <w:b w:val="0"/>
          <w:bCs w:val="0"/>
          <w:color w:val="auto"/>
          <w:kern w:val="2"/>
          <w:sz w:val="44"/>
          <w:szCs w:val="44"/>
          <w:highlight w:val="none"/>
          <w:lang w:val="en-US" w:eastAsia="zh-CN"/>
        </w:rPr>
        <w:t>红原县邛溪镇人民政府</w:t>
      </w:r>
    </w:p>
    <w:p w14:paraId="11E38FAD">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关于红原县2023年邛溪镇</w:t>
      </w:r>
    </w:p>
    <w:p w14:paraId="3AF80B0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简体" w:hAnsi="宋体" w:eastAsia="方正小标宋简体"/>
          <w:b w:val="0"/>
          <w:bCs w:val="0"/>
          <w:sz w:val="44"/>
          <w:szCs w:val="44"/>
          <w:lang w:eastAsia="zh-CN"/>
        </w:rPr>
        <w:t>财政衔接资金资金</w:t>
      </w:r>
      <w:r>
        <w:rPr>
          <w:rFonts w:hint="eastAsia" w:ascii="方正小标宋_GBK" w:hAnsi="方正小标宋_GBK" w:eastAsia="方正小标宋_GBK" w:cs="方正小标宋_GBK"/>
          <w:b w:val="0"/>
          <w:bCs w:val="0"/>
          <w:color w:val="auto"/>
          <w:kern w:val="2"/>
          <w:sz w:val="44"/>
          <w:szCs w:val="44"/>
          <w:highlight w:val="none"/>
          <w:lang w:val="en-US" w:eastAsia="zh-CN"/>
        </w:rPr>
        <w:t>项目的绩效评价报告</w:t>
      </w:r>
    </w:p>
    <w:p w14:paraId="594EE84A">
      <w:pPr>
        <w:pageBreakBefore w:val="0"/>
        <w:kinsoku/>
        <w:wordWrap/>
        <w:topLinePunct w:val="0"/>
        <w:bidi w:val="0"/>
        <w:spacing w:line="576" w:lineRule="exact"/>
        <w:jc w:val="center"/>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邛溪镇玛萨村生产性道路（森林草原防火通道）新建项目</w:t>
      </w:r>
      <w:r>
        <w:rPr>
          <w:rFonts w:hint="eastAsia" w:ascii="仿宋_GB2312" w:hAnsi="宋体" w:eastAsia="仿宋_GB2312" w:cs="仿宋_GB2312"/>
          <w:kern w:val="2"/>
          <w:sz w:val="32"/>
          <w:szCs w:val="24"/>
          <w:lang w:val="en-US" w:eastAsia="zh-CN" w:bidi="ar"/>
        </w:rPr>
        <w:t>）</w:t>
      </w:r>
    </w:p>
    <w:p w14:paraId="0169BE77">
      <w:pPr>
        <w:pageBreakBefore w:val="0"/>
        <w:kinsoku/>
        <w:wordWrap/>
        <w:topLinePunct w:val="0"/>
        <w:bidi w:val="0"/>
        <w:spacing w:line="576" w:lineRule="exact"/>
        <w:jc w:val="both"/>
        <w:rPr>
          <w:rFonts w:hint="eastAsia" w:ascii="仿宋_GB2312" w:hAnsi="宋体" w:eastAsia="仿宋_GB2312" w:cs="仿宋_GB2312"/>
          <w:kern w:val="2"/>
          <w:sz w:val="32"/>
          <w:szCs w:val="24"/>
          <w:lang w:val="en-US" w:eastAsia="zh-CN" w:bidi="ar"/>
        </w:rPr>
      </w:pPr>
    </w:p>
    <w:p w14:paraId="4B42BBE7">
      <w:pPr>
        <w:pageBreakBefore w:val="0"/>
        <w:numPr>
          <w:ilvl w:val="0"/>
          <w:numId w:val="0"/>
        </w:numPr>
        <w:kinsoku/>
        <w:wordWrap/>
        <w:topLinePunct w:val="0"/>
        <w:bidi w:val="0"/>
        <w:spacing w:line="576" w:lineRule="exact"/>
        <w:ind w:firstLine="643" w:firstLineChars="200"/>
        <w:jc w:val="both"/>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一、项目概况</w:t>
      </w:r>
    </w:p>
    <w:p w14:paraId="38AB1995">
      <w:pPr>
        <w:pStyle w:val="6"/>
        <w:pageBreakBefore w:val="0"/>
        <w:numPr>
          <w:ilvl w:val="0"/>
          <w:numId w:val="0"/>
        </w:numPr>
        <w:kinsoku/>
        <w:wordWrap/>
        <w:topLinePunct w:val="0"/>
        <w:bidi w:val="0"/>
        <w:spacing w:line="576" w:lineRule="exact"/>
        <w:ind w:firstLine="640"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val="0"/>
          <w:bCs w:val="0"/>
          <w:kern w:val="2"/>
          <w:sz w:val="32"/>
          <w:szCs w:val="24"/>
          <w:lang w:val="en-US" w:eastAsia="zh-CN" w:bidi="ar"/>
        </w:rPr>
        <w:t>生产性便道（草原防火通道）是牧区重要的基础设施，在畜牧业生产、牧民群众的生活和农村经济发展中具有十分重要的作用。</w:t>
      </w:r>
    </w:p>
    <w:p w14:paraId="6E589700">
      <w:pPr>
        <w:pStyle w:val="6"/>
        <w:pageBreakBefore w:val="0"/>
        <w:numPr>
          <w:ilvl w:val="0"/>
          <w:numId w:val="0"/>
        </w:numPr>
        <w:kinsoku/>
        <w:wordWrap/>
        <w:topLinePunct w:val="0"/>
        <w:bidi w:val="0"/>
        <w:spacing w:line="576" w:lineRule="exact"/>
        <w:ind w:firstLine="643"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（一）财政衔接资金下达预算及项目情况</w:t>
      </w:r>
    </w:p>
    <w:p w14:paraId="659BC1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b w:val="0"/>
          <w:bCs w:val="0"/>
          <w:kern w:val="2"/>
          <w:sz w:val="32"/>
          <w:szCs w:val="24"/>
          <w:lang w:val="en-US" w:eastAsia="zh-CN" w:bidi="ar"/>
        </w:rPr>
        <w:t>生产性便道（草原防火通道）是牧区重要的基础设施，在畜牧业生产、牧民群众的生活和农村经济发展中具有十分重要的作用</w:t>
      </w:r>
      <w:r>
        <w:rPr>
          <w:rFonts w:hint="eastAsia" w:ascii="仿宋_GB2312" w:hAnsi="宋体" w:eastAsia="仿宋_GB2312" w:cs="仿宋_GB2312"/>
          <w:kern w:val="2"/>
          <w:sz w:val="32"/>
          <w:szCs w:val="24"/>
          <w:lang w:val="en-US" w:eastAsia="zh-CN" w:bidi="ar"/>
        </w:rPr>
        <w:t>；该项目下达资金100万元，</w:t>
      </w:r>
      <w:r>
        <w:rPr>
          <w:rFonts w:hint="eastAsia" w:ascii="仿宋_GB2312" w:hAnsi="仿宋_GB2312" w:eastAsia="仿宋_GB2312" w:cs="仿宋_GB2312"/>
          <w:sz w:val="32"/>
          <w:szCs w:val="32"/>
          <w:lang w:val="en-US" w:eastAsia="zh-CN"/>
        </w:rPr>
        <w:t>新建生产性便道（草原防火通道）10</w:t>
      </w:r>
      <w:r>
        <w:rPr>
          <w:rFonts w:hint="eastAsia" w:ascii="仿宋_GB2312" w:hAnsi="仿宋_GB2312" w:eastAsia="仿宋_GB2312" w:cs="仿宋_GB2312"/>
          <w:sz w:val="32"/>
          <w:szCs w:val="32"/>
        </w:rPr>
        <w:t>公里。</w:t>
      </w:r>
    </w:p>
    <w:p w14:paraId="318F44F2">
      <w:pPr>
        <w:pageBreakBefore w:val="0"/>
        <w:numPr>
          <w:ilvl w:val="0"/>
          <w:numId w:val="6"/>
        </w:numPr>
        <w:kinsoku/>
        <w:wordWrap/>
        <w:topLinePunct w:val="0"/>
        <w:bidi w:val="0"/>
        <w:spacing w:line="576" w:lineRule="exact"/>
        <w:ind w:firstLine="7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财政衔接资金项目绩效目标设定情况</w:t>
      </w:r>
    </w:p>
    <w:p w14:paraId="593715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宋体" w:eastAsia="仿宋_GB2312" w:cs="仿宋_GB2312"/>
          <w:kern w:val="2"/>
          <w:sz w:val="32"/>
          <w:szCs w:val="24"/>
          <w:lang w:val="en-US" w:eastAsia="zh-CN" w:bidi="ar"/>
        </w:rPr>
        <w:t>该项目签订合同时间为2023年8月21日，合同总价为973847.25元，</w:t>
      </w:r>
      <w:r>
        <w:rPr>
          <w:rFonts w:hint="eastAsia" w:ascii="仿宋_GB2312" w:hAnsi="仿宋_GB2312" w:eastAsia="仿宋_GB2312" w:cs="仿宋_GB2312"/>
          <w:sz w:val="32"/>
          <w:szCs w:val="32"/>
          <w:lang w:val="en-US" w:eastAsia="zh-CN"/>
        </w:rPr>
        <w:t>新建生产性便道（草原防火通道）10</w:t>
      </w:r>
      <w:r>
        <w:rPr>
          <w:rFonts w:hint="eastAsia" w:ascii="仿宋_GB2312" w:hAnsi="仿宋_GB2312" w:eastAsia="仿宋_GB2312" w:cs="仿宋_GB2312"/>
          <w:sz w:val="32"/>
          <w:szCs w:val="32"/>
        </w:rPr>
        <w:t>公里</w:t>
      </w:r>
      <w:r>
        <w:rPr>
          <w:rFonts w:hint="eastAsia" w:ascii="仿宋_GB2312" w:hAnsi="仿宋_GB2312" w:eastAsia="仿宋_GB2312" w:cs="仿宋_GB2312"/>
          <w:sz w:val="32"/>
          <w:szCs w:val="32"/>
          <w:lang w:eastAsia="zh-CN"/>
        </w:rPr>
        <w:t>，按照合同及文件要求，按时、按质、按量完成目标任务。</w:t>
      </w:r>
    </w:p>
    <w:p w14:paraId="50F32217">
      <w:pPr>
        <w:pageBreakBefore w:val="0"/>
        <w:numPr>
          <w:ilvl w:val="0"/>
          <w:numId w:val="7"/>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绩效自评工作开展情况</w:t>
      </w:r>
    </w:p>
    <w:p w14:paraId="59E4765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该项目计划投资100万元，实际到位100万元，资金来源为：衔接资金，年初目标为</w:t>
      </w:r>
      <w:r>
        <w:rPr>
          <w:rFonts w:hint="eastAsia" w:ascii="仿宋_GB2312" w:hAnsi="仿宋_GB2312" w:eastAsia="仿宋_GB2312" w:cs="仿宋_GB2312"/>
          <w:sz w:val="32"/>
          <w:szCs w:val="32"/>
          <w:lang w:val="en-US" w:eastAsia="zh-CN"/>
        </w:rPr>
        <w:t>新建生产性便道（草原防火通道）10</w:t>
      </w:r>
      <w:r>
        <w:rPr>
          <w:rFonts w:hint="eastAsia" w:ascii="仿宋_GB2312" w:hAnsi="仿宋_GB2312" w:eastAsia="仿宋_GB2312" w:cs="仿宋_GB2312"/>
          <w:sz w:val="32"/>
          <w:szCs w:val="32"/>
        </w:rPr>
        <w:t>公里</w:t>
      </w:r>
      <w:r>
        <w:rPr>
          <w:rFonts w:hint="eastAsia" w:ascii="仿宋_GB2312" w:hAnsi="宋体" w:eastAsia="仿宋_GB2312" w:cs="仿宋_GB2312"/>
          <w:kern w:val="2"/>
          <w:sz w:val="32"/>
          <w:szCs w:val="24"/>
          <w:lang w:val="en-US" w:eastAsia="zh-CN" w:bidi="ar"/>
        </w:rPr>
        <w:t>，截止目前已完成工程量100％，于2023年11月17日已完成验收100％，已拨付资金97％，仅余项目质保金3％，受益人500余人，满意度达100％。</w:t>
      </w:r>
    </w:p>
    <w:p w14:paraId="06CB103E">
      <w:pPr>
        <w:pageBreakBefore w:val="0"/>
        <w:numPr>
          <w:ilvl w:val="0"/>
          <w:numId w:val="7"/>
        </w:numPr>
        <w:kinsoku/>
        <w:wordWrap/>
        <w:topLinePunct w:val="0"/>
        <w:bidi w:val="0"/>
        <w:spacing w:line="576" w:lineRule="exact"/>
        <w:ind w:left="0" w:leftChars="0" w:firstLine="643" w:firstLineChars="200"/>
        <w:jc w:val="left"/>
        <w:rPr>
          <w:rFonts w:hint="default"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绩效目标自评完成情况分析</w:t>
      </w:r>
    </w:p>
    <w:p w14:paraId="7B62C51E">
      <w:pPr>
        <w:pageBreakBefore w:val="0"/>
        <w:numPr>
          <w:ilvl w:val="0"/>
          <w:numId w:val="8"/>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资金投入情况分析</w:t>
      </w:r>
    </w:p>
    <w:p w14:paraId="022B6237">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邛溪镇玛萨村生产性道路（森林草原防火通道）新建项目。该项目良好完成计划目标，截止评价时已完成任务量</w:t>
      </w:r>
      <w:r>
        <w:rPr>
          <w:rFonts w:hint="eastAsia" w:ascii="仿宋_GB2312" w:hAnsi="宋体" w:eastAsia="仿宋_GB2312" w:cs="仿宋_GB2312"/>
          <w:kern w:val="2"/>
          <w:sz w:val="32"/>
          <w:szCs w:val="24"/>
          <w:lang w:val="en-US" w:eastAsia="zh-CN" w:bidi="ar"/>
        </w:rPr>
        <w:t>100％，已拨付资金97％，资金到位情况及时，资金拨付情况合理，资金管理规范。</w:t>
      </w:r>
    </w:p>
    <w:p w14:paraId="10118B8F">
      <w:pPr>
        <w:keepNext w:val="0"/>
        <w:keepLines w:val="0"/>
        <w:pageBreakBefore w:val="0"/>
        <w:widowControl/>
        <w:suppressLineNumbers w:val="0"/>
        <w:kinsoku/>
        <w:wordWrap/>
        <w:topLinePunct w:val="0"/>
        <w:bidi w:val="0"/>
        <w:spacing w:line="576" w:lineRule="exact"/>
        <w:ind w:firstLine="643"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b/>
          <w:bCs/>
          <w:kern w:val="2"/>
          <w:sz w:val="32"/>
          <w:szCs w:val="24"/>
          <w:lang w:val="en-US" w:eastAsia="zh-CN" w:bidi="ar"/>
        </w:rPr>
        <w:t>（二）绩效目标完成情况分析。</w:t>
      </w:r>
      <w:r>
        <w:rPr>
          <w:rFonts w:hint="eastAsia" w:ascii="仿宋_GB2312" w:hAnsi="宋体" w:eastAsia="仿宋_GB2312" w:cs="仿宋_GB2312"/>
          <w:kern w:val="2"/>
          <w:sz w:val="32"/>
          <w:szCs w:val="24"/>
          <w:lang w:val="en-US" w:eastAsia="zh-CN" w:bidi="ar"/>
        </w:rPr>
        <w:t xml:space="preserve"> </w:t>
      </w:r>
    </w:p>
    <w:p w14:paraId="632E3F0D">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截止目前已完成工程量100%,于2023年7月18日已完成验收100%,已拨付资金97%,共带动受益人500余人,满意度达到100%。</w:t>
      </w:r>
    </w:p>
    <w:p w14:paraId="7C7164E3">
      <w:pPr>
        <w:keepNext w:val="0"/>
        <w:keepLines w:val="0"/>
        <w:pageBreakBefore w:val="0"/>
        <w:widowControl/>
        <w:numPr>
          <w:ilvl w:val="0"/>
          <w:numId w:val="0"/>
        </w:numPr>
        <w:suppressLineNumbers w:val="0"/>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（三）项目效益情况</w:t>
      </w:r>
    </w:p>
    <w:p w14:paraId="46D07CF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经济效益：</w:t>
      </w:r>
      <w:r>
        <w:rPr>
          <w:rFonts w:hint="eastAsia" w:ascii="仿宋_GB2312" w:hAnsi="仿宋_GB2312" w:eastAsia="仿宋_GB2312" w:cs="仿宋_GB2312"/>
          <w:sz w:val="32"/>
          <w:szCs w:val="32"/>
          <w:lang w:val="en-US" w:eastAsia="zh-CN"/>
        </w:rPr>
        <w:t>通过生产性便道（草原防火通道）项目的实施，将进一步改善牧区群众生产生活条件，其经济效益十分明显。1.将有效</w:t>
      </w:r>
      <w:r>
        <w:rPr>
          <w:rFonts w:hint="eastAsia" w:ascii="仿宋_GB2312" w:hAnsi="仿宋_GB2312" w:eastAsia="仿宋_GB2312" w:cs="仿宋_GB2312"/>
          <w:sz w:val="32"/>
          <w:szCs w:val="32"/>
        </w:rPr>
        <w:t>改善</w:t>
      </w:r>
      <w:r>
        <w:rPr>
          <w:rFonts w:hint="eastAsia" w:ascii="仿宋_GB2312" w:hAnsi="仿宋_GB2312" w:eastAsia="仿宋_GB2312" w:cs="仿宋_GB2312"/>
          <w:sz w:val="32"/>
          <w:szCs w:val="32"/>
          <w:lang w:val="en-US" w:eastAsia="zh-CN"/>
        </w:rPr>
        <w:t>邛溪镇麻色阳德</w:t>
      </w:r>
      <w:r>
        <w:rPr>
          <w:rFonts w:hint="eastAsia" w:ascii="仿宋_GB2312" w:hAnsi="仿宋_GB2312" w:eastAsia="仿宋_GB2312" w:cs="仿宋_GB2312"/>
          <w:sz w:val="32"/>
          <w:szCs w:val="32"/>
        </w:rPr>
        <w:t>村畜牧业生产</w:t>
      </w:r>
      <w:r>
        <w:rPr>
          <w:rFonts w:hint="eastAsia" w:ascii="仿宋_GB2312" w:hAnsi="仿宋_GB2312" w:eastAsia="仿宋_GB2312" w:cs="仿宋_GB2312"/>
          <w:sz w:val="32"/>
          <w:szCs w:val="32"/>
          <w:lang w:val="en-US" w:eastAsia="zh-CN"/>
        </w:rPr>
        <w:t>生活</w:t>
      </w:r>
      <w:r>
        <w:rPr>
          <w:rFonts w:hint="eastAsia" w:ascii="仿宋_GB2312" w:hAnsi="仿宋_GB2312" w:eastAsia="仿宋_GB2312" w:cs="仿宋_GB2312"/>
          <w:sz w:val="32"/>
          <w:szCs w:val="32"/>
        </w:rPr>
        <w:t>条件，方便当地牧民群众</w:t>
      </w:r>
      <w:r>
        <w:rPr>
          <w:rFonts w:hint="eastAsia" w:ascii="仿宋_GB2312" w:hAnsi="仿宋_GB2312" w:eastAsia="仿宋_GB2312" w:cs="仿宋_GB2312"/>
          <w:sz w:val="32"/>
          <w:szCs w:val="32"/>
          <w:lang w:val="en-US" w:eastAsia="zh-CN"/>
        </w:rPr>
        <w:t>出行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保障基本生产生活。2.助推当地社会经济的高质量发展。便于当地群众售卖畜副产品，</w:t>
      </w:r>
      <w:r>
        <w:rPr>
          <w:rFonts w:hint="eastAsia" w:ascii="仿宋_GB2312" w:hAnsi="仿宋_GB2312" w:eastAsia="仿宋_GB2312" w:cs="仿宋_GB2312"/>
          <w:sz w:val="32"/>
          <w:szCs w:val="32"/>
        </w:rPr>
        <w:t>为当地群众节约生产成本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大大提升畜牧业发展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同时提升</w:t>
      </w:r>
      <w:r>
        <w:rPr>
          <w:rFonts w:hint="eastAsia" w:ascii="仿宋_GB2312" w:hAnsi="仿宋_GB2312" w:eastAsia="仿宋_GB2312" w:cs="仿宋_GB2312"/>
          <w:sz w:val="32"/>
          <w:szCs w:val="32"/>
        </w:rPr>
        <w:t>牧区群众生活生产</w:t>
      </w:r>
      <w:r>
        <w:rPr>
          <w:rFonts w:hint="eastAsia" w:ascii="仿宋_GB2312" w:hAnsi="仿宋_GB2312" w:eastAsia="仿宋_GB2312" w:cs="仿宋_GB2312"/>
          <w:sz w:val="32"/>
          <w:szCs w:val="32"/>
          <w:lang w:val="en-US" w:eastAsia="zh-CN"/>
        </w:rPr>
        <w:t>质量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能对</w:t>
      </w:r>
      <w:r>
        <w:rPr>
          <w:rFonts w:hint="eastAsia" w:ascii="仿宋_GB2312" w:hAnsi="仿宋_GB2312" w:eastAsia="仿宋_GB2312" w:cs="仿宋_GB2312"/>
          <w:sz w:val="32"/>
          <w:szCs w:val="32"/>
          <w:lang w:val="zh-CN" w:eastAsia="zh-CN"/>
        </w:rPr>
        <w:t>现畜产品销售增长5个百分点，走科学养畜致富路子，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3.通过新建生产性便道（草原防火通道），可有效提高防灾减灾快速联动能力。改善防火受阻情况，提高防灾灭火效率，预防、抢早、打小，促进社会经济和生态环境和谐、稳定发展起到积极的促进作用。</w:t>
      </w:r>
    </w:p>
    <w:p w14:paraId="1EC434B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sz w:val="32"/>
          <w:szCs w:val="32"/>
          <w:lang w:val="en-US" w:eastAsia="zh-CN"/>
        </w:rPr>
        <w:t>该项目不仅可以方便牧民群众的出行，直接带动畜产品销售。同时该项目的建成，将为牧民群众发展畜牧产品生产，草场转场提供较好的交通条件，减少在路途中的不必要的损失，为农牧民在夏季草场放牧时期的生活补给提供保障。生产性便道（草原防火通道）建设符合乡村振兴发展战略，是巩固脱贫攻坚成果的重要举措。将进一步改善牧区群众生活条件，促进社会稳定。</w:t>
      </w:r>
    </w:p>
    <w:p w14:paraId="1DB7B77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生态效益：</w:t>
      </w:r>
      <w:r>
        <w:rPr>
          <w:rFonts w:hint="eastAsia" w:ascii="仿宋_GB2312" w:hAnsi="仿宋_GB2312" w:eastAsia="仿宋_GB2312" w:cs="仿宋_GB2312"/>
          <w:sz w:val="32"/>
          <w:szCs w:val="32"/>
          <w:lang w:val="en-US" w:eastAsia="zh-CN"/>
        </w:rPr>
        <w:t>项目建设有利于保护生态环境，提高农牧民群众生活质量；有利于推动我镇城镇统筹发展，对我镇的国民经济和社会发展助推作用显著。项目的新建是推动邛溪镇镇社会稳定、经济发展的必要之举。生产性便道（草原防火通道）项目建成后，可以解决100余户村民的销售畜产品，也解决了动物内脏乱抛乱弃，造成草场退化，生产性便道（草原防火通道）减少对保护生态环境起到积极的生态效益。</w:t>
      </w:r>
    </w:p>
    <w:p w14:paraId="6CE1C7C9">
      <w:pPr>
        <w:keepNext w:val="0"/>
        <w:keepLines w:val="0"/>
        <w:pageBreakBefore w:val="0"/>
        <w:widowControl/>
        <w:numPr>
          <w:ilvl w:val="0"/>
          <w:numId w:val="7"/>
        </w:numPr>
        <w:suppressLineNumbers w:val="0"/>
        <w:kinsoku/>
        <w:wordWrap/>
        <w:topLinePunct w:val="0"/>
        <w:bidi w:val="0"/>
        <w:spacing w:line="576" w:lineRule="exact"/>
        <w:ind w:left="0" w:leftChars="0"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资产后续管护及运营情况</w:t>
      </w:r>
    </w:p>
    <w:p w14:paraId="6DE0EC4C">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该项目后期会建立后续管护机制,确保该项目稳定良好运行,为巩固拓展脱贫攻坚成果,全面实施乡村振兴提供更好保障。</w:t>
      </w:r>
    </w:p>
    <w:p w14:paraId="5E4E0873">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p>
    <w:p w14:paraId="70F9E1E2">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p>
    <w:tbl>
      <w:tblPr>
        <w:tblStyle w:val="17"/>
        <w:tblW w:w="104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851"/>
        <w:gridCol w:w="1218"/>
        <w:gridCol w:w="668"/>
        <w:gridCol w:w="772"/>
        <w:gridCol w:w="981"/>
        <w:gridCol w:w="699"/>
        <w:gridCol w:w="681"/>
        <w:gridCol w:w="894"/>
        <w:gridCol w:w="1060"/>
        <w:gridCol w:w="992"/>
      </w:tblGrid>
      <w:tr w14:paraId="6C20A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040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6820ACC">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（2023年度）</w:t>
            </w:r>
          </w:p>
        </w:tc>
      </w:tr>
      <w:tr w14:paraId="3C1A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20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87A11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8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C6D44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邛溪镇玛萨村生产性道路（森林草原防火应急通道）新建项目</w:t>
            </w:r>
          </w:p>
        </w:tc>
        <w:tc>
          <w:tcPr>
            <w:tcW w:w="1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F458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38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3925C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0E2D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20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AF4E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8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C9B7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科农局</w:t>
            </w:r>
          </w:p>
        </w:tc>
        <w:tc>
          <w:tcPr>
            <w:tcW w:w="1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E5CD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8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8A71C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1C095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jc w:val="center"/>
        </w:trPr>
        <w:tc>
          <w:tcPr>
            <w:tcW w:w="204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931F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03F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B291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4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08A8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382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2FF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C55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4A516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04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684E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A13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9322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4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27B0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94.46318</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F47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96D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0B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14:paraId="63FA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04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717E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147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AE75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4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41E9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94.46318</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F08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596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4C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B08E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04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FF88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B13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8825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4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F4917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AF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F72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D06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C212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6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7DCDFB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44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02892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55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D15B5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592EB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BFA42C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44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B1C5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新建生产性道路（森林草原防火应急通道）10公里</w:t>
            </w:r>
          </w:p>
        </w:tc>
        <w:tc>
          <w:tcPr>
            <w:tcW w:w="55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77484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新建生产性道路（森林草原防火应急通道）10公里</w:t>
            </w:r>
          </w:p>
        </w:tc>
      </w:tr>
      <w:tr w14:paraId="0D9B2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46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BA7497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08F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720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087A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F5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D17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FD96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BF4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048F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447B7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A8EB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DE924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CAA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2A8B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贫困村新建改建公路10公里</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AE7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EF0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≥10公里</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9F10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≥10公里</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0F8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D440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7B5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B1FB7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A5589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AE6A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3415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项目（工程）验收合格率</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1DF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ADE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2979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E97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F45C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86BB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3E7D8C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E08C1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A00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3F1E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E0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387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067E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0D7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338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F7C5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DE13A8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4CB25B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7BAC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2D83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4AF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2F3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B678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77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30CF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3514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ED117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70B60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6EA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D46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40A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46B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3B59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D7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8EB7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B4B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7B10E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617DA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8093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4F5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A1F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054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3DD0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2E4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542D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37F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A5ABB5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9610E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3B2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02A4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道路补助标准</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022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FE1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10万元1公里</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F990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10万元1公里</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1F2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569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7F5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F7F1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A8B62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98E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2D0C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0FE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07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911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3E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74D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9EA2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F5642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D50E5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FF96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3737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149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A5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662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4B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3E5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038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041B6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31992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restart"/>
            <w:tcBorders>
              <w:top w:val="single" w:color="000000" w:sz="4" w:space="0"/>
              <w:left w:val="single" w:color="000000" w:sz="4" w:space="0"/>
              <w:bottom w:val="nil"/>
              <w:right w:val="single" w:color="000000" w:sz="4" w:space="0"/>
            </w:tcBorders>
            <w:shd w:val="clear" w:color="auto" w:fill="auto"/>
            <w:vAlign w:val="center"/>
          </w:tcPr>
          <w:p w14:paraId="2E064C0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B148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受益建档立卡贫困人口数</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4D8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798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≥26人</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E3F7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≥26人</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A0C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F2AA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3FE8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57FCD8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DC225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continue"/>
            <w:tcBorders>
              <w:top w:val="single" w:color="000000" w:sz="4" w:space="0"/>
              <w:left w:val="single" w:color="000000" w:sz="4" w:space="0"/>
              <w:bottom w:val="nil"/>
              <w:right w:val="single" w:color="000000" w:sz="4" w:space="0"/>
            </w:tcBorders>
            <w:shd w:val="clear" w:color="auto" w:fill="auto"/>
            <w:vAlign w:val="center"/>
          </w:tcPr>
          <w:p w14:paraId="0003948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1616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受益农户人口数</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8EC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6CB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≥500人</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8761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≥500人</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F53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F847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8C7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10342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A36492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F7F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175D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9F4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64E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DE0B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551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6BE8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109E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885085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3AE76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B5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2454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工程设计使用年限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CAE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C04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≥20年</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C3BF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57B1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283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9D5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17ADB3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A36E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6D6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2829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43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3E3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841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DDE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032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4817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21540D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294A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8F3F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A10C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70F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D78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6B09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2D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F5A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EF1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8BA47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14EF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7F63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775B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FD8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C7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631B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E5A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3737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083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C4C3E6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DD75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0B66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5D9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98C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D23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AB34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B03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FCE7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4EA1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DC8E0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5FA9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A36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5810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9FDB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30A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3243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186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B0CF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B2A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FE0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999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68B3">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B91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8B5B">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r>
    </w:tbl>
    <w:p w14:paraId="0666B82F">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r>
        <w:rPr>
          <w:rFonts w:hint="eastAsia" w:ascii="仿宋_GB2312" w:hAnsi="宋体" w:eastAsia="仿宋_GB2312" w:cs="仿宋_GB2312"/>
          <w:b w:val="0"/>
          <w:bCs w:val="0"/>
          <w:kern w:val="2"/>
          <w:sz w:val="32"/>
          <w:szCs w:val="24"/>
          <w:lang w:val="en-US" w:eastAsia="zh-CN" w:bidi="ar"/>
        </w:rPr>
        <w:t xml:space="preserve"> </w:t>
      </w:r>
    </w:p>
    <w:p w14:paraId="40FB6153">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6DEB576">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3BB4D35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3D1B8859">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6CDED9F8">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718F286F">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073433DB">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3A153E8B">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28A8D1FC">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00531ADD">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宋体" w:eastAsia="仿宋_GB2312" w:cs="仿宋_GB2312"/>
          <w:b w:val="0"/>
          <w:bCs w:val="0"/>
          <w:kern w:val="2"/>
          <w:sz w:val="32"/>
          <w:szCs w:val="24"/>
          <w:lang w:val="en-US" w:eastAsia="zh-CN" w:bidi="ar"/>
        </w:rPr>
      </w:pPr>
    </w:p>
    <w:p w14:paraId="6600EE35">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14:paraId="45811206">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14:paraId="5FF14619">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14:paraId="109BB67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14:paraId="245372AC">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14:paraId="5E96DAFF">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红原县邛溪镇人民政府</w:t>
      </w:r>
    </w:p>
    <w:p w14:paraId="585EB5DA">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val="en-US" w:eastAsia="zh-CN"/>
        </w:rPr>
        <w:t>关于红原县2023年邛溪镇</w:t>
      </w:r>
    </w:p>
    <w:p w14:paraId="25E8B6F0">
      <w:pPr>
        <w:pStyle w:val="36"/>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r>
        <w:rPr>
          <w:rFonts w:hint="eastAsia" w:ascii="方正小标宋简体" w:hAnsi="宋体" w:eastAsia="方正小标宋简体"/>
          <w:b w:val="0"/>
          <w:bCs w:val="0"/>
          <w:sz w:val="44"/>
          <w:szCs w:val="44"/>
          <w:lang w:eastAsia="zh-CN"/>
        </w:rPr>
        <w:t>财政衔接资金资金</w:t>
      </w:r>
      <w:r>
        <w:rPr>
          <w:rFonts w:hint="eastAsia" w:ascii="方正小标宋_GBK" w:hAnsi="方正小标宋_GBK" w:eastAsia="方正小标宋_GBK" w:cs="方正小标宋_GBK"/>
          <w:b w:val="0"/>
          <w:bCs w:val="0"/>
          <w:color w:val="auto"/>
          <w:kern w:val="2"/>
          <w:sz w:val="44"/>
          <w:szCs w:val="44"/>
          <w:highlight w:val="none"/>
          <w:lang w:val="en-US" w:eastAsia="zh-CN"/>
        </w:rPr>
        <w:t>项目的绩效评价报告</w:t>
      </w:r>
    </w:p>
    <w:p w14:paraId="4CAD5190">
      <w:pPr>
        <w:pageBreakBefore w:val="0"/>
        <w:kinsoku/>
        <w:wordWrap/>
        <w:topLinePunct w:val="0"/>
        <w:bidi w:val="0"/>
        <w:spacing w:line="576" w:lineRule="exact"/>
        <w:jc w:val="center"/>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热多村水源地及饮水管网提升改造项目</w:t>
      </w:r>
      <w:r>
        <w:rPr>
          <w:rFonts w:hint="eastAsia" w:ascii="仿宋_GB2312" w:hAnsi="宋体" w:eastAsia="仿宋_GB2312" w:cs="仿宋_GB2312"/>
          <w:kern w:val="2"/>
          <w:sz w:val="32"/>
          <w:szCs w:val="24"/>
          <w:lang w:val="en-US" w:eastAsia="zh-CN" w:bidi="ar"/>
        </w:rPr>
        <w:t>）</w:t>
      </w:r>
    </w:p>
    <w:p w14:paraId="4EFDEEC8">
      <w:pPr>
        <w:pageBreakBefore w:val="0"/>
        <w:kinsoku/>
        <w:wordWrap/>
        <w:topLinePunct w:val="0"/>
        <w:bidi w:val="0"/>
        <w:spacing w:line="576" w:lineRule="exact"/>
        <w:jc w:val="both"/>
        <w:rPr>
          <w:rFonts w:hint="eastAsia" w:ascii="仿宋_GB2312" w:hAnsi="宋体" w:eastAsia="仿宋_GB2312" w:cs="仿宋_GB2312"/>
          <w:kern w:val="2"/>
          <w:sz w:val="32"/>
          <w:szCs w:val="24"/>
          <w:lang w:val="en-US" w:eastAsia="zh-CN" w:bidi="ar"/>
        </w:rPr>
      </w:pPr>
    </w:p>
    <w:p w14:paraId="0E739444">
      <w:pPr>
        <w:pageBreakBefore w:val="0"/>
        <w:numPr>
          <w:ilvl w:val="0"/>
          <w:numId w:val="0"/>
        </w:numPr>
        <w:kinsoku/>
        <w:wordWrap/>
        <w:topLinePunct w:val="0"/>
        <w:bidi w:val="0"/>
        <w:spacing w:line="576" w:lineRule="exact"/>
        <w:ind w:firstLine="643" w:firstLineChars="200"/>
        <w:jc w:val="both"/>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一、项目概况</w:t>
      </w:r>
    </w:p>
    <w:p w14:paraId="05E68D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宋体" w:eastAsia="仿宋_GB2312"/>
          <w:sz w:val="32"/>
          <w:szCs w:val="32"/>
          <w:lang w:val="en-US" w:eastAsia="zh-CN"/>
        </w:rPr>
        <w:t>为提高项目区饮用水质量，让当地居民从中受益。维护社会稳定，增强民族团结。</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邛溪镇实施</w:t>
      </w:r>
      <w:r>
        <w:rPr>
          <w:rFonts w:hint="eastAsia" w:ascii="仿宋_GB2312" w:hAnsi="宋体" w:eastAsia="仿宋_GB2312" w:cs="仿宋_GB2312"/>
          <w:kern w:val="2"/>
          <w:sz w:val="32"/>
          <w:szCs w:val="24"/>
          <w:lang w:val="zh-CN" w:eastAsia="zh-CN" w:bidi="ar"/>
        </w:rPr>
        <w:t>热多村水源地及饮水管网提升改造项目。</w:t>
      </w:r>
    </w:p>
    <w:p w14:paraId="44628977">
      <w:pPr>
        <w:pStyle w:val="6"/>
        <w:pageBreakBefore w:val="0"/>
        <w:numPr>
          <w:ilvl w:val="0"/>
          <w:numId w:val="0"/>
        </w:numPr>
        <w:kinsoku/>
        <w:wordWrap/>
        <w:topLinePunct w:val="0"/>
        <w:bidi w:val="0"/>
        <w:spacing w:line="576" w:lineRule="exact"/>
        <w:ind w:firstLine="643" w:firstLineChars="200"/>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（一）财政衔接资金下达预算及项目情况</w:t>
      </w:r>
    </w:p>
    <w:p w14:paraId="6BF1715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sz w:val="32"/>
          <w:szCs w:val="32"/>
          <w:lang w:val="en-US" w:eastAsia="zh-CN"/>
        </w:rPr>
        <w:t>为提高项目区饮用水质量，让当地居民从中受益。维护社会稳定，增强民族团结。</w:t>
      </w:r>
      <w:r>
        <w:rPr>
          <w:rFonts w:hint="eastAsia" w:ascii="仿宋_GB2312" w:hAnsi="宋体" w:eastAsia="仿宋_GB2312" w:cs="仿宋_GB2312"/>
          <w:kern w:val="2"/>
          <w:sz w:val="32"/>
          <w:szCs w:val="24"/>
          <w:lang w:val="en-US" w:eastAsia="zh-CN" w:bidi="ar"/>
        </w:rPr>
        <w:t>该项目下达资金70万元，</w:t>
      </w:r>
      <w:r>
        <w:rPr>
          <w:rFonts w:hint="eastAsia" w:ascii="仿宋_GB2312" w:hAnsi="仿宋_GB2312" w:eastAsia="仿宋_GB2312" w:cs="仿宋_GB2312"/>
          <w:b w:val="0"/>
          <w:bCs w:val="0"/>
          <w:sz w:val="32"/>
          <w:szCs w:val="32"/>
          <w:lang w:val="en-US" w:eastAsia="zh-CN"/>
        </w:rPr>
        <w:t>一是新建村内给水检查井四座（包含老管网开关维护）；二是新建一座二级水源沉沙池，用于更好的净化水质；三是原有的一级沉沙池提升改造、清淤；四是对原有的管网进行维护</w:t>
      </w:r>
      <w:r>
        <w:rPr>
          <w:rFonts w:hint="eastAsia" w:ascii="仿宋_GB2312" w:hAnsi="仿宋_GB2312" w:eastAsia="仿宋_GB2312" w:cs="仿宋_GB2312"/>
          <w:sz w:val="32"/>
          <w:szCs w:val="32"/>
          <w:lang w:val="en-US" w:eastAsia="zh-CN"/>
        </w:rPr>
        <w:t>。</w:t>
      </w:r>
    </w:p>
    <w:p w14:paraId="37101B91">
      <w:pPr>
        <w:pageBreakBefore w:val="0"/>
        <w:numPr>
          <w:ilvl w:val="0"/>
          <w:numId w:val="6"/>
        </w:numPr>
        <w:kinsoku/>
        <w:wordWrap/>
        <w:topLinePunct w:val="0"/>
        <w:bidi w:val="0"/>
        <w:spacing w:line="576" w:lineRule="exact"/>
        <w:ind w:firstLine="7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财政衔接资金项目绩效目标设定情况</w:t>
      </w:r>
    </w:p>
    <w:p w14:paraId="3EAE44F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宋体" w:eastAsia="仿宋_GB2312" w:cs="仿宋_GB2312"/>
          <w:kern w:val="2"/>
          <w:sz w:val="32"/>
          <w:szCs w:val="24"/>
          <w:lang w:val="en-US" w:eastAsia="zh-CN" w:bidi="ar"/>
        </w:rPr>
        <w:t>该项目签订合同时间为2023年9月5日，合同总价为50.566万元，</w:t>
      </w:r>
      <w:r>
        <w:rPr>
          <w:rFonts w:hint="eastAsia" w:ascii="仿宋_GB2312" w:hAnsi="仿宋_GB2312" w:eastAsia="仿宋_GB2312" w:cs="仿宋_GB2312"/>
          <w:b w:val="0"/>
          <w:bCs w:val="0"/>
          <w:sz w:val="32"/>
          <w:szCs w:val="32"/>
          <w:lang w:val="en-US" w:eastAsia="zh-CN"/>
        </w:rPr>
        <w:t>一是新建村内给水检查井四座（包含老管网开关维护）；二是新建一座二级水源沉沙池，用于更好的净化水质；三是原有的一级沉沙池提升改造、清淤；四是对原有的管网进行维护</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按照合同及文件要求，按时、按质、按量完成目标任务。</w:t>
      </w:r>
    </w:p>
    <w:p w14:paraId="02F99557">
      <w:pPr>
        <w:pageBreakBefore w:val="0"/>
        <w:numPr>
          <w:ilvl w:val="0"/>
          <w:numId w:val="7"/>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绩效自评工作开展情况</w:t>
      </w:r>
    </w:p>
    <w:p w14:paraId="5F9CEEA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该项目计划投资70万元，实际到位70万元，资金来源为：衔接资金，年初目标为</w:t>
      </w:r>
      <w:r>
        <w:rPr>
          <w:rFonts w:hint="eastAsia" w:ascii="仿宋_GB2312" w:hAnsi="仿宋_GB2312" w:eastAsia="仿宋_GB2312" w:cs="仿宋_GB2312"/>
          <w:b w:val="0"/>
          <w:bCs w:val="0"/>
          <w:sz w:val="32"/>
          <w:szCs w:val="32"/>
          <w:lang w:val="en-US" w:eastAsia="zh-CN"/>
        </w:rPr>
        <w:t>一是新建村内给水检查井四座（包含老管网开关维护）；二是新建一座二级水源沉沙池，用于更好的净化水质；三是原有的一级沉沙池提升改造、清淤；四是对原有的管网进行维护</w:t>
      </w:r>
      <w:r>
        <w:rPr>
          <w:rFonts w:hint="eastAsia" w:ascii="仿宋_GB2312" w:hAnsi="仿宋_GB2312" w:eastAsia="仿宋_GB2312" w:cs="仿宋_GB2312"/>
          <w:sz w:val="32"/>
          <w:szCs w:val="32"/>
          <w:lang w:val="en-US" w:eastAsia="zh-CN"/>
        </w:rPr>
        <w:t>。</w:t>
      </w:r>
      <w:r>
        <w:rPr>
          <w:rFonts w:hint="eastAsia" w:ascii="仿宋_GB2312" w:hAnsi="宋体" w:eastAsia="仿宋_GB2312" w:cs="仿宋_GB2312"/>
          <w:kern w:val="2"/>
          <w:sz w:val="32"/>
          <w:szCs w:val="24"/>
          <w:lang w:val="en-US" w:eastAsia="zh-CN" w:bidi="ar"/>
        </w:rPr>
        <w:t>截止目前已完成工程量100％，于2023年10月12日已完成验收100％，已拨付资金49.04902万元，受益群众人口数大于500人，满意度达100％。</w:t>
      </w:r>
    </w:p>
    <w:p w14:paraId="0D33B56B">
      <w:pPr>
        <w:pageBreakBefore w:val="0"/>
        <w:numPr>
          <w:ilvl w:val="0"/>
          <w:numId w:val="7"/>
        </w:numPr>
        <w:kinsoku/>
        <w:wordWrap/>
        <w:topLinePunct w:val="0"/>
        <w:bidi w:val="0"/>
        <w:spacing w:line="576" w:lineRule="exact"/>
        <w:ind w:left="0" w:leftChars="0" w:firstLine="643" w:firstLineChars="200"/>
        <w:jc w:val="left"/>
        <w:rPr>
          <w:rFonts w:hint="default"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绩效目标自评完成情况分析</w:t>
      </w:r>
    </w:p>
    <w:p w14:paraId="25059140">
      <w:pPr>
        <w:pageBreakBefore w:val="0"/>
        <w:numPr>
          <w:ilvl w:val="0"/>
          <w:numId w:val="8"/>
        </w:numPr>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资金投入情况分析</w:t>
      </w:r>
    </w:p>
    <w:p w14:paraId="7025B5A3">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热多村水源地及饮水管网提升改造项目。该项目良好完成计划目标，截止评价时已完成任务量</w:t>
      </w:r>
      <w:r>
        <w:rPr>
          <w:rFonts w:hint="eastAsia" w:ascii="仿宋_GB2312" w:hAnsi="宋体" w:eastAsia="仿宋_GB2312" w:cs="仿宋_GB2312"/>
          <w:kern w:val="2"/>
          <w:sz w:val="32"/>
          <w:szCs w:val="24"/>
          <w:lang w:val="en-US" w:eastAsia="zh-CN" w:bidi="ar"/>
        </w:rPr>
        <w:t>100％，已拨付资金49.04902万元，资金到位情况及时，资金拨付情况合理，资金管理规范。</w:t>
      </w:r>
    </w:p>
    <w:p w14:paraId="64B057D6">
      <w:pPr>
        <w:keepNext w:val="0"/>
        <w:keepLines w:val="0"/>
        <w:pageBreakBefore w:val="0"/>
        <w:widowControl/>
        <w:suppressLineNumbers w:val="0"/>
        <w:kinsoku/>
        <w:wordWrap/>
        <w:topLinePunct w:val="0"/>
        <w:bidi w:val="0"/>
        <w:spacing w:line="576" w:lineRule="exact"/>
        <w:ind w:firstLine="643" w:firstLineChars="200"/>
        <w:jc w:val="left"/>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b/>
          <w:bCs/>
          <w:kern w:val="2"/>
          <w:sz w:val="32"/>
          <w:szCs w:val="24"/>
          <w:lang w:val="en-US" w:eastAsia="zh-CN" w:bidi="ar"/>
        </w:rPr>
        <w:t>（二）绩效目标完成情况分析。</w:t>
      </w:r>
      <w:r>
        <w:rPr>
          <w:rFonts w:hint="eastAsia" w:ascii="仿宋_GB2312" w:hAnsi="宋体" w:eastAsia="仿宋_GB2312" w:cs="仿宋_GB2312"/>
          <w:kern w:val="2"/>
          <w:sz w:val="32"/>
          <w:szCs w:val="24"/>
          <w:lang w:val="en-US" w:eastAsia="zh-CN" w:bidi="ar"/>
        </w:rPr>
        <w:t xml:space="preserve"> </w:t>
      </w:r>
    </w:p>
    <w:p w14:paraId="6C3360C8">
      <w:pPr>
        <w:keepNext w:val="0"/>
        <w:keepLines w:val="0"/>
        <w:pageBreakBefore w:val="0"/>
        <w:widowControl/>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截止目前已完成工程量100%,于2023年10月12日已完成验收100%,已拨付资金49.04902万元,受益群众人口数大于500人，满意度达100％。</w:t>
      </w:r>
    </w:p>
    <w:p w14:paraId="7BEAAC39">
      <w:pPr>
        <w:keepNext w:val="0"/>
        <w:keepLines w:val="0"/>
        <w:pageBreakBefore w:val="0"/>
        <w:widowControl/>
        <w:numPr>
          <w:ilvl w:val="0"/>
          <w:numId w:val="0"/>
        </w:numPr>
        <w:suppressLineNumbers w:val="0"/>
        <w:kinsoku/>
        <w:wordWrap/>
        <w:topLinePunct w:val="0"/>
        <w:bidi w:val="0"/>
        <w:spacing w:line="576" w:lineRule="exact"/>
        <w:ind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（三）项目效益情况</w:t>
      </w:r>
    </w:p>
    <w:p w14:paraId="786C396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本项目建设有利于改善人居饮水环境，提升城市环境形象，提高居住区的生活质量，有利于完善城市基础设施建设、促进城市建设和社会经济可持续发展，是改善人居环境和保障人民生活健康的需要，具有显著的社会效益。</w:t>
      </w:r>
    </w:p>
    <w:p w14:paraId="6020F9A7">
      <w:pPr>
        <w:keepNext w:val="0"/>
        <w:keepLines w:val="0"/>
        <w:pageBreakBefore w:val="0"/>
        <w:widowControl/>
        <w:numPr>
          <w:ilvl w:val="0"/>
          <w:numId w:val="7"/>
        </w:numPr>
        <w:suppressLineNumbers w:val="0"/>
        <w:kinsoku/>
        <w:wordWrap/>
        <w:topLinePunct w:val="0"/>
        <w:bidi w:val="0"/>
        <w:spacing w:line="576" w:lineRule="exact"/>
        <w:ind w:left="0" w:leftChars="0" w:firstLine="643" w:firstLineChars="200"/>
        <w:jc w:val="left"/>
        <w:rPr>
          <w:rFonts w:hint="eastAsia" w:ascii="仿宋_GB2312" w:hAnsi="宋体" w:eastAsia="仿宋_GB2312" w:cs="仿宋_GB2312"/>
          <w:b/>
          <w:bCs/>
          <w:kern w:val="2"/>
          <w:sz w:val="32"/>
          <w:szCs w:val="24"/>
          <w:lang w:val="en-US" w:eastAsia="zh-CN" w:bidi="ar"/>
        </w:rPr>
      </w:pPr>
      <w:r>
        <w:rPr>
          <w:rFonts w:hint="eastAsia" w:ascii="仿宋_GB2312" w:hAnsi="宋体" w:eastAsia="仿宋_GB2312" w:cs="仿宋_GB2312"/>
          <w:b/>
          <w:bCs/>
          <w:kern w:val="2"/>
          <w:sz w:val="32"/>
          <w:szCs w:val="24"/>
          <w:lang w:val="en-US" w:eastAsia="zh-CN" w:bidi="ar"/>
        </w:rPr>
        <w:t>资产后续管护及运营情况</w:t>
      </w:r>
    </w:p>
    <w:p w14:paraId="139206A5">
      <w:pPr>
        <w:keepNext w:val="0"/>
        <w:keepLines w:val="0"/>
        <w:pageBreakBefore w:val="0"/>
        <w:widowControl/>
        <w:numPr>
          <w:ilvl w:val="0"/>
          <w:numId w:val="0"/>
        </w:numPr>
        <w:suppressLineNumbers w:val="0"/>
        <w:kinsoku/>
        <w:wordWrap/>
        <w:topLinePunct w:val="0"/>
        <w:bidi w:val="0"/>
        <w:spacing w:line="576" w:lineRule="exact"/>
        <w:ind w:firstLine="640" w:firstLineChars="200"/>
        <w:jc w:val="left"/>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该项目后期会建立后续管护机制,确保该项目稳定良好运行,为巩固拓展脱贫攻坚成果,全面实施乡村振兴提供更好保障。</w:t>
      </w:r>
    </w:p>
    <w:tbl>
      <w:tblPr>
        <w:tblStyle w:val="17"/>
        <w:tblW w:w="9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2"/>
        <w:gridCol w:w="789"/>
        <w:gridCol w:w="1037"/>
        <w:gridCol w:w="549"/>
        <w:gridCol w:w="717"/>
        <w:gridCol w:w="1171"/>
        <w:gridCol w:w="621"/>
        <w:gridCol w:w="575"/>
        <w:gridCol w:w="775"/>
        <w:gridCol w:w="1139"/>
        <w:gridCol w:w="863"/>
      </w:tblGrid>
      <w:tr w14:paraId="2DBDC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1" w:hRule="atLeast"/>
          <w:jc w:val="center"/>
        </w:trPr>
        <w:tc>
          <w:tcPr>
            <w:tcW w:w="982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47EC053">
            <w:pPr>
              <w:keepNext w:val="0"/>
              <w:keepLines w:val="0"/>
              <w:pageBreakBefore w:val="0"/>
              <w:widowControl/>
              <w:suppressLineNumbers w:val="0"/>
              <w:kinsoku/>
              <w:wordWrap/>
              <w:topLinePunct w:val="0"/>
              <w:bidi w:val="0"/>
              <w:spacing w:line="576"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（2023年度）</w:t>
            </w:r>
          </w:p>
        </w:tc>
      </w:tr>
      <w:tr w14:paraId="3F50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jc w:val="center"/>
        </w:trPr>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555D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55C9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热多村水源地及饮水管网提升改造项目</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D68B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项目负责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人及电话</w:t>
            </w:r>
          </w:p>
        </w:tc>
        <w:tc>
          <w:tcPr>
            <w:tcW w:w="3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185C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曹俊</w:t>
            </w:r>
          </w:p>
        </w:tc>
      </w:tr>
      <w:tr w14:paraId="250D5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460C0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7CA3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水务局</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1B6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实施单位</w:t>
            </w:r>
          </w:p>
        </w:tc>
        <w:tc>
          <w:tcPr>
            <w:tcW w:w="3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60C73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邛溪镇人民政府</w:t>
            </w:r>
          </w:p>
        </w:tc>
      </w:tr>
      <w:tr w14:paraId="15DC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6" w:hRule="atLeast"/>
          <w:jc w:val="center"/>
        </w:trPr>
        <w:tc>
          <w:tcPr>
            <w:tcW w:w="217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E7D0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CE3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CA19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w:t>
            </w:r>
          </w:p>
        </w:tc>
        <w:tc>
          <w:tcPr>
            <w:tcW w:w="24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40F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全年执行数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249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7A5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A25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3CD24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2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41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2D1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年度资金总额∶</w:t>
            </w: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D65B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4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3815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49.04902</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7FD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58D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36B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45326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6" w:hRule="atLeast"/>
          <w:jc w:val="center"/>
        </w:trPr>
        <w:tc>
          <w:tcPr>
            <w:tcW w:w="2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9FC0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132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其中∶本年财政拨款</w:t>
            </w: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AB0E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4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D9F4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49.04902</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3CD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713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637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277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6" w:hRule="atLeast"/>
          <w:jc w:val="center"/>
        </w:trPr>
        <w:tc>
          <w:tcPr>
            <w:tcW w:w="2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DE34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9E6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4EB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4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216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9E1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3FF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7A8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E545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7023F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39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13124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年初设定目标</w:t>
            </w:r>
          </w:p>
        </w:tc>
        <w:tc>
          <w:tcPr>
            <w:tcW w:w="52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5E831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7771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6492C0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39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CF73A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一是新建村内给水检查井四座（包含老管网开关维护）；二是新建一座二级水源沉沙池，用于更好的净化水质；三是原有的一级沉沙池提升改造、清淤；四是对原有的管网进行维护</w:t>
            </w:r>
          </w:p>
        </w:tc>
        <w:tc>
          <w:tcPr>
            <w:tcW w:w="52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A4BDE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一是新建村内给水检查井四座（包含老管网开关维护）；二是新建一座二级水源沉沙池，用于更好的净化水质；三是原有的一级沉沙池提升改造、清淤；四是对原有的管网进行维护</w:t>
            </w:r>
          </w:p>
        </w:tc>
      </w:tr>
      <w:tr w14:paraId="7DEC2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jc w:val="center"/>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E26D8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A5B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B71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C46F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D8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1B6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年度指标值</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FF14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全年实际值</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31C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332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未完成原因及拟采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取的改进措施</w:t>
            </w:r>
          </w:p>
        </w:tc>
      </w:tr>
      <w:tr w14:paraId="033B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F7BEA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D0361C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产出指标（50分）</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872C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1928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新建或改善饮水设施数量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81B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A41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≥1处</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F6D1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≥1处</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C5A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BA0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639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4061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26202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4CF6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F730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5D0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360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C9B7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1F3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0AB0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BF0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5FEAE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A5F933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77D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70E5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项目（工程）验收合格率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718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B1B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6CCB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477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68C2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636D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89578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EF023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A8B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6F22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项目（工程）完成及时率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795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341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BCEF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09A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FFDD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49C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B463D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8FC6C2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696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7EE3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08B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C0C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1E60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D4C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4A7C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310E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6348DD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F3A410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B58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6432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B9E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D06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90A0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34F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91B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175D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FCE8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6F63D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效益指标（30分）</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A540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1B93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18F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759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82F2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B53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8FB1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E34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3038C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94E9A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2E22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1D80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500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F9A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8F43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24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9355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8F1F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351BA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6795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restart"/>
            <w:tcBorders>
              <w:top w:val="single" w:color="000000" w:sz="4" w:space="0"/>
              <w:left w:val="single" w:color="000000" w:sz="4" w:space="0"/>
              <w:bottom w:val="nil"/>
              <w:right w:val="single" w:color="000000" w:sz="4" w:space="0"/>
            </w:tcBorders>
            <w:shd w:val="clear" w:color="auto" w:fill="auto"/>
            <w:vAlign w:val="center"/>
          </w:tcPr>
          <w:p w14:paraId="7134059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E61A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EF8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2A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C1E2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4D2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C025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F138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CA405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5348B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nil"/>
              <w:right w:val="single" w:color="000000" w:sz="4" w:space="0"/>
            </w:tcBorders>
            <w:shd w:val="clear" w:color="auto" w:fill="auto"/>
            <w:vAlign w:val="center"/>
          </w:tcPr>
          <w:p w14:paraId="70BC4BC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646CF">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受益农户人口数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689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2C3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≥500人</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B52D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≥500人</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DF0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14DA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52EC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7FC8B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94C76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AAAA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8A4B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640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43C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61F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0DD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6A37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4FA0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444EA6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ED09F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F5CC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4D82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5AA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BBD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8279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ACD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0CBD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78DB8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763E96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85182D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CE79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DEC15">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基础设施持续使用年限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426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2EF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≥20年</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E333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131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6325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4EE0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DE3C5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662FF7">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35AA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E889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560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886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8E24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C16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B63B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6D6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362929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AA9EA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7B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C7C3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11BC">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7EC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DB64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69C5">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53F5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7E6F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7B63F2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524C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满意度指标(10分）</w:t>
            </w:r>
          </w:p>
        </w:tc>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B857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03CA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受益人口满意度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09A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E6C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1A61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EA4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DD08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2366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05B01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C0F2F">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E618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D9AF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64C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39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7554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8C64">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3D460">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6017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7BA7A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7608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29A8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C10D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8BE8">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3B31">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AA30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7959">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7405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3E37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2D7A1E">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F00D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C62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8F06B">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C123">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933D">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1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5BE5A">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8BE6">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A0792">
            <w:pPr>
              <w:pageBreakBefore w:val="0"/>
              <w:kinsoku/>
              <w:wordWrap/>
              <w:topLinePunct w:val="0"/>
              <w:bidi w:val="0"/>
              <w:spacing w:line="576" w:lineRule="exact"/>
              <w:jc w:val="center"/>
              <w:rPr>
                <w:rFonts w:hint="eastAsia" w:ascii="宋体" w:hAnsi="宋体" w:eastAsia="宋体" w:cs="宋体"/>
                <w:i w:val="0"/>
                <w:iCs w:val="0"/>
                <w:color w:val="000000"/>
                <w:sz w:val="22"/>
                <w:szCs w:val="22"/>
                <w:u w:val="none"/>
              </w:rPr>
            </w:pPr>
          </w:p>
        </w:tc>
      </w:tr>
      <w:tr w14:paraId="09C7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76A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A08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BDDB">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29F8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5332">
            <w:pPr>
              <w:pageBreakBefore w:val="0"/>
              <w:kinsoku/>
              <w:wordWrap/>
              <w:topLinePunct w:val="0"/>
              <w:bidi w:val="0"/>
              <w:spacing w:line="576" w:lineRule="exact"/>
              <w:jc w:val="center"/>
              <w:rPr>
                <w:rFonts w:hint="eastAsia" w:ascii="宋体" w:hAnsi="宋体" w:eastAsia="宋体" w:cs="宋体"/>
                <w:b/>
                <w:bCs/>
                <w:i w:val="0"/>
                <w:iCs w:val="0"/>
                <w:color w:val="000000"/>
                <w:sz w:val="22"/>
                <w:szCs w:val="22"/>
                <w:u w:val="none"/>
              </w:rPr>
            </w:pPr>
          </w:p>
        </w:tc>
      </w:tr>
    </w:tbl>
    <w:p w14:paraId="74DFBFC1">
      <w:pPr>
        <w:pStyle w:val="6"/>
        <w:pageBreakBefore w:val="0"/>
        <w:kinsoku/>
        <w:wordWrap/>
        <w:topLinePunct w:val="0"/>
        <w:bidi w:val="0"/>
        <w:spacing w:line="576" w:lineRule="exact"/>
        <w:rPr>
          <w:rFonts w:hint="eastAsia" w:ascii="仿宋_GB2312" w:hAnsi="宋体" w:eastAsia="仿宋_GB2312" w:cs="仿宋_GB2312"/>
          <w:kern w:val="2"/>
          <w:sz w:val="32"/>
          <w:szCs w:val="24"/>
          <w:lang w:val="en-US" w:eastAsia="zh-CN" w:bidi="ar"/>
        </w:rPr>
      </w:pPr>
    </w:p>
    <w:p w14:paraId="2115ED3B">
      <w:pPr>
        <w:pStyle w:val="2"/>
        <w:pageBreakBefore w:val="0"/>
        <w:kinsoku/>
        <w:wordWrap/>
        <w:overflowPunct/>
        <w:topLinePunct w:val="0"/>
        <w:bidi w:val="0"/>
        <w:spacing w:line="576" w:lineRule="exact"/>
        <w:jc w:val="center"/>
        <w:textAlignment w:val="auto"/>
        <w:rPr>
          <w:rFonts w:ascii="黑体" w:hAnsi="黑体" w:eastAsia="黑体"/>
        </w:rPr>
      </w:pPr>
      <w:r>
        <w:rPr>
          <w:rFonts w:hint="eastAsia" w:ascii="黑体" w:hAnsi="黑体" w:eastAsia="黑体"/>
        </w:rPr>
        <w:t>第五部分 附表</w:t>
      </w:r>
    </w:p>
    <w:p w14:paraId="165D0723">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一、收入支出决算总表</w:t>
      </w:r>
    </w:p>
    <w:p w14:paraId="40E74CD0">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二、收入决算表</w:t>
      </w:r>
    </w:p>
    <w:p w14:paraId="49AEC6D0">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三、支出决算表</w:t>
      </w:r>
    </w:p>
    <w:p w14:paraId="7C4E3146">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四、财政拨款收入支出决算总表</w:t>
      </w:r>
    </w:p>
    <w:p w14:paraId="11AA0495">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五、财政拨款支出决算明细表</w:t>
      </w:r>
    </w:p>
    <w:p w14:paraId="19447A87">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六、一般公共预算财政拨款支出决算表</w:t>
      </w:r>
    </w:p>
    <w:p w14:paraId="7062547D">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七、一般公共预算财政拨款支出决算明细表</w:t>
      </w:r>
    </w:p>
    <w:p w14:paraId="6F62472E">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八、一般公共预算财政拨款基本支出决算表</w:t>
      </w:r>
    </w:p>
    <w:p w14:paraId="69001F3F">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九、一般公共预算财政拨款项目支出决算表</w:t>
      </w:r>
    </w:p>
    <w:p w14:paraId="66F67854">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十、政府性基金预算财政拨款收入支出决算表</w:t>
      </w:r>
    </w:p>
    <w:p w14:paraId="0A56FCA8">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十一、国有资本经营预算财政拨款收入支出决算表</w:t>
      </w:r>
    </w:p>
    <w:p w14:paraId="57FB2388">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十二、国有资本经营预算财政拨款支出决算表</w:t>
      </w:r>
    </w:p>
    <w:p w14:paraId="5CF09018">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E8A9CC6">
        <w:pPr>
          <w:pStyle w:val="12"/>
          <w:jc w:val="center"/>
        </w:pPr>
        <w:r>
          <w:fldChar w:fldCharType="begin"/>
        </w:r>
        <w:r>
          <w:instrText xml:space="preserve">PAGE   \* MERGEFORMAT</w:instrText>
        </w:r>
        <w:r>
          <w:fldChar w:fldCharType="separate"/>
        </w:r>
        <w:r>
          <w:rPr>
            <w:lang w:val="zh-CN"/>
          </w:rPr>
          <w:t>23</w:t>
        </w:r>
        <w:r>
          <w:fldChar w:fldCharType="end"/>
        </w:r>
      </w:p>
    </w:sdtContent>
  </w:sdt>
  <w:p w14:paraId="0A446EA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DC7BE">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11348"/>
    <w:multiLevelType w:val="singleLevel"/>
    <w:tmpl w:val="86411348"/>
    <w:lvl w:ilvl="0" w:tentative="0">
      <w:start w:val="2"/>
      <w:numFmt w:val="chineseCounting"/>
      <w:suff w:val="nothing"/>
      <w:lvlText w:val="（%1）"/>
      <w:lvlJc w:val="left"/>
      <w:rPr>
        <w:rFonts w:hint="eastAsia"/>
      </w:rPr>
    </w:lvl>
  </w:abstractNum>
  <w:abstractNum w:abstractNumId="1">
    <w:nsid w:val="A85C84E4"/>
    <w:multiLevelType w:val="singleLevel"/>
    <w:tmpl w:val="A85C84E4"/>
    <w:lvl w:ilvl="0" w:tentative="0">
      <w:start w:val="1"/>
      <w:numFmt w:val="chineseCounting"/>
      <w:suff w:val="nothing"/>
      <w:lvlText w:val="（%1）"/>
      <w:lvlJc w:val="left"/>
      <w:rPr>
        <w:rFonts w:hint="eastAsia"/>
      </w:rPr>
    </w:lvl>
  </w:abstractNum>
  <w:abstractNum w:abstractNumId="2">
    <w:nsid w:val="BE2DB774"/>
    <w:multiLevelType w:val="singleLevel"/>
    <w:tmpl w:val="BE2DB774"/>
    <w:lvl w:ilvl="0" w:tentative="0">
      <w:start w:val="3"/>
      <w:numFmt w:val="decimal"/>
      <w:lvlText w:val="%1."/>
      <w:lvlJc w:val="left"/>
      <w:pPr>
        <w:tabs>
          <w:tab w:val="left" w:pos="312"/>
        </w:tabs>
      </w:p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A6BF829"/>
    <w:multiLevelType w:val="singleLevel"/>
    <w:tmpl w:val="4A6BF829"/>
    <w:lvl w:ilvl="0" w:tentative="0">
      <w:start w:val="2"/>
      <w:numFmt w:val="chineseCounting"/>
      <w:suff w:val="nothing"/>
      <w:lvlText w:val="%1、"/>
      <w:lvlJc w:val="left"/>
      <w:rPr>
        <w:rFonts w:hint="eastAsia"/>
      </w:rPr>
    </w:lvl>
  </w:abstractNum>
  <w:abstractNum w:abstractNumId="7">
    <w:nsid w:val="4D9AF260"/>
    <w:multiLevelType w:val="singleLevel"/>
    <w:tmpl w:val="4D9AF260"/>
    <w:lvl w:ilvl="0" w:tentative="0">
      <w:start w:val="1"/>
      <w:numFmt w:val="chineseCounting"/>
      <w:suff w:val="nothing"/>
      <w:lvlText w:val="（%1）"/>
      <w:lvlJc w:val="left"/>
      <w:rPr>
        <w:rFonts w:hint="eastAsia"/>
        <w:lang w:val="en-US"/>
      </w:rPr>
    </w:lvl>
  </w:abstractNum>
  <w:num w:numId="1">
    <w:abstractNumId w:val="5"/>
  </w:num>
  <w:num w:numId="2">
    <w:abstractNumId w:val="2"/>
  </w:num>
  <w:num w:numId="3">
    <w:abstractNumId w:val="3"/>
  </w:num>
  <w:num w:numId="4">
    <w:abstractNumId w:val="4"/>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hMGYzZTkwOTIyMGY0Zjc0ZGE5OTMxYmJjYTJkMDg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54F2E"/>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C3F19"/>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7ED1F5"/>
    <w:rsid w:val="0F98263C"/>
    <w:rsid w:val="101860EC"/>
    <w:rsid w:val="10C055FF"/>
    <w:rsid w:val="11036B00"/>
    <w:rsid w:val="118107EC"/>
    <w:rsid w:val="13D50BC4"/>
    <w:rsid w:val="13F5616D"/>
    <w:rsid w:val="16BB723D"/>
    <w:rsid w:val="17F9714D"/>
    <w:rsid w:val="1918F934"/>
    <w:rsid w:val="1BE8440E"/>
    <w:rsid w:val="1D155CEE"/>
    <w:rsid w:val="1DFBC4B3"/>
    <w:rsid w:val="1E740ACF"/>
    <w:rsid w:val="1F19C781"/>
    <w:rsid w:val="1F33FCE5"/>
    <w:rsid w:val="1F7F7398"/>
    <w:rsid w:val="1FD2DB6F"/>
    <w:rsid w:val="1FF35744"/>
    <w:rsid w:val="1FF6BC77"/>
    <w:rsid w:val="1FF9236D"/>
    <w:rsid w:val="22CA0D75"/>
    <w:rsid w:val="2333840E"/>
    <w:rsid w:val="23860B96"/>
    <w:rsid w:val="240371BF"/>
    <w:rsid w:val="257C638F"/>
    <w:rsid w:val="29FD04D3"/>
    <w:rsid w:val="2BFF7BC6"/>
    <w:rsid w:val="2C8A61B5"/>
    <w:rsid w:val="2C97491C"/>
    <w:rsid w:val="2CD59C95"/>
    <w:rsid w:val="2DF04E50"/>
    <w:rsid w:val="2EFD05E5"/>
    <w:rsid w:val="2F040D46"/>
    <w:rsid w:val="2F4F95CE"/>
    <w:rsid w:val="2FACAFDD"/>
    <w:rsid w:val="2FAE5751"/>
    <w:rsid w:val="2FB1A395"/>
    <w:rsid w:val="2FCF0B76"/>
    <w:rsid w:val="2FD9A7D8"/>
    <w:rsid w:val="319F7F4E"/>
    <w:rsid w:val="3304709D"/>
    <w:rsid w:val="36AA5135"/>
    <w:rsid w:val="36BE0DA7"/>
    <w:rsid w:val="376B6AA6"/>
    <w:rsid w:val="376D39B2"/>
    <w:rsid w:val="37E16F03"/>
    <w:rsid w:val="37F53A3B"/>
    <w:rsid w:val="386C32DC"/>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ECCB02"/>
    <w:rsid w:val="47FA6A3F"/>
    <w:rsid w:val="493F1473"/>
    <w:rsid w:val="49D7AE48"/>
    <w:rsid w:val="4A3F6C7E"/>
    <w:rsid w:val="4A627F82"/>
    <w:rsid w:val="4B0E749A"/>
    <w:rsid w:val="4B4F25DA"/>
    <w:rsid w:val="4BBB4781"/>
    <w:rsid w:val="4BD709A5"/>
    <w:rsid w:val="4BDD9BFF"/>
    <w:rsid w:val="4BE068DB"/>
    <w:rsid w:val="4CE865CF"/>
    <w:rsid w:val="4D577224"/>
    <w:rsid w:val="4DBF1CEB"/>
    <w:rsid w:val="4DBF6A6B"/>
    <w:rsid w:val="4DF6A672"/>
    <w:rsid w:val="4EAB630A"/>
    <w:rsid w:val="4ECE2238"/>
    <w:rsid w:val="4F7EA413"/>
    <w:rsid w:val="4F8357D5"/>
    <w:rsid w:val="4FAB812F"/>
    <w:rsid w:val="4FE9BD67"/>
    <w:rsid w:val="4FEE4C07"/>
    <w:rsid w:val="4FFB052F"/>
    <w:rsid w:val="537E6D0A"/>
    <w:rsid w:val="538C5530"/>
    <w:rsid w:val="53AB6B88"/>
    <w:rsid w:val="53F74C96"/>
    <w:rsid w:val="5583522D"/>
    <w:rsid w:val="57BD3DD4"/>
    <w:rsid w:val="57F9CD1E"/>
    <w:rsid w:val="586E1C2E"/>
    <w:rsid w:val="5AF92295"/>
    <w:rsid w:val="5AF9D8E9"/>
    <w:rsid w:val="5BDD38BD"/>
    <w:rsid w:val="5BDD79E6"/>
    <w:rsid w:val="5BEFC772"/>
    <w:rsid w:val="5BFF5DFC"/>
    <w:rsid w:val="5CD71FC4"/>
    <w:rsid w:val="5D1F11B5"/>
    <w:rsid w:val="5D3647F9"/>
    <w:rsid w:val="5D736CED"/>
    <w:rsid w:val="5DA644D4"/>
    <w:rsid w:val="5DAE1B18"/>
    <w:rsid w:val="5DE7D9E5"/>
    <w:rsid w:val="5E96232F"/>
    <w:rsid w:val="5ECEC941"/>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7D55B77"/>
    <w:rsid w:val="67EE7F84"/>
    <w:rsid w:val="686F5F53"/>
    <w:rsid w:val="6AFFCEAF"/>
    <w:rsid w:val="6B8B5812"/>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cs="黑体"/>
    </w:rPr>
  </w:style>
  <w:style w:type="paragraph" w:styleId="6">
    <w:name w:val="toa heading"/>
    <w:basedOn w:val="1"/>
    <w:next w:val="1"/>
    <w:unhideWhenUsed/>
    <w:qFormat/>
    <w:uiPriority w:val="0"/>
    <w:pPr>
      <w:spacing w:before="120"/>
    </w:pPr>
    <w:rPr>
      <w:rFonts w:ascii="Arial" w:hAnsi="Arial" w:cs="Arial"/>
      <w:sz w:val="24"/>
      <w:szCs w:val="24"/>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next w:val="1"/>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next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2"/>
    <w:qFormat/>
    <w:uiPriority w:val="9"/>
    <w:rPr>
      <w:rFonts w:ascii="Times New Roman" w:hAnsi="Times New Roman"/>
      <w:b/>
      <w:bCs/>
      <w:kern w:val="44"/>
      <w:sz w:val="44"/>
      <w:szCs w:val="44"/>
    </w:rPr>
  </w:style>
  <w:style w:type="character" w:customStyle="1" w:styleId="31">
    <w:name w:val="标题 2 Char"/>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普通(网站) Char"/>
    <w:basedOn w:val="1"/>
    <w:qFormat/>
    <w:uiPriority w:val="0"/>
    <w:pPr>
      <w:spacing w:beforeAutospacing="1" w:afterAutospacing="1"/>
    </w:pPr>
    <w:rPr>
      <w:rFonts w:hint="eastAsia" w:ascii="宋体" w:hAnsi="宋体" w:eastAsia="宋体"/>
    </w:rPr>
  </w:style>
  <w:style w:type="character" w:customStyle="1" w:styleId="38">
    <w:name w:val="标题 2 字符"/>
    <w:basedOn w:val="18"/>
    <w:link w:val="3"/>
    <w:qFormat/>
    <w:uiPriority w:val="9"/>
    <w:rPr>
      <w:rFonts w:asciiTheme="majorHAnsi" w:hAnsiTheme="majorHAnsi" w:eastAsiaTheme="majorEastAsia" w:cstheme="majorBidi"/>
      <w:b/>
      <w:bCs/>
      <w:kern w:val="2"/>
      <w:sz w:val="32"/>
      <w:szCs w:val="32"/>
    </w:rPr>
  </w:style>
  <w:style w:type="character" w:customStyle="1" w:styleId="39">
    <w:name w:val="font21"/>
    <w:basedOn w:val="18"/>
    <w:qFormat/>
    <w:uiPriority w:val="0"/>
    <w:rPr>
      <w:rFonts w:hint="eastAsia" w:ascii="方正小标宋简体" w:hAnsi="方正小标宋简体" w:eastAsia="方正小标宋简体" w:cs="方正小标宋简体"/>
      <w:color w:val="000000"/>
      <w:sz w:val="36"/>
      <w:szCs w:val="36"/>
      <w:u w:val="none"/>
    </w:rPr>
  </w:style>
  <w:style w:type="character" w:customStyle="1" w:styleId="40">
    <w:name w:val="font31"/>
    <w:basedOn w:val="18"/>
    <w:qFormat/>
    <w:uiPriority w:val="0"/>
    <w:rPr>
      <w:rFonts w:hint="eastAsia" w:ascii="方正小标宋简体" w:hAnsi="方正小标宋简体" w:eastAsia="方正小标宋简体" w:cs="方正小标宋简体"/>
      <w:color w:val="000000"/>
      <w:sz w:val="44"/>
      <w:szCs w:val="44"/>
      <w:u w:val="none"/>
    </w:rPr>
  </w:style>
  <w:style w:type="character" w:customStyle="1" w:styleId="41">
    <w:name w:val="font51"/>
    <w:basedOn w:val="18"/>
    <w:qFormat/>
    <w:uiPriority w:val="0"/>
    <w:rPr>
      <w:rFonts w:hint="eastAsia" w:ascii="宋体" w:hAnsi="宋体" w:eastAsia="宋体" w:cs="宋体"/>
      <w:color w:val="000000"/>
      <w:sz w:val="28"/>
      <w:szCs w:val="28"/>
      <w:u w:val="none"/>
    </w:rPr>
  </w:style>
  <w:style w:type="character" w:customStyle="1" w:styleId="42">
    <w:name w:val="font41"/>
    <w:basedOn w:val="18"/>
    <w:uiPriority w:val="0"/>
    <w:rPr>
      <w:rFonts w:hint="eastAsia" w:ascii="方正小标宋简体" w:hAnsi="方正小标宋简体" w:eastAsia="方正小标宋简体" w:cs="方正小标宋简体"/>
      <w:color w:val="000000"/>
      <w:sz w:val="44"/>
      <w:szCs w:val="44"/>
      <w:u w:val="none"/>
    </w:rPr>
  </w:style>
  <w:style w:type="character" w:customStyle="1" w:styleId="43">
    <w:name w:val="font61"/>
    <w:basedOn w:val="18"/>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2022年、2023年收支对比</a:t>
            </a:r>
          </a:p>
        </c:rich>
      </c:tx>
      <c:layout>
        <c:manualLayout>
          <c:xMode val="edge"/>
          <c:yMode val="edge"/>
          <c:x val="0.287291694892291"/>
          <c:y val="0.027002700270027"/>
        </c:manualLayout>
      </c:layout>
      <c:overlay val="0"/>
      <c:spPr>
        <a:noFill/>
        <a:ln>
          <a:noFill/>
        </a:ln>
        <a:effectLst/>
      </c:spPr>
    </c:title>
    <c:autoTitleDeleted val="0"/>
    <c:plotArea>
      <c:layout>
        <c:manualLayout>
          <c:layoutTarget val="inner"/>
          <c:xMode val="edge"/>
          <c:yMode val="edge"/>
          <c:x val="0.0758162850562255"/>
          <c:y val="0.19036402640264"/>
          <c:w val="0.927925"/>
          <c:h val="0.716566666666667"/>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2009.96</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1739.6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Sheet1!$A$2:$A$3</c:f>
              <c:strCache>
                <c:ptCount val="2"/>
                <c:pt idx="0">
                  <c:v>2022年</c:v>
                </c:pt>
                <c:pt idx="1">
                  <c:v>2023年</c:v>
                </c:pt>
              </c:strCache>
            </c:strRef>
          </c:cat>
          <c:val>
            <c:numRef>
              <c:f>Sheet1!$B$2:$B$3</c:f>
              <c:numCache>
                <c:formatCode>General</c:formatCode>
                <c:ptCount val="2"/>
                <c:pt idx="0">
                  <c:v>2009.96</c:v>
                </c:pt>
                <c:pt idx="1">
                  <c:v>1739.6</c:v>
                </c:pt>
              </c:numCache>
            </c:numRef>
          </c:val>
        </c:ser>
        <c:ser>
          <c:idx val="1"/>
          <c:order val="1"/>
          <c:tx>
            <c:strRef>
              <c:f>Sheet1!$C$1</c:f>
              <c:strCache>
                <c:ptCount val="1"/>
                <c:pt idx="0">
                  <c:v>收入</c:v>
                </c:pt>
              </c:strCache>
            </c:strRef>
          </c:tx>
          <c:spPr>
            <a:solidFill>
              <a:schemeClr val="accent2"/>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1739.6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Sheet1!$A$2:$A$3</c:f>
              <c:strCache>
                <c:ptCount val="2"/>
                <c:pt idx="0">
                  <c:v>2022年</c:v>
                </c:pt>
                <c:pt idx="1">
                  <c:v>2023年</c:v>
                </c:pt>
              </c:strCache>
            </c:strRef>
          </c:cat>
          <c:val>
            <c:numRef>
              <c:f>Sheet1!$C$2:$C$3</c:f>
              <c:numCache>
                <c:formatCode>General</c:formatCode>
                <c:ptCount val="2"/>
                <c:pt idx="0">
                  <c:v>2009.96</c:v>
                </c:pt>
                <c:pt idx="1">
                  <c:v>1739.6</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133179264"/>
        <c:axId val="133205376"/>
      </c:barChart>
      <c:catAx>
        <c:axId val="1331792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205376"/>
        <c:crosses val="autoZero"/>
        <c:auto val="1"/>
        <c:lblAlgn val="ctr"/>
        <c:lblOffset val="100"/>
        <c:noMultiLvlLbl val="0"/>
      </c:catAx>
      <c:valAx>
        <c:axId val="1332053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17926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c5119e7-66da-43c1-9ea3-3c36cf8088a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各类收入占比</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1056.54</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683.06</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1056.54</c:v>
                </c:pt>
                <c:pt idx="1">
                  <c:v>683.06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6af503c1-ff5c-4f6a-b5d9-422ec8310fe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各类支出占比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1739.6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428.98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1739.6</c:v>
                </c:pt>
                <c:pt idx="1">
                  <c:v>438.98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4949925e-0529-43fd-9988-8491492a48c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2022年</c:v>
                </c:pt>
                <c:pt idx="1">
                  <c:v>2023年</c:v>
                </c:pt>
              </c:strCache>
            </c:strRef>
          </c:cat>
          <c:val>
            <c:numRef>
              <c:f>Sheet1!$B$2:$B$3</c:f>
              <c:numCache>
                <c:formatCode>General</c:formatCode>
                <c:ptCount val="2"/>
                <c:pt idx="0">
                  <c:v>1976.46</c:v>
                </c:pt>
                <c:pt idx="1">
                  <c:v>1739.6</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1790.93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2022年</c:v>
                </c:pt>
                <c:pt idx="1">
                  <c:v>2023年</c:v>
                </c:pt>
              </c:strCache>
            </c:strRef>
          </c:cat>
          <c:val>
            <c:numRef>
              <c:f>Sheet1!$C$2:$C$3</c:f>
              <c:numCache>
                <c:formatCode>General</c:formatCode>
                <c:ptCount val="2"/>
                <c:pt idx="0">
                  <c:v>1976.46</c:v>
                </c:pt>
                <c:pt idx="1">
                  <c:v>1739.6</c:v>
                </c:pt>
              </c:numCache>
            </c:numRef>
          </c:val>
        </c:ser>
        <c:dLbls>
          <c:showLegendKey val="0"/>
          <c:showVal val="1"/>
          <c:showCatName val="0"/>
          <c:showSerName val="0"/>
          <c:showPercent val="0"/>
          <c:showBubbleSize val="0"/>
        </c:dLbls>
        <c:gapWidth val="219"/>
        <c:overlap val="-27"/>
        <c:axId val="157756032"/>
        <c:axId val="157762304"/>
      </c:barChart>
      <c:catAx>
        <c:axId val="1577560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762304"/>
        <c:crosses val="autoZero"/>
        <c:auto val="1"/>
        <c:lblAlgn val="ctr"/>
        <c:lblOffset val="100"/>
        <c:noMultiLvlLbl val="0"/>
      </c:catAx>
      <c:valAx>
        <c:axId val="1577623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7560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294994-930b-41c5-a65e-4af5e575eb0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03350031696489"/>
          <c:y val="0.235429688821111"/>
          <c:w val="0.925848765432099"/>
          <c:h val="0.580202419155764"/>
        </c:manualLayout>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c:f>
              <c:strCache>
                <c:ptCount val="1"/>
                <c:pt idx="0">
                  <c:v>支出</c:v>
                </c:pt>
              </c:strCache>
            </c:strRef>
          </c:cat>
          <c:val>
            <c:numRef>
              <c:f>Sheet1!$B$2</c:f>
              <c:numCache>
                <c:formatCode>General</c:formatCode>
                <c:ptCount val="1"/>
                <c:pt idx="0">
                  <c:v>1976.46</c:v>
                </c:pt>
              </c:numCache>
            </c:numRef>
          </c:val>
        </c:ser>
        <c:ser>
          <c:idx val="1"/>
          <c:order val="1"/>
          <c:tx>
            <c:strRef>
              <c:f>Sheet1!$C$1</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c:f>
              <c:strCache>
                <c:ptCount val="1"/>
                <c:pt idx="0">
                  <c:v>支出</c:v>
                </c:pt>
              </c:strCache>
            </c:strRef>
          </c:cat>
          <c:val>
            <c:numRef>
              <c:f>Sheet1!$C$2</c:f>
              <c:numCache>
                <c:formatCode>General</c:formatCode>
                <c:ptCount val="1"/>
                <c:pt idx="0">
                  <c:v>1739.6</c:v>
                </c:pt>
              </c:numCache>
            </c:numRef>
          </c:val>
        </c:ser>
        <c:dLbls>
          <c:showLegendKey val="0"/>
          <c:showVal val="1"/>
          <c:showCatName val="0"/>
          <c:showSerName val="0"/>
          <c:showPercent val="0"/>
          <c:showBubbleSize val="0"/>
        </c:dLbls>
        <c:gapWidth val="219"/>
        <c:overlap val="-27"/>
        <c:axId val="158072832"/>
        <c:axId val="158074368"/>
      </c:barChart>
      <c:catAx>
        <c:axId val="1580728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074368"/>
        <c:crosses val="autoZero"/>
        <c:auto val="1"/>
        <c:lblAlgn val="ctr"/>
        <c:lblOffset val="100"/>
        <c:noMultiLvlLbl val="0"/>
      </c:catAx>
      <c:valAx>
        <c:axId val="158074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072832"/>
        <c:crosses val="autoZero"/>
        <c:crossBetween val="between"/>
      </c:valAx>
      <c:spPr>
        <a:noFill/>
        <a:ln>
          <a:noFill/>
        </a:ln>
        <a:effectLst/>
      </c:spPr>
    </c:plotArea>
    <c:legend>
      <c:legendPos val="b"/>
      <c:layout>
        <c:manualLayout>
          <c:xMode val="edge"/>
          <c:yMode val="edge"/>
          <c:x val="0.352243424445591"/>
          <c:y val="0.846538187009279"/>
          <c:w val="0.352759154203198"/>
          <c:h val="0.11955745895788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212a18c-5b07-4952-8844-fc5adc3a13a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一般公共服务（类）</c:v>
                </c:pt>
                <c:pt idx="1">
                  <c:v>社会保障和就业（类）</c:v>
                </c:pt>
                <c:pt idx="2">
                  <c:v>卫生健康支出</c:v>
                </c:pt>
                <c:pt idx="3">
                  <c:v>住房保障支出</c:v>
                </c:pt>
                <c:pt idx="4">
                  <c:v>农林水支出</c:v>
                </c:pt>
              </c:strCache>
            </c:strRef>
          </c:cat>
          <c:val>
            <c:numRef>
              <c:f>Sheet1!$B$2:$B$6</c:f>
              <c:numCache>
                <c:formatCode>General</c:formatCode>
                <c:ptCount val="5"/>
                <c:pt idx="0">
                  <c:v>1056.54</c:v>
                </c:pt>
                <c:pt idx="1">
                  <c:v>148.06</c:v>
                </c:pt>
                <c:pt idx="2">
                  <c:v>63.3</c:v>
                </c:pt>
                <c:pt idx="3">
                  <c:v>82.53</c:v>
                </c:pt>
                <c:pt idx="4">
                  <c:v>378.71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3c4d6d8b-eaba-449c-a63c-6b28c70ffc55}"/>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公务用车运行维护费</c:v>
                </c:pt>
                <c:pt idx="1">
                  <c:v>公务接待费</c:v>
                </c:pt>
              </c:strCache>
            </c:strRef>
          </c:cat>
          <c:val>
            <c:numRef>
              <c:f>Sheet1!$B$2:$B$3</c:f>
              <c:numCache>
                <c:formatCode>0%</c:formatCode>
                <c:ptCount val="2"/>
                <c:pt idx="0">
                  <c:v>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37fc0a3f-c2a0-4b61-b193-413445d5bcd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71</Pages>
  <Words>14949</Words>
  <Characters>16245</Characters>
  <Lines>6</Lines>
  <Paragraphs>17</Paragraphs>
  <TotalTime>6</TotalTime>
  <ScaleCrop>false</ScaleCrop>
  <LinksUpToDate>false</LinksUpToDate>
  <CharactersWithSpaces>16322</CharactersWithSpaces>
  <Application>WPS Office_12.1.0.18608_F1E327BC-269C-435d-A152-05C5408002CA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2024-11-08T01:54:00Z</dcterms:created>
  <dc:creator>曹颖</dc:creator>
  <cp:lastModifiedBy>目纹</cp:lastModifiedBy>
  <cp:lastPrinted>2023-08-03T10:35:00Z</cp:lastPrinted>
  <dcterms:modified xsi:type="dcterms:W3CDTF">2024-11-19T06:36:54Z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13D0D8674043454C87F2A72793868A3C_13</vt:lpwstr>
  </property>
</Properties>
</file>