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55048E">
      <w:pPr>
        <w:spacing w:line="600" w:lineRule="exact"/>
        <w:jc w:val="left"/>
        <w:outlineLvl w:val="9"/>
        <w:rPr>
          <w:rFonts w:ascii="方正小标宋简体" w:hAnsi="宋体" w:eastAsia="方正小标宋简体"/>
          <w:szCs w:val="21"/>
        </w:rPr>
      </w:pPr>
      <w:bookmarkStart w:id="0" w:name="_Toc15306267"/>
    </w:p>
    <w:p w14:paraId="3DAD231F">
      <w:pPr>
        <w:pStyle w:val="5"/>
        <w:spacing w:before="93"/>
      </w:pPr>
    </w:p>
    <w:p w14:paraId="7E864962">
      <w:pPr>
        <w:pStyle w:val="5"/>
        <w:suppressAutoHyphens/>
        <w:bidi w:val="0"/>
        <w:spacing w:before="0" w:beforeLines="-2147483648" w:after="140" w:line="276" w:lineRule="auto"/>
        <w:jc w:val="center"/>
        <w:rPr>
          <w:rFonts w:hint="eastAsia" w:ascii="方正小标宋简体" w:hAnsi="宋体" w:eastAsia="方正小标宋简体" w:cs="Times New Roman"/>
          <w:color w:val="auto"/>
          <w:kern w:val="2"/>
          <w:sz w:val="72"/>
          <w:szCs w:val="72"/>
          <w:highlight w:val="none"/>
          <w:lang w:val="en-US" w:eastAsia="zh-CN" w:bidi="ar-SA"/>
        </w:rPr>
      </w:pPr>
      <w:bookmarkStart w:id="1" w:name="_Toc15377193"/>
      <w:bookmarkStart w:id="2" w:name="_Toc15396597"/>
      <w:bookmarkStart w:id="3" w:name="_Toc15378441"/>
      <w:bookmarkStart w:id="4" w:name="_Toc15396475"/>
      <w:bookmarkStart w:id="5" w:name="_Toc15377425"/>
      <w:r>
        <w:rPr>
          <w:rFonts w:hint="eastAsia" w:ascii="方正小标宋简体" w:hAnsi="宋体" w:eastAsia="方正小标宋简体" w:cs="Times New Roman"/>
          <w:color w:val="auto"/>
          <w:kern w:val="2"/>
          <w:sz w:val="72"/>
          <w:szCs w:val="72"/>
          <w:highlight w:val="none"/>
          <w:lang w:val="en-US" w:eastAsia="zh-CN" w:bidi="ar-SA"/>
        </w:rPr>
        <w:t>2023年度</w:t>
      </w:r>
      <w:bookmarkEnd w:id="1"/>
      <w:bookmarkEnd w:id="2"/>
      <w:bookmarkEnd w:id="3"/>
      <w:bookmarkEnd w:id="4"/>
      <w:bookmarkEnd w:id="5"/>
    </w:p>
    <w:p w14:paraId="1F3E6A86">
      <w:pPr>
        <w:pStyle w:val="5"/>
        <w:suppressAutoHyphens/>
        <w:bidi w:val="0"/>
        <w:spacing w:before="0" w:beforeLines="-2147483648" w:after="140" w:line="276" w:lineRule="auto"/>
        <w:jc w:val="center"/>
        <w:rPr>
          <w:rFonts w:hint="eastAsia" w:ascii="方正小标宋简体" w:hAnsi="宋体" w:eastAsia="方正小标宋简体" w:cs="Times New Roman"/>
          <w:color w:val="auto"/>
          <w:kern w:val="2"/>
          <w:sz w:val="72"/>
          <w:szCs w:val="72"/>
          <w:highlight w:val="none"/>
          <w:lang w:val="en-US" w:eastAsia="zh-CN" w:bidi="ar-SA"/>
        </w:rPr>
      </w:pPr>
      <w:bookmarkStart w:id="6" w:name="_Toc15396476"/>
      <w:bookmarkStart w:id="7" w:name="_Toc15377194"/>
      <w:bookmarkStart w:id="8" w:name="_Toc15396598"/>
      <w:bookmarkStart w:id="9" w:name="_Toc15378442"/>
      <w:bookmarkStart w:id="10" w:name="_Toc15377426"/>
      <w:r>
        <w:rPr>
          <w:rFonts w:hint="eastAsia" w:ascii="方正小标宋简体" w:hAnsi="宋体" w:eastAsia="方正小标宋简体" w:cs="Times New Roman"/>
          <w:color w:val="auto"/>
          <w:kern w:val="2"/>
          <w:sz w:val="72"/>
          <w:szCs w:val="72"/>
          <w:highlight w:val="none"/>
          <w:lang w:val="en-US" w:eastAsia="zh-CN" w:bidi="ar-SA"/>
        </w:rPr>
        <w:t>四川省</w:t>
      </w:r>
      <w:bookmarkEnd w:id="0"/>
      <w:bookmarkStart w:id="11" w:name="_Toc15306268"/>
      <w:r>
        <w:rPr>
          <w:rFonts w:hint="default" w:ascii="方正小标宋简体" w:hAnsi="宋体" w:eastAsia="方正小标宋简体" w:cs="Times New Roman"/>
          <w:color w:val="auto"/>
          <w:kern w:val="2"/>
          <w:sz w:val="72"/>
          <w:szCs w:val="72"/>
          <w:highlight w:val="none"/>
          <w:lang w:val="en-US" w:eastAsia="zh-CN" w:bidi="ar-SA"/>
        </w:rPr>
        <w:t>红原县卫生健康</w:t>
      </w:r>
      <w:bookmarkStart w:id="97" w:name="_GoBack"/>
      <w:bookmarkEnd w:id="97"/>
      <w:r>
        <w:rPr>
          <w:rFonts w:hint="default" w:ascii="方正小标宋简体" w:hAnsi="宋体" w:eastAsia="方正小标宋简体" w:cs="Times New Roman"/>
          <w:color w:val="auto"/>
          <w:kern w:val="2"/>
          <w:sz w:val="72"/>
          <w:szCs w:val="72"/>
          <w:highlight w:val="none"/>
          <w:lang w:val="en-US" w:eastAsia="zh-CN" w:bidi="ar-SA"/>
        </w:rPr>
        <w:t>局</w:t>
      </w:r>
      <w:r>
        <w:rPr>
          <w:rFonts w:hint="eastAsia" w:ascii="方正小标宋简体" w:hAnsi="宋体" w:eastAsia="方正小标宋简体" w:cs="Times New Roman"/>
          <w:color w:val="auto"/>
          <w:kern w:val="2"/>
          <w:sz w:val="72"/>
          <w:szCs w:val="72"/>
          <w:highlight w:val="none"/>
          <w:lang w:val="en-US" w:eastAsia="zh-CN" w:bidi="ar-SA"/>
        </w:rPr>
        <w:t>事业单位决算</w:t>
      </w:r>
      <w:bookmarkEnd w:id="6"/>
      <w:bookmarkEnd w:id="7"/>
      <w:bookmarkEnd w:id="8"/>
      <w:bookmarkEnd w:id="9"/>
      <w:bookmarkEnd w:id="10"/>
      <w:bookmarkEnd w:id="11"/>
    </w:p>
    <w:p w14:paraId="3AB1B177">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6F5CF171">
      <w:pPr>
        <w:widowControl/>
        <w:jc w:val="center"/>
        <w:rPr>
          <w:rFonts w:ascii="黑体" w:hAnsi="黑体" w:eastAsia="黑体" w:cstheme="minorBidi"/>
          <w:sz w:val="28"/>
          <w:szCs w:val="28"/>
        </w:rPr>
      </w:pPr>
    </w:p>
    <w:p w14:paraId="7C97D1E5">
      <w:pPr>
        <w:pStyle w:val="11"/>
      </w:pPr>
      <w:r>
        <w:rPr>
          <w:rFonts w:hint="eastAsia"/>
        </w:rPr>
        <w:t>公开时间：202</w:t>
      </w:r>
      <w:r>
        <w:rPr>
          <w:rFonts w:hint="eastAsia"/>
          <w:lang w:val="en-US" w:eastAsia="zh-CN"/>
        </w:rPr>
        <w:t>4</w:t>
      </w:r>
      <w:r>
        <w:rPr>
          <w:rFonts w:hint="eastAsia"/>
        </w:rPr>
        <w:t>年9月6日</w:t>
      </w:r>
    </w:p>
    <w:sdt>
      <w:sdtPr>
        <w:rPr>
          <w:rFonts w:ascii="宋体" w:hAnsi="宋体" w:eastAsia="宋体" w:cs="Times New Roman"/>
          <w:kern w:val="2"/>
          <w:sz w:val="21"/>
          <w:szCs w:val="24"/>
          <w:lang w:val="en-US" w:eastAsia="zh-CN" w:bidi="ar-SA"/>
        </w:rPr>
        <w:id w:val="147455694"/>
        <w15:color w:val="DBDBDB"/>
        <w:docPartObj>
          <w:docPartGallery w:val="Table of Contents"/>
          <w:docPartUnique/>
        </w:docPartObj>
      </w:sdtPr>
      <w:sdtEndPr>
        <w:rPr>
          <w:rFonts w:ascii="宋体" w:hAnsi="宋体" w:eastAsia="宋体" w:cs="Times New Roman"/>
          <w:b/>
          <w:kern w:val="2"/>
          <w:sz w:val="21"/>
          <w:szCs w:val="24"/>
          <w:lang w:val="en-US" w:eastAsia="zh-CN" w:bidi="ar-SA"/>
        </w:rPr>
      </w:sdtEndPr>
      <w:sdtContent>
        <w:p w14:paraId="13A2C3E2">
          <w:pPr>
            <w:spacing w:before="0" w:beforeLines="0" w:after="0" w:afterLines="0" w:line="240" w:lineRule="auto"/>
            <w:ind w:left="0" w:leftChars="0" w:right="0" w:rightChars="0" w:firstLine="0" w:firstLineChars="0"/>
            <w:jc w:val="center"/>
          </w:pPr>
          <w:bookmarkStart w:id="12" w:name="_Toc15396599"/>
          <w:bookmarkStart w:id="13" w:name="_Toc15377196"/>
        </w:p>
        <w:p w14:paraId="7B89AD80">
          <w:pPr>
            <w:pStyle w:val="11"/>
            <w:tabs>
              <w:tab w:val="right" w:leader="dot" w:pos="8306"/>
              <w:tab w:val="clear" w:pos="8296"/>
            </w:tabs>
          </w:pPr>
          <w:r>
            <w:fldChar w:fldCharType="begin"/>
          </w:r>
          <w:r>
            <w:instrText xml:space="preserve">TOC \o "1-2" \h \u </w:instrText>
          </w:r>
          <w:r>
            <w:fldChar w:fldCharType="separate"/>
          </w:r>
          <w:r>
            <w:fldChar w:fldCharType="begin"/>
          </w:r>
          <w:r>
            <w:instrText xml:space="preserve"> HYPERLINK \l _Toc1312 </w:instrText>
          </w:r>
          <w:r>
            <w:fldChar w:fldCharType="separate"/>
          </w:r>
          <w:r>
            <w:rPr>
              <w:rFonts w:hint="eastAsia" w:ascii="黑体" w:hAnsi="黑体" w:eastAsia="黑体"/>
            </w:rPr>
            <w:t>第一部分 单位</w:t>
          </w:r>
          <w:r>
            <w:rPr>
              <w:rFonts w:hint="eastAsia" w:ascii="黑体" w:hAnsi="黑体" w:eastAsia="黑体"/>
              <w:bCs w:val="0"/>
            </w:rPr>
            <w:t>概况</w:t>
          </w:r>
          <w:r>
            <w:tab/>
          </w:r>
          <w:r>
            <w:fldChar w:fldCharType="begin"/>
          </w:r>
          <w:r>
            <w:instrText xml:space="preserve"> PAGEREF _Toc1312 \h </w:instrText>
          </w:r>
          <w:r>
            <w:fldChar w:fldCharType="separate"/>
          </w:r>
          <w:r>
            <w:t>1</w:t>
          </w:r>
          <w:r>
            <w:fldChar w:fldCharType="end"/>
          </w:r>
          <w:r>
            <w:fldChar w:fldCharType="end"/>
          </w:r>
        </w:p>
        <w:p w14:paraId="0734DE59">
          <w:pPr>
            <w:pStyle w:val="12"/>
            <w:tabs>
              <w:tab w:val="right" w:leader="dot" w:pos="8306"/>
              <w:tab w:val="clear" w:pos="8296"/>
            </w:tabs>
          </w:pPr>
          <w:r>
            <w:fldChar w:fldCharType="begin"/>
          </w:r>
          <w:r>
            <w:instrText xml:space="preserve"> HYPERLINK \l _Toc32341 </w:instrText>
          </w:r>
          <w:r>
            <w:fldChar w:fldCharType="separate"/>
          </w:r>
          <w:r>
            <w:rPr>
              <w:rFonts w:hint="eastAsia" w:ascii="黑体" w:hAnsi="黑体" w:eastAsia="黑体"/>
              <w:bCs w:val="0"/>
            </w:rPr>
            <w:t>一、主要职责</w:t>
          </w:r>
          <w:r>
            <w:tab/>
          </w:r>
          <w:r>
            <w:fldChar w:fldCharType="begin"/>
          </w:r>
          <w:r>
            <w:instrText xml:space="preserve"> PAGEREF _Toc32341 \h </w:instrText>
          </w:r>
          <w:r>
            <w:fldChar w:fldCharType="separate"/>
          </w:r>
          <w:r>
            <w:t>1</w:t>
          </w:r>
          <w:r>
            <w:fldChar w:fldCharType="end"/>
          </w:r>
          <w:r>
            <w:fldChar w:fldCharType="end"/>
          </w:r>
        </w:p>
        <w:p w14:paraId="5447FDF7">
          <w:pPr>
            <w:pStyle w:val="12"/>
            <w:tabs>
              <w:tab w:val="right" w:leader="dot" w:pos="8306"/>
              <w:tab w:val="clear" w:pos="8296"/>
            </w:tabs>
          </w:pPr>
          <w:r>
            <w:fldChar w:fldCharType="begin"/>
          </w:r>
          <w:r>
            <w:instrText xml:space="preserve"> HYPERLINK \l _Toc25142 </w:instrText>
          </w:r>
          <w:r>
            <w:fldChar w:fldCharType="separate"/>
          </w:r>
          <w:r>
            <w:rPr>
              <w:rFonts w:hint="eastAsia" w:ascii="黑体" w:hAnsi="黑体" w:eastAsia="黑体"/>
            </w:rPr>
            <w:t>二、机构设置</w:t>
          </w:r>
          <w:r>
            <w:tab/>
          </w:r>
          <w:r>
            <w:fldChar w:fldCharType="begin"/>
          </w:r>
          <w:r>
            <w:instrText xml:space="preserve"> PAGEREF _Toc25142 \h </w:instrText>
          </w:r>
          <w:r>
            <w:fldChar w:fldCharType="separate"/>
          </w:r>
          <w:r>
            <w:t>2</w:t>
          </w:r>
          <w:r>
            <w:fldChar w:fldCharType="end"/>
          </w:r>
          <w:r>
            <w:fldChar w:fldCharType="end"/>
          </w:r>
        </w:p>
        <w:p w14:paraId="6FC24A0C">
          <w:pPr>
            <w:pStyle w:val="11"/>
            <w:tabs>
              <w:tab w:val="right" w:leader="dot" w:pos="8306"/>
              <w:tab w:val="clear" w:pos="8296"/>
            </w:tabs>
          </w:pPr>
          <w:r>
            <w:fldChar w:fldCharType="begin"/>
          </w:r>
          <w:r>
            <w:instrText xml:space="preserve"> HYPERLINK \l _Toc21767 </w:instrText>
          </w:r>
          <w:r>
            <w:fldChar w:fldCharType="separate"/>
          </w:r>
          <w:r>
            <w:rPr>
              <w:rFonts w:hint="eastAsia" w:ascii="黑体" w:hAnsi="黑体" w:eastAsia="黑体"/>
            </w:rPr>
            <w:t>第二部分 2023年度</w:t>
          </w:r>
          <w:r>
            <w:rPr>
              <w:rFonts w:hint="eastAsia" w:ascii="黑体" w:hAnsi="黑体" w:eastAsia="黑体"/>
              <w:bCs/>
            </w:rPr>
            <w:t>单位决算情况说明</w:t>
          </w:r>
          <w:r>
            <w:tab/>
          </w:r>
          <w:r>
            <w:fldChar w:fldCharType="begin"/>
          </w:r>
          <w:r>
            <w:instrText xml:space="preserve"> PAGEREF _Toc21767 \h </w:instrText>
          </w:r>
          <w:r>
            <w:fldChar w:fldCharType="separate"/>
          </w:r>
          <w:r>
            <w:t>3</w:t>
          </w:r>
          <w:r>
            <w:fldChar w:fldCharType="end"/>
          </w:r>
          <w:r>
            <w:fldChar w:fldCharType="end"/>
          </w:r>
        </w:p>
        <w:p w14:paraId="4F610CC9">
          <w:pPr>
            <w:pStyle w:val="12"/>
            <w:tabs>
              <w:tab w:val="right" w:leader="dot" w:pos="8306"/>
              <w:tab w:val="clear" w:pos="8296"/>
            </w:tabs>
          </w:pPr>
          <w:r>
            <w:fldChar w:fldCharType="begin"/>
          </w:r>
          <w:r>
            <w:instrText xml:space="preserve"> HYPERLINK \l _Toc14950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_Toc14950 \h </w:instrText>
          </w:r>
          <w:r>
            <w:fldChar w:fldCharType="separate"/>
          </w:r>
          <w:r>
            <w:t>3</w:t>
          </w:r>
          <w:r>
            <w:fldChar w:fldCharType="end"/>
          </w:r>
          <w:r>
            <w:fldChar w:fldCharType="end"/>
          </w:r>
        </w:p>
        <w:p w14:paraId="19D6641B">
          <w:pPr>
            <w:pStyle w:val="12"/>
            <w:tabs>
              <w:tab w:val="right" w:leader="dot" w:pos="8306"/>
              <w:tab w:val="clear" w:pos="8296"/>
            </w:tabs>
          </w:pPr>
          <w:r>
            <w:fldChar w:fldCharType="begin"/>
          </w:r>
          <w:r>
            <w:instrText xml:space="preserve"> HYPERLINK \l _Toc17731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_Toc17731 \h </w:instrText>
          </w:r>
          <w:r>
            <w:fldChar w:fldCharType="separate"/>
          </w:r>
          <w:r>
            <w:t>3</w:t>
          </w:r>
          <w:r>
            <w:fldChar w:fldCharType="end"/>
          </w:r>
          <w:r>
            <w:fldChar w:fldCharType="end"/>
          </w:r>
        </w:p>
        <w:p w14:paraId="6B9219EB">
          <w:pPr>
            <w:pStyle w:val="12"/>
            <w:tabs>
              <w:tab w:val="right" w:leader="dot" w:pos="8306"/>
              <w:tab w:val="clear" w:pos="8296"/>
            </w:tabs>
          </w:pPr>
          <w:r>
            <w:fldChar w:fldCharType="begin"/>
          </w:r>
          <w:r>
            <w:instrText xml:space="preserve"> HYPERLINK \l _Toc22129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_Toc22129 \h </w:instrText>
          </w:r>
          <w:r>
            <w:fldChar w:fldCharType="separate"/>
          </w:r>
          <w:r>
            <w:t>4</w:t>
          </w:r>
          <w:r>
            <w:fldChar w:fldCharType="end"/>
          </w:r>
          <w:r>
            <w:fldChar w:fldCharType="end"/>
          </w:r>
        </w:p>
        <w:p w14:paraId="2611DC7A">
          <w:pPr>
            <w:pStyle w:val="12"/>
            <w:tabs>
              <w:tab w:val="right" w:leader="dot" w:pos="8306"/>
              <w:tab w:val="clear" w:pos="8296"/>
            </w:tabs>
          </w:pPr>
          <w:r>
            <w:fldChar w:fldCharType="begin"/>
          </w:r>
          <w:r>
            <w:instrText xml:space="preserve"> HYPERLINK \l _Toc9606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_Toc9606 \h </w:instrText>
          </w:r>
          <w:r>
            <w:fldChar w:fldCharType="separate"/>
          </w:r>
          <w:r>
            <w:t>5</w:t>
          </w:r>
          <w:r>
            <w:fldChar w:fldCharType="end"/>
          </w:r>
          <w:r>
            <w:fldChar w:fldCharType="end"/>
          </w:r>
        </w:p>
        <w:p w14:paraId="60624EB6">
          <w:pPr>
            <w:pStyle w:val="12"/>
            <w:tabs>
              <w:tab w:val="right" w:leader="dot" w:pos="8306"/>
              <w:tab w:val="clear" w:pos="8296"/>
            </w:tabs>
          </w:pPr>
          <w:r>
            <w:fldChar w:fldCharType="begin"/>
          </w:r>
          <w:r>
            <w:instrText xml:space="preserve"> HYPERLINK \l _Toc10392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_Toc10392 \h </w:instrText>
          </w:r>
          <w:r>
            <w:fldChar w:fldCharType="separate"/>
          </w:r>
          <w:r>
            <w:t>5</w:t>
          </w:r>
          <w:r>
            <w:fldChar w:fldCharType="end"/>
          </w:r>
          <w:r>
            <w:fldChar w:fldCharType="end"/>
          </w:r>
        </w:p>
        <w:p w14:paraId="32F30FD5">
          <w:pPr>
            <w:pStyle w:val="12"/>
            <w:tabs>
              <w:tab w:val="right" w:leader="dot" w:pos="8306"/>
              <w:tab w:val="clear" w:pos="8296"/>
            </w:tabs>
          </w:pPr>
          <w:r>
            <w:fldChar w:fldCharType="begin"/>
          </w:r>
          <w:r>
            <w:instrText xml:space="preserve"> HYPERLINK \l _Toc9699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_Toc9699 \h </w:instrText>
          </w:r>
          <w:r>
            <w:fldChar w:fldCharType="separate"/>
          </w:r>
          <w:r>
            <w:t>8</w:t>
          </w:r>
          <w:r>
            <w:fldChar w:fldCharType="end"/>
          </w:r>
          <w:r>
            <w:fldChar w:fldCharType="end"/>
          </w:r>
        </w:p>
        <w:p w14:paraId="60025AAE">
          <w:pPr>
            <w:pStyle w:val="12"/>
            <w:tabs>
              <w:tab w:val="right" w:leader="dot" w:pos="8306"/>
              <w:tab w:val="clear" w:pos="8296"/>
            </w:tabs>
          </w:pPr>
          <w:r>
            <w:fldChar w:fldCharType="begin"/>
          </w:r>
          <w:r>
            <w:instrText xml:space="preserve"> HYPERLINK \l _Toc21546 </w:instrText>
          </w:r>
          <w:r>
            <w:fldChar w:fldCharType="separate"/>
          </w:r>
          <w:r>
            <w:rPr>
              <w:rFonts w:hint="eastAsia" w:ascii="黑体" w:eastAsia="黑体"/>
              <w:szCs w:val="32"/>
            </w:rPr>
            <w:t>七、</w:t>
          </w:r>
          <w:r>
            <w:rPr>
              <w:rFonts w:hint="eastAsia" w:ascii="黑体" w:hAnsi="黑体" w:eastAsia="黑体"/>
            </w:rPr>
            <w:t>财政拨款“三公”经费支出决算情况说明</w:t>
          </w:r>
          <w:r>
            <w:tab/>
          </w:r>
          <w:r>
            <w:fldChar w:fldCharType="begin"/>
          </w:r>
          <w:r>
            <w:instrText xml:space="preserve"> PAGEREF _Toc21546 \h </w:instrText>
          </w:r>
          <w:r>
            <w:fldChar w:fldCharType="separate"/>
          </w:r>
          <w:r>
            <w:t>9</w:t>
          </w:r>
          <w:r>
            <w:fldChar w:fldCharType="end"/>
          </w:r>
          <w:r>
            <w:fldChar w:fldCharType="end"/>
          </w:r>
        </w:p>
        <w:p w14:paraId="6B24708B">
          <w:pPr>
            <w:pStyle w:val="12"/>
            <w:tabs>
              <w:tab w:val="right" w:leader="dot" w:pos="8306"/>
              <w:tab w:val="clear" w:pos="8296"/>
            </w:tabs>
          </w:pPr>
          <w:r>
            <w:fldChar w:fldCharType="begin"/>
          </w:r>
          <w:r>
            <w:instrText xml:space="preserve"> HYPERLINK \l _Toc27086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_Toc27086 \h </w:instrText>
          </w:r>
          <w:r>
            <w:fldChar w:fldCharType="separate"/>
          </w:r>
          <w:r>
            <w:t>11</w:t>
          </w:r>
          <w:r>
            <w:fldChar w:fldCharType="end"/>
          </w:r>
          <w:r>
            <w:fldChar w:fldCharType="end"/>
          </w:r>
        </w:p>
        <w:p w14:paraId="763E47AE">
          <w:pPr>
            <w:pStyle w:val="12"/>
            <w:tabs>
              <w:tab w:val="right" w:leader="dot" w:pos="8306"/>
              <w:tab w:val="clear" w:pos="8296"/>
            </w:tabs>
          </w:pPr>
          <w:r>
            <w:fldChar w:fldCharType="begin"/>
          </w:r>
          <w:r>
            <w:instrText xml:space="preserve"> HYPERLINK \l _Toc20138 </w:instrText>
          </w:r>
          <w:r>
            <w:fldChar w:fldCharType="separate"/>
          </w:r>
          <w:r>
            <w:rPr>
              <w:rFonts w:hint="eastAsia" w:ascii="黑体" w:hAnsi="黑体" w:eastAsia="黑体"/>
            </w:rPr>
            <w:t>九、 国有资本经营预算支出决算情况说明</w:t>
          </w:r>
          <w:r>
            <w:tab/>
          </w:r>
          <w:r>
            <w:fldChar w:fldCharType="begin"/>
          </w:r>
          <w:r>
            <w:instrText xml:space="preserve"> PAGEREF _Toc20138 \h </w:instrText>
          </w:r>
          <w:r>
            <w:fldChar w:fldCharType="separate"/>
          </w:r>
          <w:r>
            <w:t>11</w:t>
          </w:r>
          <w:r>
            <w:fldChar w:fldCharType="end"/>
          </w:r>
          <w:r>
            <w:fldChar w:fldCharType="end"/>
          </w:r>
        </w:p>
        <w:p w14:paraId="6590326A">
          <w:pPr>
            <w:pStyle w:val="12"/>
            <w:tabs>
              <w:tab w:val="right" w:leader="dot" w:pos="8306"/>
              <w:tab w:val="clear" w:pos="8296"/>
            </w:tabs>
          </w:pPr>
          <w:r>
            <w:fldChar w:fldCharType="begin"/>
          </w:r>
          <w:r>
            <w:instrText xml:space="preserve"> HYPERLINK \l _Toc22829 </w:instrText>
          </w:r>
          <w:r>
            <w:fldChar w:fldCharType="separate"/>
          </w:r>
          <w:r>
            <w:rPr>
              <w:rFonts w:hint="eastAsia" w:ascii="黑体" w:hAnsi="黑体" w:eastAsia="黑体"/>
            </w:rPr>
            <w:t>十、 其他重要事项的情况说明</w:t>
          </w:r>
          <w:r>
            <w:tab/>
          </w:r>
          <w:r>
            <w:fldChar w:fldCharType="begin"/>
          </w:r>
          <w:r>
            <w:instrText xml:space="preserve"> PAGEREF _Toc22829 \h </w:instrText>
          </w:r>
          <w:r>
            <w:fldChar w:fldCharType="separate"/>
          </w:r>
          <w:r>
            <w:t>11</w:t>
          </w:r>
          <w:r>
            <w:fldChar w:fldCharType="end"/>
          </w:r>
          <w:r>
            <w:fldChar w:fldCharType="end"/>
          </w:r>
        </w:p>
        <w:p w14:paraId="38C43345">
          <w:pPr>
            <w:pStyle w:val="11"/>
            <w:tabs>
              <w:tab w:val="right" w:leader="dot" w:pos="8306"/>
              <w:tab w:val="clear" w:pos="8296"/>
            </w:tabs>
          </w:pPr>
          <w:r>
            <w:fldChar w:fldCharType="begin"/>
          </w:r>
          <w:r>
            <w:instrText xml:space="preserve"> HYPERLINK \l _Toc20237 </w:instrText>
          </w:r>
          <w:r>
            <w:fldChar w:fldCharType="separate"/>
          </w:r>
          <w:r>
            <w:rPr>
              <w:rFonts w:hint="eastAsia" w:ascii="黑体" w:hAnsi="黑体" w:eastAsia="黑体" w:cs="黑体"/>
              <w:szCs w:val="44"/>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_Toc20237 \h </w:instrText>
          </w:r>
          <w:r>
            <w:fldChar w:fldCharType="separate"/>
          </w:r>
          <w:r>
            <w:t>13</w:t>
          </w:r>
          <w:r>
            <w:fldChar w:fldCharType="end"/>
          </w:r>
          <w:r>
            <w:fldChar w:fldCharType="end"/>
          </w:r>
        </w:p>
        <w:p w14:paraId="2F229F0D">
          <w:pPr>
            <w:pStyle w:val="11"/>
            <w:tabs>
              <w:tab w:val="right" w:leader="dot" w:pos="8306"/>
              <w:tab w:val="clear" w:pos="8296"/>
            </w:tabs>
          </w:pPr>
          <w:r>
            <w:fldChar w:fldCharType="begin"/>
          </w:r>
          <w:r>
            <w:instrText xml:space="preserve"> HYPERLINK \l _Toc11049 </w:instrText>
          </w:r>
          <w: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_Toc11049 \h </w:instrText>
          </w:r>
          <w:r>
            <w:fldChar w:fldCharType="separate"/>
          </w:r>
          <w:r>
            <w:t>17</w:t>
          </w:r>
          <w:r>
            <w:fldChar w:fldCharType="end"/>
          </w:r>
          <w:r>
            <w:fldChar w:fldCharType="end"/>
          </w:r>
        </w:p>
        <w:p w14:paraId="70251958">
          <w:pPr>
            <w:pStyle w:val="11"/>
            <w:tabs>
              <w:tab w:val="right" w:leader="dot" w:pos="8306"/>
              <w:tab w:val="clear" w:pos="8296"/>
            </w:tabs>
          </w:pPr>
          <w:r>
            <w:fldChar w:fldCharType="begin"/>
          </w:r>
          <w:r>
            <w:instrText xml:space="preserve"> HYPERLINK \l _Toc9168 </w:instrText>
          </w:r>
          <w: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_Toc9168 \h </w:instrText>
          </w:r>
          <w:r>
            <w:fldChar w:fldCharType="separate"/>
          </w:r>
          <w:r>
            <w:t>37</w:t>
          </w:r>
          <w:r>
            <w:fldChar w:fldCharType="end"/>
          </w:r>
          <w:r>
            <w:fldChar w:fldCharType="end"/>
          </w:r>
        </w:p>
        <w:p w14:paraId="3EC931C4">
          <w:pPr>
            <w:pStyle w:val="12"/>
            <w:tabs>
              <w:tab w:val="right" w:leader="dot" w:pos="8306"/>
              <w:tab w:val="clear" w:pos="8296"/>
            </w:tabs>
            <w:rPr>
              <w:rFonts w:hint="eastAsia" w:ascii="黑体" w:hAnsi="黑体" w:eastAsia="黑体" w:cs="Times New Roman"/>
            </w:rPr>
          </w:pPr>
          <w:r>
            <w:rPr>
              <w:rFonts w:hint="eastAsia" w:ascii="黑体" w:hAnsi="黑体" w:eastAsia="黑体" w:cs="Times New Roman"/>
            </w:rPr>
            <w:fldChar w:fldCharType="begin"/>
          </w:r>
          <w:r>
            <w:rPr>
              <w:rFonts w:hint="eastAsia" w:ascii="黑体" w:hAnsi="黑体" w:eastAsia="黑体" w:cs="Times New Roman"/>
            </w:rPr>
            <w:instrText xml:space="preserve"> HYPERLINK \l _Toc85 </w:instrText>
          </w:r>
          <w:r>
            <w:rPr>
              <w:rFonts w:hint="eastAsia" w:ascii="黑体" w:hAnsi="黑体" w:eastAsia="黑体" w:cs="Times New Roman"/>
            </w:rPr>
            <w:fldChar w:fldCharType="separate"/>
          </w:r>
          <w:r>
            <w:rPr>
              <w:rFonts w:hint="eastAsia" w:ascii="黑体" w:hAnsi="黑体" w:eastAsia="黑体" w:cs="Times New Roman"/>
            </w:rPr>
            <w:t>一、收入支出决算总表</w:t>
          </w:r>
          <w:r>
            <w:rPr>
              <w:rFonts w:hint="eastAsia" w:ascii="黑体" w:hAnsi="黑体" w:eastAsia="黑体" w:cs="Times New Roman"/>
            </w:rPr>
            <w:tab/>
          </w:r>
          <w:r>
            <w:rPr>
              <w:rFonts w:hint="eastAsia" w:ascii="黑体" w:hAnsi="黑体" w:eastAsia="黑体" w:cs="Times New Roman"/>
            </w:rPr>
            <w:fldChar w:fldCharType="begin"/>
          </w:r>
          <w:r>
            <w:rPr>
              <w:rFonts w:hint="eastAsia" w:ascii="黑体" w:hAnsi="黑体" w:eastAsia="黑体" w:cs="Times New Roman"/>
            </w:rPr>
            <w:instrText xml:space="preserve"> PAGEREF _Toc85 \h </w:instrText>
          </w:r>
          <w:r>
            <w:rPr>
              <w:rFonts w:hint="eastAsia" w:ascii="黑体" w:hAnsi="黑体" w:eastAsia="黑体" w:cs="Times New Roman"/>
            </w:rPr>
            <w:fldChar w:fldCharType="separate"/>
          </w:r>
          <w:r>
            <w:rPr>
              <w:rFonts w:hint="eastAsia" w:ascii="黑体" w:hAnsi="黑体" w:eastAsia="黑体" w:cs="Times New Roman"/>
            </w:rPr>
            <w:t>37</w:t>
          </w:r>
          <w:r>
            <w:rPr>
              <w:rFonts w:hint="eastAsia" w:ascii="黑体" w:hAnsi="黑体" w:eastAsia="黑体" w:cs="Times New Roman"/>
            </w:rPr>
            <w:fldChar w:fldCharType="end"/>
          </w:r>
          <w:r>
            <w:rPr>
              <w:rFonts w:hint="eastAsia" w:ascii="黑体" w:hAnsi="黑体" w:eastAsia="黑体" w:cs="Times New Roman"/>
            </w:rPr>
            <w:fldChar w:fldCharType="end"/>
          </w:r>
        </w:p>
        <w:p w14:paraId="6D1B514A">
          <w:pPr>
            <w:pStyle w:val="12"/>
            <w:tabs>
              <w:tab w:val="right" w:leader="dot" w:pos="8306"/>
              <w:tab w:val="clear" w:pos="8296"/>
            </w:tabs>
            <w:rPr>
              <w:rFonts w:hint="eastAsia" w:ascii="黑体" w:hAnsi="黑体" w:eastAsia="黑体" w:cs="Times New Roman"/>
            </w:rPr>
          </w:pPr>
          <w:r>
            <w:rPr>
              <w:rFonts w:hint="eastAsia" w:ascii="黑体" w:hAnsi="黑体" w:eastAsia="黑体" w:cs="Times New Roman"/>
            </w:rPr>
            <w:fldChar w:fldCharType="begin"/>
          </w:r>
          <w:r>
            <w:rPr>
              <w:rFonts w:hint="eastAsia" w:ascii="黑体" w:hAnsi="黑体" w:eastAsia="黑体" w:cs="Times New Roman"/>
            </w:rPr>
            <w:instrText xml:space="preserve"> HYPERLINK \l _Toc3848 </w:instrText>
          </w:r>
          <w:r>
            <w:rPr>
              <w:rFonts w:hint="eastAsia" w:ascii="黑体" w:hAnsi="黑体" w:eastAsia="黑体" w:cs="Times New Roman"/>
            </w:rPr>
            <w:fldChar w:fldCharType="separate"/>
          </w:r>
          <w:r>
            <w:rPr>
              <w:rFonts w:hint="eastAsia" w:ascii="黑体" w:hAnsi="黑体" w:eastAsia="黑体" w:cs="Times New Roman"/>
            </w:rPr>
            <w:t>二、收入决算表</w:t>
          </w:r>
          <w:r>
            <w:rPr>
              <w:rFonts w:hint="eastAsia" w:ascii="黑体" w:hAnsi="黑体" w:eastAsia="黑体" w:cs="Times New Roman"/>
            </w:rPr>
            <w:tab/>
          </w:r>
          <w:r>
            <w:rPr>
              <w:rFonts w:hint="eastAsia" w:ascii="黑体" w:hAnsi="黑体" w:eastAsia="黑体" w:cs="Times New Roman"/>
            </w:rPr>
            <w:fldChar w:fldCharType="begin"/>
          </w:r>
          <w:r>
            <w:rPr>
              <w:rFonts w:hint="eastAsia" w:ascii="黑体" w:hAnsi="黑体" w:eastAsia="黑体" w:cs="Times New Roman"/>
            </w:rPr>
            <w:instrText xml:space="preserve"> PAGEREF _Toc3848 \h </w:instrText>
          </w:r>
          <w:r>
            <w:rPr>
              <w:rFonts w:hint="eastAsia" w:ascii="黑体" w:hAnsi="黑体" w:eastAsia="黑体" w:cs="Times New Roman"/>
            </w:rPr>
            <w:fldChar w:fldCharType="separate"/>
          </w:r>
          <w:r>
            <w:rPr>
              <w:rFonts w:hint="eastAsia" w:ascii="黑体" w:hAnsi="黑体" w:eastAsia="黑体" w:cs="Times New Roman"/>
            </w:rPr>
            <w:t>37</w:t>
          </w:r>
          <w:r>
            <w:rPr>
              <w:rFonts w:hint="eastAsia" w:ascii="黑体" w:hAnsi="黑体" w:eastAsia="黑体" w:cs="Times New Roman"/>
            </w:rPr>
            <w:fldChar w:fldCharType="end"/>
          </w:r>
          <w:r>
            <w:rPr>
              <w:rFonts w:hint="eastAsia" w:ascii="黑体" w:hAnsi="黑体" w:eastAsia="黑体" w:cs="Times New Roman"/>
            </w:rPr>
            <w:fldChar w:fldCharType="end"/>
          </w:r>
        </w:p>
        <w:p w14:paraId="2ED18E70">
          <w:pPr>
            <w:pStyle w:val="12"/>
            <w:tabs>
              <w:tab w:val="right" w:leader="dot" w:pos="8306"/>
              <w:tab w:val="clear" w:pos="8296"/>
            </w:tabs>
            <w:rPr>
              <w:rFonts w:hint="eastAsia" w:ascii="黑体" w:hAnsi="黑体" w:eastAsia="黑体" w:cs="Times New Roman"/>
            </w:rPr>
          </w:pPr>
          <w:r>
            <w:rPr>
              <w:rFonts w:hint="eastAsia" w:ascii="黑体" w:hAnsi="黑体" w:eastAsia="黑体" w:cs="Times New Roman"/>
            </w:rPr>
            <w:fldChar w:fldCharType="begin"/>
          </w:r>
          <w:r>
            <w:rPr>
              <w:rFonts w:hint="eastAsia" w:ascii="黑体" w:hAnsi="黑体" w:eastAsia="黑体" w:cs="Times New Roman"/>
            </w:rPr>
            <w:instrText xml:space="preserve"> HYPERLINK \l _Toc20250 </w:instrText>
          </w:r>
          <w:r>
            <w:rPr>
              <w:rFonts w:hint="eastAsia" w:ascii="黑体" w:hAnsi="黑体" w:eastAsia="黑体" w:cs="Times New Roman"/>
            </w:rPr>
            <w:fldChar w:fldCharType="separate"/>
          </w:r>
          <w:r>
            <w:rPr>
              <w:rFonts w:hint="eastAsia" w:ascii="黑体" w:hAnsi="黑体" w:eastAsia="黑体" w:cs="Times New Roman"/>
            </w:rPr>
            <w:t>三、支出决算表</w:t>
          </w:r>
          <w:r>
            <w:rPr>
              <w:rFonts w:hint="eastAsia" w:ascii="黑体" w:hAnsi="黑体" w:eastAsia="黑体" w:cs="Times New Roman"/>
            </w:rPr>
            <w:tab/>
          </w:r>
          <w:r>
            <w:rPr>
              <w:rFonts w:hint="eastAsia" w:ascii="黑体" w:hAnsi="黑体" w:eastAsia="黑体" w:cs="Times New Roman"/>
            </w:rPr>
            <w:fldChar w:fldCharType="begin"/>
          </w:r>
          <w:r>
            <w:rPr>
              <w:rFonts w:hint="eastAsia" w:ascii="黑体" w:hAnsi="黑体" w:eastAsia="黑体" w:cs="Times New Roman"/>
            </w:rPr>
            <w:instrText xml:space="preserve"> PAGEREF _Toc20250 \h </w:instrText>
          </w:r>
          <w:r>
            <w:rPr>
              <w:rFonts w:hint="eastAsia" w:ascii="黑体" w:hAnsi="黑体" w:eastAsia="黑体" w:cs="Times New Roman"/>
            </w:rPr>
            <w:fldChar w:fldCharType="separate"/>
          </w:r>
          <w:r>
            <w:rPr>
              <w:rFonts w:hint="eastAsia" w:ascii="黑体" w:hAnsi="黑体" w:eastAsia="黑体" w:cs="Times New Roman"/>
            </w:rPr>
            <w:t>37</w:t>
          </w:r>
          <w:r>
            <w:rPr>
              <w:rFonts w:hint="eastAsia" w:ascii="黑体" w:hAnsi="黑体" w:eastAsia="黑体" w:cs="Times New Roman"/>
            </w:rPr>
            <w:fldChar w:fldCharType="end"/>
          </w:r>
          <w:r>
            <w:rPr>
              <w:rFonts w:hint="eastAsia" w:ascii="黑体" w:hAnsi="黑体" w:eastAsia="黑体" w:cs="Times New Roman"/>
            </w:rPr>
            <w:fldChar w:fldCharType="end"/>
          </w:r>
        </w:p>
        <w:p w14:paraId="2460A043">
          <w:pPr>
            <w:pStyle w:val="12"/>
            <w:tabs>
              <w:tab w:val="right" w:leader="dot" w:pos="8306"/>
              <w:tab w:val="clear" w:pos="8296"/>
            </w:tabs>
            <w:rPr>
              <w:rFonts w:hint="eastAsia" w:ascii="黑体" w:hAnsi="黑体" w:eastAsia="黑体" w:cs="Times New Roman"/>
            </w:rPr>
          </w:pPr>
          <w:r>
            <w:rPr>
              <w:rFonts w:hint="eastAsia" w:ascii="黑体" w:hAnsi="黑体" w:eastAsia="黑体" w:cs="Times New Roman"/>
            </w:rPr>
            <w:fldChar w:fldCharType="begin"/>
          </w:r>
          <w:r>
            <w:rPr>
              <w:rFonts w:hint="eastAsia" w:ascii="黑体" w:hAnsi="黑体" w:eastAsia="黑体" w:cs="Times New Roman"/>
            </w:rPr>
            <w:instrText xml:space="preserve"> HYPERLINK \l _Toc32657 </w:instrText>
          </w:r>
          <w:r>
            <w:rPr>
              <w:rFonts w:hint="eastAsia" w:ascii="黑体" w:hAnsi="黑体" w:eastAsia="黑体" w:cs="Times New Roman"/>
            </w:rPr>
            <w:fldChar w:fldCharType="separate"/>
          </w:r>
          <w:r>
            <w:rPr>
              <w:rFonts w:hint="eastAsia" w:ascii="黑体" w:hAnsi="黑体" w:eastAsia="黑体" w:cs="Times New Roman"/>
            </w:rPr>
            <w:t>四、财政拨款收入支出决算总表</w:t>
          </w:r>
          <w:r>
            <w:rPr>
              <w:rFonts w:hint="eastAsia" w:ascii="黑体" w:hAnsi="黑体" w:eastAsia="黑体" w:cs="Times New Roman"/>
            </w:rPr>
            <w:tab/>
          </w:r>
          <w:r>
            <w:rPr>
              <w:rFonts w:hint="eastAsia" w:ascii="黑体" w:hAnsi="黑体" w:eastAsia="黑体" w:cs="Times New Roman"/>
            </w:rPr>
            <w:fldChar w:fldCharType="begin"/>
          </w:r>
          <w:r>
            <w:rPr>
              <w:rFonts w:hint="eastAsia" w:ascii="黑体" w:hAnsi="黑体" w:eastAsia="黑体" w:cs="Times New Roman"/>
            </w:rPr>
            <w:instrText xml:space="preserve"> PAGEREF _Toc32657 \h </w:instrText>
          </w:r>
          <w:r>
            <w:rPr>
              <w:rFonts w:hint="eastAsia" w:ascii="黑体" w:hAnsi="黑体" w:eastAsia="黑体" w:cs="Times New Roman"/>
            </w:rPr>
            <w:fldChar w:fldCharType="separate"/>
          </w:r>
          <w:r>
            <w:rPr>
              <w:rFonts w:hint="eastAsia" w:ascii="黑体" w:hAnsi="黑体" w:eastAsia="黑体" w:cs="Times New Roman"/>
            </w:rPr>
            <w:t>37</w:t>
          </w:r>
          <w:r>
            <w:rPr>
              <w:rFonts w:hint="eastAsia" w:ascii="黑体" w:hAnsi="黑体" w:eastAsia="黑体" w:cs="Times New Roman"/>
            </w:rPr>
            <w:fldChar w:fldCharType="end"/>
          </w:r>
          <w:r>
            <w:rPr>
              <w:rFonts w:hint="eastAsia" w:ascii="黑体" w:hAnsi="黑体" w:eastAsia="黑体" w:cs="Times New Roman"/>
            </w:rPr>
            <w:fldChar w:fldCharType="end"/>
          </w:r>
        </w:p>
        <w:p w14:paraId="40DF1B56">
          <w:pPr>
            <w:pStyle w:val="12"/>
            <w:tabs>
              <w:tab w:val="right" w:leader="dot" w:pos="8306"/>
              <w:tab w:val="clear" w:pos="8296"/>
            </w:tabs>
            <w:rPr>
              <w:rFonts w:hint="eastAsia" w:ascii="黑体" w:hAnsi="黑体" w:eastAsia="黑体" w:cs="Times New Roman"/>
            </w:rPr>
          </w:pPr>
          <w:r>
            <w:rPr>
              <w:rFonts w:hint="eastAsia" w:ascii="黑体" w:hAnsi="黑体" w:eastAsia="黑体" w:cs="Times New Roman"/>
            </w:rPr>
            <w:fldChar w:fldCharType="begin"/>
          </w:r>
          <w:r>
            <w:rPr>
              <w:rFonts w:hint="eastAsia" w:ascii="黑体" w:hAnsi="黑体" w:eastAsia="黑体" w:cs="Times New Roman"/>
            </w:rPr>
            <w:instrText xml:space="preserve"> HYPERLINK \l _Toc15509 </w:instrText>
          </w:r>
          <w:r>
            <w:rPr>
              <w:rFonts w:hint="eastAsia" w:ascii="黑体" w:hAnsi="黑体" w:eastAsia="黑体" w:cs="Times New Roman"/>
            </w:rPr>
            <w:fldChar w:fldCharType="separate"/>
          </w:r>
          <w:r>
            <w:rPr>
              <w:rFonts w:hint="eastAsia" w:ascii="黑体" w:hAnsi="黑体" w:eastAsia="黑体" w:cs="Times New Roman"/>
            </w:rPr>
            <w:t>五、财政拨款支出决算明细表</w:t>
          </w:r>
          <w:r>
            <w:rPr>
              <w:rFonts w:hint="eastAsia" w:ascii="黑体" w:hAnsi="黑体" w:eastAsia="黑体" w:cs="Times New Roman"/>
            </w:rPr>
            <w:tab/>
          </w:r>
          <w:r>
            <w:rPr>
              <w:rFonts w:hint="eastAsia" w:ascii="黑体" w:hAnsi="黑体" w:eastAsia="黑体" w:cs="Times New Roman"/>
            </w:rPr>
            <w:fldChar w:fldCharType="begin"/>
          </w:r>
          <w:r>
            <w:rPr>
              <w:rFonts w:hint="eastAsia" w:ascii="黑体" w:hAnsi="黑体" w:eastAsia="黑体" w:cs="Times New Roman"/>
            </w:rPr>
            <w:instrText xml:space="preserve"> PAGEREF _Toc15509 \h </w:instrText>
          </w:r>
          <w:r>
            <w:rPr>
              <w:rFonts w:hint="eastAsia" w:ascii="黑体" w:hAnsi="黑体" w:eastAsia="黑体" w:cs="Times New Roman"/>
            </w:rPr>
            <w:fldChar w:fldCharType="separate"/>
          </w:r>
          <w:r>
            <w:rPr>
              <w:rFonts w:hint="eastAsia" w:ascii="黑体" w:hAnsi="黑体" w:eastAsia="黑体" w:cs="Times New Roman"/>
            </w:rPr>
            <w:t>37</w:t>
          </w:r>
          <w:r>
            <w:rPr>
              <w:rFonts w:hint="eastAsia" w:ascii="黑体" w:hAnsi="黑体" w:eastAsia="黑体" w:cs="Times New Roman"/>
            </w:rPr>
            <w:fldChar w:fldCharType="end"/>
          </w:r>
          <w:r>
            <w:rPr>
              <w:rFonts w:hint="eastAsia" w:ascii="黑体" w:hAnsi="黑体" w:eastAsia="黑体" w:cs="Times New Roman"/>
            </w:rPr>
            <w:fldChar w:fldCharType="end"/>
          </w:r>
        </w:p>
        <w:p w14:paraId="5383EEB2">
          <w:pPr>
            <w:pStyle w:val="12"/>
            <w:tabs>
              <w:tab w:val="right" w:leader="dot" w:pos="8306"/>
              <w:tab w:val="clear" w:pos="8296"/>
            </w:tabs>
            <w:rPr>
              <w:rFonts w:hint="eastAsia" w:ascii="黑体" w:hAnsi="黑体" w:eastAsia="黑体" w:cs="Times New Roman"/>
            </w:rPr>
          </w:pPr>
          <w:r>
            <w:rPr>
              <w:rFonts w:hint="eastAsia" w:ascii="黑体" w:hAnsi="黑体" w:eastAsia="黑体" w:cs="Times New Roman"/>
            </w:rPr>
            <w:fldChar w:fldCharType="begin"/>
          </w:r>
          <w:r>
            <w:rPr>
              <w:rFonts w:hint="eastAsia" w:ascii="黑体" w:hAnsi="黑体" w:eastAsia="黑体" w:cs="Times New Roman"/>
            </w:rPr>
            <w:instrText xml:space="preserve"> HYPERLINK \l _Toc30978 </w:instrText>
          </w:r>
          <w:r>
            <w:rPr>
              <w:rFonts w:hint="eastAsia" w:ascii="黑体" w:hAnsi="黑体" w:eastAsia="黑体" w:cs="Times New Roman"/>
            </w:rPr>
            <w:fldChar w:fldCharType="separate"/>
          </w:r>
          <w:r>
            <w:rPr>
              <w:rFonts w:hint="eastAsia" w:ascii="黑体" w:hAnsi="黑体" w:eastAsia="黑体" w:cs="Times New Roman"/>
            </w:rPr>
            <w:t>六、一般公共预算财政拨款支出决算表</w:t>
          </w:r>
          <w:r>
            <w:rPr>
              <w:rFonts w:hint="eastAsia" w:ascii="黑体" w:hAnsi="黑体" w:eastAsia="黑体" w:cs="Times New Roman"/>
            </w:rPr>
            <w:tab/>
          </w:r>
          <w:r>
            <w:rPr>
              <w:rFonts w:hint="eastAsia" w:ascii="黑体" w:hAnsi="黑体" w:eastAsia="黑体" w:cs="Times New Roman"/>
            </w:rPr>
            <w:fldChar w:fldCharType="begin"/>
          </w:r>
          <w:r>
            <w:rPr>
              <w:rFonts w:hint="eastAsia" w:ascii="黑体" w:hAnsi="黑体" w:eastAsia="黑体" w:cs="Times New Roman"/>
            </w:rPr>
            <w:instrText xml:space="preserve"> PAGEREF _Toc30978 \h </w:instrText>
          </w:r>
          <w:r>
            <w:rPr>
              <w:rFonts w:hint="eastAsia" w:ascii="黑体" w:hAnsi="黑体" w:eastAsia="黑体" w:cs="Times New Roman"/>
            </w:rPr>
            <w:fldChar w:fldCharType="separate"/>
          </w:r>
          <w:r>
            <w:rPr>
              <w:rFonts w:hint="eastAsia" w:ascii="黑体" w:hAnsi="黑体" w:eastAsia="黑体" w:cs="Times New Roman"/>
            </w:rPr>
            <w:t>37</w:t>
          </w:r>
          <w:r>
            <w:rPr>
              <w:rFonts w:hint="eastAsia" w:ascii="黑体" w:hAnsi="黑体" w:eastAsia="黑体" w:cs="Times New Roman"/>
            </w:rPr>
            <w:fldChar w:fldCharType="end"/>
          </w:r>
          <w:r>
            <w:rPr>
              <w:rFonts w:hint="eastAsia" w:ascii="黑体" w:hAnsi="黑体" w:eastAsia="黑体" w:cs="Times New Roman"/>
            </w:rPr>
            <w:fldChar w:fldCharType="end"/>
          </w:r>
        </w:p>
        <w:p w14:paraId="090F81B8">
          <w:pPr>
            <w:pStyle w:val="12"/>
            <w:tabs>
              <w:tab w:val="right" w:leader="dot" w:pos="8306"/>
              <w:tab w:val="clear" w:pos="8296"/>
            </w:tabs>
            <w:rPr>
              <w:rFonts w:hint="eastAsia" w:ascii="黑体" w:hAnsi="黑体" w:eastAsia="黑体" w:cs="Times New Roman"/>
            </w:rPr>
          </w:pPr>
          <w:r>
            <w:rPr>
              <w:rFonts w:hint="eastAsia" w:ascii="黑体" w:hAnsi="黑体" w:eastAsia="黑体" w:cs="Times New Roman"/>
            </w:rPr>
            <w:fldChar w:fldCharType="begin"/>
          </w:r>
          <w:r>
            <w:rPr>
              <w:rFonts w:hint="eastAsia" w:ascii="黑体" w:hAnsi="黑体" w:eastAsia="黑体" w:cs="Times New Roman"/>
            </w:rPr>
            <w:instrText xml:space="preserve"> HYPERLINK \l _Toc3393 </w:instrText>
          </w:r>
          <w:r>
            <w:rPr>
              <w:rFonts w:hint="eastAsia" w:ascii="黑体" w:hAnsi="黑体" w:eastAsia="黑体" w:cs="Times New Roman"/>
            </w:rPr>
            <w:fldChar w:fldCharType="separate"/>
          </w:r>
          <w:r>
            <w:rPr>
              <w:rFonts w:hint="eastAsia" w:ascii="黑体" w:hAnsi="黑体" w:eastAsia="黑体" w:cs="Times New Roman"/>
            </w:rPr>
            <w:t>七、一般公共预算财政拨款支出决算明细表</w:t>
          </w:r>
          <w:r>
            <w:rPr>
              <w:rFonts w:hint="eastAsia" w:ascii="黑体" w:hAnsi="黑体" w:eastAsia="黑体" w:cs="Times New Roman"/>
            </w:rPr>
            <w:tab/>
          </w:r>
          <w:r>
            <w:rPr>
              <w:rFonts w:hint="eastAsia" w:ascii="黑体" w:hAnsi="黑体" w:eastAsia="黑体" w:cs="Times New Roman"/>
            </w:rPr>
            <w:fldChar w:fldCharType="begin"/>
          </w:r>
          <w:r>
            <w:rPr>
              <w:rFonts w:hint="eastAsia" w:ascii="黑体" w:hAnsi="黑体" w:eastAsia="黑体" w:cs="Times New Roman"/>
            </w:rPr>
            <w:instrText xml:space="preserve"> PAGEREF _Toc3393 \h </w:instrText>
          </w:r>
          <w:r>
            <w:rPr>
              <w:rFonts w:hint="eastAsia" w:ascii="黑体" w:hAnsi="黑体" w:eastAsia="黑体" w:cs="Times New Roman"/>
            </w:rPr>
            <w:fldChar w:fldCharType="separate"/>
          </w:r>
          <w:r>
            <w:rPr>
              <w:rFonts w:hint="eastAsia" w:ascii="黑体" w:hAnsi="黑体" w:eastAsia="黑体" w:cs="Times New Roman"/>
            </w:rPr>
            <w:t>37</w:t>
          </w:r>
          <w:r>
            <w:rPr>
              <w:rFonts w:hint="eastAsia" w:ascii="黑体" w:hAnsi="黑体" w:eastAsia="黑体" w:cs="Times New Roman"/>
            </w:rPr>
            <w:fldChar w:fldCharType="end"/>
          </w:r>
          <w:r>
            <w:rPr>
              <w:rFonts w:hint="eastAsia" w:ascii="黑体" w:hAnsi="黑体" w:eastAsia="黑体" w:cs="Times New Roman"/>
            </w:rPr>
            <w:fldChar w:fldCharType="end"/>
          </w:r>
        </w:p>
        <w:p w14:paraId="43B1A805">
          <w:pPr>
            <w:pStyle w:val="12"/>
            <w:tabs>
              <w:tab w:val="right" w:leader="dot" w:pos="8306"/>
              <w:tab w:val="clear" w:pos="8296"/>
            </w:tabs>
            <w:rPr>
              <w:rFonts w:hint="eastAsia" w:ascii="黑体" w:hAnsi="黑体" w:eastAsia="黑体" w:cs="Times New Roman"/>
            </w:rPr>
          </w:pPr>
          <w:r>
            <w:rPr>
              <w:rFonts w:hint="eastAsia" w:ascii="黑体" w:hAnsi="黑体" w:eastAsia="黑体" w:cs="Times New Roman"/>
            </w:rPr>
            <w:fldChar w:fldCharType="begin"/>
          </w:r>
          <w:r>
            <w:rPr>
              <w:rFonts w:hint="eastAsia" w:ascii="黑体" w:hAnsi="黑体" w:eastAsia="黑体" w:cs="Times New Roman"/>
            </w:rPr>
            <w:instrText xml:space="preserve"> HYPERLINK \l _Toc18461 </w:instrText>
          </w:r>
          <w:r>
            <w:rPr>
              <w:rFonts w:hint="eastAsia" w:ascii="黑体" w:hAnsi="黑体" w:eastAsia="黑体" w:cs="Times New Roman"/>
            </w:rPr>
            <w:fldChar w:fldCharType="separate"/>
          </w:r>
          <w:r>
            <w:rPr>
              <w:rFonts w:hint="eastAsia" w:ascii="黑体" w:hAnsi="黑体" w:eastAsia="黑体" w:cs="Times New Roman"/>
            </w:rPr>
            <w:t>八、一般公共预算财政拨款基本支出决算表</w:t>
          </w:r>
          <w:r>
            <w:rPr>
              <w:rFonts w:hint="eastAsia" w:ascii="黑体" w:hAnsi="黑体" w:eastAsia="黑体" w:cs="Times New Roman"/>
            </w:rPr>
            <w:tab/>
          </w:r>
          <w:r>
            <w:rPr>
              <w:rFonts w:hint="eastAsia" w:ascii="黑体" w:hAnsi="黑体" w:eastAsia="黑体" w:cs="Times New Roman"/>
            </w:rPr>
            <w:fldChar w:fldCharType="begin"/>
          </w:r>
          <w:r>
            <w:rPr>
              <w:rFonts w:hint="eastAsia" w:ascii="黑体" w:hAnsi="黑体" w:eastAsia="黑体" w:cs="Times New Roman"/>
            </w:rPr>
            <w:instrText xml:space="preserve"> PAGEREF _Toc18461 \h </w:instrText>
          </w:r>
          <w:r>
            <w:rPr>
              <w:rFonts w:hint="eastAsia" w:ascii="黑体" w:hAnsi="黑体" w:eastAsia="黑体" w:cs="Times New Roman"/>
            </w:rPr>
            <w:fldChar w:fldCharType="separate"/>
          </w:r>
          <w:r>
            <w:rPr>
              <w:rFonts w:hint="eastAsia" w:ascii="黑体" w:hAnsi="黑体" w:eastAsia="黑体" w:cs="Times New Roman"/>
            </w:rPr>
            <w:t>37</w:t>
          </w:r>
          <w:r>
            <w:rPr>
              <w:rFonts w:hint="eastAsia" w:ascii="黑体" w:hAnsi="黑体" w:eastAsia="黑体" w:cs="Times New Roman"/>
            </w:rPr>
            <w:fldChar w:fldCharType="end"/>
          </w:r>
          <w:r>
            <w:rPr>
              <w:rFonts w:hint="eastAsia" w:ascii="黑体" w:hAnsi="黑体" w:eastAsia="黑体" w:cs="Times New Roman"/>
            </w:rPr>
            <w:fldChar w:fldCharType="end"/>
          </w:r>
        </w:p>
        <w:p w14:paraId="69AA70C1">
          <w:pPr>
            <w:pStyle w:val="12"/>
            <w:tabs>
              <w:tab w:val="right" w:leader="dot" w:pos="8306"/>
              <w:tab w:val="clear" w:pos="8296"/>
            </w:tabs>
            <w:rPr>
              <w:rFonts w:hint="eastAsia" w:ascii="黑体" w:hAnsi="黑体" w:eastAsia="黑体" w:cs="Times New Roman"/>
            </w:rPr>
          </w:pPr>
          <w:r>
            <w:rPr>
              <w:rFonts w:hint="eastAsia" w:ascii="黑体" w:hAnsi="黑体" w:eastAsia="黑体" w:cs="Times New Roman"/>
            </w:rPr>
            <w:fldChar w:fldCharType="begin"/>
          </w:r>
          <w:r>
            <w:rPr>
              <w:rFonts w:hint="eastAsia" w:ascii="黑体" w:hAnsi="黑体" w:eastAsia="黑体" w:cs="Times New Roman"/>
            </w:rPr>
            <w:instrText xml:space="preserve"> HYPERLINK \l _Toc29740 </w:instrText>
          </w:r>
          <w:r>
            <w:rPr>
              <w:rFonts w:hint="eastAsia" w:ascii="黑体" w:hAnsi="黑体" w:eastAsia="黑体" w:cs="Times New Roman"/>
            </w:rPr>
            <w:fldChar w:fldCharType="separate"/>
          </w:r>
          <w:r>
            <w:rPr>
              <w:rFonts w:hint="eastAsia" w:ascii="黑体" w:hAnsi="黑体" w:eastAsia="黑体" w:cs="Times New Roman"/>
            </w:rPr>
            <w:t>九、一般公共预算财政拨款项目支出决算表</w:t>
          </w:r>
          <w:r>
            <w:rPr>
              <w:rFonts w:hint="eastAsia" w:ascii="黑体" w:hAnsi="黑体" w:eastAsia="黑体" w:cs="Times New Roman"/>
            </w:rPr>
            <w:tab/>
          </w:r>
          <w:r>
            <w:rPr>
              <w:rFonts w:hint="eastAsia" w:ascii="黑体" w:hAnsi="黑体" w:eastAsia="黑体" w:cs="Times New Roman"/>
            </w:rPr>
            <w:fldChar w:fldCharType="begin"/>
          </w:r>
          <w:r>
            <w:rPr>
              <w:rFonts w:hint="eastAsia" w:ascii="黑体" w:hAnsi="黑体" w:eastAsia="黑体" w:cs="Times New Roman"/>
            </w:rPr>
            <w:instrText xml:space="preserve"> PAGEREF _Toc29740 \h </w:instrText>
          </w:r>
          <w:r>
            <w:rPr>
              <w:rFonts w:hint="eastAsia" w:ascii="黑体" w:hAnsi="黑体" w:eastAsia="黑体" w:cs="Times New Roman"/>
            </w:rPr>
            <w:fldChar w:fldCharType="separate"/>
          </w:r>
          <w:r>
            <w:rPr>
              <w:rFonts w:hint="eastAsia" w:ascii="黑体" w:hAnsi="黑体" w:eastAsia="黑体" w:cs="Times New Roman"/>
            </w:rPr>
            <w:t>37</w:t>
          </w:r>
          <w:r>
            <w:rPr>
              <w:rFonts w:hint="eastAsia" w:ascii="黑体" w:hAnsi="黑体" w:eastAsia="黑体" w:cs="Times New Roman"/>
            </w:rPr>
            <w:fldChar w:fldCharType="end"/>
          </w:r>
          <w:r>
            <w:rPr>
              <w:rFonts w:hint="eastAsia" w:ascii="黑体" w:hAnsi="黑体" w:eastAsia="黑体" w:cs="Times New Roman"/>
            </w:rPr>
            <w:fldChar w:fldCharType="end"/>
          </w:r>
        </w:p>
        <w:p w14:paraId="5AC2C90F">
          <w:pPr>
            <w:pStyle w:val="12"/>
            <w:tabs>
              <w:tab w:val="right" w:leader="dot" w:pos="8306"/>
              <w:tab w:val="clear" w:pos="8296"/>
            </w:tabs>
            <w:rPr>
              <w:rFonts w:hint="eastAsia" w:ascii="黑体" w:hAnsi="黑体" w:eastAsia="黑体" w:cs="Times New Roman"/>
            </w:rPr>
          </w:pPr>
          <w:r>
            <w:rPr>
              <w:rFonts w:hint="eastAsia" w:ascii="黑体" w:hAnsi="黑体" w:eastAsia="黑体" w:cs="Times New Roman"/>
            </w:rPr>
            <w:fldChar w:fldCharType="begin"/>
          </w:r>
          <w:r>
            <w:rPr>
              <w:rFonts w:hint="eastAsia" w:ascii="黑体" w:hAnsi="黑体" w:eastAsia="黑体" w:cs="Times New Roman"/>
            </w:rPr>
            <w:instrText xml:space="preserve"> HYPERLINK \l _Toc20426 </w:instrText>
          </w:r>
          <w:r>
            <w:rPr>
              <w:rFonts w:hint="eastAsia" w:ascii="黑体" w:hAnsi="黑体" w:eastAsia="黑体" w:cs="Times New Roman"/>
            </w:rPr>
            <w:fldChar w:fldCharType="separate"/>
          </w:r>
          <w:r>
            <w:rPr>
              <w:rFonts w:hint="eastAsia" w:ascii="黑体" w:hAnsi="黑体" w:eastAsia="黑体" w:cs="Times New Roman"/>
            </w:rPr>
            <w:t>十、政府性基金预算财政拨款收入支出决算表</w:t>
          </w:r>
          <w:r>
            <w:rPr>
              <w:rFonts w:hint="eastAsia" w:ascii="黑体" w:hAnsi="黑体" w:eastAsia="黑体" w:cs="Times New Roman"/>
            </w:rPr>
            <w:tab/>
          </w:r>
          <w:r>
            <w:rPr>
              <w:rFonts w:hint="eastAsia" w:ascii="黑体" w:hAnsi="黑体" w:eastAsia="黑体" w:cs="Times New Roman"/>
            </w:rPr>
            <w:fldChar w:fldCharType="begin"/>
          </w:r>
          <w:r>
            <w:rPr>
              <w:rFonts w:hint="eastAsia" w:ascii="黑体" w:hAnsi="黑体" w:eastAsia="黑体" w:cs="Times New Roman"/>
            </w:rPr>
            <w:instrText xml:space="preserve"> PAGEREF _Toc20426 \h </w:instrText>
          </w:r>
          <w:r>
            <w:rPr>
              <w:rFonts w:hint="eastAsia" w:ascii="黑体" w:hAnsi="黑体" w:eastAsia="黑体" w:cs="Times New Roman"/>
            </w:rPr>
            <w:fldChar w:fldCharType="separate"/>
          </w:r>
          <w:r>
            <w:rPr>
              <w:rFonts w:hint="eastAsia" w:ascii="黑体" w:hAnsi="黑体" w:eastAsia="黑体" w:cs="Times New Roman"/>
            </w:rPr>
            <w:t>37</w:t>
          </w:r>
          <w:r>
            <w:rPr>
              <w:rFonts w:hint="eastAsia" w:ascii="黑体" w:hAnsi="黑体" w:eastAsia="黑体" w:cs="Times New Roman"/>
            </w:rPr>
            <w:fldChar w:fldCharType="end"/>
          </w:r>
          <w:r>
            <w:rPr>
              <w:rFonts w:hint="eastAsia" w:ascii="黑体" w:hAnsi="黑体" w:eastAsia="黑体" w:cs="Times New Roman"/>
            </w:rPr>
            <w:fldChar w:fldCharType="end"/>
          </w:r>
        </w:p>
        <w:p w14:paraId="4D7810DC">
          <w:pPr>
            <w:pStyle w:val="12"/>
            <w:tabs>
              <w:tab w:val="right" w:leader="dot" w:pos="8306"/>
              <w:tab w:val="clear" w:pos="8296"/>
            </w:tabs>
            <w:rPr>
              <w:rFonts w:hint="eastAsia" w:ascii="黑体" w:hAnsi="黑体" w:eastAsia="黑体" w:cs="Times New Roman"/>
            </w:rPr>
          </w:pPr>
          <w:r>
            <w:rPr>
              <w:rFonts w:hint="eastAsia" w:ascii="黑体" w:hAnsi="黑体" w:eastAsia="黑体" w:cs="Times New Roman"/>
            </w:rPr>
            <w:fldChar w:fldCharType="begin"/>
          </w:r>
          <w:r>
            <w:rPr>
              <w:rFonts w:hint="eastAsia" w:ascii="黑体" w:hAnsi="黑体" w:eastAsia="黑体" w:cs="Times New Roman"/>
            </w:rPr>
            <w:instrText xml:space="preserve"> HYPERLINK \l _Toc31872 </w:instrText>
          </w:r>
          <w:r>
            <w:rPr>
              <w:rFonts w:hint="eastAsia" w:ascii="黑体" w:hAnsi="黑体" w:eastAsia="黑体" w:cs="Times New Roman"/>
            </w:rPr>
            <w:fldChar w:fldCharType="separate"/>
          </w:r>
          <w:r>
            <w:rPr>
              <w:rFonts w:hint="eastAsia" w:ascii="黑体" w:hAnsi="黑体" w:eastAsia="黑体" w:cs="Times New Roman"/>
            </w:rPr>
            <w:t>十一、国有资本经营预算财政拨款收入支出决算表</w:t>
          </w:r>
          <w:r>
            <w:rPr>
              <w:rFonts w:hint="eastAsia" w:ascii="黑体" w:hAnsi="黑体" w:eastAsia="黑体" w:cs="Times New Roman"/>
            </w:rPr>
            <w:tab/>
          </w:r>
          <w:r>
            <w:rPr>
              <w:rFonts w:hint="eastAsia" w:ascii="黑体" w:hAnsi="黑体" w:eastAsia="黑体" w:cs="Times New Roman"/>
            </w:rPr>
            <w:fldChar w:fldCharType="begin"/>
          </w:r>
          <w:r>
            <w:rPr>
              <w:rFonts w:hint="eastAsia" w:ascii="黑体" w:hAnsi="黑体" w:eastAsia="黑体" w:cs="Times New Roman"/>
            </w:rPr>
            <w:instrText xml:space="preserve"> PAGEREF _Toc31872 \h </w:instrText>
          </w:r>
          <w:r>
            <w:rPr>
              <w:rFonts w:hint="eastAsia" w:ascii="黑体" w:hAnsi="黑体" w:eastAsia="黑体" w:cs="Times New Roman"/>
            </w:rPr>
            <w:fldChar w:fldCharType="separate"/>
          </w:r>
          <w:r>
            <w:rPr>
              <w:rFonts w:hint="eastAsia" w:ascii="黑体" w:hAnsi="黑体" w:eastAsia="黑体" w:cs="Times New Roman"/>
            </w:rPr>
            <w:t>37</w:t>
          </w:r>
          <w:r>
            <w:rPr>
              <w:rFonts w:hint="eastAsia" w:ascii="黑体" w:hAnsi="黑体" w:eastAsia="黑体" w:cs="Times New Roman"/>
            </w:rPr>
            <w:fldChar w:fldCharType="end"/>
          </w:r>
          <w:r>
            <w:rPr>
              <w:rFonts w:hint="eastAsia" w:ascii="黑体" w:hAnsi="黑体" w:eastAsia="黑体" w:cs="Times New Roman"/>
            </w:rPr>
            <w:fldChar w:fldCharType="end"/>
          </w:r>
        </w:p>
        <w:p w14:paraId="623480E5">
          <w:pPr>
            <w:pStyle w:val="12"/>
            <w:tabs>
              <w:tab w:val="right" w:leader="dot" w:pos="8306"/>
              <w:tab w:val="clear" w:pos="8296"/>
            </w:tabs>
            <w:rPr>
              <w:rFonts w:hint="eastAsia" w:ascii="黑体" w:hAnsi="黑体" w:eastAsia="黑体" w:cs="Times New Roman"/>
            </w:rPr>
          </w:pPr>
          <w:r>
            <w:rPr>
              <w:rFonts w:hint="eastAsia" w:ascii="黑体" w:hAnsi="黑体" w:eastAsia="黑体" w:cs="Times New Roman"/>
            </w:rPr>
            <w:fldChar w:fldCharType="begin"/>
          </w:r>
          <w:r>
            <w:rPr>
              <w:rFonts w:hint="eastAsia" w:ascii="黑体" w:hAnsi="黑体" w:eastAsia="黑体" w:cs="Times New Roman"/>
            </w:rPr>
            <w:instrText xml:space="preserve"> HYPERLINK \l _Toc23264 </w:instrText>
          </w:r>
          <w:r>
            <w:rPr>
              <w:rFonts w:hint="eastAsia" w:ascii="黑体" w:hAnsi="黑体" w:eastAsia="黑体" w:cs="Times New Roman"/>
            </w:rPr>
            <w:fldChar w:fldCharType="separate"/>
          </w:r>
          <w:r>
            <w:rPr>
              <w:rFonts w:hint="eastAsia" w:ascii="黑体" w:hAnsi="黑体" w:eastAsia="黑体" w:cs="Times New Roman"/>
            </w:rPr>
            <w:t>十二、国有资本经营预算财政拨款支出决算表</w:t>
          </w:r>
          <w:r>
            <w:rPr>
              <w:rFonts w:hint="eastAsia" w:ascii="黑体" w:hAnsi="黑体" w:eastAsia="黑体" w:cs="Times New Roman"/>
            </w:rPr>
            <w:tab/>
          </w:r>
          <w:r>
            <w:rPr>
              <w:rFonts w:hint="eastAsia" w:ascii="黑体" w:hAnsi="黑体" w:eastAsia="黑体" w:cs="Times New Roman"/>
            </w:rPr>
            <w:fldChar w:fldCharType="begin"/>
          </w:r>
          <w:r>
            <w:rPr>
              <w:rFonts w:hint="eastAsia" w:ascii="黑体" w:hAnsi="黑体" w:eastAsia="黑体" w:cs="Times New Roman"/>
            </w:rPr>
            <w:instrText xml:space="preserve"> PAGEREF _Toc23264 \h </w:instrText>
          </w:r>
          <w:r>
            <w:rPr>
              <w:rFonts w:hint="eastAsia" w:ascii="黑体" w:hAnsi="黑体" w:eastAsia="黑体" w:cs="Times New Roman"/>
            </w:rPr>
            <w:fldChar w:fldCharType="separate"/>
          </w:r>
          <w:r>
            <w:rPr>
              <w:rFonts w:hint="eastAsia" w:ascii="黑体" w:hAnsi="黑体" w:eastAsia="黑体" w:cs="Times New Roman"/>
            </w:rPr>
            <w:t>37</w:t>
          </w:r>
          <w:r>
            <w:rPr>
              <w:rFonts w:hint="eastAsia" w:ascii="黑体" w:hAnsi="黑体" w:eastAsia="黑体" w:cs="Times New Roman"/>
            </w:rPr>
            <w:fldChar w:fldCharType="end"/>
          </w:r>
          <w:r>
            <w:rPr>
              <w:rFonts w:hint="eastAsia" w:ascii="黑体" w:hAnsi="黑体" w:eastAsia="黑体" w:cs="Times New Roman"/>
            </w:rPr>
            <w:fldChar w:fldCharType="end"/>
          </w:r>
        </w:p>
        <w:p w14:paraId="3E57DB8A">
          <w:pPr>
            <w:pStyle w:val="12"/>
            <w:tabs>
              <w:tab w:val="right" w:leader="dot" w:pos="8306"/>
              <w:tab w:val="clear" w:pos="8296"/>
            </w:tabs>
          </w:pPr>
          <w:r>
            <w:rPr>
              <w:rFonts w:hint="eastAsia" w:ascii="黑体" w:hAnsi="黑体" w:eastAsia="黑体" w:cs="Times New Roman"/>
            </w:rPr>
            <w:fldChar w:fldCharType="begin"/>
          </w:r>
          <w:r>
            <w:rPr>
              <w:rFonts w:hint="eastAsia" w:ascii="黑体" w:hAnsi="黑体" w:eastAsia="黑体" w:cs="Times New Roman"/>
            </w:rPr>
            <w:instrText xml:space="preserve"> HYPERLINK \l _Toc26791 </w:instrText>
          </w:r>
          <w:r>
            <w:rPr>
              <w:rFonts w:hint="eastAsia" w:ascii="黑体" w:hAnsi="黑体" w:eastAsia="黑体" w:cs="Times New Roman"/>
            </w:rPr>
            <w:fldChar w:fldCharType="separate"/>
          </w:r>
          <w:r>
            <w:rPr>
              <w:rFonts w:hint="eastAsia" w:ascii="黑体" w:hAnsi="黑体" w:eastAsia="黑体" w:cs="Times New Roman"/>
            </w:rPr>
            <w:t>十三、财政拨款“三公”经费支出决算表</w:t>
          </w:r>
          <w:r>
            <w:rPr>
              <w:rFonts w:hint="eastAsia" w:ascii="黑体" w:hAnsi="黑体" w:eastAsia="黑体" w:cs="Times New Roman"/>
            </w:rPr>
            <w:tab/>
          </w:r>
          <w:r>
            <w:rPr>
              <w:rFonts w:hint="eastAsia" w:ascii="黑体" w:hAnsi="黑体" w:eastAsia="黑体" w:cs="Times New Roman"/>
            </w:rPr>
            <w:fldChar w:fldCharType="begin"/>
          </w:r>
          <w:r>
            <w:rPr>
              <w:rFonts w:hint="eastAsia" w:ascii="黑体" w:hAnsi="黑体" w:eastAsia="黑体" w:cs="Times New Roman"/>
            </w:rPr>
            <w:instrText xml:space="preserve"> PAGEREF _Toc26791 \h </w:instrText>
          </w:r>
          <w:r>
            <w:rPr>
              <w:rFonts w:hint="eastAsia" w:ascii="黑体" w:hAnsi="黑体" w:eastAsia="黑体" w:cs="Times New Roman"/>
            </w:rPr>
            <w:fldChar w:fldCharType="separate"/>
          </w:r>
          <w:r>
            <w:rPr>
              <w:rFonts w:hint="eastAsia" w:ascii="黑体" w:hAnsi="黑体" w:eastAsia="黑体" w:cs="Times New Roman"/>
            </w:rPr>
            <w:t>37</w:t>
          </w:r>
          <w:r>
            <w:rPr>
              <w:rFonts w:hint="eastAsia" w:ascii="黑体" w:hAnsi="黑体" w:eastAsia="黑体" w:cs="Times New Roman"/>
            </w:rPr>
            <w:fldChar w:fldCharType="end"/>
          </w:r>
          <w:r>
            <w:rPr>
              <w:rFonts w:hint="eastAsia" w:ascii="黑体" w:hAnsi="黑体" w:eastAsia="黑体" w:cs="Times New Roman"/>
            </w:rPr>
            <w:fldChar w:fldCharType="end"/>
          </w:r>
        </w:p>
        <w:p w14:paraId="50361A92">
          <w:r>
            <w:fldChar w:fldCharType="end"/>
          </w:r>
        </w:p>
      </w:sdtContent>
    </w:sdt>
    <w:p w14:paraId="266D620E">
      <w:pPr>
        <w:rPr>
          <w:rFonts w:ascii="仿宋" w:hAnsi="仿宋" w:eastAsia="仿宋"/>
          <w:bCs/>
          <w:kern w:val="44"/>
          <w:sz w:val="24"/>
        </w:rPr>
        <w:sectPr>
          <w:footerReference r:id="rId3" w:type="default"/>
          <w:pgSz w:w="11906" w:h="16838"/>
          <w:pgMar w:top="1440" w:right="1800" w:bottom="1440" w:left="1800" w:header="851" w:footer="992" w:gutter="0"/>
          <w:pgNumType w:start="1"/>
          <w:cols w:space="425" w:num="1"/>
          <w:titlePg/>
          <w:docGrid w:type="lines" w:linePitch="312" w:charSpace="0"/>
        </w:sectPr>
      </w:pPr>
    </w:p>
    <w:p w14:paraId="6F32424F">
      <w:pPr>
        <w:pStyle w:val="13"/>
      </w:pPr>
    </w:p>
    <w:p w14:paraId="7472F184">
      <w:pPr>
        <w:pStyle w:val="2"/>
        <w:jc w:val="center"/>
        <w:rPr>
          <w:rStyle w:val="27"/>
          <w:rFonts w:ascii="黑体" w:hAnsi="黑体" w:eastAsia="黑体"/>
          <w:b/>
          <w:bCs w:val="0"/>
        </w:rPr>
      </w:pPr>
      <w:bookmarkStart w:id="14" w:name="_Toc1312"/>
      <w:r>
        <w:rPr>
          <w:rFonts w:hint="eastAsia" w:ascii="黑体" w:hAnsi="黑体" w:eastAsia="黑体"/>
          <w:b w:val="0"/>
        </w:rPr>
        <w:t>第一部分 单位</w:t>
      </w:r>
      <w:r>
        <w:rPr>
          <w:rStyle w:val="27"/>
          <w:rFonts w:hint="eastAsia" w:ascii="黑体" w:hAnsi="黑体" w:eastAsia="黑体"/>
          <w:b w:val="0"/>
          <w:bCs w:val="0"/>
        </w:rPr>
        <w:t>概况</w:t>
      </w:r>
      <w:bookmarkEnd w:id="12"/>
      <w:bookmarkEnd w:id="13"/>
      <w:bookmarkEnd w:id="14"/>
    </w:p>
    <w:p w14:paraId="2A28B57E">
      <w:pPr>
        <w:pStyle w:val="3"/>
        <w:numPr>
          <w:ilvl w:val="0"/>
          <w:numId w:val="1"/>
        </w:numPr>
        <w:rPr>
          <w:rStyle w:val="28"/>
          <w:rFonts w:ascii="黑体" w:hAnsi="黑体" w:eastAsia="黑体"/>
          <w:b w:val="0"/>
          <w:bCs w:val="0"/>
        </w:rPr>
      </w:pPr>
      <w:bookmarkStart w:id="15" w:name="_Toc32341"/>
      <w:bookmarkStart w:id="16" w:name="_Toc15377197"/>
      <w:bookmarkStart w:id="17" w:name="_Toc15396600"/>
      <w:r>
        <w:rPr>
          <w:rStyle w:val="28"/>
          <w:rFonts w:hint="eastAsia" w:ascii="黑体" w:hAnsi="黑体" w:eastAsia="黑体"/>
          <w:b w:val="0"/>
          <w:bCs w:val="0"/>
        </w:rPr>
        <w:t>主要职责</w:t>
      </w:r>
      <w:bookmarkEnd w:id="15"/>
    </w:p>
    <w:p w14:paraId="4D67D27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720"/>
        <w:jc w:val="left"/>
        <w:textAlignment w:val="auto"/>
        <w:rPr>
          <w:rFonts w:hint="default" w:ascii="Times New Roman" w:hAnsi="Times New Roman" w:eastAsia="仿宋_GB2312" w:cs="Times New Roman"/>
          <w:color w:val="000000"/>
          <w:kern w:val="0"/>
          <w:sz w:val="32"/>
          <w:szCs w:val="32"/>
          <w:lang w:val="zh-CN" w:eastAsia="zh-CN" w:bidi="ar"/>
        </w:rPr>
      </w:pPr>
      <w:r>
        <w:rPr>
          <w:rFonts w:hint="default" w:ascii="Times New Roman" w:hAnsi="Times New Roman" w:eastAsia="仿宋_GB2312" w:cs="Times New Roman"/>
          <w:color w:val="000000"/>
          <w:kern w:val="0"/>
          <w:sz w:val="32"/>
          <w:szCs w:val="32"/>
          <w:lang w:val="zh-CN" w:eastAsia="zh-CN" w:bidi="ar"/>
        </w:rPr>
        <w:t>1.贯彻执行国家、省、州、县关于卫生计生工作的方针、政策与法律、法规以及县委、县政府关于卫生计生方面的决策部署，负责起草卫生计生发展的战略目标、规划和政策、十年行动计划和年度计划并组织实施，负责本系统、本部门依法行政工作，落实行政执法责任制，统筹规划全县卫生计生服务资源配置，指导全县卫生计生工作，指导和推动卫生计生公共服务网络体系建设。</w:t>
      </w:r>
    </w:p>
    <w:p w14:paraId="5506FF7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720"/>
        <w:jc w:val="left"/>
        <w:textAlignment w:val="auto"/>
        <w:rPr>
          <w:rFonts w:hint="default" w:ascii="Times New Roman" w:hAnsi="Times New Roman" w:eastAsia="仿宋_GB2312" w:cs="Times New Roman"/>
          <w:color w:val="000000"/>
          <w:kern w:val="0"/>
          <w:sz w:val="32"/>
          <w:szCs w:val="32"/>
          <w:lang w:val="zh-CN" w:eastAsia="zh-CN" w:bidi="ar"/>
        </w:rPr>
      </w:pPr>
      <w:r>
        <w:rPr>
          <w:rFonts w:hint="default" w:ascii="Times New Roman" w:hAnsi="Times New Roman" w:eastAsia="仿宋_GB2312" w:cs="Times New Roman"/>
          <w:color w:val="000000"/>
          <w:kern w:val="0"/>
          <w:sz w:val="32"/>
          <w:szCs w:val="32"/>
          <w:lang w:val="zh-CN" w:eastAsia="zh-CN" w:bidi="ar"/>
        </w:rPr>
        <w:t>2.贯彻落实《传染病防治法》，负责制定全县疾病预防控制规划、免疫规划、严重危害人民健康的公共卫生问题的干预措施并组织实施，组织开展大骨节病、包虫病等地方病，肝炎、结核病、艾滋病等传染病和糖尿病、高血压等慢性非传染性疾病监测、预防和控制。根据国家检疫传染病和监测传染病目录，制定全县卫生应急和紧急医学救援预案、突发公共卫生事件监测和风险评估计划，组织和指导全县突发公共卫生事件预防控制和各类突发公共事件的医疗卫生救援，依法发布法定报告传染病疫情相关信息、突发公共卫生事件应急处置信息。</w:t>
      </w:r>
    </w:p>
    <w:p w14:paraId="683AA9E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720"/>
        <w:jc w:val="left"/>
        <w:textAlignment w:val="auto"/>
        <w:rPr>
          <w:rFonts w:hint="default" w:ascii="Times New Roman" w:hAnsi="Times New Roman" w:eastAsia="仿宋_GB2312" w:cs="Times New Roman"/>
          <w:color w:val="000000"/>
          <w:kern w:val="0"/>
          <w:sz w:val="32"/>
          <w:szCs w:val="32"/>
          <w:lang w:val="zh-CN" w:eastAsia="zh-CN" w:bidi="ar"/>
        </w:rPr>
      </w:pPr>
      <w:r>
        <w:rPr>
          <w:rFonts w:hint="default" w:ascii="Times New Roman" w:hAnsi="Times New Roman" w:eastAsia="仿宋_GB2312" w:cs="Times New Roman"/>
          <w:color w:val="000000"/>
          <w:kern w:val="0"/>
          <w:sz w:val="32"/>
          <w:szCs w:val="32"/>
          <w:lang w:val="zh-CN" w:eastAsia="zh-CN" w:bidi="ar"/>
        </w:rPr>
        <w:t>3.贯彻实施职责范围内的职业卫生、放射卫生、环境卫生、学校卫生、公共场所卫生、饮用水卫生管理规范、标准和政策措施，组织开展相关监测、调查、评估和监督，负责传染病防治监督，组织实施食品安全风险监测，依法授权开展食品安全企业标准备案，为食源性疾病及与食品安全事故有关的流行病学调查提供技术支持。</w:t>
      </w:r>
    </w:p>
    <w:p w14:paraId="378A033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720"/>
        <w:jc w:val="left"/>
        <w:textAlignment w:val="auto"/>
        <w:rPr>
          <w:rFonts w:hint="default" w:ascii="Times New Roman" w:hAnsi="Times New Roman" w:eastAsia="仿宋_GB2312" w:cs="Times New Roman"/>
          <w:color w:val="000000"/>
          <w:kern w:val="0"/>
          <w:sz w:val="32"/>
          <w:szCs w:val="32"/>
          <w:lang w:val="zh-CN" w:eastAsia="zh-CN" w:bidi="ar"/>
        </w:rPr>
      </w:pPr>
      <w:r>
        <w:rPr>
          <w:rFonts w:hint="default" w:ascii="Times New Roman" w:hAnsi="Times New Roman" w:eastAsia="仿宋_GB2312" w:cs="Times New Roman"/>
          <w:color w:val="000000"/>
          <w:kern w:val="0"/>
          <w:sz w:val="32"/>
          <w:szCs w:val="32"/>
          <w:lang w:val="zh-CN" w:eastAsia="zh-CN" w:bidi="ar"/>
        </w:rPr>
        <w:t>4.负责组织拟订并实施基层卫生和妇幼卫生、计划生育服务发展规划和政策措施，指导全县基层卫生和妇幼卫生、计划生育服务体系建设，推进基本公共卫生计生服务均等化，完善基层运行新机制和乡村医生管理制度。</w:t>
      </w:r>
    </w:p>
    <w:p w14:paraId="610EE284">
      <w:r>
        <w:rPr>
          <w:rFonts w:hint="default" w:ascii="Times New Roman" w:hAnsi="Times New Roman" w:eastAsia="仿宋_GB2312" w:cs="Times New Roman"/>
          <w:color w:val="000000"/>
          <w:kern w:val="0"/>
          <w:sz w:val="32"/>
          <w:szCs w:val="32"/>
          <w:lang w:val="zh-CN" w:eastAsia="zh-CN" w:bidi="ar"/>
        </w:rPr>
        <w:t>5.负责全县医疗机构医疗服务的全行业监督管理，实施医疗机构医疗服务、技术、医疗质量和采供血机构管理的政策、规范、标准，实施医疗机构、从业人员执业许可制度以及医疗卫生职业道德规范，建立全县医疗机构医疗服务评价和监督体系，依法监督管理血站的采供血及临床用血质量。</w:t>
      </w:r>
    </w:p>
    <w:p w14:paraId="22DAB8F7">
      <w:pPr>
        <w:pStyle w:val="3"/>
        <w:rPr>
          <w:rFonts w:hint="eastAsia" w:ascii="黑体" w:hAnsi="黑体" w:eastAsia="黑体"/>
          <w:b w:val="0"/>
        </w:rPr>
      </w:pPr>
      <w:bookmarkStart w:id="18" w:name="_Toc25142"/>
      <w:r>
        <w:rPr>
          <w:rFonts w:hint="eastAsia" w:ascii="黑体" w:hAnsi="黑体" w:eastAsia="黑体"/>
          <w:b w:val="0"/>
        </w:rPr>
        <w:t>二、机构设置</w:t>
      </w:r>
      <w:bookmarkEnd w:id="18"/>
    </w:p>
    <w:p w14:paraId="6651C10B">
      <w:pPr>
        <w:bidi w:val="0"/>
        <w:ind w:firstLine="643" w:firstLineChars="200"/>
        <w:rPr>
          <w:rFonts w:hint="eastAsia" w:ascii="仿宋" w:hAnsi="仿宋" w:eastAsia="仿宋" w:cs="仿宋"/>
          <w:b/>
          <w:bCs/>
          <w:sz w:val="32"/>
          <w:szCs w:val="32"/>
          <w:lang w:val="zh-CN" w:eastAsia="zh-CN"/>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lang w:val="zh-CN" w:eastAsia="zh-CN"/>
        </w:rPr>
        <w:t>机构组成</w:t>
      </w:r>
    </w:p>
    <w:p w14:paraId="28415587">
      <w:pPr>
        <w:spacing w:line="600" w:lineRule="exact"/>
        <w:ind w:firstLine="640" w:firstLineChars="200"/>
        <w:rPr>
          <w:rFonts w:hint="eastAsia" w:ascii="仿宋" w:hAnsi="仿宋" w:eastAsia="仿宋" w:cs="Times New Roman"/>
          <w:sz w:val="32"/>
          <w:szCs w:val="32"/>
          <w:lang w:val="zh-CN" w:eastAsia="zh-CN"/>
        </w:rPr>
      </w:pPr>
      <w:r>
        <w:rPr>
          <w:rFonts w:hint="eastAsia" w:ascii="仿宋" w:hAnsi="仿宋" w:eastAsia="仿宋" w:cs="Times New Roman"/>
          <w:sz w:val="32"/>
          <w:szCs w:val="32"/>
          <w:lang w:val="en-US" w:eastAsia="zh-CN"/>
        </w:rPr>
        <w:t>本</w:t>
      </w:r>
      <w:r>
        <w:rPr>
          <w:rFonts w:hint="eastAsia" w:ascii="仿宋" w:hAnsi="仿宋" w:eastAsia="仿宋" w:cs="Times New Roman"/>
          <w:sz w:val="32"/>
          <w:szCs w:val="32"/>
          <w:lang w:val="zh-CN" w:eastAsia="zh-CN"/>
        </w:rPr>
        <w:t>单位为独立核算全额拨款行政单位，下设医改办、爱卫办、计生协会、流动人口管理办、</w:t>
      </w:r>
      <w:r>
        <w:rPr>
          <w:rFonts w:hint="eastAsia" w:ascii="仿宋" w:hAnsi="仿宋" w:eastAsia="仿宋" w:cs="Times New Roman"/>
          <w:sz w:val="32"/>
          <w:szCs w:val="32"/>
          <w:lang w:val="en-US" w:eastAsia="zh-CN"/>
        </w:rPr>
        <w:t>卫生和计生执法监督大队</w:t>
      </w:r>
      <w:r>
        <w:rPr>
          <w:rFonts w:hint="eastAsia" w:ascii="仿宋" w:hAnsi="仿宋" w:eastAsia="仿宋" w:cs="Times New Roman"/>
          <w:sz w:val="32"/>
          <w:szCs w:val="32"/>
          <w:lang w:val="zh-CN" w:eastAsia="zh-CN"/>
        </w:rPr>
        <w:t>共</w:t>
      </w:r>
      <w:r>
        <w:rPr>
          <w:rFonts w:hint="eastAsia" w:ascii="仿宋" w:hAnsi="仿宋" w:eastAsia="仿宋" w:cs="Times New Roman"/>
          <w:sz w:val="32"/>
          <w:szCs w:val="32"/>
          <w:lang w:val="en-US" w:eastAsia="zh-CN"/>
        </w:rPr>
        <w:t>5</w:t>
      </w:r>
      <w:r>
        <w:rPr>
          <w:rFonts w:hint="eastAsia" w:ascii="仿宋" w:hAnsi="仿宋" w:eastAsia="仿宋" w:cs="Times New Roman"/>
          <w:sz w:val="32"/>
          <w:szCs w:val="32"/>
          <w:lang w:val="zh-CN" w:eastAsia="zh-CN"/>
        </w:rPr>
        <w:t>个机构。</w:t>
      </w:r>
    </w:p>
    <w:p w14:paraId="3B430E64">
      <w:pPr>
        <w:bidi w:val="0"/>
        <w:ind w:firstLine="643" w:firstLineChars="200"/>
        <w:rPr>
          <w:rFonts w:hint="eastAsia" w:ascii="仿宋" w:hAnsi="仿宋" w:eastAsia="仿宋" w:cs="仿宋"/>
          <w:b/>
          <w:bCs/>
          <w:sz w:val="32"/>
          <w:szCs w:val="32"/>
          <w:lang w:val="zh-CN" w:eastAsia="zh-CN"/>
        </w:rPr>
      </w:pPr>
      <w:r>
        <w:rPr>
          <w:rFonts w:hint="eastAsia" w:ascii="仿宋" w:hAnsi="仿宋" w:eastAsia="仿宋" w:cs="仿宋"/>
          <w:b/>
          <w:bCs/>
          <w:sz w:val="32"/>
          <w:szCs w:val="32"/>
          <w:lang w:val="en-US" w:eastAsia="zh-CN"/>
        </w:rPr>
        <w:t>（二）</w:t>
      </w:r>
      <w:r>
        <w:rPr>
          <w:rFonts w:hint="eastAsia" w:ascii="仿宋" w:hAnsi="仿宋" w:eastAsia="仿宋" w:cs="仿宋"/>
          <w:b/>
          <w:bCs/>
          <w:sz w:val="32"/>
          <w:szCs w:val="32"/>
          <w:lang w:val="zh-CN" w:eastAsia="zh-CN"/>
        </w:rPr>
        <w:t>人员概况</w:t>
      </w:r>
    </w:p>
    <w:p w14:paraId="0BA564C6">
      <w:pPr>
        <w:spacing w:line="600" w:lineRule="exact"/>
        <w:ind w:firstLine="640" w:firstLineChars="200"/>
        <w:rPr>
          <w:rFonts w:hint="default" w:ascii="仿宋" w:hAnsi="仿宋" w:eastAsia="仿宋" w:cs="Times New Roman"/>
          <w:sz w:val="32"/>
          <w:szCs w:val="32"/>
          <w:lang w:val="en-US" w:eastAsia="zh-CN"/>
        </w:rPr>
      </w:pPr>
      <w:r>
        <w:rPr>
          <w:rFonts w:hint="default" w:ascii="仿宋" w:hAnsi="仿宋" w:eastAsia="仿宋" w:cs="Times New Roman"/>
          <w:sz w:val="32"/>
          <w:szCs w:val="32"/>
          <w:lang w:val="en-US" w:eastAsia="zh-CN"/>
        </w:rPr>
        <w:t>202</w:t>
      </w:r>
      <w:r>
        <w:rPr>
          <w:rFonts w:hint="eastAsia" w:ascii="仿宋" w:hAnsi="仿宋" w:eastAsia="仿宋" w:cs="Times New Roman"/>
          <w:sz w:val="32"/>
          <w:szCs w:val="32"/>
          <w:lang w:val="en-US" w:eastAsia="zh-CN"/>
        </w:rPr>
        <w:t>3</w:t>
      </w:r>
      <w:r>
        <w:rPr>
          <w:rFonts w:hint="default" w:ascii="仿宋" w:hAnsi="仿宋" w:eastAsia="仿宋" w:cs="Times New Roman"/>
          <w:sz w:val="32"/>
          <w:szCs w:val="32"/>
          <w:lang w:val="en-US" w:eastAsia="zh-CN"/>
        </w:rPr>
        <w:t>年</w:t>
      </w:r>
      <w:r>
        <w:rPr>
          <w:rFonts w:hint="eastAsia" w:ascii="仿宋" w:hAnsi="仿宋" w:eastAsia="仿宋" w:cs="Times New Roman"/>
          <w:sz w:val="32"/>
          <w:szCs w:val="32"/>
          <w:lang w:val="en-US" w:eastAsia="zh-CN"/>
        </w:rPr>
        <w:t>本单位</w:t>
      </w:r>
      <w:r>
        <w:rPr>
          <w:rFonts w:hint="default" w:ascii="仿宋" w:hAnsi="仿宋" w:eastAsia="仿宋" w:cs="Times New Roman"/>
          <w:sz w:val="32"/>
          <w:szCs w:val="32"/>
          <w:lang w:val="en-US" w:eastAsia="zh-CN"/>
        </w:rPr>
        <w:t>共有编制</w:t>
      </w:r>
      <w:r>
        <w:rPr>
          <w:rFonts w:hint="eastAsia" w:ascii="仿宋" w:hAnsi="仿宋" w:eastAsia="仿宋" w:cs="Times New Roman"/>
          <w:sz w:val="32"/>
          <w:szCs w:val="32"/>
          <w:lang w:val="en-US" w:eastAsia="zh-CN"/>
        </w:rPr>
        <w:t>31</w:t>
      </w:r>
      <w:r>
        <w:rPr>
          <w:rFonts w:hint="default" w:ascii="仿宋" w:hAnsi="仿宋" w:eastAsia="仿宋" w:cs="Times New Roman"/>
          <w:sz w:val="32"/>
          <w:szCs w:val="32"/>
          <w:lang w:val="en-US" w:eastAsia="zh-CN"/>
        </w:rPr>
        <w:t>个，其中行政编制</w:t>
      </w:r>
      <w:r>
        <w:rPr>
          <w:rFonts w:hint="eastAsia" w:ascii="仿宋" w:hAnsi="仿宋" w:eastAsia="仿宋" w:cs="Times New Roman"/>
          <w:sz w:val="32"/>
          <w:szCs w:val="32"/>
          <w:lang w:val="en-US" w:eastAsia="zh-CN"/>
        </w:rPr>
        <w:t>10</w:t>
      </w:r>
      <w:r>
        <w:rPr>
          <w:rFonts w:hint="default" w:ascii="仿宋" w:hAnsi="仿宋" w:eastAsia="仿宋" w:cs="Times New Roman"/>
          <w:sz w:val="32"/>
          <w:szCs w:val="32"/>
          <w:lang w:val="en-US" w:eastAsia="zh-CN"/>
        </w:rPr>
        <w:t>名、事业参公编制</w:t>
      </w:r>
      <w:r>
        <w:rPr>
          <w:rFonts w:hint="eastAsia" w:ascii="仿宋" w:hAnsi="仿宋" w:eastAsia="仿宋" w:cs="Times New Roman"/>
          <w:sz w:val="32"/>
          <w:szCs w:val="32"/>
          <w:lang w:val="en-US" w:eastAsia="zh-CN"/>
        </w:rPr>
        <w:t>10</w:t>
      </w:r>
      <w:r>
        <w:rPr>
          <w:rFonts w:hint="default" w:ascii="仿宋" w:hAnsi="仿宋" w:eastAsia="仿宋" w:cs="Times New Roman"/>
          <w:sz w:val="32"/>
          <w:szCs w:val="32"/>
          <w:lang w:val="en-US" w:eastAsia="zh-CN"/>
        </w:rPr>
        <w:t>名,</w:t>
      </w:r>
      <w:r>
        <w:rPr>
          <w:rFonts w:hint="default" w:ascii="仿宋" w:hAnsi="仿宋" w:eastAsia="仿宋" w:cs="Times New Roman"/>
          <w:sz w:val="32"/>
          <w:szCs w:val="32"/>
          <w:lang w:val="zh-CN" w:eastAsia="zh-CN"/>
        </w:rPr>
        <w:t>事业编制</w:t>
      </w:r>
      <w:r>
        <w:rPr>
          <w:rFonts w:hint="default" w:ascii="仿宋" w:hAnsi="仿宋" w:eastAsia="仿宋" w:cs="Times New Roman"/>
          <w:sz w:val="32"/>
          <w:szCs w:val="32"/>
          <w:lang w:val="en-US" w:eastAsia="zh-CN"/>
        </w:rPr>
        <w:t>11</w:t>
      </w:r>
      <w:r>
        <w:rPr>
          <w:rFonts w:hint="default" w:ascii="仿宋" w:hAnsi="仿宋" w:eastAsia="仿宋" w:cs="Times New Roman"/>
          <w:sz w:val="32"/>
          <w:szCs w:val="32"/>
          <w:lang w:val="zh-CN" w:eastAsia="zh-CN"/>
        </w:rPr>
        <w:t>名，</w:t>
      </w:r>
      <w:r>
        <w:rPr>
          <w:rFonts w:hint="default" w:ascii="仿宋" w:hAnsi="仿宋" w:eastAsia="仿宋" w:cs="Times New Roman"/>
          <w:sz w:val="32"/>
          <w:szCs w:val="32"/>
          <w:lang w:val="en-US" w:eastAsia="zh-CN"/>
        </w:rPr>
        <w:t>在职共计2</w:t>
      </w:r>
      <w:r>
        <w:rPr>
          <w:rFonts w:hint="eastAsia" w:ascii="仿宋" w:hAnsi="仿宋" w:eastAsia="仿宋" w:cs="Times New Roman"/>
          <w:sz w:val="32"/>
          <w:szCs w:val="32"/>
          <w:lang w:val="en-US" w:eastAsia="zh-CN"/>
        </w:rPr>
        <w:t>7</w:t>
      </w:r>
      <w:r>
        <w:rPr>
          <w:rFonts w:hint="default" w:ascii="仿宋" w:hAnsi="仿宋" w:eastAsia="仿宋" w:cs="Times New Roman"/>
          <w:sz w:val="32"/>
          <w:szCs w:val="32"/>
          <w:lang w:val="en-US" w:eastAsia="zh-CN"/>
        </w:rPr>
        <w:t>人。</w:t>
      </w:r>
    </w:p>
    <w:p w14:paraId="5AA1FEDB"/>
    <w:bookmarkEnd w:id="16"/>
    <w:bookmarkEnd w:id="17"/>
    <w:p w14:paraId="4325BFB8">
      <w:pPr>
        <w:widowControl/>
        <w:jc w:val="left"/>
        <w:rPr>
          <w:rFonts w:ascii="仿宋" w:hAnsi="仿宋" w:eastAsia="仿宋"/>
          <w:kern w:val="0"/>
          <w:sz w:val="32"/>
          <w:szCs w:val="32"/>
        </w:rPr>
      </w:pPr>
      <w:r>
        <w:rPr>
          <w:rFonts w:ascii="仿宋" w:hAnsi="仿宋" w:eastAsia="仿宋"/>
          <w:sz w:val="32"/>
          <w:szCs w:val="32"/>
        </w:rPr>
        <w:br w:type="page"/>
      </w:r>
    </w:p>
    <w:p w14:paraId="2F5B61E0">
      <w:pPr>
        <w:pStyle w:val="2"/>
        <w:ind w:right="440"/>
        <w:jc w:val="center"/>
        <w:rPr>
          <w:rStyle w:val="27"/>
          <w:rFonts w:ascii="黑体" w:hAnsi="黑体" w:eastAsia="黑体"/>
          <w:b w:val="0"/>
          <w:bCs/>
        </w:rPr>
      </w:pPr>
      <w:bookmarkStart w:id="19" w:name="_Toc15396602"/>
      <w:bookmarkStart w:id="20" w:name="_Toc15377204"/>
      <w:bookmarkStart w:id="21" w:name="_Toc21767"/>
      <w:r>
        <w:rPr>
          <w:rFonts w:hint="eastAsia" w:ascii="黑体" w:hAnsi="黑体" w:eastAsia="黑体"/>
          <w:b w:val="0"/>
        </w:rPr>
        <w:t>第二部分 2023年度</w:t>
      </w:r>
      <w:r>
        <w:rPr>
          <w:rStyle w:val="27"/>
          <w:rFonts w:hint="eastAsia" w:ascii="黑体" w:hAnsi="黑体" w:eastAsia="黑体"/>
          <w:b w:val="0"/>
          <w:bCs/>
        </w:rPr>
        <w:t>单位决算情况说明</w:t>
      </w:r>
      <w:bookmarkEnd w:id="19"/>
      <w:bookmarkEnd w:id="20"/>
      <w:bookmarkEnd w:id="21"/>
    </w:p>
    <w:p w14:paraId="4E3F3D41"/>
    <w:p w14:paraId="5F4677CF">
      <w:pPr>
        <w:pStyle w:val="26"/>
        <w:numPr>
          <w:ilvl w:val="0"/>
          <w:numId w:val="2"/>
        </w:numPr>
        <w:spacing w:line="600" w:lineRule="exact"/>
        <w:ind w:firstLineChars="0"/>
        <w:outlineLvl w:val="1"/>
        <w:rPr>
          <w:rStyle w:val="28"/>
          <w:rFonts w:ascii="黑体" w:hAnsi="黑体" w:eastAsia="黑体"/>
          <w:b w:val="0"/>
        </w:rPr>
      </w:pPr>
      <w:bookmarkStart w:id="22" w:name="_Toc14950"/>
      <w:bookmarkStart w:id="23" w:name="_Toc15377205"/>
      <w:bookmarkStart w:id="24" w:name="_Toc15396603"/>
      <w:r>
        <w:rPr>
          <w:rFonts w:hint="eastAsia" w:ascii="黑体" w:hAnsi="黑体" w:eastAsia="黑体"/>
          <w:sz w:val="32"/>
          <w:szCs w:val="32"/>
        </w:rPr>
        <w:t>收</w:t>
      </w:r>
      <w:r>
        <w:rPr>
          <w:rStyle w:val="28"/>
          <w:rFonts w:hint="eastAsia" w:ascii="黑体" w:hAnsi="黑体" w:eastAsia="黑体"/>
          <w:b w:val="0"/>
        </w:rPr>
        <w:t>入支出决算总体情况说明</w:t>
      </w:r>
      <w:bookmarkEnd w:id="22"/>
      <w:bookmarkEnd w:id="23"/>
      <w:bookmarkEnd w:id="24"/>
    </w:p>
    <w:p w14:paraId="3AA971B0">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2023年度收、支总计均为</w:t>
      </w:r>
      <w:r>
        <w:rPr>
          <w:rFonts w:hint="eastAsia" w:ascii="仿宋" w:hAnsi="仿宋" w:eastAsia="仿宋"/>
          <w:b/>
          <w:sz w:val="32"/>
          <w:szCs w:val="32"/>
        </w:rPr>
        <w:t>3077.82</w:t>
      </w:r>
      <w:r>
        <w:rPr>
          <w:rFonts w:hint="eastAsia" w:ascii="仿宋" w:hAnsi="仿宋" w:eastAsia="仿宋"/>
          <w:sz w:val="32"/>
          <w:szCs w:val="32"/>
        </w:rPr>
        <w:t>万元。与2022年度相比，收、支总计各减少314.84万元，下降9.28</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2023年度本单位项目支出减少</w:t>
      </w:r>
      <w:r>
        <w:rPr>
          <w:rFonts w:hint="eastAsia" w:ascii="仿宋" w:hAnsi="仿宋" w:eastAsia="仿宋"/>
          <w:sz w:val="32"/>
          <w:szCs w:val="32"/>
        </w:rPr>
        <w:t>。</w:t>
      </w:r>
    </w:p>
    <w:p w14:paraId="57149781">
      <w:pPr>
        <w:pStyle w:val="13"/>
        <w:ind w:left="0" w:leftChars="0" w:firstLine="0" w:firstLineChars="0"/>
        <w:jc w:val="center"/>
      </w:pPr>
      <w:r>
        <w:drawing>
          <wp:inline distT="0" distB="0" distL="114300" distR="114300">
            <wp:extent cx="4927600" cy="2595880"/>
            <wp:effectExtent l="4445" t="4445" r="8255" b="15875"/>
            <wp:docPr id="415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9E29A68">
      <w:pPr>
        <w:spacing w:line="600" w:lineRule="exact"/>
        <w:ind w:firstLine="640" w:firstLineChars="200"/>
        <w:jc w:val="center"/>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w:t>
      </w:r>
    </w:p>
    <w:p w14:paraId="53FE5E08">
      <w:pPr>
        <w:spacing w:line="600" w:lineRule="exact"/>
        <w:ind w:firstLine="640" w:firstLineChars="200"/>
        <w:jc w:val="left"/>
        <w:rPr>
          <w:rFonts w:ascii="仿宋_GB2312" w:eastAsia="仿宋_GB2312"/>
          <w:sz w:val="32"/>
          <w:szCs w:val="32"/>
        </w:rPr>
      </w:pPr>
    </w:p>
    <w:p w14:paraId="491357FB">
      <w:pPr>
        <w:pStyle w:val="26"/>
        <w:numPr>
          <w:ilvl w:val="0"/>
          <w:numId w:val="2"/>
        </w:numPr>
        <w:spacing w:line="600" w:lineRule="exact"/>
        <w:ind w:firstLineChars="0"/>
        <w:outlineLvl w:val="1"/>
        <w:rPr>
          <w:rStyle w:val="28"/>
          <w:rFonts w:ascii="黑体" w:hAnsi="黑体" w:eastAsia="黑体"/>
          <w:b w:val="0"/>
        </w:rPr>
      </w:pPr>
      <w:bookmarkStart w:id="25" w:name="_Toc17731"/>
      <w:bookmarkStart w:id="26" w:name="_Toc15396604"/>
      <w:bookmarkStart w:id="27" w:name="_Toc15377206"/>
      <w:r>
        <w:rPr>
          <w:rFonts w:hint="eastAsia" w:ascii="黑体" w:hAnsi="黑体" w:eastAsia="黑体"/>
          <w:sz w:val="32"/>
          <w:szCs w:val="32"/>
        </w:rPr>
        <w:t>收</w:t>
      </w:r>
      <w:r>
        <w:rPr>
          <w:rStyle w:val="28"/>
          <w:rFonts w:hint="eastAsia" w:ascii="黑体" w:hAnsi="黑体" w:eastAsia="黑体"/>
          <w:b w:val="0"/>
        </w:rPr>
        <w:t>入决算情况说明</w:t>
      </w:r>
      <w:bookmarkEnd w:id="25"/>
      <w:bookmarkEnd w:id="26"/>
      <w:bookmarkEnd w:id="27"/>
    </w:p>
    <w:p w14:paraId="206F7308">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sz w:val="32"/>
          <w:szCs w:val="32"/>
        </w:rPr>
      </w:pPr>
      <w:r>
        <w:rPr>
          <w:rFonts w:hint="eastAsia" w:ascii="仿宋" w:hAnsi="仿宋" w:eastAsia="仿宋"/>
          <w:sz w:val="32"/>
          <w:szCs w:val="32"/>
        </w:rPr>
        <w:t>2023年度本年收入合计</w:t>
      </w:r>
      <w:r>
        <w:rPr>
          <w:rFonts w:ascii="仿宋" w:hAnsi="仿宋" w:eastAsia="仿宋"/>
          <w:b/>
          <w:sz w:val="32"/>
          <w:szCs w:val="32"/>
        </w:rPr>
        <w:t>3077.82</w:t>
      </w:r>
      <w:r>
        <w:rPr>
          <w:rFonts w:hint="eastAsia" w:ascii="仿宋" w:hAnsi="仿宋" w:eastAsia="仿宋"/>
          <w:sz w:val="32"/>
          <w:szCs w:val="32"/>
        </w:rPr>
        <w:t>万元，其中：一般公共预算财政拨款收入</w:t>
      </w:r>
      <w:r>
        <w:rPr>
          <w:rFonts w:ascii="仿宋" w:hAnsi="仿宋" w:eastAsia="仿宋"/>
          <w:b/>
          <w:sz w:val="32"/>
          <w:szCs w:val="32"/>
        </w:rPr>
        <w:t>3077.15</w:t>
      </w:r>
      <w:r>
        <w:rPr>
          <w:rFonts w:hint="eastAsia" w:ascii="仿宋" w:hAnsi="仿宋" w:eastAsia="仿宋"/>
          <w:sz w:val="32"/>
          <w:szCs w:val="32"/>
        </w:rPr>
        <w:t>万元，占</w:t>
      </w:r>
      <w:r>
        <w:rPr>
          <w:rFonts w:ascii="仿宋" w:hAnsi="仿宋" w:eastAsia="仿宋"/>
          <w:b/>
          <w:sz w:val="32"/>
          <w:szCs w:val="32"/>
        </w:rPr>
        <w:t>99.97%</w:t>
      </w:r>
      <w:r>
        <w:rPr>
          <w:rFonts w:hint="eastAsia" w:ascii="仿宋" w:hAnsi="仿宋" w:eastAsia="仿宋"/>
          <w:sz w:val="32"/>
          <w:szCs w:val="32"/>
        </w:rPr>
        <w:t>；政府性基金预算财政拨款收入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；上级补助收入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；事业收入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；附属单位上缴收入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；其他收入</w:t>
      </w:r>
      <w:r>
        <w:rPr>
          <w:rFonts w:ascii="仿宋" w:hAnsi="仿宋" w:eastAsia="仿宋"/>
          <w:b/>
          <w:sz w:val="32"/>
          <w:szCs w:val="32"/>
        </w:rPr>
        <w:t>0.67</w:t>
      </w:r>
      <w:r>
        <w:rPr>
          <w:rFonts w:hint="eastAsia" w:ascii="仿宋" w:hAnsi="仿宋" w:eastAsia="仿宋"/>
          <w:sz w:val="32"/>
          <w:szCs w:val="32"/>
        </w:rPr>
        <w:t>万元，占</w:t>
      </w:r>
      <w:r>
        <w:rPr>
          <w:rFonts w:ascii="仿宋" w:hAnsi="仿宋" w:eastAsia="仿宋"/>
          <w:b/>
          <w:sz w:val="32"/>
          <w:szCs w:val="32"/>
        </w:rPr>
        <w:t>0.02</w:t>
      </w:r>
      <w:r>
        <w:rPr>
          <w:rFonts w:ascii="仿宋" w:hAnsi="仿宋" w:eastAsia="仿宋"/>
          <w:sz w:val="32"/>
          <w:szCs w:val="32"/>
        </w:rPr>
        <w:t>%</w:t>
      </w:r>
    </w:p>
    <w:p w14:paraId="60A0AB0B">
      <w:pPr>
        <w:pStyle w:val="13"/>
        <w:ind w:left="0" w:leftChars="0" w:firstLine="0" w:firstLineChars="0"/>
        <w:jc w:val="center"/>
      </w:pPr>
      <w:r>
        <w:drawing>
          <wp:inline distT="0" distB="0" distL="114300" distR="114300">
            <wp:extent cx="4458970" cy="2730500"/>
            <wp:effectExtent l="4445" t="5080" r="6985" b="7620"/>
            <wp:docPr id="116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B33FD81">
      <w:pPr>
        <w:spacing w:line="600" w:lineRule="exact"/>
        <w:ind w:firstLine="640" w:firstLineChars="200"/>
        <w:jc w:val="center"/>
        <w:rPr>
          <w:rFonts w:ascii="仿宋" w:hAnsi="仿宋" w:eastAsia="仿宋"/>
          <w:sz w:val="32"/>
          <w:szCs w:val="32"/>
        </w:rPr>
      </w:pPr>
      <w:r>
        <w:rPr>
          <w:rFonts w:hint="eastAsia" w:ascii="仿宋" w:hAnsi="仿宋" w:eastAsia="仿宋"/>
          <w:sz w:val="32"/>
          <w:szCs w:val="32"/>
        </w:rPr>
        <w:t>（图2：收入决算结构图）</w:t>
      </w:r>
    </w:p>
    <w:p w14:paraId="5909E7C5">
      <w:pPr>
        <w:spacing w:line="600" w:lineRule="exact"/>
        <w:ind w:firstLine="640" w:firstLineChars="200"/>
        <w:rPr>
          <w:rFonts w:ascii="仿宋_GB2312" w:eastAsia="仿宋_GB2312"/>
          <w:sz w:val="32"/>
          <w:szCs w:val="32"/>
        </w:rPr>
      </w:pPr>
    </w:p>
    <w:p w14:paraId="287919AB">
      <w:pPr>
        <w:pStyle w:val="26"/>
        <w:numPr>
          <w:ilvl w:val="0"/>
          <w:numId w:val="2"/>
        </w:numPr>
        <w:spacing w:line="600" w:lineRule="exact"/>
        <w:ind w:firstLineChars="0"/>
        <w:outlineLvl w:val="1"/>
        <w:rPr>
          <w:rStyle w:val="28"/>
          <w:rFonts w:ascii="黑体" w:hAnsi="黑体" w:eastAsia="黑体"/>
          <w:b w:val="0"/>
        </w:rPr>
      </w:pPr>
      <w:bookmarkStart w:id="28" w:name="_Toc15377207"/>
      <w:bookmarkStart w:id="29" w:name="_Toc22129"/>
      <w:bookmarkStart w:id="30" w:name="_Toc15396605"/>
      <w:r>
        <w:rPr>
          <w:rFonts w:hint="eastAsia" w:ascii="黑体" w:hAnsi="黑体" w:eastAsia="黑体"/>
          <w:sz w:val="32"/>
          <w:szCs w:val="32"/>
        </w:rPr>
        <w:t>支</w:t>
      </w:r>
      <w:r>
        <w:rPr>
          <w:rStyle w:val="28"/>
          <w:rFonts w:hint="eastAsia" w:ascii="黑体" w:hAnsi="黑体" w:eastAsia="黑体"/>
          <w:b w:val="0"/>
        </w:rPr>
        <w:t>出决算情况说明</w:t>
      </w:r>
      <w:bookmarkEnd w:id="28"/>
      <w:bookmarkEnd w:id="29"/>
      <w:bookmarkEnd w:id="30"/>
    </w:p>
    <w:p w14:paraId="751CEF1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sz w:val="32"/>
          <w:szCs w:val="32"/>
        </w:rPr>
      </w:pPr>
      <w:r>
        <w:rPr>
          <w:rFonts w:hint="eastAsia" w:ascii="仿宋" w:hAnsi="仿宋" w:eastAsia="仿宋"/>
          <w:sz w:val="32"/>
          <w:szCs w:val="32"/>
        </w:rPr>
        <w:t>2023年度本年支出合计</w:t>
      </w:r>
      <w:r>
        <w:rPr>
          <w:rFonts w:ascii="仿宋" w:hAnsi="仿宋" w:eastAsia="仿宋"/>
          <w:b/>
          <w:sz w:val="32"/>
          <w:szCs w:val="32"/>
        </w:rPr>
        <w:t>3077.82</w:t>
      </w:r>
      <w:r>
        <w:rPr>
          <w:rFonts w:hint="eastAsia" w:ascii="仿宋" w:hAnsi="仿宋" w:eastAsia="仿宋"/>
          <w:sz w:val="32"/>
          <w:szCs w:val="32"/>
        </w:rPr>
        <w:t>万元，其中：基本支出</w:t>
      </w:r>
      <w:r>
        <w:rPr>
          <w:rFonts w:ascii="仿宋" w:hAnsi="仿宋" w:eastAsia="仿宋"/>
          <w:b/>
          <w:sz w:val="32"/>
          <w:szCs w:val="32"/>
        </w:rPr>
        <w:t>230.71</w:t>
      </w:r>
      <w:r>
        <w:rPr>
          <w:rFonts w:hint="eastAsia" w:ascii="仿宋" w:hAnsi="仿宋" w:eastAsia="仿宋"/>
          <w:sz w:val="32"/>
          <w:szCs w:val="32"/>
        </w:rPr>
        <w:t>万元，占</w:t>
      </w:r>
      <w:r>
        <w:rPr>
          <w:rFonts w:ascii="仿宋" w:hAnsi="仿宋" w:eastAsia="仿宋"/>
          <w:b/>
          <w:sz w:val="32"/>
          <w:szCs w:val="32"/>
        </w:rPr>
        <w:t>7.49</w:t>
      </w:r>
      <w:r>
        <w:rPr>
          <w:rFonts w:ascii="仿宋" w:hAnsi="仿宋" w:eastAsia="仿宋"/>
          <w:sz w:val="32"/>
          <w:szCs w:val="32"/>
        </w:rPr>
        <w:t>%</w:t>
      </w:r>
      <w:r>
        <w:rPr>
          <w:rFonts w:hint="eastAsia" w:ascii="仿宋" w:hAnsi="仿宋" w:eastAsia="仿宋"/>
          <w:sz w:val="32"/>
          <w:szCs w:val="32"/>
        </w:rPr>
        <w:t>；项目支出</w:t>
      </w:r>
      <w:r>
        <w:rPr>
          <w:rFonts w:ascii="仿宋" w:hAnsi="仿宋" w:eastAsia="仿宋"/>
          <w:b/>
          <w:sz w:val="32"/>
          <w:szCs w:val="32"/>
        </w:rPr>
        <w:t>2847.11</w:t>
      </w:r>
      <w:r>
        <w:rPr>
          <w:rFonts w:hint="eastAsia" w:ascii="仿宋" w:hAnsi="仿宋" w:eastAsia="仿宋"/>
          <w:sz w:val="32"/>
          <w:szCs w:val="32"/>
        </w:rPr>
        <w:t>万元，占</w:t>
      </w:r>
      <w:r>
        <w:rPr>
          <w:rFonts w:ascii="仿宋" w:hAnsi="仿宋" w:eastAsia="仿宋"/>
          <w:b/>
          <w:sz w:val="32"/>
          <w:szCs w:val="32"/>
        </w:rPr>
        <w:t>92.5</w:t>
      </w:r>
      <w:r>
        <w:rPr>
          <w:rFonts w:ascii="仿宋" w:hAnsi="仿宋" w:eastAsia="仿宋"/>
          <w:sz w:val="32"/>
          <w:szCs w:val="32"/>
        </w:rPr>
        <w:t>%</w:t>
      </w:r>
      <w:r>
        <w:rPr>
          <w:rFonts w:hint="eastAsia" w:ascii="仿宋" w:hAnsi="仿宋" w:eastAsia="仿宋"/>
          <w:sz w:val="32"/>
          <w:szCs w:val="32"/>
        </w:rPr>
        <w:t>；上缴上级支出</w:t>
      </w:r>
      <w:r>
        <w:rPr>
          <w:rFonts w:ascii="仿宋" w:hAnsi="仿宋" w:eastAsia="仿宋"/>
          <w:b/>
          <w:sz w:val="32"/>
          <w:szCs w:val="32"/>
        </w:rPr>
        <w:t>0</w:t>
      </w:r>
      <w:r>
        <w:rPr>
          <w:rFonts w:hint="eastAsia" w:ascii="仿宋" w:hAnsi="仿宋" w:eastAsia="仿宋"/>
          <w:sz w:val="32"/>
          <w:szCs w:val="32"/>
        </w:rPr>
        <w:t>万元，占</w:t>
      </w:r>
      <w:r>
        <w:rPr>
          <w:rFonts w:hint="eastAsia"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；对附属单位补助支出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w:t>
      </w:r>
    </w:p>
    <w:p w14:paraId="76E90327">
      <w:pPr>
        <w:pStyle w:val="13"/>
        <w:ind w:left="0" w:leftChars="0" w:firstLine="0" w:firstLineChars="0"/>
        <w:jc w:val="center"/>
      </w:pPr>
      <w:r>
        <w:drawing>
          <wp:inline distT="0" distB="0" distL="114300" distR="114300">
            <wp:extent cx="4653280" cy="2722245"/>
            <wp:effectExtent l="4445" t="4445" r="15875" b="16510"/>
            <wp:docPr id="1169"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7118BF7">
      <w:pPr>
        <w:spacing w:line="600" w:lineRule="exact"/>
        <w:jc w:val="center"/>
        <w:rPr>
          <w:rFonts w:ascii="仿宋" w:hAnsi="仿宋" w:eastAsia="仿宋"/>
          <w:sz w:val="32"/>
          <w:szCs w:val="32"/>
        </w:rPr>
      </w:pPr>
      <w:r>
        <w:rPr>
          <w:rFonts w:hint="eastAsia" w:ascii="仿宋" w:hAnsi="仿宋" w:eastAsia="仿宋"/>
          <w:sz w:val="32"/>
          <w:szCs w:val="32"/>
        </w:rPr>
        <w:t>（图3：支出决算结构图）</w:t>
      </w:r>
    </w:p>
    <w:p w14:paraId="53212401">
      <w:pPr>
        <w:spacing w:line="600" w:lineRule="exact"/>
        <w:ind w:firstLine="640" w:firstLineChars="200"/>
        <w:rPr>
          <w:rFonts w:ascii="仿宋_GB2312" w:eastAsia="仿宋_GB2312"/>
          <w:sz w:val="32"/>
          <w:szCs w:val="32"/>
        </w:rPr>
      </w:pPr>
    </w:p>
    <w:p w14:paraId="598CD1CF">
      <w:pPr>
        <w:spacing w:line="600" w:lineRule="exact"/>
        <w:ind w:firstLine="640" w:firstLineChars="200"/>
        <w:outlineLvl w:val="1"/>
        <w:rPr>
          <w:rStyle w:val="28"/>
          <w:rFonts w:ascii="黑体" w:hAnsi="黑体" w:eastAsia="黑体"/>
          <w:b w:val="0"/>
        </w:rPr>
      </w:pPr>
      <w:bookmarkStart w:id="31" w:name="_Toc9606"/>
      <w:bookmarkStart w:id="32" w:name="_Toc15377208"/>
      <w:bookmarkStart w:id="33" w:name="_Toc15396606"/>
      <w:r>
        <w:rPr>
          <w:rFonts w:hint="eastAsia" w:ascii="黑体" w:hAnsi="黑体" w:eastAsia="黑体"/>
          <w:sz w:val="32"/>
          <w:szCs w:val="32"/>
        </w:rPr>
        <w:t>四、财</w:t>
      </w:r>
      <w:r>
        <w:rPr>
          <w:rStyle w:val="28"/>
          <w:rFonts w:hint="eastAsia" w:ascii="黑体" w:hAnsi="黑体" w:eastAsia="黑体"/>
          <w:b w:val="0"/>
        </w:rPr>
        <w:t>政拨款收入支出决算总体情况说明</w:t>
      </w:r>
      <w:bookmarkEnd w:id="31"/>
      <w:bookmarkEnd w:id="32"/>
      <w:bookmarkEnd w:id="33"/>
    </w:p>
    <w:p w14:paraId="3CFE1790">
      <w:pPr>
        <w:spacing w:line="600" w:lineRule="exact"/>
        <w:ind w:firstLine="640"/>
        <w:rPr>
          <w:rFonts w:hint="eastAsia" w:ascii="仿宋" w:hAnsi="仿宋" w:eastAsia="仿宋"/>
          <w:sz w:val="32"/>
          <w:szCs w:val="32"/>
          <w:lang w:val="en-US" w:eastAsia="zh-CN"/>
        </w:rPr>
      </w:pPr>
      <w:r>
        <w:rPr>
          <w:rFonts w:hint="eastAsia" w:ascii="仿宋" w:hAnsi="仿宋" w:eastAsia="仿宋"/>
          <w:sz w:val="32"/>
          <w:szCs w:val="32"/>
        </w:rPr>
        <w:t>2023年度财政拨款收、支总计均为</w:t>
      </w:r>
      <w:r>
        <w:rPr>
          <w:rFonts w:ascii="仿宋" w:hAnsi="仿宋" w:eastAsia="仿宋"/>
          <w:b/>
          <w:sz w:val="32"/>
          <w:szCs w:val="32"/>
        </w:rPr>
        <w:t>3077.15</w:t>
      </w:r>
      <w:r>
        <w:rPr>
          <w:rFonts w:hint="eastAsia" w:ascii="仿宋" w:hAnsi="仿宋" w:eastAsia="仿宋"/>
          <w:sz w:val="32"/>
          <w:szCs w:val="32"/>
        </w:rPr>
        <w:t>万元。与2022年度相比，财政拨款收、支总计各减少315.51万元，下降9.3</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2023年度本单位项目支出减少。</w:t>
      </w:r>
    </w:p>
    <w:p w14:paraId="7C0937DD">
      <w:pPr>
        <w:pStyle w:val="13"/>
        <w:ind w:left="0" w:leftChars="0" w:firstLine="0" w:firstLineChars="0"/>
        <w:jc w:val="center"/>
      </w:pPr>
      <w:r>
        <w:drawing>
          <wp:inline distT="0" distB="0" distL="114300" distR="114300">
            <wp:extent cx="5085080" cy="2830195"/>
            <wp:effectExtent l="4445" t="4445" r="15875" b="1016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4FB7578">
      <w:pPr>
        <w:spacing w:line="600" w:lineRule="exact"/>
        <w:ind w:firstLine="640" w:firstLineChars="200"/>
        <w:jc w:val="center"/>
        <w:rPr>
          <w:rFonts w:ascii="仿宋" w:hAnsi="仿宋" w:eastAsia="仿宋"/>
          <w:sz w:val="32"/>
          <w:szCs w:val="32"/>
        </w:rPr>
      </w:pPr>
      <w:r>
        <w:rPr>
          <w:rFonts w:hint="eastAsia" w:ascii="仿宋" w:hAnsi="仿宋" w:eastAsia="仿宋"/>
          <w:sz w:val="32"/>
          <w:szCs w:val="32"/>
        </w:rPr>
        <w:t>（图4：财政拨款收、支决算总计变动情况）</w:t>
      </w:r>
    </w:p>
    <w:p w14:paraId="796786DD">
      <w:pPr>
        <w:spacing w:line="600" w:lineRule="exact"/>
        <w:ind w:firstLine="640"/>
        <w:rPr>
          <w:rFonts w:ascii="仿宋" w:hAnsi="仿宋" w:eastAsia="仿宋"/>
          <w:b/>
          <w:sz w:val="32"/>
          <w:szCs w:val="32"/>
        </w:rPr>
      </w:pPr>
    </w:p>
    <w:p w14:paraId="076113E0">
      <w:pPr>
        <w:spacing w:line="600" w:lineRule="exact"/>
        <w:ind w:firstLine="640" w:firstLineChars="200"/>
        <w:outlineLvl w:val="1"/>
        <w:rPr>
          <w:rStyle w:val="28"/>
          <w:rFonts w:ascii="黑体" w:hAnsi="黑体" w:eastAsia="黑体"/>
          <w:b w:val="0"/>
        </w:rPr>
      </w:pPr>
      <w:bookmarkStart w:id="34" w:name="_Toc10392"/>
      <w:bookmarkStart w:id="35" w:name="_Toc15377209"/>
      <w:bookmarkStart w:id="36" w:name="_Toc15396607"/>
      <w:r>
        <w:rPr>
          <w:rFonts w:hint="eastAsia" w:ascii="黑体" w:hAnsi="黑体" w:eastAsia="黑体"/>
          <w:sz w:val="32"/>
          <w:szCs w:val="32"/>
        </w:rPr>
        <w:t>五、</w:t>
      </w:r>
      <w:r>
        <w:rPr>
          <w:rFonts w:hint="eastAsia" w:ascii="黑体" w:hAnsi="黑体" w:eastAsia="黑体"/>
          <w:b/>
          <w:sz w:val="32"/>
          <w:szCs w:val="32"/>
        </w:rPr>
        <w:t>一</w:t>
      </w:r>
      <w:r>
        <w:rPr>
          <w:rStyle w:val="28"/>
          <w:rFonts w:hint="eastAsia" w:ascii="黑体" w:hAnsi="黑体" w:eastAsia="黑体"/>
          <w:b w:val="0"/>
        </w:rPr>
        <w:t>般公共预算财政拨款支出决算情况说明</w:t>
      </w:r>
      <w:bookmarkEnd w:id="34"/>
      <w:bookmarkEnd w:id="35"/>
      <w:bookmarkEnd w:id="36"/>
    </w:p>
    <w:p w14:paraId="0C31C746">
      <w:pPr>
        <w:spacing w:line="600" w:lineRule="exact"/>
        <w:ind w:firstLine="643" w:firstLineChars="200"/>
        <w:outlineLvl w:val="9"/>
        <w:rPr>
          <w:rFonts w:ascii="仿宋" w:hAnsi="仿宋" w:eastAsia="仿宋"/>
          <w:b/>
          <w:sz w:val="32"/>
          <w:szCs w:val="32"/>
        </w:rPr>
      </w:pPr>
      <w:bookmarkStart w:id="37" w:name="_Toc15377210"/>
      <w:r>
        <w:rPr>
          <w:rFonts w:hint="eastAsia" w:ascii="仿宋" w:hAnsi="仿宋" w:eastAsia="仿宋"/>
          <w:b/>
          <w:sz w:val="32"/>
          <w:szCs w:val="32"/>
        </w:rPr>
        <w:t>（一）一般公共预算财政拨款支出决算总体情况</w:t>
      </w:r>
      <w:bookmarkEnd w:id="37"/>
    </w:p>
    <w:p w14:paraId="7A15961C">
      <w:pPr>
        <w:spacing w:line="60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rPr>
        <w:t>2023年度一般公共预算财政拨款支出</w:t>
      </w:r>
      <w:r>
        <w:rPr>
          <w:rFonts w:ascii="仿宋" w:hAnsi="仿宋" w:eastAsia="仿宋"/>
          <w:b/>
          <w:sz w:val="32"/>
          <w:szCs w:val="32"/>
        </w:rPr>
        <w:t>3077.15</w:t>
      </w:r>
      <w:r>
        <w:rPr>
          <w:rFonts w:hint="eastAsia" w:ascii="仿宋" w:hAnsi="仿宋" w:eastAsia="仿宋"/>
          <w:sz w:val="32"/>
          <w:szCs w:val="32"/>
        </w:rPr>
        <w:t>万元，占本年支出合计的</w:t>
      </w:r>
      <w:r>
        <w:rPr>
          <w:rFonts w:ascii="仿宋" w:hAnsi="仿宋" w:eastAsia="仿宋"/>
          <w:b/>
          <w:sz w:val="32"/>
          <w:szCs w:val="32"/>
        </w:rPr>
        <w:t>99.97</w:t>
      </w:r>
      <w:r>
        <w:rPr>
          <w:rFonts w:ascii="仿宋" w:hAnsi="仿宋" w:eastAsia="仿宋"/>
          <w:sz w:val="32"/>
          <w:szCs w:val="32"/>
        </w:rPr>
        <w:t>%</w:t>
      </w:r>
      <w:r>
        <w:rPr>
          <w:rFonts w:hint="eastAsia" w:ascii="仿宋" w:hAnsi="仿宋" w:eastAsia="仿宋"/>
          <w:sz w:val="32"/>
          <w:szCs w:val="32"/>
        </w:rPr>
        <w:t>。与2022年度相比，一般公共预算财政拨款支出减少315.51万元，下降9.3</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2023年度本单位项目支出减少。</w:t>
      </w:r>
    </w:p>
    <w:p w14:paraId="671AF66E">
      <w:pPr>
        <w:rPr>
          <w:rFonts w:hint="eastAsia" w:ascii="仿宋" w:hAnsi="仿宋" w:eastAsia="仿宋"/>
          <w:sz w:val="32"/>
          <w:szCs w:val="32"/>
          <w:lang w:val="en-US" w:eastAsia="zh-CN"/>
        </w:rPr>
      </w:pPr>
      <w:r>
        <w:rPr>
          <w:rFonts w:hint="eastAsia" w:ascii="仿宋" w:hAnsi="仿宋" w:eastAsia="仿宋"/>
          <w:sz w:val="32"/>
          <w:szCs w:val="32"/>
          <w:lang w:val="en-US" w:eastAsia="zh-CN"/>
        </w:rPr>
        <w:br w:type="page"/>
      </w:r>
    </w:p>
    <w:p w14:paraId="7B834B38">
      <w:pPr>
        <w:pStyle w:val="13"/>
        <w:ind w:left="0" w:leftChars="0" w:firstLine="0" w:firstLineChars="0"/>
      </w:pPr>
      <w:r>
        <w:drawing>
          <wp:inline distT="0" distB="0" distL="114300" distR="114300">
            <wp:extent cx="5003165" cy="2365375"/>
            <wp:effectExtent l="5080" t="4445" r="8255" b="5080"/>
            <wp:docPr id="415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D8CEF81">
      <w:pPr>
        <w:spacing w:line="600" w:lineRule="exact"/>
        <w:jc w:val="center"/>
        <w:rPr>
          <w:rFonts w:ascii="仿宋" w:hAnsi="仿宋" w:eastAsia="仿宋"/>
          <w:sz w:val="32"/>
          <w:szCs w:val="32"/>
        </w:rPr>
      </w:pPr>
      <w:r>
        <w:rPr>
          <w:rFonts w:hint="eastAsia" w:ascii="仿宋" w:hAnsi="仿宋" w:eastAsia="仿宋"/>
          <w:sz w:val="32"/>
          <w:szCs w:val="32"/>
        </w:rPr>
        <w:t>（图5：一般公共预算财政拨款支出决算变动情况）</w:t>
      </w:r>
    </w:p>
    <w:p w14:paraId="78D13E1A">
      <w:pPr>
        <w:spacing w:line="600" w:lineRule="exact"/>
        <w:ind w:firstLine="640" w:firstLineChars="200"/>
        <w:rPr>
          <w:rFonts w:ascii="仿宋" w:hAnsi="仿宋" w:eastAsia="仿宋"/>
          <w:sz w:val="32"/>
          <w:szCs w:val="32"/>
        </w:rPr>
      </w:pPr>
    </w:p>
    <w:p w14:paraId="3A6F42AC">
      <w:pPr>
        <w:spacing w:line="600" w:lineRule="exact"/>
        <w:ind w:firstLine="643" w:firstLineChars="200"/>
        <w:outlineLvl w:val="9"/>
        <w:rPr>
          <w:rFonts w:ascii="仿宋" w:hAnsi="仿宋" w:eastAsia="仿宋"/>
          <w:b/>
          <w:sz w:val="32"/>
          <w:szCs w:val="32"/>
        </w:rPr>
      </w:pPr>
      <w:bookmarkStart w:id="38" w:name="_Toc15377211"/>
      <w:r>
        <w:rPr>
          <w:rFonts w:hint="eastAsia" w:ascii="仿宋" w:hAnsi="仿宋" w:eastAsia="仿宋"/>
          <w:b/>
          <w:sz w:val="32"/>
          <w:szCs w:val="32"/>
        </w:rPr>
        <w:t>（二）一般公共预算财政拨款支出决算结构情况</w:t>
      </w:r>
      <w:bookmarkEnd w:id="38"/>
    </w:p>
    <w:p w14:paraId="424335FB">
      <w:pPr>
        <w:spacing w:line="600" w:lineRule="exact"/>
        <w:ind w:firstLine="640"/>
        <w:rPr>
          <w:rFonts w:hint="eastAsia" w:ascii="仿宋" w:hAnsi="仿宋" w:eastAsia="仿宋"/>
          <w:sz w:val="32"/>
          <w:szCs w:val="32"/>
        </w:rPr>
      </w:pPr>
      <w:r>
        <w:rPr>
          <w:rFonts w:hint="eastAsia" w:ascii="仿宋" w:hAnsi="仿宋" w:eastAsia="仿宋"/>
          <w:sz w:val="32"/>
          <w:szCs w:val="32"/>
        </w:rPr>
        <w:t>2023年度一般公共预算财政拨款支出</w:t>
      </w:r>
      <w:r>
        <w:rPr>
          <w:rFonts w:ascii="仿宋" w:hAnsi="仿宋" w:eastAsia="仿宋"/>
          <w:b/>
          <w:sz w:val="32"/>
          <w:szCs w:val="32"/>
        </w:rPr>
        <w:t>3077.15</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教育支出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科学技术</w:t>
      </w:r>
      <w:r>
        <w:rPr>
          <w:rFonts w:hint="eastAsia" w:ascii="仿宋" w:hAnsi="仿宋" w:eastAsia="仿宋"/>
          <w:b/>
          <w:bCs/>
          <w:sz w:val="32"/>
          <w:szCs w:val="32"/>
        </w:rPr>
        <w:t>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w:t>
      </w:r>
      <w:r>
        <w:rPr>
          <w:rFonts w:hint="eastAsia" w:ascii="仿宋" w:hAnsi="仿宋" w:eastAsia="仿宋"/>
          <w:b/>
          <w:bCs/>
          <w:sz w:val="32"/>
          <w:szCs w:val="32"/>
          <w:lang w:val="en-US" w:eastAsia="zh-CN"/>
        </w:rPr>
        <w:t>0</w:t>
      </w:r>
      <w:r>
        <w:rPr>
          <w:rFonts w:hint="eastAsia" w:ascii="仿宋" w:hAnsi="仿宋" w:eastAsia="仿宋"/>
          <w:b/>
          <w:bCs/>
          <w:sz w:val="32"/>
          <w:szCs w:val="32"/>
        </w:rPr>
        <w:t>万元，</w:t>
      </w:r>
      <w:r>
        <w:rPr>
          <w:rFonts w:hint="eastAsia" w:ascii="仿宋" w:hAnsi="仿宋" w:eastAsia="仿宋"/>
          <w:b w:val="0"/>
          <w:bCs w:val="0"/>
          <w:sz w:val="32"/>
          <w:szCs w:val="32"/>
        </w:rPr>
        <w:t>占</w:t>
      </w:r>
      <w:r>
        <w:rPr>
          <w:rFonts w:ascii="仿宋" w:hAnsi="仿宋" w:eastAsia="仿宋"/>
          <w:b w:val="0"/>
          <w:bCs w:val="0"/>
          <w:sz w:val="32"/>
          <w:szCs w:val="32"/>
        </w:rPr>
        <w:t>**%</w:t>
      </w:r>
      <w:r>
        <w:rPr>
          <w:rFonts w:hint="eastAsia" w:ascii="仿宋" w:hAnsi="仿宋" w:eastAsia="仿宋"/>
          <w:b w:val="0"/>
          <w:bCs w:val="0"/>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rPr>
        <w:t>30.39万元，占</w:t>
      </w:r>
      <w:r>
        <w:rPr>
          <w:rFonts w:hint="eastAsia" w:ascii="仿宋" w:hAnsi="仿宋" w:eastAsia="仿宋"/>
          <w:sz w:val="32"/>
          <w:szCs w:val="32"/>
          <w:lang w:val="en-US" w:eastAsia="zh-CN"/>
        </w:rPr>
        <w:t>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rPr>
        <w:t>3,030.95万元，占</w:t>
      </w:r>
      <w:r>
        <w:rPr>
          <w:rFonts w:hint="eastAsia" w:ascii="仿宋" w:hAnsi="仿宋" w:eastAsia="仿宋"/>
          <w:sz w:val="32"/>
          <w:szCs w:val="32"/>
          <w:lang w:val="en-US" w:eastAsia="zh-CN"/>
        </w:rPr>
        <w:t>98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rPr>
        <w:t>15.81万元，占</w:t>
      </w:r>
      <w:r>
        <w:rPr>
          <w:rFonts w:hint="eastAsia" w:ascii="仿宋" w:hAnsi="仿宋" w:eastAsia="仿宋"/>
          <w:sz w:val="32"/>
          <w:szCs w:val="32"/>
          <w:lang w:val="en-US" w:eastAsia="zh-CN"/>
        </w:rPr>
        <w:t>1</w:t>
      </w:r>
      <w:r>
        <w:rPr>
          <w:rFonts w:ascii="仿宋" w:hAnsi="仿宋" w:eastAsia="仿宋"/>
          <w:sz w:val="32"/>
          <w:szCs w:val="32"/>
        </w:rPr>
        <w:t>%</w:t>
      </w:r>
      <w:r>
        <w:rPr>
          <w:rFonts w:hint="eastAsia" w:ascii="仿宋" w:hAnsi="仿宋" w:eastAsia="仿宋"/>
          <w:sz w:val="32"/>
          <w:szCs w:val="32"/>
        </w:rPr>
        <w:t>。</w:t>
      </w:r>
    </w:p>
    <w:p w14:paraId="66452DB1">
      <w:pPr>
        <w:pStyle w:val="13"/>
        <w:ind w:left="0" w:leftChars="0" w:firstLine="0" w:firstLineChars="0"/>
        <w:jc w:val="center"/>
      </w:pPr>
      <w:r>
        <w:drawing>
          <wp:inline distT="0" distB="0" distL="114300" distR="114300">
            <wp:extent cx="4395470" cy="2284730"/>
            <wp:effectExtent l="4445" t="5080" r="6985" b="8890"/>
            <wp:docPr id="117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2C15958">
      <w:pPr>
        <w:spacing w:line="600" w:lineRule="exact"/>
        <w:ind w:firstLine="640" w:firstLineChars="200"/>
        <w:jc w:val="center"/>
        <w:rPr>
          <w:rFonts w:ascii="仿宋" w:hAnsi="仿宋" w:eastAsia="仿宋"/>
          <w:sz w:val="32"/>
          <w:szCs w:val="32"/>
        </w:rPr>
      </w:pPr>
      <w:r>
        <w:rPr>
          <w:rFonts w:hint="eastAsia" w:ascii="仿宋" w:hAnsi="仿宋" w:eastAsia="仿宋"/>
          <w:sz w:val="32"/>
          <w:szCs w:val="32"/>
        </w:rPr>
        <w:t>（图6：一般公共预算财政拨款支出决算结构）</w:t>
      </w:r>
    </w:p>
    <w:p w14:paraId="6CB85B31">
      <w:pPr>
        <w:spacing w:line="600" w:lineRule="exact"/>
        <w:ind w:firstLine="640" w:firstLineChars="200"/>
        <w:rPr>
          <w:rFonts w:ascii="仿宋" w:hAnsi="仿宋" w:eastAsia="仿宋"/>
          <w:sz w:val="32"/>
          <w:szCs w:val="32"/>
        </w:rPr>
      </w:pPr>
    </w:p>
    <w:p w14:paraId="797D5A9D">
      <w:pPr>
        <w:spacing w:line="600" w:lineRule="exact"/>
        <w:ind w:firstLine="643" w:firstLineChars="200"/>
        <w:outlineLvl w:val="9"/>
        <w:rPr>
          <w:rFonts w:ascii="仿宋" w:hAnsi="仿宋" w:eastAsia="仿宋"/>
          <w:b/>
          <w:sz w:val="32"/>
          <w:szCs w:val="32"/>
        </w:rPr>
      </w:pPr>
      <w:bookmarkStart w:id="39" w:name="_Toc15377212"/>
      <w:r>
        <w:rPr>
          <w:rFonts w:hint="eastAsia" w:ascii="仿宋" w:hAnsi="仿宋" w:eastAsia="仿宋"/>
          <w:b/>
          <w:sz w:val="32"/>
          <w:szCs w:val="32"/>
        </w:rPr>
        <w:t>（三）一般公共预算财政拨款支出决算具体情况</w:t>
      </w:r>
      <w:bookmarkEnd w:id="39"/>
    </w:p>
    <w:p w14:paraId="103651F2">
      <w:pPr>
        <w:spacing w:line="600" w:lineRule="exact"/>
        <w:ind w:firstLine="643" w:firstLineChars="200"/>
        <w:outlineLvl w:val="9"/>
        <w:rPr>
          <w:rFonts w:ascii="仿宋" w:hAnsi="仿宋" w:eastAsia="仿宋"/>
          <w:sz w:val="32"/>
          <w:szCs w:val="32"/>
        </w:rPr>
      </w:pPr>
      <w:bookmarkStart w:id="40" w:name="_Toc15377213"/>
      <w:bookmarkStart w:id="41" w:name="_Toc15378460"/>
      <w:bookmarkStart w:id="42" w:name="_Toc15377444"/>
      <w:r>
        <w:rPr>
          <w:rFonts w:hint="eastAsia" w:ascii="仿宋" w:hAnsi="仿宋" w:eastAsia="仿宋"/>
          <w:b/>
          <w:sz w:val="32"/>
          <w:szCs w:val="32"/>
        </w:rPr>
        <w:t>2023年度一般公共预算支出决算数为</w:t>
      </w:r>
      <w:r>
        <w:rPr>
          <w:rFonts w:ascii="仿宋" w:hAnsi="仿宋" w:eastAsia="仿宋"/>
          <w:b/>
          <w:sz w:val="32"/>
          <w:szCs w:val="32"/>
        </w:rPr>
        <w:t>3077.15</w:t>
      </w:r>
      <w:r>
        <w:rPr>
          <w:rFonts w:hint="eastAsia" w:ascii="仿宋" w:hAnsi="仿宋" w:eastAsia="仿宋"/>
          <w:sz w:val="32"/>
          <w:szCs w:val="32"/>
        </w:rPr>
        <w:t>，</w:t>
      </w:r>
      <w:r>
        <w:rPr>
          <w:rStyle w:val="16"/>
          <w:rFonts w:hint="eastAsia" w:ascii="仿宋" w:hAnsi="仿宋" w:eastAsia="仿宋"/>
          <w:bCs/>
          <w:sz w:val="32"/>
          <w:szCs w:val="32"/>
        </w:rPr>
        <w:t>完成预算</w:t>
      </w:r>
      <w:r>
        <w:rPr>
          <w:rStyle w:val="16"/>
          <w:rFonts w:hint="eastAsia" w:ascii="仿宋" w:hAnsi="仿宋" w:eastAsia="仿宋"/>
          <w:bCs/>
          <w:sz w:val="32"/>
          <w:szCs w:val="32"/>
          <w:lang w:val="en-US" w:eastAsia="zh-CN"/>
        </w:rPr>
        <w:t>100</w:t>
      </w:r>
      <w:r>
        <w:rPr>
          <w:rStyle w:val="16"/>
          <w:rFonts w:ascii="仿宋" w:hAnsi="仿宋" w:eastAsia="仿宋"/>
          <w:bCs/>
          <w:sz w:val="32"/>
          <w:szCs w:val="32"/>
        </w:rPr>
        <w:t>%</w:t>
      </w:r>
      <w:r>
        <w:rPr>
          <w:rStyle w:val="16"/>
          <w:rFonts w:hint="eastAsia" w:ascii="仿宋" w:hAnsi="仿宋" w:eastAsia="仿宋"/>
          <w:bCs/>
          <w:sz w:val="32"/>
          <w:szCs w:val="32"/>
        </w:rPr>
        <w:t>。其中：</w:t>
      </w:r>
      <w:bookmarkEnd w:id="40"/>
      <w:bookmarkEnd w:id="41"/>
      <w:bookmarkEnd w:id="42"/>
    </w:p>
    <w:p w14:paraId="45B0E848">
      <w:pPr>
        <w:spacing w:line="600" w:lineRule="exact"/>
        <w:ind w:firstLine="643" w:firstLineChars="200"/>
        <w:rPr>
          <w:rFonts w:hint="eastAsia" w:ascii="仿宋" w:hAnsi="仿宋" w:eastAsia="仿宋"/>
          <w:b/>
          <w:sz w:val="32"/>
          <w:szCs w:val="32"/>
          <w:lang w:eastAsia="zh-CN"/>
        </w:rPr>
      </w:pPr>
      <w:r>
        <w:rPr>
          <w:rStyle w:val="16"/>
          <w:rFonts w:ascii="仿宋" w:hAnsi="仿宋" w:eastAsia="仿宋"/>
          <w:bCs/>
          <w:sz w:val="32"/>
          <w:szCs w:val="32"/>
        </w:rPr>
        <w:t>1.</w:t>
      </w:r>
      <w:r>
        <w:rPr>
          <w:rStyle w:val="16"/>
          <w:rFonts w:hint="eastAsia" w:ascii="仿宋" w:hAnsi="仿宋" w:eastAsia="仿宋"/>
          <w:bCs/>
          <w:sz w:val="32"/>
          <w:szCs w:val="32"/>
        </w:rPr>
        <w:t>社会保障和就业支出（类）行政事业单位养老支出（款）机关事业单位基本养老保险缴费支出（项）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支出决算为20.26万元，完成预算100%。</w:t>
      </w:r>
    </w:p>
    <w:p w14:paraId="1AC3B7BC">
      <w:pPr>
        <w:spacing w:line="600" w:lineRule="exact"/>
        <w:ind w:firstLine="643" w:firstLineChars="200"/>
        <w:rPr>
          <w:rFonts w:hint="eastAsia" w:ascii="仿宋" w:hAnsi="仿宋" w:eastAsia="仿宋"/>
          <w:b/>
          <w:sz w:val="32"/>
          <w:szCs w:val="32"/>
          <w:lang w:eastAsia="zh-CN"/>
        </w:rPr>
      </w:pPr>
      <w:r>
        <w:rPr>
          <w:rStyle w:val="16"/>
          <w:rFonts w:hint="eastAsia" w:ascii="仿宋" w:hAnsi="仿宋" w:eastAsia="仿宋"/>
          <w:bCs/>
          <w:sz w:val="32"/>
          <w:szCs w:val="32"/>
          <w:lang w:val="en-US" w:eastAsia="zh-CN"/>
        </w:rPr>
        <w:t>2</w:t>
      </w:r>
      <w:r>
        <w:rPr>
          <w:rStyle w:val="16"/>
          <w:rFonts w:ascii="仿宋" w:hAnsi="仿宋" w:eastAsia="仿宋"/>
          <w:bCs/>
          <w:sz w:val="32"/>
          <w:szCs w:val="32"/>
        </w:rPr>
        <w:t>.</w:t>
      </w:r>
      <w:r>
        <w:rPr>
          <w:rStyle w:val="16"/>
          <w:rFonts w:hint="eastAsia" w:ascii="仿宋" w:hAnsi="仿宋" w:eastAsia="仿宋"/>
          <w:bCs/>
          <w:sz w:val="32"/>
          <w:szCs w:val="32"/>
        </w:rPr>
        <w:t>社会保障和就业支出（类）行政事业单位养老支出（款）机关事业单位职业年金缴费支出（项）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支出决算为10.13万元，完成预算100%。</w:t>
      </w:r>
    </w:p>
    <w:p w14:paraId="3836CCF6">
      <w:pPr>
        <w:spacing w:line="600" w:lineRule="exact"/>
        <w:ind w:firstLine="643" w:firstLineChars="200"/>
        <w:rPr>
          <w:rFonts w:hint="eastAsia" w:ascii="仿宋" w:hAnsi="仿宋" w:eastAsia="仿宋"/>
          <w:b/>
          <w:sz w:val="32"/>
          <w:szCs w:val="32"/>
          <w:lang w:eastAsia="zh-CN"/>
        </w:rPr>
      </w:pPr>
      <w:r>
        <w:rPr>
          <w:rStyle w:val="16"/>
          <w:rFonts w:hint="eastAsia" w:ascii="仿宋" w:hAnsi="仿宋" w:eastAsia="仿宋"/>
          <w:bCs/>
          <w:sz w:val="32"/>
          <w:szCs w:val="32"/>
          <w:lang w:val="en-US" w:eastAsia="zh-CN"/>
        </w:rPr>
        <w:t>3</w:t>
      </w:r>
      <w:r>
        <w:rPr>
          <w:rStyle w:val="16"/>
          <w:rFonts w:ascii="仿宋" w:hAnsi="仿宋" w:eastAsia="仿宋"/>
          <w:bCs/>
          <w:sz w:val="32"/>
          <w:szCs w:val="32"/>
        </w:rPr>
        <w:t>.</w:t>
      </w:r>
      <w:r>
        <w:rPr>
          <w:rStyle w:val="16"/>
          <w:rFonts w:hint="eastAsia" w:ascii="仿宋" w:hAnsi="仿宋" w:eastAsia="仿宋"/>
          <w:bCs/>
          <w:sz w:val="32"/>
          <w:szCs w:val="32"/>
        </w:rPr>
        <w:t>卫生健康支出（类）卫生健康管理事务（款）其他卫生健康管理事务支出（项）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支出决算为70.49万元，完成预算100%。</w:t>
      </w:r>
    </w:p>
    <w:p w14:paraId="46107FED">
      <w:pPr>
        <w:spacing w:line="600" w:lineRule="exact"/>
        <w:ind w:firstLine="643" w:firstLineChars="200"/>
        <w:rPr>
          <w:rFonts w:hint="eastAsia" w:ascii="仿宋" w:hAnsi="仿宋" w:eastAsia="仿宋"/>
          <w:b/>
          <w:sz w:val="32"/>
          <w:szCs w:val="32"/>
          <w:lang w:eastAsia="zh-CN"/>
        </w:rPr>
      </w:pPr>
      <w:r>
        <w:rPr>
          <w:rStyle w:val="16"/>
          <w:rFonts w:hint="eastAsia" w:ascii="仿宋" w:hAnsi="仿宋" w:eastAsia="仿宋"/>
          <w:bCs/>
          <w:sz w:val="32"/>
          <w:szCs w:val="32"/>
          <w:lang w:val="en-US" w:eastAsia="zh-CN"/>
        </w:rPr>
        <w:t>4</w:t>
      </w:r>
      <w:r>
        <w:rPr>
          <w:rStyle w:val="16"/>
          <w:rFonts w:ascii="仿宋" w:hAnsi="仿宋" w:eastAsia="仿宋"/>
          <w:bCs/>
          <w:sz w:val="32"/>
          <w:szCs w:val="32"/>
        </w:rPr>
        <w:t>.</w:t>
      </w:r>
      <w:r>
        <w:rPr>
          <w:rStyle w:val="16"/>
          <w:rFonts w:hint="eastAsia" w:ascii="仿宋" w:hAnsi="仿宋" w:eastAsia="仿宋"/>
          <w:bCs/>
          <w:sz w:val="32"/>
          <w:szCs w:val="32"/>
        </w:rPr>
        <w:t>卫生健康支出（类）基层医疗卫生机构（款）乡镇卫生院（项）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支出决算为274.17万元，完成预算100%。</w:t>
      </w:r>
    </w:p>
    <w:p w14:paraId="4555C65C">
      <w:pPr>
        <w:spacing w:line="600" w:lineRule="exact"/>
        <w:ind w:firstLine="643" w:firstLineChars="200"/>
        <w:rPr>
          <w:rFonts w:hint="eastAsia" w:ascii="仿宋" w:hAnsi="仿宋" w:eastAsia="仿宋"/>
          <w:b/>
          <w:sz w:val="32"/>
          <w:szCs w:val="32"/>
          <w:lang w:eastAsia="zh-CN"/>
        </w:rPr>
      </w:pPr>
      <w:r>
        <w:rPr>
          <w:rStyle w:val="16"/>
          <w:rFonts w:hint="eastAsia" w:ascii="仿宋" w:hAnsi="仿宋" w:eastAsia="仿宋"/>
          <w:bCs/>
          <w:sz w:val="32"/>
          <w:szCs w:val="32"/>
          <w:lang w:val="en-US" w:eastAsia="zh-CN"/>
        </w:rPr>
        <w:t>5</w:t>
      </w:r>
      <w:r>
        <w:rPr>
          <w:rStyle w:val="16"/>
          <w:rFonts w:ascii="仿宋" w:hAnsi="仿宋" w:eastAsia="仿宋"/>
          <w:bCs/>
          <w:sz w:val="32"/>
          <w:szCs w:val="32"/>
        </w:rPr>
        <w:t>.</w:t>
      </w:r>
      <w:r>
        <w:rPr>
          <w:rStyle w:val="16"/>
          <w:rFonts w:hint="eastAsia" w:ascii="仿宋" w:hAnsi="仿宋" w:eastAsia="仿宋"/>
          <w:bCs/>
          <w:sz w:val="32"/>
          <w:szCs w:val="32"/>
        </w:rPr>
        <w:t>卫生健康支出（类）基层医疗卫生机构（款）其他基层医疗卫生机构支出（项）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支出决算为88.92万元，完成预算100%。</w:t>
      </w:r>
    </w:p>
    <w:p w14:paraId="0EFC3845">
      <w:pPr>
        <w:spacing w:line="600" w:lineRule="exact"/>
        <w:ind w:firstLine="643" w:firstLineChars="200"/>
        <w:rPr>
          <w:rFonts w:hint="eastAsia" w:ascii="仿宋" w:hAnsi="仿宋" w:eastAsia="仿宋"/>
          <w:b/>
          <w:sz w:val="32"/>
          <w:szCs w:val="32"/>
          <w:lang w:eastAsia="zh-CN"/>
        </w:rPr>
      </w:pPr>
      <w:r>
        <w:rPr>
          <w:rStyle w:val="16"/>
          <w:rFonts w:hint="eastAsia" w:ascii="仿宋" w:hAnsi="仿宋" w:eastAsia="仿宋"/>
          <w:bCs/>
          <w:sz w:val="32"/>
          <w:szCs w:val="32"/>
          <w:lang w:val="en-US" w:eastAsia="zh-CN"/>
        </w:rPr>
        <w:t>6</w:t>
      </w:r>
      <w:r>
        <w:rPr>
          <w:rStyle w:val="16"/>
          <w:rFonts w:ascii="仿宋" w:hAnsi="仿宋" w:eastAsia="仿宋"/>
          <w:bCs/>
          <w:sz w:val="32"/>
          <w:szCs w:val="32"/>
        </w:rPr>
        <w:t>.</w:t>
      </w:r>
      <w:r>
        <w:rPr>
          <w:rStyle w:val="16"/>
          <w:rFonts w:hint="eastAsia" w:ascii="仿宋" w:hAnsi="仿宋" w:eastAsia="仿宋"/>
          <w:bCs/>
          <w:sz w:val="32"/>
          <w:szCs w:val="32"/>
        </w:rPr>
        <w:t>卫生健康支出（类）公共卫生（款）基本公共卫生服务（项）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支出决算为462.43万元，完成预算100%。</w:t>
      </w:r>
    </w:p>
    <w:p w14:paraId="60B1AF84">
      <w:pPr>
        <w:spacing w:line="600" w:lineRule="exact"/>
        <w:ind w:firstLine="643" w:firstLineChars="200"/>
        <w:rPr>
          <w:rFonts w:hint="eastAsia" w:ascii="仿宋" w:hAnsi="仿宋" w:eastAsia="仿宋"/>
          <w:b/>
          <w:sz w:val="32"/>
          <w:szCs w:val="32"/>
          <w:lang w:eastAsia="zh-CN"/>
        </w:rPr>
      </w:pPr>
      <w:r>
        <w:rPr>
          <w:rStyle w:val="16"/>
          <w:rFonts w:hint="eastAsia" w:ascii="仿宋" w:hAnsi="仿宋" w:eastAsia="仿宋"/>
          <w:bCs/>
          <w:sz w:val="32"/>
          <w:szCs w:val="32"/>
          <w:lang w:val="en-US" w:eastAsia="zh-CN"/>
        </w:rPr>
        <w:t>7</w:t>
      </w:r>
      <w:r>
        <w:rPr>
          <w:rStyle w:val="16"/>
          <w:rFonts w:ascii="仿宋" w:hAnsi="仿宋" w:eastAsia="仿宋"/>
          <w:bCs/>
          <w:sz w:val="32"/>
          <w:szCs w:val="32"/>
        </w:rPr>
        <w:t>.</w:t>
      </w:r>
      <w:r>
        <w:rPr>
          <w:rStyle w:val="16"/>
          <w:rFonts w:hint="eastAsia" w:ascii="仿宋" w:hAnsi="仿宋" w:eastAsia="仿宋"/>
          <w:bCs/>
          <w:sz w:val="32"/>
          <w:szCs w:val="32"/>
        </w:rPr>
        <w:t>卫生健康支出（类）公共卫生（款）重大公共卫生服务（项）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支出决算为170.81万元，完成预算100%。</w:t>
      </w:r>
    </w:p>
    <w:p w14:paraId="7A28A035">
      <w:pPr>
        <w:spacing w:line="600" w:lineRule="exact"/>
        <w:ind w:firstLine="643" w:firstLineChars="200"/>
        <w:rPr>
          <w:rFonts w:hint="eastAsia" w:ascii="仿宋" w:hAnsi="仿宋" w:eastAsia="仿宋"/>
          <w:b/>
          <w:sz w:val="32"/>
          <w:szCs w:val="32"/>
          <w:lang w:eastAsia="zh-CN"/>
        </w:rPr>
      </w:pPr>
      <w:r>
        <w:rPr>
          <w:rStyle w:val="16"/>
          <w:rFonts w:hint="eastAsia" w:ascii="仿宋" w:hAnsi="仿宋" w:eastAsia="仿宋"/>
          <w:bCs/>
          <w:sz w:val="32"/>
          <w:szCs w:val="32"/>
          <w:lang w:val="en-US" w:eastAsia="zh-CN"/>
        </w:rPr>
        <w:t>8</w:t>
      </w:r>
      <w:r>
        <w:rPr>
          <w:rStyle w:val="16"/>
          <w:rFonts w:ascii="仿宋" w:hAnsi="仿宋" w:eastAsia="仿宋"/>
          <w:bCs/>
          <w:sz w:val="32"/>
          <w:szCs w:val="32"/>
        </w:rPr>
        <w:t>.</w:t>
      </w:r>
      <w:r>
        <w:rPr>
          <w:rStyle w:val="16"/>
          <w:rFonts w:hint="eastAsia" w:ascii="仿宋" w:hAnsi="仿宋" w:eastAsia="仿宋"/>
          <w:bCs/>
          <w:sz w:val="32"/>
          <w:szCs w:val="32"/>
        </w:rPr>
        <w:t>卫生健康支出（类）公共卫生（款）其他公共卫生支出（项）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支出决算为128.53万元，完成预算100%。</w:t>
      </w:r>
    </w:p>
    <w:p w14:paraId="1E40B8B1">
      <w:pPr>
        <w:spacing w:line="600" w:lineRule="exact"/>
        <w:ind w:firstLine="643" w:firstLineChars="200"/>
        <w:rPr>
          <w:rFonts w:hint="eastAsia" w:ascii="仿宋" w:hAnsi="仿宋" w:eastAsia="仿宋"/>
          <w:b/>
          <w:sz w:val="32"/>
          <w:szCs w:val="32"/>
          <w:lang w:eastAsia="zh-CN"/>
        </w:rPr>
      </w:pPr>
      <w:r>
        <w:rPr>
          <w:rStyle w:val="16"/>
          <w:rFonts w:hint="eastAsia" w:ascii="仿宋" w:hAnsi="仿宋" w:eastAsia="仿宋"/>
          <w:bCs/>
          <w:sz w:val="32"/>
          <w:szCs w:val="32"/>
          <w:lang w:val="en-US" w:eastAsia="zh-CN"/>
        </w:rPr>
        <w:t>9</w:t>
      </w:r>
      <w:r>
        <w:rPr>
          <w:rStyle w:val="16"/>
          <w:rFonts w:ascii="仿宋" w:hAnsi="仿宋" w:eastAsia="仿宋"/>
          <w:bCs/>
          <w:sz w:val="32"/>
          <w:szCs w:val="32"/>
        </w:rPr>
        <w:t>.</w:t>
      </w:r>
      <w:r>
        <w:rPr>
          <w:rStyle w:val="16"/>
          <w:rFonts w:hint="eastAsia" w:ascii="仿宋" w:hAnsi="仿宋" w:eastAsia="仿宋"/>
          <w:bCs/>
          <w:sz w:val="32"/>
          <w:szCs w:val="32"/>
        </w:rPr>
        <w:t>卫生健康支出（类）计划生育事务（款）计划生育机构（项）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支出决算为171.56万元，完成预算100%。</w:t>
      </w:r>
    </w:p>
    <w:p w14:paraId="59CE35CD">
      <w:pPr>
        <w:spacing w:line="600" w:lineRule="exact"/>
        <w:ind w:firstLine="643" w:firstLineChars="200"/>
        <w:rPr>
          <w:rFonts w:hint="eastAsia" w:ascii="仿宋" w:hAnsi="仿宋" w:eastAsia="仿宋"/>
          <w:b/>
          <w:sz w:val="32"/>
          <w:szCs w:val="32"/>
          <w:lang w:eastAsia="zh-CN"/>
        </w:rPr>
      </w:pPr>
      <w:r>
        <w:rPr>
          <w:rStyle w:val="16"/>
          <w:rFonts w:hint="eastAsia" w:ascii="仿宋" w:hAnsi="仿宋" w:eastAsia="仿宋"/>
          <w:bCs/>
          <w:sz w:val="32"/>
          <w:szCs w:val="32"/>
          <w:lang w:val="en-US" w:eastAsia="zh-CN"/>
        </w:rPr>
        <w:t>10</w:t>
      </w:r>
      <w:r>
        <w:rPr>
          <w:rStyle w:val="16"/>
          <w:rFonts w:ascii="仿宋" w:hAnsi="仿宋" w:eastAsia="仿宋"/>
          <w:bCs/>
          <w:sz w:val="32"/>
          <w:szCs w:val="32"/>
        </w:rPr>
        <w:t>.</w:t>
      </w:r>
      <w:r>
        <w:rPr>
          <w:rStyle w:val="16"/>
          <w:rFonts w:hint="eastAsia" w:ascii="仿宋" w:hAnsi="仿宋" w:eastAsia="仿宋"/>
          <w:bCs/>
          <w:sz w:val="32"/>
          <w:szCs w:val="32"/>
        </w:rPr>
        <w:t>卫生健康支出（类）计划生育事务（款）计划生育服务（项）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支出决算为0.28万元，完成预算100%。</w:t>
      </w:r>
    </w:p>
    <w:p w14:paraId="7DE4AA9E">
      <w:pPr>
        <w:spacing w:line="600" w:lineRule="exact"/>
        <w:ind w:firstLine="643" w:firstLineChars="200"/>
        <w:rPr>
          <w:rFonts w:hint="eastAsia" w:ascii="仿宋" w:hAnsi="仿宋" w:eastAsia="仿宋"/>
          <w:b/>
          <w:sz w:val="32"/>
          <w:szCs w:val="32"/>
          <w:lang w:eastAsia="zh-CN"/>
        </w:rPr>
      </w:pPr>
      <w:r>
        <w:rPr>
          <w:rStyle w:val="16"/>
          <w:rFonts w:ascii="仿宋" w:hAnsi="仿宋" w:eastAsia="仿宋"/>
          <w:bCs/>
          <w:sz w:val="32"/>
          <w:szCs w:val="32"/>
        </w:rPr>
        <w:t>1</w:t>
      </w:r>
      <w:r>
        <w:rPr>
          <w:rStyle w:val="16"/>
          <w:rFonts w:hint="eastAsia" w:ascii="仿宋" w:hAnsi="仿宋" w:eastAsia="仿宋"/>
          <w:bCs/>
          <w:sz w:val="32"/>
          <w:szCs w:val="32"/>
          <w:lang w:val="en-US" w:eastAsia="zh-CN"/>
        </w:rPr>
        <w:t>1</w:t>
      </w:r>
      <w:r>
        <w:rPr>
          <w:rStyle w:val="16"/>
          <w:rFonts w:ascii="仿宋" w:hAnsi="仿宋" w:eastAsia="仿宋"/>
          <w:bCs/>
          <w:sz w:val="32"/>
          <w:szCs w:val="32"/>
        </w:rPr>
        <w:t>.</w:t>
      </w:r>
      <w:r>
        <w:rPr>
          <w:rStyle w:val="16"/>
          <w:rFonts w:hint="eastAsia" w:ascii="仿宋" w:hAnsi="仿宋" w:eastAsia="仿宋"/>
          <w:bCs/>
          <w:sz w:val="32"/>
          <w:szCs w:val="32"/>
        </w:rPr>
        <w:t>卫生健康支出（类）计划生育事务（款）其他计划生育事务支出（项）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支出决算为272.42万元，完成预算100%。</w:t>
      </w:r>
    </w:p>
    <w:p w14:paraId="12E6A53A">
      <w:pPr>
        <w:spacing w:line="600" w:lineRule="exact"/>
        <w:ind w:firstLine="643" w:firstLineChars="200"/>
        <w:rPr>
          <w:rFonts w:hint="eastAsia" w:ascii="仿宋" w:hAnsi="仿宋" w:eastAsia="仿宋"/>
          <w:b/>
          <w:sz w:val="32"/>
          <w:szCs w:val="32"/>
          <w:lang w:eastAsia="zh-CN"/>
        </w:rPr>
      </w:pPr>
      <w:r>
        <w:rPr>
          <w:rStyle w:val="16"/>
          <w:rFonts w:ascii="仿宋" w:hAnsi="仿宋" w:eastAsia="仿宋"/>
          <w:bCs/>
          <w:sz w:val="32"/>
          <w:szCs w:val="32"/>
        </w:rPr>
        <w:t>1</w:t>
      </w:r>
      <w:r>
        <w:rPr>
          <w:rStyle w:val="16"/>
          <w:rFonts w:hint="eastAsia" w:ascii="仿宋" w:hAnsi="仿宋" w:eastAsia="仿宋"/>
          <w:bCs/>
          <w:sz w:val="32"/>
          <w:szCs w:val="32"/>
          <w:lang w:val="en-US" w:eastAsia="zh-CN"/>
        </w:rPr>
        <w:t>2</w:t>
      </w:r>
      <w:r>
        <w:rPr>
          <w:rStyle w:val="16"/>
          <w:rFonts w:ascii="仿宋" w:hAnsi="仿宋" w:eastAsia="仿宋"/>
          <w:bCs/>
          <w:sz w:val="32"/>
          <w:szCs w:val="32"/>
        </w:rPr>
        <w:t>.</w:t>
      </w:r>
      <w:r>
        <w:rPr>
          <w:rStyle w:val="16"/>
          <w:rFonts w:hint="eastAsia" w:ascii="仿宋" w:hAnsi="仿宋" w:eastAsia="仿宋"/>
          <w:bCs/>
          <w:sz w:val="32"/>
          <w:szCs w:val="32"/>
        </w:rPr>
        <w:t>卫生健康支出（类）行政事业单位医疗（款）事业单位医疗（项）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支出决算为10.07万元，完成预算100%。</w:t>
      </w:r>
    </w:p>
    <w:p w14:paraId="0143B31C">
      <w:pPr>
        <w:spacing w:line="600" w:lineRule="exact"/>
        <w:ind w:firstLine="643" w:firstLineChars="200"/>
        <w:rPr>
          <w:rFonts w:hint="eastAsia" w:ascii="仿宋" w:hAnsi="仿宋" w:eastAsia="仿宋"/>
          <w:b/>
          <w:sz w:val="32"/>
          <w:szCs w:val="32"/>
          <w:lang w:eastAsia="zh-CN"/>
        </w:rPr>
      </w:pPr>
      <w:r>
        <w:rPr>
          <w:rStyle w:val="16"/>
          <w:rFonts w:ascii="仿宋" w:hAnsi="仿宋" w:eastAsia="仿宋"/>
          <w:bCs/>
          <w:sz w:val="32"/>
          <w:szCs w:val="32"/>
        </w:rPr>
        <w:t>1</w:t>
      </w:r>
      <w:r>
        <w:rPr>
          <w:rStyle w:val="16"/>
          <w:rFonts w:hint="eastAsia" w:ascii="仿宋" w:hAnsi="仿宋" w:eastAsia="仿宋"/>
          <w:bCs/>
          <w:sz w:val="32"/>
          <w:szCs w:val="32"/>
          <w:lang w:val="en-US" w:eastAsia="zh-CN"/>
        </w:rPr>
        <w:t>3</w:t>
      </w:r>
      <w:r>
        <w:rPr>
          <w:rStyle w:val="16"/>
          <w:rFonts w:ascii="仿宋" w:hAnsi="仿宋" w:eastAsia="仿宋"/>
          <w:bCs/>
          <w:sz w:val="32"/>
          <w:szCs w:val="32"/>
        </w:rPr>
        <w:t>.</w:t>
      </w:r>
      <w:r>
        <w:rPr>
          <w:rStyle w:val="16"/>
          <w:rFonts w:hint="eastAsia" w:ascii="仿宋" w:hAnsi="仿宋" w:eastAsia="仿宋"/>
          <w:bCs/>
          <w:sz w:val="32"/>
          <w:szCs w:val="32"/>
        </w:rPr>
        <w:t>卫生健康支出（类）行政事业单位医疗（款）其他行政事业单位医疗支出（项）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支出决算为2.22万元，完成预算100%。</w:t>
      </w:r>
    </w:p>
    <w:p w14:paraId="63641F9E">
      <w:pPr>
        <w:spacing w:line="600" w:lineRule="exact"/>
        <w:ind w:firstLine="643" w:firstLineChars="200"/>
        <w:rPr>
          <w:rFonts w:hint="eastAsia" w:ascii="仿宋" w:hAnsi="仿宋" w:eastAsia="仿宋"/>
          <w:b/>
          <w:sz w:val="32"/>
          <w:szCs w:val="32"/>
          <w:lang w:eastAsia="zh-CN"/>
        </w:rPr>
      </w:pPr>
      <w:r>
        <w:rPr>
          <w:rStyle w:val="16"/>
          <w:rFonts w:ascii="仿宋" w:hAnsi="仿宋" w:eastAsia="仿宋"/>
          <w:bCs/>
          <w:sz w:val="32"/>
          <w:szCs w:val="32"/>
        </w:rPr>
        <w:t>1</w:t>
      </w:r>
      <w:r>
        <w:rPr>
          <w:rStyle w:val="16"/>
          <w:rFonts w:hint="eastAsia" w:ascii="仿宋" w:hAnsi="仿宋" w:eastAsia="仿宋"/>
          <w:bCs/>
          <w:sz w:val="32"/>
          <w:szCs w:val="32"/>
          <w:lang w:val="en-US" w:eastAsia="zh-CN"/>
        </w:rPr>
        <w:t>4</w:t>
      </w:r>
      <w:r>
        <w:rPr>
          <w:rStyle w:val="16"/>
          <w:rFonts w:ascii="仿宋" w:hAnsi="仿宋" w:eastAsia="仿宋"/>
          <w:bCs/>
          <w:sz w:val="32"/>
          <w:szCs w:val="32"/>
        </w:rPr>
        <w:t>.</w:t>
      </w:r>
      <w:r>
        <w:rPr>
          <w:rStyle w:val="16"/>
          <w:rFonts w:hint="eastAsia" w:ascii="仿宋" w:hAnsi="仿宋" w:eastAsia="仿宋"/>
          <w:bCs/>
          <w:sz w:val="32"/>
          <w:szCs w:val="32"/>
        </w:rPr>
        <w:t>卫生健康支出（类）其他卫生健康支出（款）其他卫生健康支出（项）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支出决算为1,379.08万元，完成预算100%。</w:t>
      </w:r>
    </w:p>
    <w:p w14:paraId="59AD3BB5">
      <w:pPr>
        <w:spacing w:line="600" w:lineRule="exact"/>
        <w:ind w:firstLine="643" w:firstLineChars="200"/>
        <w:rPr>
          <w:rFonts w:hint="eastAsia" w:ascii="仿宋" w:hAnsi="仿宋" w:eastAsia="仿宋"/>
          <w:b/>
          <w:sz w:val="32"/>
          <w:szCs w:val="32"/>
          <w:lang w:eastAsia="zh-CN"/>
        </w:rPr>
      </w:pPr>
      <w:r>
        <w:rPr>
          <w:rStyle w:val="16"/>
          <w:rFonts w:ascii="仿宋" w:hAnsi="仿宋" w:eastAsia="仿宋"/>
          <w:bCs/>
          <w:sz w:val="32"/>
          <w:szCs w:val="32"/>
        </w:rPr>
        <w:t>1</w:t>
      </w:r>
      <w:r>
        <w:rPr>
          <w:rStyle w:val="16"/>
          <w:rFonts w:hint="eastAsia" w:ascii="仿宋" w:hAnsi="仿宋" w:eastAsia="仿宋"/>
          <w:bCs/>
          <w:sz w:val="32"/>
          <w:szCs w:val="32"/>
          <w:lang w:val="en-US" w:eastAsia="zh-CN"/>
        </w:rPr>
        <w:t>5</w:t>
      </w:r>
      <w:r>
        <w:rPr>
          <w:rStyle w:val="16"/>
          <w:rFonts w:ascii="仿宋" w:hAnsi="仿宋" w:eastAsia="仿宋"/>
          <w:bCs/>
          <w:sz w:val="32"/>
          <w:szCs w:val="32"/>
        </w:rPr>
        <w:t>.</w:t>
      </w:r>
      <w:r>
        <w:rPr>
          <w:rStyle w:val="16"/>
          <w:rFonts w:hint="eastAsia" w:ascii="仿宋" w:hAnsi="仿宋" w:eastAsia="仿宋"/>
          <w:bCs/>
          <w:sz w:val="32"/>
          <w:szCs w:val="32"/>
        </w:rPr>
        <w:t>住房保障支出（类）住房改革支出（款）住房公积金（项）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支出决算为15.81万元，完成预算100%。</w:t>
      </w:r>
    </w:p>
    <w:p w14:paraId="247AA015">
      <w:pPr>
        <w:spacing w:line="600" w:lineRule="exact"/>
        <w:ind w:firstLine="640"/>
        <w:rPr>
          <w:rFonts w:ascii="仿宋" w:hAnsi="仿宋" w:eastAsia="仿宋"/>
          <w:b/>
          <w:sz w:val="32"/>
          <w:szCs w:val="32"/>
        </w:rPr>
      </w:pPr>
    </w:p>
    <w:p w14:paraId="3E3F5DE1">
      <w:pPr>
        <w:tabs>
          <w:tab w:val="right" w:pos="8306"/>
        </w:tabs>
        <w:spacing w:line="600" w:lineRule="exact"/>
        <w:ind w:firstLine="640"/>
        <w:outlineLvl w:val="1"/>
        <w:rPr>
          <w:rStyle w:val="28"/>
        </w:rPr>
      </w:pPr>
      <w:bookmarkStart w:id="43" w:name="_Toc15377214"/>
      <w:bookmarkStart w:id="44" w:name="_Toc15396608"/>
      <w:bookmarkStart w:id="45" w:name="_Toc9699"/>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8"/>
          <w:rFonts w:hint="eastAsia" w:ascii="黑体" w:hAnsi="黑体" w:eastAsia="黑体"/>
          <w:b w:val="0"/>
        </w:rPr>
        <w:t>般公共预算财政拨款基本支出决算情况说明</w:t>
      </w:r>
      <w:bookmarkEnd w:id="43"/>
      <w:bookmarkEnd w:id="44"/>
      <w:bookmarkEnd w:id="45"/>
      <w:r>
        <w:rPr>
          <w:rStyle w:val="28"/>
          <w:rFonts w:ascii="黑体" w:hAnsi="黑体" w:eastAsia="黑体"/>
          <w:b w:val="0"/>
        </w:rPr>
        <w:tab/>
      </w:r>
    </w:p>
    <w:p w14:paraId="4B0FC800">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rFonts w:ascii="仿宋" w:hAnsi="仿宋" w:eastAsia="仿宋"/>
          <w:b/>
          <w:sz w:val="32"/>
          <w:szCs w:val="32"/>
        </w:rPr>
        <w:t>230.04</w:t>
      </w:r>
      <w:r>
        <w:rPr>
          <w:rFonts w:hint="eastAsia" w:ascii="仿宋" w:hAnsi="仿宋" w:eastAsia="仿宋"/>
          <w:sz w:val="32"/>
          <w:szCs w:val="32"/>
        </w:rPr>
        <w:t>万元，其中：</w:t>
      </w:r>
    </w:p>
    <w:p w14:paraId="40FF3136">
      <w:pPr>
        <w:spacing w:line="600" w:lineRule="exact"/>
        <w:ind w:firstLine="645"/>
        <w:rPr>
          <w:rFonts w:hint="eastAsia" w:ascii="仿宋" w:hAnsi="仿宋" w:eastAsia="仿宋"/>
          <w:sz w:val="32"/>
          <w:szCs w:val="32"/>
        </w:rPr>
      </w:pPr>
      <w:r>
        <w:rPr>
          <w:rFonts w:hint="eastAsia" w:ascii="仿宋" w:hAnsi="仿宋" w:eastAsia="仿宋"/>
          <w:sz w:val="32"/>
          <w:szCs w:val="32"/>
        </w:rPr>
        <w:t>人员经费</w:t>
      </w:r>
      <w:r>
        <w:rPr>
          <w:rFonts w:ascii="仿宋" w:hAnsi="仿宋" w:eastAsia="仿宋"/>
          <w:b/>
          <w:sz w:val="32"/>
          <w:szCs w:val="32"/>
        </w:rPr>
        <w:t>217.29</w:t>
      </w:r>
      <w:r>
        <w:rPr>
          <w:rFonts w:hint="eastAsia" w:ascii="仿宋" w:hAnsi="仿宋" w:eastAsia="仿宋"/>
          <w:sz w:val="32"/>
          <w:szCs w:val="32"/>
        </w:rPr>
        <w:t>万元，主要包括：基本工资、津贴补贴、奖金、绩效工资、机关事业单位基本养老保险缴费、职业年金缴费、职工基本医疗保险缴费</w:t>
      </w:r>
      <w:r>
        <w:rPr>
          <w:rFonts w:hint="eastAsia" w:ascii="仿宋" w:hAnsi="仿宋" w:eastAsia="仿宋"/>
          <w:sz w:val="32"/>
          <w:szCs w:val="32"/>
          <w:lang w:eastAsia="zh-CN"/>
        </w:rPr>
        <w:t>、公务员医疗补助缴费、</w:t>
      </w:r>
      <w:r>
        <w:rPr>
          <w:rFonts w:hint="eastAsia" w:ascii="仿宋" w:hAnsi="仿宋" w:eastAsia="仿宋"/>
          <w:sz w:val="32"/>
          <w:szCs w:val="32"/>
        </w:rPr>
        <w:t>其他社会保障缴费、住房公积金、医疗费</w:t>
      </w:r>
      <w:r>
        <w:rPr>
          <w:rFonts w:hint="eastAsia" w:ascii="仿宋" w:hAnsi="仿宋" w:eastAsia="仿宋"/>
          <w:sz w:val="32"/>
          <w:szCs w:val="32"/>
          <w:lang w:eastAsia="zh-CN"/>
        </w:rPr>
        <w:t>、生活补助、医疗费补助、奖励金</w:t>
      </w:r>
      <w:r>
        <w:rPr>
          <w:rFonts w:hint="eastAsia" w:ascii="仿宋" w:hAnsi="仿宋" w:eastAsia="仿宋"/>
          <w:sz w:val="32"/>
          <w:szCs w:val="32"/>
        </w:rPr>
        <w:t>等。</w:t>
      </w:r>
    </w:p>
    <w:p w14:paraId="0B15DA32">
      <w:pPr>
        <w:spacing w:line="600" w:lineRule="exact"/>
        <w:ind w:firstLine="645"/>
        <w:rPr>
          <w:rFonts w:ascii="仿宋" w:hAnsi="仿宋" w:eastAsia="仿宋"/>
          <w:sz w:val="32"/>
          <w:szCs w:val="32"/>
        </w:rPr>
      </w:pPr>
      <w:r>
        <w:rPr>
          <w:rFonts w:hint="eastAsia" w:ascii="仿宋" w:hAnsi="仿宋" w:eastAsia="仿宋"/>
          <w:sz w:val="32"/>
          <w:szCs w:val="32"/>
        </w:rPr>
        <w:t>公用经费</w:t>
      </w:r>
      <w:r>
        <w:rPr>
          <w:rFonts w:ascii="仿宋" w:hAnsi="仿宋" w:eastAsia="仿宋"/>
          <w:b/>
          <w:sz w:val="32"/>
          <w:szCs w:val="32"/>
        </w:rPr>
        <w:t>12.75</w:t>
      </w:r>
      <w:r>
        <w:rPr>
          <w:rFonts w:hint="eastAsia" w:ascii="仿宋" w:hAnsi="仿宋" w:eastAsia="仿宋"/>
          <w:sz w:val="32"/>
          <w:szCs w:val="32"/>
        </w:rPr>
        <w:t>万元，主要包括：办公费、印刷费、咨询费、水费、电费、邮电费、差旅费、维修（护）费、租赁费、培训费、公务接待费、劳务费、</w:t>
      </w:r>
      <w:r>
        <w:rPr>
          <w:rFonts w:hint="eastAsia" w:ascii="仿宋" w:hAnsi="仿宋" w:eastAsia="仿宋"/>
          <w:sz w:val="32"/>
          <w:szCs w:val="32"/>
          <w:lang w:val="en-US" w:eastAsia="zh-CN"/>
        </w:rPr>
        <w:t>专用材料费、工会经费、公务用车运行维护费、房屋建筑物购建、办公设备购置、专用设备购置、基础设施建设等</w:t>
      </w:r>
      <w:r>
        <w:rPr>
          <w:rFonts w:hint="eastAsia" w:ascii="仿宋" w:hAnsi="仿宋" w:eastAsia="仿宋"/>
          <w:sz w:val="32"/>
          <w:szCs w:val="32"/>
        </w:rPr>
        <w:t>。</w:t>
      </w:r>
    </w:p>
    <w:p w14:paraId="419B90BD">
      <w:pPr>
        <w:spacing w:line="600" w:lineRule="exact"/>
        <w:ind w:firstLine="640"/>
        <w:rPr>
          <w:rFonts w:ascii="仿宋" w:hAnsi="仿宋" w:eastAsia="仿宋"/>
          <w:b/>
          <w:sz w:val="32"/>
          <w:szCs w:val="32"/>
        </w:rPr>
      </w:pPr>
    </w:p>
    <w:p w14:paraId="5357502B">
      <w:pPr>
        <w:spacing w:line="600" w:lineRule="exact"/>
        <w:ind w:firstLine="640"/>
        <w:outlineLvl w:val="1"/>
        <w:rPr>
          <w:rStyle w:val="28"/>
          <w:rFonts w:ascii="黑体" w:hAnsi="黑体" w:eastAsia="黑体"/>
          <w:b w:val="0"/>
        </w:rPr>
      </w:pPr>
      <w:bookmarkStart w:id="46" w:name="_Toc21546"/>
      <w:bookmarkStart w:id="47" w:name="_Toc15377215"/>
      <w:bookmarkStart w:id="48" w:name="_Toc15396609"/>
      <w:r>
        <w:rPr>
          <w:rFonts w:hint="eastAsia" w:ascii="黑体" w:eastAsia="黑体"/>
          <w:sz w:val="32"/>
          <w:szCs w:val="32"/>
        </w:rPr>
        <w:t>七、</w:t>
      </w:r>
      <w:r>
        <w:rPr>
          <w:rStyle w:val="28"/>
          <w:rFonts w:hint="eastAsia" w:ascii="黑体" w:hAnsi="黑体" w:eastAsia="黑体"/>
          <w:b w:val="0"/>
        </w:rPr>
        <w:t>财政拨款</w:t>
      </w:r>
      <w:r>
        <w:rPr>
          <w:rStyle w:val="28"/>
          <w:rFonts w:hint="eastAsia" w:ascii="黑体" w:hAnsi="黑体" w:eastAsia="黑体"/>
        </w:rPr>
        <w:t>“</w:t>
      </w:r>
      <w:r>
        <w:rPr>
          <w:rStyle w:val="28"/>
          <w:rFonts w:hint="eastAsia" w:ascii="黑体" w:hAnsi="黑体" w:eastAsia="黑体"/>
          <w:b w:val="0"/>
        </w:rPr>
        <w:t>三公”经费支出决算情况说明</w:t>
      </w:r>
      <w:bookmarkEnd w:id="46"/>
      <w:bookmarkEnd w:id="47"/>
      <w:bookmarkEnd w:id="48"/>
    </w:p>
    <w:p w14:paraId="2B23F8C7">
      <w:pPr>
        <w:spacing w:line="600" w:lineRule="exact"/>
        <w:ind w:firstLine="640"/>
        <w:outlineLvl w:val="9"/>
        <w:rPr>
          <w:rFonts w:ascii="仿宋" w:hAnsi="仿宋" w:eastAsia="仿宋"/>
          <w:b/>
          <w:sz w:val="32"/>
          <w:szCs w:val="32"/>
        </w:rPr>
      </w:pPr>
      <w:bookmarkStart w:id="49" w:name="_Toc15377216"/>
      <w:r>
        <w:rPr>
          <w:rFonts w:hint="eastAsia" w:ascii="仿宋" w:hAnsi="仿宋" w:eastAsia="仿宋"/>
          <w:b/>
          <w:sz w:val="32"/>
          <w:szCs w:val="32"/>
        </w:rPr>
        <w:t>（一）“三公”经费财政拨款支出决算总体情况说明</w:t>
      </w:r>
      <w:bookmarkEnd w:id="49"/>
    </w:p>
    <w:p w14:paraId="4E5B2557">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2023年度“三公”经费财政拨款支出决算为</w:t>
      </w:r>
      <w:r>
        <w:rPr>
          <w:rFonts w:ascii="仿宋" w:hAnsi="仿宋" w:eastAsia="仿宋"/>
          <w:b/>
          <w:sz w:val="32"/>
          <w:szCs w:val="32"/>
        </w:rPr>
        <w:t>23.99</w:t>
      </w:r>
      <w:r>
        <w:rPr>
          <w:rFonts w:hint="eastAsia" w:ascii="仿宋" w:hAnsi="仿宋" w:eastAsia="仿宋"/>
          <w:sz w:val="32"/>
          <w:szCs w:val="32"/>
        </w:rPr>
        <w:t>万元，完成预算</w:t>
      </w:r>
      <w:r>
        <w:rPr>
          <w:rFonts w:ascii="仿宋" w:hAnsi="仿宋" w:eastAsia="仿宋"/>
          <w:b/>
          <w:sz w:val="32"/>
          <w:szCs w:val="32"/>
        </w:rPr>
        <w:t>99.92</w:t>
      </w:r>
      <w:r>
        <w:rPr>
          <w:rFonts w:ascii="仿宋" w:hAnsi="仿宋" w:eastAsia="仿宋"/>
          <w:sz w:val="32"/>
          <w:szCs w:val="32"/>
        </w:rPr>
        <w:t>%</w:t>
      </w:r>
      <w:r>
        <w:rPr>
          <w:rFonts w:hint="eastAsia" w:ascii="仿宋" w:hAnsi="仿宋" w:eastAsia="仿宋"/>
          <w:sz w:val="32"/>
          <w:szCs w:val="32"/>
        </w:rPr>
        <w:t>，较上年度减少43.31万元，下降64.35%</w:t>
      </w:r>
      <w:r>
        <w:rPr>
          <w:rFonts w:hint="eastAsia" w:ascii="仿宋" w:hAnsi="仿宋" w:eastAsia="仿宋"/>
          <w:sz w:val="32"/>
          <w:szCs w:val="32"/>
          <w:lang w:eastAsia="zh-CN"/>
        </w:rPr>
        <w:t>，</w:t>
      </w:r>
      <w:r>
        <w:rPr>
          <w:rFonts w:hint="eastAsia" w:ascii="仿宋" w:hAnsi="仿宋" w:eastAsia="仿宋"/>
          <w:sz w:val="32"/>
          <w:szCs w:val="32"/>
        </w:rPr>
        <w:t>决算数与预算数持平。</w:t>
      </w:r>
    </w:p>
    <w:p w14:paraId="5DB97E6A">
      <w:pPr>
        <w:spacing w:line="600" w:lineRule="exact"/>
        <w:ind w:firstLine="640"/>
        <w:outlineLvl w:val="9"/>
        <w:rPr>
          <w:rFonts w:ascii="仿宋" w:hAnsi="仿宋" w:eastAsia="仿宋"/>
          <w:b/>
          <w:sz w:val="32"/>
          <w:szCs w:val="32"/>
        </w:rPr>
      </w:pPr>
      <w:bookmarkStart w:id="50" w:name="_Toc15377217"/>
      <w:r>
        <w:rPr>
          <w:rFonts w:hint="eastAsia" w:ascii="仿宋" w:hAnsi="仿宋" w:eastAsia="仿宋"/>
          <w:b/>
          <w:sz w:val="32"/>
          <w:szCs w:val="32"/>
        </w:rPr>
        <w:t>（二）“三公”经费财政拨款支出决算具体情况说明</w:t>
      </w:r>
      <w:bookmarkEnd w:id="50"/>
    </w:p>
    <w:p w14:paraId="183506D8">
      <w:pPr>
        <w:spacing w:line="600" w:lineRule="exact"/>
        <w:ind w:firstLine="640"/>
        <w:rPr>
          <w:rFonts w:hint="eastAsia" w:ascii="仿宋" w:hAnsi="仿宋" w:eastAsia="仿宋"/>
          <w:sz w:val="32"/>
          <w:szCs w:val="32"/>
        </w:rPr>
      </w:pPr>
      <w:r>
        <w:rPr>
          <w:rFonts w:hint="eastAsia" w:ascii="仿宋" w:hAnsi="仿宋" w:eastAsia="仿宋"/>
          <w:sz w:val="32"/>
          <w:szCs w:val="32"/>
        </w:rPr>
        <w:t>2023年度“三公”经费财政拨款支出决算中，因公出国（境）费支出决算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ascii="仿宋" w:hAnsi="仿宋" w:eastAsia="仿宋"/>
          <w:b/>
          <w:sz w:val="32"/>
          <w:szCs w:val="32"/>
        </w:rPr>
        <w:t>23.8</w:t>
      </w:r>
      <w:r>
        <w:rPr>
          <w:rFonts w:hint="eastAsia" w:ascii="仿宋" w:hAnsi="仿宋" w:eastAsia="仿宋"/>
          <w:sz w:val="32"/>
          <w:szCs w:val="32"/>
        </w:rPr>
        <w:t>万元，占</w:t>
      </w:r>
      <w:r>
        <w:rPr>
          <w:rFonts w:ascii="仿宋" w:hAnsi="仿宋" w:eastAsia="仿宋"/>
          <w:b/>
          <w:sz w:val="32"/>
          <w:szCs w:val="32"/>
        </w:rPr>
        <w:t>99.19</w:t>
      </w:r>
      <w:r>
        <w:rPr>
          <w:rFonts w:ascii="仿宋" w:hAnsi="仿宋" w:eastAsia="仿宋"/>
          <w:sz w:val="32"/>
          <w:szCs w:val="32"/>
        </w:rPr>
        <w:t>%</w:t>
      </w:r>
      <w:r>
        <w:rPr>
          <w:rFonts w:hint="eastAsia" w:ascii="仿宋" w:hAnsi="仿宋" w:eastAsia="仿宋"/>
          <w:sz w:val="32"/>
          <w:szCs w:val="32"/>
        </w:rPr>
        <w:t>；公务接待费支出决算</w:t>
      </w:r>
      <w:r>
        <w:rPr>
          <w:rFonts w:ascii="仿宋" w:hAnsi="仿宋" w:eastAsia="仿宋"/>
          <w:b/>
          <w:sz w:val="32"/>
          <w:szCs w:val="32"/>
        </w:rPr>
        <w:t>0.19</w:t>
      </w:r>
      <w:r>
        <w:rPr>
          <w:rFonts w:hint="eastAsia" w:ascii="仿宋" w:hAnsi="仿宋" w:eastAsia="仿宋"/>
          <w:sz w:val="32"/>
          <w:szCs w:val="32"/>
        </w:rPr>
        <w:t>万元，占</w:t>
      </w:r>
      <w:r>
        <w:rPr>
          <w:rFonts w:ascii="仿宋" w:hAnsi="仿宋" w:eastAsia="仿宋"/>
          <w:b/>
          <w:sz w:val="32"/>
          <w:szCs w:val="32"/>
        </w:rPr>
        <w:t>0.8</w:t>
      </w:r>
      <w:r>
        <w:rPr>
          <w:rFonts w:ascii="仿宋" w:hAnsi="仿宋" w:eastAsia="仿宋"/>
          <w:sz w:val="32"/>
          <w:szCs w:val="32"/>
        </w:rPr>
        <w:t>%</w:t>
      </w:r>
      <w:r>
        <w:rPr>
          <w:rFonts w:hint="eastAsia" w:ascii="仿宋" w:hAnsi="仿宋" w:eastAsia="仿宋"/>
          <w:sz w:val="32"/>
          <w:szCs w:val="32"/>
        </w:rPr>
        <w:t>。具体情况如下：</w:t>
      </w:r>
    </w:p>
    <w:p w14:paraId="52DC74A8">
      <w:r>
        <w:br w:type="page"/>
      </w:r>
    </w:p>
    <w:p w14:paraId="7D27D8AA">
      <w:pPr>
        <w:pStyle w:val="13"/>
        <w:ind w:left="0" w:leftChars="0" w:firstLine="0" w:firstLineChars="0"/>
        <w:jc w:val="center"/>
      </w:pPr>
      <w:r>
        <w:drawing>
          <wp:inline distT="0" distB="0" distL="114300" distR="114300">
            <wp:extent cx="5227320" cy="2771775"/>
            <wp:effectExtent l="4445" t="4445" r="13335" b="5080"/>
            <wp:docPr id="117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B7CEF5">
      <w:pPr>
        <w:spacing w:line="600" w:lineRule="exact"/>
        <w:ind w:firstLine="640"/>
        <w:jc w:val="center"/>
        <w:rPr>
          <w:rFonts w:ascii="仿宋" w:hAnsi="仿宋" w:eastAsia="仿宋"/>
          <w:sz w:val="32"/>
          <w:szCs w:val="32"/>
        </w:rPr>
      </w:pPr>
      <w:r>
        <w:rPr>
          <w:rFonts w:hint="eastAsia" w:ascii="仿宋" w:hAnsi="仿宋" w:eastAsia="仿宋"/>
          <w:sz w:val="32"/>
          <w:szCs w:val="32"/>
        </w:rPr>
        <w:t>（图7：“三公”经费财政拨款支出结构）</w:t>
      </w:r>
    </w:p>
    <w:p w14:paraId="03D5DF49">
      <w:pPr>
        <w:spacing w:line="600" w:lineRule="exact"/>
        <w:ind w:firstLine="640"/>
        <w:rPr>
          <w:rFonts w:ascii="仿宋_GB2312" w:eastAsia="仿宋_GB2312"/>
          <w:sz w:val="32"/>
          <w:szCs w:val="32"/>
        </w:rPr>
      </w:pPr>
      <w:bookmarkStart w:id="51" w:name="_Toc15377218"/>
      <w:bookmarkStart w:id="52" w:name="_Toc15396610"/>
      <w:r>
        <w:rPr>
          <w:rFonts w:ascii="仿宋_GB2312" w:eastAsia="仿宋_GB2312"/>
          <w:b/>
          <w:sz w:val="32"/>
          <w:szCs w:val="32"/>
        </w:rPr>
        <w:t>1.</w:t>
      </w:r>
      <w:r>
        <w:rPr>
          <w:rFonts w:hint="eastAsia" w:ascii="仿宋_GB2312" w:eastAsia="仿宋_GB2312"/>
          <w:b/>
          <w:sz w:val="32"/>
          <w:szCs w:val="32"/>
        </w:rPr>
        <w:t>因公出国（境）经费支出</w:t>
      </w:r>
      <w:r>
        <w:rPr>
          <w:rFonts w:ascii="仿宋" w:hAnsi="仿宋" w:eastAsia="仿宋"/>
          <w:b/>
          <w:sz w:val="32"/>
          <w:szCs w:val="32"/>
        </w:rPr>
        <w:t>0</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ascii="仿宋" w:hAnsi="仿宋" w:eastAsia="仿宋"/>
          <w:bCs/>
          <w:sz w:val="32"/>
          <w:szCs w:val="32"/>
        </w:rPr>
        <w:t>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全年安排因公出国（境）团组</w:t>
      </w:r>
      <w:r>
        <w:rPr>
          <w:rFonts w:ascii="仿宋_GB2312" w:eastAsia="仿宋_GB2312"/>
          <w:b/>
          <w:sz w:val="32"/>
          <w:szCs w:val="32"/>
        </w:rPr>
        <w:t>0</w:t>
      </w:r>
      <w:r>
        <w:rPr>
          <w:rFonts w:hint="eastAsia" w:ascii="仿宋_GB2312" w:eastAsia="仿宋_GB2312"/>
          <w:sz w:val="32"/>
          <w:szCs w:val="32"/>
        </w:rPr>
        <w:t>次，出国（境）</w:t>
      </w:r>
      <w:r>
        <w:rPr>
          <w:rFonts w:ascii="仿宋_GB2312" w:eastAsia="仿宋_GB2312"/>
          <w:b/>
          <w:sz w:val="32"/>
          <w:szCs w:val="32"/>
        </w:rPr>
        <w:t>0</w:t>
      </w:r>
      <w:r>
        <w:rPr>
          <w:rFonts w:hint="eastAsia" w:ascii="仿宋_GB2312" w:eastAsia="仿宋_GB2312"/>
          <w:sz w:val="32"/>
          <w:szCs w:val="32"/>
        </w:rPr>
        <w:t>人。因公出国（境）支出决算比2022年增加</w:t>
      </w:r>
      <w:r>
        <w:rPr>
          <w:rFonts w:hint="eastAsia" w:ascii="仿宋_GB2312" w:eastAsia="仿宋_GB2312"/>
          <w:sz w:val="32"/>
          <w:szCs w:val="32"/>
          <w:lang w:val="en-US" w:eastAsia="zh-CN"/>
        </w:rPr>
        <w:t>0</w:t>
      </w:r>
      <w:r>
        <w:rPr>
          <w:rFonts w:hint="eastAsia" w:ascii="仿宋_GB2312" w:eastAsia="仿宋_GB2312"/>
          <w:sz w:val="32"/>
          <w:szCs w:val="32"/>
        </w:rPr>
        <w:t>万元，增</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498CD045">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ascii="仿宋" w:hAnsi="仿宋" w:eastAsia="仿宋"/>
          <w:b/>
          <w:sz w:val="32"/>
          <w:szCs w:val="32"/>
        </w:rPr>
        <w:t>23.8</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ascii="仿宋" w:hAnsi="仿宋" w:eastAsia="仿宋"/>
          <w:bCs/>
          <w:sz w:val="32"/>
          <w:szCs w:val="32"/>
        </w:rPr>
        <w:t>99.92</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公务用车购置及运行维护费支出决算比2022年度减少43.35万元，下降64.56</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2023年度本单位厉行节约，减少了公务用车使用频率</w:t>
      </w:r>
      <w:r>
        <w:rPr>
          <w:rFonts w:hint="eastAsia" w:ascii="仿宋_GB2312" w:eastAsia="仿宋_GB2312"/>
          <w:sz w:val="32"/>
          <w:szCs w:val="32"/>
        </w:rPr>
        <w:t>。</w:t>
      </w:r>
    </w:p>
    <w:p w14:paraId="3105360D">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 w:hAnsi="仿宋" w:eastAsia="仿宋"/>
          <w:b/>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万元，截至2023年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3</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r>
        <w:rPr>
          <w:rFonts w:hint="eastAsia" w:ascii="仿宋_GB2312" w:eastAsia="仿宋_GB2312"/>
          <w:sz w:val="32"/>
          <w:szCs w:val="32"/>
          <w:lang w:eastAsia="zh-CN"/>
        </w:rPr>
        <w:t>，应急保障用车</w:t>
      </w:r>
      <w:r>
        <w:rPr>
          <w:rFonts w:hint="eastAsia" w:ascii="仿宋_GB2312" w:eastAsia="仿宋_GB2312"/>
          <w:sz w:val="32"/>
          <w:szCs w:val="32"/>
          <w:lang w:val="en-US" w:eastAsia="zh-CN"/>
        </w:rPr>
        <w:t>1辆</w:t>
      </w:r>
      <w:r>
        <w:rPr>
          <w:rFonts w:hint="eastAsia" w:ascii="仿宋_GB2312" w:eastAsia="仿宋_GB2312"/>
          <w:sz w:val="32"/>
          <w:szCs w:val="32"/>
        </w:rPr>
        <w:t>。</w:t>
      </w:r>
    </w:p>
    <w:p w14:paraId="0598B11A">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ascii="仿宋" w:hAnsi="仿宋" w:eastAsia="仿宋"/>
          <w:b/>
          <w:sz w:val="32"/>
          <w:szCs w:val="32"/>
        </w:rPr>
        <w:t>23.8</w:t>
      </w:r>
      <w:r>
        <w:rPr>
          <w:rFonts w:hint="eastAsia" w:ascii="仿宋_GB2312" w:eastAsia="仿宋_GB2312"/>
          <w:sz w:val="32"/>
          <w:szCs w:val="32"/>
        </w:rPr>
        <w:t>万元。主要用于</w:t>
      </w:r>
      <w:r>
        <w:rPr>
          <w:rFonts w:hint="eastAsia" w:ascii="仿宋_GB2312" w:eastAsia="仿宋_GB2312"/>
          <w:sz w:val="32"/>
          <w:szCs w:val="32"/>
          <w:lang w:val="en-US" w:eastAsia="zh-CN"/>
        </w:rPr>
        <w:t>日常工作</w:t>
      </w:r>
      <w:r>
        <w:rPr>
          <w:rFonts w:hint="eastAsia" w:ascii="仿宋_GB2312" w:eastAsia="仿宋_GB2312"/>
          <w:sz w:val="32"/>
          <w:szCs w:val="32"/>
        </w:rPr>
        <w:t>所需的公务用车燃料费、维修费、过路过桥费、保险费等支出。</w:t>
      </w:r>
    </w:p>
    <w:p w14:paraId="74A2BA73">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ascii="仿宋" w:hAnsi="仿宋" w:eastAsia="仿宋"/>
          <w:b/>
          <w:sz w:val="32"/>
          <w:szCs w:val="32"/>
        </w:rPr>
        <w:t>0.19</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ascii="仿宋" w:hAnsi="仿宋" w:eastAsia="仿宋"/>
          <w:b w:val="0"/>
          <w:bCs/>
          <w:sz w:val="32"/>
          <w:szCs w:val="32"/>
        </w:rPr>
        <w:t>100%</w:t>
      </w:r>
      <w:r>
        <w:rPr>
          <w:rStyle w:val="16"/>
          <w:rFonts w:hint="eastAsia" w:ascii="仿宋" w:hAnsi="仿宋" w:eastAsia="仿宋"/>
          <w:b w:val="0"/>
          <w:bCs/>
          <w:sz w:val="32"/>
          <w:szCs w:val="32"/>
        </w:rPr>
        <w:t>。</w:t>
      </w:r>
      <w:r>
        <w:rPr>
          <w:rFonts w:hint="eastAsia" w:ascii="仿宋_GB2312" w:eastAsia="仿宋_GB2312"/>
          <w:sz w:val="32"/>
          <w:szCs w:val="32"/>
        </w:rPr>
        <w:t>公务接待费支出决算比2022年度增加0.04万元，增长28.13</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2023</w:t>
      </w:r>
      <w:r>
        <w:rPr>
          <w:rFonts w:hint="eastAsia" w:ascii="仿宋_GB2312" w:eastAsia="仿宋_GB2312"/>
          <w:sz w:val="32"/>
          <w:szCs w:val="32"/>
        </w:rPr>
        <w:t>年</w:t>
      </w:r>
      <w:r>
        <w:rPr>
          <w:rFonts w:hint="eastAsia" w:ascii="仿宋_GB2312" w:eastAsia="仿宋_GB2312"/>
          <w:sz w:val="32"/>
          <w:szCs w:val="32"/>
          <w:lang w:val="en-US" w:eastAsia="zh-CN"/>
        </w:rPr>
        <w:t>度较上年</w:t>
      </w:r>
      <w:r>
        <w:rPr>
          <w:rFonts w:hint="eastAsia" w:ascii="仿宋_GB2312" w:eastAsia="仿宋_GB2312"/>
          <w:sz w:val="32"/>
          <w:szCs w:val="32"/>
        </w:rPr>
        <w:t>接待人次增加。其中：</w:t>
      </w:r>
    </w:p>
    <w:p w14:paraId="703CED35">
      <w:pPr>
        <w:spacing w:line="600" w:lineRule="exact"/>
        <w:ind w:firstLine="640"/>
        <w:rPr>
          <w:rFonts w:hint="eastAsia" w:ascii="仿宋_GB2312" w:eastAsia="仿宋_GB2312"/>
          <w:sz w:val="32"/>
          <w:szCs w:val="32"/>
        </w:rPr>
      </w:pPr>
      <w:r>
        <w:rPr>
          <w:rFonts w:hint="eastAsia" w:ascii="仿宋" w:hAnsi="仿宋" w:eastAsia="仿宋"/>
          <w:b/>
          <w:sz w:val="32"/>
          <w:szCs w:val="32"/>
        </w:rPr>
        <w:t>国内公务接待支出</w:t>
      </w:r>
      <w:r>
        <w:rPr>
          <w:rFonts w:ascii="仿宋" w:hAnsi="仿宋" w:eastAsia="仿宋"/>
          <w:b/>
          <w:sz w:val="32"/>
          <w:szCs w:val="32"/>
        </w:rPr>
        <w:t>0.19</w:t>
      </w:r>
      <w:r>
        <w:rPr>
          <w:rFonts w:hint="eastAsia" w:ascii="仿宋_GB2312" w:eastAsia="仿宋_GB2312"/>
          <w:sz w:val="32"/>
          <w:szCs w:val="32"/>
        </w:rPr>
        <w:t>万元，主要用于上级卫生健康部门执行公务</w:t>
      </w:r>
      <w:r>
        <w:rPr>
          <w:rFonts w:hint="eastAsia" w:ascii="仿宋_GB2312" w:eastAsia="仿宋_GB2312"/>
          <w:sz w:val="32"/>
          <w:szCs w:val="32"/>
          <w:lang w:eastAsia="zh-CN"/>
        </w:rPr>
        <w:t>，</w:t>
      </w:r>
      <w:r>
        <w:rPr>
          <w:rFonts w:hint="eastAsia" w:ascii="仿宋_GB2312" w:eastAsia="仿宋_GB2312"/>
          <w:sz w:val="32"/>
          <w:szCs w:val="32"/>
        </w:rPr>
        <w:t>开展业务活动开支的交通费、住宿费、用餐费等)。国内公务接待</w:t>
      </w:r>
      <w:r>
        <w:rPr>
          <w:rFonts w:hint="eastAsia" w:ascii="仿宋_GB2312" w:eastAsia="仿宋_GB2312"/>
          <w:sz w:val="32"/>
          <w:szCs w:val="32"/>
          <w:lang w:val="en-US" w:eastAsia="zh-CN"/>
        </w:rPr>
        <w:t>2</w:t>
      </w:r>
      <w:r>
        <w:rPr>
          <w:rFonts w:hint="eastAsia" w:ascii="仿宋_GB2312" w:eastAsia="仿宋_GB2312"/>
          <w:sz w:val="32"/>
          <w:szCs w:val="32"/>
        </w:rPr>
        <w:t>批次，</w:t>
      </w:r>
      <w:r>
        <w:rPr>
          <w:rFonts w:hint="eastAsia" w:ascii="仿宋_GB2312" w:eastAsia="仿宋_GB2312"/>
          <w:sz w:val="32"/>
          <w:szCs w:val="32"/>
          <w:lang w:val="en-US" w:eastAsia="zh-CN"/>
        </w:rPr>
        <w:t>10</w:t>
      </w:r>
      <w:r>
        <w:rPr>
          <w:rFonts w:hint="eastAsia" w:ascii="仿宋_GB2312" w:eastAsia="仿宋_GB2312"/>
          <w:sz w:val="32"/>
          <w:szCs w:val="32"/>
        </w:rPr>
        <w:t>人次（不包括陪同人员），共计支出0.19万元</w:t>
      </w:r>
      <w:r>
        <w:rPr>
          <w:rFonts w:hint="eastAsia" w:ascii="仿宋_GB2312" w:eastAsia="仿宋_GB2312"/>
          <w:sz w:val="32"/>
          <w:szCs w:val="32"/>
          <w:lang w:eastAsia="zh-CN"/>
        </w:rPr>
        <w:t>，</w:t>
      </w:r>
      <w:r>
        <w:rPr>
          <w:rFonts w:hint="eastAsia" w:ascii="仿宋_GB2312" w:eastAsia="仿宋_GB2312"/>
          <w:sz w:val="32"/>
          <w:szCs w:val="32"/>
        </w:rPr>
        <w:t>具体内容包括：上级卫生健康部门检查工作。</w:t>
      </w:r>
    </w:p>
    <w:p w14:paraId="65FE3B81">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ascii="仿宋" w:hAnsi="仿宋" w:eastAsia="仿宋"/>
          <w:b/>
          <w:sz w:val="32"/>
          <w:szCs w:val="32"/>
        </w:rPr>
        <w:t>0</w:t>
      </w:r>
      <w:r>
        <w:rPr>
          <w:rFonts w:hint="eastAsia" w:ascii="仿宋_GB2312" w:eastAsia="仿宋_GB2312"/>
          <w:sz w:val="32"/>
          <w:szCs w:val="32"/>
        </w:rPr>
        <w:t>万元。</w:t>
      </w:r>
    </w:p>
    <w:p w14:paraId="57AD822D">
      <w:pPr>
        <w:spacing w:line="600" w:lineRule="exact"/>
        <w:ind w:firstLine="640"/>
        <w:outlineLvl w:val="9"/>
        <w:rPr>
          <w:rFonts w:ascii="黑体" w:eastAsia="黑体"/>
          <w:sz w:val="32"/>
          <w:szCs w:val="32"/>
        </w:rPr>
      </w:pPr>
    </w:p>
    <w:p w14:paraId="089F69EC">
      <w:pPr>
        <w:spacing w:line="600" w:lineRule="exact"/>
        <w:ind w:firstLine="640"/>
        <w:outlineLvl w:val="1"/>
        <w:rPr>
          <w:rStyle w:val="28"/>
          <w:rFonts w:ascii="黑体" w:hAnsi="黑体" w:eastAsia="黑体"/>
        </w:rPr>
      </w:pPr>
      <w:bookmarkStart w:id="53" w:name="_Toc27086"/>
      <w:r>
        <w:rPr>
          <w:rFonts w:hint="eastAsia" w:ascii="黑体" w:eastAsia="黑体"/>
          <w:sz w:val="32"/>
          <w:szCs w:val="32"/>
        </w:rPr>
        <w:t>八、</w:t>
      </w:r>
      <w:r>
        <w:rPr>
          <w:rStyle w:val="28"/>
          <w:rFonts w:hint="eastAsia" w:ascii="黑体" w:hAnsi="黑体" w:eastAsia="黑体"/>
          <w:b w:val="0"/>
        </w:rPr>
        <w:t>政府性基金预算支出决算情况说明</w:t>
      </w:r>
      <w:bookmarkEnd w:id="51"/>
      <w:bookmarkEnd w:id="52"/>
      <w:bookmarkEnd w:id="53"/>
    </w:p>
    <w:p w14:paraId="26B7E67E">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rFonts w:ascii="仿宋" w:hAnsi="仿宋" w:eastAsia="仿宋"/>
          <w:b/>
          <w:sz w:val="32"/>
          <w:szCs w:val="32"/>
        </w:rPr>
        <w:t>0</w:t>
      </w:r>
      <w:r>
        <w:rPr>
          <w:rFonts w:hint="eastAsia" w:ascii="仿宋_GB2312" w:eastAsia="仿宋_GB2312"/>
          <w:sz w:val="32"/>
          <w:szCs w:val="32"/>
        </w:rPr>
        <w:t>万元。</w:t>
      </w:r>
    </w:p>
    <w:p w14:paraId="25FEF96F">
      <w:pPr>
        <w:spacing w:line="600" w:lineRule="exact"/>
        <w:ind w:firstLine="640"/>
        <w:rPr>
          <w:rFonts w:ascii="仿宋_GB2312" w:eastAsia="仿宋_GB2312"/>
          <w:sz w:val="32"/>
          <w:szCs w:val="32"/>
        </w:rPr>
      </w:pPr>
    </w:p>
    <w:p w14:paraId="1B294218">
      <w:pPr>
        <w:numPr>
          <w:ilvl w:val="0"/>
          <w:numId w:val="3"/>
        </w:numPr>
        <w:spacing w:line="600" w:lineRule="exact"/>
        <w:ind w:firstLine="640"/>
        <w:outlineLvl w:val="1"/>
        <w:rPr>
          <w:rStyle w:val="28"/>
          <w:rFonts w:ascii="黑体" w:hAnsi="黑体" w:eastAsia="黑体"/>
          <w:b w:val="0"/>
        </w:rPr>
      </w:pPr>
      <w:bookmarkStart w:id="54" w:name="_Toc15377219"/>
      <w:bookmarkStart w:id="55" w:name="_Toc20138"/>
      <w:bookmarkStart w:id="56" w:name="_Toc15396611"/>
      <w:r>
        <w:rPr>
          <w:rStyle w:val="28"/>
          <w:rFonts w:hint="eastAsia" w:ascii="黑体" w:hAnsi="黑体" w:eastAsia="黑体"/>
          <w:b w:val="0"/>
        </w:rPr>
        <w:t>国有资本经营预算支出决算情况说明</w:t>
      </w:r>
      <w:bookmarkEnd w:id="54"/>
      <w:bookmarkEnd w:id="55"/>
      <w:bookmarkEnd w:id="56"/>
    </w:p>
    <w:p w14:paraId="53750A11">
      <w:pPr>
        <w:spacing w:line="600" w:lineRule="exact"/>
        <w:ind w:firstLine="640"/>
        <w:rPr>
          <w:rFonts w:ascii="仿宋_GB2312" w:eastAsia="仿宋_GB2312"/>
          <w:sz w:val="32"/>
          <w:szCs w:val="32"/>
        </w:rPr>
      </w:pPr>
      <w:r>
        <w:rPr>
          <w:rFonts w:hint="eastAsia" w:ascii="仿宋_GB2312" w:eastAsia="仿宋_GB2312"/>
          <w:sz w:val="32"/>
          <w:szCs w:val="32"/>
        </w:rPr>
        <w:t>2023年度国有资本经营预算财政拨款支出</w:t>
      </w:r>
      <w:r>
        <w:rPr>
          <w:rFonts w:ascii="仿宋" w:hAnsi="仿宋" w:eastAsia="仿宋"/>
          <w:b/>
          <w:sz w:val="32"/>
          <w:szCs w:val="32"/>
        </w:rPr>
        <w:t>0</w:t>
      </w:r>
      <w:r>
        <w:rPr>
          <w:rFonts w:hint="eastAsia" w:ascii="仿宋_GB2312" w:eastAsia="仿宋_GB2312"/>
          <w:sz w:val="32"/>
          <w:szCs w:val="32"/>
        </w:rPr>
        <w:t>万元。</w:t>
      </w:r>
    </w:p>
    <w:p w14:paraId="6B8D7F69">
      <w:pPr>
        <w:spacing w:line="580" w:lineRule="exact"/>
        <w:jc w:val="center"/>
        <w:rPr>
          <w:rFonts w:ascii="方正小标宋简体" w:hAnsi="方正小标宋简体" w:eastAsia="方正小标宋简体" w:cs="方正小标宋简体"/>
          <w:sz w:val="44"/>
          <w:szCs w:val="44"/>
        </w:rPr>
      </w:pPr>
    </w:p>
    <w:p w14:paraId="69B7E222">
      <w:pPr>
        <w:numPr>
          <w:ilvl w:val="0"/>
          <w:numId w:val="3"/>
        </w:numPr>
        <w:spacing w:line="600" w:lineRule="exact"/>
        <w:ind w:firstLine="640"/>
        <w:outlineLvl w:val="1"/>
        <w:rPr>
          <w:rStyle w:val="28"/>
          <w:rFonts w:ascii="黑体" w:hAnsi="黑体" w:eastAsia="黑体"/>
          <w:b w:val="0"/>
        </w:rPr>
      </w:pPr>
      <w:bookmarkStart w:id="57" w:name="_Toc22829"/>
      <w:bookmarkStart w:id="58" w:name="_Toc15377221"/>
      <w:bookmarkStart w:id="59" w:name="_Toc15396612"/>
      <w:r>
        <w:rPr>
          <w:rStyle w:val="28"/>
          <w:rFonts w:hint="eastAsia" w:ascii="黑体" w:hAnsi="黑体" w:eastAsia="黑体"/>
          <w:b w:val="0"/>
        </w:rPr>
        <w:t>其他重要事项的情况说明</w:t>
      </w:r>
      <w:bookmarkEnd w:id="57"/>
      <w:bookmarkEnd w:id="58"/>
      <w:bookmarkEnd w:id="59"/>
    </w:p>
    <w:p w14:paraId="4E95E32F">
      <w:pPr>
        <w:spacing w:line="600" w:lineRule="exact"/>
        <w:ind w:firstLine="643" w:firstLineChars="200"/>
        <w:outlineLvl w:val="9"/>
        <w:rPr>
          <w:rFonts w:ascii="仿宋" w:hAnsi="仿宋" w:eastAsia="仿宋"/>
          <w:sz w:val="32"/>
          <w:szCs w:val="32"/>
        </w:rPr>
      </w:pPr>
      <w:bookmarkStart w:id="60" w:name="_Toc15377222"/>
      <w:r>
        <w:rPr>
          <w:rFonts w:hint="eastAsia" w:ascii="仿宋" w:hAnsi="仿宋" w:eastAsia="仿宋"/>
          <w:b/>
          <w:sz w:val="32"/>
          <w:szCs w:val="32"/>
        </w:rPr>
        <w:t>（一）机关运行经费支出情况</w:t>
      </w:r>
      <w:bookmarkEnd w:id="60"/>
    </w:p>
    <w:p w14:paraId="2EC178D0">
      <w:pPr>
        <w:spacing w:line="600" w:lineRule="exact"/>
        <w:ind w:firstLine="640" w:firstLineChars="200"/>
        <w:rPr>
          <w:rFonts w:ascii="仿宋" w:hAnsi="仿宋" w:eastAsia="仿宋"/>
          <w:b/>
          <w:sz w:val="32"/>
          <w:szCs w:val="32"/>
        </w:rPr>
      </w:pPr>
      <w:r>
        <w:rPr>
          <w:rFonts w:hint="eastAsia" w:ascii="仿宋_GB2312" w:eastAsia="仿宋_GB2312"/>
          <w:sz w:val="32"/>
          <w:szCs w:val="32"/>
        </w:rPr>
        <w:t>2023年度，</w:t>
      </w:r>
      <w:r>
        <w:rPr>
          <w:rFonts w:ascii="仿宋_GB2312" w:eastAsia="仿宋_GB2312"/>
          <w:b/>
          <w:sz w:val="32"/>
          <w:szCs w:val="32"/>
        </w:rPr>
        <w:t>阿坝州红原县流动人口计划生育管理办公室</w:t>
      </w:r>
      <w:r>
        <w:rPr>
          <w:rFonts w:hint="eastAsia" w:ascii="仿宋_GB2312" w:eastAsia="仿宋_GB2312"/>
          <w:sz w:val="32"/>
          <w:szCs w:val="32"/>
        </w:rPr>
        <w:t>机关运行经费支出</w:t>
      </w:r>
      <w:r>
        <w:rPr>
          <w:rFonts w:ascii="仿宋" w:hAnsi="仿宋" w:eastAsia="仿宋"/>
          <w:b/>
          <w:sz w:val="32"/>
          <w:szCs w:val="32"/>
        </w:rPr>
        <w:t>0</w:t>
      </w:r>
      <w:r>
        <w:rPr>
          <w:rFonts w:hint="eastAsia" w:ascii="仿宋_GB2312" w:eastAsia="仿宋_GB2312"/>
          <w:sz w:val="32"/>
          <w:szCs w:val="32"/>
        </w:rPr>
        <w:t>万元，比2022年度增加</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045F76C1">
      <w:pPr>
        <w:autoSpaceDE w:val="0"/>
        <w:autoSpaceDN w:val="0"/>
        <w:adjustRightInd w:val="0"/>
        <w:spacing w:line="600" w:lineRule="exact"/>
        <w:ind w:firstLine="643" w:firstLineChars="200"/>
        <w:jc w:val="left"/>
        <w:outlineLvl w:val="9"/>
        <w:rPr>
          <w:rFonts w:ascii="仿宋" w:hAnsi="仿宋" w:eastAsia="仿宋"/>
          <w:b/>
          <w:sz w:val="32"/>
          <w:szCs w:val="32"/>
        </w:rPr>
      </w:pPr>
      <w:bookmarkStart w:id="61" w:name="_Toc15377223"/>
      <w:r>
        <w:rPr>
          <w:rFonts w:hint="eastAsia" w:ascii="仿宋" w:hAnsi="仿宋" w:eastAsia="仿宋"/>
          <w:b/>
          <w:sz w:val="32"/>
          <w:szCs w:val="32"/>
        </w:rPr>
        <w:t>（二）政府采购支出情况</w:t>
      </w:r>
      <w:bookmarkEnd w:id="61"/>
    </w:p>
    <w:p w14:paraId="25362DA8">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ascii="仿宋_GB2312" w:eastAsia="仿宋_GB2312"/>
          <w:b/>
          <w:sz w:val="32"/>
          <w:szCs w:val="32"/>
        </w:rPr>
        <w:t>阿坝州红原县流动人口计划生育管理办公室</w:t>
      </w:r>
      <w:r>
        <w:rPr>
          <w:rFonts w:hint="eastAsia" w:ascii="仿宋_GB2312" w:eastAsia="仿宋_GB2312"/>
          <w:sz w:val="32"/>
          <w:szCs w:val="32"/>
        </w:rPr>
        <w:t>政府采购支出总额</w:t>
      </w:r>
      <w:r>
        <w:rPr>
          <w:rFonts w:ascii="仿宋" w:hAnsi="仿宋" w:eastAsia="仿宋"/>
          <w:b/>
          <w:sz w:val="32"/>
          <w:szCs w:val="32"/>
        </w:rPr>
        <w:t>0</w:t>
      </w:r>
      <w:r>
        <w:rPr>
          <w:rFonts w:hint="eastAsia" w:ascii="仿宋_GB2312" w:eastAsia="仿宋_GB2312"/>
          <w:sz w:val="32"/>
          <w:szCs w:val="32"/>
        </w:rPr>
        <w:t>万元，其中：政府采购货物支出</w:t>
      </w:r>
      <w:r>
        <w:rPr>
          <w:rFonts w:ascii="仿宋" w:hAnsi="仿宋" w:eastAsia="仿宋"/>
          <w:b/>
          <w:sz w:val="32"/>
          <w:szCs w:val="32"/>
        </w:rPr>
        <w:t>0</w:t>
      </w:r>
      <w:r>
        <w:rPr>
          <w:rFonts w:hint="eastAsia" w:ascii="仿宋_GB2312" w:eastAsia="仿宋_GB2312"/>
          <w:sz w:val="32"/>
          <w:szCs w:val="32"/>
        </w:rPr>
        <w:t>万元、政府采购工程支出</w:t>
      </w:r>
      <w:r>
        <w:rPr>
          <w:rFonts w:ascii="仿宋" w:hAnsi="仿宋" w:eastAsia="仿宋"/>
          <w:b/>
          <w:sz w:val="32"/>
          <w:szCs w:val="32"/>
        </w:rPr>
        <w:t>0</w:t>
      </w:r>
      <w:r>
        <w:rPr>
          <w:rFonts w:hint="eastAsia" w:ascii="仿宋_GB2312" w:eastAsia="仿宋_GB2312"/>
          <w:sz w:val="32"/>
          <w:szCs w:val="32"/>
        </w:rPr>
        <w:t>万元、政府采购服务支出</w:t>
      </w:r>
      <w:r>
        <w:rPr>
          <w:rFonts w:ascii="仿宋" w:hAnsi="仿宋" w:eastAsia="仿宋"/>
          <w:b/>
          <w:sz w:val="32"/>
          <w:szCs w:val="32"/>
        </w:rPr>
        <w:t>0</w:t>
      </w:r>
      <w:r>
        <w:rPr>
          <w:rFonts w:hint="eastAsia" w:ascii="仿宋_GB2312" w:eastAsia="仿宋_GB2312"/>
          <w:sz w:val="32"/>
          <w:szCs w:val="32"/>
        </w:rPr>
        <w:t>万元。授予中小企业合同金额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sz w:val="32"/>
          <w:szCs w:val="32"/>
        </w:rPr>
        <w:t>0%</w:t>
      </w:r>
      <w:r>
        <w:rPr>
          <w:rFonts w:hint="eastAsia" w:ascii="仿宋_GB2312" w:eastAsia="仿宋_GB2312"/>
          <w:sz w:val="32"/>
          <w:szCs w:val="32"/>
        </w:rPr>
        <w:t>，其中：授予小微企业合同金额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b/>
          <w:sz w:val="32"/>
          <w:szCs w:val="32"/>
        </w:rPr>
        <w:t>0</w:t>
      </w:r>
      <w:r>
        <w:rPr>
          <w:rFonts w:ascii="仿宋_GB2312" w:eastAsia="仿宋_GB2312"/>
          <w:sz w:val="32"/>
          <w:szCs w:val="32"/>
        </w:rPr>
        <w:t>%</w:t>
      </w:r>
      <w:r>
        <w:rPr>
          <w:rFonts w:hint="eastAsia" w:ascii="仿宋_GB2312" w:eastAsia="仿宋_GB2312"/>
          <w:sz w:val="32"/>
          <w:szCs w:val="32"/>
        </w:rPr>
        <w:t>。</w:t>
      </w:r>
    </w:p>
    <w:p w14:paraId="4CBC0842">
      <w:pPr>
        <w:autoSpaceDE w:val="0"/>
        <w:autoSpaceDN w:val="0"/>
        <w:adjustRightInd w:val="0"/>
        <w:spacing w:line="600" w:lineRule="exact"/>
        <w:ind w:firstLine="643" w:firstLineChars="200"/>
        <w:jc w:val="left"/>
        <w:outlineLvl w:val="9"/>
        <w:rPr>
          <w:rFonts w:ascii="仿宋" w:hAnsi="仿宋" w:eastAsia="仿宋"/>
          <w:b/>
          <w:sz w:val="32"/>
          <w:szCs w:val="32"/>
        </w:rPr>
      </w:pPr>
      <w:bookmarkStart w:id="62" w:name="_Toc15377224"/>
      <w:r>
        <w:rPr>
          <w:rFonts w:hint="eastAsia" w:ascii="仿宋" w:hAnsi="仿宋" w:eastAsia="仿宋"/>
          <w:b/>
          <w:sz w:val="32"/>
          <w:szCs w:val="32"/>
        </w:rPr>
        <w:t>（三）国有资产占有使用情况</w:t>
      </w:r>
      <w:bookmarkEnd w:id="62"/>
    </w:p>
    <w:p w14:paraId="7876AD0B">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ascii="仿宋_GB2312" w:eastAsia="仿宋_GB2312"/>
          <w:b/>
          <w:sz w:val="32"/>
          <w:szCs w:val="32"/>
        </w:rPr>
        <w:t>阿坝州红原县流动人口计划生育管理办公室</w:t>
      </w:r>
      <w:r>
        <w:rPr>
          <w:rFonts w:hint="eastAsia" w:ascii="仿宋_GB2312" w:eastAsia="仿宋_GB2312"/>
          <w:sz w:val="32"/>
          <w:szCs w:val="32"/>
        </w:rPr>
        <w:t>共有车辆</w:t>
      </w:r>
      <w:r>
        <w:rPr>
          <w:rFonts w:hint="eastAsia" w:ascii="仿宋_GB2312" w:eastAsia="仿宋_GB2312"/>
          <w:b/>
          <w:sz w:val="32"/>
          <w:szCs w:val="32"/>
        </w:rPr>
        <w:t>3</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3</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w:t>
      </w:r>
      <w:r>
        <w:rPr>
          <w:rFonts w:hint="eastAsia" w:ascii="仿宋_GB2312" w:eastAsia="仿宋_GB2312"/>
          <w:sz w:val="32"/>
          <w:szCs w:val="32"/>
          <w:lang w:val="en-US" w:eastAsia="zh-CN"/>
        </w:rPr>
        <w:t>0</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万元以上设备（不含车辆）</w:t>
      </w:r>
      <w:r>
        <w:rPr>
          <w:rFonts w:ascii="仿宋_GB2312" w:eastAsia="仿宋_GB2312"/>
          <w:b/>
          <w:sz w:val="32"/>
          <w:szCs w:val="32"/>
        </w:rPr>
        <w:t>0</w:t>
      </w:r>
      <w:r>
        <w:rPr>
          <w:rFonts w:hint="eastAsia" w:ascii="仿宋_GB2312" w:eastAsia="仿宋_GB2312"/>
          <w:sz w:val="32"/>
          <w:szCs w:val="32"/>
        </w:rPr>
        <w:t>台（套）。</w:t>
      </w:r>
    </w:p>
    <w:p w14:paraId="25E686B7">
      <w:pPr>
        <w:autoSpaceDE w:val="0"/>
        <w:autoSpaceDN w:val="0"/>
        <w:adjustRightInd w:val="0"/>
        <w:spacing w:line="600" w:lineRule="exact"/>
        <w:ind w:firstLine="643" w:firstLineChars="200"/>
        <w:jc w:val="left"/>
        <w:outlineLvl w:val="9"/>
        <w:rPr>
          <w:rFonts w:ascii="仿宋" w:hAnsi="仿宋" w:eastAsia="仿宋"/>
          <w:b/>
          <w:sz w:val="32"/>
          <w:szCs w:val="32"/>
        </w:rPr>
      </w:pPr>
      <w:r>
        <w:rPr>
          <w:rFonts w:hint="eastAsia" w:ascii="仿宋" w:hAnsi="仿宋" w:eastAsia="仿宋"/>
          <w:b/>
          <w:sz w:val="32"/>
          <w:szCs w:val="32"/>
        </w:rPr>
        <w:t>（四）预算绩效管理情况</w:t>
      </w:r>
    </w:p>
    <w:p w14:paraId="699C26E9">
      <w:pPr>
        <w:spacing w:line="600" w:lineRule="exact"/>
        <w:ind w:firstLine="640" w:firstLineChars="200"/>
        <w:rPr>
          <w:rFonts w:ascii="仿宋_GB2312" w:eastAsia="仿宋_GB2312"/>
          <w:sz w:val="32"/>
          <w:szCs w:val="32"/>
        </w:rPr>
      </w:pPr>
      <w:r>
        <w:rPr>
          <w:rFonts w:hint="eastAsia" w:ascii="仿宋_GB2312" w:eastAsia="仿宋_GB2312"/>
          <w:sz w:val="32"/>
          <w:szCs w:val="32"/>
        </w:rPr>
        <w:t>根据预算绩效管理要求，本单位在2023年度预算编制阶段，组织对</w:t>
      </w:r>
      <w:r>
        <w:rPr>
          <w:rFonts w:hint="eastAsia" w:ascii="仿宋_GB2312" w:eastAsia="仿宋_GB2312"/>
          <w:sz w:val="32"/>
          <w:szCs w:val="32"/>
          <w:lang w:val="en-US" w:eastAsia="zh-CN"/>
        </w:rPr>
        <w:t>县级计划生育事业经费、独生子女家庭奖励补助县级配套、基本药物制度补助县级配套、基本公共卫生服务补助县级配套</w:t>
      </w:r>
      <w:r>
        <w:rPr>
          <w:rFonts w:hint="eastAsia" w:ascii="仿宋_GB2312" w:eastAsia="仿宋_GB2312"/>
          <w:sz w:val="32"/>
          <w:szCs w:val="32"/>
        </w:rPr>
        <w:t>等</w:t>
      </w:r>
      <w:r>
        <w:rPr>
          <w:rFonts w:hint="eastAsia" w:ascii="仿宋_GB2312" w:eastAsia="仿宋_GB2312"/>
          <w:sz w:val="32"/>
          <w:szCs w:val="32"/>
          <w:lang w:val="en-US" w:eastAsia="zh-CN"/>
        </w:rPr>
        <w:t>21</w:t>
      </w:r>
      <w:r>
        <w:rPr>
          <w:rFonts w:hint="eastAsia" w:ascii="仿宋_GB2312" w:eastAsia="仿宋_GB2312"/>
          <w:sz w:val="32"/>
          <w:szCs w:val="32"/>
        </w:rPr>
        <w:t>个项目开展了预算事前绩效评估，对</w:t>
      </w:r>
      <w:r>
        <w:rPr>
          <w:rFonts w:hint="eastAsia" w:ascii="仿宋_GB2312" w:eastAsia="仿宋_GB2312"/>
          <w:sz w:val="32"/>
          <w:szCs w:val="32"/>
          <w:lang w:val="en-US" w:eastAsia="zh-CN"/>
        </w:rPr>
        <w:t>21</w:t>
      </w:r>
      <w:r>
        <w:rPr>
          <w:rFonts w:hint="eastAsia" w:ascii="仿宋_GB2312" w:eastAsia="仿宋_GB2312"/>
          <w:sz w:val="32"/>
          <w:szCs w:val="32"/>
        </w:rPr>
        <w:t>个项目编制了绩效目标，预算执行过程中，选取</w:t>
      </w:r>
      <w:r>
        <w:rPr>
          <w:rFonts w:hint="eastAsia" w:ascii="仿宋_GB2312" w:eastAsia="仿宋_GB2312"/>
          <w:sz w:val="32"/>
          <w:szCs w:val="32"/>
          <w:lang w:val="en-US" w:eastAsia="zh-CN"/>
        </w:rPr>
        <w:t>21</w:t>
      </w:r>
      <w:r>
        <w:rPr>
          <w:rFonts w:hint="eastAsia" w:ascii="仿宋_GB2312" w:eastAsia="仿宋_GB2312"/>
          <w:sz w:val="32"/>
          <w:szCs w:val="32"/>
        </w:rPr>
        <w:t>个项目开展绩效监控，组织对</w:t>
      </w:r>
      <w:r>
        <w:rPr>
          <w:rFonts w:hint="eastAsia" w:ascii="仿宋_GB2312" w:eastAsia="仿宋_GB2312"/>
          <w:sz w:val="32"/>
          <w:szCs w:val="32"/>
          <w:lang w:val="en-US" w:eastAsia="zh-CN"/>
        </w:rPr>
        <w:t>21</w:t>
      </w:r>
      <w:r>
        <w:rPr>
          <w:rFonts w:hint="eastAsia" w:ascii="仿宋_GB2312" w:eastAsia="仿宋_GB2312"/>
          <w:sz w:val="32"/>
          <w:szCs w:val="32"/>
        </w:rPr>
        <w:t>个项目开展绩效自评，绩效自评表详见第四部分附件。</w:t>
      </w:r>
    </w:p>
    <w:p w14:paraId="5E2D473B">
      <w:pPr>
        <w:spacing w:line="600" w:lineRule="exact"/>
        <w:ind w:firstLine="640" w:firstLineChars="200"/>
        <w:rPr>
          <w:rFonts w:ascii="仿宋_GB2312" w:eastAsia="仿宋_GB2312"/>
          <w:sz w:val="32"/>
          <w:szCs w:val="32"/>
        </w:rPr>
      </w:pPr>
      <w:r>
        <w:rPr>
          <w:rFonts w:hint="eastAsia" w:ascii="仿宋_GB2312" w:eastAsia="仿宋_GB2312"/>
          <w:sz w:val="32"/>
          <w:szCs w:val="32"/>
        </w:rPr>
        <w:br w:type="page"/>
      </w:r>
    </w:p>
    <w:p w14:paraId="140CF6FB">
      <w:pPr>
        <w:numPr>
          <w:ilvl w:val="0"/>
          <w:numId w:val="4"/>
        </w:numPr>
        <w:spacing w:line="600" w:lineRule="exact"/>
        <w:ind w:firstLine="660" w:firstLineChars="150"/>
        <w:jc w:val="center"/>
        <w:outlineLvl w:val="0"/>
        <w:rPr>
          <w:rStyle w:val="27"/>
          <w:rFonts w:ascii="黑体" w:hAnsi="黑体" w:eastAsia="黑体"/>
          <w:b w:val="0"/>
        </w:rPr>
      </w:pPr>
      <w:bookmarkStart w:id="63" w:name="_Toc15396613"/>
      <w:bookmarkStart w:id="64" w:name="_Toc20237"/>
      <w:bookmarkStart w:id="65" w:name="_Toc15377225"/>
      <w:r>
        <w:rPr>
          <w:rFonts w:hint="eastAsia" w:ascii="黑体" w:hAnsi="黑体" w:eastAsia="黑体"/>
          <w:sz w:val="44"/>
          <w:szCs w:val="44"/>
        </w:rPr>
        <w:t>名</w:t>
      </w:r>
      <w:r>
        <w:rPr>
          <w:rStyle w:val="27"/>
          <w:rFonts w:hint="eastAsia" w:ascii="黑体" w:hAnsi="黑体" w:eastAsia="黑体"/>
          <w:b w:val="0"/>
        </w:rPr>
        <w:t>词解释</w:t>
      </w:r>
      <w:bookmarkEnd w:id="63"/>
      <w:bookmarkEnd w:id="64"/>
      <w:bookmarkEnd w:id="65"/>
    </w:p>
    <w:p w14:paraId="4E812CDF">
      <w:pPr>
        <w:spacing w:line="600" w:lineRule="exact"/>
        <w:jc w:val="left"/>
        <w:rPr>
          <w:rFonts w:ascii="宋体"/>
          <w:b/>
          <w:sz w:val="44"/>
          <w:szCs w:val="44"/>
        </w:rPr>
      </w:pPr>
    </w:p>
    <w:p w14:paraId="65CE9CF5">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1.财政拨款收入：指单位从同级财政部门取得的财政预算资金。</w:t>
      </w:r>
    </w:p>
    <w:p w14:paraId="466A99B3">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2.事业收入：指事业单位开展专业业务活动及辅助活动取得的收入。</w:t>
      </w:r>
    </w:p>
    <w:p w14:paraId="155CA907">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3.经营收入：指事业单位在专业业务活动及其辅助活动之外开展非独立核算经营活动取得的收入。</w:t>
      </w:r>
    </w:p>
    <w:p w14:paraId="659C1139">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4.其他收入：指单位取得的除上述收入以外的各项收入。</w:t>
      </w:r>
    </w:p>
    <w:p w14:paraId="0C1A00A1">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5.使用非财政拨款结余：指事业单位使用以前年度积累的非财政拨款结余弥补当年收支差额的金额。</w:t>
      </w:r>
    </w:p>
    <w:p w14:paraId="6493A132">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6.年初结转和结余：指以前年度尚未完成、结转到本年按有关规定继续使用的资金。</w:t>
      </w:r>
    </w:p>
    <w:p w14:paraId="7073A57D">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7.结余分配：指事业单位按照会计制度规定缴纳的所得税、提取的专用结余以及转入非财政拨款结余的金额等。</w:t>
      </w:r>
    </w:p>
    <w:p w14:paraId="4B3C57A0">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8.年末结转和结余：指单位按有关规定结转到下年或以后年度继续使用的资金。</w:t>
      </w:r>
    </w:p>
    <w:p w14:paraId="63CB38CB">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9.社会保障和就业支出（类）行政事业单位养老支出（款）机关事业单位基本养老保险缴费支出（项）:指反映机关事业单位实施养老保险制度由单位缴纳的基本养老保险费支出。</w:t>
      </w:r>
    </w:p>
    <w:p w14:paraId="0EABBDEE">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10.社会保障和就业支出（类）行政事业单位养老支出（款）机关事业单位职业年金缴费支出（项）:指反映机关事业单位实施养老保险制度由单位实际缴纳的职业年金支出。</w:t>
      </w:r>
    </w:p>
    <w:p w14:paraId="37B7087D">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11.卫生健康支出（类）卫生健康管理事务（款）其他卫生健康管理事务支出（项）:指反映除上述项目以外其他用于卫生健康管理事务方面的支出。</w:t>
      </w:r>
    </w:p>
    <w:p w14:paraId="78A8F346">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12.卫生健康支出（类）基层医疗卫生机构（款）乡镇卫生院（项）:指反映用于乡镇卫生院的支出。</w:t>
      </w:r>
    </w:p>
    <w:p w14:paraId="516E482E">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13.卫生健康支出（类）基层医疗卫生机构（款）其他基层医疗卫生机构支出（项）:指反映除上述项目以外的其他用于基层医疗卫生机构的支出。</w:t>
      </w:r>
    </w:p>
    <w:p w14:paraId="23C1441E">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14.卫生健康支出（类）公共卫生（款）基本公共卫生服务（项）:指反映基本公共卫生服务支出。</w:t>
      </w:r>
    </w:p>
    <w:p w14:paraId="2885E20F">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15.卫生健康支出（类）公共卫生（款）重大公共卫生服务（项）:指反映重大疾病、重大传染病预防控制等重大公共卫生服务项目支出。</w:t>
      </w:r>
    </w:p>
    <w:p w14:paraId="5E2FB949">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16.卫生健康支出（类）公共卫生（款）其他公共卫生支出（项）:指其他公共卫生支出反映除上述项目以外的其他用于公共卫生方面的支出。</w:t>
      </w:r>
    </w:p>
    <w:p w14:paraId="72E30C65">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17.卫生健康支出（类）计划生育事务（款）计划生育机构（项）:指反映卫生健康部门所属计划生育机构的支出。</w:t>
      </w:r>
    </w:p>
    <w:p w14:paraId="530CEFDB">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18.卫生健康支出（类）计划生育事务（款）计划生育服务（项）:指反映计划生育服务支出。</w:t>
      </w:r>
    </w:p>
    <w:p w14:paraId="443D5913">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19.卫生健康支出（类）计划生育事务（款）其他计划生育事务支出（项）:指反映除上述项目以外其他用于计划生育管理事务方面的支出。</w:t>
      </w:r>
    </w:p>
    <w:p w14:paraId="0F68C1DE">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20.卫生健康支出（类）行政事业单位医疗（款）事业单位医疗（项）:指反映财政部门安排的事业单位基本医疗保险缴费经费，未参加医疗保险的事业单位的公费医疗经费，按国家规定享受离休人员待遇的医疗经费。</w:t>
      </w:r>
    </w:p>
    <w:p w14:paraId="6CF92710">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21.卫生健康支出（类）行政事业单位医疗（款）其他行政事业单位医疗支出（项）:指反映除上述项目以外的其他用于行政事业单位医疗方面的支出。</w:t>
      </w:r>
    </w:p>
    <w:p w14:paraId="455785E0">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22.卫生健康支出（类）其他卫生健康支出（款）其他卫生健康支出（项）:指反映除上述项目以外其他用于卫生健康方面的支出。</w:t>
      </w:r>
    </w:p>
    <w:p w14:paraId="047DF5F6">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23.住房保障支出（类）住房改革支出（款）住房公积金（项）:指反映行政事业单位按人力资源和社会保障部、财政部规定的基本工资和津贴补贴以及规定比例为职工缴纳的住房公积金。</w:t>
      </w:r>
    </w:p>
    <w:p w14:paraId="557B899E">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24.基本支出：指为保障机构正常运转、完成日常工作任务而发生的人员支出和公用支出。</w:t>
      </w:r>
    </w:p>
    <w:p w14:paraId="7FA4BDAB">
      <w:pPr>
        <w:pStyle w:val="25"/>
        <w:spacing w:line="560" w:lineRule="exact"/>
        <w:ind w:firstLine="640" w:firstLineChars="200"/>
        <w:rPr>
          <w:rFonts w:ascii="仿宋_GB2312" w:eastAsia="仿宋_GB2312"/>
          <w:sz w:val="32"/>
          <w:szCs w:val="32"/>
        </w:rPr>
      </w:pPr>
      <w:r>
        <w:rPr>
          <w:rFonts w:hint="eastAsia" w:ascii="仿宋_GB2312" w:eastAsia="仿宋_GB2312"/>
          <w:color w:val="auto"/>
          <w:sz w:val="32"/>
          <w:szCs w:val="32"/>
          <w:highlight w:val="none"/>
          <w:lang w:val="en-US" w:eastAsia="zh-CN"/>
        </w:rPr>
        <w:t>25.项目支出：指在基本支出</w:t>
      </w:r>
      <w:r>
        <w:rPr>
          <w:rFonts w:hint="eastAsia" w:ascii="仿宋_GB2312" w:eastAsia="仿宋_GB2312"/>
          <w:sz w:val="32"/>
          <w:szCs w:val="32"/>
        </w:rPr>
        <w:t>之外为完成特定行政任务和事业发展目标所发生的支出。</w:t>
      </w:r>
      <w:r>
        <w:rPr>
          <w:rFonts w:ascii="仿宋_GB2312" w:eastAsia="仿宋_GB2312"/>
          <w:sz w:val="32"/>
          <w:szCs w:val="32"/>
        </w:rPr>
        <w:t xml:space="preserve"> </w:t>
      </w:r>
    </w:p>
    <w:p w14:paraId="55036A5B">
      <w:pPr>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14:paraId="3C704F51">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27</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76915E1">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28</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FFF8D18">
      <w:pPr>
        <w:spacing w:line="600" w:lineRule="exact"/>
        <w:jc w:val="center"/>
        <w:outlineLvl w:val="0"/>
        <w:rPr>
          <w:rStyle w:val="27"/>
          <w:rFonts w:hint="eastAsia" w:ascii="黑体" w:hAnsi="黑体" w:eastAsia="黑体"/>
          <w:b w:val="0"/>
        </w:rPr>
      </w:pPr>
      <w:bookmarkStart w:id="66" w:name="_Toc15377226"/>
      <w:r>
        <w:rPr>
          <w:rFonts w:ascii="宋体"/>
          <w:b/>
          <w:sz w:val="44"/>
          <w:szCs w:val="44"/>
        </w:rPr>
        <w:br w:type="page"/>
      </w:r>
      <w:bookmarkStart w:id="67" w:name="_Toc15396614"/>
      <w:bookmarkStart w:id="68" w:name="_Toc11049"/>
      <w:r>
        <w:rPr>
          <w:rFonts w:hint="eastAsia" w:ascii="黑体" w:hAnsi="黑体" w:eastAsia="黑体"/>
          <w:sz w:val="44"/>
          <w:szCs w:val="44"/>
        </w:rPr>
        <w:t>第</w:t>
      </w:r>
      <w:r>
        <w:rPr>
          <w:rStyle w:val="27"/>
          <w:rFonts w:hint="eastAsia" w:ascii="黑体" w:hAnsi="黑体" w:eastAsia="黑体"/>
          <w:b w:val="0"/>
        </w:rPr>
        <w:t>四部分 附件</w:t>
      </w:r>
      <w:bookmarkEnd w:id="67"/>
      <w:bookmarkEnd w:id="68"/>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10"/>
        <w:gridCol w:w="843"/>
        <w:gridCol w:w="1138"/>
        <w:gridCol w:w="396"/>
        <w:gridCol w:w="1116"/>
        <w:gridCol w:w="396"/>
        <w:gridCol w:w="846"/>
        <w:gridCol w:w="486"/>
        <w:gridCol w:w="396"/>
        <w:gridCol w:w="1319"/>
      </w:tblGrid>
      <w:tr w14:paraId="51E66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6FAFF11">
            <w:pPr>
              <w:keepNext w:val="0"/>
              <w:keepLines w:val="0"/>
              <w:widowControl/>
              <w:suppressLineNumbers w:val="0"/>
              <w:jc w:val="center"/>
              <w:textAlignment w:val="center"/>
              <w:rPr>
                <w:rFonts w:ascii="黑体" w:hAnsi="宋体" w:eastAsia="黑体" w:cs="黑体"/>
                <w:b/>
                <w:bCs/>
                <w:i w:val="0"/>
                <w:iCs w:val="0"/>
                <w:color w:val="000000"/>
                <w:sz w:val="30"/>
                <w:szCs w:val="30"/>
                <w:u w:val="none"/>
              </w:rPr>
            </w:pPr>
            <w:bookmarkStart w:id="69" w:name="_Toc15396618"/>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48F1A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018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39727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51323321T000000086372-县级计划生育事业经费</w:t>
            </w:r>
          </w:p>
        </w:tc>
      </w:tr>
      <w:tr w14:paraId="4883A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E4C5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DE80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6" w:type="pct"/>
            <w:tcBorders>
              <w:top w:val="nil"/>
              <w:left w:val="nil"/>
              <w:bottom w:val="nil"/>
              <w:right w:val="nil"/>
            </w:tcBorders>
            <w:shd w:val="clear" w:color="auto" w:fill="auto"/>
            <w:vAlign w:val="center"/>
          </w:tcPr>
          <w:p w14:paraId="342FA541">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28A3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红原县卫生健康局事业</w:t>
            </w:r>
          </w:p>
        </w:tc>
      </w:tr>
      <w:tr w14:paraId="7C2DC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5DC0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F5BC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9C6D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B4844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455D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485EC">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4586E">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06CF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对计划生育政策宣传等工作的经费保障</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4B140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2023年制度了宣传资料，开展宣传活动，引导群众以科学备孕、优生优育、孕产保健、安全分娩等内容为重点。活动现场，工作人员细致耐心的讲解孕前优生健康检查内容、生殖健康政策、计划生育“两项制度”政策，让惠民政策深入人心，正确引导群众健康生活、优生优育，树立科学、健康、文明、进步的婚育观念和生活理念，努力提升群众对相关政策知晓。</w:t>
            </w:r>
          </w:p>
        </w:tc>
      </w:tr>
      <w:tr w14:paraId="21276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3CE31">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028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5492D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2023年制度了宣传资料，开展宣传活动。</w:t>
            </w:r>
          </w:p>
        </w:tc>
      </w:tr>
      <w:tr w14:paraId="49BEB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3926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9D8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BE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93A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052F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FAE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04F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06E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73F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822A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3A404">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026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F10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77.46</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24A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83.58</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DC24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83.58</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559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965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6EDBC">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1FB547">
            <w:pPr>
              <w:rPr>
                <w:rFonts w:hint="eastAsia" w:ascii="黑体" w:hAnsi="黑体" w:eastAsia="黑体" w:cs="黑体"/>
                <w:i/>
                <w:iCs/>
                <w:color w:val="000000"/>
                <w:sz w:val="18"/>
                <w:szCs w:val="18"/>
                <w:u w:val="none"/>
              </w:rPr>
            </w:pPr>
          </w:p>
        </w:tc>
      </w:tr>
      <w:tr w14:paraId="10CA4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BF175">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DF1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7D6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77.46</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33D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83.58</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E0CE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83.58</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598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78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D54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4BD72">
            <w:pPr>
              <w:rPr>
                <w:rFonts w:hint="eastAsia" w:ascii="黑体" w:hAnsi="黑体" w:eastAsia="黑体" w:cs="黑体"/>
                <w:i/>
                <w:iCs/>
                <w:color w:val="000000"/>
                <w:sz w:val="18"/>
                <w:szCs w:val="18"/>
                <w:u w:val="none"/>
              </w:rPr>
            </w:pPr>
          </w:p>
        </w:tc>
      </w:tr>
      <w:tr w14:paraId="6DA4F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ECE2E">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EC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771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00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1835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D5E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7CE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E9F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5C4B2">
            <w:pPr>
              <w:rPr>
                <w:rFonts w:hint="eastAsia" w:ascii="黑体" w:hAnsi="黑体" w:eastAsia="黑体" w:cs="黑体"/>
                <w:i/>
                <w:iCs/>
                <w:color w:val="000000"/>
                <w:sz w:val="18"/>
                <w:szCs w:val="18"/>
                <w:u w:val="none"/>
              </w:rPr>
            </w:pPr>
          </w:p>
        </w:tc>
      </w:tr>
      <w:tr w14:paraId="03899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3AB74">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149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F9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1FE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1A5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4A3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053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299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2C6A1">
            <w:pPr>
              <w:rPr>
                <w:rFonts w:hint="eastAsia" w:ascii="黑体" w:hAnsi="黑体" w:eastAsia="黑体" w:cs="黑体"/>
                <w:i/>
                <w:iCs/>
                <w:color w:val="000000"/>
                <w:sz w:val="18"/>
                <w:szCs w:val="18"/>
                <w:u w:val="none"/>
              </w:rPr>
            </w:pPr>
          </w:p>
        </w:tc>
      </w:tr>
      <w:tr w14:paraId="678C0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1FA18">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EDC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86D75">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2C311">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B0B791">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DA99A">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F91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EB3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64071">
            <w:pPr>
              <w:rPr>
                <w:rFonts w:hint="eastAsia" w:ascii="黑体" w:hAnsi="黑体" w:eastAsia="黑体" w:cs="黑体"/>
                <w:i/>
                <w:iCs/>
                <w:color w:val="000000"/>
                <w:sz w:val="18"/>
                <w:szCs w:val="18"/>
                <w:u w:val="none"/>
              </w:rPr>
            </w:pPr>
          </w:p>
        </w:tc>
      </w:tr>
      <w:tr w14:paraId="61174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B84E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A0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F4A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1FE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37B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54E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077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49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EAF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197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D92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C0A8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B8263">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DA3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702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9D1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745225.6元</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482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0F5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745225.6</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590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521BB">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340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1A0C9">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F8928">
            <w:pPr>
              <w:jc w:val="center"/>
              <w:rPr>
                <w:rFonts w:hint="eastAsia" w:ascii="微软雅黑" w:hAnsi="微软雅黑" w:eastAsia="微软雅黑" w:cs="微软雅黑"/>
                <w:i/>
                <w:iCs/>
                <w:color w:val="000000"/>
                <w:sz w:val="16"/>
                <w:szCs w:val="16"/>
                <w:u w:val="none"/>
              </w:rPr>
            </w:pPr>
          </w:p>
        </w:tc>
      </w:tr>
      <w:tr w14:paraId="4CD6C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6781B">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DD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E27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C03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对计划生育政策宣传等工作的经费保障</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1E6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39E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优良中差</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1DC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829E5">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AFA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DAAE6">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4EAB7">
            <w:pPr>
              <w:jc w:val="center"/>
              <w:rPr>
                <w:rFonts w:hint="eastAsia" w:ascii="微软雅黑" w:hAnsi="微软雅黑" w:eastAsia="微软雅黑" w:cs="微软雅黑"/>
                <w:i/>
                <w:iCs/>
                <w:color w:val="000000"/>
                <w:sz w:val="16"/>
                <w:szCs w:val="16"/>
                <w:u w:val="none"/>
              </w:rPr>
            </w:pPr>
          </w:p>
        </w:tc>
      </w:tr>
      <w:tr w14:paraId="2BB17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043AA">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F74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B28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B14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9B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15C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64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元/户</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2737E">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A3E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15F90">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D3073">
            <w:pPr>
              <w:jc w:val="center"/>
              <w:rPr>
                <w:rFonts w:hint="eastAsia" w:ascii="微软雅黑" w:hAnsi="微软雅黑" w:eastAsia="微软雅黑" w:cs="微软雅黑"/>
                <w:i/>
                <w:iCs/>
                <w:color w:val="000000"/>
                <w:sz w:val="16"/>
                <w:szCs w:val="16"/>
                <w:u w:val="none"/>
              </w:rPr>
            </w:pPr>
          </w:p>
        </w:tc>
      </w:tr>
      <w:tr w14:paraId="2E73E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4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431E4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EED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D5332">
            <w:pP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2A0D7">
            <w:pPr>
              <w:rPr>
                <w:rFonts w:hint="eastAsia" w:ascii="宋体" w:hAnsi="宋体" w:eastAsia="宋体" w:cs="宋体"/>
                <w:i w:val="0"/>
                <w:iCs w:val="0"/>
                <w:color w:val="000000"/>
                <w:sz w:val="18"/>
                <w:szCs w:val="18"/>
                <w:u w:val="none"/>
              </w:rPr>
            </w:pPr>
          </w:p>
        </w:tc>
      </w:tr>
      <w:tr w14:paraId="49E52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931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F0844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2023年制定了宣传资料，开展宣传活动，让牧民群众提升了对科学备孕、优生优育、孕产保健、安全分娩的了解。</w:t>
            </w:r>
          </w:p>
        </w:tc>
      </w:tr>
      <w:tr w14:paraId="58DC0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16D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3C0F5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A9B0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503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239FE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AC8C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2D62D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项目负责人：卢睿</w:t>
            </w:r>
          </w:p>
        </w:tc>
        <w:tc>
          <w:tcPr>
            <w:tcW w:w="242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188D6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财务负责人：熊莲英</w:t>
            </w:r>
          </w:p>
        </w:tc>
      </w:tr>
      <w:tr w14:paraId="3942C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2F8BB01B">
            <w:pPr>
              <w:rPr>
                <w:rFonts w:hint="eastAsia" w:ascii="宋体" w:hAnsi="宋体" w:eastAsia="宋体" w:cs="宋体"/>
                <w:i w:val="0"/>
                <w:iCs w:val="0"/>
                <w:color w:val="000000"/>
                <w:sz w:val="18"/>
                <w:szCs w:val="18"/>
                <w:u w:val="none"/>
              </w:rPr>
            </w:pPr>
          </w:p>
        </w:tc>
        <w:tc>
          <w:tcPr>
            <w:tcW w:w="725" w:type="pct"/>
            <w:tcBorders>
              <w:top w:val="nil"/>
              <w:left w:val="nil"/>
              <w:bottom w:val="nil"/>
              <w:right w:val="nil"/>
            </w:tcBorders>
            <w:shd w:val="clear" w:color="auto" w:fill="auto"/>
            <w:vAlign w:val="center"/>
          </w:tcPr>
          <w:p w14:paraId="4866C707">
            <w:pPr>
              <w:rPr>
                <w:rFonts w:hint="eastAsia" w:ascii="宋体" w:hAnsi="宋体" w:eastAsia="宋体" w:cs="宋体"/>
                <w:i w:val="0"/>
                <w:iCs w:val="0"/>
                <w:color w:val="000000"/>
                <w:sz w:val="18"/>
                <w:szCs w:val="18"/>
                <w:u w:val="none"/>
              </w:rPr>
            </w:pPr>
          </w:p>
        </w:tc>
        <w:tc>
          <w:tcPr>
            <w:tcW w:w="627" w:type="pct"/>
            <w:tcBorders>
              <w:top w:val="nil"/>
              <w:left w:val="nil"/>
              <w:bottom w:val="nil"/>
              <w:right w:val="nil"/>
            </w:tcBorders>
            <w:shd w:val="clear" w:color="auto" w:fill="auto"/>
            <w:vAlign w:val="center"/>
          </w:tcPr>
          <w:p w14:paraId="601785CC">
            <w:pPr>
              <w:rPr>
                <w:rFonts w:hint="eastAsia" w:ascii="宋体" w:hAnsi="宋体" w:eastAsia="宋体" w:cs="宋体"/>
                <w:i w:val="0"/>
                <w:iCs w:val="0"/>
                <w:color w:val="000000"/>
                <w:sz w:val="18"/>
                <w:szCs w:val="18"/>
                <w:u w:val="none"/>
              </w:rPr>
            </w:pPr>
          </w:p>
        </w:tc>
        <w:tc>
          <w:tcPr>
            <w:tcW w:w="800" w:type="pct"/>
            <w:tcBorders>
              <w:top w:val="nil"/>
              <w:left w:val="nil"/>
              <w:bottom w:val="nil"/>
              <w:right w:val="nil"/>
            </w:tcBorders>
            <w:shd w:val="clear" w:color="auto" w:fill="auto"/>
            <w:vAlign w:val="center"/>
          </w:tcPr>
          <w:p w14:paraId="4F6E9CBC">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17D2ED98">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08A4DB80">
            <w:pPr>
              <w:rPr>
                <w:rFonts w:hint="eastAsia" w:ascii="宋体" w:hAnsi="宋体" w:eastAsia="宋体" w:cs="宋体"/>
                <w:i w:val="0"/>
                <w:iCs w:val="0"/>
                <w:color w:val="000000"/>
                <w:sz w:val="18"/>
                <w:szCs w:val="18"/>
                <w:u w:val="none"/>
              </w:rPr>
            </w:pPr>
          </w:p>
        </w:tc>
        <w:tc>
          <w:tcPr>
            <w:tcW w:w="185" w:type="pct"/>
            <w:tcBorders>
              <w:top w:val="nil"/>
              <w:left w:val="nil"/>
              <w:bottom w:val="nil"/>
              <w:right w:val="nil"/>
            </w:tcBorders>
            <w:shd w:val="clear" w:color="auto" w:fill="auto"/>
            <w:vAlign w:val="center"/>
          </w:tcPr>
          <w:p w14:paraId="2B1804ED">
            <w:pPr>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auto"/>
            <w:vAlign w:val="center"/>
          </w:tcPr>
          <w:p w14:paraId="5DE702AC">
            <w:pPr>
              <w:rPr>
                <w:rFonts w:hint="eastAsia" w:ascii="宋体" w:hAnsi="宋体" w:eastAsia="宋体" w:cs="宋体"/>
                <w:i w:val="0"/>
                <w:iCs w:val="0"/>
                <w:color w:val="000000"/>
                <w:sz w:val="18"/>
                <w:szCs w:val="18"/>
                <w:u w:val="none"/>
              </w:rPr>
            </w:pPr>
          </w:p>
        </w:tc>
        <w:tc>
          <w:tcPr>
            <w:tcW w:w="187" w:type="pct"/>
            <w:tcBorders>
              <w:top w:val="nil"/>
              <w:left w:val="nil"/>
              <w:bottom w:val="nil"/>
              <w:right w:val="nil"/>
            </w:tcBorders>
            <w:shd w:val="clear" w:color="auto" w:fill="auto"/>
            <w:vAlign w:val="center"/>
          </w:tcPr>
          <w:p w14:paraId="15DDD9F1">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5FA3EFF0">
            <w:pPr>
              <w:rPr>
                <w:rFonts w:hint="eastAsia" w:ascii="宋体" w:hAnsi="宋体" w:eastAsia="宋体" w:cs="宋体"/>
                <w:i w:val="0"/>
                <w:iCs w:val="0"/>
                <w:color w:val="000000"/>
                <w:sz w:val="18"/>
                <w:szCs w:val="18"/>
                <w:u w:val="none"/>
              </w:rPr>
            </w:pPr>
          </w:p>
        </w:tc>
        <w:tc>
          <w:tcPr>
            <w:tcW w:w="905" w:type="pct"/>
            <w:tcBorders>
              <w:top w:val="nil"/>
              <w:left w:val="nil"/>
              <w:bottom w:val="nil"/>
              <w:right w:val="nil"/>
            </w:tcBorders>
            <w:shd w:val="clear" w:color="auto" w:fill="auto"/>
            <w:vAlign w:val="center"/>
          </w:tcPr>
          <w:p w14:paraId="745896BB">
            <w:pPr>
              <w:rPr>
                <w:rFonts w:hint="eastAsia" w:ascii="宋体" w:hAnsi="宋体" w:eastAsia="宋体" w:cs="宋体"/>
                <w:i w:val="0"/>
                <w:iCs w:val="0"/>
                <w:color w:val="000000"/>
                <w:sz w:val="18"/>
                <w:szCs w:val="18"/>
                <w:u w:val="none"/>
              </w:rPr>
            </w:pPr>
          </w:p>
        </w:tc>
      </w:tr>
      <w:tr w14:paraId="71D40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E0A52A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5AEC7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057B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301C7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51323321T000000086387-独生子女家庭奖励补助县级配套</w:t>
            </w:r>
          </w:p>
        </w:tc>
      </w:tr>
      <w:tr w14:paraId="0600C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568D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4F4B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6" w:type="pct"/>
            <w:tcBorders>
              <w:top w:val="nil"/>
              <w:left w:val="nil"/>
              <w:bottom w:val="nil"/>
              <w:right w:val="nil"/>
            </w:tcBorders>
            <w:shd w:val="clear" w:color="auto" w:fill="auto"/>
            <w:vAlign w:val="center"/>
          </w:tcPr>
          <w:p w14:paraId="4D72CAC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271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红原县卫生健康局事业</w:t>
            </w:r>
          </w:p>
        </w:tc>
      </w:tr>
      <w:tr w14:paraId="19E3A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0910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0F6C7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2A24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8993C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E42B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1F008">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FF242">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573C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2023年享受独生子女家庭奖励补助22人，发放资金0.276万元，已全部拨付成功</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65194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2023年享受独生子女家庭奖励补助22人，发放资金0.276万元，已全部拨付成功</w:t>
            </w:r>
          </w:p>
        </w:tc>
      </w:tr>
      <w:tr w14:paraId="04502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0606F">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5ED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9D0BC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对以前办理独生子女父母证发放奖励金，生育子女男120元/年/户，女144元/年/户</w:t>
            </w:r>
          </w:p>
        </w:tc>
      </w:tr>
      <w:tr w14:paraId="1AE33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9DAD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EEA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750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B59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4432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942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DAE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0A7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6CA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E82B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76ECA">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81E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590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0.66</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652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0.66</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6195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0.28</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29D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42.12%</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6F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060BE">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C1297B">
            <w:pPr>
              <w:rPr>
                <w:rFonts w:hint="eastAsia" w:ascii="黑体" w:hAnsi="黑体" w:eastAsia="黑体" w:cs="黑体"/>
                <w:i/>
                <w:iCs/>
                <w:color w:val="000000"/>
                <w:sz w:val="18"/>
                <w:szCs w:val="18"/>
                <w:u w:val="none"/>
              </w:rPr>
            </w:pPr>
          </w:p>
        </w:tc>
      </w:tr>
      <w:tr w14:paraId="58080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68F39">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EBE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F6D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0.66</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D53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0.66</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1BC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0.28</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054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42.12%</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33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72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CD7D8">
            <w:pPr>
              <w:rPr>
                <w:rFonts w:hint="eastAsia" w:ascii="黑体" w:hAnsi="黑体" w:eastAsia="黑体" w:cs="黑体"/>
                <w:i/>
                <w:iCs/>
                <w:color w:val="000000"/>
                <w:sz w:val="18"/>
                <w:szCs w:val="18"/>
                <w:u w:val="none"/>
              </w:rPr>
            </w:pPr>
          </w:p>
        </w:tc>
      </w:tr>
      <w:tr w14:paraId="2D0D0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5E3A2">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87E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449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7E7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4D2D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AA1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A3D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9A9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05B31">
            <w:pPr>
              <w:rPr>
                <w:rFonts w:hint="eastAsia" w:ascii="黑体" w:hAnsi="黑体" w:eastAsia="黑体" w:cs="黑体"/>
                <w:i/>
                <w:iCs/>
                <w:color w:val="000000"/>
                <w:sz w:val="18"/>
                <w:szCs w:val="18"/>
                <w:u w:val="none"/>
              </w:rPr>
            </w:pPr>
          </w:p>
        </w:tc>
      </w:tr>
      <w:tr w14:paraId="1117D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13B85">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13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AFB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365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3132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B9B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F55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DFD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D2F98">
            <w:pPr>
              <w:rPr>
                <w:rFonts w:hint="eastAsia" w:ascii="黑体" w:hAnsi="黑体" w:eastAsia="黑体" w:cs="黑体"/>
                <w:i/>
                <w:iCs/>
                <w:color w:val="000000"/>
                <w:sz w:val="18"/>
                <w:szCs w:val="18"/>
                <w:u w:val="none"/>
              </w:rPr>
            </w:pPr>
          </w:p>
        </w:tc>
      </w:tr>
      <w:tr w14:paraId="21328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66B09">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F6C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F00A9">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43C91">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59875A">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F650F">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59B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B8E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645FA">
            <w:pPr>
              <w:rPr>
                <w:rFonts w:hint="eastAsia" w:ascii="黑体" w:hAnsi="黑体" w:eastAsia="黑体" w:cs="黑体"/>
                <w:i/>
                <w:iCs/>
                <w:color w:val="000000"/>
                <w:sz w:val="18"/>
                <w:szCs w:val="18"/>
                <w:u w:val="none"/>
              </w:rPr>
            </w:pPr>
          </w:p>
        </w:tc>
      </w:tr>
      <w:tr w14:paraId="00927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BF8C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3F5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99F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A54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F92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143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D83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853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874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BFF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CA8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50E8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54CC6">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4B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0C4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CB1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6552</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D7D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80B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6552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A72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1C7EB">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FA3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DF219">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A7941">
            <w:pPr>
              <w:jc w:val="center"/>
              <w:rPr>
                <w:rFonts w:hint="eastAsia" w:ascii="微软雅黑" w:hAnsi="微软雅黑" w:eastAsia="微软雅黑" w:cs="微软雅黑"/>
                <w:i/>
                <w:iCs/>
                <w:color w:val="000000"/>
                <w:sz w:val="16"/>
                <w:szCs w:val="16"/>
                <w:u w:val="none"/>
              </w:rPr>
            </w:pPr>
          </w:p>
        </w:tc>
      </w:tr>
      <w:tr w14:paraId="77D9A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2E643">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902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443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B6F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鼓励农牧民遵行国家政策</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415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6BD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好坏</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CC3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家</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A6DFD">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736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63239">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F70C1">
            <w:pPr>
              <w:jc w:val="center"/>
              <w:rPr>
                <w:rFonts w:hint="eastAsia" w:ascii="微软雅黑" w:hAnsi="微软雅黑" w:eastAsia="微软雅黑" w:cs="微软雅黑"/>
                <w:i/>
                <w:iCs/>
                <w:color w:val="000000"/>
                <w:sz w:val="16"/>
                <w:szCs w:val="16"/>
                <w:u w:val="none"/>
              </w:rPr>
            </w:pPr>
          </w:p>
        </w:tc>
      </w:tr>
      <w:tr w14:paraId="784C4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363A1">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4B2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89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帮扶对象满意度指标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231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独生子女家庭满意度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58F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600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D4A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人/户</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1D192">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8CD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44891">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7DEE6">
            <w:pPr>
              <w:jc w:val="center"/>
              <w:rPr>
                <w:rFonts w:hint="eastAsia" w:ascii="微软雅黑" w:hAnsi="微软雅黑" w:eastAsia="微软雅黑" w:cs="微软雅黑"/>
                <w:i/>
                <w:iCs/>
                <w:color w:val="000000"/>
                <w:sz w:val="16"/>
                <w:szCs w:val="16"/>
                <w:u w:val="none"/>
              </w:rPr>
            </w:pPr>
          </w:p>
        </w:tc>
      </w:tr>
      <w:tr w14:paraId="39E85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4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B18DC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70D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8203B">
            <w:pP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FE35D">
            <w:pPr>
              <w:rPr>
                <w:rFonts w:hint="eastAsia" w:ascii="宋体" w:hAnsi="宋体" w:eastAsia="宋体" w:cs="宋体"/>
                <w:i w:val="0"/>
                <w:iCs w:val="0"/>
                <w:color w:val="000000"/>
                <w:sz w:val="18"/>
                <w:szCs w:val="18"/>
                <w:u w:val="none"/>
              </w:rPr>
            </w:pPr>
          </w:p>
        </w:tc>
      </w:tr>
      <w:tr w14:paraId="23459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6E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4BF35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2023年享受独生子女家庭奖励补助22人，发放资金0.276万元，已全部拨付成功。</w:t>
            </w:r>
          </w:p>
        </w:tc>
      </w:tr>
      <w:tr w14:paraId="0EA0F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732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A3E86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765D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24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AD5BD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4E9D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A4471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项目负责人：卢睿</w:t>
            </w:r>
          </w:p>
        </w:tc>
        <w:tc>
          <w:tcPr>
            <w:tcW w:w="242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F2E931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财务负责人：熊莲英</w:t>
            </w:r>
          </w:p>
        </w:tc>
      </w:tr>
      <w:tr w14:paraId="17DF4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7CB9F629">
            <w:pPr>
              <w:rPr>
                <w:rFonts w:hint="eastAsia" w:ascii="宋体" w:hAnsi="宋体" w:eastAsia="宋体" w:cs="宋体"/>
                <w:i w:val="0"/>
                <w:iCs w:val="0"/>
                <w:color w:val="000000"/>
                <w:sz w:val="18"/>
                <w:szCs w:val="18"/>
                <w:u w:val="none"/>
              </w:rPr>
            </w:pPr>
          </w:p>
        </w:tc>
        <w:tc>
          <w:tcPr>
            <w:tcW w:w="725" w:type="pct"/>
            <w:tcBorders>
              <w:top w:val="nil"/>
              <w:left w:val="nil"/>
              <w:bottom w:val="nil"/>
              <w:right w:val="nil"/>
            </w:tcBorders>
            <w:shd w:val="clear" w:color="auto" w:fill="auto"/>
            <w:vAlign w:val="center"/>
          </w:tcPr>
          <w:p w14:paraId="3AF51F68">
            <w:pPr>
              <w:rPr>
                <w:rFonts w:hint="eastAsia" w:ascii="宋体" w:hAnsi="宋体" w:eastAsia="宋体" w:cs="宋体"/>
                <w:i w:val="0"/>
                <w:iCs w:val="0"/>
                <w:color w:val="000000"/>
                <w:sz w:val="18"/>
                <w:szCs w:val="18"/>
                <w:u w:val="none"/>
              </w:rPr>
            </w:pPr>
          </w:p>
        </w:tc>
        <w:tc>
          <w:tcPr>
            <w:tcW w:w="627" w:type="pct"/>
            <w:tcBorders>
              <w:top w:val="nil"/>
              <w:left w:val="nil"/>
              <w:bottom w:val="nil"/>
              <w:right w:val="nil"/>
            </w:tcBorders>
            <w:shd w:val="clear" w:color="auto" w:fill="auto"/>
            <w:vAlign w:val="center"/>
          </w:tcPr>
          <w:p w14:paraId="4CC09EC8">
            <w:pPr>
              <w:rPr>
                <w:rFonts w:hint="eastAsia" w:ascii="宋体" w:hAnsi="宋体" w:eastAsia="宋体" w:cs="宋体"/>
                <w:i w:val="0"/>
                <w:iCs w:val="0"/>
                <w:color w:val="000000"/>
                <w:sz w:val="18"/>
                <w:szCs w:val="18"/>
                <w:u w:val="none"/>
              </w:rPr>
            </w:pPr>
          </w:p>
        </w:tc>
        <w:tc>
          <w:tcPr>
            <w:tcW w:w="800" w:type="pct"/>
            <w:tcBorders>
              <w:top w:val="nil"/>
              <w:left w:val="nil"/>
              <w:bottom w:val="nil"/>
              <w:right w:val="nil"/>
            </w:tcBorders>
            <w:shd w:val="clear" w:color="auto" w:fill="auto"/>
            <w:vAlign w:val="center"/>
          </w:tcPr>
          <w:p w14:paraId="35A7BDD1">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20A99558">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07A87C47">
            <w:pPr>
              <w:rPr>
                <w:rFonts w:hint="eastAsia" w:ascii="宋体" w:hAnsi="宋体" w:eastAsia="宋体" w:cs="宋体"/>
                <w:i w:val="0"/>
                <w:iCs w:val="0"/>
                <w:color w:val="000000"/>
                <w:sz w:val="18"/>
                <w:szCs w:val="18"/>
                <w:u w:val="none"/>
              </w:rPr>
            </w:pPr>
          </w:p>
        </w:tc>
        <w:tc>
          <w:tcPr>
            <w:tcW w:w="185" w:type="pct"/>
            <w:tcBorders>
              <w:top w:val="nil"/>
              <w:left w:val="nil"/>
              <w:bottom w:val="nil"/>
              <w:right w:val="nil"/>
            </w:tcBorders>
            <w:shd w:val="clear" w:color="auto" w:fill="auto"/>
            <w:vAlign w:val="center"/>
          </w:tcPr>
          <w:p w14:paraId="6BCF668E">
            <w:pPr>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auto"/>
            <w:vAlign w:val="center"/>
          </w:tcPr>
          <w:p w14:paraId="7887C86A">
            <w:pPr>
              <w:rPr>
                <w:rFonts w:hint="eastAsia" w:ascii="宋体" w:hAnsi="宋体" w:eastAsia="宋体" w:cs="宋体"/>
                <w:i w:val="0"/>
                <w:iCs w:val="0"/>
                <w:color w:val="000000"/>
                <w:sz w:val="18"/>
                <w:szCs w:val="18"/>
                <w:u w:val="none"/>
              </w:rPr>
            </w:pPr>
          </w:p>
        </w:tc>
        <w:tc>
          <w:tcPr>
            <w:tcW w:w="187" w:type="pct"/>
            <w:tcBorders>
              <w:top w:val="nil"/>
              <w:left w:val="nil"/>
              <w:bottom w:val="nil"/>
              <w:right w:val="nil"/>
            </w:tcBorders>
            <w:shd w:val="clear" w:color="auto" w:fill="auto"/>
            <w:vAlign w:val="center"/>
          </w:tcPr>
          <w:p w14:paraId="445D9A30">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68C776AF">
            <w:pPr>
              <w:rPr>
                <w:rFonts w:hint="eastAsia" w:ascii="宋体" w:hAnsi="宋体" w:eastAsia="宋体" w:cs="宋体"/>
                <w:i w:val="0"/>
                <w:iCs w:val="0"/>
                <w:color w:val="000000"/>
                <w:sz w:val="18"/>
                <w:szCs w:val="18"/>
                <w:u w:val="none"/>
              </w:rPr>
            </w:pPr>
          </w:p>
        </w:tc>
        <w:tc>
          <w:tcPr>
            <w:tcW w:w="905" w:type="pct"/>
            <w:tcBorders>
              <w:top w:val="nil"/>
              <w:left w:val="nil"/>
              <w:bottom w:val="nil"/>
              <w:right w:val="nil"/>
            </w:tcBorders>
            <w:shd w:val="clear" w:color="auto" w:fill="auto"/>
            <w:vAlign w:val="center"/>
          </w:tcPr>
          <w:p w14:paraId="25965153">
            <w:pPr>
              <w:rPr>
                <w:rFonts w:hint="eastAsia" w:ascii="宋体" w:hAnsi="宋体" w:eastAsia="宋体" w:cs="宋体"/>
                <w:i w:val="0"/>
                <w:iCs w:val="0"/>
                <w:color w:val="000000"/>
                <w:sz w:val="18"/>
                <w:szCs w:val="18"/>
                <w:u w:val="none"/>
              </w:rPr>
            </w:pPr>
          </w:p>
        </w:tc>
      </w:tr>
      <w:tr w14:paraId="2B82F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7F9F45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7603D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BA78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6B2D9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51323321T000000086424-基本药物制度补助县级配套</w:t>
            </w:r>
          </w:p>
        </w:tc>
      </w:tr>
      <w:tr w14:paraId="2177E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4993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ED43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6" w:type="pct"/>
            <w:tcBorders>
              <w:top w:val="nil"/>
              <w:left w:val="nil"/>
              <w:bottom w:val="nil"/>
              <w:right w:val="nil"/>
            </w:tcBorders>
            <w:shd w:val="clear" w:color="auto" w:fill="auto"/>
            <w:vAlign w:val="center"/>
          </w:tcPr>
          <w:p w14:paraId="3264DE8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235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红原县卫生健康局事业</w:t>
            </w:r>
          </w:p>
        </w:tc>
      </w:tr>
      <w:tr w14:paraId="09551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D594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7645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0A1D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BF17A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0E30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03D35">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E33A0">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E4C7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加强基层医疗机构对基本药物的供应和使用，确保群众能够享受到安全、有效、经济的基本药物服务。</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D5A65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加强基层医疗机构对基本药物的供应和使用，确保群众能够享受到安全、有效、经济的基本药物服务。</w:t>
            </w:r>
          </w:p>
        </w:tc>
      </w:tr>
      <w:tr w14:paraId="510CB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E7817">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0B2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E48A7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用于基层医疗机构的基层医疗机构日常运营费用，如电费、网费、办公费、公务用车运行维护费等；其他与基本药物制度实施相关的公用经费支出。</w:t>
            </w:r>
          </w:p>
        </w:tc>
      </w:tr>
      <w:tr w14:paraId="274BB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9740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97F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1C7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D14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78B8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87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225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53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25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343B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5103D">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696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BD6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19.61</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EAE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19.61</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8076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19.59</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674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99.89%</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397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632D6">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0EE5BE">
            <w:pPr>
              <w:rPr>
                <w:rFonts w:hint="eastAsia" w:ascii="黑体" w:hAnsi="黑体" w:eastAsia="黑体" w:cs="黑体"/>
                <w:i/>
                <w:iCs/>
                <w:color w:val="000000"/>
                <w:sz w:val="18"/>
                <w:szCs w:val="18"/>
                <w:u w:val="none"/>
              </w:rPr>
            </w:pPr>
          </w:p>
        </w:tc>
      </w:tr>
      <w:tr w14:paraId="5CB48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C7071">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31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75F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19.61</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D6B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19.61</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75D3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19.59</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AC3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99.89%</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D59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73F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272CD">
            <w:pPr>
              <w:rPr>
                <w:rFonts w:hint="eastAsia" w:ascii="黑体" w:hAnsi="黑体" w:eastAsia="黑体" w:cs="黑体"/>
                <w:i/>
                <w:iCs/>
                <w:color w:val="000000"/>
                <w:sz w:val="18"/>
                <w:szCs w:val="18"/>
                <w:u w:val="none"/>
              </w:rPr>
            </w:pPr>
          </w:p>
        </w:tc>
      </w:tr>
      <w:tr w14:paraId="14320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27F1C">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0BA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C27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10A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05D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050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323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141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8B530">
            <w:pPr>
              <w:rPr>
                <w:rFonts w:hint="eastAsia" w:ascii="黑体" w:hAnsi="黑体" w:eastAsia="黑体" w:cs="黑体"/>
                <w:i/>
                <w:iCs/>
                <w:color w:val="000000"/>
                <w:sz w:val="18"/>
                <w:szCs w:val="18"/>
                <w:u w:val="none"/>
              </w:rPr>
            </w:pPr>
          </w:p>
        </w:tc>
      </w:tr>
      <w:tr w14:paraId="4511A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B0CAC">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B2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92B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115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EE21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3E1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8A1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07F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422B2">
            <w:pPr>
              <w:rPr>
                <w:rFonts w:hint="eastAsia" w:ascii="黑体" w:hAnsi="黑体" w:eastAsia="黑体" w:cs="黑体"/>
                <w:i/>
                <w:iCs/>
                <w:color w:val="000000"/>
                <w:sz w:val="18"/>
                <w:szCs w:val="18"/>
                <w:u w:val="none"/>
              </w:rPr>
            </w:pPr>
          </w:p>
        </w:tc>
      </w:tr>
      <w:tr w14:paraId="25523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77DBC">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3F7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D8571">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92BD4">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AD3F3F">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BEDC2">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885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0B7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41854">
            <w:pPr>
              <w:rPr>
                <w:rFonts w:hint="eastAsia" w:ascii="黑体" w:hAnsi="黑体" w:eastAsia="黑体" w:cs="黑体"/>
                <w:i/>
                <w:iCs/>
                <w:color w:val="000000"/>
                <w:sz w:val="18"/>
                <w:szCs w:val="18"/>
                <w:u w:val="none"/>
              </w:rPr>
            </w:pPr>
          </w:p>
        </w:tc>
      </w:tr>
      <w:tr w14:paraId="65A69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4DAE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E3B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36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729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1B0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5DF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170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392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E41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C39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114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3AA7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CB92B">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BE3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42A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E43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196112元</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D1A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FA7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196112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7D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B7830">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325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E8CF9">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ABBAC">
            <w:pPr>
              <w:jc w:val="center"/>
              <w:rPr>
                <w:rFonts w:hint="eastAsia" w:ascii="微软雅黑" w:hAnsi="微软雅黑" w:eastAsia="微软雅黑" w:cs="微软雅黑"/>
                <w:i/>
                <w:iCs/>
                <w:color w:val="000000"/>
                <w:sz w:val="16"/>
                <w:szCs w:val="16"/>
                <w:u w:val="none"/>
              </w:rPr>
            </w:pPr>
          </w:p>
        </w:tc>
      </w:tr>
      <w:tr w14:paraId="0C1FE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56A61">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A82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E0D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173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维护基层卫生医疗机构正常运行</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075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20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好坏</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B96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家/年</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0217B">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C58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EA056">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B1610">
            <w:pPr>
              <w:jc w:val="center"/>
              <w:rPr>
                <w:rFonts w:hint="eastAsia" w:ascii="微软雅黑" w:hAnsi="微软雅黑" w:eastAsia="微软雅黑" w:cs="微软雅黑"/>
                <w:i/>
                <w:iCs/>
                <w:color w:val="000000"/>
                <w:sz w:val="16"/>
                <w:szCs w:val="16"/>
                <w:u w:val="none"/>
              </w:rPr>
            </w:pPr>
          </w:p>
        </w:tc>
      </w:tr>
      <w:tr w14:paraId="4F034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55FEF">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1FD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30B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0DF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306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3D2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0EE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家/年</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EE294">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3B4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9F6C1">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73E5D">
            <w:pPr>
              <w:jc w:val="center"/>
              <w:rPr>
                <w:rFonts w:hint="eastAsia" w:ascii="微软雅黑" w:hAnsi="微软雅黑" w:eastAsia="微软雅黑" w:cs="微软雅黑"/>
                <w:i/>
                <w:iCs/>
                <w:color w:val="000000"/>
                <w:sz w:val="16"/>
                <w:szCs w:val="16"/>
                <w:u w:val="none"/>
              </w:rPr>
            </w:pPr>
          </w:p>
        </w:tc>
      </w:tr>
      <w:tr w14:paraId="2D504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4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3BD77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2BC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32123">
            <w:pP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EE4DD">
            <w:pPr>
              <w:rPr>
                <w:rFonts w:hint="eastAsia" w:ascii="宋体" w:hAnsi="宋体" w:eastAsia="宋体" w:cs="宋体"/>
                <w:i w:val="0"/>
                <w:iCs w:val="0"/>
                <w:color w:val="000000"/>
                <w:sz w:val="18"/>
                <w:szCs w:val="18"/>
                <w:u w:val="none"/>
              </w:rPr>
            </w:pPr>
          </w:p>
        </w:tc>
      </w:tr>
      <w:tr w14:paraId="2180A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A2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6F149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加强基层医疗卫生机构对基本药物的供应和使用，确保群众能够享受到安全、有效、经济的基本药物服务。基层医疗卫生机构的基本药物供应得到了有效保障，群众用药需求得到了满足。同时，基层医疗卫生机构的医疗服务质量也得到了提升，医务人员的基本药物使用和管理能力得到了加强。</w:t>
            </w:r>
          </w:p>
        </w:tc>
      </w:tr>
      <w:tr w14:paraId="603EC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BCB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5FCDC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9B31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EE5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6B18B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B9AC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A2419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项目负责人：罗占飞</w:t>
            </w:r>
          </w:p>
        </w:tc>
        <w:tc>
          <w:tcPr>
            <w:tcW w:w="242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F06D3D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财务负责人：熊莲英</w:t>
            </w:r>
          </w:p>
        </w:tc>
      </w:tr>
      <w:tr w14:paraId="0D4E9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1B100CF1">
            <w:pPr>
              <w:rPr>
                <w:rFonts w:hint="eastAsia" w:ascii="宋体" w:hAnsi="宋体" w:eastAsia="宋体" w:cs="宋体"/>
                <w:i w:val="0"/>
                <w:iCs w:val="0"/>
                <w:color w:val="000000"/>
                <w:sz w:val="18"/>
                <w:szCs w:val="18"/>
                <w:u w:val="none"/>
              </w:rPr>
            </w:pPr>
          </w:p>
        </w:tc>
        <w:tc>
          <w:tcPr>
            <w:tcW w:w="725" w:type="pct"/>
            <w:tcBorders>
              <w:top w:val="nil"/>
              <w:left w:val="nil"/>
              <w:bottom w:val="nil"/>
              <w:right w:val="nil"/>
            </w:tcBorders>
            <w:shd w:val="clear" w:color="auto" w:fill="auto"/>
            <w:vAlign w:val="center"/>
          </w:tcPr>
          <w:p w14:paraId="4AA3EC6C">
            <w:pPr>
              <w:rPr>
                <w:rFonts w:hint="eastAsia" w:ascii="宋体" w:hAnsi="宋体" w:eastAsia="宋体" w:cs="宋体"/>
                <w:i w:val="0"/>
                <w:iCs w:val="0"/>
                <w:color w:val="000000"/>
                <w:sz w:val="18"/>
                <w:szCs w:val="18"/>
                <w:u w:val="none"/>
              </w:rPr>
            </w:pPr>
          </w:p>
        </w:tc>
        <w:tc>
          <w:tcPr>
            <w:tcW w:w="627" w:type="pct"/>
            <w:tcBorders>
              <w:top w:val="nil"/>
              <w:left w:val="nil"/>
              <w:bottom w:val="nil"/>
              <w:right w:val="nil"/>
            </w:tcBorders>
            <w:shd w:val="clear" w:color="auto" w:fill="auto"/>
            <w:vAlign w:val="center"/>
          </w:tcPr>
          <w:p w14:paraId="2557B0F0">
            <w:pPr>
              <w:rPr>
                <w:rFonts w:hint="eastAsia" w:ascii="宋体" w:hAnsi="宋体" w:eastAsia="宋体" w:cs="宋体"/>
                <w:i w:val="0"/>
                <w:iCs w:val="0"/>
                <w:color w:val="000000"/>
                <w:sz w:val="18"/>
                <w:szCs w:val="18"/>
                <w:u w:val="none"/>
              </w:rPr>
            </w:pPr>
          </w:p>
        </w:tc>
        <w:tc>
          <w:tcPr>
            <w:tcW w:w="800" w:type="pct"/>
            <w:tcBorders>
              <w:top w:val="nil"/>
              <w:left w:val="nil"/>
              <w:bottom w:val="nil"/>
              <w:right w:val="nil"/>
            </w:tcBorders>
            <w:shd w:val="clear" w:color="auto" w:fill="auto"/>
            <w:vAlign w:val="center"/>
          </w:tcPr>
          <w:p w14:paraId="722A59C8">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39D7E6EA">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42D90FE1">
            <w:pPr>
              <w:rPr>
                <w:rFonts w:hint="eastAsia" w:ascii="宋体" w:hAnsi="宋体" w:eastAsia="宋体" w:cs="宋体"/>
                <w:i w:val="0"/>
                <w:iCs w:val="0"/>
                <w:color w:val="000000"/>
                <w:sz w:val="18"/>
                <w:szCs w:val="18"/>
                <w:u w:val="none"/>
              </w:rPr>
            </w:pPr>
          </w:p>
        </w:tc>
        <w:tc>
          <w:tcPr>
            <w:tcW w:w="185" w:type="pct"/>
            <w:tcBorders>
              <w:top w:val="nil"/>
              <w:left w:val="nil"/>
              <w:bottom w:val="nil"/>
              <w:right w:val="nil"/>
            </w:tcBorders>
            <w:shd w:val="clear" w:color="auto" w:fill="auto"/>
            <w:vAlign w:val="center"/>
          </w:tcPr>
          <w:p w14:paraId="42DCE3A0">
            <w:pPr>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auto"/>
            <w:vAlign w:val="center"/>
          </w:tcPr>
          <w:p w14:paraId="6F5AB11C">
            <w:pPr>
              <w:rPr>
                <w:rFonts w:hint="eastAsia" w:ascii="宋体" w:hAnsi="宋体" w:eastAsia="宋体" w:cs="宋体"/>
                <w:i w:val="0"/>
                <w:iCs w:val="0"/>
                <w:color w:val="000000"/>
                <w:sz w:val="18"/>
                <w:szCs w:val="18"/>
                <w:u w:val="none"/>
              </w:rPr>
            </w:pPr>
          </w:p>
        </w:tc>
        <w:tc>
          <w:tcPr>
            <w:tcW w:w="187" w:type="pct"/>
            <w:tcBorders>
              <w:top w:val="nil"/>
              <w:left w:val="nil"/>
              <w:bottom w:val="nil"/>
              <w:right w:val="nil"/>
            </w:tcBorders>
            <w:shd w:val="clear" w:color="auto" w:fill="auto"/>
            <w:vAlign w:val="center"/>
          </w:tcPr>
          <w:p w14:paraId="56FFB132">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170B113C">
            <w:pPr>
              <w:rPr>
                <w:rFonts w:hint="eastAsia" w:ascii="宋体" w:hAnsi="宋体" w:eastAsia="宋体" w:cs="宋体"/>
                <w:i w:val="0"/>
                <w:iCs w:val="0"/>
                <w:color w:val="000000"/>
                <w:sz w:val="18"/>
                <w:szCs w:val="18"/>
                <w:u w:val="none"/>
              </w:rPr>
            </w:pPr>
          </w:p>
        </w:tc>
        <w:tc>
          <w:tcPr>
            <w:tcW w:w="905" w:type="pct"/>
            <w:tcBorders>
              <w:top w:val="nil"/>
              <w:left w:val="nil"/>
              <w:bottom w:val="nil"/>
              <w:right w:val="nil"/>
            </w:tcBorders>
            <w:shd w:val="clear" w:color="auto" w:fill="auto"/>
            <w:vAlign w:val="center"/>
          </w:tcPr>
          <w:p w14:paraId="1BD13232">
            <w:pPr>
              <w:rPr>
                <w:rFonts w:hint="eastAsia" w:ascii="宋体" w:hAnsi="宋体" w:eastAsia="宋体" w:cs="宋体"/>
                <w:i w:val="0"/>
                <w:iCs w:val="0"/>
                <w:color w:val="000000"/>
                <w:sz w:val="18"/>
                <w:szCs w:val="18"/>
                <w:u w:val="none"/>
              </w:rPr>
            </w:pPr>
          </w:p>
        </w:tc>
      </w:tr>
      <w:tr w14:paraId="5D79E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7FBAEC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1C453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AD32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3B0EB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51323321T000000086484-基本公共卫生服务补助县级配套</w:t>
            </w:r>
          </w:p>
        </w:tc>
      </w:tr>
      <w:tr w14:paraId="6C67E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38E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527A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6" w:type="pct"/>
            <w:tcBorders>
              <w:top w:val="nil"/>
              <w:left w:val="nil"/>
              <w:bottom w:val="nil"/>
              <w:right w:val="nil"/>
            </w:tcBorders>
            <w:shd w:val="clear" w:color="auto" w:fill="auto"/>
            <w:vAlign w:val="center"/>
          </w:tcPr>
          <w:p w14:paraId="4740D40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45DA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红原县卫生健康局事业</w:t>
            </w:r>
          </w:p>
        </w:tc>
      </w:tr>
      <w:tr w14:paraId="76A48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C078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5CD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2A22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5DE3B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D478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7C64D">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A1F7A">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EF1D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乡镇卫生院开展基本公共卫生服务，包括建立居民健康档案，预防接种、传染病防治、高血压糖尿病等慢性病管理重型精神病管理、儿童保健、孕产妇保健、老年人保健；协助处置突发公共卫生事件。开展基本公共卫生服产生的办公费，邮电费等支出。</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01D23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基本公共卫生服务十二项稳步推进。居民健康档案不断完善，健康教育广泛开展，预防接种有序进行。慢性病、孕产妇、儿童等重点人群管理到位，各项服务有效提升了居民健康水平，为保障公众健康发挥积极作用。</w:t>
            </w:r>
          </w:p>
        </w:tc>
      </w:tr>
      <w:tr w14:paraId="226EA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4CAC2">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D67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3E782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本公共卫生服务十二项包括居民健康档案管理、健康教育、预防接种、儿童健康管理、孕产妇健康、老年人健康管理、慢性病健康管理、严重精神障碍患者健康管理、肺结核健康管理、中医药健康管理、传染病和突发公共卫生事件，卫生计生监督协管等。</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在实施过程中，为居民建立健康档案，通过多种形式开展健康教育。规范预防接种流程，保障儿童及成人免疫。对重点人群如孕产妇、老年人、慢性病患者进行管理和随访等，确保各项服务落实到位。</w:t>
            </w:r>
          </w:p>
        </w:tc>
      </w:tr>
      <w:tr w14:paraId="71E54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1B2D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6FD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42C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2C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C087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D8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2B5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255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1AB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5E61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F6134">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6CF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55C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8C4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13.84</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632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6BC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88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13687">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F1CB92">
            <w:pPr>
              <w:rPr>
                <w:rFonts w:hint="eastAsia" w:ascii="黑体" w:hAnsi="黑体" w:eastAsia="黑体" w:cs="黑体"/>
                <w:i/>
                <w:iCs/>
                <w:color w:val="000000"/>
                <w:sz w:val="18"/>
                <w:szCs w:val="18"/>
                <w:u w:val="none"/>
              </w:rPr>
            </w:pPr>
          </w:p>
        </w:tc>
      </w:tr>
      <w:tr w14:paraId="28037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D228E">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4B9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97B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CBA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13.84</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7DA8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C31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6E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273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854B1">
            <w:pPr>
              <w:rPr>
                <w:rFonts w:hint="eastAsia" w:ascii="黑体" w:hAnsi="黑体" w:eastAsia="黑体" w:cs="黑体"/>
                <w:i/>
                <w:iCs/>
                <w:color w:val="000000"/>
                <w:sz w:val="18"/>
                <w:szCs w:val="18"/>
                <w:u w:val="none"/>
              </w:rPr>
            </w:pPr>
          </w:p>
        </w:tc>
      </w:tr>
      <w:tr w14:paraId="6E613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5C5E2">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95C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84A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0A9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4F94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D48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089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88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8CB49">
            <w:pPr>
              <w:rPr>
                <w:rFonts w:hint="eastAsia" w:ascii="黑体" w:hAnsi="黑体" w:eastAsia="黑体" w:cs="黑体"/>
                <w:i/>
                <w:iCs/>
                <w:color w:val="000000"/>
                <w:sz w:val="18"/>
                <w:szCs w:val="18"/>
                <w:u w:val="none"/>
              </w:rPr>
            </w:pPr>
          </w:p>
        </w:tc>
      </w:tr>
      <w:tr w14:paraId="0E1ED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3D3E5">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E51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7CE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209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D54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6C3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A1D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050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5DEFB">
            <w:pPr>
              <w:rPr>
                <w:rFonts w:hint="eastAsia" w:ascii="黑体" w:hAnsi="黑体" w:eastAsia="黑体" w:cs="黑体"/>
                <w:i/>
                <w:iCs/>
                <w:color w:val="000000"/>
                <w:sz w:val="18"/>
                <w:szCs w:val="18"/>
                <w:u w:val="none"/>
              </w:rPr>
            </w:pPr>
          </w:p>
        </w:tc>
      </w:tr>
      <w:tr w14:paraId="28757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01311">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725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C3DCA">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6B5C9">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87F997">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AE40B">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8B1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7ED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EF9A0">
            <w:pPr>
              <w:rPr>
                <w:rFonts w:hint="eastAsia" w:ascii="黑体" w:hAnsi="黑体" w:eastAsia="黑体" w:cs="黑体"/>
                <w:i/>
                <w:iCs/>
                <w:color w:val="000000"/>
                <w:sz w:val="18"/>
                <w:szCs w:val="18"/>
                <w:u w:val="none"/>
              </w:rPr>
            </w:pPr>
          </w:p>
        </w:tc>
      </w:tr>
      <w:tr w14:paraId="5AB46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99BA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0F6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1EF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45A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9EC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541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36C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D65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926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F7A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E10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4F89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36B2D">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C2BCE">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67074">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67660">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DBDD0">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2111B">
            <w:pPr>
              <w:jc w:val="center"/>
              <w:rPr>
                <w:rFonts w:hint="eastAsia" w:ascii="宋体" w:hAnsi="宋体" w:eastAsia="宋体" w:cs="宋体"/>
                <w:i w:val="0"/>
                <w:iCs w:val="0"/>
                <w:color w:val="000000"/>
                <w:sz w:val="18"/>
                <w:szCs w:val="18"/>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4B4FD">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CE763">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B9786">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88381">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08768">
            <w:pPr>
              <w:jc w:val="center"/>
              <w:rPr>
                <w:rFonts w:hint="eastAsia" w:ascii="微软雅黑" w:hAnsi="微软雅黑" w:eastAsia="微软雅黑" w:cs="微软雅黑"/>
                <w:i/>
                <w:iCs/>
                <w:color w:val="000000"/>
                <w:sz w:val="16"/>
                <w:szCs w:val="16"/>
                <w:u w:val="none"/>
              </w:rPr>
            </w:pPr>
          </w:p>
        </w:tc>
      </w:tr>
      <w:tr w14:paraId="36932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4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01380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43D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667B8">
            <w:pP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DFD5C">
            <w:pPr>
              <w:rPr>
                <w:rFonts w:hint="eastAsia" w:ascii="宋体" w:hAnsi="宋体" w:eastAsia="宋体" w:cs="宋体"/>
                <w:i w:val="0"/>
                <w:iCs w:val="0"/>
                <w:color w:val="000000"/>
                <w:sz w:val="18"/>
                <w:szCs w:val="18"/>
                <w:u w:val="none"/>
              </w:rPr>
            </w:pPr>
          </w:p>
        </w:tc>
      </w:tr>
      <w:tr w14:paraId="1FA95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E81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4CE5A5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基本公共卫生服务十二项整体成效显著。居民健康档案为医疗决策提供有力依据；健康教育提升民众健康意识；预防接种构筑免疫屏障。各重点人群管理有效降低疾病风险，促进了居民健康水平提升，对公共卫生事业发展意义重大。</w:t>
            </w:r>
          </w:p>
        </w:tc>
      </w:tr>
      <w:tr w14:paraId="24891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27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AE93FA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高血压、二型糖尿病管理率未达标</w:t>
            </w:r>
          </w:p>
        </w:tc>
      </w:tr>
      <w:tr w14:paraId="3C687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B79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355F6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督促各乡镇加大筛查力度，通过入户收集发现患者，县指导中心通过县级医疗机构收集辖区内确诊患者，各乡镇核实并纳入管理</w:t>
            </w:r>
          </w:p>
        </w:tc>
      </w:tr>
      <w:tr w14:paraId="43C2B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8D2F9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项目负责人：张燕</w:t>
            </w:r>
          </w:p>
        </w:tc>
        <w:tc>
          <w:tcPr>
            <w:tcW w:w="242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1110E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财务负责人：熊莲英</w:t>
            </w:r>
          </w:p>
        </w:tc>
      </w:tr>
      <w:tr w14:paraId="31ACD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1519CC1A">
            <w:pPr>
              <w:rPr>
                <w:rFonts w:hint="eastAsia" w:ascii="宋体" w:hAnsi="宋体" w:eastAsia="宋体" w:cs="宋体"/>
                <w:i w:val="0"/>
                <w:iCs w:val="0"/>
                <w:color w:val="000000"/>
                <w:sz w:val="18"/>
                <w:szCs w:val="18"/>
                <w:u w:val="none"/>
              </w:rPr>
            </w:pPr>
          </w:p>
        </w:tc>
        <w:tc>
          <w:tcPr>
            <w:tcW w:w="725" w:type="pct"/>
            <w:tcBorders>
              <w:top w:val="nil"/>
              <w:left w:val="nil"/>
              <w:bottom w:val="nil"/>
              <w:right w:val="nil"/>
            </w:tcBorders>
            <w:shd w:val="clear" w:color="auto" w:fill="auto"/>
            <w:vAlign w:val="center"/>
          </w:tcPr>
          <w:p w14:paraId="4F00010E">
            <w:pPr>
              <w:rPr>
                <w:rFonts w:hint="eastAsia" w:ascii="宋体" w:hAnsi="宋体" w:eastAsia="宋体" w:cs="宋体"/>
                <w:i w:val="0"/>
                <w:iCs w:val="0"/>
                <w:color w:val="000000"/>
                <w:sz w:val="18"/>
                <w:szCs w:val="18"/>
                <w:u w:val="none"/>
              </w:rPr>
            </w:pPr>
          </w:p>
        </w:tc>
        <w:tc>
          <w:tcPr>
            <w:tcW w:w="627" w:type="pct"/>
            <w:tcBorders>
              <w:top w:val="nil"/>
              <w:left w:val="nil"/>
              <w:bottom w:val="nil"/>
              <w:right w:val="nil"/>
            </w:tcBorders>
            <w:shd w:val="clear" w:color="auto" w:fill="auto"/>
            <w:vAlign w:val="center"/>
          </w:tcPr>
          <w:p w14:paraId="04CB0EDA">
            <w:pPr>
              <w:rPr>
                <w:rFonts w:hint="eastAsia" w:ascii="宋体" w:hAnsi="宋体" w:eastAsia="宋体" w:cs="宋体"/>
                <w:i w:val="0"/>
                <w:iCs w:val="0"/>
                <w:color w:val="000000"/>
                <w:sz w:val="18"/>
                <w:szCs w:val="18"/>
                <w:u w:val="none"/>
              </w:rPr>
            </w:pPr>
          </w:p>
        </w:tc>
        <w:tc>
          <w:tcPr>
            <w:tcW w:w="800" w:type="pct"/>
            <w:tcBorders>
              <w:top w:val="nil"/>
              <w:left w:val="nil"/>
              <w:bottom w:val="nil"/>
              <w:right w:val="nil"/>
            </w:tcBorders>
            <w:shd w:val="clear" w:color="auto" w:fill="auto"/>
            <w:vAlign w:val="center"/>
          </w:tcPr>
          <w:p w14:paraId="4A5F497E">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0CD3900C">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18D0CB35">
            <w:pPr>
              <w:rPr>
                <w:rFonts w:hint="eastAsia" w:ascii="宋体" w:hAnsi="宋体" w:eastAsia="宋体" w:cs="宋体"/>
                <w:i w:val="0"/>
                <w:iCs w:val="0"/>
                <w:color w:val="000000"/>
                <w:sz w:val="18"/>
                <w:szCs w:val="18"/>
                <w:u w:val="none"/>
              </w:rPr>
            </w:pPr>
          </w:p>
        </w:tc>
        <w:tc>
          <w:tcPr>
            <w:tcW w:w="185" w:type="pct"/>
            <w:tcBorders>
              <w:top w:val="nil"/>
              <w:left w:val="nil"/>
              <w:bottom w:val="nil"/>
              <w:right w:val="nil"/>
            </w:tcBorders>
            <w:shd w:val="clear" w:color="auto" w:fill="auto"/>
            <w:vAlign w:val="center"/>
          </w:tcPr>
          <w:p w14:paraId="032C4061">
            <w:pPr>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auto"/>
            <w:vAlign w:val="center"/>
          </w:tcPr>
          <w:p w14:paraId="0FDDCC86">
            <w:pPr>
              <w:rPr>
                <w:rFonts w:hint="eastAsia" w:ascii="宋体" w:hAnsi="宋体" w:eastAsia="宋体" w:cs="宋体"/>
                <w:i w:val="0"/>
                <w:iCs w:val="0"/>
                <w:color w:val="000000"/>
                <w:sz w:val="18"/>
                <w:szCs w:val="18"/>
                <w:u w:val="none"/>
              </w:rPr>
            </w:pPr>
          </w:p>
        </w:tc>
        <w:tc>
          <w:tcPr>
            <w:tcW w:w="187" w:type="pct"/>
            <w:tcBorders>
              <w:top w:val="nil"/>
              <w:left w:val="nil"/>
              <w:bottom w:val="nil"/>
              <w:right w:val="nil"/>
            </w:tcBorders>
            <w:shd w:val="clear" w:color="auto" w:fill="auto"/>
            <w:vAlign w:val="center"/>
          </w:tcPr>
          <w:p w14:paraId="631322E6">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37430568">
            <w:pPr>
              <w:rPr>
                <w:rFonts w:hint="eastAsia" w:ascii="宋体" w:hAnsi="宋体" w:eastAsia="宋体" w:cs="宋体"/>
                <w:i w:val="0"/>
                <w:iCs w:val="0"/>
                <w:color w:val="000000"/>
                <w:sz w:val="18"/>
                <w:szCs w:val="18"/>
                <w:u w:val="none"/>
              </w:rPr>
            </w:pPr>
          </w:p>
        </w:tc>
        <w:tc>
          <w:tcPr>
            <w:tcW w:w="905" w:type="pct"/>
            <w:tcBorders>
              <w:top w:val="nil"/>
              <w:left w:val="nil"/>
              <w:bottom w:val="nil"/>
              <w:right w:val="nil"/>
            </w:tcBorders>
            <w:shd w:val="clear" w:color="auto" w:fill="auto"/>
            <w:vAlign w:val="center"/>
          </w:tcPr>
          <w:p w14:paraId="63A7A59E">
            <w:pPr>
              <w:rPr>
                <w:rFonts w:hint="eastAsia" w:ascii="宋体" w:hAnsi="宋体" w:eastAsia="宋体" w:cs="宋体"/>
                <w:i w:val="0"/>
                <w:iCs w:val="0"/>
                <w:color w:val="000000"/>
                <w:sz w:val="18"/>
                <w:szCs w:val="18"/>
                <w:u w:val="none"/>
              </w:rPr>
            </w:pPr>
          </w:p>
        </w:tc>
      </w:tr>
      <w:tr w14:paraId="1AAFE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189A4E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54D2E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E2C2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7EA38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51323322T000006203442-计划生育项目</w:t>
            </w:r>
          </w:p>
        </w:tc>
      </w:tr>
      <w:tr w14:paraId="75B46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E9EA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BA18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6" w:type="pct"/>
            <w:tcBorders>
              <w:top w:val="nil"/>
              <w:left w:val="nil"/>
              <w:bottom w:val="nil"/>
              <w:right w:val="nil"/>
            </w:tcBorders>
            <w:shd w:val="clear" w:color="auto" w:fill="auto"/>
            <w:vAlign w:val="center"/>
          </w:tcPr>
          <w:p w14:paraId="2FAB96A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DD48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红原县卫生健康局事业</w:t>
            </w:r>
          </w:p>
        </w:tc>
      </w:tr>
      <w:tr w14:paraId="54ECB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A2EC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8233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773B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96B8C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ABEE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2AB38">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A421E">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2ADE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1:实施农村计划生育家庭奖励扶助制度，解决农村独生子女和双女家庭的养老问题，提高家 庭发展能力。2:实施计划生育家庭特别扶助制度，缓解计划生育困难家庭在生产、生活、医疗和养老等方 面的特殊困难，保障和改善民生，促进社会和谐稳定。3:独生子女父母优先分享改革发展的成果，稳定家庭功能。</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80D17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1:2023年享受奖励扶助共368人，通过一卡通全部发放成功。2:对全县享受特别扶助116人发放棉絮，各乡镇卫生院、社区服务中心与特别扶助人员签约了特殊家庭签约。</w:t>
            </w:r>
          </w:p>
        </w:tc>
      </w:tr>
      <w:tr w14:paraId="5DA94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50EDE">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A7F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C436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1:2023年享受奖励扶助共368人，通过一卡通全部发放成功。2:对全县享受特别扶助116人发放棉絮，各乡镇卫生院、社区服务中心与特别扶助人员签约了特殊家庭签约。</w:t>
            </w:r>
          </w:p>
        </w:tc>
      </w:tr>
      <w:tr w14:paraId="4E63B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D6B2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1F2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091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717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210C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4A6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31D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1D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87D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D01B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26743">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5A9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9CB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DB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191.09</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6BF6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188.84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7F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98.82%</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631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40980">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FEEB16">
            <w:pPr>
              <w:rPr>
                <w:rFonts w:hint="eastAsia" w:ascii="黑体" w:hAnsi="黑体" w:eastAsia="黑体" w:cs="黑体"/>
                <w:i/>
                <w:iCs/>
                <w:color w:val="000000"/>
                <w:sz w:val="18"/>
                <w:szCs w:val="18"/>
                <w:u w:val="none"/>
              </w:rPr>
            </w:pPr>
          </w:p>
        </w:tc>
      </w:tr>
      <w:tr w14:paraId="16179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CFEFD">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BA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C5A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A2A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191.09</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C8C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188.84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74D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98.82%</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130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9F8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B77A0">
            <w:pPr>
              <w:rPr>
                <w:rFonts w:hint="eastAsia" w:ascii="黑体" w:hAnsi="黑体" w:eastAsia="黑体" w:cs="黑体"/>
                <w:i/>
                <w:iCs/>
                <w:color w:val="000000"/>
                <w:sz w:val="18"/>
                <w:szCs w:val="18"/>
                <w:u w:val="none"/>
              </w:rPr>
            </w:pPr>
          </w:p>
        </w:tc>
      </w:tr>
      <w:tr w14:paraId="37BA6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6597C">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B32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555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7B6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5C8A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BD2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2F3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AFC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07BBE">
            <w:pPr>
              <w:rPr>
                <w:rFonts w:hint="eastAsia" w:ascii="黑体" w:hAnsi="黑体" w:eastAsia="黑体" w:cs="黑体"/>
                <w:i/>
                <w:iCs/>
                <w:color w:val="000000"/>
                <w:sz w:val="18"/>
                <w:szCs w:val="18"/>
                <w:u w:val="none"/>
              </w:rPr>
            </w:pPr>
          </w:p>
        </w:tc>
      </w:tr>
      <w:tr w14:paraId="7C86C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09BAE">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F77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5C9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65C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8CC9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DB8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B85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760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DB689">
            <w:pPr>
              <w:rPr>
                <w:rFonts w:hint="eastAsia" w:ascii="黑体" w:hAnsi="黑体" w:eastAsia="黑体" w:cs="黑体"/>
                <w:i/>
                <w:iCs/>
                <w:color w:val="000000"/>
                <w:sz w:val="18"/>
                <w:szCs w:val="18"/>
                <w:u w:val="none"/>
              </w:rPr>
            </w:pPr>
          </w:p>
        </w:tc>
      </w:tr>
      <w:tr w14:paraId="013C5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25CC3">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E33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CC044">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220E2">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7F65CA">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6BD5E">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E38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558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AE0B8">
            <w:pPr>
              <w:rPr>
                <w:rFonts w:hint="eastAsia" w:ascii="黑体" w:hAnsi="黑体" w:eastAsia="黑体" w:cs="黑体"/>
                <w:i/>
                <w:iCs/>
                <w:color w:val="000000"/>
                <w:sz w:val="18"/>
                <w:szCs w:val="18"/>
                <w:u w:val="none"/>
              </w:rPr>
            </w:pPr>
          </w:p>
        </w:tc>
      </w:tr>
      <w:tr w14:paraId="3267F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F0FC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180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9E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440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931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1F3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E64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096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6F4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512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A8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2E00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F415D">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75B4A">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8A653">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3655B">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8FE46">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8549A">
            <w:pPr>
              <w:jc w:val="center"/>
              <w:rPr>
                <w:rFonts w:hint="eastAsia" w:ascii="宋体" w:hAnsi="宋体" w:eastAsia="宋体" w:cs="宋体"/>
                <w:i w:val="0"/>
                <w:iCs w:val="0"/>
                <w:color w:val="000000"/>
                <w:sz w:val="18"/>
                <w:szCs w:val="18"/>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A3F51">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D92C2">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36997">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21381">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C9CD0">
            <w:pPr>
              <w:jc w:val="center"/>
              <w:rPr>
                <w:rFonts w:hint="eastAsia" w:ascii="微软雅黑" w:hAnsi="微软雅黑" w:eastAsia="微软雅黑" w:cs="微软雅黑"/>
                <w:i/>
                <w:iCs/>
                <w:color w:val="000000"/>
                <w:sz w:val="16"/>
                <w:szCs w:val="16"/>
                <w:u w:val="none"/>
              </w:rPr>
            </w:pPr>
          </w:p>
        </w:tc>
      </w:tr>
      <w:tr w14:paraId="69D3C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4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B2E79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600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24813">
            <w:pP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A303E">
            <w:pPr>
              <w:rPr>
                <w:rFonts w:hint="eastAsia" w:ascii="宋体" w:hAnsi="宋体" w:eastAsia="宋体" w:cs="宋体"/>
                <w:i w:val="0"/>
                <w:iCs w:val="0"/>
                <w:color w:val="000000"/>
                <w:sz w:val="18"/>
                <w:szCs w:val="18"/>
                <w:u w:val="none"/>
              </w:rPr>
            </w:pPr>
          </w:p>
        </w:tc>
      </w:tr>
      <w:tr w14:paraId="401DD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968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A8779F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1:2023年享受奖励扶助共368人，通过一卡通全部发放成功。2:对全县享受特别扶助116人发放棉絮，各乡镇卫生院、社区服务中心与特别扶助人员签约了特殊家庭签约。</w:t>
            </w:r>
          </w:p>
        </w:tc>
      </w:tr>
      <w:tr w14:paraId="59603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AC5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5DBC9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29E3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503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E1139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690B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16685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项目负责人：卢睿</w:t>
            </w:r>
          </w:p>
        </w:tc>
        <w:tc>
          <w:tcPr>
            <w:tcW w:w="242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3EC58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财务负责人：熊莲英</w:t>
            </w:r>
          </w:p>
        </w:tc>
      </w:tr>
      <w:tr w14:paraId="14014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625B8BAD">
            <w:pPr>
              <w:rPr>
                <w:rFonts w:hint="eastAsia" w:ascii="宋体" w:hAnsi="宋体" w:eastAsia="宋体" w:cs="宋体"/>
                <w:i w:val="0"/>
                <w:iCs w:val="0"/>
                <w:color w:val="000000"/>
                <w:sz w:val="18"/>
                <w:szCs w:val="18"/>
                <w:u w:val="none"/>
              </w:rPr>
            </w:pPr>
          </w:p>
        </w:tc>
        <w:tc>
          <w:tcPr>
            <w:tcW w:w="725" w:type="pct"/>
            <w:tcBorders>
              <w:top w:val="nil"/>
              <w:left w:val="nil"/>
              <w:bottom w:val="nil"/>
              <w:right w:val="nil"/>
            </w:tcBorders>
            <w:shd w:val="clear" w:color="auto" w:fill="auto"/>
            <w:vAlign w:val="center"/>
          </w:tcPr>
          <w:p w14:paraId="1A093153">
            <w:pPr>
              <w:rPr>
                <w:rFonts w:hint="eastAsia" w:ascii="宋体" w:hAnsi="宋体" w:eastAsia="宋体" w:cs="宋体"/>
                <w:i w:val="0"/>
                <w:iCs w:val="0"/>
                <w:color w:val="000000"/>
                <w:sz w:val="18"/>
                <w:szCs w:val="18"/>
                <w:u w:val="none"/>
              </w:rPr>
            </w:pPr>
          </w:p>
        </w:tc>
        <w:tc>
          <w:tcPr>
            <w:tcW w:w="627" w:type="pct"/>
            <w:tcBorders>
              <w:top w:val="nil"/>
              <w:left w:val="nil"/>
              <w:bottom w:val="nil"/>
              <w:right w:val="nil"/>
            </w:tcBorders>
            <w:shd w:val="clear" w:color="auto" w:fill="auto"/>
            <w:vAlign w:val="center"/>
          </w:tcPr>
          <w:p w14:paraId="61055303">
            <w:pPr>
              <w:rPr>
                <w:rFonts w:hint="eastAsia" w:ascii="宋体" w:hAnsi="宋体" w:eastAsia="宋体" w:cs="宋体"/>
                <w:i w:val="0"/>
                <w:iCs w:val="0"/>
                <w:color w:val="000000"/>
                <w:sz w:val="18"/>
                <w:szCs w:val="18"/>
                <w:u w:val="none"/>
              </w:rPr>
            </w:pPr>
          </w:p>
        </w:tc>
        <w:tc>
          <w:tcPr>
            <w:tcW w:w="800" w:type="pct"/>
            <w:tcBorders>
              <w:top w:val="nil"/>
              <w:left w:val="nil"/>
              <w:bottom w:val="nil"/>
              <w:right w:val="nil"/>
            </w:tcBorders>
            <w:shd w:val="clear" w:color="auto" w:fill="auto"/>
            <w:vAlign w:val="center"/>
          </w:tcPr>
          <w:p w14:paraId="51137F58">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39E961A4">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45093A5B">
            <w:pPr>
              <w:rPr>
                <w:rFonts w:hint="eastAsia" w:ascii="宋体" w:hAnsi="宋体" w:eastAsia="宋体" w:cs="宋体"/>
                <w:i w:val="0"/>
                <w:iCs w:val="0"/>
                <w:color w:val="000000"/>
                <w:sz w:val="18"/>
                <w:szCs w:val="18"/>
                <w:u w:val="none"/>
              </w:rPr>
            </w:pPr>
          </w:p>
        </w:tc>
        <w:tc>
          <w:tcPr>
            <w:tcW w:w="185" w:type="pct"/>
            <w:tcBorders>
              <w:top w:val="nil"/>
              <w:left w:val="nil"/>
              <w:bottom w:val="nil"/>
              <w:right w:val="nil"/>
            </w:tcBorders>
            <w:shd w:val="clear" w:color="auto" w:fill="auto"/>
            <w:vAlign w:val="center"/>
          </w:tcPr>
          <w:p w14:paraId="1CDBB9C3">
            <w:pPr>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auto"/>
            <w:vAlign w:val="center"/>
          </w:tcPr>
          <w:p w14:paraId="6497F4B9">
            <w:pPr>
              <w:rPr>
                <w:rFonts w:hint="eastAsia" w:ascii="宋体" w:hAnsi="宋体" w:eastAsia="宋体" w:cs="宋体"/>
                <w:i w:val="0"/>
                <w:iCs w:val="0"/>
                <w:color w:val="000000"/>
                <w:sz w:val="18"/>
                <w:szCs w:val="18"/>
                <w:u w:val="none"/>
              </w:rPr>
            </w:pPr>
          </w:p>
        </w:tc>
        <w:tc>
          <w:tcPr>
            <w:tcW w:w="187" w:type="pct"/>
            <w:tcBorders>
              <w:top w:val="nil"/>
              <w:left w:val="nil"/>
              <w:bottom w:val="nil"/>
              <w:right w:val="nil"/>
            </w:tcBorders>
            <w:shd w:val="clear" w:color="auto" w:fill="auto"/>
            <w:vAlign w:val="center"/>
          </w:tcPr>
          <w:p w14:paraId="3ABF7EDD">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18095E5B">
            <w:pPr>
              <w:rPr>
                <w:rFonts w:hint="eastAsia" w:ascii="宋体" w:hAnsi="宋体" w:eastAsia="宋体" w:cs="宋体"/>
                <w:i w:val="0"/>
                <w:iCs w:val="0"/>
                <w:color w:val="000000"/>
                <w:sz w:val="18"/>
                <w:szCs w:val="18"/>
                <w:u w:val="none"/>
              </w:rPr>
            </w:pPr>
          </w:p>
        </w:tc>
        <w:tc>
          <w:tcPr>
            <w:tcW w:w="905" w:type="pct"/>
            <w:tcBorders>
              <w:top w:val="nil"/>
              <w:left w:val="nil"/>
              <w:bottom w:val="nil"/>
              <w:right w:val="nil"/>
            </w:tcBorders>
            <w:shd w:val="clear" w:color="auto" w:fill="auto"/>
            <w:vAlign w:val="center"/>
          </w:tcPr>
          <w:p w14:paraId="681BF59F">
            <w:pPr>
              <w:rPr>
                <w:rFonts w:hint="eastAsia" w:ascii="宋体" w:hAnsi="宋体" w:eastAsia="宋体" w:cs="宋体"/>
                <w:i w:val="0"/>
                <w:iCs w:val="0"/>
                <w:color w:val="000000"/>
                <w:sz w:val="18"/>
                <w:szCs w:val="18"/>
                <w:u w:val="none"/>
              </w:rPr>
            </w:pPr>
          </w:p>
        </w:tc>
      </w:tr>
      <w:tr w14:paraId="7289B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EB42DD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0D840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F64A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4C0B0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51323322T000006203723-基本药物制度补助项目</w:t>
            </w:r>
          </w:p>
        </w:tc>
      </w:tr>
      <w:tr w14:paraId="5A34C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73B9E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BD9A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6" w:type="pct"/>
            <w:tcBorders>
              <w:top w:val="nil"/>
              <w:left w:val="nil"/>
              <w:bottom w:val="nil"/>
              <w:right w:val="nil"/>
            </w:tcBorders>
            <w:shd w:val="clear" w:color="auto" w:fill="auto"/>
            <w:vAlign w:val="center"/>
          </w:tcPr>
          <w:p w14:paraId="486A704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BFE4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红原县卫生健康局事业</w:t>
            </w:r>
          </w:p>
        </w:tc>
      </w:tr>
      <w:tr w14:paraId="2C84A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6D5F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C5E3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F6D2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3EDAE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BEA8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A7F5B">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3D7DF">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A52E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加强基层医疗机构对基本药物的供应和使用，确保群众能够享受到安全、有效、经济的基本药物服务。</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1B6D9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加强基层医疗机构对基本药物的供应和使用，确保群众能够享受到安全、有效、经济的基本药物服务。</w:t>
            </w:r>
          </w:p>
        </w:tc>
      </w:tr>
      <w:tr w14:paraId="58B82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ABE8D">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F90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81AC0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用于基层医疗机构的基层医疗机构日常运营费用，如电费、网费、办公费、公务用车运行维护费等；其他与基本药物制度实施相关的公用经费支出。</w:t>
            </w:r>
          </w:p>
        </w:tc>
      </w:tr>
      <w:tr w14:paraId="7D82F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8542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E55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77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5A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1C19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982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A42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25F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E15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E509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6791F">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6E0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1F9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AB2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69.33</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9E26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69.33</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AD4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2A4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EE705">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8F6B0D">
            <w:pPr>
              <w:rPr>
                <w:rFonts w:hint="eastAsia" w:ascii="黑体" w:hAnsi="黑体" w:eastAsia="黑体" w:cs="黑体"/>
                <w:i/>
                <w:iCs/>
                <w:color w:val="000000"/>
                <w:sz w:val="18"/>
                <w:szCs w:val="18"/>
                <w:u w:val="none"/>
              </w:rPr>
            </w:pPr>
          </w:p>
        </w:tc>
      </w:tr>
      <w:tr w14:paraId="60B49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4A7F9">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8A0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867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DF5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69.33</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83F6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69.33</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66F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53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C8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E9472">
            <w:pPr>
              <w:rPr>
                <w:rFonts w:hint="eastAsia" w:ascii="黑体" w:hAnsi="黑体" w:eastAsia="黑体" w:cs="黑体"/>
                <w:i/>
                <w:iCs/>
                <w:color w:val="000000"/>
                <w:sz w:val="18"/>
                <w:szCs w:val="18"/>
                <w:u w:val="none"/>
              </w:rPr>
            </w:pPr>
          </w:p>
        </w:tc>
      </w:tr>
      <w:tr w14:paraId="05B1A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87D44">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4AA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8E2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1D4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834A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BE3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465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AC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21E2D">
            <w:pPr>
              <w:rPr>
                <w:rFonts w:hint="eastAsia" w:ascii="黑体" w:hAnsi="黑体" w:eastAsia="黑体" w:cs="黑体"/>
                <w:i/>
                <w:iCs/>
                <w:color w:val="000000"/>
                <w:sz w:val="18"/>
                <w:szCs w:val="18"/>
                <w:u w:val="none"/>
              </w:rPr>
            </w:pPr>
          </w:p>
        </w:tc>
      </w:tr>
      <w:tr w14:paraId="0CEB6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EEDFE">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AD3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0DF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3E8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DB4E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845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13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46F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AEF3A">
            <w:pPr>
              <w:rPr>
                <w:rFonts w:hint="eastAsia" w:ascii="黑体" w:hAnsi="黑体" w:eastAsia="黑体" w:cs="黑体"/>
                <w:i/>
                <w:iCs/>
                <w:color w:val="000000"/>
                <w:sz w:val="18"/>
                <w:szCs w:val="18"/>
                <w:u w:val="none"/>
              </w:rPr>
            </w:pPr>
          </w:p>
        </w:tc>
      </w:tr>
      <w:tr w14:paraId="7A6E0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D14A4">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D15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832DF">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FF0C3">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710383">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83764">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CFF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75F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7C27C">
            <w:pPr>
              <w:rPr>
                <w:rFonts w:hint="eastAsia" w:ascii="黑体" w:hAnsi="黑体" w:eastAsia="黑体" w:cs="黑体"/>
                <w:i/>
                <w:iCs/>
                <w:color w:val="000000"/>
                <w:sz w:val="18"/>
                <w:szCs w:val="18"/>
                <w:u w:val="none"/>
              </w:rPr>
            </w:pPr>
          </w:p>
        </w:tc>
      </w:tr>
      <w:tr w14:paraId="3C302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80C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FDD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06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419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CA9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AE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335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0BE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81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FFC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F84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5B92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A851A">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41479">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1FD24">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FE4B0">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93538">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67AA5">
            <w:pPr>
              <w:jc w:val="center"/>
              <w:rPr>
                <w:rFonts w:hint="eastAsia" w:ascii="宋体" w:hAnsi="宋体" w:eastAsia="宋体" w:cs="宋体"/>
                <w:i w:val="0"/>
                <w:iCs w:val="0"/>
                <w:color w:val="000000"/>
                <w:sz w:val="18"/>
                <w:szCs w:val="18"/>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CD2D8">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474B5">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9B652">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6CA05">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FE769">
            <w:pPr>
              <w:jc w:val="center"/>
              <w:rPr>
                <w:rFonts w:hint="eastAsia" w:ascii="微软雅黑" w:hAnsi="微软雅黑" w:eastAsia="微软雅黑" w:cs="微软雅黑"/>
                <w:i/>
                <w:iCs/>
                <w:color w:val="000000"/>
                <w:sz w:val="16"/>
                <w:szCs w:val="16"/>
                <w:u w:val="none"/>
              </w:rPr>
            </w:pPr>
          </w:p>
        </w:tc>
      </w:tr>
      <w:tr w14:paraId="64198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4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C5E55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C0F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CBC13">
            <w:pP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DB446">
            <w:pPr>
              <w:rPr>
                <w:rFonts w:hint="eastAsia" w:ascii="宋体" w:hAnsi="宋体" w:eastAsia="宋体" w:cs="宋体"/>
                <w:i w:val="0"/>
                <w:iCs w:val="0"/>
                <w:color w:val="000000"/>
                <w:sz w:val="18"/>
                <w:szCs w:val="18"/>
                <w:u w:val="none"/>
              </w:rPr>
            </w:pPr>
          </w:p>
        </w:tc>
      </w:tr>
      <w:tr w14:paraId="277BB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06A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AEA4D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加强基层医疗卫生机构对基本药物的供应和使用，确保群众能够享受到安全、有效、经济的基本药物服务。基层医疗卫生机构的基本药物供应得到了有效保障，群众用药需求得到了满足。同时，基层医疗卫生机构的医疗服务质量也得到了提升，医务人员的基本药物使用和管理能力得到了加强。</w:t>
            </w:r>
          </w:p>
        </w:tc>
      </w:tr>
      <w:tr w14:paraId="60440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0F5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EC712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4AD2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A89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DE397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72F1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D2F68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项目负责人：罗占飞</w:t>
            </w:r>
          </w:p>
        </w:tc>
        <w:tc>
          <w:tcPr>
            <w:tcW w:w="242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6D548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财务负责人：熊莲英</w:t>
            </w:r>
          </w:p>
        </w:tc>
      </w:tr>
      <w:tr w14:paraId="12E55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68F0A29C">
            <w:pPr>
              <w:rPr>
                <w:rFonts w:hint="eastAsia" w:ascii="宋体" w:hAnsi="宋体" w:eastAsia="宋体" w:cs="宋体"/>
                <w:i w:val="0"/>
                <w:iCs w:val="0"/>
                <w:color w:val="000000"/>
                <w:sz w:val="18"/>
                <w:szCs w:val="18"/>
                <w:u w:val="none"/>
              </w:rPr>
            </w:pPr>
          </w:p>
        </w:tc>
        <w:tc>
          <w:tcPr>
            <w:tcW w:w="725" w:type="pct"/>
            <w:tcBorders>
              <w:top w:val="nil"/>
              <w:left w:val="nil"/>
              <w:bottom w:val="nil"/>
              <w:right w:val="nil"/>
            </w:tcBorders>
            <w:shd w:val="clear" w:color="auto" w:fill="auto"/>
            <w:vAlign w:val="center"/>
          </w:tcPr>
          <w:p w14:paraId="14E5C368">
            <w:pPr>
              <w:rPr>
                <w:rFonts w:hint="eastAsia" w:ascii="宋体" w:hAnsi="宋体" w:eastAsia="宋体" w:cs="宋体"/>
                <w:i w:val="0"/>
                <w:iCs w:val="0"/>
                <w:color w:val="000000"/>
                <w:sz w:val="18"/>
                <w:szCs w:val="18"/>
                <w:u w:val="none"/>
              </w:rPr>
            </w:pPr>
          </w:p>
        </w:tc>
        <w:tc>
          <w:tcPr>
            <w:tcW w:w="627" w:type="pct"/>
            <w:tcBorders>
              <w:top w:val="nil"/>
              <w:left w:val="nil"/>
              <w:bottom w:val="nil"/>
              <w:right w:val="nil"/>
            </w:tcBorders>
            <w:shd w:val="clear" w:color="auto" w:fill="auto"/>
            <w:vAlign w:val="center"/>
          </w:tcPr>
          <w:p w14:paraId="793CFF41">
            <w:pPr>
              <w:rPr>
                <w:rFonts w:hint="eastAsia" w:ascii="宋体" w:hAnsi="宋体" w:eastAsia="宋体" w:cs="宋体"/>
                <w:i w:val="0"/>
                <w:iCs w:val="0"/>
                <w:color w:val="000000"/>
                <w:sz w:val="18"/>
                <w:szCs w:val="18"/>
                <w:u w:val="none"/>
              </w:rPr>
            </w:pPr>
          </w:p>
        </w:tc>
        <w:tc>
          <w:tcPr>
            <w:tcW w:w="800" w:type="pct"/>
            <w:tcBorders>
              <w:top w:val="nil"/>
              <w:left w:val="nil"/>
              <w:bottom w:val="nil"/>
              <w:right w:val="nil"/>
            </w:tcBorders>
            <w:shd w:val="clear" w:color="auto" w:fill="auto"/>
            <w:vAlign w:val="center"/>
          </w:tcPr>
          <w:p w14:paraId="6561ABD0">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7354CABF">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1E27639D">
            <w:pPr>
              <w:rPr>
                <w:rFonts w:hint="eastAsia" w:ascii="宋体" w:hAnsi="宋体" w:eastAsia="宋体" w:cs="宋体"/>
                <w:i w:val="0"/>
                <w:iCs w:val="0"/>
                <w:color w:val="000000"/>
                <w:sz w:val="18"/>
                <w:szCs w:val="18"/>
                <w:u w:val="none"/>
              </w:rPr>
            </w:pPr>
          </w:p>
        </w:tc>
        <w:tc>
          <w:tcPr>
            <w:tcW w:w="185" w:type="pct"/>
            <w:tcBorders>
              <w:top w:val="nil"/>
              <w:left w:val="nil"/>
              <w:bottom w:val="nil"/>
              <w:right w:val="nil"/>
            </w:tcBorders>
            <w:shd w:val="clear" w:color="auto" w:fill="auto"/>
            <w:vAlign w:val="center"/>
          </w:tcPr>
          <w:p w14:paraId="55AC5311">
            <w:pPr>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auto"/>
            <w:vAlign w:val="center"/>
          </w:tcPr>
          <w:p w14:paraId="7335E5A4">
            <w:pPr>
              <w:rPr>
                <w:rFonts w:hint="eastAsia" w:ascii="宋体" w:hAnsi="宋体" w:eastAsia="宋体" w:cs="宋体"/>
                <w:i w:val="0"/>
                <w:iCs w:val="0"/>
                <w:color w:val="000000"/>
                <w:sz w:val="18"/>
                <w:szCs w:val="18"/>
                <w:u w:val="none"/>
              </w:rPr>
            </w:pPr>
          </w:p>
        </w:tc>
        <w:tc>
          <w:tcPr>
            <w:tcW w:w="187" w:type="pct"/>
            <w:tcBorders>
              <w:top w:val="nil"/>
              <w:left w:val="nil"/>
              <w:bottom w:val="nil"/>
              <w:right w:val="nil"/>
            </w:tcBorders>
            <w:shd w:val="clear" w:color="auto" w:fill="auto"/>
            <w:vAlign w:val="center"/>
          </w:tcPr>
          <w:p w14:paraId="22DFE329">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646A1883">
            <w:pPr>
              <w:rPr>
                <w:rFonts w:hint="eastAsia" w:ascii="宋体" w:hAnsi="宋体" w:eastAsia="宋体" w:cs="宋体"/>
                <w:i w:val="0"/>
                <w:iCs w:val="0"/>
                <w:color w:val="000000"/>
                <w:sz w:val="18"/>
                <w:szCs w:val="18"/>
                <w:u w:val="none"/>
              </w:rPr>
            </w:pPr>
          </w:p>
        </w:tc>
        <w:tc>
          <w:tcPr>
            <w:tcW w:w="905" w:type="pct"/>
            <w:tcBorders>
              <w:top w:val="nil"/>
              <w:left w:val="nil"/>
              <w:bottom w:val="nil"/>
              <w:right w:val="nil"/>
            </w:tcBorders>
            <w:shd w:val="clear" w:color="auto" w:fill="auto"/>
            <w:vAlign w:val="center"/>
          </w:tcPr>
          <w:p w14:paraId="16F4DC8A">
            <w:pPr>
              <w:rPr>
                <w:rFonts w:hint="eastAsia" w:ascii="宋体" w:hAnsi="宋体" w:eastAsia="宋体" w:cs="宋体"/>
                <w:i w:val="0"/>
                <w:iCs w:val="0"/>
                <w:color w:val="000000"/>
                <w:sz w:val="18"/>
                <w:szCs w:val="18"/>
                <w:u w:val="none"/>
              </w:rPr>
            </w:pPr>
          </w:p>
        </w:tc>
      </w:tr>
      <w:tr w14:paraId="656DF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5E61D4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46E1E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2B23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1C93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51323322T000006203818-基层医疗卫生机构能力建设项目</w:t>
            </w:r>
          </w:p>
        </w:tc>
      </w:tr>
      <w:tr w14:paraId="52807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6051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E8B1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6" w:type="pct"/>
            <w:tcBorders>
              <w:top w:val="nil"/>
              <w:left w:val="nil"/>
              <w:bottom w:val="nil"/>
              <w:right w:val="nil"/>
            </w:tcBorders>
            <w:shd w:val="clear" w:color="auto" w:fill="auto"/>
            <w:vAlign w:val="center"/>
          </w:tcPr>
          <w:p w14:paraId="58462FE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2A7A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红原县卫生健康局事业</w:t>
            </w:r>
          </w:p>
        </w:tc>
      </w:tr>
      <w:tr w14:paraId="69A63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80B3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4017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00EB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072C3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373D479">
        <w:tblPrEx>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50AAC">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17F49">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EF0A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为了提升卫生健康服务的质量和水平，满足人民群众日益增长的卫生健康需求，国家及各级政府部门积极推动卫生健康人才培养项目的实施。</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AD54C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为了提升卫生健康服务的质量和水平，满足人民群众日益增长的卫生健康需求，国家及各级政府部门积极推动卫生健康人才培养项目的实施。</w:t>
            </w:r>
          </w:p>
        </w:tc>
      </w:tr>
      <w:tr w14:paraId="4C30B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D51AE">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260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AF5F9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采用线上与线下相结合的方式，包括集中授课、小组讨论、案例分析、模拟演练、实地考察等多种形式。同时，提供在线学习资源，方便学员自主学习和巩固知识。</w:t>
            </w:r>
          </w:p>
        </w:tc>
      </w:tr>
      <w:tr w14:paraId="5B2A7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DDA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83B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F61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852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4CB8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7FF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01F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406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99D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65A6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FD826">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4E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886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E5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345.47</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296B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5.45</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BE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1.58%</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E8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BC3CB">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6ACAC1">
            <w:pPr>
              <w:rPr>
                <w:rFonts w:hint="eastAsia" w:ascii="黑体" w:hAnsi="黑体" w:eastAsia="黑体" w:cs="黑体"/>
                <w:i/>
                <w:iCs/>
                <w:color w:val="000000"/>
                <w:sz w:val="18"/>
                <w:szCs w:val="18"/>
                <w:u w:val="none"/>
              </w:rPr>
            </w:pPr>
          </w:p>
        </w:tc>
      </w:tr>
      <w:tr w14:paraId="61BB3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C6D3C">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5EF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097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9FA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345.47</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D5EC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5.45</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D18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1.58%</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505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76A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D08B4">
            <w:pPr>
              <w:rPr>
                <w:rFonts w:hint="eastAsia" w:ascii="黑体" w:hAnsi="黑体" w:eastAsia="黑体" w:cs="黑体"/>
                <w:i/>
                <w:iCs/>
                <w:color w:val="000000"/>
                <w:sz w:val="18"/>
                <w:szCs w:val="18"/>
                <w:u w:val="none"/>
              </w:rPr>
            </w:pPr>
          </w:p>
        </w:tc>
      </w:tr>
      <w:tr w14:paraId="21908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4E038">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D77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738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D7B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62EE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F92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D4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23D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4A325">
            <w:pPr>
              <w:rPr>
                <w:rFonts w:hint="eastAsia" w:ascii="黑体" w:hAnsi="黑体" w:eastAsia="黑体" w:cs="黑体"/>
                <w:i/>
                <w:iCs/>
                <w:color w:val="000000"/>
                <w:sz w:val="18"/>
                <w:szCs w:val="18"/>
                <w:u w:val="none"/>
              </w:rPr>
            </w:pPr>
          </w:p>
        </w:tc>
      </w:tr>
      <w:tr w14:paraId="5655A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0B82B">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959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BAD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52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7E44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160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8AB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D39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54B47">
            <w:pPr>
              <w:rPr>
                <w:rFonts w:hint="eastAsia" w:ascii="黑体" w:hAnsi="黑体" w:eastAsia="黑体" w:cs="黑体"/>
                <w:i/>
                <w:iCs/>
                <w:color w:val="000000"/>
                <w:sz w:val="18"/>
                <w:szCs w:val="18"/>
                <w:u w:val="none"/>
              </w:rPr>
            </w:pPr>
          </w:p>
        </w:tc>
      </w:tr>
      <w:tr w14:paraId="38DB1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0DDB3">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451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7C6BD">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D5398">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189E31">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C8B1B">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F34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BE1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3D67F">
            <w:pPr>
              <w:rPr>
                <w:rFonts w:hint="eastAsia" w:ascii="黑体" w:hAnsi="黑体" w:eastAsia="黑体" w:cs="黑体"/>
                <w:i/>
                <w:iCs/>
                <w:color w:val="000000"/>
                <w:sz w:val="18"/>
                <w:szCs w:val="18"/>
                <w:u w:val="none"/>
              </w:rPr>
            </w:pPr>
          </w:p>
        </w:tc>
      </w:tr>
      <w:tr w14:paraId="6B02A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D1C8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247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67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8EC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542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32C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B02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9FB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E02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9BC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D8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C12E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2554C">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4E8C5">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F0480">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D0778">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C72EA">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F6C1B">
            <w:pPr>
              <w:jc w:val="center"/>
              <w:rPr>
                <w:rFonts w:hint="eastAsia" w:ascii="宋体" w:hAnsi="宋体" w:eastAsia="宋体" w:cs="宋体"/>
                <w:i w:val="0"/>
                <w:iCs w:val="0"/>
                <w:color w:val="000000"/>
                <w:sz w:val="18"/>
                <w:szCs w:val="18"/>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4603B">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9040D">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42F8A">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4F555">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B79D7">
            <w:pPr>
              <w:jc w:val="center"/>
              <w:rPr>
                <w:rFonts w:hint="eastAsia" w:ascii="微软雅黑" w:hAnsi="微软雅黑" w:eastAsia="微软雅黑" w:cs="微软雅黑"/>
                <w:i/>
                <w:iCs/>
                <w:color w:val="000000"/>
                <w:sz w:val="16"/>
                <w:szCs w:val="16"/>
                <w:u w:val="none"/>
              </w:rPr>
            </w:pPr>
          </w:p>
        </w:tc>
      </w:tr>
      <w:tr w14:paraId="2AF36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4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AB872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5A8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953C1">
            <w:pP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E563D">
            <w:pPr>
              <w:rPr>
                <w:rFonts w:hint="eastAsia" w:ascii="宋体" w:hAnsi="宋体" w:eastAsia="宋体" w:cs="宋体"/>
                <w:i w:val="0"/>
                <w:iCs w:val="0"/>
                <w:color w:val="000000"/>
                <w:sz w:val="18"/>
                <w:szCs w:val="18"/>
                <w:u w:val="none"/>
              </w:rPr>
            </w:pPr>
          </w:p>
        </w:tc>
      </w:tr>
      <w:tr w14:paraId="36D51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6F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12B7C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通过系统的培训和考核，卫生健康人才的专业技能和知识水平得到了显著提升。他们不仅掌握了先进的卫生健康理论知识和实践技能，还具备了独立处理常见疾病和健康问题的能力。</w:t>
            </w:r>
          </w:p>
        </w:tc>
      </w:tr>
      <w:tr w14:paraId="76BF2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AC2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9E3AF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外派培训人员少</w:t>
            </w:r>
          </w:p>
        </w:tc>
      </w:tr>
      <w:tr w14:paraId="6987B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AF1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A489C6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争取培训的机会</w:t>
            </w:r>
          </w:p>
        </w:tc>
      </w:tr>
      <w:tr w14:paraId="2BF5C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DB616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项目负责人：张萌</w:t>
            </w:r>
          </w:p>
        </w:tc>
        <w:tc>
          <w:tcPr>
            <w:tcW w:w="242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DF067F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财务负责人：熊莲英</w:t>
            </w:r>
          </w:p>
        </w:tc>
      </w:tr>
      <w:tr w14:paraId="28C23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546436AB">
            <w:pPr>
              <w:rPr>
                <w:rFonts w:hint="eastAsia" w:ascii="宋体" w:hAnsi="宋体" w:eastAsia="宋体" w:cs="宋体"/>
                <w:i w:val="0"/>
                <w:iCs w:val="0"/>
                <w:color w:val="000000"/>
                <w:sz w:val="18"/>
                <w:szCs w:val="18"/>
                <w:u w:val="none"/>
              </w:rPr>
            </w:pPr>
          </w:p>
        </w:tc>
        <w:tc>
          <w:tcPr>
            <w:tcW w:w="725" w:type="pct"/>
            <w:tcBorders>
              <w:top w:val="nil"/>
              <w:left w:val="nil"/>
              <w:bottom w:val="nil"/>
              <w:right w:val="nil"/>
            </w:tcBorders>
            <w:shd w:val="clear" w:color="auto" w:fill="auto"/>
            <w:vAlign w:val="center"/>
          </w:tcPr>
          <w:p w14:paraId="729BD826">
            <w:pPr>
              <w:rPr>
                <w:rFonts w:hint="eastAsia" w:ascii="宋体" w:hAnsi="宋体" w:eastAsia="宋体" w:cs="宋体"/>
                <w:i w:val="0"/>
                <w:iCs w:val="0"/>
                <w:color w:val="000000"/>
                <w:sz w:val="18"/>
                <w:szCs w:val="18"/>
                <w:u w:val="none"/>
              </w:rPr>
            </w:pPr>
          </w:p>
        </w:tc>
        <w:tc>
          <w:tcPr>
            <w:tcW w:w="627" w:type="pct"/>
            <w:tcBorders>
              <w:top w:val="nil"/>
              <w:left w:val="nil"/>
              <w:bottom w:val="nil"/>
              <w:right w:val="nil"/>
            </w:tcBorders>
            <w:shd w:val="clear" w:color="auto" w:fill="auto"/>
            <w:vAlign w:val="center"/>
          </w:tcPr>
          <w:p w14:paraId="4C359CFD">
            <w:pPr>
              <w:rPr>
                <w:rFonts w:hint="eastAsia" w:ascii="宋体" w:hAnsi="宋体" w:eastAsia="宋体" w:cs="宋体"/>
                <w:i w:val="0"/>
                <w:iCs w:val="0"/>
                <w:color w:val="000000"/>
                <w:sz w:val="18"/>
                <w:szCs w:val="18"/>
                <w:u w:val="none"/>
              </w:rPr>
            </w:pPr>
          </w:p>
        </w:tc>
        <w:tc>
          <w:tcPr>
            <w:tcW w:w="800" w:type="pct"/>
            <w:tcBorders>
              <w:top w:val="nil"/>
              <w:left w:val="nil"/>
              <w:bottom w:val="nil"/>
              <w:right w:val="nil"/>
            </w:tcBorders>
            <w:shd w:val="clear" w:color="auto" w:fill="auto"/>
            <w:vAlign w:val="center"/>
          </w:tcPr>
          <w:p w14:paraId="47E7D8CE">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6D0127B3">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4151AF7C">
            <w:pPr>
              <w:rPr>
                <w:rFonts w:hint="eastAsia" w:ascii="宋体" w:hAnsi="宋体" w:eastAsia="宋体" w:cs="宋体"/>
                <w:i w:val="0"/>
                <w:iCs w:val="0"/>
                <w:color w:val="000000"/>
                <w:sz w:val="18"/>
                <w:szCs w:val="18"/>
                <w:u w:val="none"/>
              </w:rPr>
            </w:pPr>
          </w:p>
        </w:tc>
        <w:tc>
          <w:tcPr>
            <w:tcW w:w="185" w:type="pct"/>
            <w:tcBorders>
              <w:top w:val="nil"/>
              <w:left w:val="nil"/>
              <w:bottom w:val="nil"/>
              <w:right w:val="nil"/>
            </w:tcBorders>
            <w:shd w:val="clear" w:color="auto" w:fill="auto"/>
            <w:vAlign w:val="center"/>
          </w:tcPr>
          <w:p w14:paraId="3054C64F">
            <w:pPr>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auto"/>
            <w:vAlign w:val="center"/>
          </w:tcPr>
          <w:p w14:paraId="0F1B8828">
            <w:pPr>
              <w:rPr>
                <w:rFonts w:hint="eastAsia" w:ascii="宋体" w:hAnsi="宋体" w:eastAsia="宋体" w:cs="宋体"/>
                <w:i w:val="0"/>
                <w:iCs w:val="0"/>
                <w:color w:val="000000"/>
                <w:sz w:val="18"/>
                <w:szCs w:val="18"/>
                <w:u w:val="none"/>
              </w:rPr>
            </w:pPr>
          </w:p>
        </w:tc>
        <w:tc>
          <w:tcPr>
            <w:tcW w:w="187" w:type="pct"/>
            <w:tcBorders>
              <w:top w:val="nil"/>
              <w:left w:val="nil"/>
              <w:bottom w:val="nil"/>
              <w:right w:val="nil"/>
            </w:tcBorders>
            <w:shd w:val="clear" w:color="auto" w:fill="auto"/>
            <w:vAlign w:val="center"/>
          </w:tcPr>
          <w:p w14:paraId="13E3254C">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27F194C7">
            <w:pPr>
              <w:rPr>
                <w:rFonts w:hint="eastAsia" w:ascii="宋体" w:hAnsi="宋体" w:eastAsia="宋体" w:cs="宋体"/>
                <w:i w:val="0"/>
                <w:iCs w:val="0"/>
                <w:color w:val="000000"/>
                <w:sz w:val="18"/>
                <w:szCs w:val="18"/>
                <w:u w:val="none"/>
              </w:rPr>
            </w:pPr>
          </w:p>
        </w:tc>
        <w:tc>
          <w:tcPr>
            <w:tcW w:w="905" w:type="pct"/>
            <w:tcBorders>
              <w:top w:val="nil"/>
              <w:left w:val="nil"/>
              <w:bottom w:val="nil"/>
              <w:right w:val="nil"/>
            </w:tcBorders>
            <w:shd w:val="clear" w:color="auto" w:fill="auto"/>
            <w:vAlign w:val="center"/>
          </w:tcPr>
          <w:p w14:paraId="0054C740">
            <w:pPr>
              <w:rPr>
                <w:rFonts w:hint="eastAsia" w:ascii="宋体" w:hAnsi="宋体" w:eastAsia="宋体" w:cs="宋体"/>
                <w:i w:val="0"/>
                <w:iCs w:val="0"/>
                <w:color w:val="000000"/>
                <w:sz w:val="18"/>
                <w:szCs w:val="18"/>
                <w:u w:val="none"/>
              </w:rPr>
            </w:pPr>
          </w:p>
        </w:tc>
      </w:tr>
      <w:tr w14:paraId="08BC0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44333E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440BD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E5A7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8B0B7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51323322T000006566861-基本公卫</w:t>
            </w:r>
          </w:p>
        </w:tc>
      </w:tr>
      <w:tr w14:paraId="4D20E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C71B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770B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6" w:type="pct"/>
            <w:tcBorders>
              <w:top w:val="nil"/>
              <w:left w:val="nil"/>
              <w:bottom w:val="nil"/>
              <w:right w:val="nil"/>
            </w:tcBorders>
            <w:shd w:val="clear" w:color="auto" w:fill="auto"/>
            <w:vAlign w:val="center"/>
          </w:tcPr>
          <w:p w14:paraId="3C5D4A4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E05C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红原县卫生健康局事业</w:t>
            </w:r>
          </w:p>
        </w:tc>
      </w:tr>
      <w:tr w14:paraId="5D591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272B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7C62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65E7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72C57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3E89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690E7">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D1C0C">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2582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乡镇卫生院开展基本公共卫生服务，包括建立居民健康档案，预防接种、传染病防治、高血压糖尿病等慢性病管理重型精神病管理、儿童保健、孕产妇保健、老年人保健；协助处置突发公共卫生事件。开展基本公共卫生服产生的办公费，邮电费等支出。</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4E356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基本公共卫生服务十二项稳步推进。居民健康档案不断完善，健康教育广泛开展，预防接种有序进行。慢性病、孕产妇、儿童等重点人群管理到位，各项服务有效提升了居民健康水平，为保障公众健康发挥积极作用。</w:t>
            </w:r>
          </w:p>
        </w:tc>
      </w:tr>
      <w:tr w14:paraId="7BCA8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21731">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552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9B30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本公共卫生服务十二项包括居民健康档案管理、健康教育、预防接种、儿童健康管理、孕产妇健康、老年人健康管理、慢性病健康管理、严重精神障碍患者健康管理、肺结核健康管理、中医药健康管理、传染病和突发公共卫生事件，卫生计生监督协管等。</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在实施过程中，为居民建立健康档案，通过多种形式开展健康教育。规范预防接种流程，保障儿童及成人免疫。对重点人群如孕产妇、老年人、慢性病患者进行管理和随访等，确保各项服务落实到位。</w:t>
            </w:r>
          </w:p>
        </w:tc>
      </w:tr>
      <w:tr w14:paraId="1E623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E4EF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DA1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25A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610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6A97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97E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BD9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7E5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215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253B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DC29D">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915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496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F03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445.70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0023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439.04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3CA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98.51%</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999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B5EDD">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C31D83">
            <w:pPr>
              <w:rPr>
                <w:rFonts w:hint="eastAsia" w:ascii="黑体" w:hAnsi="黑体" w:eastAsia="黑体" w:cs="黑体"/>
                <w:i/>
                <w:iCs/>
                <w:color w:val="000000"/>
                <w:sz w:val="18"/>
                <w:szCs w:val="18"/>
                <w:u w:val="none"/>
              </w:rPr>
            </w:pPr>
          </w:p>
        </w:tc>
      </w:tr>
      <w:tr w14:paraId="786D9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1D494">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3C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ADE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A62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445.70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67A7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439.04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415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98.51%</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05E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CCF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E711B">
            <w:pPr>
              <w:rPr>
                <w:rFonts w:hint="eastAsia" w:ascii="黑体" w:hAnsi="黑体" w:eastAsia="黑体" w:cs="黑体"/>
                <w:i/>
                <w:iCs/>
                <w:color w:val="000000"/>
                <w:sz w:val="18"/>
                <w:szCs w:val="18"/>
                <w:u w:val="none"/>
              </w:rPr>
            </w:pPr>
          </w:p>
        </w:tc>
      </w:tr>
      <w:tr w14:paraId="0AF45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0F03C">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405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38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103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9B05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564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DEF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06B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7960C">
            <w:pPr>
              <w:rPr>
                <w:rFonts w:hint="eastAsia" w:ascii="黑体" w:hAnsi="黑体" w:eastAsia="黑体" w:cs="黑体"/>
                <w:i/>
                <w:iCs/>
                <w:color w:val="000000"/>
                <w:sz w:val="18"/>
                <w:szCs w:val="18"/>
                <w:u w:val="none"/>
              </w:rPr>
            </w:pPr>
          </w:p>
        </w:tc>
      </w:tr>
      <w:tr w14:paraId="7008F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17D87">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84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11B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261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C04D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11F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8A1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F0B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079FB">
            <w:pPr>
              <w:rPr>
                <w:rFonts w:hint="eastAsia" w:ascii="黑体" w:hAnsi="黑体" w:eastAsia="黑体" w:cs="黑体"/>
                <w:i/>
                <w:iCs/>
                <w:color w:val="000000"/>
                <w:sz w:val="18"/>
                <w:szCs w:val="18"/>
                <w:u w:val="none"/>
              </w:rPr>
            </w:pPr>
          </w:p>
        </w:tc>
      </w:tr>
      <w:tr w14:paraId="51C07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425E6">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047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0E0F3">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EA6E7">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A7AEBA">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9C8C9">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A4B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B85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2A64F">
            <w:pPr>
              <w:rPr>
                <w:rFonts w:hint="eastAsia" w:ascii="黑体" w:hAnsi="黑体" w:eastAsia="黑体" w:cs="黑体"/>
                <w:i/>
                <w:iCs/>
                <w:color w:val="000000"/>
                <w:sz w:val="18"/>
                <w:szCs w:val="18"/>
                <w:u w:val="none"/>
              </w:rPr>
            </w:pPr>
          </w:p>
        </w:tc>
      </w:tr>
      <w:tr w14:paraId="6D664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F0FC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B2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975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56C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6D0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6DB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204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26A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04F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F3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901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EA1C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C9837">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7E7DB">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FB332">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A3D71">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A187D">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58FDB">
            <w:pPr>
              <w:jc w:val="center"/>
              <w:rPr>
                <w:rFonts w:hint="eastAsia" w:ascii="宋体" w:hAnsi="宋体" w:eastAsia="宋体" w:cs="宋体"/>
                <w:i w:val="0"/>
                <w:iCs w:val="0"/>
                <w:color w:val="000000"/>
                <w:sz w:val="18"/>
                <w:szCs w:val="18"/>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5581F">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627CF">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7C2D5">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EC0DF">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AA6F3">
            <w:pPr>
              <w:jc w:val="center"/>
              <w:rPr>
                <w:rFonts w:hint="eastAsia" w:ascii="微软雅黑" w:hAnsi="微软雅黑" w:eastAsia="微软雅黑" w:cs="微软雅黑"/>
                <w:i/>
                <w:iCs/>
                <w:color w:val="000000"/>
                <w:sz w:val="16"/>
                <w:szCs w:val="16"/>
                <w:u w:val="none"/>
              </w:rPr>
            </w:pPr>
          </w:p>
        </w:tc>
      </w:tr>
      <w:tr w14:paraId="0914C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4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5954C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773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EB2A3">
            <w:pP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37ACB">
            <w:pPr>
              <w:rPr>
                <w:rFonts w:hint="eastAsia" w:ascii="宋体" w:hAnsi="宋体" w:eastAsia="宋体" w:cs="宋体"/>
                <w:i w:val="0"/>
                <w:iCs w:val="0"/>
                <w:color w:val="000000"/>
                <w:sz w:val="18"/>
                <w:szCs w:val="18"/>
                <w:u w:val="none"/>
              </w:rPr>
            </w:pPr>
          </w:p>
        </w:tc>
      </w:tr>
      <w:tr w14:paraId="5D3C9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7EA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481FF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基本公共卫生服务十二项整体成效显著。居民健康档案为医疗决策提供有力依据；健康教育提升民众健康意识；预防接种构筑免疫屏障。各重点人群管理有效降低疾病风险，促进了居民健康水平提升，对公共卫生事业发展意义重大。</w:t>
            </w:r>
          </w:p>
        </w:tc>
      </w:tr>
      <w:tr w14:paraId="6C3E2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D4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6D9EB8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高血压、二型糖尿病管理率未达标</w:t>
            </w:r>
          </w:p>
        </w:tc>
      </w:tr>
      <w:tr w14:paraId="08D8B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8A7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E6650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督促各乡镇加大筛查力度，通过入户收集发现患者，县指导中心通过县级医疗机构收集辖区内确诊患者，各乡镇核实并纳入管理</w:t>
            </w:r>
          </w:p>
        </w:tc>
      </w:tr>
      <w:tr w14:paraId="201E4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ADDF3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项目负责人：张燕</w:t>
            </w:r>
          </w:p>
        </w:tc>
        <w:tc>
          <w:tcPr>
            <w:tcW w:w="242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FDEE2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财务负责人：熊莲英</w:t>
            </w:r>
          </w:p>
        </w:tc>
      </w:tr>
      <w:tr w14:paraId="40113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2FD01B4D">
            <w:pPr>
              <w:rPr>
                <w:rFonts w:hint="eastAsia" w:ascii="宋体" w:hAnsi="宋体" w:eastAsia="宋体" w:cs="宋体"/>
                <w:i w:val="0"/>
                <w:iCs w:val="0"/>
                <w:color w:val="000000"/>
                <w:sz w:val="18"/>
                <w:szCs w:val="18"/>
                <w:u w:val="none"/>
              </w:rPr>
            </w:pPr>
          </w:p>
        </w:tc>
        <w:tc>
          <w:tcPr>
            <w:tcW w:w="725" w:type="pct"/>
            <w:tcBorders>
              <w:top w:val="nil"/>
              <w:left w:val="nil"/>
              <w:bottom w:val="nil"/>
              <w:right w:val="nil"/>
            </w:tcBorders>
            <w:shd w:val="clear" w:color="auto" w:fill="auto"/>
            <w:vAlign w:val="center"/>
          </w:tcPr>
          <w:p w14:paraId="4F0A1360">
            <w:pPr>
              <w:rPr>
                <w:rFonts w:hint="eastAsia" w:ascii="宋体" w:hAnsi="宋体" w:eastAsia="宋体" w:cs="宋体"/>
                <w:i w:val="0"/>
                <w:iCs w:val="0"/>
                <w:color w:val="000000"/>
                <w:sz w:val="18"/>
                <w:szCs w:val="18"/>
                <w:u w:val="none"/>
              </w:rPr>
            </w:pPr>
          </w:p>
        </w:tc>
        <w:tc>
          <w:tcPr>
            <w:tcW w:w="627" w:type="pct"/>
            <w:tcBorders>
              <w:top w:val="nil"/>
              <w:left w:val="nil"/>
              <w:bottom w:val="nil"/>
              <w:right w:val="nil"/>
            </w:tcBorders>
            <w:shd w:val="clear" w:color="auto" w:fill="auto"/>
            <w:vAlign w:val="center"/>
          </w:tcPr>
          <w:p w14:paraId="36852D07">
            <w:pPr>
              <w:rPr>
                <w:rFonts w:hint="eastAsia" w:ascii="宋体" w:hAnsi="宋体" w:eastAsia="宋体" w:cs="宋体"/>
                <w:i w:val="0"/>
                <w:iCs w:val="0"/>
                <w:color w:val="000000"/>
                <w:sz w:val="18"/>
                <w:szCs w:val="18"/>
                <w:u w:val="none"/>
              </w:rPr>
            </w:pPr>
          </w:p>
        </w:tc>
        <w:tc>
          <w:tcPr>
            <w:tcW w:w="800" w:type="pct"/>
            <w:tcBorders>
              <w:top w:val="nil"/>
              <w:left w:val="nil"/>
              <w:bottom w:val="nil"/>
              <w:right w:val="nil"/>
            </w:tcBorders>
            <w:shd w:val="clear" w:color="auto" w:fill="auto"/>
            <w:vAlign w:val="center"/>
          </w:tcPr>
          <w:p w14:paraId="71C29386">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0A6FF78A">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25CD4A25">
            <w:pPr>
              <w:rPr>
                <w:rFonts w:hint="eastAsia" w:ascii="宋体" w:hAnsi="宋体" w:eastAsia="宋体" w:cs="宋体"/>
                <w:i w:val="0"/>
                <w:iCs w:val="0"/>
                <w:color w:val="000000"/>
                <w:sz w:val="18"/>
                <w:szCs w:val="18"/>
                <w:u w:val="none"/>
              </w:rPr>
            </w:pPr>
          </w:p>
        </w:tc>
        <w:tc>
          <w:tcPr>
            <w:tcW w:w="185" w:type="pct"/>
            <w:tcBorders>
              <w:top w:val="nil"/>
              <w:left w:val="nil"/>
              <w:bottom w:val="nil"/>
              <w:right w:val="nil"/>
            </w:tcBorders>
            <w:shd w:val="clear" w:color="auto" w:fill="auto"/>
            <w:vAlign w:val="center"/>
          </w:tcPr>
          <w:p w14:paraId="55DC1874">
            <w:pPr>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auto"/>
            <w:vAlign w:val="center"/>
          </w:tcPr>
          <w:p w14:paraId="5A322F5C">
            <w:pPr>
              <w:rPr>
                <w:rFonts w:hint="eastAsia" w:ascii="宋体" w:hAnsi="宋体" w:eastAsia="宋体" w:cs="宋体"/>
                <w:i w:val="0"/>
                <w:iCs w:val="0"/>
                <w:color w:val="000000"/>
                <w:sz w:val="18"/>
                <w:szCs w:val="18"/>
                <w:u w:val="none"/>
              </w:rPr>
            </w:pPr>
          </w:p>
        </w:tc>
        <w:tc>
          <w:tcPr>
            <w:tcW w:w="187" w:type="pct"/>
            <w:tcBorders>
              <w:top w:val="nil"/>
              <w:left w:val="nil"/>
              <w:bottom w:val="nil"/>
              <w:right w:val="nil"/>
            </w:tcBorders>
            <w:shd w:val="clear" w:color="auto" w:fill="auto"/>
            <w:vAlign w:val="center"/>
          </w:tcPr>
          <w:p w14:paraId="2DB1DF4E">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320CEDD3">
            <w:pPr>
              <w:rPr>
                <w:rFonts w:hint="eastAsia" w:ascii="宋体" w:hAnsi="宋体" w:eastAsia="宋体" w:cs="宋体"/>
                <w:i w:val="0"/>
                <w:iCs w:val="0"/>
                <w:color w:val="000000"/>
                <w:sz w:val="18"/>
                <w:szCs w:val="18"/>
                <w:u w:val="none"/>
              </w:rPr>
            </w:pPr>
          </w:p>
        </w:tc>
        <w:tc>
          <w:tcPr>
            <w:tcW w:w="905" w:type="pct"/>
            <w:tcBorders>
              <w:top w:val="nil"/>
              <w:left w:val="nil"/>
              <w:bottom w:val="nil"/>
              <w:right w:val="nil"/>
            </w:tcBorders>
            <w:shd w:val="clear" w:color="auto" w:fill="auto"/>
            <w:vAlign w:val="center"/>
          </w:tcPr>
          <w:p w14:paraId="07B08C02">
            <w:pPr>
              <w:rPr>
                <w:rFonts w:hint="eastAsia" w:ascii="宋体" w:hAnsi="宋体" w:eastAsia="宋体" w:cs="宋体"/>
                <w:i w:val="0"/>
                <w:iCs w:val="0"/>
                <w:color w:val="000000"/>
                <w:sz w:val="18"/>
                <w:szCs w:val="18"/>
                <w:u w:val="none"/>
              </w:rPr>
            </w:pPr>
          </w:p>
        </w:tc>
      </w:tr>
      <w:tr w14:paraId="69159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45F81A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512E9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EC71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5B7F6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51323322T000006664548-疫情防控工作经费</w:t>
            </w:r>
          </w:p>
        </w:tc>
      </w:tr>
      <w:tr w14:paraId="76FC5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EEDE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6254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6" w:type="pct"/>
            <w:tcBorders>
              <w:top w:val="nil"/>
              <w:left w:val="nil"/>
              <w:bottom w:val="nil"/>
              <w:right w:val="nil"/>
            </w:tcBorders>
            <w:shd w:val="clear" w:color="auto" w:fill="auto"/>
            <w:vAlign w:val="center"/>
          </w:tcPr>
          <w:p w14:paraId="0D3BC69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269D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红原县卫生健康局事业</w:t>
            </w:r>
          </w:p>
        </w:tc>
      </w:tr>
      <w:tr w14:paraId="30191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EB20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45CB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B0B5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E087D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3E6B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A9B51">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9AC09">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FF3E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提供充足的医疗资源，确保足够的物资储备（如口罩、防护服等）。2、加强疫情监测与报告，确保对疫情的监测和报告能够及时准确，以便采取相应的防控措施。3、加强核酸监测工作，加大对人员的核酸检测，并确保社会局面的安全性和有效性。4、保障经济有序发展和社会稳定。</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55131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提供充足的医疗资源，确保足够的物资储备（如口罩、防护服等）。2、加强疫情监测与报告，确保对疫情的监测和报告能够及时准确，以便采取相应的防控措施。3、加强核酸监测工作，加大对人员的核酸检测，并确保社会局面的安全性和有效性。4、保障经济有序发展和社会稳定。</w:t>
            </w:r>
          </w:p>
        </w:tc>
      </w:tr>
      <w:tr w14:paraId="3D5EC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C402F">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E597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C4ECB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采购充足的医疗资源，确保足够的物资储备（如口罩、防护服等）。2、疫情监测与报告及时上报，确保对疫情的监测和报告能够及时准确，以便采取相应的防控措施。3、疫情爆发期间采购充足的核酸检测材料，应对全员核酸监测工作，加大对人员的核酸检测，并确保社会局面的安全性和有效性。</w:t>
            </w:r>
          </w:p>
        </w:tc>
      </w:tr>
      <w:tr w14:paraId="3272F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36D7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663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72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DDD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5E55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73E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C08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9D4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78E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4FF0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96A45">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356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A67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5E1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117.28</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3E62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104.24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CF5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88.88%</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4A3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99DF9">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DE24B4">
            <w:pPr>
              <w:rPr>
                <w:rFonts w:hint="eastAsia" w:ascii="黑体" w:hAnsi="黑体" w:eastAsia="黑体" w:cs="黑体"/>
                <w:i/>
                <w:iCs/>
                <w:color w:val="000000"/>
                <w:sz w:val="18"/>
                <w:szCs w:val="18"/>
                <w:u w:val="none"/>
              </w:rPr>
            </w:pPr>
          </w:p>
        </w:tc>
      </w:tr>
      <w:tr w14:paraId="72ECE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9A126">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585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935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BE6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117.28</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FD6B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104.24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2C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88.88%</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CE7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9B0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C2DF7">
            <w:pPr>
              <w:rPr>
                <w:rFonts w:hint="eastAsia" w:ascii="黑体" w:hAnsi="黑体" w:eastAsia="黑体" w:cs="黑体"/>
                <w:i/>
                <w:iCs/>
                <w:color w:val="000000"/>
                <w:sz w:val="18"/>
                <w:szCs w:val="18"/>
                <w:u w:val="none"/>
              </w:rPr>
            </w:pPr>
          </w:p>
        </w:tc>
      </w:tr>
      <w:tr w14:paraId="2CEB0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4589F">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7E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9CA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DE6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D449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D4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B20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C1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43357">
            <w:pPr>
              <w:rPr>
                <w:rFonts w:hint="eastAsia" w:ascii="黑体" w:hAnsi="黑体" w:eastAsia="黑体" w:cs="黑体"/>
                <w:i/>
                <w:iCs/>
                <w:color w:val="000000"/>
                <w:sz w:val="18"/>
                <w:szCs w:val="18"/>
                <w:u w:val="none"/>
              </w:rPr>
            </w:pPr>
          </w:p>
        </w:tc>
      </w:tr>
      <w:tr w14:paraId="3033A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8689A">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B59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7A5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125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C2DF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326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552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528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26EC1">
            <w:pPr>
              <w:rPr>
                <w:rFonts w:hint="eastAsia" w:ascii="黑体" w:hAnsi="黑体" w:eastAsia="黑体" w:cs="黑体"/>
                <w:i/>
                <w:iCs/>
                <w:color w:val="000000"/>
                <w:sz w:val="18"/>
                <w:szCs w:val="18"/>
                <w:u w:val="none"/>
              </w:rPr>
            </w:pPr>
          </w:p>
        </w:tc>
      </w:tr>
      <w:tr w14:paraId="345DC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09F57">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F4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804B4">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4611B">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4738C1">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70F42">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954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A20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EF7FB">
            <w:pPr>
              <w:rPr>
                <w:rFonts w:hint="eastAsia" w:ascii="黑体" w:hAnsi="黑体" w:eastAsia="黑体" w:cs="黑体"/>
                <w:i/>
                <w:iCs/>
                <w:color w:val="000000"/>
                <w:sz w:val="18"/>
                <w:szCs w:val="18"/>
                <w:u w:val="none"/>
              </w:rPr>
            </w:pPr>
          </w:p>
        </w:tc>
      </w:tr>
      <w:tr w14:paraId="7BB3E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C3A0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EF2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6FB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830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1B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07E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939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DC7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93C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4C2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1D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B9F0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48F50">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6A58D">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AE817">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24844">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B2504">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FFFF3">
            <w:pPr>
              <w:jc w:val="center"/>
              <w:rPr>
                <w:rFonts w:hint="eastAsia" w:ascii="宋体" w:hAnsi="宋体" w:eastAsia="宋体" w:cs="宋体"/>
                <w:i w:val="0"/>
                <w:iCs w:val="0"/>
                <w:color w:val="000000"/>
                <w:sz w:val="18"/>
                <w:szCs w:val="18"/>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701EB">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056E5">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035E1">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EA89F">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9744A">
            <w:pPr>
              <w:jc w:val="center"/>
              <w:rPr>
                <w:rFonts w:hint="eastAsia" w:ascii="微软雅黑" w:hAnsi="微软雅黑" w:eastAsia="微软雅黑" w:cs="微软雅黑"/>
                <w:i/>
                <w:iCs/>
                <w:color w:val="000000"/>
                <w:sz w:val="16"/>
                <w:szCs w:val="16"/>
                <w:u w:val="none"/>
              </w:rPr>
            </w:pPr>
          </w:p>
        </w:tc>
      </w:tr>
      <w:tr w14:paraId="1B614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4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180F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321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C1567">
            <w:pP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AA367">
            <w:pPr>
              <w:rPr>
                <w:rFonts w:hint="eastAsia" w:ascii="宋体" w:hAnsi="宋体" w:eastAsia="宋体" w:cs="宋体"/>
                <w:i w:val="0"/>
                <w:iCs w:val="0"/>
                <w:color w:val="000000"/>
                <w:sz w:val="18"/>
                <w:szCs w:val="18"/>
                <w:u w:val="none"/>
              </w:rPr>
            </w:pPr>
          </w:p>
        </w:tc>
      </w:tr>
      <w:tr w14:paraId="27CBF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E62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16AA6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提供充足的医疗资源，确保足够的物资储备（如口罩、防护服等）。2、加强疫情监测与报告，确保对疫情的监测和报告能够及时准确，以便采取相应的防控措施。3、加强核酸监测工作，加大对人员的核酸检测，并确保社会局面的安全性和有效性。4、保障经济有序发展和社会稳定。</w:t>
            </w:r>
          </w:p>
        </w:tc>
      </w:tr>
      <w:tr w14:paraId="1075B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205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D4206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B44D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3A9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1AE15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EA12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14911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项目负责人：周礼全</w:t>
            </w:r>
          </w:p>
        </w:tc>
        <w:tc>
          <w:tcPr>
            <w:tcW w:w="242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BDBBFE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财务负责人：熊莲英</w:t>
            </w:r>
          </w:p>
        </w:tc>
      </w:tr>
      <w:tr w14:paraId="5B73C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59F3B61E">
            <w:pPr>
              <w:rPr>
                <w:rFonts w:hint="eastAsia" w:ascii="宋体" w:hAnsi="宋体" w:eastAsia="宋体" w:cs="宋体"/>
                <w:i w:val="0"/>
                <w:iCs w:val="0"/>
                <w:color w:val="000000"/>
                <w:sz w:val="18"/>
                <w:szCs w:val="18"/>
                <w:u w:val="none"/>
              </w:rPr>
            </w:pPr>
          </w:p>
        </w:tc>
        <w:tc>
          <w:tcPr>
            <w:tcW w:w="725" w:type="pct"/>
            <w:tcBorders>
              <w:top w:val="nil"/>
              <w:left w:val="nil"/>
              <w:bottom w:val="nil"/>
              <w:right w:val="nil"/>
            </w:tcBorders>
            <w:shd w:val="clear" w:color="auto" w:fill="auto"/>
            <w:vAlign w:val="center"/>
          </w:tcPr>
          <w:p w14:paraId="367AA4C5">
            <w:pPr>
              <w:rPr>
                <w:rFonts w:hint="eastAsia" w:ascii="宋体" w:hAnsi="宋体" w:eastAsia="宋体" w:cs="宋体"/>
                <w:i w:val="0"/>
                <w:iCs w:val="0"/>
                <w:color w:val="000000"/>
                <w:sz w:val="18"/>
                <w:szCs w:val="18"/>
                <w:u w:val="none"/>
              </w:rPr>
            </w:pPr>
          </w:p>
        </w:tc>
        <w:tc>
          <w:tcPr>
            <w:tcW w:w="627" w:type="pct"/>
            <w:tcBorders>
              <w:top w:val="nil"/>
              <w:left w:val="nil"/>
              <w:bottom w:val="nil"/>
              <w:right w:val="nil"/>
            </w:tcBorders>
            <w:shd w:val="clear" w:color="auto" w:fill="auto"/>
            <w:vAlign w:val="center"/>
          </w:tcPr>
          <w:p w14:paraId="1DF59510">
            <w:pPr>
              <w:rPr>
                <w:rFonts w:hint="eastAsia" w:ascii="宋体" w:hAnsi="宋体" w:eastAsia="宋体" w:cs="宋体"/>
                <w:i w:val="0"/>
                <w:iCs w:val="0"/>
                <w:color w:val="000000"/>
                <w:sz w:val="18"/>
                <w:szCs w:val="18"/>
                <w:u w:val="none"/>
              </w:rPr>
            </w:pPr>
          </w:p>
        </w:tc>
        <w:tc>
          <w:tcPr>
            <w:tcW w:w="800" w:type="pct"/>
            <w:tcBorders>
              <w:top w:val="nil"/>
              <w:left w:val="nil"/>
              <w:bottom w:val="nil"/>
              <w:right w:val="nil"/>
            </w:tcBorders>
            <w:shd w:val="clear" w:color="auto" w:fill="auto"/>
            <w:vAlign w:val="center"/>
          </w:tcPr>
          <w:p w14:paraId="183FDA11">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42CB876E">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3D58967F">
            <w:pPr>
              <w:rPr>
                <w:rFonts w:hint="eastAsia" w:ascii="宋体" w:hAnsi="宋体" w:eastAsia="宋体" w:cs="宋体"/>
                <w:i w:val="0"/>
                <w:iCs w:val="0"/>
                <w:color w:val="000000"/>
                <w:sz w:val="18"/>
                <w:szCs w:val="18"/>
                <w:u w:val="none"/>
              </w:rPr>
            </w:pPr>
          </w:p>
        </w:tc>
        <w:tc>
          <w:tcPr>
            <w:tcW w:w="185" w:type="pct"/>
            <w:tcBorders>
              <w:top w:val="nil"/>
              <w:left w:val="nil"/>
              <w:bottom w:val="nil"/>
              <w:right w:val="nil"/>
            </w:tcBorders>
            <w:shd w:val="clear" w:color="auto" w:fill="auto"/>
            <w:vAlign w:val="center"/>
          </w:tcPr>
          <w:p w14:paraId="7ADD8668">
            <w:pPr>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auto"/>
            <w:vAlign w:val="center"/>
          </w:tcPr>
          <w:p w14:paraId="750D5FDB">
            <w:pPr>
              <w:rPr>
                <w:rFonts w:hint="eastAsia" w:ascii="宋体" w:hAnsi="宋体" w:eastAsia="宋体" w:cs="宋体"/>
                <w:i w:val="0"/>
                <w:iCs w:val="0"/>
                <w:color w:val="000000"/>
                <w:sz w:val="18"/>
                <w:szCs w:val="18"/>
                <w:u w:val="none"/>
              </w:rPr>
            </w:pPr>
          </w:p>
        </w:tc>
        <w:tc>
          <w:tcPr>
            <w:tcW w:w="187" w:type="pct"/>
            <w:tcBorders>
              <w:top w:val="nil"/>
              <w:left w:val="nil"/>
              <w:bottom w:val="nil"/>
              <w:right w:val="nil"/>
            </w:tcBorders>
            <w:shd w:val="clear" w:color="auto" w:fill="auto"/>
            <w:vAlign w:val="center"/>
          </w:tcPr>
          <w:p w14:paraId="3334CD81">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1375CC53">
            <w:pPr>
              <w:rPr>
                <w:rFonts w:hint="eastAsia" w:ascii="宋体" w:hAnsi="宋体" w:eastAsia="宋体" w:cs="宋体"/>
                <w:i w:val="0"/>
                <w:iCs w:val="0"/>
                <w:color w:val="000000"/>
                <w:sz w:val="18"/>
                <w:szCs w:val="18"/>
                <w:u w:val="none"/>
              </w:rPr>
            </w:pPr>
          </w:p>
        </w:tc>
        <w:tc>
          <w:tcPr>
            <w:tcW w:w="905" w:type="pct"/>
            <w:tcBorders>
              <w:top w:val="nil"/>
              <w:left w:val="nil"/>
              <w:bottom w:val="nil"/>
              <w:right w:val="nil"/>
            </w:tcBorders>
            <w:shd w:val="clear" w:color="auto" w:fill="auto"/>
            <w:vAlign w:val="center"/>
          </w:tcPr>
          <w:p w14:paraId="69EAEB14">
            <w:pPr>
              <w:rPr>
                <w:rFonts w:hint="eastAsia" w:ascii="宋体" w:hAnsi="宋体" w:eastAsia="宋体" w:cs="宋体"/>
                <w:i w:val="0"/>
                <w:iCs w:val="0"/>
                <w:color w:val="000000"/>
                <w:sz w:val="18"/>
                <w:szCs w:val="18"/>
                <w:u w:val="none"/>
              </w:rPr>
            </w:pPr>
          </w:p>
        </w:tc>
      </w:tr>
      <w:tr w14:paraId="5355C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F5180F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5E021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F40A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DE101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51323322T000007088995-龙日坝卫生院业务用房建设项目</w:t>
            </w:r>
          </w:p>
        </w:tc>
      </w:tr>
      <w:tr w14:paraId="3E4FD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DC86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6001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6" w:type="pct"/>
            <w:tcBorders>
              <w:top w:val="nil"/>
              <w:left w:val="nil"/>
              <w:bottom w:val="nil"/>
              <w:right w:val="nil"/>
            </w:tcBorders>
            <w:shd w:val="clear" w:color="auto" w:fill="auto"/>
            <w:vAlign w:val="center"/>
          </w:tcPr>
          <w:p w14:paraId="5709CB2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30C2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红原县卫生健康局事业</w:t>
            </w:r>
          </w:p>
        </w:tc>
      </w:tr>
      <w:tr w14:paraId="7DCCD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8DA7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BF28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2439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C9AC3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2942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F2CF4">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152AA">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C464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于2019年投入使用</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666C7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完成建设</w:t>
            </w:r>
          </w:p>
        </w:tc>
      </w:tr>
      <w:tr w14:paraId="261D2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028DD">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1FC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F8EFE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新建业务用房700平方米，职工周转宿舍480平方米及附属。</w:t>
            </w:r>
          </w:p>
        </w:tc>
      </w:tr>
      <w:tr w14:paraId="1EF52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52A7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40C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8B3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FA0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739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FF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6D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B4D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DF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13D2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D728C">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99D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FB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04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9DAA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30.34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388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79.84%</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DB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C14AC">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03246">
            <w:pPr>
              <w:rPr>
                <w:rFonts w:hint="eastAsia" w:ascii="黑体" w:hAnsi="黑体" w:eastAsia="黑体" w:cs="黑体"/>
                <w:i/>
                <w:iCs/>
                <w:color w:val="000000"/>
                <w:sz w:val="18"/>
                <w:szCs w:val="18"/>
                <w:u w:val="none"/>
              </w:rPr>
            </w:pPr>
          </w:p>
        </w:tc>
      </w:tr>
      <w:tr w14:paraId="02561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8FFA6">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67B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B80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F95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EBCD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30.34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F18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79.84%</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269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F29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BF02B">
            <w:pPr>
              <w:rPr>
                <w:rFonts w:hint="eastAsia" w:ascii="黑体" w:hAnsi="黑体" w:eastAsia="黑体" w:cs="黑体"/>
                <w:i/>
                <w:iCs/>
                <w:color w:val="000000"/>
                <w:sz w:val="18"/>
                <w:szCs w:val="18"/>
                <w:u w:val="none"/>
              </w:rPr>
            </w:pPr>
          </w:p>
        </w:tc>
      </w:tr>
      <w:tr w14:paraId="0D225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72681">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C4E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D42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F1B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EF9E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3BD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327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43B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3E660">
            <w:pPr>
              <w:rPr>
                <w:rFonts w:hint="eastAsia" w:ascii="黑体" w:hAnsi="黑体" w:eastAsia="黑体" w:cs="黑体"/>
                <w:i/>
                <w:iCs/>
                <w:color w:val="000000"/>
                <w:sz w:val="18"/>
                <w:szCs w:val="18"/>
                <w:u w:val="none"/>
              </w:rPr>
            </w:pPr>
          </w:p>
        </w:tc>
      </w:tr>
      <w:tr w14:paraId="3BCF0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0501E">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975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E7A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1F3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49FF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98E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FE2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8CB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2D20C">
            <w:pPr>
              <w:rPr>
                <w:rFonts w:hint="eastAsia" w:ascii="黑体" w:hAnsi="黑体" w:eastAsia="黑体" w:cs="黑体"/>
                <w:i/>
                <w:iCs/>
                <w:color w:val="000000"/>
                <w:sz w:val="18"/>
                <w:szCs w:val="18"/>
                <w:u w:val="none"/>
              </w:rPr>
            </w:pPr>
          </w:p>
        </w:tc>
      </w:tr>
      <w:tr w14:paraId="7B0C5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6F855">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48D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D3504">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9E922">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DD8122">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DC49A">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712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977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02FAF">
            <w:pPr>
              <w:rPr>
                <w:rFonts w:hint="eastAsia" w:ascii="黑体" w:hAnsi="黑体" w:eastAsia="黑体" w:cs="黑体"/>
                <w:i/>
                <w:iCs/>
                <w:color w:val="000000"/>
                <w:sz w:val="18"/>
                <w:szCs w:val="18"/>
                <w:u w:val="none"/>
              </w:rPr>
            </w:pPr>
          </w:p>
        </w:tc>
      </w:tr>
      <w:tr w14:paraId="1F52F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23D4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9F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C3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9FF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5EB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0F2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41A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800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C4B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512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E09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221E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E8B2D">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DE746">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A1F39">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E3375">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7DF94">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B93DB">
            <w:pPr>
              <w:jc w:val="center"/>
              <w:rPr>
                <w:rFonts w:hint="eastAsia" w:ascii="宋体" w:hAnsi="宋体" w:eastAsia="宋体" w:cs="宋体"/>
                <w:i w:val="0"/>
                <w:iCs w:val="0"/>
                <w:color w:val="000000"/>
                <w:sz w:val="18"/>
                <w:szCs w:val="18"/>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C6C4A">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8FB29">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5EAB6">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1B46B">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5DB05">
            <w:pPr>
              <w:jc w:val="center"/>
              <w:rPr>
                <w:rFonts w:hint="eastAsia" w:ascii="微软雅黑" w:hAnsi="微软雅黑" w:eastAsia="微软雅黑" w:cs="微软雅黑"/>
                <w:i/>
                <w:iCs/>
                <w:color w:val="000000"/>
                <w:sz w:val="16"/>
                <w:szCs w:val="16"/>
                <w:u w:val="none"/>
              </w:rPr>
            </w:pPr>
          </w:p>
        </w:tc>
      </w:tr>
      <w:tr w14:paraId="1DCA6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4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4D5E9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D4C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0AEE7">
            <w:pP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0D5D0">
            <w:pPr>
              <w:rPr>
                <w:rFonts w:hint="eastAsia" w:ascii="宋体" w:hAnsi="宋体" w:eastAsia="宋体" w:cs="宋体"/>
                <w:i w:val="0"/>
                <w:iCs w:val="0"/>
                <w:color w:val="000000"/>
                <w:sz w:val="18"/>
                <w:szCs w:val="18"/>
                <w:u w:val="none"/>
              </w:rPr>
            </w:pPr>
          </w:p>
        </w:tc>
      </w:tr>
      <w:tr w14:paraId="6C714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1C3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5FB60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自评90分</w:t>
            </w:r>
          </w:p>
        </w:tc>
      </w:tr>
      <w:tr w14:paraId="1F51D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FAB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FF0B9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部分资金未拨付</w:t>
            </w:r>
          </w:p>
        </w:tc>
      </w:tr>
      <w:tr w14:paraId="38CFD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200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9D952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申请资金</w:t>
            </w:r>
          </w:p>
        </w:tc>
      </w:tr>
      <w:tr w14:paraId="0908C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2802B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项目负责人：斯小伟</w:t>
            </w:r>
          </w:p>
        </w:tc>
        <w:tc>
          <w:tcPr>
            <w:tcW w:w="242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B87BAD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财务负责人：熊莲英</w:t>
            </w:r>
          </w:p>
        </w:tc>
      </w:tr>
      <w:tr w14:paraId="61FB2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7DADB616">
            <w:pPr>
              <w:rPr>
                <w:rFonts w:hint="eastAsia" w:ascii="宋体" w:hAnsi="宋体" w:eastAsia="宋体" w:cs="宋体"/>
                <w:i w:val="0"/>
                <w:iCs w:val="0"/>
                <w:color w:val="000000"/>
                <w:sz w:val="18"/>
                <w:szCs w:val="18"/>
                <w:u w:val="none"/>
              </w:rPr>
            </w:pPr>
          </w:p>
        </w:tc>
        <w:tc>
          <w:tcPr>
            <w:tcW w:w="725" w:type="pct"/>
            <w:tcBorders>
              <w:top w:val="nil"/>
              <w:left w:val="nil"/>
              <w:bottom w:val="nil"/>
              <w:right w:val="nil"/>
            </w:tcBorders>
            <w:shd w:val="clear" w:color="auto" w:fill="auto"/>
            <w:vAlign w:val="center"/>
          </w:tcPr>
          <w:p w14:paraId="120484D3">
            <w:pPr>
              <w:rPr>
                <w:rFonts w:hint="eastAsia" w:ascii="宋体" w:hAnsi="宋体" w:eastAsia="宋体" w:cs="宋体"/>
                <w:i w:val="0"/>
                <w:iCs w:val="0"/>
                <w:color w:val="000000"/>
                <w:sz w:val="18"/>
                <w:szCs w:val="18"/>
                <w:u w:val="none"/>
              </w:rPr>
            </w:pPr>
          </w:p>
        </w:tc>
        <w:tc>
          <w:tcPr>
            <w:tcW w:w="627" w:type="pct"/>
            <w:tcBorders>
              <w:top w:val="nil"/>
              <w:left w:val="nil"/>
              <w:bottom w:val="nil"/>
              <w:right w:val="nil"/>
            </w:tcBorders>
            <w:shd w:val="clear" w:color="auto" w:fill="auto"/>
            <w:vAlign w:val="center"/>
          </w:tcPr>
          <w:p w14:paraId="5E373074">
            <w:pPr>
              <w:rPr>
                <w:rFonts w:hint="eastAsia" w:ascii="宋体" w:hAnsi="宋体" w:eastAsia="宋体" w:cs="宋体"/>
                <w:i w:val="0"/>
                <w:iCs w:val="0"/>
                <w:color w:val="000000"/>
                <w:sz w:val="18"/>
                <w:szCs w:val="18"/>
                <w:u w:val="none"/>
              </w:rPr>
            </w:pPr>
          </w:p>
        </w:tc>
        <w:tc>
          <w:tcPr>
            <w:tcW w:w="800" w:type="pct"/>
            <w:tcBorders>
              <w:top w:val="nil"/>
              <w:left w:val="nil"/>
              <w:bottom w:val="nil"/>
              <w:right w:val="nil"/>
            </w:tcBorders>
            <w:shd w:val="clear" w:color="auto" w:fill="auto"/>
            <w:vAlign w:val="center"/>
          </w:tcPr>
          <w:p w14:paraId="14F4DF3B">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59E84F45">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4FD743E7">
            <w:pPr>
              <w:rPr>
                <w:rFonts w:hint="eastAsia" w:ascii="宋体" w:hAnsi="宋体" w:eastAsia="宋体" w:cs="宋体"/>
                <w:i w:val="0"/>
                <w:iCs w:val="0"/>
                <w:color w:val="000000"/>
                <w:sz w:val="18"/>
                <w:szCs w:val="18"/>
                <w:u w:val="none"/>
              </w:rPr>
            </w:pPr>
          </w:p>
        </w:tc>
        <w:tc>
          <w:tcPr>
            <w:tcW w:w="185" w:type="pct"/>
            <w:tcBorders>
              <w:top w:val="nil"/>
              <w:left w:val="nil"/>
              <w:bottom w:val="nil"/>
              <w:right w:val="nil"/>
            </w:tcBorders>
            <w:shd w:val="clear" w:color="auto" w:fill="auto"/>
            <w:vAlign w:val="center"/>
          </w:tcPr>
          <w:p w14:paraId="4F4B2F1D">
            <w:pPr>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auto"/>
            <w:vAlign w:val="center"/>
          </w:tcPr>
          <w:p w14:paraId="2AC0AF29">
            <w:pPr>
              <w:rPr>
                <w:rFonts w:hint="eastAsia" w:ascii="宋体" w:hAnsi="宋体" w:eastAsia="宋体" w:cs="宋体"/>
                <w:i w:val="0"/>
                <w:iCs w:val="0"/>
                <w:color w:val="000000"/>
                <w:sz w:val="18"/>
                <w:szCs w:val="18"/>
                <w:u w:val="none"/>
              </w:rPr>
            </w:pPr>
          </w:p>
        </w:tc>
        <w:tc>
          <w:tcPr>
            <w:tcW w:w="187" w:type="pct"/>
            <w:tcBorders>
              <w:top w:val="nil"/>
              <w:left w:val="nil"/>
              <w:bottom w:val="nil"/>
              <w:right w:val="nil"/>
            </w:tcBorders>
            <w:shd w:val="clear" w:color="auto" w:fill="auto"/>
            <w:vAlign w:val="center"/>
          </w:tcPr>
          <w:p w14:paraId="24BFE769">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60B97567">
            <w:pPr>
              <w:rPr>
                <w:rFonts w:hint="eastAsia" w:ascii="宋体" w:hAnsi="宋体" w:eastAsia="宋体" w:cs="宋体"/>
                <w:i w:val="0"/>
                <w:iCs w:val="0"/>
                <w:color w:val="000000"/>
                <w:sz w:val="18"/>
                <w:szCs w:val="18"/>
                <w:u w:val="none"/>
              </w:rPr>
            </w:pPr>
          </w:p>
        </w:tc>
        <w:tc>
          <w:tcPr>
            <w:tcW w:w="905" w:type="pct"/>
            <w:tcBorders>
              <w:top w:val="nil"/>
              <w:left w:val="nil"/>
              <w:bottom w:val="nil"/>
              <w:right w:val="nil"/>
            </w:tcBorders>
            <w:shd w:val="clear" w:color="auto" w:fill="auto"/>
            <w:vAlign w:val="center"/>
          </w:tcPr>
          <w:p w14:paraId="1A235039">
            <w:pPr>
              <w:rPr>
                <w:rFonts w:hint="eastAsia" w:ascii="宋体" w:hAnsi="宋体" w:eastAsia="宋体" w:cs="宋体"/>
                <w:i w:val="0"/>
                <w:iCs w:val="0"/>
                <w:color w:val="000000"/>
                <w:sz w:val="18"/>
                <w:szCs w:val="18"/>
                <w:u w:val="none"/>
              </w:rPr>
            </w:pPr>
          </w:p>
        </w:tc>
      </w:tr>
      <w:tr w14:paraId="64C0F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1924DF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7B0D2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CC3A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7FD5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51323322T000007089039-疫情防控相关经费</w:t>
            </w:r>
          </w:p>
        </w:tc>
      </w:tr>
      <w:tr w14:paraId="0763D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7FD7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6DA7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6" w:type="pct"/>
            <w:tcBorders>
              <w:top w:val="nil"/>
              <w:left w:val="nil"/>
              <w:bottom w:val="nil"/>
              <w:right w:val="nil"/>
            </w:tcBorders>
            <w:shd w:val="clear" w:color="auto" w:fill="auto"/>
            <w:vAlign w:val="center"/>
          </w:tcPr>
          <w:p w14:paraId="1A96171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9BE1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红原县卫生健康局事业</w:t>
            </w:r>
          </w:p>
        </w:tc>
      </w:tr>
      <w:tr w14:paraId="38E50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ACBC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A7BF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74F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8519D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2FF3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C96EC">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4FBAE">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F3E1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提供充足的医疗资源，确保足够的物资储备（如口罩、防护服等）。2、加强疫情监测与报告，确保对疫情的监测和报告能够及时准确，以便采取相应的防控措施。3、加强核酸监测工作，加大对人员的核酸检测，并确保社会局面的安全性和有效性。4、保障经济有序发展和社会稳定。</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0ED29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提供充足的医疗资源，确保足够的物资储备（如口罩、防护服等）。2、加强疫情监测与报告，确保对疫情的监测和报告能够及时准确，以便采取相应的防控措施。3、加强核酸监测工作，加大对人员的核酸检测，并确保社会局面的安全性和有效性。4、保障经济有序发展和社会稳定。</w:t>
            </w:r>
          </w:p>
        </w:tc>
      </w:tr>
      <w:tr w14:paraId="3130E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91398">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929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37734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采购充足的医疗资源，确保足够的物资储备（如口罩、防护服等）。2、疫情监测与报告及时上报，确保对疫情的监测和报告能够及时准确，以便采取相应的防控措施。3、疫情爆发期间采购充足的核酸检测材料，应对全员核酸监测工作，加大对人员的核酸检测，并确保社会局面的安全性和有效性。</w:t>
            </w:r>
          </w:p>
        </w:tc>
      </w:tr>
      <w:tr w14:paraId="72E84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E50A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7D6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F88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C48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0AEF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27F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104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541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47E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180E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4EEE1">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145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706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F1F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887.99</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566F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730.93</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280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82.31%</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88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E559D">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B09C02">
            <w:pPr>
              <w:rPr>
                <w:rFonts w:hint="eastAsia" w:ascii="黑体" w:hAnsi="黑体" w:eastAsia="黑体" w:cs="黑体"/>
                <w:i/>
                <w:iCs/>
                <w:color w:val="000000"/>
                <w:sz w:val="18"/>
                <w:szCs w:val="18"/>
                <w:u w:val="none"/>
              </w:rPr>
            </w:pPr>
          </w:p>
        </w:tc>
      </w:tr>
      <w:tr w14:paraId="5A16E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A6CBD">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862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C3E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5F9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887.99</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8227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730.93</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A26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82.31%</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7C5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A9F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3D078">
            <w:pPr>
              <w:rPr>
                <w:rFonts w:hint="eastAsia" w:ascii="黑体" w:hAnsi="黑体" w:eastAsia="黑体" w:cs="黑体"/>
                <w:i/>
                <w:iCs/>
                <w:color w:val="000000"/>
                <w:sz w:val="18"/>
                <w:szCs w:val="18"/>
                <w:u w:val="none"/>
              </w:rPr>
            </w:pPr>
          </w:p>
        </w:tc>
      </w:tr>
      <w:tr w14:paraId="4BD43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7C66F">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7E1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CAD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349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D3C1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41F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2F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690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274BF">
            <w:pPr>
              <w:rPr>
                <w:rFonts w:hint="eastAsia" w:ascii="黑体" w:hAnsi="黑体" w:eastAsia="黑体" w:cs="黑体"/>
                <w:i/>
                <w:iCs/>
                <w:color w:val="000000"/>
                <w:sz w:val="18"/>
                <w:szCs w:val="18"/>
                <w:u w:val="none"/>
              </w:rPr>
            </w:pPr>
          </w:p>
        </w:tc>
      </w:tr>
      <w:tr w14:paraId="43DD3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1581A">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20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015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2A3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5932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936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D50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153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1436A">
            <w:pPr>
              <w:rPr>
                <w:rFonts w:hint="eastAsia" w:ascii="黑体" w:hAnsi="黑体" w:eastAsia="黑体" w:cs="黑体"/>
                <w:i/>
                <w:iCs/>
                <w:color w:val="000000"/>
                <w:sz w:val="18"/>
                <w:szCs w:val="18"/>
                <w:u w:val="none"/>
              </w:rPr>
            </w:pPr>
          </w:p>
        </w:tc>
      </w:tr>
      <w:tr w14:paraId="08922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93E15">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E4B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11D50">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10234">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B1CCFE">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80101">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8F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F2E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0346D">
            <w:pPr>
              <w:rPr>
                <w:rFonts w:hint="eastAsia" w:ascii="黑体" w:hAnsi="黑体" w:eastAsia="黑体" w:cs="黑体"/>
                <w:i/>
                <w:iCs/>
                <w:color w:val="000000"/>
                <w:sz w:val="18"/>
                <w:szCs w:val="18"/>
                <w:u w:val="none"/>
              </w:rPr>
            </w:pPr>
          </w:p>
        </w:tc>
      </w:tr>
      <w:tr w14:paraId="32BA3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1D21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EE2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C6A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6A1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7A2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95D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ABE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592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A29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CCC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BC0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A0E0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900C2">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FD12C">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E379D">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049C1">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0D8F0">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051C4">
            <w:pPr>
              <w:jc w:val="center"/>
              <w:rPr>
                <w:rFonts w:hint="eastAsia" w:ascii="宋体" w:hAnsi="宋体" w:eastAsia="宋体" w:cs="宋体"/>
                <w:i w:val="0"/>
                <w:iCs w:val="0"/>
                <w:color w:val="000000"/>
                <w:sz w:val="18"/>
                <w:szCs w:val="18"/>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77480">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E2D05">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D67C2">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78C2E">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ACBA9">
            <w:pPr>
              <w:jc w:val="center"/>
              <w:rPr>
                <w:rFonts w:hint="eastAsia" w:ascii="微软雅黑" w:hAnsi="微软雅黑" w:eastAsia="微软雅黑" w:cs="微软雅黑"/>
                <w:i/>
                <w:iCs/>
                <w:color w:val="000000"/>
                <w:sz w:val="16"/>
                <w:szCs w:val="16"/>
                <w:u w:val="none"/>
              </w:rPr>
            </w:pPr>
          </w:p>
        </w:tc>
      </w:tr>
      <w:tr w14:paraId="57911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4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8DEE0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AD8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8F576">
            <w:pP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F6310">
            <w:pPr>
              <w:rPr>
                <w:rFonts w:hint="eastAsia" w:ascii="宋体" w:hAnsi="宋体" w:eastAsia="宋体" w:cs="宋体"/>
                <w:i w:val="0"/>
                <w:iCs w:val="0"/>
                <w:color w:val="000000"/>
                <w:sz w:val="18"/>
                <w:szCs w:val="18"/>
                <w:u w:val="none"/>
              </w:rPr>
            </w:pPr>
          </w:p>
        </w:tc>
      </w:tr>
      <w:tr w14:paraId="4ECAC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EC2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A26F5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提供充足的医疗资源，确保足够的物资储备（如口罩、防护服等）。2、加强疫情监测与报告，确保对疫情的监测和报告能够及时准确，以便采取相应的防控措施。3、加强核酸监测工作，加大对人员的核酸检测，并确保社会局面的安全性和有效性。4、保障经济有序发展和社会稳定。</w:t>
            </w:r>
          </w:p>
        </w:tc>
      </w:tr>
      <w:tr w14:paraId="14D60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F5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B7ABB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部分物资未达到拨付条件</w:t>
            </w:r>
          </w:p>
        </w:tc>
      </w:tr>
      <w:tr w14:paraId="69C46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AD1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8712A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协商物资储备地点</w:t>
            </w:r>
          </w:p>
        </w:tc>
      </w:tr>
      <w:tr w14:paraId="2C8C4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4521D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项目负责人：周礼全</w:t>
            </w:r>
          </w:p>
        </w:tc>
        <w:tc>
          <w:tcPr>
            <w:tcW w:w="242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99CE4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财务负责人：熊莲英</w:t>
            </w:r>
          </w:p>
        </w:tc>
      </w:tr>
      <w:tr w14:paraId="4FDAA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11AB7E73">
            <w:pPr>
              <w:rPr>
                <w:rFonts w:hint="eastAsia" w:ascii="宋体" w:hAnsi="宋体" w:eastAsia="宋体" w:cs="宋体"/>
                <w:i w:val="0"/>
                <w:iCs w:val="0"/>
                <w:color w:val="000000"/>
                <w:sz w:val="18"/>
                <w:szCs w:val="18"/>
                <w:u w:val="none"/>
              </w:rPr>
            </w:pPr>
          </w:p>
        </w:tc>
        <w:tc>
          <w:tcPr>
            <w:tcW w:w="725" w:type="pct"/>
            <w:tcBorders>
              <w:top w:val="nil"/>
              <w:left w:val="nil"/>
              <w:bottom w:val="nil"/>
              <w:right w:val="nil"/>
            </w:tcBorders>
            <w:shd w:val="clear" w:color="auto" w:fill="auto"/>
            <w:vAlign w:val="center"/>
          </w:tcPr>
          <w:p w14:paraId="73EAFCF4">
            <w:pPr>
              <w:rPr>
                <w:rFonts w:hint="eastAsia" w:ascii="宋体" w:hAnsi="宋体" w:eastAsia="宋体" w:cs="宋体"/>
                <w:i w:val="0"/>
                <w:iCs w:val="0"/>
                <w:color w:val="000000"/>
                <w:sz w:val="18"/>
                <w:szCs w:val="18"/>
                <w:u w:val="none"/>
              </w:rPr>
            </w:pPr>
          </w:p>
        </w:tc>
        <w:tc>
          <w:tcPr>
            <w:tcW w:w="627" w:type="pct"/>
            <w:tcBorders>
              <w:top w:val="nil"/>
              <w:left w:val="nil"/>
              <w:bottom w:val="nil"/>
              <w:right w:val="nil"/>
            </w:tcBorders>
            <w:shd w:val="clear" w:color="auto" w:fill="auto"/>
            <w:vAlign w:val="center"/>
          </w:tcPr>
          <w:p w14:paraId="425A0DD6">
            <w:pPr>
              <w:rPr>
                <w:rFonts w:hint="eastAsia" w:ascii="宋体" w:hAnsi="宋体" w:eastAsia="宋体" w:cs="宋体"/>
                <w:i w:val="0"/>
                <w:iCs w:val="0"/>
                <w:color w:val="000000"/>
                <w:sz w:val="18"/>
                <w:szCs w:val="18"/>
                <w:u w:val="none"/>
              </w:rPr>
            </w:pPr>
          </w:p>
        </w:tc>
        <w:tc>
          <w:tcPr>
            <w:tcW w:w="800" w:type="pct"/>
            <w:tcBorders>
              <w:top w:val="nil"/>
              <w:left w:val="nil"/>
              <w:bottom w:val="nil"/>
              <w:right w:val="nil"/>
            </w:tcBorders>
            <w:shd w:val="clear" w:color="auto" w:fill="auto"/>
            <w:vAlign w:val="center"/>
          </w:tcPr>
          <w:p w14:paraId="7DE39F37">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2CFD207F">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2FF498EC">
            <w:pPr>
              <w:rPr>
                <w:rFonts w:hint="eastAsia" w:ascii="宋体" w:hAnsi="宋体" w:eastAsia="宋体" w:cs="宋体"/>
                <w:i w:val="0"/>
                <w:iCs w:val="0"/>
                <w:color w:val="000000"/>
                <w:sz w:val="18"/>
                <w:szCs w:val="18"/>
                <w:u w:val="none"/>
              </w:rPr>
            </w:pPr>
          </w:p>
        </w:tc>
        <w:tc>
          <w:tcPr>
            <w:tcW w:w="185" w:type="pct"/>
            <w:tcBorders>
              <w:top w:val="nil"/>
              <w:left w:val="nil"/>
              <w:bottom w:val="nil"/>
              <w:right w:val="nil"/>
            </w:tcBorders>
            <w:shd w:val="clear" w:color="auto" w:fill="auto"/>
            <w:vAlign w:val="center"/>
          </w:tcPr>
          <w:p w14:paraId="3CF2F99F">
            <w:pPr>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auto"/>
            <w:vAlign w:val="center"/>
          </w:tcPr>
          <w:p w14:paraId="59C9F826">
            <w:pPr>
              <w:rPr>
                <w:rFonts w:hint="eastAsia" w:ascii="宋体" w:hAnsi="宋体" w:eastAsia="宋体" w:cs="宋体"/>
                <w:i w:val="0"/>
                <w:iCs w:val="0"/>
                <w:color w:val="000000"/>
                <w:sz w:val="18"/>
                <w:szCs w:val="18"/>
                <w:u w:val="none"/>
              </w:rPr>
            </w:pPr>
          </w:p>
        </w:tc>
        <w:tc>
          <w:tcPr>
            <w:tcW w:w="187" w:type="pct"/>
            <w:tcBorders>
              <w:top w:val="nil"/>
              <w:left w:val="nil"/>
              <w:bottom w:val="nil"/>
              <w:right w:val="nil"/>
            </w:tcBorders>
            <w:shd w:val="clear" w:color="auto" w:fill="auto"/>
            <w:vAlign w:val="center"/>
          </w:tcPr>
          <w:p w14:paraId="54C042FC">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2B4C407C">
            <w:pPr>
              <w:rPr>
                <w:rFonts w:hint="eastAsia" w:ascii="宋体" w:hAnsi="宋体" w:eastAsia="宋体" w:cs="宋体"/>
                <w:i w:val="0"/>
                <w:iCs w:val="0"/>
                <w:color w:val="000000"/>
                <w:sz w:val="18"/>
                <w:szCs w:val="18"/>
                <w:u w:val="none"/>
              </w:rPr>
            </w:pPr>
          </w:p>
        </w:tc>
        <w:tc>
          <w:tcPr>
            <w:tcW w:w="905" w:type="pct"/>
            <w:tcBorders>
              <w:top w:val="nil"/>
              <w:left w:val="nil"/>
              <w:bottom w:val="nil"/>
              <w:right w:val="nil"/>
            </w:tcBorders>
            <w:shd w:val="clear" w:color="auto" w:fill="auto"/>
            <w:vAlign w:val="center"/>
          </w:tcPr>
          <w:p w14:paraId="122FEC62">
            <w:pPr>
              <w:rPr>
                <w:rFonts w:hint="eastAsia" w:ascii="宋体" w:hAnsi="宋体" w:eastAsia="宋体" w:cs="宋体"/>
                <w:i w:val="0"/>
                <w:iCs w:val="0"/>
                <w:color w:val="000000"/>
                <w:sz w:val="18"/>
                <w:szCs w:val="18"/>
                <w:u w:val="none"/>
              </w:rPr>
            </w:pPr>
          </w:p>
        </w:tc>
      </w:tr>
      <w:tr w14:paraId="56DA5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373B8D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7D9A3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3450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0774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51323322T000007144255-重大传染病防治</w:t>
            </w:r>
          </w:p>
        </w:tc>
      </w:tr>
      <w:tr w14:paraId="21133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6B9E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5D83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6" w:type="pct"/>
            <w:tcBorders>
              <w:top w:val="nil"/>
              <w:left w:val="nil"/>
              <w:bottom w:val="nil"/>
              <w:right w:val="nil"/>
            </w:tcBorders>
            <w:shd w:val="clear" w:color="auto" w:fill="auto"/>
            <w:vAlign w:val="center"/>
          </w:tcPr>
          <w:p w14:paraId="6E8B036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123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红原县卫生健康局事业</w:t>
            </w:r>
          </w:p>
        </w:tc>
      </w:tr>
      <w:tr w14:paraId="36BFF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B910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2491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8CC4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8B5DD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90A2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25999">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0C3B7">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1E51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乡镇犬只捕杀处置</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BAFD9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有效提高了包虫病的防控</w:t>
            </w:r>
          </w:p>
        </w:tc>
      </w:tr>
      <w:tr w14:paraId="7EDDD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1EAFD">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E71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4B67A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县公安局委托第三方公司对区域内各乡镇犬只进行捕杀</w:t>
            </w:r>
          </w:p>
        </w:tc>
      </w:tr>
      <w:tr w14:paraId="50730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3874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121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B32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D32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C29E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7BD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C07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541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A4B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2D6A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5AA69">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CBA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BB6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80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106.00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E67B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FB1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8B0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16087">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BC1CB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因需在红原县瓦切镇建立包虫病宿主集中管理试点，现阶段正在提前常务会审议方案。</w:t>
            </w:r>
          </w:p>
        </w:tc>
      </w:tr>
      <w:tr w14:paraId="05FD7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27A79">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5A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1F0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068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106.00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E97D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DDC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EC0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B2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11F54">
            <w:pPr>
              <w:rPr>
                <w:rFonts w:hint="eastAsia" w:ascii="黑体" w:hAnsi="黑体" w:eastAsia="黑体" w:cs="黑体"/>
                <w:i/>
                <w:iCs/>
                <w:color w:val="000000"/>
                <w:sz w:val="18"/>
                <w:szCs w:val="18"/>
                <w:u w:val="none"/>
              </w:rPr>
            </w:pPr>
          </w:p>
        </w:tc>
      </w:tr>
      <w:tr w14:paraId="522CE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12C3D">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9AE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E10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DCE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8354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BA1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AD6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60F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D8F16">
            <w:pPr>
              <w:rPr>
                <w:rFonts w:hint="eastAsia" w:ascii="黑体" w:hAnsi="黑体" w:eastAsia="黑体" w:cs="黑体"/>
                <w:i/>
                <w:iCs/>
                <w:color w:val="000000"/>
                <w:sz w:val="18"/>
                <w:szCs w:val="18"/>
                <w:u w:val="none"/>
              </w:rPr>
            </w:pPr>
          </w:p>
        </w:tc>
      </w:tr>
      <w:tr w14:paraId="38374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2B445">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766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E45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D24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58E0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897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6C9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707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5ED5F">
            <w:pPr>
              <w:rPr>
                <w:rFonts w:hint="eastAsia" w:ascii="黑体" w:hAnsi="黑体" w:eastAsia="黑体" w:cs="黑体"/>
                <w:i/>
                <w:iCs/>
                <w:color w:val="000000"/>
                <w:sz w:val="18"/>
                <w:szCs w:val="18"/>
                <w:u w:val="none"/>
              </w:rPr>
            </w:pPr>
          </w:p>
        </w:tc>
      </w:tr>
      <w:tr w14:paraId="5A3B9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28539">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3C1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06E74">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E5DE4">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4B4C27">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7BFC2">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1E7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8FE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A165C">
            <w:pPr>
              <w:rPr>
                <w:rFonts w:hint="eastAsia" w:ascii="黑体" w:hAnsi="黑体" w:eastAsia="黑体" w:cs="黑体"/>
                <w:i/>
                <w:iCs/>
                <w:color w:val="000000"/>
                <w:sz w:val="18"/>
                <w:szCs w:val="18"/>
                <w:u w:val="none"/>
              </w:rPr>
            </w:pPr>
          </w:p>
        </w:tc>
      </w:tr>
      <w:tr w14:paraId="33278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CB29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84E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29D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12A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B6A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6F6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A8E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679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233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893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FCE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61B6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708AC">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B2676">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0923F">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F2461">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DA538">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761D1">
            <w:pPr>
              <w:jc w:val="center"/>
              <w:rPr>
                <w:rFonts w:hint="eastAsia" w:ascii="宋体" w:hAnsi="宋体" w:eastAsia="宋体" w:cs="宋体"/>
                <w:i w:val="0"/>
                <w:iCs w:val="0"/>
                <w:color w:val="000000"/>
                <w:sz w:val="18"/>
                <w:szCs w:val="18"/>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5ECA5">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CC735">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BF939">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32FFA">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E89F8">
            <w:pPr>
              <w:jc w:val="center"/>
              <w:rPr>
                <w:rFonts w:hint="eastAsia" w:ascii="微软雅黑" w:hAnsi="微软雅黑" w:eastAsia="微软雅黑" w:cs="微软雅黑"/>
                <w:i/>
                <w:iCs/>
                <w:color w:val="000000"/>
                <w:sz w:val="16"/>
                <w:szCs w:val="16"/>
                <w:u w:val="none"/>
              </w:rPr>
            </w:pPr>
          </w:p>
        </w:tc>
      </w:tr>
      <w:tr w14:paraId="751C3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4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D7B7B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D35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714C8">
            <w:pP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4AD6C">
            <w:pPr>
              <w:rPr>
                <w:rFonts w:hint="eastAsia" w:ascii="宋体" w:hAnsi="宋体" w:eastAsia="宋体" w:cs="宋体"/>
                <w:i w:val="0"/>
                <w:iCs w:val="0"/>
                <w:color w:val="000000"/>
                <w:sz w:val="18"/>
                <w:szCs w:val="18"/>
                <w:u w:val="none"/>
              </w:rPr>
            </w:pPr>
          </w:p>
        </w:tc>
      </w:tr>
      <w:tr w14:paraId="25B41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0F3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3D6C8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做到早发现、早诊断、早治疗，提高牧民包虫病健康水平。</w:t>
            </w:r>
          </w:p>
        </w:tc>
      </w:tr>
      <w:tr w14:paraId="7406C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65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D29B2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8F33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E20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DFE07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2004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13D62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项目负责人：王琴</w:t>
            </w:r>
          </w:p>
        </w:tc>
        <w:tc>
          <w:tcPr>
            <w:tcW w:w="242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45635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财务负责人：熊莲英</w:t>
            </w:r>
          </w:p>
        </w:tc>
      </w:tr>
      <w:tr w14:paraId="1AB28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5AB3A444">
            <w:pPr>
              <w:rPr>
                <w:rFonts w:hint="eastAsia" w:ascii="宋体" w:hAnsi="宋体" w:eastAsia="宋体" w:cs="宋体"/>
                <w:i w:val="0"/>
                <w:iCs w:val="0"/>
                <w:color w:val="000000"/>
                <w:sz w:val="18"/>
                <w:szCs w:val="18"/>
                <w:u w:val="none"/>
              </w:rPr>
            </w:pPr>
          </w:p>
        </w:tc>
        <w:tc>
          <w:tcPr>
            <w:tcW w:w="725" w:type="pct"/>
            <w:tcBorders>
              <w:top w:val="nil"/>
              <w:left w:val="nil"/>
              <w:bottom w:val="nil"/>
              <w:right w:val="nil"/>
            </w:tcBorders>
            <w:shd w:val="clear" w:color="auto" w:fill="auto"/>
            <w:vAlign w:val="center"/>
          </w:tcPr>
          <w:p w14:paraId="293D9DB8">
            <w:pPr>
              <w:rPr>
                <w:rFonts w:hint="eastAsia" w:ascii="宋体" w:hAnsi="宋体" w:eastAsia="宋体" w:cs="宋体"/>
                <w:i w:val="0"/>
                <w:iCs w:val="0"/>
                <w:color w:val="000000"/>
                <w:sz w:val="18"/>
                <w:szCs w:val="18"/>
                <w:u w:val="none"/>
              </w:rPr>
            </w:pPr>
          </w:p>
        </w:tc>
        <w:tc>
          <w:tcPr>
            <w:tcW w:w="627" w:type="pct"/>
            <w:tcBorders>
              <w:top w:val="nil"/>
              <w:left w:val="nil"/>
              <w:bottom w:val="nil"/>
              <w:right w:val="nil"/>
            </w:tcBorders>
            <w:shd w:val="clear" w:color="auto" w:fill="auto"/>
            <w:vAlign w:val="center"/>
          </w:tcPr>
          <w:p w14:paraId="10BE22A0">
            <w:pPr>
              <w:rPr>
                <w:rFonts w:hint="eastAsia" w:ascii="宋体" w:hAnsi="宋体" w:eastAsia="宋体" w:cs="宋体"/>
                <w:i w:val="0"/>
                <w:iCs w:val="0"/>
                <w:color w:val="000000"/>
                <w:sz w:val="18"/>
                <w:szCs w:val="18"/>
                <w:u w:val="none"/>
              </w:rPr>
            </w:pPr>
          </w:p>
        </w:tc>
        <w:tc>
          <w:tcPr>
            <w:tcW w:w="800" w:type="pct"/>
            <w:tcBorders>
              <w:top w:val="nil"/>
              <w:left w:val="nil"/>
              <w:bottom w:val="nil"/>
              <w:right w:val="nil"/>
            </w:tcBorders>
            <w:shd w:val="clear" w:color="auto" w:fill="auto"/>
            <w:vAlign w:val="center"/>
          </w:tcPr>
          <w:p w14:paraId="44E732FF">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675EA3F5">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46B55111">
            <w:pPr>
              <w:rPr>
                <w:rFonts w:hint="eastAsia" w:ascii="宋体" w:hAnsi="宋体" w:eastAsia="宋体" w:cs="宋体"/>
                <w:i w:val="0"/>
                <w:iCs w:val="0"/>
                <w:color w:val="000000"/>
                <w:sz w:val="18"/>
                <w:szCs w:val="18"/>
                <w:u w:val="none"/>
              </w:rPr>
            </w:pPr>
          </w:p>
        </w:tc>
        <w:tc>
          <w:tcPr>
            <w:tcW w:w="185" w:type="pct"/>
            <w:tcBorders>
              <w:top w:val="nil"/>
              <w:left w:val="nil"/>
              <w:bottom w:val="nil"/>
              <w:right w:val="nil"/>
            </w:tcBorders>
            <w:shd w:val="clear" w:color="auto" w:fill="auto"/>
            <w:vAlign w:val="center"/>
          </w:tcPr>
          <w:p w14:paraId="2CED1257">
            <w:pPr>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auto"/>
            <w:vAlign w:val="center"/>
          </w:tcPr>
          <w:p w14:paraId="715DA632">
            <w:pPr>
              <w:rPr>
                <w:rFonts w:hint="eastAsia" w:ascii="宋体" w:hAnsi="宋体" w:eastAsia="宋体" w:cs="宋体"/>
                <w:i w:val="0"/>
                <w:iCs w:val="0"/>
                <w:color w:val="000000"/>
                <w:sz w:val="18"/>
                <w:szCs w:val="18"/>
                <w:u w:val="none"/>
              </w:rPr>
            </w:pPr>
          </w:p>
        </w:tc>
        <w:tc>
          <w:tcPr>
            <w:tcW w:w="187" w:type="pct"/>
            <w:tcBorders>
              <w:top w:val="nil"/>
              <w:left w:val="nil"/>
              <w:bottom w:val="nil"/>
              <w:right w:val="nil"/>
            </w:tcBorders>
            <w:shd w:val="clear" w:color="auto" w:fill="auto"/>
            <w:vAlign w:val="center"/>
          </w:tcPr>
          <w:p w14:paraId="66140F51">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56C69B63">
            <w:pPr>
              <w:rPr>
                <w:rFonts w:hint="eastAsia" w:ascii="宋体" w:hAnsi="宋体" w:eastAsia="宋体" w:cs="宋体"/>
                <w:i w:val="0"/>
                <w:iCs w:val="0"/>
                <w:color w:val="000000"/>
                <w:sz w:val="18"/>
                <w:szCs w:val="18"/>
                <w:u w:val="none"/>
              </w:rPr>
            </w:pPr>
          </w:p>
        </w:tc>
        <w:tc>
          <w:tcPr>
            <w:tcW w:w="905" w:type="pct"/>
            <w:tcBorders>
              <w:top w:val="nil"/>
              <w:left w:val="nil"/>
              <w:bottom w:val="nil"/>
              <w:right w:val="nil"/>
            </w:tcBorders>
            <w:shd w:val="clear" w:color="auto" w:fill="auto"/>
            <w:vAlign w:val="center"/>
          </w:tcPr>
          <w:p w14:paraId="1C9744F6">
            <w:pPr>
              <w:rPr>
                <w:rFonts w:hint="eastAsia" w:ascii="宋体" w:hAnsi="宋体" w:eastAsia="宋体" w:cs="宋体"/>
                <w:i w:val="0"/>
                <w:iCs w:val="0"/>
                <w:color w:val="000000"/>
                <w:sz w:val="18"/>
                <w:szCs w:val="18"/>
                <w:u w:val="none"/>
              </w:rPr>
            </w:pPr>
          </w:p>
        </w:tc>
      </w:tr>
      <w:tr w14:paraId="3FA21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4CC221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2F2F6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19D6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6690E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51323322T000007271873-方舱隔离点建设</w:t>
            </w:r>
          </w:p>
        </w:tc>
      </w:tr>
      <w:tr w14:paraId="346A4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8650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A016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6" w:type="pct"/>
            <w:tcBorders>
              <w:top w:val="nil"/>
              <w:left w:val="nil"/>
              <w:bottom w:val="nil"/>
              <w:right w:val="nil"/>
            </w:tcBorders>
            <w:shd w:val="clear" w:color="auto" w:fill="auto"/>
            <w:vAlign w:val="center"/>
          </w:tcPr>
          <w:p w14:paraId="3D2A19C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5834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红原县卫生健康局事业</w:t>
            </w:r>
          </w:p>
        </w:tc>
      </w:tr>
      <w:tr w14:paraId="028A8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283A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8FBB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E35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9AE5F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4367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A0E46">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E30BF">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46ED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完成方舱隔离点二期建设项目的验收和剩余尾款支付。</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699ED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14:paraId="25DB5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F2020">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25A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13B14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对二期建设项目内容进行验收：一是1#住宿楼进行提升装修；二是1#商业楼进行简装；三是电梯、大型消毒设备的采购或安装等。</w:t>
            </w:r>
          </w:p>
        </w:tc>
      </w:tr>
      <w:tr w14:paraId="77BFC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6145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875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1E7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DDC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A211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476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DF8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501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F45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F1D2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501A9">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D92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DA1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387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695.40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1768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689.32</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458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99.13%</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4B8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74DB8">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95DE85">
            <w:pPr>
              <w:rPr>
                <w:rFonts w:hint="eastAsia" w:ascii="黑体" w:hAnsi="黑体" w:eastAsia="黑体" w:cs="黑体"/>
                <w:i/>
                <w:iCs/>
                <w:color w:val="000000"/>
                <w:sz w:val="18"/>
                <w:szCs w:val="18"/>
                <w:u w:val="none"/>
              </w:rPr>
            </w:pPr>
          </w:p>
        </w:tc>
      </w:tr>
      <w:tr w14:paraId="6C541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D6466">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934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29A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351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695.40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D78D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689.32</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05E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99.13%</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BB1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811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F6C1B">
            <w:pPr>
              <w:rPr>
                <w:rFonts w:hint="eastAsia" w:ascii="黑体" w:hAnsi="黑体" w:eastAsia="黑体" w:cs="黑体"/>
                <w:i/>
                <w:iCs/>
                <w:color w:val="000000"/>
                <w:sz w:val="18"/>
                <w:szCs w:val="18"/>
                <w:u w:val="none"/>
              </w:rPr>
            </w:pPr>
          </w:p>
        </w:tc>
      </w:tr>
      <w:tr w14:paraId="50A61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4E76D">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F5B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E7F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578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3BDA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878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B14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561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53EC7">
            <w:pPr>
              <w:rPr>
                <w:rFonts w:hint="eastAsia" w:ascii="黑体" w:hAnsi="黑体" w:eastAsia="黑体" w:cs="黑体"/>
                <w:i/>
                <w:iCs/>
                <w:color w:val="000000"/>
                <w:sz w:val="18"/>
                <w:szCs w:val="18"/>
                <w:u w:val="none"/>
              </w:rPr>
            </w:pPr>
          </w:p>
        </w:tc>
      </w:tr>
      <w:tr w14:paraId="2B37B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F8026">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FB4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4E4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AEB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28BA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604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3D1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DD2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42A25">
            <w:pPr>
              <w:rPr>
                <w:rFonts w:hint="eastAsia" w:ascii="黑体" w:hAnsi="黑体" w:eastAsia="黑体" w:cs="黑体"/>
                <w:i/>
                <w:iCs/>
                <w:color w:val="000000"/>
                <w:sz w:val="18"/>
                <w:szCs w:val="18"/>
                <w:u w:val="none"/>
              </w:rPr>
            </w:pPr>
          </w:p>
        </w:tc>
      </w:tr>
      <w:tr w14:paraId="04A3C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71B96">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6C6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880C6">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7DBB7">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964D06">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10744">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C3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D7D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D6BE7">
            <w:pPr>
              <w:rPr>
                <w:rFonts w:hint="eastAsia" w:ascii="黑体" w:hAnsi="黑体" w:eastAsia="黑体" w:cs="黑体"/>
                <w:i/>
                <w:iCs/>
                <w:color w:val="000000"/>
                <w:sz w:val="18"/>
                <w:szCs w:val="18"/>
                <w:u w:val="none"/>
              </w:rPr>
            </w:pPr>
          </w:p>
        </w:tc>
      </w:tr>
      <w:tr w14:paraId="169B6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A4C1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1EE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1D1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04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AB1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E3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88E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D63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6BF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46F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D7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C6C3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5D0F6">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61317">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FD18E">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21C82">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97776">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E7EC7">
            <w:pPr>
              <w:jc w:val="center"/>
              <w:rPr>
                <w:rFonts w:hint="eastAsia" w:ascii="宋体" w:hAnsi="宋体" w:eastAsia="宋体" w:cs="宋体"/>
                <w:i w:val="0"/>
                <w:iCs w:val="0"/>
                <w:color w:val="000000"/>
                <w:sz w:val="18"/>
                <w:szCs w:val="18"/>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DD953">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94607">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C7B98">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D484A">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DB540">
            <w:pPr>
              <w:jc w:val="center"/>
              <w:rPr>
                <w:rFonts w:hint="eastAsia" w:ascii="微软雅黑" w:hAnsi="微软雅黑" w:eastAsia="微软雅黑" w:cs="微软雅黑"/>
                <w:i/>
                <w:iCs/>
                <w:color w:val="000000"/>
                <w:sz w:val="16"/>
                <w:szCs w:val="16"/>
                <w:u w:val="none"/>
              </w:rPr>
            </w:pPr>
          </w:p>
        </w:tc>
      </w:tr>
      <w:tr w14:paraId="23505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4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92A39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CF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75DC7">
            <w:pP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606CC">
            <w:pPr>
              <w:rPr>
                <w:rFonts w:hint="eastAsia" w:ascii="宋体" w:hAnsi="宋体" w:eastAsia="宋体" w:cs="宋体"/>
                <w:i w:val="0"/>
                <w:iCs w:val="0"/>
                <w:color w:val="000000"/>
                <w:sz w:val="18"/>
                <w:szCs w:val="18"/>
                <w:u w:val="none"/>
              </w:rPr>
            </w:pPr>
          </w:p>
        </w:tc>
      </w:tr>
      <w:tr w14:paraId="2A03E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212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2E986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自评总分100分，成效或成果：全面提升了我县隔离救治和应急处置能力水平，为全县疫情防控提供坚强有力的保障。</w:t>
            </w:r>
          </w:p>
        </w:tc>
      </w:tr>
      <w:tr w14:paraId="3DEB0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44C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71507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BD8F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97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14EDF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7707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896B9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项目负责人：周礼全</w:t>
            </w:r>
          </w:p>
        </w:tc>
        <w:tc>
          <w:tcPr>
            <w:tcW w:w="242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8E0DDF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财务负责人：熊莲英</w:t>
            </w:r>
          </w:p>
        </w:tc>
      </w:tr>
      <w:tr w14:paraId="438ED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3D367634">
            <w:pPr>
              <w:rPr>
                <w:rFonts w:hint="eastAsia" w:ascii="宋体" w:hAnsi="宋体" w:eastAsia="宋体" w:cs="宋体"/>
                <w:i w:val="0"/>
                <w:iCs w:val="0"/>
                <w:color w:val="000000"/>
                <w:sz w:val="18"/>
                <w:szCs w:val="18"/>
                <w:u w:val="none"/>
              </w:rPr>
            </w:pPr>
          </w:p>
        </w:tc>
        <w:tc>
          <w:tcPr>
            <w:tcW w:w="725" w:type="pct"/>
            <w:tcBorders>
              <w:top w:val="nil"/>
              <w:left w:val="nil"/>
              <w:bottom w:val="nil"/>
              <w:right w:val="nil"/>
            </w:tcBorders>
            <w:shd w:val="clear" w:color="auto" w:fill="auto"/>
            <w:vAlign w:val="center"/>
          </w:tcPr>
          <w:p w14:paraId="6197E3D9">
            <w:pPr>
              <w:rPr>
                <w:rFonts w:hint="eastAsia" w:ascii="宋体" w:hAnsi="宋体" w:eastAsia="宋体" w:cs="宋体"/>
                <w:i w:val="0"/>
                <w:iCs w:val="0"/>
                <w:color w:val="000000"/>
                <w:sz w:val="18"/>
                <w:szCs w:val="18"/>
                <w:u w:val="none"/>
              </w:rPr>
            </w:pPr>
          </w:p>
        </w:tc>
        <w:tc>
          <w:tcPr>
            <w:tcW w:w="627" w:type="pct"/>
            <w:tcBorders>
              <w:top w:val="nil"/>
              <w:left w:val="nil"/>
              <w:bottom w:val="nil"/>
              <w:right w:val="nil"/>
            </w:tcBorders>
            <w:shd w:val="clear" w:color="auto" w:fill="auto"/>
            <w:vAlign w:val="center"/>
          </w:tcPr>
          <w:p w14:paraId="51D14E32">
            <w:pPr>
              <w:rPr>
                <w:rFonts w:hint="eastAsia" w:ascii="宋体" w:hAnsi="宋体" w:eastAsia="宋体" w:cs="宋体"/>
                <w:i w:val="0"/>
                <w:iCs w:val="0"/>
                <w:color w:val="000000"/>
                <w:sz w:val="18"/>
                <w:szCs w:val="18"/>
                <w:u w:val="none"/>
              </w:rPr>
            </w:pPr>
          </w:p>
        </w:tc>
        <w:tc>
          <w:tcPr>
            <w:tcW w:w="800" w:type="pct"/>
            <w:tcBorders>
              <w:top w:val="nil"/>
              <w:left w:val="nil"/>
              <w:bottom w:val="nil"/>
              <w:right w:val="nil"/>
            </w:tcBorders>
            <w:shd w:val="clear" w:color="auto" w:fill="auto"/>
            <w:vAlign w:val="center"/>
          </w:tcPr>
          <w:p w14:paraId="54F3983C">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0688DD58">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604A8F1F">
            <w:pPr>
              <w:rPr>
                <w:rFonts w:hint="eastAsia" w:ascii="宋体" w:hAnsi="宋体" w:eastAsia="宋体" w:cs="宋体"/>
                <w:i w:val="0"/>
                <w:iCs w:val="0"/>
                <w:color w:val="000000"/>
                <w:sz w:val="18"/>
                <w:szCs w:val="18"/>
                <w:u w:val="none"/>
              </w:rPr>
            </w:pPr>
          </w:p>
        </w:tc>
        <w:tc>
          <w:tcPr>
            <w:tcW w:w="185" w:type="pct"/>
            <w:tcBorders>
              <w:top w:val="nil"/>
              <w:left w:val="nil"/>
              <w:bottom w:val="nil"/>
              <w:right w:val="nil"/>
            </w:tcBorders>
            <w:shd w:val="clear" w:color="auto" w:fill="auto"/>
            <w:vAlign w:val="center"/>
          </w:tcPr>
          <w:p w14:paraId="783AEE50">
            <w:pPr>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auto"/>
            <w:vAlign w:val="center"/>
          </w:tcPr>
          <w:p w14:paraId="67894404">
            <w:pPr>
              <w:rPr>
                <w:rFonts w:hint="eastAsia" w:ascii="宋体" w:hAnsi="宋体" w:eastAsia="宋体" w:cs="宋体"/>
                <w:i w:val="0"/>
                <w:iCs w:val="0"/>
                <w:color w:val="000000"/>
                <w:sz w:val="18"/>
                <w:szCs w:val="18"/>
                <w:u w:val="none"/>
              </w:rPr>
            </w:pPr>
          </w:p>
        </w:tc>
        <w:tc>
          <w:tcPr>
            <w:tcW w:w="187" w:type="pct"/>
            <w:tcBorders>
              <w:top w:val="nil"/>
              <w:left w:val="nil"/>
              <w:bottom w:val="nil"/>
              <w:right w:val="nil"/>
            </w:tcBorders>
            <w:shd w:val="clear" w:color="auto" w:fill="auto"/>
            <w:vAlign w:val="center"/>
          </w:tcPr>
          <w:p w14:paraId="5BF5D799">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41DDA24C">
            <w:pPr>
              <w:rPr>
                <w:rFonts w:hint="eastAsia" w:ascii="宋体" w:hAnsi="宋体" w:eastAsia="宋体" w:cs="宋体"/>
                <w:i w:val="0"/>
                <w:iCs w:val="0"/>
                <w:color w:val="000000"/>
                <w:sz w:val="18"/>
                <w:szCs w:val="18"/>
                <w:u w:val="none"/>
              </w:rPr>
            </w:pPr>
          </w:p>
        </w:tc>
        <w:tc>
          <w:tcPr>
            <w:tcW w:w="905" w:type="pct"/>
            <w:tcBorders>
              <w:top w:val="nil"/>
              <w:left w:val="nil"/>
              <w:bottom w:val="nil"/>
              <w:right w:val="nil"/>
            </w:tcBorders>
            <w:shd w:val="clear" w:color="auto" w:fill="auto"/>
            <w:vAlign w:val="center"/>
          </w:tcPr>
          <w:p w14:paraId="7A9BD6C2">
            <w:pPr>
              <w:rPr>
                <w:rFonts w:hint="eastAsia" w:ascii="宋体" w:hAnsi="宋体" w:eastAsia="宋体" w:cs="宋体"/>
                <w:i w:val="0"/>
                <w:iCs w:val="0"/>
                <w:color w:val="000000"/>
                <w:sz w:val="18"/>
                <w:szCs w:val="18"/>
                <w:u w:val="none"/>
              </w:rPr>
            </w:pPr>
          </w:p>
        </w:tc>
      </w:tr>
      <w:tr w14:paraId="7B924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17930C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6663E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2521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7A664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51323323T000008937817-红原县瓦切镇中心卫生高压氧舱建设项目</w:t>
            </w:r>
          </w:p>
        </w:tc>
      </w:tr>
      <w:tr w14:paraId="29FEA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FC9B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37AD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6" w:type="pct"/>
            <w:tcBorders>
              <w:top w:val="nil"/>
              <w:left w:val="nil"/>
              <w:bottom w:val="nil"/>
              <w:right w:val="nil"/>
            </w:tcBorders>
            <w:shd w:val="clear" w:color="auto" w:fill="auto"/>
            <w:vAlign w:val="center"/>
          </w:tcPr>
          <w:p w14:paraId="70DABF5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8879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红原县卫生健康局事业</w:t>
            </w:r>
          </w:p>
        </w:tc>
      </w:tr>
      <w:tr w14:paraId="6C0CB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5809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4D4D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994D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19417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696C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742BB">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661D8">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2B47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项目入场完成基础</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084DC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w:t>
            </w:r>
          </w:p>
        </w:tc>
      </w:tr>
      <w:tr w14:paraId="61EBB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1ECA4">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BB0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DB88B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瓦切镇中心卫生院高压氧舱业务用房建设。</w:t>
            </w:r>
          </w:p>
        </w:tc>
      </w:tr>
      <w:tr w14:paraId="2A61B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D2F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9DF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D69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27E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C8BA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48F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E4D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17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66C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AA70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8E907">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EBC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D1E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39B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9.36</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493C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0.85</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670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9.06%</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9A8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1F8E1">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838DC4">
            <w:pPr>
              <w:rPr>
                <w:rFonts w:hint="eastAsia" w:ascii="黑体" w:hAnsi="黑体" w:eastAsia="黑体" w:cs="黑体"/>
                <w:i/>
                <w:iCs/>
                <w:color w:val="000000"/>
                <w:sz w:val="18"/>
                <w:szCs w:val="18"/>
                <w:u w:val="none"/>
              </w:rPr>
            </w:pPr>
          </w:p>
        </w:tc>
      </w:tr>
      <w:tr w14:paraId="39105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98E3E">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5BE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E9F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5A9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9.36</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226F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0.85</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A17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9.06%</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9C3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94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EB598">
            <w:pPr>
              <w:rPr>
                <w:rFonts w:hint="eastAsia" w:ascii="黑体" w:hAnsi="黑体" w:eastAsia="黑体" w:cs="黑体"/>
                <w:i/>
                <w:iCs/>
                <w:color w:val="000000"/>
                <w:sz w:val="18"/>
                <w:szCs w:val="18"/>
                <w:u w:val="none"/>
              </w:rPr>
            </w:pPr>
          </w:p>
        </w:tc>
      </w:tr>
      <w:tr w14:paraId="69F00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52BF8">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E1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61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FD5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A57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54C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205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B35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A6E02">
            <w:pPr>
              <w:rPr>
                <w:rFonts w:hint="eastAsia" w:ascii="黑体" w:hAnsi="黑体" w:eastAsia="黑体" w:cs="黑体"/>
                <w:i/>
                <w:iCs/>
                <w:color w:val="000000"/>
                <w:sz w:val="18"/>
                <w:szCs w:val="18"/>
                <w:u w:val="none"/>
              </w:rPr>
            </w:pPr>
          </w:p>
        </w:tc>
      </w:tr>
      <w:tr w14:paraId="64B09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225D6">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BED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3A9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B3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1EA2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255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978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F92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FFAF1">
            <w:pPr>
              <w:rPr>
                <w:rFonts w:hint="eastAsia" w:ascii="黑体" w:hAnsi="黑体" w:eastAsia="黑体" w:cs="黑体"/>
                <w:i/>
                <w:iCs/>
                <w:color w:val="000000"/>
                <w:sz w:val="18"/>
                <w:szCs w:val="18"/>
                <w:u w:val="none"/>
              </w:rPr>
            </w:pPr>
          </w:p>
        </w:tc>
      </w:tr>
      <w:tr w14:paraId="322C1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F3B5C">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72D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393DD">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95E18">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4DF38D">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E4E0F">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76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0F2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DCB54">
            <w:pPr>
              <w:rPr>
                <w:rFonts w:hint="eastAsia" w:ascii="黑体" w:hAnsi="黑体" w:eastAsia="黑体" w:cs="黑体"/>
                <w:i/>
                <w:iCs/>
                <w:color w:val="000000"/>
                <w:sz w:val="18"/>
                <w:szCs w:val="18"/>
                <w:u w:val="none"/>
              </w:rPr>
            </w:pPr>
          </w:p>
        </w:tc>
      </w:tr>
      <w:tr w14:paraId="6479E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5C20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D72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A16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5C0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782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40A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42C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ECA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52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2CE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51B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DB22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626CE">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31A23">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305B9">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66C3B">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DB770">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0A369">
            <w:pPr>
              <w:jc w:val="center"/>
              <w:rPr>
                <w:rFonts w:hint="eastAsia" w:ascii="宋体" w:hAnsi="宋体" w:eastAsia="宋体" w:cs="宋体"/>
                <w:i w:val="0"/>
                <w:iCs w:val="0"/>
                <w:color w:val="000000"/>
                <w:sz w:val="18"/>
                <w:szCs w:val="18"/>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9107F">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129D4">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8300D">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09992">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CA59A">
            <w:pPr>
              <w:jc w:val="center"/>
              <w:rPr>
                <w:rFonts w:hint="eastAsia" w:ascii="微软雅黑" w:hAnsi="微软雅黑" w:eastAsia="微软雅黑" w:cs="微软雅黑"/>
                <w:i/>
                <w:iCs/>
                <w:color w:val="000000"/>
                <w:sz w:val="16"/>
                <w:szCs w:val="16"/>
                <w:u w:val="none"/>
              </w:rPr>
            </w:pPr>
          </w:p>
        </w:tc>
      </w:tr>
      <w:tr w14:paraId="51A40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4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09EF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3D1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03475">
            <w:pP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432D2">
            <w:pPr>
              <w:rPr>
                <w:rFonts w:hint="eastAsia" w:ascii="宋体" w:hAnsi="宋体" w:eastAsia="宋体" w:cs="宋体"/>
                <w:i w:val="0"/>
                <w:iCs w:val="0"/>
                <w:color w:val="000000"/>
                <w:sz w:val="18"/>
                <w:szCs w:val="18"/>
                <w:u w:val="none"/>
              </w:rPr>
            </w:pPr>
          </w:p>
        </w:tc>
      </w:tr>
      <w:tr w14:paraId="58159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D00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66C2C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自评总分100分，取得的成效或成果</w:t>
            </w:r>
          </w:p>
        </w:tc>
      </w:tr>
      <w:tr w14:paraId="5F5AC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862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2D55B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工期滞后</w:t>
            </w:r>
          </w:p>
        </w:tc>
      </w:tr>
      <w:tr w14:paraId="5CE88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1C7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7F223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对施工方进行处罚</w:t>
            </w:r>
          </w:p>
        </w:tc>
      </w:tr>
      <w:tr w14:paraId="44D47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3469C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项目负责人：斯小伟</w:t>
            </w:r>
          </w:p>
        </w:tc>
        <w:tc>
          <w:tcPr>
            <w:tcW w:w="242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6DBB3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财务负责人：熊莲英</w:t>
            </w:r>
          </w:p>
        </w:tc>
      </w:tr>
      <w:tr w14:paraId="26DC8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39E711C8">
            <w:pPr>
              <w:rPr>
                <w:rFonts w:hint="eastAsia" w:ascii="宋体" w:hAnsi="宋体" w:eastAsia="宋体" w:cs="宋体"/>
                <w:i w:val="0"/>
                <w:iCs w:val="0"/>
                <w:color w:val="000000"/>
                <w:sz w:val="18"/>
                <w:szCs w:val="18"/>
                <w:u w:val="none"/>
              </w:rPr>
            </w:pPr>
          </w:p>
        </w:tc>
        <w:tc>
          <w:tcPr>
            <w:tcW w:w="725" w:type="pct"/>
            <w:tcBorders>
              <w:top w:val="nil"/>
              <w:left w:val="nil"/>
              <w:bottom w:val="nil"/>
              <w:right w:val="nil"/>
            </w:tcBorders>
            <w:shd w:val="clear" w:color="auto" w:fill="auto"/>
            <w:vAlign w:val="center"/>
          </w:tcPr>
          <w:p w14:paraId="6C851BB1">
            <w:pPr>
              <w:rPr>
                <w:rFonts w:hint="eastAsia" w:ascii="宋体" w:hAnsi="宋体" w:eastAsia="宋体" w:cs="宋体"/>
                <w:i w:val="0"/>
                <w:iCs w:val="0"/>
                <w:color w:val="000000"/>
                <w:sz w:val="18"/>
                <w:szCs w:val="18"/>
                <w:u w:val="none"/>
              </w:rPr>
            </w:pPr>
          </w:p>
        </w:tc>
        <w:tc>
          <w:tcPr>
            <w:tcW w:w="627" w:type="pct"/>
            <w:tcBorders>
              <w:top w:val="nil"/>
              <w:left w:val="nil"/>
              <w:bottom w:val="nil"/>
              <w:right w:val="nil"/>
            </w:tcBorders>
            <w:shd w:val="clear" w:color="auto" w:fill="auto"/>
            <w:vAlign w:val="center"/>
          </w:tcPr>
          <w:p w14:paraId="13B59061">
            <w:pPr>
              <w:rPr>
                <w:rFonts w:hint="eastAsia" w:ascii="宋体" w:hAnsi="宋体" w:eastAsia="宋体" w:cs="宋体"/>
                <w:i w:val="0"/>
                <w:iCs w:val="0"/>
                <w:color w:val="000000"/>
                <w:sz w:val="18"/>
                <w:szCs w:val="18"/>
                <w:u w:val="none"/>
              </w:rPr>
            </w:pPr>
          </w:p>
        </w:tc>
        <w:tc>
          <w:tcPr>
            <w:tcW w:w="800" w:type="pct"/>
            <w:tcBorders>
              <w:top w:val="nil"/>
              <w:left w:val="nil"/>
              <w:bottom w:val="nil"/>
              <w:right w:val="nil"/>
            </w:tcBorders>
            <w:shd w:val="clear" w:color="auto" w:fill="auto"/>
            <w:vAlign w:val="center"/>
          </w:tcPr>
          <w:p w14:paraId="3A4FF5C9">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47B9BBED">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5AB79E27">
            <w:pPr>
              <w:rPr>
                <w:rFonts w:hint="eastAsia" w:ascii="宋体" w:hAnsi="宋体" w:eastAsia="宋体" w:cs="宋体"/>
                <w:i w:val="0"/>
                <w:iCs w:val="0"/>
                <w:color w:val="000000"/>
                <w:sz w:val="18"/>
                <w:szCs w:val="18"/>
                <w:u w:val="none"/>
              </w:rPr>
            </w:pPr>
          </w:p>
        </w:tc>
        <w:tc>
          <w:tcPr>
            <w:tcW w:w="185" w:type="pct"/>
            <w:tcBorders>
              <w:top w:val="nil"/>
              <w:left w:val="nil"/>
              <w:bottom w:val="nil"/>
              <w:right w:val="nil"/>
            </w:tcBorders>
            <w:shd w:val="clear" w:color="auto" w:fill="auto"/>
            <w:vAlign w:val="center"/>
          </w:tcPr>
          <w:p w14:paraId="7562DE03">
            <w:pPr>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auto"/>
            <w:vAlign w:val="center"/>
          </w:tcPr>
          <w:p w14:paraId="1F7EE2E7">
            <w:pPr>
              <w:rPr>
                <w:rFonts w:hint="eastAsia" w:ascii="宋体" w:hAnsi="宋体" w:eastAsia="宋体" w:cs="宋体"/>
                <w:i w:val="0"/>
                <w:iCs w:val="0"/>
                <w:color w:val="000000"/>
                <w:sz w:val="18"/>
                <w:szCs w:val="18"/>
                <w:u w:val="none"/>
              </w:rPr>
            </w:pPr>
          </w:p>
        </w:tc>
        <w:tc>
          <w:tcPr>
            <w:tcW w:w="187" w:type="pct"/>
            <w:tcBorders>
              <w:top w:val="nil"/>
              <w:left w:val="nil"/>
              <w:bottom w:val="nil"/>
              <w:right w:val="nil"/>
            </w:tcBorders>
            <w:shd w:val="clear" w:color="auto" w:fill="auto"/>
            <w:vAlign w:val="center"/>
          </w:tcPr>
          <w:p w14:paraId="46D28824">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447517CE">
            <w:pPr>
              <w:rPr>
                <w:rFonts w:hint="eastAsia" w:ascii="宋体" w:hAnsi="宋体" w:eastAsia="宋体" w:cs="宋体"/>
                <w:i w:val="0"/>
                <w:iCs w:val="0"/>
                <w:color w:val="000000"/>
                <w:sz w:val="18"/>
                <w:szCs w:val="18"/>
                <w:u w:val="none"/>
              </w:rPr>
            </w:pPr>
          </w:p>
        </w:tc>
        <w:tc>
          <w:tcPr>
            <w:tcW w:w="905" w:type="pct"/>
            <w:tcBorders>
              <w:top w:val="nil"/>
              <w:left w:val="nil"/>
              <w:bottom w:val="nil"/>
              <w:right w:val="nil"/>
            </w:tcBorders>
            <w:shd w:val="clear" w:color="auto" w:fill="auto"/>
            <w:vAlign w:val="center"/>
          </w:tcPr>
          <w:p w14:paraId="0EEFD6D1">
            <w:pPr>
              <w:rPr>
                <w:rFonts w:hint="eastAsia" w:ascii="宋体" w:hAnsi="宋体" w:eastAsia="宋体" w:cs="宋体"/>
                <w:i w:val="0"/>
                <w:iCs w:val="0"/>
                <w:color w:val="000000"/>
                <w:sz w:val="18"/>
                <w:szCs w:val="18"/>
                <w:u w:val="none"/>
              </w:rPr>
            </w:pPr>
          </w:p>
        </w:tc>
      </w:tr>
      <w:tr w14:paraId="1D788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A4E015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19453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FBC6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4932C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51323323T000009028634-公共卫生特别服务岗</w:t>
            </w:r>
          </w:p>
        </w:tc>
      </w:tr>
      <w:tr w14:paraId="499DE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74999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385B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6" w:type="pct"/>
            <w:tcBorders>
              <w:top w:val="nil"/>
              <w:left w:val="nil"/>
              <w:bottom w:val="nil"/>
              <w:right w:val="nil"/>
            </w:tcBorders>
            <w:shd w:val="clear" w:color="auto" w:fill="auto"/>
            <w:vAlign w:val="center"/>
          </w:tcPr>
          <w:p w14:paraId="6831BA1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5E4E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红原县卫生健康局事业</w:t>
            </w:r>
          </w:p>
        </w:tc>
      </w:tr>
      <w:tr w14:paraId="46BE6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1231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D6E2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E142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9DFD5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A1FB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70214">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368BD">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9163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完成截止2023年9月我县在岗8名公共卫生特别服务岗人员待遇</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B0B67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人员薪酬每月按时保障</w:t>
            </w:r>
          </w:p>
        </w:tc>
      </w:tr>
      <w:tr w14:paraId="35214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3918D">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98E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7D489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我县参照当地新招聘事业人员试用期满后待遇水平确定了医疗岗人员薪酬待遇。在省、州暂未下达补助资金，资金由县人民政府保障，并每年根据实际纳入县级财政预算。</w:t>
            </w:r>
          </w:p>
        </w:tc>
      </w:tr>
      <w:tr w14:paraId="2B244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C17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6B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2D1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A17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EAAE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9CB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893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BEB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DA0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AF68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75DB5">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05A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154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221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44.63</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EE3D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32.63</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EAB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73.11%</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95F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E8365">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F3C91F">
            <w:pPr>
              <w:rPr>
                <w:rFonts w:hint="eastAsia" w:ascii="黑体" w:hAnsi="黑体" w:eastAsia="黑体" w:cs="黑体"/>
                <w:i/>
                <w:iCs/>
                <w:color w:val="000000"/>
                <w:sz w:val="18"/>
                <w:szCs w:val="18"/>
                <w:u w:val="none"/>
              </w:rPr>
            </w:pPr>
          </w:p>
        </w:tc>
      </w:tr>
      <w:tr w14:paraId="5DE20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B4F80">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C7B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A01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59D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44.63</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8878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32.63</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1B2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73.11%</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06D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D0F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149B5">
            <w:pPr>
              <w:rPr>
                <w:rFonts w:hint="eastAsia" w:ascii="黑体" w:hAnsi="黑体" w:eastAsia="黑体" w:cs="黑体"/>
                <w:i/>
                <w:iCs/>
                <w:color w:val="000000"/>
                <w:sz w:val="18"/>
                <w:szCs w:val="18"/>
                <w:u w:val="none"/>
              </w:rPr>
            </w:pPr>
          </w:p>
        </w:tc>
      </w:tr>
      <w:tr w14:paraId="63F81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45081">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200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15A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BA5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091E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91A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533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A72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63A5A">
            <w:pPr>
              <w:rPr>
                <w:rFonts w:hint="eastAsia" w:ascii="黑体" w:hAnsi="黑体" w:eastAsia="黑体" w:cs="黑体"/>
                <w:i/>
                <w:iCs/>
                <w:color w:val="000000"/>
                <w:sz w:val="18"/>
                <w:szCs w:val="18"/>
                <w:u w:val="none"/>
              </w:rPr>
            </w:pPr>
          </w:p>
        </w:tc>
      </w:tr>
      <w:tr w14:paraId="05C0A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333E6">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56C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A47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756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EA91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6B8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52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926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FBE2D">
            <w:pPr>
              <w:rPr>
                <w:rFonts w:hint="eastAsia" w:ascii="黑体" w:hAnsi="黑体" w:eastAsia="黑体" w:cs="黑体"/>
                <w:i/>
                <w:iCs/>
                <w:color w:val="000000"/>
                <w:sz w:val="18"/>
                <w:szCs w:val="18"/>
                <w:u w:val="none"/>
              </w:rPr>
            </w:pPr>
          </w:p>
        </w:tc>
      </w:tr>
      <w:tr w14:paraId="6F378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54362">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FF1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CB143">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74757">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D4F8DC">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42529">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182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59B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783DB">
            <w:pPr>
              <w:rPr>
                <w:rFonts w:hint="eastAsia" w:ascii="黑体" w:hAnsi="黑体" w:eastAsia="黑体" w:cs="黑体"/>
                <w:i/>
                <w:iCs/>
                <w:color w:val="000000"/>
                <w:sz w:val="18"/>
                <w:szCs w:val="18"/>
                <w:u w:val="none"/>
              </w:rPr>
            </w:pPr>
          </w:p>
        </w:tc>
      </w:tr>
      <w:tr w14:paraId="52D54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FBF8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180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8BC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C65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982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B1D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A4C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8D0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DA0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A2F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A7F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EEF1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79774">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8BE13">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BFF89">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B414C">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034DE">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D1B66">
            <w:pPr>
              <w:jc w:val="center"/>
              <w:rPr>
                <w:rFonts w:hint="eastAsia" w:ascii="宋体" w:hAnsi="宋体" w:eastAsia="宋体" w:cs="宋体"/>
                <w:i w:val="0"/>
                <w:iCs w:val="0"/>
                <w:color w:val="000000"/>
                <w:sz w:val="18"/>
                <w:szCs w:val="18"/>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3023F">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EAC45">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44736">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8FE72">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55097">
            <w:pPr>
              <w:jc w:val="center"/>
              <w:rPr>
                <w:rFonts w:hint="eastAsia" w:ascii="微软雅黑" w:hAnsi="微软雅黑" w:eastAsia="微软雅黑" w:cs="微软雅黑"/>
                <w:i/>
                <w:iCs/>
                <w:color w:val="000000"/>
                <w:sz w:val="16"/>
                <w:szCs w:val="16"/>
                <w:u w:val="none"/>
              </w:rPr>
            </w:pPr>
          </w:p>
        </w:tc>
      </w:tr>
      <w:tr w14:paraId="697A9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4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12607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39C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52643">
            <w:pP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BE138">
            <w:pPr>
              <w:rPr>
                <w:rFonts w:hint="eastAsia" w:ascii="宋体" w:hAnsi="宋体" w:eastAsia="宋体" w:cs="宋体"/>
                <w:i w:val="0"/>
                <w:iCs w:val="0"/>
                <w:color w:val="000000"/>
                <w:sz w:val="18"/>
                <w:szCs w:val="18"/>
                <w:u w:val="none"/>
              </w:rPr>
            </w:pPr>
          </w:p>
        </w:tc>
      </w:tr>
      <w:tr w14:paraId="71E7C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D18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790C5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人员待遇按照相关目标任务100%保障完成</w:t>
            </w:r>
          </w:p>
        </w:tc>
      </w:tr>
      <w:tr w14:paraId="2E466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46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63148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3EB8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E88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28F4A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1B30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1929A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项目负责人：张萌</w:t>
            </w:r>
          </w:p>
        </w:tc>
        <w:tc>
          <w:tcPr>
            <w:tcW w:w="242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54242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财务负责人：熊莲英</w:t>
            </w:r>
          </w:p>
        </w:tc>
      </w:tr>
      <w:tr w14:paraId="09C49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088551F5">
            <w:pPr>
              <w:rPr>
                <w:rFonts w:hint="eastAsia" w:ascii="宋体" w:hAnsi="宋体" w:eastAsia="宋体" w:cs="宋体"/>
                <w:i w:val="0"/>
                <w:iCs w:val="0"/>
                <w:color w:val="000000"/>
                <w:sz w:val="18"/>
                <w:szCs w:val="18"/>
                <w:u w:val="none"/>
              </w:rPr>
            </w:pPr>
          </w:p>
        </w:tc>
        <w:tc>
          <w:tcPr>
            <w:tcW w:w="725" w:type="pct"/>
            <w:tcBorders>
              <w:top w:val="nil"/>
              <w:left w:val="nil"/>
              <w:bottom w:val="nil"/>
              <w:right w:val="nil"/>
            </w:tcBorders>
            <w:shd w:val="clear" w:color="auto" w:fill="auto"/>
            <w:vAlign w:val="center"/>
          </w:tcPr>
          <w:p w14:paraId="36ADC10D">
            <w:pPr>
              <w:rPr>
                <w:rFonts w:hint="eastAsia" w:ascii="宋体" w:hAnsi="宋体" w:eastAsia="宋体" w:cs="宋体"/>
                <w:i w:val="0"/>
                <w:iCs w:val="0"/>
                <w:color w:val="000000"/>
                <w:sz w:val="18"/>
                <w:szCs w:val="18"/>
                <w:u w:val="none"/>
              </w:rPr>
            </w:pPr>
          </w:p>
        </w:tc>
        <w:tc>
          <w:tcPr>
            <w:tcW w:w="627" w:type="pct"/>
            <w:tcBorders>
              <w:top w:val="nil"/>
              <w:left w:val="nil"/>
              <w:bottom w:val="nil"/>
              <w:right w:val="nil"/>
            </w:tcBorders>
            <w:shd w:val="clear" w:color="auto" w:fill="auto"/>
            <w:vAlign w:val="center"/>
          </w:tcPr>
          <w:p w14:paraId="071BED72">
            <w:pPr>
              <w:rPr>
                <w:rFonts w:hint="eastAsia" w:ascii="宋体" w:hAnsi="宋体" w:eastAsia="宋体" w:cs="宋体"/>
                <w:i w:val="0"/>
                <w:iCs w:val="0"/>
                <w:color w:val="000000"/>
                <w:sz w:val="18"/>
                <w:szCs w:val="18"/>
                <w:u w:val="none"/>
              </w:rPr>
            </w:pPr>
          </w:p>
        </w:tc>
        <w:tc>
          <w:tcPr>
            <w:tcW w:w="800" w:type="pct"/>
            <w:tcBorders>
              <w:top w:val="nil"/>
              <w:left w:val="nil"/>
              <w:bottom w:val="nil"/>
              <w:right w:val="nil"/>
            </w:tcBorders>
            <w:shd w:val="clear" w:color="auto" w:fill="auto"/>
            <w:vAlign w:val="center"/>
          </w:tcPr>
          <w:p w14:paraId="6DA9B822">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5FC46965">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5B19E089">
            <w:pPr>
              <w:rPr>
                <w:rFonts w:hint="eastAsia" w:ascii="宋体" w:hAnsi="宋体" w:eastAsia="宋体" w:cs="宋体"/>
                <w:i w:val="0"/>
                <w:iCs w:val="0"/>
                <w:color w:val="000000"/>
                <w:sz w:val="18"/>
                <w:szCs w:val="18"/>
                <w:u w:val="none"/>
              </w:rPr>
            </w:pPr>
          </w:p>
        </w:tc>
        <w:tc>
          <w:tcPr>
            <w:tcW w:w="185" w:type="pct"/>
            <w:tcBorders>
              <w:top w:val="nil"/>
              <w:left w:val="nil"/>
              <w:bottom w:val="nil"/>
              <w:right w:val="nil"/>
            </w:tcBorders>
            <w:shd w:val="clear" w:color="auto" w:fill="auto"/>
            <w:vAlign w:val="center"/>
          </w:tcPr>
          <w:p w14:paraId="2CD118BE">
            <w:pPr>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auto"/>
            <w:vAlign w:val="center"/>
          </w:tcPr>
          <w:p w14:paraId="55077904">
            <w:pPr>
              <w:rPr>
                <w:rFonts w:hint="eastAsia" w:ascii="宋体" w:hAnsi="宋体" w:eastAsia="宋体" w:cs="宋体"/>
                <w:i w:val="0"/>
                <w:iCs w:val="0"/>
                <w:color w:val="000000"/>
                <w:sz w:val="18"/>
                <w:szCs w:val="18"/>
                <w:u w:val="none"/>
              </w:rPr>
            </w:pPr>
          </w:p>
        </w:tc>
        <w:tc>
          <w:tcPr>
            <w:tcW w:w="187" w:type="pct"/>
            <w:tcBorders>
              <w:top w:val="nil"/>
              <w:left w:val="nil"/>
              <w:bottom w:val="nil"/>
              <w:right w:val="nil"/>
            </w:tcBorders>
            <w:shd w:val="clear" w:color="auto" w:fill="auto"/>
            <w:vAlign w:val="center"/>
          </w:tcPr>
          <w:p w14:paraId="0F289EBD">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2AD53E6B">
            <w:pPr>
              <w:rPr>
                <w:rFonts w:hint="eastAsia" w:ascii="宋体" w:hAnsi="宋体" w:eastAsia="宋体" w:cs="宋体"/>
                <w:i w:val="0"/>
                <w:iCs w:val="0"/>
                <w:color w:val="000000"/>
                <w:sz w:val="18"/>
                <w:szCs w:val="18"/>
                <w:u w:val="none"/>
              </w:rPr>
            </w:pPr>
          </w:p>
        </w:tc>
        <w:tc>
          <w:tcPr>
            <w:tcW w:w="905" w:type="pct"/>
            <w:tcBorders>
              <w:top w:val="nil"/>
              <w:left w:val="nil"/>
              <w:bottom w:val="nil"/>
              <w:right w:val="nil"/>
            </w:tcBorders>
            <w:shd w:val="clear" w:color="auto" w:fill="auto"/>
            <w:vAlign w:val="center"/>
          </w:tcPr>
          <w:p w14:paraId="09AF8660">
            <w:pPr>
              <w:rPr>
                <w:rFonts w:hint="eastAsia" w:ascii="宋体" w:hAnsi="宋体" w:eastAsia="宋体" w:cs="宋体"/>
                <w:i w:val="0"/>
                <w:iCs w:val="0"/>
                <w:color w:val="000000"/>
                <w:sz w:val="18"/>
                <w:szCs w:val="18"/>
                <w:u w:val="none"/>
              </w:rPr>
            </w:pPr>
          </w:p>
        </w:tc>
      </w:tr>
      <w:tr w14:paraId="15B45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411FB2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2309B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5697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3A3A6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51323323T000009149875-红原县乡镇卫生院灾后恢复重建项目</w:t>
            </w:r>
          </w:p>
        </w:tc>
      </w:tr>
      <w:tr w14:paraId="50FF2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9162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9BD1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6" w:type="pct"/>
            <w:tcBorders>
              <w:top w:val="nil"/>
              <w:left w:val="nil"/>
              <w:bottom w:val="nil"/>
              <w:right w:val="nil"/>
            </w:tcBorders>
            <w:shd w:val="clear" w:color="auto" w:fill="auto"/>
            <w:vAlign w:val="center"/>
          </w:tcPr>
          <w:p w14:paraId="4B246D0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1C3D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红原县卫生健康局事业</w:t>
            </w:r>
          </w:p>
        </w:tc>
      </w:tr>
      <w:tr w14:paraId="06A60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E515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A67C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7616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D8146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9B7D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904AA">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42163">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AC3A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于2023年投入使用</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579FD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14:paraId="1A620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B5DD0">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880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926C3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改建查尔玛乡卫生院业务用房658平方米；改建江茸乡卫生院改建业务用房400平方米及附属设施。</w:t>
            </w:r>
          </w:p>
        </w:tc>
      </w:tr>
      <w:tr w14:paraId="0E9BF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AC5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08C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F52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420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FDD1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5DC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7D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1DD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E74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2BCD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5E865">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75E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315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A8E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256.55</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D4F3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253.38</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8BD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98.76%</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246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7F4D8">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2B3BB3">
            <w:pPr>
              <w:rPr>
                <w:rFonts w:hint="eastAsia" w:ascii="黑体" w:hAnsi="黑体" w:eastAsia="黑体" w:cs="黑体"/>
                <w:i/>
                <w:iCs/>
                <w:color w:val="000000"/>
                <w:sz w:val="18"/>
                <w:szCs w:val="18"/>
                <w:u w:val="none"/>
              </w:rPr>
            </w:pPr>
          </w:p>
        </w:tc>
      </w:tr>
      <w:tr w14:paraId="4573D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F1CA9">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750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873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20E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256.55</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D5C0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253.38</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F7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98.76%</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C10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94D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30E4C">
            <w:pPr>
              <w:rPr>
                <w:rFonts w:hint="eastAsia" w:ascii="黑体" w:hAnsi="黑体" w:eastAsia="黑体" w:cs="黑体"/>
                <w:i/>
                <w:iCs/>
                <w:color w:val="000000"/>
                <w:sz w:val="18"/>
                <w:szCs w:val="18"/>
                <w:u w:val="none"/>
              </w:rPr>
            </w:pPr>
          </w:p>
        </w:tc>
      </w:tr>
      <w:tr w14:paraId="0920F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FDB64">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E5F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66A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595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D360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80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FE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78D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44D8C">
            <w:pPr>
              <w:rPr>
                <w:rFonts w:hint="eastAsia" w:ascii="黑体" w:hAnsi="黑体" w:eastAsia="黑体" w:cs="黑体"/>
                <w:i/>
                <w:iCs/>
                <w:color w:val="000000"/>
                <w:sz w:val="18"/>
                <w:szCs w:val="18"/>
                <w:u w:val="none"/>
              </w:rPr>
            </w:pPr>
          </w:p>
        </w:tc>
      </w:tr>
      <w:tr w14:paraId="70681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3F144">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8D2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09D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2D9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AD7F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B0F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DFE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727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108B5">
            <w:pPr>
              <w:rPr>
                <w:rFonts w:hint="eastAsia" w:ascii="黑体" w:hAnsi="黑体" w:eastAsia="黑体" w:cs="黑体"/>
                <w:i/>
                <w:iCs/>
                <w:color w:val="000000"/>
                <w:sz w:val="18"/>
                <w:szCs w:val="18"/>
                <w:u w:val="none"/>
              </w:rPr>
            </w:pPr>
          </w:p>
        </w:tc>
      </w:tr>
      <w:tr w14:paraId="321B5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DB606">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937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413FA">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BE9E3">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C5354B">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AE1AD">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6C0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22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CFBAB">
            <w:pPr>
              <w:rPr>
                <w:rFonts w:hint="eastAsia" w:ascii="黑体" w:hAnsi="黑体" w:eastAsia="黑体" w:cs="黑体"/>
                <w:i/>
                <w:iCs/>
                <w:color w:val="000000"/>
                <w:sz w:val="18"/>
                <w:szCs w:val="18"/>
                <w:u w:val="none"/>
              </w:rPr>
            </w:pPr>
          </w:p>
        </w:tc>
      </w:tr>
      <w:tr w14:paraId="0BF0E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3BCE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01D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B5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D19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ABC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29A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D12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669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A7B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1D4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BF5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A051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8DCC1">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21F6B">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F6428">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F29A3">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44771">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8F8F8">
            <w:pPr>
              <w:jc w:val="center"/>
              <w:rPr>
                <w:rFonts w:hint="eastAsia" w:ascii="宋体" w:hAnsi="宋体" w:eastAsia="宋体" w:cs="宋体"/>
                <w:i w:val="0"/>
                <w:iCs w:val="0"/>
                <w:color w:val="000000"/>
                <w:sz w:val="18"/>
                <w:szCs w:val="18"/>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40D30">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F357A">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F373F">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B9644">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2A186">
            <w:pPr>
              <w:jc w:val="center"/>
              <w:rPr>
                <w:rFonts w:hint="eastAsia" w:ascii="微软雅黑" w:hAnsi="微软雅黑" w:eastAsia="微软雅黑" w:cs="微软雅黑"/>
                <w:i/>
                <w:iCs/>
                <w:color w:val="000000"/>
                <w:sz w:val="16"/>
                <w:szCs w:val="16"/>
                <w:u w:val="none"/>
              </w:rPr>
            </w:pPr>
          </w:p>
        </w:tc>
      </w:tr>
      <w:tr w14:paraId="1C15F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4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15A51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61D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24B95">
            <w:pP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3E69E">
            <w:pPr>
              <w:rPr>
                <w:rFonts w:hint="eastAsia" w:ascii="宋体" w:hAnsi="宋体" w:eastAsia="宋体" w:cs="宋体"/>
                <w:i w:val="0"/>
                <w:iCs w:val="0"/>
                <w:color w:val="000000"/>
                <w:sz w:val="18"/>
                <w:szCs w:val="18"/>
                <w:u w:val="none"/>
              </w:rPr>
            </w:pPr>
          </w:p>
        </w:tc>
      </w:tr>
      <w:tr w14:paraId="4459C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BBA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2295E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自评总分100分，取得的成效或成果</w:t>
            </w:r>
          </w:p>
        </w:tc>
      </w:tr>
      <w:tr w14:paraId="345EF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2D1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60606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7AB4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B45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9A61E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8862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0FDAE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项目负责人：邱帮盛</w:t>
            </w:r>
          </w:p>
        </w:tc>
        <w:tc>
          <w:tcPr>
            <w:tcW w:w="242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2D71AF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财务负责人：熊莲英</w:t>
            </w:r>
          </w:p>
        </w:tc>
      </w:tr>
      <w:tr w14:paraId="3E43B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6C780B47">
            <w:pPr>
              <w:rPr>
                <w:rFonts w:hint="eastAsia" w:ascii="宋体" w:hAnsi="宋体" w:eastAsia="宋体" w:cs="宋体"/>
                <w:i w:val="0"/>
                <w:iCs w:val="0"/>
                <w:color w:val="000000"/>
                <w:sz w:val="18"/>
                <w:szCs w:val="18"/>
                <w:u w:val="none"/>
              </w:rPr>
            </w:pPr>
          </w:p>
        </w:tc>
        <w:tc>
          <w:tcPr>
            <w:tcW w:w="725" w:type="pct"/>
            <w:tcBorders>
              <w:top w:val="nil"/>
              <w:left w:val="nil"/>
              <w:bottom w:val="nil"/>
              <w:right w:val="nil"/>
            </w:tcBorders>
            <w:shd w:val="clear" w:color="auto" w:fill="auto"/>
            <w:vAlign w:val="center"/>
          </w:tcPr>
          <w:p w14:paraId="0A97ACFC">
            <w:pPr>
              <w:rPr>
                <w:rFonts w:hint="eastAsia" w:ascii="宋体" w:hAnsi="宋体" w:eastAsia="宋体" w:cs="宋体"/>
                <w:i w:val="0"/>
                <w:iCs w:val="0"/>
                <w:color w:val="000000"/>
                <w:sz w:val="18"/>
                <w:szCs w:val="18"/>
                <w:u w:val="none"/>
              </w:rPr>
            </w:pPr>
          </w:p>
        </w:tc>
        <w:tc>
          <w:tcPr>
            <w:tcW w:w="627" w:type="pct"/>
            <w:tcBorders>
              <w:top w:val="nil"/>
              <w:left w:val="nil"/>
              <w:bottom w:val="nil"/>
              <w:right w:val="nil"/>
            </w:tcBorders>
            <w:shd w:val="clear" w:color="auto" w:fill="auto"/>
            <w:vAlign w:val="center"/>
          </w:tcPr>
          <w:p w14:paraId="6D794647">
            <w:pPr>
              <w:rPr>
                <w:rFonts w:hint="eastAsia" w:ascii="宋体" w:hAnsi="宋体" w:eastAsia="宋体" w:cs="宋体"/>
                <w:i w:val="0"/>
                <w:iCs w:val="0"/>
                <w:color w:val="000000"/>
                <w:sz w:val="18"/>
                <w:szCs w:val="18"/>
                <w:u w:val="none"/>
              </w:rPr>
            </w:pPr>
          </w:p>
        </w:tc>
        <w:tc>
          <w:tcPr>
            <w:tcW w:w="800" w:type="pct"/>
            <w:tcBorders>
              <w:top w:val="nil"/>
              <w:left w:val="nil"/>
              <w:bottom w:val="nil"/>
              <w:right w:val="nil"/>
            </w:tcBorders>
            <w:shd w:val="clear" w:color="auto" w:fill="auto"/>
            <w:vAlign w:val="center"/>
          </w:tcPr>
          <w:p w14:paraId="6913532C">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19FC51DD">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278469F3">
            <w:pPr>
              <w:rPr>
                <w:rFonts w:hint="eastAsia" w:ascii="宋体" w:hAnsi="宋体" w:eastAsia="宋体" w:cs="宋体"/>
                <w:i w:val="0"/>
                <w:iCs w:val="0"/>
                <w:color w:val="000000"/>
                <w:sz w:val="18"/>
                <w:szCs w:val="18"/>
                <w:u w:val="none"/>
              </w:rPr>
            </w:pPr>
          </w:p>
        </w:tc>
        <w:tc>
          <w:tcPr>
            <w:tcW w:w="185" w:type="pct"/>
            <w:tcBorders>
              <w:top w:val="nil"/>
              <w:left w:val="nil"/>
              <w:bottom w:val="nil"/>
              <w:right w:val="nil"/>
            </w:tcBorders>
            <w:shd w:val="clear" w:color="auto" w:fill="auto"/>
            <w:vAlign w:val="center"/>
          </w:tcPr>
          <w:p w14:paraId="67EA6354">
            <w:pPr>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auto"/>
            <w:vAlign w:val="center"/>
          </w:tcPr>
          <w:p w14:paraId="2AD696FF">
            <w:pPr>
              <w:rPr>
                <w:rFonts w:hint="eastAsia" w:ascii="宋体" w:hAnsi="宋体" w:eastAsia="宋体" w:cs="宋体"/>
                <w:i w:val="0"/>
                <w:iCs w:val="0"/>
                <w:color w:val="000000"/>
                <w:sz w:val="18"/>
                <w:szCs w:val="18"/>
                <w:u w:val="none"/>
              </w:rPr>
            </w:pPr>
          </w:p>
        </w:tc>
        <w:tc>
          <w:tcPr>
            <w:tcW w:w="187" w:type="pct"/>
            <w:tcBorders>
              <w:top w:val="nil"/>
              <w:left w:val="nil"/>
              <w:bottom w:val="nil"/>
              <w:right w:val="nil"/>
            </w:tcBorders>
            <w:shd w:val="clear" w:color="auto" w:fill="auto"/>
            <w:vAlign w:val="center"/>
          </w:tcPr>
          <w:p w14:paraId="45847A37">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38A94A4E">
            <w:pPr>
              <w:rPr>
                <w:rFonts w:hint="eastAsia" w:ascii="宋体" w:hAnsi="宋体" w:eastAsia="宋体" w:cs="宋体"/>
                <w:i w:val="0"/>
                <w:iCs w:val="0"/>
                <w:color w:val="000000"/>
                <w:sz w:val="18"/>
                <w:szCs w:val="18"/>
                <w:u w:val="none"/>
              </w:rPr>
            </w:pPr>
          </w:p>
        </w:tc>
        <w:tc>
          <w:tcPr>
            <w:tcW w:w="905" w:type="pct"/>
            <w:tcBorders>
              <w:top w:val="nil"/>
              <w:left w:val="nil"/>
              <w:bottom w:val="nil"/>
              <w:right w:val="nil"/>
            </w:tcBorders>
            <w:shd w:val="clear" w:color="auto" w:fill="auto"/>
            <w:vAlign w:val="center"/>
          </w:tcPr>
          <w:p w14:paraId="4150B92B">
            <w:pPr>
              <w:rPr>
                <w:rFonts w:hint="eastAsia" w:ascii="宋体" w:hAnsi="宋体" w:eastAsia="宋体" w:cs="宋体"/>
                <w:i w:val="0"/>
                <w:iCs w:val="0"/>
                <w:color w:val="000000"/>
                <w:sz w:val="18"/>
                <w:szCs w:val="18"/>
                <w:u w:val="none"/>
              </w:rPr>
            </w:pPr>
          </w:p>
        </w:tc>
      </w:tr>
      <w:tr w14:paraId="23EB0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E1CE86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5F81B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62C4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7CC16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51323323T000009328980-公共卫生特别服务岗待遇保障</w:t>
            </w:r>
          </w:p>
        </w:tc>
      </w:tr>
      <w:tr w14:paraId="33A0D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98AD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0E66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6" w:type="pct"/>
            <w:tcBorders>
              <w:top w:val="nil"/>
              <w:left w:val="nil"/>
              <w:bottom w:val="nil"/>
              <w:right w:val="nil"/>
            </w:tcBorders>
            <w:shd w:val="clear" w:color="auto" w:fill="auto"/>
            <w:vAlign w:val="center"/>
          </w:tcPr>
          <w:p w14:paraId="7DE5DA3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74B4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红原县卫生健康局事业</w:t>
            </w:r>
          </w:p>
        </w:tc>
      </w:tr>
      <w:tr w14:paraId="3D58E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9389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F8F0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831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EA755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B4CA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CDD81">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E059B">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54D6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9名公共卫生特别服务岗待遇保障</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EC8FF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人员薪酬每月按时保障</w:t>
            </w:r>
          </w:p>
        </w:tc>
      </w:tr>
      <w:tr w14:paraId="679F3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B50BF">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8E1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B29A0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我县参照当地新招聘事业人员试用期满后待遇水平确定了医疗岗人员薪酬待遇。在省、州暂未下达补助资金，资金由县人民政府保障，并每年根据实际纳入县级财政预算。</w:t>
            </w:r>
          </w:p>
        </w:tc>
      </w:tr>
      <w:tr w14:paraId="3317C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65E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3C5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89E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5B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4068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E2E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008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AF4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BCE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CDB3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C81EA">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8C4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FD1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178.54</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63C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216.63</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5D71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159.56</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1AF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73.66%</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145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E0BFC">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7FBA3D">
            <w:pPr>
              <w:rPr>
                <w:rFonts w:hint="eastAsia" w:ascii="黑体" w:hAnsi="黑体" w:eastAsia="黑体" w:cs="黑体"/>
                <w:i/>
                <w:iCs/>
                <w:color w:val="000000"/>
                <w:sz w:val="18"/>
                <w:szCs w:val="18"/>
                <w:u w:val="none"/>
              </w:rPr>
            </w:pPr>
          </w:p>
        </w:tc>
      </w:tr>
      <w:tr w14:paraId="5CFF2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485ED">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75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716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178.54</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8D8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216.63</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FA1F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159.56</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EAB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73.66%</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79A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30E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31A5F">
            <w:pPr>
              <w:rPr>
                <w:rFonts w:hint="eastAsia" w:ascii="黑体" w:hAnsi="黑体" w:eastAsia="黑体" w:cs="黑体"/>
                <w:i/>
                <w:iCs/>
                <w:color w:val="000000"/>
                <w:sz w:val="18"/>
                <w:szCs w:val="18"/>
                <w:u w:val="none"/>
              </w:rPr>
            </w:pPr>
          </w:p>
        </w:tc>
      </w:tr>
      <w:tr w14:paraId="01A37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7344A">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9C5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747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DA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28A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538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C4B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98B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1F060">
            <w:pPr>
              <w:rPr>
                <w:rFonts w:hint="eastAsia" w:ascii="黑体" w:hAnsi="黑体" w:eastAsia="黑体" w:cs="黑体"/>
                <w:i/>
                <w:iCs/>
                <w:color w:val="000000"/>
                <w:sz w:val="18"/>
                <w:szCs w:val="18"/>
                <w:u w:val="none"/>
              </w:rPr>
            </w:pPr>
          </w:p>
        </w:tc>
      </w:tr>
      <w:tr w14:paraId="72B5D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998A5">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2DE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8E1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180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C8A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8F7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34D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C9A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6D464">
            <w:pPr>
              <w:rPr>
                <w:rFonts w:hint="eastAsia" w:ascii="黑体" w:hAnsi="黑体" w:eastAsia="黑体" w:cs="黑体"/>
                <w:i/>
                <w:iCs/>
                <w:color w:val="000000"/>
                <w:sz w:val="18"/>
                <w:szCs w:val="18"/>
                <w:u w:val="none"/>
              </w:rPr>
            </w:pPr>
          </w:p>
        </w:tc>
      </w:tr>
      <w:tr w14:paraId="07BBF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3C6F5">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A18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3C37A">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EFFD6">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BCD860">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39DC6">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AD3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48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BB768">
            <w:pPr>
              <w:rPr>
                <w:rFonts w:hint="eastAsia" w:ascii="黑体" w:hAnsi="黑体" w:eastAsia="黑体" w:cs="黑体"/>
                <w:i/>
                <w:iCs/>
                <w:color w:val="000000"/>
                <w:sz w:val="18"/>
                <w:szCs w:val="18"/>
                <w:u w:val="none"/>
              </w:rPr>
            </w:pPr>
          </w:p>
        </w:tc>
      </w:tr>
      <w:tr w14:paraId="1B115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6CAD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37C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484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D40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7BE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EEC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171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7B6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321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189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1FE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1727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5AC97">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1F0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D16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242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1785360.96</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EF3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E9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1785360.96</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F18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元/人</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F643A">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9B7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D8714">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4B21A">
            <w:pPr>
              <w:jc w:val="center"/>
              <w:rPr>
                <w:rFonts w:hint="eastAsia" w:ascii="微软雅黑" w:hAnsi="微软雅黑" w:eastAsia="微软雅黑" w:cs="微软雅黑"/>
                <w:i/>
                <w:iCs/>
                <w:color w:val="000000"/>
                <w:sz w:val="16"/>
                <w:szCs w:val="16"/>
                <w:u w:val="none"/>
              </w:rPr>
            </w:pPr>
          </w:p>
        </w:tc>
      </w:tr>
      <w:tr w14:paraId="35A9E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F82AC">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F62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01B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618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公共卫生事业可持续发展</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949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EC9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AB8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E7EDF">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A72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48F93">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59728">
            <w:pPr>
              <w:jc w:val="center"/>
              <w:rPr>
                <w:rFonts w:hint="eastAsia" w:ascii="微软雅黑" w:hAnsi="微软雅黑" w:eastAsia="微软雅黑" w:cs="微软雅黑"/>
                <w:i/>
                <w:iCs/>
                <w:color w:val="000000"/>
                <w:sz w:val="16"/>
                <w:szCs w:val="16"/>
                <w:u w:val="none"/>
              </w:rPr>
            </w:pPr>
          </w:p>
        </w:tc>
      </w:tr>
      <w:tr w14:paraId="728E6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162FE">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697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5A2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54F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6EA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824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C27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D07C4">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B7A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1838A">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29ABB">
            <w:pPr>
              <w:jc w:val="center"/>
              <w:rPr>
                <w:rFonts w:hint="eastAsia" w:ascii="微软雅黑" w:hAnsi="微软雅黑" w:eastAsia="微软雅黑" w:cs="微软雅黑"/>
                <w:i/>
                <w:iCs/>
                <w:color w:val="000000"/>
                <w:sz w:val="16"/>
                <w:szCs w:val="16"/>
                <w:u w:val="none"/>
              </w:rPr>
            </w:pPr>
          </w:p>
        </w:tc>
      </w:tr>
      <w:tr w14:paraId="423FE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4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421C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1C2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CF3F0">
            <w:pP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D7819">
            <w:pPr>
              <w:rPr>
                <w:rFonts w:hint="eastAsia" w:ascii="宋体" w:hAnsi="宋体" w:eastAsia="宋体" w:cs="宋体"/>
                <w:i w:val="0"/>
                <w:iCs w:val="0"/>
                <w:color w:val="000000"/>
                <w:sz w:val="18"/>
                <w:szCs w:val="18"/>
                <w:u w:val="none"/>
              </w:rPr>
            </w:pPr>
          </w:p>
        </w:tc>
      </w:tr>
      <w:tr w14:paraId="253EB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30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0563A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人员待遇按照相关目标任务100%保障完成</w:t>
            </w:r>
          </w:p>
        </w:tc>
      </w:tr>
      <w:tr w14:paraId="1E18B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8E3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78096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0444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7D0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E92F6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45A6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CACAD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项目负责人：张萌</w:t>
            </w:r>
          </w:p>
        </w:tc>
        <w:tc>
          <w:tcPr>
            <w:tcW w:w="242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77E152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财务负责人：熊莲英</w:t>
            </w:r>
          </w:p>
        </w:tc>
      </w:tr>
      <w:tr w14:paraId="763D7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35F2B1E1">
            <w:pPr>
              <w:rPr>
                <w:rFonts w:hint="eastAsia" w:ascii="宋体" w:hAnsi="宋体" w:eastAsia="宋体" w:cs="宋体"/>
                <w:i w:val="0"/>
                <w:iCs w:val="0"/>
                <w:color w:val="000000"/>
                <w:sz w:val="18"/>
                <w:szCs w:val="18"/>
                <w:u w:val="none"/>
              </w:rPr>
            </w:pPr>
          </w:p>
        </w:tc>
        <w:tc>
          <w:tcPr>
            <w:tcW w:w="725" w:type="pct"/>
            <w:tcBorders>
              <w:top w:val="nil"/>
              <w:left w:val="nil"/>
              <w:bottom w:val="nil"/>
              <w:right w:val="nil"/>
            </w:tcBorders>
            <w:shd w:val="clear" w:color="auto" w:fill="auto"/>
            <w:vAlign w:val="center"/>
          </w:tcPr>
          <w:p w14:paraId="7B79EEBA">
            <w:pPr>
              <w:rPr>
                <w:rFonts w:hint="eastAsia" w:ascii="宋体" w:hAnsi="宋体" w:eastAsia="宋体" w:cs="宋体"/>
                <w:i w:val="0"/>
                <w:iCs w:val="0"/>
                <w:color w:val="000000"/>
                <w:sz w:val="18"/>
                <w:szCs w:val="18"/>
                <w:u w:val="none"/>
              </w:rPr>
            </w:pPr>
          </w:p>
        </w:tc>
        <w:tc>
          <w:tcPr>
            <w:tcW w:w="627" w:type="pct"/>
            <w:tcBorders>
              <w:top w:val="nil"/>
              <w:left w:val="nil"/>
              <w:bottom w:val="nil"/>
              <w:right w:val="nil"/>
            </w:tcBorders>
            <w:shd w:val="clear" w:color="auto" w:fill="auto"/>
            <w:vAlign w:val="center"/>
          </w:tcPr>
          <w:p w14:paraId="273C506F">
            <w:pPr>
              <w:rPr>
                <w:rFonts w:hint="eastAsia" w:ascii="宋体" w:hAnsi="宋体" w:eastAsia="宋体" w:cs="宋体"/>
                <w:i w:val="0"/>
                <w:iCs w:val="0"/>
                <w:color w:val="000000"/>
                <w:sz w:val="18"/>
                <w:szCs w:val="18"/>
                <w:u w:val="none"/>
              </w:rPr>
            </w:pPr>
          </w:p>
        </w:tc>
        <w:tc>
          <w:tcPr>
            <w:tcW w:w="800" w:type="pct"/>
            <w:tcBorders>
              <w:top w:val="nil"/>
              <w:left w:val="nil"/>
              <w:bottom w:val="nil"/>
              <w:right w:val="nil"/>
            </w:tcBorders>
            <w:shd w:val="clear" w:color="auto" w:fill="auto"/>
            <w:vAlign w:val="center"/>
          </w:tcPr>
          <w:p w14:paraId="42D17CC0">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25EA69CB">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1C8EA7F1">
            <w:pPr>
              <w:rPr>
                <w:rFonts w:hint="eastAsia" w:ascii="宋体" w:hAnsi="宋体" w:eastAsia="宋体" w:cs="宋体"/>
                <w:i w:val="0"/>
                <w:iCs w:val="0"/>
                <w:color w:val="000000"/>
                <w:sz w:val="18"/>
                <w:szCs w:val="18"/>
                <w:u w:val="none"/>
              </w:rPr>
            </w:pPr>
          </w:p>
        </w:tc>
        <w:tc>
          <w:tcPr>
            <w:tcW w:w="185" w:type="pct"/>
            <w:tcBorders>
              <w:top w:val="nil"/>
              <w:left w:val="nil"/>
              <w:bottom w:val="nil"/>
              <w:right w:val="nil"/>
            </w:tcBorders>
            <w:shd w:val="clear" w:color="auto" w:fill="auto"/>
            <w:vAlign w:val="center"/>
          </w:tcPr>
          <w:p w14:paraId="4BED631B">
            <w:pPr>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auto"/>
            <w:vAlign w:val="center"/>
          </w:tcPr>
          <w:p w14:paraId="255F68A8">
            <w:pPr>
              <w:rPr>
                <w:rFonts w:hint="eastAsia" w:ascii="宋体" w:hAnsi="宋体" w:eastAsia="宋体" w:cs="宋体"/>
                <w:i w:val="0"/>
                <w:iCs w:val="0"/>
                <w:color w:val="000000"/>
                <w:sz w:val="18"/>
                <w:szCs w:val="18"/>
                <w:u w:val="none"/>
              </w:rPr>
            </w:pPr>
          </w:p>
        </w:tc>
        <w:tc>
          <w:tcPr>
            <w:tcW w:w="187" w:type="pct"/>
            <w:tcBorders>
              <w:top w:val="nil"/>
              <w:left w:val="nil"/>
              <w:bottom w:val="nil"/>
              <w:right w:val="nil"/>
            </w:tcBorders>
            <w:shd w:val="clear" w:color="auto" w:fill="auto"/>
            <w:vAlign w:val="center"/>
          </w:tcPr>
          <w:p w14:paraId="16A91A1B">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13ABF82B">
            <w:pPr>
              <w:rPr>
                <w:rFonts w:hint="eastAsia" w:ascii="宋体" w:hAnsi="宋体" w:eastAsia="宋体" w:cs="宋体"/>
                <w:i w:val="0"/>
                <w:iCs w:val="0"/>
                <w:color w:val="000000"/>
                <w:sz w:val="18"/>
                <w:szCs w:val="18"/>
                <w:u w:val="none"/>
              </w:rPr>
            </w:pPr>
          </w:p>
        </w:tc>
        <w:tc>
          <w:tcPr>
            <w:tcW w:w="905" w:type="pct"/>
            <w:tcBorders>
              <w:top w:val="nil"/>
              <w:left w:val="nil"/>
              <w:bottom w:val="nil"/>
              <w:right w:val="nil"/>
            </w:tcBorders>
            <w:shd w:val="clear" w:color="auto" w:fill="auto"/>
            <w:vAlign w:val="center"/>
          </w:tcPr>
          <w:p w14:paraId="18C1562D">
            <w:pPr>
              <w:rPr>
                <w:rFonts w:hint="eastAsia" w:ascii="宋体" w:hAnsi="宋体" w:eastAsia="宋体" w:cs="宋体"/>
                <w:i w:val="0"/>
                <w:iCs w:val="0"/>
                <w:color w:val="000000"/>
                <w:sz w:val="18"/>
                <w:szCs w:val="18"/>
                <w:u w:val="none"/>
              </w:rPr>
            </w:pPr>
          </w:p>
        </w:tc>
      </w:tr>
      <w:tr w14:paraId="3563D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D46857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4F1F2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AC58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4A9EC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51323323T000009585336-红原县卫生健康局核酸检测设备采购项目</w:t>
            </w:r>
          </w:p>
        </w:tc>
      </w:tr>
      <w:tr w14:paraId="77D93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1F65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619A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6" w:type="pct"/>
            <w:tcBorders>
              <w:top w:val="nil"/>
              <w:left w:val="nil"/>
              <w:bottom w:val="nil"/>
              <w:right w:val="nil"/>
            </w:tcBorders>
            <w:shd w:val="clear" w:color="auto" w:fill="auto"/>
            <w:vAlign w:val="center"/>
          </w:tcPr>
          <w:p w14:paraId="0BC37F4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C959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红原县卫生健康局事业</w:t>
            </w:r>
          </w:p>
        </w:tc>
      </w:tr>
      <w:tr w14:paraId="707E9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5EEC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70EB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9AF4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394EE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DBA8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F1CD3">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A1D7D">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795D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完成核酸检测设备调试、验收，并支付项目剩余质保金。</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4E01A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14:paraId="46B5A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FD792">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2F4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CEAD8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对为疾控中心、县人民医院采购的核酸检测设备进行调试和验收。</w:t>
            </w:r>
          </w:p>
        </w:tc>
      </w:tr>
      <w:tr w14:paraId="0FECA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4D37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A10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44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BD4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B7BE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468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B2F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94A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B27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69E6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CCC03">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964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35E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63F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5.98</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0709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5.98</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D2C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8DB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D93D0">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518035">
            <w:pPr>
              <w:rPr>
                <w:rFonts w:hint="eastAsia" w:ascii="黑体" w:hAnsi="黑体" w:eastAsia="黑体" w:cs="黑体"/>
                <w:i/>
                <w:iCs/>
                <w:color w:val="000000"/>
                <w:sz w:val="18"/>
                <w:szCs w:val="18"/>
                <w:u w:val="none"/>
              </w:rPr>
            </w:pPr>
          </w:p>
        </w:tc>
      </w:tr>
      <w:tr w14:paraId="09323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92EA4">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250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19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35C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5.98</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138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5.98</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28E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EBC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1F4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4DE88">
            <w:pPr>
              <w:rPr>
                <w:rFonts w:hint="eastAsia" w:ascii="黑体" w:hAnsi="黑体" w:eastAsia="黑体" w:cs="黑体"/>
                <w:i/>
                <w:iCs/>
                <w:color w:val="000000"/>
                <w:sz w:val="18"/>
                <w:szCs w:val="18"/>
                <w:u w:val="none"/>
              </w:rPr>
            </w:pPr>
          </w:p>
        </w:tc>
      </w:tr>
      <w:tr w14:paraId="1555A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A60D0">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66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23F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05D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02E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02D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EB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24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BE4F6">
            <w:pPr>
              <w:rPr>
                <w:rFonts w:hint="eastAsia" w:ascii="黑体" w:hAnsi="黑体" w:eastAsia="黑体" w:cs="黑体"/>
                <w:i/>
                <w:iCs/>
                <w:color w:val="000000"/>
                <w:sz w:val="18"/>
                <w:szCs w:val="18"/>
                <w:u w:val="none"/>
              </w:rPr>
            </w:pPr>
          </w:p>
        </w:tc>
      </w:tr>
      <w:tr w14:paraId="36E39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5EDD2">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4F3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50C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AE7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B04C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9E6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C46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A34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6332D">
            <w:pPr>
              <w:rPr>
                <w:rFonts w:hint="eastAsia" w:ascii="黑体" w:hAnsi="黑体" w:eastAsia="黑体" w:cs="黑体"/>
                <w:i/>
                <w:iCs/>
                <w:color w:val="000000"/>
                <w:sz w:val="18"/>
                <w:szCs w:val="18"/>
                <w:u w:val="none"/>
              </w:rPr>
            </w:pPr>
          </w:p>
        </w:tc>
      </w:tr>
      <w:tr w14:paraId="2ECB7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B1206">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3A2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5D952">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5F2A4">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774822">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32746">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BE6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35A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24508">
            <w:pPr>
              <w:rPr>
                <w:rFonts w:hint="eastAsia" w:ascii="黑体" w:hAnsi="黑体" w:eastAsia="黑体" w:cs="黑体"/>
                <w:i/>
                <w:iCs/>
                <w:color w:val="000000"/>
                <w:sz w:val="18"/>
                <w:szCs w:val="18"/>
                <w:u w:val="none"/>
              </w:rPr>
            </w:pPr>
          </w:p>
        </w:tc>
      </w:tr>
      <w:tr w14:paraId="3516E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2BCD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268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A4A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EEE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880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C5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531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012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4CA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44D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44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8202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01108">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3FC3D">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3FA7A">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E52AA">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43DF6">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1C405">
            <w:pPr>
              <w:jc w:val="center"/>
              <w:rPr>
                <w:rFonts w:hint="eastAsia" w:ascii="宋体" w:hAnsi="宋体" w:eastAsia="宋体" w:cs="宋体"/>
                <w:i w:val="0"/>
                <w:iCs w:val="0"/>
                <w:color w:val="000000"/>
                <w:sz w:val="18"/>
                <w:szCs w:val="18"/>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97BA2">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EE0DE">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FE292">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99D76">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A82EA">
            <w:pPr>
              <w:jc w:val="center"/>
              <w:rPr>
                <w:rFonts w:hint="eastAsia" w:ascii="微软雅黑" w:hAnsi="微软雅黑" w:eastAsia="微软雅黑" w:cs="微软雅黑"/>
                <w:i/>
                <w:iCs/>
                <w:color w:val="000000"/>
                <w:sz w:val="16"/>
                <w:szCs w:val="16"/>
                <w:u w:val="none"/>
              </w:rPr>
            </w:pPr>
          </w:p>
        </w:tc>
      </w:tr>
      <w:tr w14:paraId="71F72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4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8FB5E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C0A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046CB">
            <w:pP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E0C3D">
            <w:pPr>
              <w:rPr>
                <w:rFonts w:hint="eastAsia" w:ascii="宋体" w:hAnsi="宋体" w:eastAsia="宋体" w:cs="宋体"/>
                <w:i w:val="0"/>
                <w:iCs w:val="0"/>
                <w:color w:val="000000"/>
                <w:sz w:val="18"/>
                <w:szCs w:val="18"/>
                <w:u w:val="none"/>
              </w:rPr>
            </w:pPr>
          </w:p>
        </w:tc>
      </w:tr>
      <w:tr w14:paraId="1325C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4B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917E0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自评总分100分，取得的成效或成果：大力提升我县在新冠疫情期间的核酸检测能力，有效防治新冠疫情。</w:t>
            </w:r>
          </w:p>
        </w:tc>
      </w:tr>
      <w:tr w14:paraId="09001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677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E19CB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05D5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562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57BB2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0BB8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D4FDF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项目负责人：周礼全</w:t>
            </w:r>
          </w:p>
        </w:tc>
        <w:tc>
          <w:tcPr>
            <w:tcW w:w="242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E568F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财务负责人：熊莲英</w:t>
            </w:r>
          </w:p>
        </w:tc>
      </w:tr>
      <w:tr w14:paraId="02392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14743B84">
            <w:pPr>
              <w:rPr>
                <w:rFonts w:hint="eastAsia" w:ascii="宋体" w:hAnsi="宋体" w:eastAsia="宋体" w:cs="宋体"/>
                <w:i w:val="0"/>
                <w:iCs w:val="0"/>
                <w:color w:val="000000"/>
                <w:sz w:val="18"/>
                <w:szCs w:val="18"/>
                <w:u w:val="none"/>
              </w:rPr>
            </w:pPr>
          </w:p>
        </w:tc>
        <w:tc>
          <w:tcPr>
            <w:tcW w:w="725" w:type="pct"/>
            <w:tcBorders>
              <w:top w:val="nil"/>
              <w:left w:val="nil"/>
              <w:bottom w:val="nil"/>
              <w:right w:val="nil"/>
            </w:tcBorders>
            <w:shd w:val="clear" w:color="auto" w:fill="auto"/>
            <w:vAlign w:val="center"/>
          </w:tcPr>
          <w:p w14:paraId="57F4582F">
            <w:pPr>
              <w:rPr>
                <w:rFonts w:hint="eastAsia" w:ascii="宋体" w:hAnsi="宋体" w:eastAsia="宋体" w:cs="宋体"/>
                <w:i w:val="0"/>
                <w:iCs w:val="0"/>
                <w:color w:val="000000"/>
                <w:sz w:val="18"/>
                <w:szCs w:val="18"/>
                <w:u w:val="none"/>
              </w:rPr>
            </w:pPr>
          </w:p>
        </w:tc>
        <w:tc>
          <w:tcPr>
            <w:tcW w:w="627" w:type="pct"/>
            <w:tcBorders>
              <w:top w:val="nil"/>
              <w:left w:val="nil"/>
              <w:bottom w:val="nil"/>
              <w:right w:val="nil"/>
            </w:tcBorders>
            <w:shd w:val="clear" w:color="auto" w:fill="auto"/>
            <w:vAlign w:val="center"/>
          </w:tcPr>
          <w:p w14:paraId="32AE0F37">
            <w:pPr>
              <w:rPr>
                <w:rFonts w:hint="eastAsia" w:ascii="宋体" w:hAnsi="宋体" w:eastAsia="宋体" w:cs="宋体"/>
                <w:i w:val="0"/>
                <w:iCs w:val="0"/>
                <w:color w:val="000000"/>
                <w:sz w:val="18"/>
                <w:szCs w:val="18"/>
                <w:u w:val="none"/>
              </w:rPr>
            </w:pPr>
          </w:p>
        </w:tc>
        <w:tc>
          <w:tcPr>
            <w:tcW w:w="800" w:type="pct"/>
            <w:tcBorders>
              <w:top w:val="nil"/>
              <w:left w:val="nil"/>
              <w:bottom w:val="nil"/>
              <w:right w:val="nil"/>
            </w:tcBorders>
            <w:shd w:val="clear" w:color="auto" w:fill="auto"/>
            <w:vAlign w:val="center"/>
          </w:tcPr>
          <w:p w14:paraId="52F4F26C">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7EC7B29A">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61CD1EB1">
            <w:pPr>
              <w:rPr>
                <w:rFonts w:hint="eastAsia" w:ascii="宋体" w:hAnsi="宋体" w:eastAsia="宋体" w:cs="宋体"/>
                <w:i w:val="0"/>
                <w:iCs w:val="0"/>
                <w:color w:val="000000"/>
                <w:sz w:val="18"/>
                <w:szCs w:val="18"/>
                <w:u w:val="none"/>
              </w:rPr>
            </w:pPr>
          </w:p>
        </w:tc>
        <w:tc>
          <w:tcPr>
            <w:tcW w:w="185" w:type="pct"/>
            <w:tcBorders>
              <w:top w:val="nil"/>
              <w:left w:val="nil"/>
              <w:bottom w:val="nil"/>
              <w:right w:val="nil"/>
            </w:tcBorders>
            <w:shd w:val="clear" w:color="auto" w:fill="auto"/>
            <w:vAlign w:val="center"/>
          </w:tcPr>
          <w:p w14:paraId="51A50B07">
            <w:pPr>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auto"/>
            <w:vAlign w:val="center"/>
          </w:tcPr>
          <w:p w14:paraId="2E213590">
            <w:pPr>
              <w:rPr>
                <w:rFonts w:hint="eastAsia" w:ascii="宋体" w:hAnsi="宋体" w:eastAsia="宋体" w:cs="宋体"/>
                <w:i w:val="0"/>
                <w:iCs w:val="0"/>
                <w:color w:val="000000"/>
                <w:sz w:val="18"/>
                <w:szCs w:val="18"/>
                <w:u w:val="none"/>
              </w:rPr>
            </w:pPr>
          </w:p>
        </w:tc>
        <w:tc>
          <w:tcPr>
            <w:tcW w:w="187" w:type="pct"/>
            <w:tcBorders>
              <w:top w:val="nil"/>
              <w:left w:val="nil"/>
              <w:bottom w:val="nil"/>
              <w:right w:val="nil"/>
            </w:tcBorders>
            <w:shd w:val="clear" w:color="auto" w:fill="auto"/>
            <w:vAlign w:val="center"/>
          </w:tcPr>
          <w:p w14:paraId="112A9F32">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54E34D4D">
            <w:pPr>
              <w:rPr>
                <w:rFonts w:hint="eastAsia" w:ascii="宋体" w:hAnsi="宋体" w:eastAsia="宋体" w:cs="宋体"/>
                <w:i w:val="0"/>
                <w:iCs w:val="0"/>
                <w:color w:val="000000"/>
                <w:sz w:val="18"/>
                <w:szCs w:val="18"/>
                <w:u w:val="none"/>
              </w:rPr>
            </w:pPr>
          </w:p>
        </w:tc>
        <w:tc>
          <w:tcPr>
            <w:tcW w:w="905" w:type="pct"/>
            <w:tcBorders>
              <w:top w:val="nil"/>
              <w:left w:val="nil"/>
              <w:bottom w:val="nil"/>
              <w:right w:val="nil"/>
            </w:tcBorders>
            <w:shd w:val="clear" w:color="auto" w:fill="auto"/>
            <w:vAlign w:val="center"/>
          </w:tcPr>
          <w:p w14:paraId="64B1D292">
            <w:pPr>
              <w:rPr>
                <w:rFonts w:hint="eastAsia" w:ascii="宋体" w:hAnsi="宋体" w:eastAsia="宋体" w:cs="宋体"/>
                <w:i w:val="0"/>
                <w:iCs w:val="0"/>
                <w:color w:val="000000"/>
                <w:sz w:val="18"/>
                <w:szCs w:val="18"/>
                <w:u w:val="none"/>
              </w:rPr>
            </w:pPr>
          </w:p>
        </w:tc>
      </w:tr>
      <w:tr w14:paraId="1255F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93C045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31020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5383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7B41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51323323T000009585915-2020年8月红原县乡镇卫生院服务能力提升设备采购项目（第二次）质量保证金</w:t>
            </w:r>
          </w:p>
        </w:tc>
      </w:tr>
      <w:tr w14:paraId="2210F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F754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0AAB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6" w:type="pct"/>
            <w:tcBorders>
              <w:top w:val="nil"/>
              <w:left w:val="nil"/>
              <w:bottom w:val="nil"/>
              <w:right w:val="nil"/>
            </w:tcBorders>
            <w:shd w:val="clear" w:color="auto" w:fill="auto"/>
            <w:vAlign w:val="center"/>
          </w:tcPr>
          <w:p w14:paraId="7A69CF4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754B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红原县卫生健康局事业</w:t>
            </w:r>
          </w:p>
        </w:tc>
      </w:tr>
      <w:tr w14:paraId="19964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8A83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22E9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419A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F1025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2949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8B685">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40CA1">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DD23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完成红原县乡镇卫生院服务能力提升所采购的设备完成验收并拨付剩余质保金。</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A348D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项目已完成</w:t>
            </w:r>
          </w:p>
        </w:tc>
      </w:tr>
      <w:tr w14:paraId="1FCC3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28195">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399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6BE26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对安曲镇卫生院、刷经寺镇卫生院、麦洼乡卫生院、龙日镇卫生院、江茸乡卫生院所购采购的生化分析仪、B超等设备调试和验收。</w:t>
            </w:r>
          </w:p>
        </w:tc>
      </w:tr>
      <w:tr w14:paraId="2C62C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63F3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DF2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95D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B7A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BB92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819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622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3B6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08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2680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61467">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D96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754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445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12.95</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4188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12.95</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893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F93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EE981">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16C1EC">
            <w:pPr>
              <w:rPr>
                <w:rFonts w:hint="eastAsia" w:ascii="黑体" w:hAnsi="黑体" w:eastAsia="黑体" w:cs="黑体"/>
                <w:i/>
                <w:iCs/>
                <w:color w:val="000000"/>
                <w:sz w:val="18"/>
                <w:szCs w:val="18"/>
                <w:u w:val="none"/>
              </w:rPr>
            </w:pPr>
          </w:p>
        </w:tc>
      </w:tr>
      <w:tr w14:paraId="179A2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B7BE4">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61B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F7B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EB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12.95</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FF94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12.95</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FE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92B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848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A4548">
            <w:pPr>
              <w:rPr>
                <w:rFonts w:hint="eastAsia" w:ascii="黑体" w:hAnsi="黑体" w:eastAsia="黑体" w:cs="黑体"/>
                <w:i/>
                <w:iCs/>
                <w:color w:val="000000"/>
                <w:sz w:val="18"/>
                <w:szCs w:val="18"/>
                <w:u w:val="none"/>
              </w:rPr>
            </w:pPr>
          </w:p>
        </w:tc>
      </w:tr>
      <w:tr w14:paraId="7BDA9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17E93">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6A3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58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637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57D1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2E3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684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46D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17DF4">
            <w:pPr>
              <w:rPr>
                <w:rFonts w:hint="eastAsia" w:ascii="黑体" w:hAnsi="黑体" w:eastAsia="黑体" w:cs="黑体"/>
                <w:i/>
                <w:iCs/>
                <w:color w:val="000000"/>
                <w:sz w:val="18"/>
                <w:szCs w:val="18"/>
                <w:u w:val="none"/>
              </w:rPr>
            </w:pPr>
          </w:p>
        </w:tc>
      </w:tr>
      <w:tr w14:paraId="14969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14510">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832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3AF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90B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FB4E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361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50A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1FF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4F7E5">
            <w:pPr>
              <w:rPr>
                <w:rFonts w:hint="eastAsia" w:ascii="黑体" w:hAnsi="黑体" w:eastAsia="黑体" w:cs="黑体"/>
                <w:i/>
                <w:iCs/>
                <w:color w:val="000000"/>
                <w:sz w:val="18"/>
                <w:szCs w:val="18"/>
                <w:u w:val="none"/>
              </w:rPr>
            </w:pPr>
          </w:p>
        </w:tc>
      </w:tr>
      <w:tr w14:paraId="7DFF4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EBE4E">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E0D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E1A5B">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AD58A">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25556A">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4E855">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E5A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899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FAD26">
            <w:pPr>
              <w:rPr>
                <w:rFonts w:hint="eastAsia" w:ascii="黑体" w:hAnsi="黑体" w:eastAsia="黑体" w:cs="黑体"/>
                <w:i/>
                <w:iCs/>
                <w:color w:val="000000"/>
                <w:sz w:val="18"/>
                <w:szCs w:val="18"/>
                <w:u w:val="none"/>
              </w:rPr>
            </w:pPr>
          </w:p>
        </w:tc>
      </w:tr>
      <w:tr w14:paraId="06BC9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B9CD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E8A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1DC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D20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F25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0F4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EC3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A68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044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7C0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81D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255B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A6924">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90BCF">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98448">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FDF6C">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94B83">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3F37F">
            <w:pPr>
              <w:jc w:val="center"/>
              <w:rPr>
                <w:rFonts w:hint="eastAsia" w:ascii="宋体" w:hAnsi="宋体" w:eastAsia="宋体" w:cs="宋体"/>
                <w:i w:val="0"/>
                <w:iCs w:val="0"/>
                <w:color w:val="000000"/>
                <w:sz w:val="18"/>
                <w:szCs w:val="18"/>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9E912">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A959A">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58C23">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B78EE">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BF40E">
            <w:pPr>
              <w:jc w:val="center"/>
              <w:rPr>
                <w:rFonts w:hint="eastAsia" w:ascii="微软雅黑" w:hAnsi="微软雅黑" w:eastAsia="微软雅黑" w:cs="微软雅黑"/>
                <w:i/>
                <w:iCs/>
                <w:color w:val="000000"/>
                <w:sz w:val="16"/>
                <w:szCs w:val="16"/>
                <w:u w:val="none"/>
              </w:rPr>
            </w:pPr>
          </w:p>
        </w:tc>
      </w:tr>
      <w:tr w14:paraId="08436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4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9FB6E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BFC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841FF">
            <w:pP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3B8D3">
            <w:pPr>
              <w:rPr>
                <w:rFonts w:hint="eastAsia" w:ascii="宋体" w:hAnsi="宋体" w:eastAsia="宋体" w:cs="宋体"/>
                <w:i w:val="0"/>
                <w:iCs w:val="0"/>
                <w:color w:val="000000"/>
                <w:sz w:val="18"/>
                <w:szCs w:val="18"/>
                <w:u w:val="none"/>
              </w:rPr>
            </w:pPr>
          </w:p>
        </w:tc>
      </w:tr>
      <w:tr w14:paraId="2B7FA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5ED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5D893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自评总分100分，项目实施取得的成效或成果:大幅度提升了基层卫生院的医疗服务能力，减轻了当地群众就医负担。</w:t>
            </w:r>
          </w:p>
        </w:tc>
      </w:tr>
      <w:tr w14:paraId="3E46F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184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6660A7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717A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EF7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B60B5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0E15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C7F66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项目负责人：周礼全</w:t>
            </w:r>
          </w:p>
        </w:tc>
        <w:tc>
          <w:tcPr>
            <w:tcW w:w="242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D5F81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财务负责人：熊莲英</w:t>
            </w:r>
          </w:p>
        </w:tc>
      </w:tr>
      <w:tr w14:paraId="71A63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00A7EAA5">
            <w:pPr>
              <w:rPr>
                <w:rFonts w:hint="eastAsia" w:ascii="宋体" w:hAnsi="宋体" w:eastAsia="宋体" w:cs="宋体"/>
                <w:i w:val="0"/>
                <w:iCs w:val="0"/>
                <w:color w:val="000000"/>
                <w:sz w:val="18"/>
                <w:szCs w:val="18"/>
                <w:u w:val="none"/>
              </w:rPr>
            </w:pPr>
          </w:p>
        </w:tc>
        <w:tc>
          <w:tcPr>
            <w:tcW w:w="725" w:type="pct"/>
            <w:tcBorders>
              <w:top w:val="nil"/>
              <w:left w:val="nil"/>
              <w:bottom w:val="nil"/>
              <w:right w:val="nil"/>
            </w:tcBorders>
            <w:shd w:val="clear" w:color="auto" w:fill="auto"/>
            <w:vAlign w:val="center"/>
          </w:tcPr>
          <w:p w14:paraId="31D1280B">
            <w:pPr>
              <w:rPr>
                <w:rFonts w:hint="eastAsia" w:ascii="宋体" w:hAnsi="宋体" w:eastAsia="宋体" w:cs="宋体"/>
                <w:i w:val="0"/>
                <w:iCs w:val="0"/>
                <w:color w:val="000000"/>
                <w:sz w:val="18"/>
                <w:szCs w:val="18"/>
                <w:u w:val="none"/>
              </w:rPr>
            </w:pPr>
          </w:p>
        </w:tc>
        <w:tc>
          <w:tcPr>
            <w:tcW w:w="627" w:type="pct"/>
            <w:tcBorders>
              <w:top w:val="nil"/>
              <w:left w:val="nil"/>
              <w:bottom w:val="nil"/>
              <w:right w:val="nil"/>
            </w:tcBorders>
            <w:shd w:val="clear" w:color="auto" w:fill="auto"/>
            <w:vAlign w:val="center"/>
          </w:tcPr>
          <w:p w14:paraId="53012810">
            <w:pPr>
              <w:rPr>
                <w:rFonts w:hint="eastAsia" w:ascii="宋体" w:hAnsi="宋体" w:eastAsia="宋体" w:cs="宋体"/>
                <w:i w:val="0"/>
                <w:iCs w:val="0"/>
                <w:color w:val="000000"/>
                <w:sz w:val="18"/>
                <w:szCs w:val="18"/>
                <w:u w:val="none"/>
              </w:rPr>
            </w:pPr>
          </w:p>
        </w:tc>
        <w:tc>
          <w:tcPr>
            <w:tcW w:w="800" w:type="pct"/>
            <w:tcBorders>
              <w:top w:val="nil"/>
              <w:left w:val="nil"/>
              <w:bottom w:val="nil"/>
              <w:right w:val="nil"/>
            </w:tcBorders>
            <w:shd w:val="clear" w:color="auto" w:fill="auto"/>
            <w:vAlign w:val="center"/>
          </w:tcPr>
          <w:p w14:paraId="5FB57FA5">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0FD2A703">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5EB7E57F">
            <w:pPr>
              <w:rPr>
                <w:rFonts w:hint="eastAsia" w:ascii="宋体" w:hAnsi="宋体" w:eastAsia="宋体" w:cs="宋体"/>
                <w:i w:val="0"/>
                <w:iCs w:val="0"/>
                <w:color w:val="000000"/>
                <w:sz w:val="18"/>
                <w:szCs w:val="18"/>
                <w:u w:val="none"/>
              </w:rPr>
            </w:pPr>
          </w:p>
        </w:tc>
        <w:tc>
          <w:tcPr>
            <w:tcW w:w="185" w:type="pct"/>
            <w:tcBorders>
              <w:top w:val="nil"/>
              <w:left w:val="nil"/>
              <w:bottom w:val="nil"/>
              <w:right w:val="nil"/>
            </w:tcBorders>
            <w:shd w:val="clear" w:color="auto" w:fill="auto"/>
            <w:vAlign w:val="center"/>
          </w:tcPr>
          <w:p w14:paraId="652F1AF2">
            <w:pPr>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auto"/>
            <w:vAlign w:val="center"/>
          </w:tcPr>
          <w:p w14:paraId="42E302E4">
            <w:pPr>
              <w:rPr>
                <w:rFonts w:hint="eastAsia" w:ascii="宋体" w:hAnsi="宋体" w:eastAsia="宋体" w:cs="宋体"/>
                <w:i w:val="0"/>
                <w:iCs w:val="0"/>
                <w:color w:val="000000"/>
                <w:sz w:val="18"/>
                <w:szCs w:val="18"/>
                <w:u w:val="none"/>
              </w:rPr>
            </w:pPr>
          </w:p>
        </w:tc>
        <w:tc>
          <w:tcPr>
            <w:tcW w:w="187" w:type="pct"/>
            <w:tcBorders>
              <w:top w:val="nil"/>
              <w:left w:val="nil"/>
              <w:bottom w:val="nil"/>
              <w:right w:val="nil"/>
            </w:tcBorders>
            <w:shd w:val="clear" w:color="auto" w:fill="auto"/>
            <w:vAlign w:val="center"/>
          </w:tcPr>
          <w:p w14:paraId="63D5767E">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156BE33C">
            <w:pPr>
              <w:rPr>
                <w:rFonts w:hint="eastAsia" w:ascii="宋体" w:hAnsi="宋体" w:eastAsia="宋体" w:cs="宋体"/>
                <w:i w:val="0"/>
                <w:iCs w:val="0"/>
                <w:color w:val="000000"/>
                <w:sz w:val="18"/>
                <w:szCs w:val="18"/>
                <w:u w:val="none"/>
              </w:rPr>
            </w:pPr>
          </w:p>
        </w:tc>
        <w:tc>
          <w:tcPr>
            <w:tcW w:w="905" w:type="pct"/>
            <w:tcBorders>
              <w:top w:val="nil"/>
              <w:left w:val="nil"/>
              <w:bottom w:val="nil"/>
              <w:right w:val="nil"/>
            </w:tcBorders>
            <w:shd w:val="clear" w:color="auto" w:fill="auto"/>
            <w:vAlign w:val="center"/>
          </w:tcPr>
          <w:p w14:paraId="48424DEB">
            <w:pPr>
              <w:rPr>
                <w:rFonts w:hint="eastAsia" w:ascii="宋体" w:hAnsi="宋体" w:eastAsia="宋体" w:cs="宋体"/>
                <w:i w:val="0"/>
                <w:iCs w:val="0"/>
                <w:color w:val="000000"/>
                <w:sz w:val="18"/>
                <w:szCs w:val="18"/>
                <w:u w:val="none"/>
              </w:rPr>
            </w:pPr>
          </w:p>
        </w:tc>
      </w:tr>
      <w:tr w14:paraId="3B11A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68FAAE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25A84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5A7C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F50B6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51323323T000009923910-绵阳、浙江援建捐赠资金2023结转余额</w:t>
            </w:r>
          </w:p>
        </w:tc>
      </w:tr>
      <w:tr w14:paraId="7810B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7480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01E1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6" w:type="pct"/>
            <w:tcBorders>
              <w:top w:val="nil"/>
              <w:left w:val="nil"/>
              <w:bottom w:val="nil"/>
              <w:right w:val="nil"/>
            </w:tcBorders>
            <w:shd w:val="clear" w:color="auto" w:fill="auto"/>
            <w:vAlign w:val="center"/>
          </w:tcPr>
          <w:p w14:paraId="12F00FA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F09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红原县卫生健康局事业</w:t>
            </w:r>
          </w:p>
        </w:tc>
      </w:tr>
      <w:tr w14:paraId="0108C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720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444F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91FD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3344A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30C2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9F78B">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A094B">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A33D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支持基层医疗卫生事业发展，为基层医护人员提供培训</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FFF93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支持基层医疗卫生事业发展，为基层医护人员提供培训</w:t>
            </w:r>
          </w:p>
        </w:tc>
      </w:tr>
      <w:tr w14:paraId="4C0B9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7D001">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531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A6175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为5名基层医护人员提供培训</w:t>
            </w:r>
          </w:p>
        </w:tc>
      </w:tr>
      <w:tr w14:paraId="52CEC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1D66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CE2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613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DE0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F9DE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3BC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7A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F94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D4D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6451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FF82C">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11D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F0E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331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0.37</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8F9E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0.37</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F62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5B1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64DFF">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A6C68B">
            <w:pPr>
              <w:rPr>
                <w:rFonts w:hint="eastAsia" w:ascii="黑体" w:hAnsi="黑体" w:eastAsia="黑体" w:cs="黑体"/>
                <w:i/>
                <w:iCs/>
                <w:color w:val="000000"/>
                <w:sz w:val="18"/>
                <w:szCs w:val="18"/>
                <w:u w:val="none"/>
              </w:rPr>
            </w:pPr>
          </w:p>
        </w:tc>
      </w:tr>
      <w:tr w14:paraId="5D465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2E9E7">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2FE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D7E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064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B880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AA8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459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50D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CD644">
            <w:pPr>
              <w:rPr>
                <w:rFonts w:hint="eastAsia" w:ascii="黑体" w:hAnsi="黑体" w:eastAsia="黑体" w:cs="黑体"/>
                <w:i/>
                <w:iCs/>
                <w:color w:val="000000"/>
                <w:sz w:val="18"/>
                <w:szCs w:val="18"/>
                <w:u w:val="none"/>
              </w:rPr>
            </w:pPr>
          </w:p>
        </w:tc>
      </w:tr>
      <w:tr w14:paraId="3C4E0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1A0D1">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B4D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770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440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1242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2DD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E36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60E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EDADE">
            <w:pPr>
              <w:rPr>
                <w:rFonts w:hint="eastAsia" w:ascii="黑体" w:hAnsi="黑体" w:eastAsia="黑体" w:cs="黑体"/>
                <w:i/>
                <w:iCs/>
                <w:color w:val="000000"/>
                <w:sz w:val="18"/>
                <w:szCs w:val="18"/>
                <w:u w:val="none"/>
              </w:rPr>
            </w:pPr>
          </w:p>
        </w:tc>
      </w:tr>
      <w:tr w14:paraId="42605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F5CA2">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76C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973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E0C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0.37</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2D66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0.37</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3DE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B1C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FFF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E8692">
            <w:pPr>
              <w:rPr>
                <w:rFonts w:hint="eastAsia" w:ascii="黑体" w:hAnsi="黑体" w:eastAsia="黑体" w:cs="黑体"/>
                <w:i/>
                <w:iCs/>
                <w:color w:val="000000"/>
                <w:sz w:val="18"/>
                <w:szCs w:val="18"/>
                <w:u w:val="none"/>
              </w:rPr>
            </w:pPr>
          </w:p>
        </w:tc>
      </w:tr>
      <w:tr w14:paraId="63DE5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C4C14">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AD9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E7F39">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C8B51">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D02344">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BB202">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252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410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53721">
            <w:pPr>
              <w:rPr>
                <w:rFonts w:hint="eastAsia" w:ascii="黑体" w:hAnsi="黑体" w:eastAsia="黑体" w:cs="黑体"/>
                <w:i/>
                <w:iCs/>
                <w:color w:val="000000"/>
                <w:sz w:val="18"/>
                <w:szCs w:val="18"/>
                <w:u w:val="none"/>
              </w:rPr>
            </w:pPr>
          </w:p>
        </w:tc>
      </w:tr>
      <w:tr w14:paraId="42126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F426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65C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452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078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5FC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9D3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5BE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9A8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AF2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8F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24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CAC7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9268F">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006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AD0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1E3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绵阳、浙江援建捐赠资金2023结转余额</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616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B50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27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期/年</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69A08">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C1B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09348">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BBDA4">
            <w:pPr>
              <w:jc w:val="center"/>
              <w:rPr>
                <w:rFonts w:hint="eastAsia" w:ascii="微软雅黑" w:hAnsi="微软雅黑" w:eastAsia="微软雅黑" w:cs="微软雅黑"/>
                <w:i/>
                <w:iCs/>
                <w:color w:val="000000"/>
                <w:sz w:val="16"/>
                <w:szCs w:val="16"/>
                <w:u w:val="none"/>
              </w:rPr>
            </w:pPr>
          </w:p>
        </w:tc>
      </w:tr>
      <w:tr w14:paraId="29F99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60330">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A6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28C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6B7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绵阳、浙江援建捐赠资金2023结转余额</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DB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E7A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0EC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元/年</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F8424">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956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05F63">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30375">
            <w:pPr>
              <w:jc w:val="center"/>
              <w:rPr>
                <w:rFonts w:hint="eastAsia" w:ascii="微软雅黑" w:hAnsi="微软雅黑" w:eastAsia="微软雅黑" w:cs="微软雅黑"/>
                <w:i/>
                <w:iCs/>
                <w:color w:val="000000"/>
                <w:sz w:val="16"/>
                <w:szCs w:val="16"/>
                <w:u w:val="none"/>
              </w:rPr>
            </w:pPr>
          </w:p>
        </w:tc>
      </w:tr>
      <w:tr w14:paraId="4FC97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61F3D">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981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CB6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434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绵阳、浙江援建捐赠资金2023结转余额</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8E3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A2F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BD1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元/年</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C2EED">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65A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0DF6F">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3DFCE">
            <w:pPr>
              <w:jc w:val="center"/>
              <w:rPr>
                <w:rFonts w:hint="eastAsia" w:ascii="微软雅黑" w:hAnsi="微软雅黑" w:eastAsia="微软雅黑" w:cs="微软雅黑"/>
                <w:i/>
                <w:iCs/>
                <w:color w:val="000000"/>
                <w:sz w:val="16"/>
                <w:szCs w:val="16"/>
                <w:u w:val="none"/>
              </w:rPr>
            </w:pPr>
          </w:p>
        </w:tc>
      </w:tr>
      <w:tr w14:paraId="7FEE5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4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62CE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BA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78E5E">
            <w:pP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FAF9C">
            <w:pPr>
              <w:rPr>
                <w:rFonts w:hint="eastAsia" w:ascii="宋体" w:hAnsi="宋体" w:eastAsia="宋体" w:cs="宋体"/>
                <w:i w:val="0"/>
                <w:iCs w:val="0"/>
                <w:color w:val="000000"/>
                <w:sz w:val="18"/>
                <w:szCs w:val="18"/>
                <w:u w:val="none"/>
              </w:rPr>
            </w:pPr>
          </w:p>
        </w:tc>
      </w:tr>
      <w:tr w14:paraId="075C3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99E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5A092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通过直接支持公共卫生人才培养、支持基层医疗人才建设、促进医疗人才交流与合作、资助医疗教育与培训以及加强政策引导与监管等措施的实施，可以有效提升医疗卫生服务的质量和水平，满足人民群众对优质医疗资源的需求。内）</w:t>
            </w:r>
          </w:p>
        </w:tc>
      </w:tr>
      <w:tr w14:paraId="5F15A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789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E4897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F475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FE1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97258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93BC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C15B4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项目负责人：张萌</w:t>
            </w:r>
          </w:p>
        </w:tc>
        <w:tc>
          <w:tcPr>
            <w:tcW w:w="242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9C3562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财务负责人：熊莲英</w:t>
            </w:r>
          </w:p>
        </w:tc>
      </w:tr>
      <w:tr w14:paraId="7234B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7294D4DC">
            <w:pPr>
              <w:rPr>
                <w:rFonts w:hint="eastAsia" w:ascii="宋体" w:hAnsi="宋体" w:eastAsia="宋体" w:cs="宋体"/>
                <w:i w:val="0"/>
                <w:iCs w:val="0"/>
                <w:color w:val="000000"/>
                <w:sz w:val="18"/>
                <w:szCs w:val="18"/>
                <w:u w:val="none"/>
              </w:rPr>
            </w:pPr>
          </w:p>
        </w:tc>
        <w:tc>
          <w:tcPr>
            <w:tcW w:w="725" w:type="pct"/>
            <w:tcBorders>
              <w:top w:val="nil"/>
              <w:left w:val="nil"/>
              <w:bottom w:val="nil"/>
              <w:right w:val="nil"/>
            </w:tcBorders>
            <w:shd w:val="clear" w:color="auto" w:fill="auto"/>
            <w:vAlign w:val="center"/>
          </w:tcPr>
          <w:p w14:paraId="775D687A">
            <w:pPr>
              <w:rPr>
                <w:rFonts w:hint="eastAsia" w:ascii="宋体" w:hAnsi="宋体" w:eastAsia="宋体" w:cs="宋体"/>
                <w:i w:val="0"/>
                <w:iCs w:val="0"/>
                <w:color w:val="000000"/>
                <w:sz w:val="18"/>
                <w:szCs w:val="18"/>
                <w:u w:val="none"/>
              </w:rPr>
            </w:pPr>
          </w:p>
        </w:tc>
        <w:tc>
          <w:tcPr>
            <w:tcW w:w="627" w:type="pct"/>
            <w:tcBorders>
              <w:top w:val="nil"/>
              <w:left w:val="nil"/>
              <w:bottom w:val="nil"/>
              <w:right w:val="nil"/>
            </w:tcBorders>
            <w:shd w:val="clear" w:color="auto" w:fill="auto"/>
            <w:vAlign w:val="center"/>
          </w:tcPr>
          <w:p w14:paraId="587E8CEB">
            <w:pPr>
              <w:rPr>
                <w:rFonts w:hint="eastAsia" w:ascii="宋体" w:hAnsi="宋体" w:eastAsia="宋体" w:cs="宋体"/>
                <w:i w:val="0"/>
                <w:iCs w:val="0"/>
                <w:color w:val="000000"/>
                <w:sz w:val="18"/>
                <w:szCs w:val="18"/>
                <w:u w:val="none"/>
              </w:rPr>
            </w:pPr>
          </w:p>
        </w:tc>
        <w:tc>
          <w:tcPr>
            <w:tcW w:w="800" w:type="pct"/>
            <w:tcBorders>
              <w:top w:val="nil"/>
              <w:left w:val="nil"/>
              <w:bottom w:val="nil"/>
              <w:right w:val="nil"/>
            </w:tcBorders>
            <w:shd w:val="clear" w:color="auto" w:fill="auto"/>
            <w:vAlign w:val="center"/>
          </w:tcPr>
          <w:p w14:paraId="792777BA">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78D882EC">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3EB45B65">
            <w:pPr>
              <w:rPr>
                <w:rFonts w:hint="eastAsia" w:ascii="宋体" w:hAnsi="宋体" w:eastAsia="宋体" w:cs="宋体"/>
                <w:i w:val="0"/>
                <w:iCs w:val="0"/>
                <w:color w:val="000000"/>
                <w:sz w:val="18"/>
                <w:szCs w:val="18"/>
                <w:u w:val="none"/>
              </w:rPr>
            </w:pPr>
          </w:p>
        </w:tc>
        <w:tc>
          <w:tcPr>
            <w:tcW w:w="185" w:type="pct"/>
            <w:tcBorders>
              <w:top w:val="nil"/>
              <w:left w:val="nil"/>
              <w:bottom w:val="nil"/>
              <w:right w:val="nil"/>
            </w:tcBorders>
            <w:shd w:val="clear" w:color="auto" w:fill="auto"/>
            <w:vAlign w:val="center"/>
          </w:tcPr>
          <w:p w14:paraId="0C7A7ECA">
            <w:pPr>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auto"/>
            <w:vAlign w:val="center"/>
          </w:tcPr>
          <w:p w14:paraId="26D29559">
            <w:pPr>
              <w:rPr>
                <w:rFonts w:hint="eastAsia" w:ascii="宋体" w:hAnsi="宋体" w:eastAsia="宋体" w:cs="宋体"/>
                <w:i w:val="0"/>
                <w:iCs w:val="0"/>
                <w:color w:val="000000"/>
                <w:sz w:val="18"/>
                <w:szCs w:val="18"/>
                <w:u w:val="none"/>
              </w:rPr>
            </w:pPr>
          </w:p>
        </w:tc>
        <w:tc>
          <w:tcPr>
            <w:tcW w:w="187" w:type="pct"/>
            <w:tcBorders>
              <w:top w:val="nil"/>
              <w:left w:val="nil"/>
              <w:bottom w:val="nil"/>
              <w:right w:val="nil"/>
            </w:tcBorders>
            <w:shd w:val="clear" w:color="auto" w:fill="auto"/>
            <w:vAlign w:val="center"/>
          </w:tcPr>
          <w:p w14:paraId="579B15DF">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1237F39C">
            <w:pPr>
              <w:rPr>
                <w:rFonts w:hint="eastAsia" w:ascii="宋体" w:hAnsi="宋体" w:eastAsia="宋体" w:cs="宋体"/>
                <w:i w:val="0"/>
                <w:iCs w:val="0"/>
                <w:color w:val="000000"/>
                <w:sz w:val="18"/>
                <w:szCs w:val="18"/>
                <w:u w:val="none"/>
              </w:rPr>
            </w:pPr>
          </w:p>
        </w:tc>
        <w:tc>
          <w:tcPr>
            <w:tcW w:w="905" w:type="pct"/>
            <w:tcBorders>
              <w:top w:val="nil"/>
              <w:left w:val="nil"/>
              <w:bottom w:val="nil"/>
              <w:right w:val="nil"/>
            </w:tcBorders>
            <w:shd w:val="clear" w:color="auto" w:fill="auto"/>
            <w:vAlign w:val="center"/>
          </w:tcPr>
          <w:p w14:paraId="63046C3B">
            <w:pPr>
              <w:rPr>
                <w:rFonts w:hint="eastAsia" w:ascii="宋体" w:hAnsi="宋体" w:eastAsia="宋体" w:cs="宋体"/>
                <w:i w:val="0"/>
                <w:iCs w:val="0"/>
                <w:color w:val="000000"/>
                <w:sz w:val="18"/>
                <w:szCs w:val="18"/>
                <w:u w:val="none"/>
              </w:rPr>
            </w:pPr>
          </w:p>
        </w:tc>
      </w:tr>
      <w:tr w14:paraId="2D7C7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D7D498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4E6E8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AC41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698BB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51323324T000011128245-计生事业费（非三保）</w:t>
            </w:r>
          </w:p>
        </w:tc>
      </w:tr>
      <w:tr w14:paraId="79106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ACD5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2BD3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6" w:type="pct"/>
            <w:tcBorders>
              <w:top w:val="nil"/>
              <w:left w:val="nil"/>
              <w:bottom w:val="nil"/>
              <w:right w:val="nil"/>
            </w:tcBorders>
            <w:shd w:val="clear" w:color="auto" w:fill="auto"/>
            <w:vAlign w:val="center"/>
          </w:tcPr>
          <w:p w14:paraId="50C5849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F907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红原县卫生健康局事业</w:t>
            </w:r>
          </w:p>
        </w:tc>
      </w:tr>
      <w:tr w14:paraId="4E96E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7755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030B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9A60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086F3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912C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61A02">
            <w:pPr>
              <w:rPr>
                <w:rFonts w:hint="eastAsia" w:ascii="宋体" w:hAnsi="宋体" w:eastAsia="宋体" w:cs="宋体"/>
                <w:i w:val="0"/>
                <w:iCs w:val="0"/>
                <w:color w:val="000000"/>
                <w:sz w:val="18"/>
                <w:szCs w:val="18"/>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F1121">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C4BAF9">
            <w:pPr>
              <w:rPr>
                <w:rFonts w:hint="eastAsia" w:ascii="宋体" w:hAnsi="宋体" w:eastAsia="宋体" w:cs="宋体"/>
                <w:i w:val="0"/>
                <w:iCs w:val="0"/>
                <w:color w:val="000000"/>
                <w:sz w:val="18"/>
                <w:szCs w:val="18"/>
                <w:u w:val="none"/>
              </w:rPr>
            </w:pPr>
          </w:p>
        </w:tc>
        <w:tc>
          <w:tcPr>
            <w:tcW w:w="16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5BC9B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B1E3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4936B">
            <w:pP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056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CF5E166">
            <w:pPr>
              <w:rPr>
                <w:rFonts w:hint="eastAsia" w:ascii="宋体" w:hAnsi="宋体" w:eastAsia="宋体" w:cs="宋体"/>
                <w:i w:val="0"/>
                <w:iCs w:val="0"/>
                <w:color w:val="000000"/>
                <w:sz w:val="18"/>
                <w:szCs w:val="18"/>
                <w:u w:val="none"/>
              </w:rPr>
            </w:pPr>
          </w:p>
        </w:tc>
      </w:tr>
      <w:tr w14:paraId="4502F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2251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8CD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982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AD9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A2C9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BC6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DA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B6E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DA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942B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C517B">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3E1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332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E15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13.15</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BDAE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59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559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FED8C">
            <w:pPr>
              <w:jc w:val="center"/>
              <w:rPr>
                <w:rFonts w:hint="eastAsia" w:ascii="宋体" w:hAnsi="宋体" w:eastAsia="宋体" w:cs="宋体"/>
                <w:i w:val="0"/>
                <w:iCs w:val="0"/>
                <w:color w:val="000000"/>
                <w:sz w:val="18"/>
                <w:szCs w:val="18"/>
                <w:u w:val="none"/>
              </w:rPr>
            </w:pPr>
          </w:p>
        </w:tc>
        <w:tc>
          <w:tcPr>
            <w:tcW w:w="9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FC94DC">
            <w:pPr>
              <w:rPr>
                <w:rFonts w:hint="eastAsia" w:ascii="黑体" w:hAnsi="黑体" w:eastAsia="黑体" w:cs="黑体"/>
                <w:i/>
                <w:iCs/>
                <w:color w:val="000000"/>
                <w:sz w:val="18"/>
                <w:szCs w:val="18"/>
                <w:u w:val="none"/>
              </w:rPr>
            </w:pPr>
          </w:p>
        </w:tc>
      </w:tr>
      <w:tr w14:paraId="0893D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6863A">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501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C41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748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13.15</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5241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929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7B5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B71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F5A79">
            <w:pPr>
              <w:rPr>
                <w:rFonts w:hint="eastAsia" w:ascii="黑体" w:hAnsi="黑体" w:eastAsia="黑体" w:cs="黑体"/>
                <w:i/>
                <w:iCs/>
                <w:color w:val="000000"/>
                <w:sz w:val="18"/>
                <w:szCs w:val="18"/>
                <w:u w:val="none"/>
              </w:rPr>
            </w:pPr>
          </w:p>
        </w:tc>
      </w:tr>
      <w:tr w14:paraId="7D240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1ABFE">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516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CA7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59E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581C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E41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2E9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AD1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10A71">
            <w:pPr>
              <w:rPr>
                <w:rFonts w:hint="eastAsia" w:ascii="黑体" w:hAnsi="黑体" w:eastAsia="黑体" w:cs="黑体"/>
                <w:i/>
                <w:iCs/>
                <w:color w:val="000000"/>
                <w:sz w:val="18"/>
                <w:szCs w:val="18"/>
                <w:u w:val="none"/>
              </w:rPr>
            </w:pPr>
          </w:p>
        </w:tc>
      </w:tr>
      <w:tr w14:paraId="116CD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D9D87">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593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4F1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BD3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E93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95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FCA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DFE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CB21D">
            <w:pPr>
              <w:rPr>
                <w:rFonts w:hint="eastAsia" w:ascii="黑体" w:hAnsi="黑体" w:eastAsia="黑体" w:cs="黑体"/>
                <w:i/>
                <w:iCs/>
                <w:color w:val="000000"/>
                <w:sz w:val="18"/>
                <w:szCs w:val="18"/>
                <w:u w:val="none"/>
              </w:rPr>
            </w:pPr>
          </w:p>
        </w:tc>
      </w:tr>
      <w:tr w14:paraId="3B4A8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E5145">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663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587DF">
            <w:pPr>
              <w:jc w:val="center"/>
              <w:rPr>
                <w:rFonts w:hint="eastAsia" w:ascii="微软雅黑" w:hAnsi="微软雅黑" w:eastAsia="微软雅黑" w:cs="微软雅黑"/>
                <w:i/>
                <w:iCs/>
                <w:color w:val="000000"/>
                <w:sz w:val="16"/>
                <w:szCs w:val="16"/>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6A744">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F33166">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BF4C9">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19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907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612A0">
            <w:pPr>
              <w:rPr>
                <w:rFonts w:hint="eastAsia" w:ascii="黑体" w:hAnsi="黑体" w:eastAsia="黑体" w:cs="黑体"/>
                <w:i/>
                <w:iCs/>
                <w:color w:val="000000"/>
                <w:sz w:val="18"/>
                <w:szCs w:val="18"/>
                <w:u w:val="none"/>
              </w:rPr>
            </w:pPr>
          </w:p>
        </w:tc>
      </w:tr>
      <w:tr w14:paraId="60041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F71D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737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C5D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594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5BC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318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26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50D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5EE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DA3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4FD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3C46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4FA20">
            <w:pPr>
              <w:jc w:val="center"/>
              <w:rPr>
                <w:rFonts w:hint="eastAsia" w:ascii="宋体" w:hAnsi="宋体" w:eastAsia="宋体" w:cs="宋体"/>
                <w:i w:val="0"/>
                <w:iCs w:val="0"/>
                <w:color w:val="000000"/>
                <w:sz w:val="18"/>
                <w:szCs w:val="18"/>
                <w:u w:val="none"/>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8D66C">
            <w:pPr>
              <w:jc w:val="center"/>
              <w:rPr>
                <w:rFonts w:hint="eastAsia" w:ascii="宋体" w:hAnsi="宋体" w:eastAsia="宋体" w:cs="宋体"/>
                <w:i w:val="0"/>
                <w:iCs w:val="0"/>
                <w:color w:val="000000"/>
                <w:sz w:val="18"/>
                <w:szCs w:val="18"/>
                <w:u w:val="none"/>
              </w:rPr>
            </w:pP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9E5F6">
            <w:pPr>
              <w:jc w:val="center"/>
              <w:rPr>
                <w:rFonts w:hint="eastAsia" w:ascii="宋体" w:hAnsi="宋体" w:eastAsia="宋体" w:cs="宋体"/>
                <w:i w:val="0"/>
                <w:iCs w:val="0"/>
                <w:color w:val="000000"/>
                <w:sz w:val="18"/>
                <w:szCs w:val="18"/>
                <w:u w:val="none"/>
              </w:rPr>
            </w:pPr>
          </w:p>
        </w:tc>
        <w:tc>
          <w:tcPr>
            <w:tcW w:w="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0638B">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D7CC3">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6356D">
            <w:pPr>
              <w:jc w:val="center"/>
              <w:rPr>
                <w:rFonts w:hint="eastAsia" w:ascii="宋体" w:hAnsi="宋体" w:eastAsia="宋体" w:cs="宋体"/>
                <w:i w:val="0"/>
                <w:iCs w:val="0"/>
                <w:color w:val="000000"/>
                <w:sz w:val="18"/>
                <w:szCs w:val="18"/>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543D0">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8E6B9">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465B5">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D7C5B">
            <w:pPr>
              <w:jc w:val="cente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4E51E">
            <w:pPr>
              <w:jc w:val="center"/>
              <w:rPr>
                <w:rFonts w:hint="eastAsia" w:ascii="微软雅黑" w:hAnsi="微软雅黑" w:eastAsia="微软雅黑" w:cs="微软雅黑"/>
                <w:i/>
                <w:iCs/>
                <w:color w:val="000000"/>
                <w:sz w:val="16"/>
                <w:szCs w:val="16"/>
                <w:u w:val="none"/>
              </w:rPr>
            </w:pPr>
          </w:p>
        </w:tc>
      </w:tr>
      <w:tr w14:paraId="13652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4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7FD35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BDF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75764">
            <w:pPr>
              <w:rPr>
                <w:rFonts w:hint="eastAsia" w:ascii="宋体" w:hAnsi="宋体" w:eastAsia="宋体" w:cs="宋体"/>
                <w:i w:val="0"/>
                <w:iCs w:val="0"/>
                <w:color w:val="000000"/>
                <w:sz w:val="18"/>
                <w:szCs w:val="18"/>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2E276">
            <w:pPr>
              <w:rPr>
                <w:rFonts w:hint="eastAsia" w:ascii="宋体" w:hAnsi="宋体" w:eastAsia="宋体" w:cs="宋体"/>
                <w:i w:val="0"/>
                <w:iCs w:val="0"/>
                <w:color w:val="000000"/>
                <w:sz w:val="18"/>
                <w:szCs w:val="18"/>
                <w:u w:val="none"/>
              </w:rPr>
            </w:pPr>
          </w:p>
        </w:tc>
      </w:tr>
      <w:tr w14:paraId="48AB5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8FD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6120CA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9C7A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ADD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464D92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7066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EFF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57D8A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1C73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2DFB3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项目负责人：卢睿</w:t>
            </w:r>
          </w:p>
        </w:tc>
        <w:tc>
          <w:tcPr>
            <w:tcW w:w="242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839EF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财务负责人：熊莲英</w:t>
            </w:r>
          </w:p>
        </w:tc>
      </w:tr>
    </w:tbl>
    <w:p w14:paraId="77C04498">
      <w:pPr>
        <w:rPr>
          <w:rFonts w:hint="eastAsia" w:ascii="黑体" w:hAnsi="黑体" w:eastAsia="黑体"/>
          <w:sz w:val="44"/>
          <w:szCs w:val="44"/>
        </w:rPr>
      </w:pPr>
      <w:bookmarkStart w:id="70" w:name="_Toc9168"/>
      <w:r>
        <w:rPr>
          <w:rFonts w:hint="eastAsia" w:ascii="黑体" w:hAnsi="黑体" w:eastAsia="黑体"/>
          <w:sz w:val="44"/>
          <w:szCs w:val="44"/>
        </w:rPr>
        <w:br w:type="page"/>
      </w:r>
    </w:p>
    <w:p w14:paraId="0B6335D0">
      <w:pPr>
        <w:spacing w:line="600" w:lineRule="exact"/>
        <w:jc w:val="center"/>
        <w:outlineLvl w:val="0"/>
        <w:rPr>
          <w:rFonts w:ascii="仿宋" w:hAnsi="仿宋" w:eastAsia="仿宋"/>
        </w:rPr>
      </w:pPr>
      <w:r>
        <w:rPr>
          <w:rFonts w:hint="eastAsia" w:ascii="黑体" w:hAnsi="黑体" w:eastAsia="黑体"/>
          <w:sz w:val="44"/>
          <w:szCs w:val="44"/>
        </w:rPr>
        <w:t>第</w:t>
      </w:r>
      <w:r>
        <w:rPr>
          <w:rStyle w:val="27"/>
          <w:rFonts w:hint="eastAsia" w:ascii="黑体" w:hAnsi="黑体" w:eastAsia="黑体"/>
          <w:b w:val="0"/>
        </w:rPr>
        <w:t>五部分 附表</w:t>
      </w:r>
      <w:bookmarkEnd w:id="66"/>
      <w:bookmarkEnd w:id="69"/>
      <w:bookmarkEnd w:id="70"/>
      <w:bookmarkStart w:id="71" w:name="_Toc15396619"/>
    </w:p>
    <w:p w14:paraId="24A4F862">
      <w:pPr>
        <w:pStyle w:val="3"/>
        <w:rPr>
          <w:rFonts w:ascii="仿宋" w:hAnsi="仿宋" w:eastAsia="仿宋"/>
        </w:rPr>
      </w:pPr>
      <w:bookmarkStart w:id="72" w:name="_Toc85"/>
      <w:r>
        <w:rPr>
          <w:rFonts w:hint="eastAsia" w:ascii="仿宋" w:hAnsi="仿宋" w:eastAsia="仿宋"/>
          <w:b w:val="0"/>
        </w:rPr>
        <w:t>一、收</w:t>
      </w:r>
      <w:r>
        <w:rPr>
          <w:rStyle w:val="28"/>
          <w:rFonts w:hint="eastAsia" w:ascii="仿宋" w:hAnsi="仿宋" w:eastAsia="仿宋"/>
          <w:b w:val="0"/>
          <w:bCs w:val="0"/>
        </w:rPr>
        <w:t>入支出决算总表</w:t>
      </w:r>
      <w:bookmarkEnd w:id="71"/>
      <w:bookmarkEnd w:id="72"/>
    </w:p>
    <w:p w14:paraId="25F05344">
      <w:pPr>
        <w:pStyle w:val="3"/>
        <w:rPr>
          <w:rFonts w:ascii="仿宋" w:hAnsi="仿宋" w:eastAsia="仿宋"/>
        </w:rPr>
      </w:pPr>
      <w:bookmarkStart w:id="73" w:name="_Toc3848"/>
      <w:bookmarkStart w:id="74" w:name="_Toc15396620"/>
      <w:r>
        <w:rPr>
          <w:rFonts w:hint="eastAsia" w:ascii="仿宋" w:hAnsi="仿宋" w:eastAsia="仿宋"/>
          <w:b w:val="0"/>
        </w:rPr>
        <w:t>二、收</w:t>
      </w:r>
      <w:r>
        <w:rPr>
          <w:rStyle w:val="28"/>
          <w:rFonts w:hint="eastAsia" w:ascii="仿宋" w:hAnsi="仿宋" w:eastAsia="仿宋"/>
          <w:b w:val="0"/>
          <w:bCs w:val="0"/>
        </w:rPr>
        <w:t>入决算表</w:t>
      </w:r>
      <w:bookmarkEnd w:id="73"/>
      <w:bookmarkEnd w:id="74"/>
    </w:p>
    <w:p w14:paraId="78BA48E4">
      <w:pPr>
        <w:pStyle w:val="3"/>
        <w:rPr>
          <w:rFonts w:ascii="仿宋" w:hAnsi="仿宋" w:eastAsia="仿宋"/>
        </w:rPr>
      </w:pPr>
      <w:bookmarkStart w:id="75" w:name="_Toc20250"/>
      <w:bookmarkStart w:id="76" w:name="_Toc15396621"/>
      <w:r>
        <w:rPr>
          <w:rStyle w:val="28"/>
          <w:rFonts w:hint="eastAsia" w:ascii="仿宋" w:hAnsi="仿宋" w:eastAsia="仿宋"/>
          <w:b w:val="0"/>
          <w:bCs w:val="0"/>
        </w:rPr>
        <w:t>三、</w:t>
      </w:r>
      <w:r>
        <w:rPr>
          <w:rFonts w:hint="eastAsia" w:ascii="仿宋" w:hAnsi="仿宋" w:eastAsia="仿宋"/>
          <w:b w:val="0"/>
        </w:rPr>
        <w:t>支</w:t>
      </w:r>
      <w:r>
        <w:rPr>
          <w:rStyle w:val="28"/>
          <w:rFonts w:hint="eastAsia" w:ascii="仿宋" w:hAnsi="仿宋" w:eastAsia="仿宋"/>
          <w:b w:val="0"/>
          <w:bCs w:val="0"/>
        </w:rPr>
        <w:t>出决算表</w:t>
      </w:r>
      <w:bookmarkEnd w:id="75"/>
      <w:bookmarkEnd w:id="76"/>
    </w:p>
    <w:p w14:paraId="3390FB5A">
      <w:pPr>
        <w:pStyle w:val="3"/>
        <w:rPr>
          <w:rFonts w:ascii="仿宋" w:hAnsi="仿宋" w:eastAsia="仿宋"/>
          <w:b w:val="0"/>
        </w:rPr>
      </w:pPr>
      <w:bookmarkStart w:id="77" w:name="_Toc32657"/>
      <w:bookmarkStart w:id="78" w:name="_Toc15396622"/>
      <w:r>
        <w:rPr>
          <w:rStyle w:val="28"/>
          <w:rFonts w:hint="eastAsia" w:ascii="仿宋" w:hAnsi="仿宋" w:eastAsia="仿宋"/>
          <w:b w:val="0"/>
          <w:bCs w:val="0"/>
        </w:rPr>
        <w:t>四、</w:t>
      </w:r>
      <w:r>
        <w:rPr>
          <w:rFonts w:hint="eastAsia" w:ascii="仿宋" w:hAnsi="仿宋" w:eastAsia="仿宋"/>
          <w:b w:val="0"/>
        </w:rPr>
        <w:t>财</w:t>
      </w:r>
      <w:r>
        <w:rPr>
          <w:rStyle w:val="28"/>
          <w:rFonts w:hint="eastAsia" w:ascii="仿宋" w:hAnsi="仿宋" w:eastAsia="仿宋"/>
          <w:b w:val="0"/>
          <w:bCs w:val="0"/>
        </w:rPr>
        <w:t>政拨款收入支出决算总表</w:t>
      </w:r>
      <w:bookmarkEnd w:id="77"/>
      <w:bookmarkEnd w:id="78"/>
    </w:p>
    <w:p w14:paraId="214BDC46">
      <w:pPr>
        <w:pStyle w:val="3"/>
        <w:rPr>
          <w:rStyle w:val="28"/>
          <w:rFonts w:ascii="仿宋" w:hAnsi="仿宋" w:eastAsia="仿宋"/>
          <w:b w:val="0"/>
          <w:bCs w:val="0"/>
        </w:rPr>
      </w:pPr>
      <w:bookmarkStart w:id="79" w:name="_Toc15509"/>
      <w:bookmarkStart w:id="80" w:name="_Toc15396623"/>
      <w:r>
        <w:rPr>
          <w:rStyle w:val="28"/>
          <w:rFonts w:hint="eastAsia" w:ascii="仿宋" w:hAnsi="仿宋" w:eastAsia="仿宋"/>
          <w:b w:val="0"/>
          <w:bCs w:val="0"/>
        </w:rPr>
        <w:t>五、</w:t>
      </w:r>
      <w:r>
        <w:rPr>
          <w:rFonts w:hint="eastAsia" w:ascii="仿宋" w:hAnsi="仿宋" w:eastAsia="仿宋"/>
          <w:b w:val="0"/>
        </w:rPr>
        <w:t>财</w:t>
      </w:r>
      <w:r>
        <w:rPr>
          <w:rStyle w:val="28"/>
          <w:rFonts w:hint="eastAsia" w:ascii="仿宋" w:hAnsi="仿宋" w:eastAsia="仿宋"/>
          <w:b w:val="0"/>
          <w:bCs w:val="0"/>
        </w:rPr>
        <w:t>政拨款支出决算明细表</w:t>
      </w:r>
      <w:bookmarkEnd w:id="79"/>
      <w:bookmarkEnd w:id="80"/>
      <w:bookmarkStart w:id="81" w:name="_Toc15396624"/>
    </w:p>
    <w:p w14:paraId="405ADB66">
      <w:pPr>
        <w:pStyle w:val="3"/>
        <w:rPr>
          <w:rFonts w:ascii="仿宋" w:hAnsi="仿宋" w:eastAsia="仿宋"/>
        </w:rPr>
      </w:pPr>
      <w:bookmarkStart w:id="82" w:name="_Toc30978"/>
      <w:r>
        <w:rPr>
          <w:rStyle w:val="28"/>
          <w:rFonts w:hint="eastAsia" w:ascii="仿宋" w:hAnsi="仿宋" w:eastAsia="仿宋"/>
          <w:b w:val="0"/>
          <w:bCs w:val="0"/>
        </w:rPr>
        <w:t>六、</w:t>
      </w:r>
      <w:r>
        <w:rPr>
          <w:rFonts w:hint="eastAsia" w:ascii="仿宋" w:hAnsi="仿宋" w:eastAsia="仿宋"/>
          <w:b w:val="0"/>
        </w:rPr>
        <w:t>一</w:t>
      </w:r>
      <w:r>
        <w:rPr>
          <w:rStyle w:val="28"/>
          <w:rFonts w:hint="eastAsia" w:ascii="仿宋" w:hAnsi="仿宋" w:eastAsia="仿宋"/>
          <w:b w:val="0"/>
          <w:bCs w:val="0"/>
        </w:rPr>
        <w:t>般公共预算财政拨款支出决算表</w:t>
      </w:r>
      <w:bookmarkEnd w:id="81"/>
      <w:bookmarkEnd w:id="82"/>
    </w:p>
    <w:p w14:paraId="4050A142">
      <w:pPr>
        <w:pStyle w:val="3"/>
        <w:rPr>
          <w:rFonts w:ascii="仿宋" w:hAnsi="仿宋" w:eastAsia="仿宋"/>
        </w:rPr>
      </w:pPr>
      <w:bookmarkStart w:id="83" w:name="_Toc3393"/>
      <w:bookmarkStart w:id="84" w:name="_Toc15396625"/>
      <w:r>
        <w:rPr>
          <w:rStyle w:val="28"/>
          <w:rFonts w:hint="eastAsia" w:ascii="仿宋" w:hAnsi="仿宋" w:eastAsia="仿宋"/>
          <w:b w:val="0"/>
          <w:bCs w:val="0"/>
        </w:rPr>
        <w:t>七、</w:t>
      </w:r>
      <w:r>
        <w:rPr>
          <w:rFonts w:hint="eastAsia" w:ascii="仿宋" w:hAnsi="仿宋" w:eastAsia="仿宋"/>
          <w:b w:val="0"/>
        </w:rPr>
        <w:t>一</w:t>
      </w:r>
      <w:r>
        <w:rPr>
          <w:rStyle w:val="28"/>
          <w:rFonts w:hint="eastAsia" w:ascii="仿宋" w:hAnsi="仿宋" w:eastAsia="仿宋"/>
          <w:b w:val="0"/>
          <w:bCs w:val="0"/>
        </w:rPr>
        <w:t>般公共预算财政拨款支出决算明细表</w:t>
      </w:r>
      <w:bookmarkEnd w:id="83"/>
      <w:bookmarkEnd w:id="84"/>
    </w:p>
    <w:p w14:paraId="738616FE">
      <w:pPr>
        <w:pStyle w:val="3"/>
        <w:rPr>
          <w:rFonts w:ascii="仿宋" w:hAnsi="仿宋" w:eastAsia="仿宋"/>
        </w:rPr>
      </w:pPr>
      <w:bookmarkStart w:id="85" w:name="_Toc18461"/>
      <w:bookmarkStart w:id="86" w:name="_Toc15396626"/>
      <w:r>
        <w:rPr>
          <w:rStyle w:val="28"/>
          <w:rFonts w:hint="eastAsia" w:ascii="仿宋" w:hAnsi="仿宋" w:eastAsia="仿宋"/>
          <w:b w:val="0"/>
          <w:bCs w:val="0"/>
        </w:rPr>
        <w:t>八、</w:t>
      </w:r>
      <w:r>
        <w:rPr>
          <w:rFonts w:hint="eastAsia" w:ascii="仿宋" w:hAnsi="仿宋" w:eastAsia="仿宋"/>
          <w:b w:val="0"/>
        </w:rPr>
        <w:t>一</w:t>
      </w:r>
      <w:r>
        <w:rPr>
          <w:rStyle w:val="28"/>
          <w:rFonts w:hint="eastAsia" w:ascii="仿宋" w:hAnsi="仿宋" w:eastAsia="仿宋"/>
          <w:b w:val="0"/>
          <w:bCs w:val="0"/>
        </w:rPr>
        <w:t>般公共预算财政拨款基本支出决算表</w:t>
      </w:r>
      <w:bookmarkEnd w:id="85"/>
      <w:bookmarkEnd w:id="86"/>
    </w:p>
    <w:p w14:paraId="087FFEA2">
      <w:pPr>
        <w:pStyle w:val="3"/>
        <w:rPr>
          <w:rFonts w:ascii="仿宋" w:hAnsi="仿宋" w:eastAsia="仿宋"/>
        </w:rPr>
      </w:pPr>
      <w:bookmarkStart w:id="87" w:name="_Toc15396627"/>
      <w:bookmarkStart w:id="88" w:name="_Toc29740"/>
      <w:r>
        <w:rPr>
          <w:rStyle w:val="28"/>
          <w:rFonts w:hint="eastAsia" w:ascii="仿宋" w:hAnsi="仿宋" w:eastAsia="仿宋"/>
          <w:b w:val="0"/>
          <w:bCs w:val="0"/>
        </w:rPr>
        <w:t>九、</w:t>
      </w:r>
      <w:r>
        <w:rPr>
          <w:rFonts w:hint="eastAsia" w:ascii="仿宋" w:hAnsi="仿宋" w:eastAsia="仿宋"/>
          <w:b w:val="0"/>
        </w:rPr>
        <w:t>一</w:t>
      </w:r>
      <w:r>
        <w:rPr>
          <w:rStyle w:val="28"/>
          <w:rFonts w:hint="eastAsia" w:ascii="仿宋" w:hAnsi="仿宋" w:eastAsia="仿宋"/>
          <w:b w:val="0"/>
          <w:bCs w:val="0"/>
        </w:rPr>
        <w:t>般公共预算财政拨款项目支出决算表</w:t>
      </w:r>
      <w:bookmarkEnd w:id="87"/>
      <w:bookmarkEnd w:id="88"/>
    </w:p>
    <w:p w14:paraId="2869F1C5">
      <w:pPr>
        <w:pStyle w:val="3"/>
        <w:rPr>
          <w:rFonts w:ascii="仿宋" w:hAnsi="仿宋" w:eastAsia="仿宋"/>
        </w:rPr>
      </w:pPr>
      <w:bookmarkStart w:id="89" w:name="_Toc15396628"/>
      <w:bookmarkStart w:id="90" w:name="_Toc20426"/>
      <w:r>
        <w:rPr>
          <w:rStyle w:val="28"/>
          <w:rFonts w:hint="eastAsia" w:ascii="仿宋" w:hAnsi="仿宋" w:eastAsia="仿宋"/>
          <w:b w:val="0"/>
          <w:bCs w:val="0"/>
        </w:rPr>
        <w:t>十、</w:t>
      </w:r>
      <w:bookmarkEnd w:id="89"/>
      <w:r>
        <w:rPr>
          <w:rFonts w:hint="eastAsia" w:ascii="仿宋" w:hAnsi="仿宋" w:eastAsia="仿宋"/>
          <w:b w:val="0"/>
        </w:rPr>
        <w:t>政</w:t>
      </w:r>
      <w:r>
        <w:rPr>
          <w:rStyle w:val="28"/>
          <w:rFonts w:hint="eastAsia" w:ascii="仿宋" w:hAnsi="仿宋" w:eastAsia="仿宋"/>
          <w:b w:val="0"/>
          <w:bCs w:val="0"/>
        </w:rPr>
        <w:t>府性基金预算财政拨款收入支出决算表</w:t>
      </w:r>
      <w:bookmarkEnd w:id="90"/>
    </w:p>
    <w:p w14:paraId="3FCDD963">
      <w:pPr>
        <w:pStyle w:val="3"/>
        <w:rPr>
          <w:rFonts w:ascii="仿宋" w:hAnsi="仿宋" w:eastAsia="仿宋"/>
        </w:rPr>
      </w:pPr>
      <w:bookmarkStart w:id="91" w:name="_Toc15396629"/>
      <w:bookmarkStart w:id="92" w:name="_Toc31872"/>
      <w:r>
        <w:rPr>
          <w:rStyle w:val="28"/>
          <w:rFonts w:hint="eastAsia" w:ascii="仿宋" w:hAnsi="仿宋" w:eastAsia="仿宋"/>
          <w:b w:val="0"/>
          <w:bCs w:val="0"/>
        </w:rPr>
        <w:t>十一、</w:t>
      </w:r>
      <w:bookmarkEnd w:id="91"/>
      <w:r>
        <w:rPr>
          <w:rFonts w:hint="eastAsia" w:ascii="仿宋" w:hAnsi="仿宋" w:eastAsia="仿宋"/>
          <w:b w:val="0"/>
        </w:rPr>
        <w:t>国</w:t>
      </w:r>
      <w:r>
        <w:rPr>
          <w:rStyle w:val="28"/>
          <w:rFonts w:hint="eastAsia" w:ascii="仿宋" w:hAnsi="仿宋" w:eastAsia="仿宋"/>
          <w:b w:val="0"/>
          <w:bCs w:val="0"/>
        </w:rPr>
        <w:t>有资本经营预算财政拨款收入支出决算表</w:t>
      </w:r>
      <w:bookmarkEnd w:id="92"/>
    </w:p>
    <w:p w14:paraId="5269DB4C">
      <w:pPr>
        <w:pStyle w:val="3"/>
        <w:rPr>
          <w:rFonts w:ascii="仿宋" w:hAnsi="仿宋" w:eastAsia="仿宋"/>
        </w:rPr>
      </w:pPr>
      <w:bookmarkStart w:id="93" w:name="_Toc15396630"/>
      <w:bookmarkStart w:id="94" w:name="_Toc23264"/>
      <w:r>
        <w:rPr>
          <w:rStyle w:val="28"/>
          <w:rFonts w:hint="eastAsia" w:ascii="仿宋" w:hAnsi="仿宋" w:eastAsia="仿宋"/>
          <w:b w:val="0"/>
          <w:bCs w:val="0"/>
        </w:rPr>
        <w:t>十二、</w:t>
      </w:r>
      <w:bookmarkEnd w:id="93"/>
      <w:r>
        <w:rPr>
          <w:rStyle w:val="28"/>
          <w:rFonts w:hint="eastAsia" w:ascii="仿宋" w:hAnsi="仿宋" w:eastAsia="仿宋"/>
          <w:b w:val="0"/>
          <w:bCs w:val="0"/>
        </w:rPr>
        <w:t>国有资本经营预算财政拨款支出决算表</w:t>
      </w:r>
      <w:bookmarkEnd w:id="94"/>
    </w:p>
    <w:p w14:paraId="0EC61259">
      <w:pPr>
        <w:pStyle w:val="3"/>
        <w:rPr>
          <w:rFonts w:eastAsia="仿宋"/>
        </w:rPr>
      </w:pPr>
      <w:bookmarkStart w:id="95" w:name="_Toc15396631"/>
      <w:bookmarkStart w:id="96" w:name="_Toc26791"/>
      <w:r>
        <w:rPr>
          <w:rStyle w:val="28"/>
          <w:rFonts w:hint="eastAsia" w:ascii="仿宋" w:hAnsi="仿宋" w:eastAsia="仿宋"/>
          <w:b w:val="0"/>
          <w:bCs w:val="0"/>
        </w:rPr>
        <w:t>十三、</w:t>
      </w:r>
      <w:bookmarkEnd w:id="95"/>
      <w:r>
        <w:rPr>
          <w:rStyle w:val="28"/>
          <w:rFonts w:hint="eastAsia" w:ascii="仿宋" w:hAnsi="仿宋" w:eastAsia="仿宋"/>
          <w:b w:val="0"/>
          <w:bCs w:val="0"/>
        </w:rPr>
        <w:t>财政拨款“三公”经费支出决算表</w:t>
      </w:r>
      <w:bookmarkEnd w:id="96"/>
    </w:p>
    <w:sectPr>
      <w:footerReference r:id="rId5" w:type="first"/>
      <w:footerReference r:id="rId4"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5DCAAB7B">
        <w:pPr>
          <w:pStyle w:val="9"/>
          <w:jc w:val="center"/>
        </w:pPr>
        <w:r>
          <w:fldChar w:fldCharType="begin"/>
        </w:r>
        <w:r>
          <w:instrText xml:space="preserve">PAGE   \* MERGEFORMAT</w:instrText>
        </w:r>
        <w:r>
          <w:fldChar w:fldCharType="separate"/>
        </w:r>
        <w:r>
          <w:rPr>
            <w:lang w:val="zh-CN"/>
          </w:rPr>
          <w:t>15</w:t>
        </w:r>
        <w:r>
          <w:fldChar w:fldCharType="end"/>
        </w:r>
      </w:p>
    </w:sdtContent>
  </w:sdt>
  <w:p w14:paraId="10A27C07">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055C3">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3379"/>
                          </w:sdtPr>
                          <w:sdtContent>
                            <w:p w14:paraId="563A1980">
                              <w:pPr>
                                <w:pStyle w:val="9"/>
                                <w:jc w:val="center"/>
                              </w:pPr>
                              <w:r>
                                <w:fldChar w:fldCharType="begin"/>
                              </w:r>
                              <w:r>
                                <w:instrText xml:space="preserve">PAGE   \* MERGEFORMAT</w:instrText>
                              </w:r>
                              <w:r>
                                <w:fldChar w:fldCharType="separate"/>
                              </w:r>
                              <w:r>
                                <w:rPr>
                                  <w:lang w:val="zh-CN"/>
                                </w:rPr>
                                <w:t>15</w:t>
                              </w:r>
                              <w:r>
                                <w:fldChar w:fldCharType="end"/>
                              </w:r>
                            </w:p>
                          </w:sdtContent>
                        </w:sdt>
                        <w:p w14:paraId="40414EE3">
                          <w:pPr>
                            <w:pStyle w:val="1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63379"/>
                    </w:sdtPr>
                    <w:sdtContent>
                      <w:p w14:paraId="563A1980">
                        <w:pPr>
                          <w:pStyle w:val="9"/>
                          <w:jc w:val="center"/>
                        </w:pPr>
                        <w:r>
                          <w:fldChar w:fldCharType="begin"/>
                        </w:r>
                        <w:r>
                          <w:instrText xml:space="preserve">PAGE   \* MERGEFORMAT</w:instrText>
                        </w:r>
                        <w:r>
                          <w:fldChar w:fldCharType="separate"/>
                        </w:r>
                        <w:r>
                          <w:rPr>
                            <w:lang w:val="zh-CN"/>
                          </w:rPr>
                          <w:t>15</w:t>
                        </w:r>
                        <w:r>
                          <w:fldChar w:fldCharType="end"/>
                        </w:r>
                      </w:p>
                    </w:sdtContent>
                  </w:sdt>
                  <w:p w14:paraId="40414EE3">
                    <w:pPr>
                      <w:pStyle w:val="13"/>
                    </w:pPr>
                  </w:p>
                </w:txbxContent>
              </v:textbox>
            </v:shape>
          </w:pict>
        </mc:Fallback>
      </mc:AlternateContent>
    </w:r>
  </w:p>
  <w:p w14:paraId="66379A35">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EBE11">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3562D7">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43562D7">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818A09A"/>
    <w:multiLevelType w:val="singleLevel"/>
    <w:tmpl w:val="3818A09A"/>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zMDkzMjJiODZiMzM1NGI0NDkyZDY2NzUyMTJmOTI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AE55E9"/>
    <w:rsid w:val="03DC2831"/>
    <w:rsid w:val="040556DD"/>
    <w:rsid w:val="04B3705D"/>
    <w:rsid w:val="05045994"/>
    <w:rsid w:val="05200878"/>
    <w:rsid w:val="06AB256C"/>
    <w:rsid w:val="06D73361"/>
    <w:rsid w:val="077E1A2E"/>
    <w:rsid w:val="07F95559"/>
    <w:rsid w:val="081B5E94"/>
    <w:rsid w:val="088077E4"/>
    <w:rsid w:val="097529BD"/>
    <w:rsid w:val="0A2032A3"/>
    <w:rsid w:val="0A56459C"/>
    <w:rsid w:val="0B8A37D8"/>
    <w:rsid w:val="0BC96FF0"/>
    <w:rsid w:val="0E4868F2"/>
    <w:rsid w:val="0E792F4F"/>
    <w:rsid w:val="0F423341"/>
    <w:rsid w:val="0F5FFB2F"/>
    <w:rsid w:val="0FFFCF60"/>
    <w:rsid w:val="10797237"/>
    <w:rsid w:val="10897BD2"/>
    <w:rsid w:val="108C51BC"/>
    <w:rsid w:val="10C055FF"/>
    <w:rsid w:val="10C304B2"/>
    <w:rsid w:val="118107EC"/>
    <w:rsid w:val="11DD6519"/>
    <w:rsid w:val="1230423B"/>
    <w:rsid w:val="12577F6F"/>
    <w:rsid w:val="157B5CA8"/>
    <w:rsid w:val="16BB723D"/>
    <w:rsid w:val="16D61FC6"/>
    <w:rsid w:val="1767603B"/>
    <w:rsid w:val="17B15EB7"/>
    <w:rsid w:val="17FA6AFB"/>
    <w:rsid w:val="18015F3F"/>
    <w:rsid w:val="18581E27"/>
    <w:rsid w:val="18B708FC"/>
    <w:rsid w:val="18C354F3"/>
    <w:rsid w:val="19645E0A"/>
    <w:rsid w:val="198F43E7"/>
    <w:rsid w:val="1B2F50C2"/>
    <w:rsid w:val="1BE35EAC"/>
    <w:rsid w:val="1BE8440E"/>
    <w:rsid w:val="1D155CEE"/>
    <w:rsid w:val="1DFB572F"/>
    <w:rsid w:val="1FDBBF84"/>
    <w:rsid w:val="20F57F95"/>
    <w:rsid w:val="240371BF"/>
    <w:rsid w:val="25711CC6"/>
    <w:rsid w:val="258424AE"/>
    <w:rsid w:val="25C741E6"/>
    <w:rsid w:val="265579A6"/>
    <w:rsid w:val="276F80C0"/>
    <w:rsid w:val="27842671"/>
    <w:rsid w:val="29FD04D3"/>
    <w:rsid w:val="2ABE7A3E"/>
    <w:rsid w:val="2AFF09B6"/>
    <w:rsid w:val="2CA234A8"/>
    <w:rsid w:val="2D4A7B39"/>
    <w:rsid w:val="2EFA178C"/>
    <w:rsid w:val="2EFDF86C"/>
    <w:rsid w:val="2F25085E"/>
    <w:rsid w:val="2F503401"/>
    <w:rsid w:val="2F587A28"/>
    <w:rsid w:val="2F9D17E1"/>
    <w:rsid w:val="30B46D73"/>
    <w:rsid w:val="319F7F4E"/>
    <w:rsid w:val="31FA02F1"/>
    <w:rsid w:val="32B33CFF"/>
    <w:rsid w:val="343D03F7"/>
    <w:rsid w:val="348F22D5"/>
    <w:rsid w:val="34CA2A79"/>
    <w:rsid w:val="356A28F1"/>
    <w:rsid w:val="357C035A"/>
    <w:rsid w:val="368E000D"/>
    <w:rsid w:val="36BE2E6C"/>
    <w:rsid w:val="383D272C"/>
    <w:rsid w:val="39AE70AB"/>
    <w:rsid w:val="39CE1E5B"/>
    <w:rsid w:val="3A4DCE41"/>
    <w:rsid w:val="3A726921"/>
    <w:rsid w:val="3B2A0FAA"/>
    <w:rsid w:val="3B950B19"/>
    <w:rsid w:val="3BCB56FA"/>
    <w:rsid w:val="3C095063"/>
    <w:rsid w:val="3C0C0783"/>
    <w:rsid w:val="3CF4186F"/>
    <w:rsid w:val="3D8660C5"/>
    <w:rsid w:val="3E0E1DF6"/>
    <w:rsid w:val="3E483C21"/>
    <w:rsid w:val="3EE7C2F4"/>
    <w:rsid w:val="3F371B56"/>
    <w:rsid w:val="3F5D194E"/>
    <w:rsid w:val="3F792ED8"/>
    <w:rsid w:val="3F9F3A96"/>
    <w:rsid w:val="3FCE63A8"/>
    <w:rsid w:val="3FECA4B2"/>
    <w:rsid w:val="3FF58C48"/>
    <w:rsid w:val="40D44B34"/>
    <w:rsid w:val="42283623"/>
    <w:rsid w:val="42FF6694"/>
    <w:rsid w:val="44080714"/>
    <w:rsid w:val="44B32010"/>
    <w:rsid w:val="45336CAD"/>
    <w:rsid w:val="469B64D8"/>
    <w:rsid w:val="46A75BA4"/>
    <w:rsid w:val="47CB7671"/>
    <w:rsid w:val="48A979B2"/>
    <w:rsid w:val="48BF60AB"/>
    <w:rsid w:val="48E94252"/>
    <w:rsid w:val="48EB1D78"/>
    <w:rsid w:val="493C27E9"/>
    <w:rsid w:val="496F39ED"/>
    <w:rsid w:val="49FF41D3"/>
    <w:rsid w:val="4BE068DB"/>
    <w:rsid w:val="4BF6002B"/>
    <w:rsid w:val="4BFFC6BE"/>
    <w:rsid w:val="4C6A2CD0"/>
    <w:rsid w:val="4CD64AED"/>
    <w:rsid w:val="4DD40635"/>
    <w:rsid w:val="4DE65204"/>
    <w:rsid w:val="4E9F1CE9"/>
    <w:rsid w:val="4ECE2238"/>
    <w:rsid w:val="4EE80B08"/>
    <w:rsid w:val="4FF557B7"/>
    <w:rsid w:val="5060013B"/>
    <w:rsid w:val="51DB4B86"/>
    <w:rsid w:val="51F64DB0"/>
    <w:rsid w:val="523429E2"/>
    <w:rsid w:val="528005E6"/>
    <w:rsid w:val="52EA12F3"/>
    <w:rsid w:val="54CF7554"/>
    <w:rsid w:val="55333C3E"/>
    <w:rsid w:val="565D1DDC"/>
    <w:rsid w:val="573945F7"/>
    <w:rsid w:val="59EA607C"/>
    <w:rsid w:val="5A581238"/>
    <w:rsid w:val="5AD7215D"/>
    <w:rsid w:val="5AEE74A6"/>
    <w:rsid w:val="5E062D59"/>
    <w:rsid w:val="5ECC3FA2"/>
    <w:rsid w:val="5F67802D"/>
    <w:rsid w:val="5F7DC4F2"/>
    <w:rsid w:val="5FB36814"/>
    <w:rsid w:val="5FBB8E56"/>
    <w:rsid w:val="5FFB5535"/>
    <w:rsid w:val="60167FE7"/>
    <w:rsid w:val="61497B2C"/>
    <w:rsid w:val="633A772C"/>
    <w:rsid w:val="64CA39A1"/>
    <w:rsid w:val="65515201"/>
    <w:rsid w:val="65FD2C93"/>
    <w:rsid w:val="66CD6B09"/>
    <w:rsid w:val="671B5AC7"/>
    <w:rsid w:val="67F874B0"/>
    <w:rsid w:val="68943A24"/>
    <w:rsid w:val="69630ADE"/>
    <w:rsid w:val="69BD5F13"/>
    <w:rsid w:val="69FB0B4B"/>
    <w:rsid w:val="69FD3262"/>
    <w:rsid w:val="6A537326"/>
    <w:rsid w:val="6A7C72A2"/>
    <w:rsid w:val="6BFFE1FB"/>
    <w:rsid w:val="6C4A05C8"/>
    <w:rsid w:val="6CCE0EE6"/>
    <w:rsid w:val="6CE37D94"/>
    <w:rsid w:val="6D237483"/>
    <w:rsid w:val="6D3B1A89"/>
    <w:rsid w:val="6DB7D8A3"/>
    <w:rsid w:val="6E5D4C17"/>
    <w:rsid w:val="6EC78701"/>
    <w:rsid w:val="6EEB55FE"/>
    <w:rsid w:val="6F7A5481"/>
    <w:rsid w:val="6FFE07A9"/>
    <w:rsid w:val="70291255"/>
    <w:rsid w:val="71BF4EC2"/>
    <w:rsid w:val="72734D90"/>
    <w:rsid w:val="733777E5"/>
    <w:rsid w:val="73E75B71"/>
    <w:rsid w:val="7412278C"/>
    <w:rsid w:val="749E33B6"/>
    <w:rsid w:val="74BA691F"/>
    <w:rsid w:val="753C7334"/>
    <w:rsid w:val="75DDCDA9"/>
    <w:rsid w:val="75FF44B1"/>
    <w:rsid w:val="76944F4E"/>
    <w:rsid w:val="76AD26EF"/>
    <w:rsid w:val="7722255A"/>
    <w:rsid w:val="77670518"/>
    <w:rsid w:val="777FA627"/>
    <w:rsid w:val="77DF1B5F"/>
    <w:rsid w:val="77EF2D9D"/>
    <w:rsid w:val="789E20B4"/>
    <w:rsid w:val="79077C59"/>
    <w:rsid w:val="79C00DCD"/>
    <w:rsid w:val="79E7B28D"/>
    <w:rsid w:val="7A89511E"/>
    <w:rsid w:val="7ACFF0C2"/>
    <w:rsid w:val="7AFB9108"/>
    <w:rsid w:val="7BBF2A6D"/>
    <w:rsid w:val="7BD5340C"/>
    <w:rsid w:val="7BFB19D2"/>
    <w:rsid w:val="7BFD1750"/>
    <w:rsid w:val="7BFDAA1B"/>
    <w:rsid w:val="7CDF9A82"/>
    <w:rsid w:val="7CFFA1BD"/>
    <w:rsid w:val="7D2E3F7A"/>
    <w:rsid w:val="7DED9490"/>
    <w:rsid w:val="7DFF4872"/>
    <w:rsid w:val="7E7487E6"/>
    <w:rsid w:val="7E7C2A54"/>
    <w:rsid w:val="7EEEFD72"/>
    <w:rsid w:val="7F1D517C"/>
    <w:rsid w:val="7F5DA057"/>
    <w:rsid w:val="7F6A1120"/>
    <w:rsid w:val="7F6C2237"/>
    <w:rsid w:val="7F7F319B"/>
    <w:rsid w:val="7F9F20EE"/>
    <w:rsid w:val="7FBBE890"/>
    <w:rsid w:val="7FBC2ABD"/>
    <w:rsid w:val="7FBF5D48"/>
    <w:rsid w:val="7FCCFC01"/>
    <w:rsid w:val="7FDD1748"/>
    <w:rsid w:val="7FE769C6"/>
    <w:rsid w:val="7FFD083E"/>
    <w:rsid w:val="7FFF9372"/>
    <w:rsid w:val="84BF1F3B"/>
    <w:rsid w:val="8F55B106"/>
    <w:rsid w:val="95DF317D"/>
    <w:rsid w:val="97E77C70"/>
    <w:rsid w:val="9E3A10E2"/>
    <w:rsid w:val="9FB91FBD"/>
    <w:rsid w:val="9FD54998"/>
    <w:rsid w:val="A671883B"/>
    <w:rsid w:val="A7EFD17F"/>
    <w:rsid w:val="A7FFE43F"/>
    <w:rsid w:val="BDFEA317"/>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0"/>
    <w:semiHidden/>
    <w:unhideWhenUsed/>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Body Text First Indent 2"/>
    <w:basedOn w:val="6"/>
    <w:unhideWhenUsed/>
    <w:qFormat/>
    <w:uiPriority w:val="99"/>
    <w:pPr>
      <w:ind w:firstLine="420" w:firstLine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paragraph" w:customStyle="1" w:styleId="18">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19">
    <w:name w:val="Header Char"/>
    <w:basedOn w:val="15"/>
    <w:semiHidden/>
    <w:qFormat/>
    <w:uiPriority w:val="99"/>
    <w:rPr>
      <w:rFonts w:ascii="Times New Roman" w:hAnsi="Times New Roman"/>
      <w:sz w:val="18"/>
      <w:szCs w:val="18"/>
    </w:rPr>
  </w:style>
  <w:style w:type="character" w:customStyle="1" w:styleId="20">
    <w:name w:val="页眉 字符"/>
    <w:link w:val="10"/>
    <w:semiHidden/>
    <w:qFormat/>
    <w:locked/>
    <w:uiPriority w:val="99"/>
    <w:rPr>
      <w:sz w:val="18"/>
    </w:rPr>
  </w:style>
  <w:style w:type="character" w:customStyle="1" w:styleId="21">
    <w:name w:val="Footer Char"/>
    <w:basedOn w:val="15"/>
    <w:semiHidden/>
    <w:qFormat/>
    <w:uiPriority w:val="99"/>
    <w:rPr>
      <w:rFonts w:ascii="Times New Roman" w:hAnsi="Times New Roman"/>
      <w:sz w:val="18"/>
      <w:szCs w:val="18"/>
    </w:rPr>
  </w:style>
  <w:style w:type="character" w:customStyle="1" w:styleId="22">
    <w:name w:val="页脚 字符"/>
    <w:link w:val="9"/>
    <w:qFormat/>
    <w:locked/>
    <w:uiPriority w:val="99"/>
    <w:rPr>
      <w:sz w:val="18"/>
    </w:rPr>
  </w:style>
  <w:style w:type="character" w:customStyle="1" w:styleId="23">
    <w:name w:val="Body Text Char"/>
    <w:basedOn w:val="15"/>
    <w:semiHidden/>
    <w:qFormat/>
    <w:uiPriority w:val="99"/>
    <w:rPr>
      <w:rFonts w:ascii="Times New Roman" w:hAnsi="Times New Roman"/>
      <w:szCs w:val="24"/>
    </w:rPr>
  </w:style>
  <w:style w:type="character" w:customStyle="1" w:styleId="24">
    <w:name w:val="正文文本 字符"/>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5"/>
    <w:link w:val="2"/>
    <w:qFormat/>
    <w:uiPriority w:val="9"/>
    <w:rPr>
      <w:rFonts w:ascii="Times New Roman" w:hAnsi="Times New Roman"/>
      <w:b/>
      <w:bCs/>
      <w:kern w:val="44"/>
      <w:sz w:val="44"/>
      <w:szCs w:val="44"/>
    </w:rPr>
  </w:style>
  <w:style w:type="character" w:customStyle="1" w:styleId="28">
    <w:name w:val="标题 2 字符"/>
    <w:basedOn w:val="15"/>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5"/>
    <w:link w:val="8"/>
    <w:semiHidden/>
    <w:qFormat/>
    <w:uiPriority w:val="99"/>
    <w:rPr>
      <w:rFonts w:ascii="Times New Roman" w:hAnsi="Times New Roman"/>
      <w:kern w:val="2"/>
      <w:sz w:val="18"/>
      <w:szCs w:val="18"/>
    </w:rPr>
  </w:style>
  <w:style w:type="character" w:customStyle="1" w:styleId="31">
    <w:name w:val="标题 3 字符"/>
    <w:basedOn w:val="15"/>
    <w:link w:val="4"/>
    <w:qFormat/>
    <w:uiPriority w:val="9"/>
    <w:rPr>
      <w:rFonts w:ascii="Times New Roman" w:hAnsi="Times New Roman"/>
      <w:b/>
      <w:bCs/>
      <w:kern w:val="2"/>
      <w:sz w:val="32"/>
      <w:szCs w:val="32"/>
    </w:rPr>
  </w:style>
  <w:style w:type="paragraph" w:customStyle="1" w:styleId="32">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3">
    <w:name w:val="WPSOffice手动目录 1"/>
    <w:qFormat/>
    <w:uiPriority w:val="0"/>
    <w:pPr>
      <w:ind w:leftChars="0"/>
    </w:pPr>
    <w:rPr>
      <w:rFonts w:asciiTheme="minorHAnsi" w:hAnsiTheme="minorHAnsi" w:eastAsiaTheme="minorEastAsia" w:cstheme="minorBidi"/>
      <w:sz w:val="20"/>
      <w:szCs w:val="20"/>
    </w:rPr>
  </w:style>
  <w:style w:type="paragraph" w:customStyle="1" w:styleId="34">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22\2\2023-122002-&#32418;&#21407;&#21439;&#21355;&#29983;&#20581;&#24247;&#23616;&#20107;&#19994;&#20915;&#31639;&#20844;&#24320;&#34920;\&#22270;&#34920;&#35774;&#35745;(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222\2\2023-122002-&#32418;&#21407;&#21439;&#21355;&#29983;&#20581;&#24247;&#23616;&#20107;&#19994;&#20915;&#31639;&#20844;&#24320;&#34920;\&#22270;&#34920;&#35774;&#35745;(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222\2\2023-122002-&#32418;&#21407;&#21439;&#21355;&#29983;&#20581;&#24247;&#23616;&#20107;&#19994;&#20915;&#31639;&#20844;&#24320;&#34920;\&#22270;&#34920;&#35774;&#35745;(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222\2\2023-122002-&#32418;&#21407;&#21439;&#21355;&#29983;&#20581;&#24247;&#23616;&#20107;&#19994;&#20915;&#31639;&#20844;&#24320;&#34920;\&#22270;&#34920;&#35774;&#35745;(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222\2\2023-122002-&#32418;&#21407;&#21439;&#21355;&#29983;&#20581;&#24247;&#23616;&#20107;&#19994;&#20915;&#31639;&#20844;&#24320;&#34920;\&#22270;&#34920;&#35774;&#35745;(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222\2\2023-122002-&#32418;&#21407;&#21439;&#21355;&#29983;&#20581;&#24247;&#23616;&#20107;&#19994;&#20915;&#31639;&#20844;&#24320;&#34920;\&#22270;&#34920;&#35774;&#35745;(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222\2\2023-122002-&#32418;&#21407;&#21439;&#21355;&#29983;&#20581;&#24247;&#23616;&#20107;&#19994;&#20915;&#31639;&#20844;&#24320;&#34920;\&#22270;&#34920;&#35774;&#35745;(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rPr>
              <a:t>收入、支出决算总计变动情况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tx>
            <c:strRef>
              <c:f>'[图表设计(1).xls]Sheet2'!$A$5</c:f>
              <c:strCache>
                <c:ptCount val="1"/>
                <c:pt idx="0">
                  <c:v>2022</c:v>
                </c:pt>
              </c:strCache>
            </c:strRef>
          </c:tx>
          <c:spPr>
            <a:solidFill>
              <a:schemeClr val="accent1"/>
            </a:solidFill>
            <a:ln>
              <a:noFill/>
            </a:ln>
            <a:effectLst/>
          </c:spPr>
          <c:invertIfNegative val="0"/>
          <c:dLbls>
            <c:delete val="1"/>
          </c:dLbls>
          <c:cat>
            <c:strRef>
              <c:f>'[图表设计(1).xls]Sheet2'!$B$4:$C$4</c:f>
              <c:strCache>
                <c:ptCount val="2"/>
                <c:pt idx="0">
                  <c:v>收入</c:v>
                </c:pt>
                <c:pt idx="1">
                  <c:v>支出</c:v>
                </c:pt>
              </c:strCache>
            </c:strRef>
          </c:cat>
          <c:val>
            <c:numRef>
              <c:f>'[图表设计(1).xls]Sheet2'!$B$5:$C$5</c:f>
              <c:numCache>
                <c:formatCode>#,##0.00</c:formatCode>
                <c:ptCount val="2"/>
                <c:pt idx="0">
                  <c:v>3392.66</c:v>
                </c:pt>
                <c:pt idx="1">
                  <c:v>3392.66</c:v>
                </c:pt>
              </c:numCache>
            </c:numRef>
          </c:val>
        </c:ser>
        <c:ser>
          <c:idx val="1"/>
          <c:order val="1"/>
          <c:tx>
            <c:strRef>
              <c:f>'[图表设计(1).xls]Sheet2'!$A$6</c:f>
              <c:strCache>
                <c:ptCount val="1"/>
                <c:pt idx="0">
                  <c:v>2023</c:v>
                </c:pt>
              </c:strCache>
            </c:strRef>
          </c:tx>
          <c:spPr>
            <a:solidFill>
              <a:schemeClr val="accent2"/>
            </a:solidFill>
            <a:ln>
              <a:noFill/>
            </a:ln>
            <a:effectLst/>
          </c:spPr>
          <c:invertIfNegative val="0"/>
          <c:dLbls>
            <c:delete val="1"/>
          </c:dLbls>
          <c:cat>
            <c:strRef>
              <c:f>'[图表设计(1).xls]Sheet2'!$B$4:$C$4</c:f>
              <c:strCache>
                <c:ptCount val="2"/>
                <c:pt idx="0">
                  <c:v>收入</c:v>
                </c:pt>
                <c:pt idx="1">
                  <c:v>支出</c:v>
                </c:pt>
              </c:strCache>
            </c:strRef>
          </c:cat>
          <c:val>
            <c:numRef>
              <c:f>'[图表设计(1).xls]Sheet2'!$B$6:$C$6</c:f>
              <c:numCache>
                <c:formatCode>#,##0.00</c:formatCode>
                <c:ptCount val="2"/>
                <c:pt idx="0">
                  <c:v>3077.82</c:v>
                </c:pt>
                <c:pt idx="1">
                  <c:v>3077.82</c:v>
                </c:pt>
              </c:numCache>
            </c:numRef>
          </c:val>
        </c:ser>
        <c:dLbls>
          <c:showLegendKey val="0"/>
          <c:showVal val="0"/>
          <c:showCatName val="0"/>
          <c:showSerName val="0"/>
          <c:showPercent val="0"/>
          <c:showBubbleSize val="0"/>
        </c:dLbls>
        <c:gapWidth val="219"/>
        <c:overlap val="-27"/>
        <c:axId val="215240329"/>
        <c:axId val="57230534"/>
      </c:barChart>
      <c:catAx>
        <c:axId val="215240329"/>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230534"/>
        <c:crosses val="autoZero"/>
        <c:auto val="1"/>
        <c:lblAlgn val="ctr"/>
        <c:lblOffset val="100"/>
        <c:noMultiLvlLbl val="0"/>
      </c:catAx>
      <c:valAx>
        <c:axId val="57230534"/>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endParaRPr sz="10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5240329"/>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manualLayout>
          <c:xMode val="edge"/>
          <c:yMode val="edge"/>
          <c:x val="0.41075"/>
          <c:y val="0.886"/>
          <c:w val="0.17825"/>
          <c:h val="0.0837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f96585f-95ee-478d-ab16-67e3eefc5968}"/>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dPt>
          <c:dPt>
            <c:idx val="2"/>
            <c:bubble3D val="0"/>
            <c:explosion val="0"/>
          </c:dPt>
          <c:dPt>
            <c:idx val="3"/>
            <c:bubble3D val="0"/>
            <c:explosion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'[图表设计(1).xls]Sheet1'!$A$3:$A$6</c:f>
              <c:strCache>
                <c:ptCount val="4"/>
                <c:pt idx="0">
                  <c:v>一般公共预算财政拨款收入</c:v>
                </c:pt>
                <c:pt idx="1">
                  <c:v>政府性基金预算财政拨款收入</c:v>
                </c:pt>
                <c:pt idx="2">
                  <c:v>国有资本经营预算财政拨款收入</c:v>
                </c:pt>
                <c:pt idx="3">
                  <c:v>其他收入</c:v>
                </c:pt>
              </c:strCache>
            </c:strRef>
          </c:cat>
          <c:val>
            <c:numRef>
              <c:f>'[图表设计(1).xls]Sheet1'!$B$3:$B$6</c:f>
              <c:numCache>
                <c:formatCode>#,##0.00</c:formatCode>
                <c:ptCount val="4"/>
                <c:pt idx="0">
                  <c:v>3077.15</c:v>
                </c:pt>
                <c:pt idx="3">
                  <c:v>0.67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5"/>
          <c:y val="0.16925"/>
          <c:w val="0.33275"/>
          <c:h val="0.707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e8fd4ce-b8cc-4277-8a97-217b34858793}"/>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'[图表设计(1).xls]Sheet1'!$A$9:$A$10</c:f>
              <c:strCache>
                <c:ptCount val="2"/>
                <c:pt idx="0">
                  <c:v>基本支出</c:v>
                </c:pt>
                <c:pt idx="1">
                  <c:v>项目支出</c:v>
                </c:pt>
              </c:strCache>
            </c:strRef>
          </c:cat>
          <c:val>
            <c:numRef>
              <c:f>'[图表设计(1).xls]Sheet1'!$B$9:$B$10</c:f>
              <c:numCache>
                <c:formatCode>#,##0.00</c:formatCode>
                <c:ptCount val="2"/>
                <c:pt idx="0">
                  <c:v>230.71</c:v>
                </c:pt>
                <c:pt idx="1">
                  <c:v>2847.11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6875"/>
          <c:y val="0.1615"/>
          <c:w val="0.158"/>
          <c:h val="0.668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cc287b6-8d62-46e6-92ae-80e3ccee32b2}"/>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rPr>
              <a:t>财政拨款收入、支出决算总计变动情况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tx>
            <c:strRef>
              <c:f>'[图表设计(1).xls]Sheet2'!$A$5</c:f>
              <c:strCache>
                <c:ptCount val="1"/>
                <c:pt idx="0">
                  <c:v>2022</c:v>
                </c:pt>
              </c:strCache>
            </c:strRef>
          </c:tx>
          <c:spPr>
            <a:solidFill>
              <a:schemeClr val="accent1"/>
            </a:solidFill>
            <a:ln>
              <a:noFill/>
            </a:ln>
            <a:effectLst/>
          </c:spPr>
          <c:invertIfNegative val="0"/>
          <c:dLbls>
            <c:delete val="1"/>
          </c:dLbls>
          <c:cat>
            <c:strRef>
              <c:f>'[图表设计(1).xls]Sheet2'!$B$4:$C$4</c:f>
              <c:strCache>
                <c:ptCount val="2"/>
                <c:pt idx="0">
                  <c:v>收入</c:v>
                </c:pt>
                <c:pt idx="1">
                  <c:v>支出</c:v>
                </c:pt>
              </c:strCache>
            </c:strRef>
          </c:cat>
          <c:val>
            <c:numRef>
              <c:f>'[图表设计(1).xls]Sheet2'!$B$5:$C$5</c:f>
              <c:numCache>
                <c:formatCode>#,##0.00</c:formatCode>
                <c:ptCount val="2"/>
                <c:pt idx="0">
                  <c:v>3392.66</c:v>
                </c:pt>
                <c:pt idx="1">
                  <c:v>3392.66</c:v>
                </c:pt>
              </c:numCache>
            </c:numRef>
          </c:val>
        </c:ser>
        <c:ser>
          <c:idx val="1"/>
          <c:order val="1"/>
          <c:tx>
            <c:strRef>
              <c:f>'[图表设计(1).xls]Sheet2'!$A$6</c:f>
              <c:strCache>
                <c:ptCount val="1"/>
                <c:pt idx="0">
                  <c:v>2023</c:v>
                </c:pt>
              </c:strCache>
            </c:strRef>
          </c:tx>
          <c:spPr>
            <a:solidFill>
              <a:schemeClr val="accent2"/>
            </a:solidFill>
            <a:ln>
              <a:noFill/>
            </a:ln>
            <a:effectLst/>
          </c:spPr>
          <c:invertIfNegative val="0"/>
          <c:dLbls>
            <c:delete val="1"/>
          </c:dLbls>
          <c:cat>
            <c:strRef>
              <c:f>'[图表设计(1).xls]Sheet2'!$B$4:$C$4</c:f>
              <c:strCache>
                <c:ptCount val="2"/>
                <c:pt idx="0">
                  <c:v>收入</c:v>
                </c:pt>
                <c:pt idx="1">
                  <c:v>支出</c:v>
                </c:pt>
              </c:strCache>
            </c:strRef>
          </c:cat>
          <c:val>
            <c:numRef>
              <c:f>'[图表设计(1).xls]Sheet2'!$B$6:$C$6</c:f>
              <c:numCache>
                <c:formatCode>#,##0.00</c:formatCode>
                <c:ptCount val="2"/>
                <c:pt idx="0">
                  <c:v>3077.15</c:v>
                </c:pt>
                <c:pt idx="1">
                  <c:v>3077.15</c:v>
                </c:pt>
              </c:numCache>
            </c:numRef>
          </c:val>
        </c:ser>
        <c:dLbls>
          <c:showLegendKey val="0"/>
          <c:showVal val="0"/>
          <c:showCatName val="0"/>
          <c:showSerName val="0"/>
          <c:showPercent val="0"/>
          <c:showBubbleSize val="0"/>
        </c:dLbls>
        <c:gapWidth val="219"/>
        <c:overlap val="-27"/>
        <c:axId val="215240329"/>
        <c:axId val="57230534"/>
      </c:barChart>
      <c:catAx>
        <c:axId val="215240329"/>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230534"/>
        <c:crosses val="autoZero"/>
        <c:auto val="1"/>
        <c:lblAlgn val="ctr"/>
        <c:lblOffset val="100"/>
        <c:noMultiLvlLbl val="0"/>
      </c:catAx>
      <c:valAx>
        <c:axId val="57230534"/>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endParaRPr sz="10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5240329"/>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manualLayout>
          <c:xMode val="edge"/>
          <c:yMode val="edge"/>
          <c:x val="0.41075"/>
          <c:y val="0.886"/>
          <c:w val="0.17825"/>
          <c:h val="0.0837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286bf69-976d-41fe-ba39-9ac8c8bf5fc1}"/>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tx>
            <c:strRef>
              <c:f>'[图表设计(1).xls]Sheet2'!$B$21</c:f>
              <c:strCache>
                <c:ptCount val="1"/>
                <c:pt idx="0">
                  <c:v>支出</c:v>
                </c:pt>
              </c:strCache>
            </c:strRef>
          </c:tx>
          <c:spPr>
            <a:solidFill>
              <a:schemeClr val="accent1"/>
            </a:solidFill>
            <a:ln>
              <a:noFill/>
            </a:ln>
            <a:effectLst/>
          </c:spPr>
          <c:invertIfNegative val="0"/>
          <c:dLbls>
            <c:delete val="1"/>
          </c:dLbls>
          <c:cat>
            <c:numRef>
              <c:f>'[图表设计(1).xls]Sheet2'!$A$22:$A$23</c:f>
              <c:numCache>
                <c:formatCode>General</c:formatCode>
                <c:ptCount val="2"/>
                <c:pt idx="0">
                  <c:v>2022</c:v>
                </c:pt>
                <c:pt idx="1">
                  <c:v>2023</c:v>
                </c:pt>
              </c:numCache>
            </c:numRef>
          </c:cat>
          <c:val>
            <c:numRef>
              <c:f>'[图表设计(1).xls]Sheet2'!$B$22:$B$23</c:f>
              <c:numCache>
                <c:formatCode>#,##0.00</c:formatCode>
                <c:ptCount val="2"/>
                <c:pt idx="0">
                  <c:v>3392.66</c:v>
                </c:pt>
                <c:pt idx="1">
                  <c:v>3077.15</c:v>
                </c:pt>
              </c:numCache>
            </c:numRef>
          </c:val>
        </c:ser>
        <c:dLbls>
          <c:showLegendKey val="0"/>
          <c:showVal val="0"/>
          <c:showCatName val="0"/>
          <c:showSerName val="0"/>
          <c:showPercent val="0"/>
          <c:showBubbleSize val="0"/>
        </c:dLbls>
        <c:gapWidth val="150"/>
        <c:overlap val="0"/>
        <c:axId val="450442081"/>
        <c:axId val="937433832"/>
      </c:barChart>
      <c:catAx>
        <c:axId val="45044208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7433832"/>
        <c:crosses val="autoZero"/>
        <c:auto val="1"/>
        <c:lblAlgn val="ctr"/>
        <c:lblOffset val="100"/>
        <c:noMultiLvlLbl val="0"/>
      </c:catAx>
      <c:valAx>
        <c:axId val="9374338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endParaRPr sz="10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0288888888888889"/>
              <c:y val="0.355972222222222"/>
            </c:manualLayout>
          </c:layout>
          <c:overlay val="0"/>
          <c:spPr>
            <a:noFill/>
            <a:ln>
              <a:noFill/>
            </a:ln>
            <a:effectLst/>
          </c:spPr>
        </c:title>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0442081"/>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a2fe523c-5b66-41b0-9c34-e3d699d44387}"/>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'[图表设计(1).xls]Sheet1'!$A$45:$A$47</c:f>
              <c:strCache>
                <c:ptCount val="3"/>
                <c:pt idx="0">
                  <c:v>社会保障和就业支出</c:v>
                </c:pt>
                <c:pt idx="1">
                  <c:v>卫生健康支出</c:v>
                </c:pt>
                <c:pt idx="2">
                  <c:v>住房保障支出</c:v>
                </c:pt>
              </c:strCache>
            </c:strRef>
          </c:cat>
          <c:val>
            <c:numRef>
              <c:f>'[图表设计(1).xls]Sheet1'!$B$45:$B$47</c:f>
              <c:numCache>
                <c:formatCode>#,##0.00</c:formatCode>
                <c:ptCount val="3"/>
                <c:pt idx="0">
                  <c:v>30.39</c:v>
                </c:pt>
                <c:pt idx="1">
                  <c:v>3030.95</c:v>
                </c:pt>
                <c:pt idx="2">
                  <c:v>15.81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54737559645535"/>
          <c:y val="0.152029520295203"/>
          <c:w val="0.32475"/>
          <c:h val="0.75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73cd4db-a747-492b-82b7-c2530aefe53e}"/>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'[图表设计(1).xls]Sheet1'!$A$31:$A$33</c:f>
              <c:strCache>
                <c:ptCount val="3"/>
                <c:pt idx="0">
                  <c:v>因公出国（境）费</c:v>
                </c:pt>
                <c:pt idx="1">
                  <c:v>公务用车购置及运行维护费</c:v>
                </c:pt>
                <c:pt idx="2">
                  <c:v>公务接待费</c:v>
                </c:pt>
              </c:strCache>
            </c:strRef>
          </c:cat>
          <c:val>
            <c:numRef>
              <c:f>'[图表设计(1).xls]Sheet1'!$B$31:$B$33</c:f>
              <c:numCache>
                <c:formatCode>General</c:formatCode>
                <c:ptCount val="3"/>
                <c:pt idx="1">
                  <c:v>23.8</c:v>
                </c:pt>
                <c:pt idx="2">
                  <c:v>0.19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0306105473299"/>
          <c:y val="0.273487031700288"/>
          <c:w val="0.376476459823657"/>
          <c:h val="0.7086455331412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653e0a8-da74-402f-9855-fef05b5b06bf}"/>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39</Pages>
  <Words>6214</Words>
  <Characters>6800</Characters>
  <Lines>54</Lines>
  <Paragraphs>15</Paragraphs>
  <TotalTime>0</TotalTime>
  <ScaleCrop>false</ScaleCrop>
  <LinksUpToDate>false</LinksUpToDate>
  <CharactersWithSpaces>6905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2020-08-08T01:49:00Z</dcterms:created>
  <dc:creator>曹颖</dc:creator>
  <cp:lastModifiedBy>川</cp:lastModifiedBy>
  <cp:lastPrinted>2023-08-03T02:35:00Z</cp:lastPrinted>
  <dcterms:modified xsi:type="dcterms:W3CDTF">2024-11-13T08:13:22Z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FE055BC40BA44FA8AD396C64116FFD4E_12</vt:lpwstr>
  </property>
</Properties>
</file>