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atLeas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红原县融媒体中心</w:t>
      </w:r>
    </w:p>
    <w:p>
      <w:pPr>
        <w:keepNext w:val="0"/>
        <w:keepLines w:val="0"/>
        <w:pageBreakBefore w:val="0"/>
        <w:kinsoku/>
        <w:wordWrap/>
        <w:overflowPunct/>
        <w:topLinePunct w:val="0"/>
        <w:autoSpaceDE/>
        <w:autoSpaceDN/>
        <w:bidi w:val="0"/>
        <w:spacing w:line="576" w:lineRule="atLeast"/>
        <w:ind w:left="0" w:leftChars="0" w:right="0" w:rightChars="0"/>
        <w:jc w:val="center"/>
        <w:textAlignment w:val="auto"/>
        <w:rPr>
          <w:rFonts w:hint="eastAsia" w:ascii="宋体" w:hAnsi="宋体" w:eastAsia="宋体"/>
          <w:b/>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76" w:lineRule="atLeas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before="0" w:beforeLines="0" w:line="576" w:lineRule="atLeas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负责贯彻落实党的新闻宣传方针政策，宣传党的理论、路线和各项方针政策，把握新闻宣传基调，坚持正面宣传，为全县经济社会发展提供舆论支持。</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负责围绕县委、县政府中心工作，积极开展对内对外新闻宣传报道，落实全县新闻报道计划，完成宣传任务。</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负责全县电视、网站以及“两微一端”等新媒体新闻宣传报道的策划、采集、编辑、审核、播出工作。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rPr>
        <w:t>负责全县各单位（网站、网页、上传稿件等）对外宣传新闻稿件审核工作。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rPr>
        <w:t>负责县委县政府交办的各类宣传片、专题片、汇报片的策划、拍摄、制作、推广工作。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负责全县新闻业务管理指导和对外通联工作，协助配合衔接上级媒体和新闻单位来县采访及其他协调服务工作。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rPr>
        <w:t>负责全县新闻通讯员业务技能培训，协助抓好全县新闻人才队伍建设。</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负责会同有关部门做好新媒体推广工作。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sz w:val="32"/>
          <w:szCs w:val="32"/>
        </w:rPr>
        <w:t>负责全县民族语言文字的藏汉翻译、藏语配音工作。</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sz w:val="32"/>
          <w:szCs w:val="32"/>
        </w:rPr>
        <w:t>负责参与编制全县广播电视事业发展规划、项目申报并组织实施。</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sz w:val="32"/>
          <w:szCs w:val="32"/>
        </w:rPr>
        <w:t>负责全县广播和有线电视传输网络调试、巡查、维修、维护等工作，确保电视广播网络安全运行，节目安全播出。</w:t>
      </w:r>
    </w:p>
    <w:p>
      <w:pPr>
        <w:keepNext w:val="0"/>
        <w:keepLines w:val="0"/>
        <w:pageBreakBefore w:val="0"/>
        <w:kinsoku/>
        <w:wordWrap/>
        <w:topLinePunct w:val="0"/>
        <w:autoSpaceDE/>
        <w:autoSpaceDN/>
        <w:bidi w:val="0"/>
        <w:spacing w:line="576" w:lineRule="atLeas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sz w:val="32"/>
          <w:szCs w:val="32"/>
        </w:rPr>
        <w:t>完成县委、县政府、县委宣传部交办的其他工作。</w:t>
      </w:r>
    </w:p>
    <w:p>
      <w:pPr>
        <w:pStyle w:val="3"/>
        <w:keepNext w:val="0"/>
        <w:keepLines w:val="0"/>
        <w:pageBreakBefore w:val="0"/>
        <w:kinsoku/>
        <w:wordWrap/>
        <w:overflowPunct/>
        <w:topLinePunct w:val="0"/>
        <w:autoSpaceDE/>
        <w:autoSpaceDN/>
        <w:bidi w:val="0"/>
        <w:adjustRightInd w:val="0"/>
        <w:snapToGrid w:val="0"/>
        <w:spacing w:before="0" w:beforeLines="0" w:line="576" w:lineRule="atLeas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widowControl w:val="0"/>
        <w:numPr>
          <w:ilvl w:val="0"/>
          <w:numId w:val="0"/>
        </w:numPr>
        <w:kinsoku/>
        <w:wordWrap/>
        <w:overflowPunct w:val="0"/>
        <w:topLinePunct w:val="0"/>
        <w:autoSpaceDE/>
        <w:autoSpaceDN/>
        <w:bidi w:val="0"/>
        <w:adjustRightInd/>
        <w:snapToGrid/>
        <w:spacing w:line="576" w:lineRule="atLeast"/>
        <w:ind w:left="0" w:firstLine="640" w:firstLineChars="200"/>
        <w:jc w:val="both"/>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eastAsia="zh-CN"/>
        </w:rPr>
        <w:t>红原县融媒体中心，</w:t>
      </w:r>
      <w:r>
        <w:rPr>
          <w:rFonts w:hint="eastAsia" w:ascii="仿宋_GB2312" w:hAnsi="仿宋_GB2312" w:eastAsia="仿宋_GB2312" w:cs="仿宋_GB2312"/>
          <w:sz w:val="32"/>
          <w:szCs w:val="32"/>
          <w:lang w:val="en-US" w:eastAsia="zh-CN"/>
        </w:rPr>
        <w:t>坚持</w:t>
      </w:r>
      <w:r>
        <w:rPr>
          <w:rFonts w:hint="default" w:ascii="仿宋_GB2312" w:hAnsi="仿宋_GB2312" w:eastAsia="仿宋_GB2312" w:cs="仿宋_GB2312"/>
          <w:sz w:val="32"/>
          <w:szCs w:val="32"/>
        </w:rPr>
        <w:t>以</w:t>
      </w:r>
      <w:r>
        <w:rPr>
          <w:rFonts w:hint="eastAsia" w:ascii="仿宋_GB2312" w:hAnsi="仿宋_GB2312" w:eastAsia="仿宋_GB2312" w:cs="仿宋_GB2312"/>
          <w:sz w:val="32"/>
          <w:szCs w:val="32"/>
          <w:lang w:val="en-US" w:eastAsia="zh-CN"/>
        </w:rPr>
        <w:t>党的二十大精神</w:t>
      </w:r>
      <w:r>
        <w:rPr>
          <w:rFonts w:hint="default" w:ascii="仿宋_GB2312" w:hAnsi="仿宋_GB2312" w:eastAsia="仿宋_GB2312" w:cs="仿宋_GB2312"/>
          <w:sz w:val="32"/>
          <w:szCs w:val="32"/>
        </w:rPr>
        <w:t>为统领</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rPr>
        <w:t>深入学习</w:t>
      </w:r>
      <w:r>
        <w:rPr>
          <w:rFonts w:hint="eastAsia" w:ascii="仿宋_GB2312" w:hAnsi="仿宋_GB2312" w:eastAsia="仿宋_GB2312" w:cs="仿宋_GB2312"/>
          <w:sz w:val="32"/>
          <w:szCs w:val="32"/>
          <w:lang w:val="en-US" w:eastAsia="zh-CN"/>
        </w:rPr>
        <w:t>宣传</w:t>
      </w:r>
      <w:r>
        <w:rPr>
          <w:rFonts w:hint="default" w:ascii="仿宋_GB2312" w:hAnsi="仿宋_GB2312" w:eastAsia="仿宋_GB2312" w:cs="仿宋_GB2312"/>
          <w:sz w:val="32"/>
          <w:szCs w:val="32"/>
        </w:rPr>
        <w:t>贯彻习近平新时代中国特色社会主义思想，全面落实中央、省、州</w:t>
      </w:r>
      <w:r>
        <w:rPr>
          <w:rFonts w:hint="default" w:ascii="仿宋_GB2312" w:hAnsi="仿宋_GB2312" w:eastAsia="仿宋_GB2312" w:cs="仿宋_GB2312"/>
          <w:sz w:val="32"/>
          <w:szCs w:val="32"/>
          <w:lang w:val="en-US" w:eastAsia="zh-CN"/>
        </w:rPr>
        <w:t>和县</w:t>
      </w:r>
      <w:r>
        <w:rPr>
          <w:rFonts w:hint="default" w:ascii="仿宋_GB2312" w:hAnsi="仿宋_GB2312" w:eastAsia="仿宋_GB2312" w:cs="仿宋_GB2312"/>
          <w:sz w:val="32"/>
          <w:szCs w:val="32"/>
          <w:lang w:eastAsia="zh-CN"/>
        </w:rPr>
        <w:t>宣传</w:t>
      </w:r>
      <w:r>
        <w:rPr>
          <w:rFonts w:hint="default" w:ascii="仿宋_GB2312" w:hAnsi="仿宋_GB2312" w:eastAsia="仿宋_GB2312" w:cs="仿宋_GB2312"/>
          <w:sz w:val="32"/>
          <w:szCs w:val="32"/>
        </w:rPr>
        <w:t>工作决策部署</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在县委</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县政府</w:t>
      </w:r>
      <w:r>
        <w:rPr>
          <w:rFonts w:hint="eastAsia" w:ascii="仿宋_GB2312" w:hAnsi="仿宋_GB2312" w:eastAsia="仿宋_GB2312" w:cs="仿宋_GB2312"/>
          <w:sz w:val="32"/>
          <w:szCs w:val="32"/>
          <w:lang w:val="en-US" w:eastAsia="zh-CN"/>
        </w:rPr>
        <w:t>和县委宣传部</w:t>
      </w:r>
      <w:r>
        <w:rPr>
          <w:rFonts w:hint="default" w:ascii="仿宋_GB2312" w:hAnsi="仿宋_GB2312" w:eastAsia="仿宋_GB2312" w:cs="仿宋_GB2312"/>
          <w:sz w:val="32"/>
          <w:szCs w:val="32"/>
        </w:rPr>
        <w:t>的坚强领导下，服务大局，创新思维，狠抓管理，提升质量，实现</w:t>
      </w:r>
      <w:r>
        <w:rPr>
          <w:rFonts w:hint="default" w:ascii="仿宋_GB2312" w:hAnsi="仿宋_GB2312" w:eastAsia="仿宋_GB2312" w:cs="仿宋_GB2312"/>
          <w:sz w:val="32"/>
          <w:szCs w:val="32"/>
          <w:lang w:eastAsia="zh-CN"/>
        </w:rPr>
        <w:t>了中心</w:t>
      </w:r>
      <w:r>
        <w:rPr>
          <w:rFonts w:hint="default" w:ascii="仿宋_GB2312" w:hAnsi="仿宋_GB2312" w:eastAsia="仿宋_GB2312" w:cs="仿宋_GB2312"/>
          <w:sz w:val="32"/>
          <w:szCs w:val="32"/>
        </w:rPr>
        <w:t>突破性、跨越式发展。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atLeast"/>
        <w:ind w:left="0" w:right="0"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default" w:ascii="仿宋_GB2312" w:hAnsi="仿宋_GB2312" w:eastAsia="仿宋_GB2312" w:cs="仿宋_GB2312"/>
          <w:b/>
          <w:bCs/>
          <w:kern w:val="2"/>
          <w:sz w:val="32"/>
          <w:szCs w:val="32"/>
          <w:lang w:val="en-US" w:eastAsia="zh-CN" w:bidi="ar-SA"/>
        </w:rPr>
        <w:t>聚焦主责主业，全力做好宣传。</w:t>
      </w:r>
      <w:r>
        <w:rPr>
          <w:rFonts w:hint="default" w:ascii="仿宋_GB2312" w:hAnsi="仿宋_GB2312" w:eastAsia="仿宋_GB2312" w:cs="仿宋_GB2312"/>
          <w:kern w:val="2"/>
          <w:sz w:val="32"/>
          <w:szCs w:val="32"/>
          <w:lang w:val="en-US" w:eastAsia="zh-CN" w:bidi="ar-SA"/>
        </w:rPr>
        <w:t>2024年，积极创新工作思路，在常规宣传上求新求变，在学习贯彻习近平新时代中国特色社会主义思想主题教育等主题宣传、系列报道上求突破。组织采编人员深入基层、深入一线，多角度、全方位报道我县经济社会发展取得的成绩以及好的做法、亮点等，为我县经济社会发展营造良好的舆论环境。</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atLeast"/>
        <w:ind w:left="0" w:right="0" w:righ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外宣巩固成绩，力求突破，</w:t>
      </w:r>
      <w:r>
        <w:rPr>
          <w:rFonts w:hint="eastAsia" w:ascii="仿宋_GB2312" w:hAnsi="仿宋_GB2312" w:eastAsia="仿宋_GB2312" w:cs="仿宋_GB2312"/>
          <w:b w:val="0"/>
          <w:bCs w:val="0"/>
          <w:kern w:val="2"/>
          <w:sz w:val="32"/>
          <w:szCs w:val="32"/>
          <w:lang w:val="en-US" w:eastAsia="zh-CN" w:bidi="ar-SA"/>
        </w:rPr>
        <w:t>再</w:t>
      </w:r>
      <w:r>
        <w:rPr>
          <w:rFonts w:hint="default" w:ascii="仿宋_GB2312" w:hAnsi="仿宋_GB2312" w:eastAsia="仿宋_GB2312" w:cs="仿宋_GB2312"/>
          <w:b w:val="0"/>
          <w:bCs w:val="0"/>
          <w:kern w:val="2"/>
          <w:sz w:val="32"/>
          <w:szCs w:val="32"/>
          <w:lang w:val="en-US" w:eastAsia="zh-CN" w:bidi="ar-SA"/>
        </w:rPr>
        <w:t>上新台阶。</w:t>
      </w:r>
      <w:r>
        <w:rPr>
          <w:rFonts w:hint="default" w:ascii="仿宋_GB2312" w:hAnsi="仿宋_GB2312" w:eastAsia="仿宋_GB2312" w:cs="仿宋_GB2312"/>
          <w:kern w:val="2"/>
          <w:sz w:val="32"/>
          <w:szCs w:val="32"/>
          <w:lang w:val="en-US" w:eastAsia="zh-CN" w:bidi="ar-SA"/>
        </w:rPr>
        <w:t>2023年在中央、省、州各宣传平台进行了广泛深入的宣传，取得了一定的成效，按照2023年各宣传平台的采编情况，对2024年制定新的目标任务。</w:t>
      </w: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国家级:力争人民日报、中央电视台、新华网等国家平台全年刊发新闻稿件20条。2）省级：力争四川日报、四川电视台等省级平台全年刊发新闻稿件200条。3）根据州级2023年县市新闻采编情况，2023年《阿坝州日报》（汉）上稿157条，2024年目标任务200条；2023年《阿坝州日报》（藏）上稿37条，2024年目标任务40条；2023年《四川民族教育报》上稿8条，2024年目标任务15条；2023年《阿坝新闻联播》（汉）上稿24条，2024年目标任务50条；2023年《阿坝新闻联播》（藏）上稿20条，2024年目标任务40条；2023年《美丽阿坝APP》（汉）上稿295条，2024年目标任务400条；2023年《美丽阿坝APP》（藏）上稿160条，2024年目标任</w:t>
      </w:r>
      <w:bookmarkStart w:id="0" w:name="_GoBack"/>
      <w:bookmarkEnd w:id="0"/>
      <w:r>
        <w:rPr>
          <w:rFonts w:hint="default" w:ascii="仿宋_GB2312" w:hAnsi="仿宋_GB2312" w:eastAsia="仿宋_GB2312" w:cs="仿宋_GB2312"/>
          <w:kern w:val="2"/>
          <w:sz w:val="32"/>
          <w:szCs w:val="32"/>
          <w:lang w:val="en-US" w:eastAsia="zh-CN" w:bidi="ar-SA"/>
        </w:rPr>
        <w:t>务260条；2023年《美丽号》上稿1089条，2024</w:t>
      </w:r>
      <w:r>
        <w:rPr>
          <w:rFonts w:hint="eastAsia" w:ascii="仿宋_GB2312" w:hAnsi="仿宋_GB2312" w:eastAsia="仿宋_GB2312" w:cs="仿宋_GB2312"/>
          <w:kern w:val="2"/>
          <w:sz w:val="32"/>
          <w:szCs w:val="32"/>
          <w:lang w:val="en-US" w:eastAsia="zh-CN" w:bidi="ar-SA"/>
        </w:rPr>
        <w:t>年</w:t>
      </w:r>
      <w:r>
        <w:rPr>
          <w:rFonts w:hint="default" w:ascii="仿宋_GB2312" w:hAnsi="仿宋_GB2312" w:eastAsia="仿宋_GB2312" w:cs="仿宋_GB2312"/>
          <w:kern w:val="2"/>
          <w:sz w:val="32"/>
          <w:szCs w:val="32"/>
          <w:lang w:val="en-US" w:eastAsia="zh-CN" w:bidi="ar-SA"/>
        </w:rPr>
        <w:t>目标任务1200条；2023年《学习强国》上稿143条，2024</w:t>
      </w:r>
      <w:r>
        <w:rPr>
          <w:rFonts w:hint="eastAsia" w:ascii="仿宋_GB2312" w:hAnsi="仿宋_GB2312" w:eastAsia="仿宋_GB2312" w:cs="仿宋_GB2312"/>
          <w:kern w:val="2"/>
          <w:sz w:val="32"/>
          <w:szCs w:val="32"/>
          <w:lang w:val="en-US" w:eastAsia="zh-CN" w:bidi="ar-SA"/>
        </w:rPr>
        <w:t>年</w:t>
      </w:r>
      <w:r>
        <w:rPr>
          <w:rFonts w:hint="default" w:ascii="仿宋_GB2312" w:hAnsi="仿宋_GB2312" w:eastAsia="仿宋_GB2312" w:cs="仿宋_GB2312"/>
          <w:kern w:val="2"/>
          <w:sz w:val="32"/>
          <w:szCs w:val="32"/>
          <w:lang w:val="en-US" w:eastAsia="zh-CN" w:bidi="ar-SA"/>
        </w:rPr>
        <w:t>目标任务150条。并继续与央视、省台、州台编辑记者做好对接，积极策划外宣选题，以外宣促内宣，提高新闻质量，保位次，争名次，力争2024年外宣上稿位居县市前列。</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atLeast"/>
        <w:ind w:left="0" w:right="0" w:righ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w:t>
      </w:r>
      <w:r>
        <w:rPr>
          <w:rFonts w:hint="default" w:ascii="仿宋_GB2312" w:hAnsi="仿宋_GB2312" w:eastAsia="仿宋_GB2312" w:cs="仿宋_GB2312"/>
          <w:b w:val="0"/>
          <w:bCs w:val="0"/>
          <w:kern w:val="2"/>
          <w:sz w:val="32"/>
          <w:szCs w:val="32"/>
          <w:lang w:val="en-US" w:eastAsia="zh-CN" w:bidi="ar-SA"/>
        </w:rPr>
        <w:t>立足新媒体平台，做好新时代网络新闻工作。</w:t>
      </w:r>
      <w:r>
        <w:rPr>
          <w:rFonts w:hint="default" w:ascii="仿宋_GB2312" w:hAnsi="仿宋_GB2312" w:eastAsia="仿宋_GB2312" w:cs="仿宋_GB2312"/>
          <w:kern w:val="2"/>
          <w:sz w:val="32"/>
          <w:szCs w:val="32"/>
          <w:lang w:val="en-US" w:eastAsia="zh-CN" w:bidi="ar-SA"/>
        </w:rPr>
        <w:t>牢牢把握时代走向，持续做好主旋律宣传报道，同时进一步完善技术手段，在服务和互动上做出特色。利用好全媒体时代用户参与热情高涨的舆情特点，运营好大美红原APP、微红原、大美红原抖音红原微博等平台，创新开设藏汉双语日更短视频，加大大美红原APP新闻稿件日更频率，拓宽视角，扩大自身舆论引导的影响力，持续释放主流媒体“四力”作用，努力做好新时代网络新闻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w:t>
      </w:r>
      <w:r>
        <w:rPr>
          <w:rFonts w:hint="default" w:ascii="仿宋_GB2312" w:hAnsi="仿宋_GB2312" w:eastAsia="仿宋_GB2312" w:cs="仿宋_GB2312"/>
          <w:b w:val="0"/>
          <w:bCs w:val="0"/>
          <w:kern w:val="2"/>
          <w:sz w:val="32"/>
          <w:szCs w:val="32"/>
          <w:lang w:val="en-US" w:eastAsia="zh-CN" w:bidi="ar-SA"/>
        </w:rPr>
        <w:t>完善选题定位和设制，提升专题片质量。</w:t>
      </w:r>
      <w:r>
        <w:rPr>
          <w:rFonts w:hint="default" w:ascii="仿宋_GB2312" w:hAnsi="仿宋_GB2312" w:eastAsia="仿宋_GB2312" w:cs="仿宋_GB2312"/>
          <w:kern w:val="2"/>
          <w:sz w:val="32"/>
          <w:szCs w:val="32"/>
          <w:lang w:val="en-US" w:eastAsia="zh-CN" w:bidi="ar-SA"/>
        </w:rPr>
        <w:t>树牢精品意识，选题紧贴群众需求，聚焦身边典型，对准党员群众，挖掘先进事迹，创作群众喜闻乐见的专题作品。对标优秀作品，学习制作思路和手法，提升专题摄制工作水平，确保高质量完成专题片制作。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6" w:lineRule="atLeast"/>
        <w:ind w:left="0" w:right="0"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default" w:ascii="仿宋_GB2312" w:hAnsi="仿宋_GB2312" w:eastAsia="仿宋_GB2312" w:cs="仿宋_GB2312"/>
          <w:b/>
          <w:bCs/>
          <w:kern w:val="2"/>
          <w:sz w:val="32"/>
          <w:szCs w:val="32"/>
          <w:lang w:val="en-US" w:eastAsia="zh-CN" w:bidi="ar-SA"/>
        </w:rPr>
        <w:t>强化保障措施，确保播出安全。</w:t>
      </w:r>
      <w:r>
        <w:rPr>
          <w:rFonts w:hint="default" w:ascii="仿宋_GB2312" w:hAnsi="仿宋_GB2312" w:eastAsia="仿宋_GB2312" w:cs="仿宋_GB2312"/>
          <w:kern w:val="2"/>
          <w:sz w:val="32"/>
          <w:szCs w:val="32"/>
          <w:lang w:val="en-US" w:eastAsia="zh-CN" w:bidi="ar-SA"/>
        </w:rPr>
        <w:t>建1个县级应急广播前端，建11个乡镇应急广播前端终端，建27个村级应急广播村村响前端、终端，改造11个村级应急广播前端、终端，建4个城镇应急广播终端，强化安全播出，做好中心日常技术维护工作，保障中心业务系统正常运转。严格执行《广播电视安全播出管理规定》，积极组织防控和消防应急演练，严格实行24小时值班制、双岗双负责制和领导带班制度，完善安全播出应急预案，加强设备周检和月检以及重要播出保障期前的大检查，做好重要保障期、节假日期间的安全播出工作，确保不发生安全播出事故。</w:t>
      </w:r>
    </w:p>
    <w:p>
      <w:pPr>
        <w:keepNext w:val="0"/>
        <w:keepLines w:val="0"/>
        <w:pageBreakBefore w:val="0"/>
        <w:kinsoku/>
        <w:wordWrap/>
        <w:overflowPunct/>
        <w:topLinePunct w:val="0"/>
        <w:autoSpaceDE/>
        <w:autoSpaceDN/>
        <w:bidi w:val="0"/>
        <w:spacing w:line="576" w:lineRule="atLeast"/>
        <w:ind w:left="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before="0" w:beforeLines="0" w:line="576" w:lineRule="atLeast"/>
        <w:ind w:left="0" w:leftChars="0" w:right="0" w:rightChars="0" w:firstLine="672" w:firstLineChars="210"/>
        <w:textAlignment w:val="auto"/>
        <w:rPr>
          <w:rFonts w:hint="eastAsia" w:eastAsia="仿宋_GB2312"/>
          <w:sz w:val="32"/>
          <w:szCs w:val="32"/>
          <w:lang w:eastAsia="zh-CN"/>
        </w:rPr>
      </w:pPr>
      <w:r>
        <w:rPr>
          <w:rFonts w:hint="eastAsia"/>
          <w:sz w:val="32"/>
          <w:szCs w:val="32"/>
          <w:lang w:val="en-US" w:eastAsia="zh-CN"/>
        </w:rPr>
        <w:t>红原县融媒体中心</w:t>
      </w:r>
      <w:r>
        <w:rPr>
          <w:rFonts w:hint="eastAsia"/>
          <w:sz w:val="32"/>
          <w:szCs w:val="32"/>
        </w:rPr>
        <w:t>部门</w:t>
      </w:r>
      <w:r>
        <w:rPr>
          <w:rFonts w:hint="eastAsia"/>
          <w:sz w:val="32"/>
          <w:szCs w:val="32"/>
          <w:lang w:eastAsia="zh-CN"/>
        </w:rPr>
        <w:t>下设单位（股室）</w:t>
      </w:r>
      <w:r>
        <w:rPr>
          <w:rFonts w:hint="eastAsia"/>
          <w:sz w:val="32"/>
          <w:szCs w:val="32"/>
          <w:lang w:val="en-US" w:eastAsia="zh-CN"/>
        </w:rPr>
        <w:t>9</w:t>
      </w:r>
      <w:r>
        <w:rPr>
          <w:rFonts w:hint="eastAsia"/>
          <w:sz w:val="32"/>
          <w:szCs w:val="32"/>
        </w:rPr>
        <w:t>个</w:t>
      </w:r>
      <w:r>
        <w:rPr>
          <w:rFonts w:hint="eastAsia"/>
          <w:sz w:val="32"/>
          <w:szCs w:val="32"/>
          <w:lang w:eastAsia="zh-CN"/>
        </w:rPr>
        <w:t>。</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w:t>
      </w:r>
      <w:r>
        <w:rPr>
          <w:rFonts w:hint="eastAsia" w:ascii="仿宋_GB2312" w:eastAsia="仿宋_GB2312"/>
          <w:sz w:val="32"/>
          <w:szCs w:val="32"/>
          <w:lang w:val="en-US" w:eastAsia="zh-CN"/>
        </w:rPr>
        <w:t>红原县融媒体中心</w:t>
      </w:r>
      <w:r>
        <w:rPr>
          <w:rFonts w:hint="eastAsia" w:ascii="仿宋_GB2312" w:eastAsia="仿宋_GB2312"/>
          <w:sz w:val="32"/>
          <w:szCs w:val="32"/>
        </w:rPr>
        <w:t>收入预算总额为</w:t>
      </w:r>
      <w:r>
        <w:rPr>
          <w:rFonts w:hint="eastAsia" w:ascii="仿宋_GB2312" w:eastAsia="仿宋_GB2312"/>
          <w:sz w:val="32"/>
          <w:szCs w:val="32"/>
          <w:lang w:val="en-US" w:eastAsia="zh-CN"/>
        </w:rPr>
        <w:t>655.75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655.75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655.75</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481.19</w:t>
      </w:r>
      <w:r>
        <w:rPr>
          <w:rFonts w:hint="eastAsia" w:ascii="仿宋_GB2312" w:eastAsia="仿宋_GB2312"/>
          <w:sz w:val="32"/>
          <w:szCs w:val="32"/>
        </w:rPr>
        <w:t>万元，社会保障和就业</w:t>
      </w:r>
      <w:r>
        <w:rPr>
          <w:rFonts w:hint="eastAsia" w:ascii="仿宋_GB2312" w:eastAsia="仿宋_GB2312"/>
          <w:sz w:val="32"/>
          <w:szCs w:val="32"/>
          <w:lang w:val="en-US" w:eastAsia="zh-CN"/>
        </w:rPr>
        <w:t>89.98</w:t>
      </w:r>
      <w:r>
        <w:rPr>
          <w:rFonts w:hint="eastAsia" w:ascii="仿宋_GB2312" w:eastAsia="仿宋_GB2312"/>
          <w:sz w:val="32"/>
          <w:szCs w:val="32"/>
        </w:rPr>
        <w:t>万元，医疗卫生</w:t>
      </w:r>
      <w:r>
        <w:rPr>
          <w:rFonts w:hint="eastAsia" w:ascii="仿宋_GB2312" w:eastAsia="仿宋_GB2312"/>
          <w:sz w:val="32"/>
          <w:szCs w:val="32"/>
          <w:lang w:val="en-US" w:eastAsia="zh-CN"/>
        </w:rPr>
        <w:t>34.47</w:t>
      </w:r>
      <w:r>
        <w:rPr>
          <w:rFonts w:hint="eastAsia" w:ascii="仿宋_GB2312" w:eastAsia="仿宋_GB2312"/>
          <w:sz w:val="32"/>
          <w:szCs w:val="32"/>
        </w:rPr>
        <w:t>万元，住房保障支出</w:t>
      </w:r>
      <w:r>
        <w:rPr>
          <w:rFonts w:hint="eastAsia" w:ascii="仿宋_GB2312" w:eastAsia="仿宋_GB2312"/>
          <w:sz w:val="32"/>
          <w:szCs w:val="32"/>
          <w:lang w:val="en-US" w:eastAsia="zh-CN"/>
        </w:rPr>
        <w:t>50.11</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76" w:lineRule="atLeas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76" w:lineRule="atLeas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红原县融媒体中心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新闻媒体</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76" w:lineRule="atLeas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655.75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615.88万元，机关运行经费39.87万元，其中：办公费20.55万元，差旅费10.8万元，工会经费4.5万元，公务用车运行维护费2.62万元。</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76" w:lineRule="atLeas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（一）</w:t>
      </w:r>
      <w:r>
        <w:rPr>
          <w:rFonts w:hint="eastAsia" w:ascii="仿宋_GB2312" w:eastAsia="仿宋_GB2312"/>
          <w:sz w:val="32"/>
          <w:szCs w:val="32"/>
        </w:rPr>
        <w:t>一般公共服务</w:t>
      </w:r>
      <w:r>
        <w:rPr>
          <w:rFonts w:hint="eastAsia" w:ascii="仿宋_GB2312" w:eastAsia="仿宋_GB2312"/>
          <w:sz w:val="32"/>
          <w:szCs w:val="32"/>
          <w:lang w:val="en-US" w:eastAsia="zh-CN"/>
        </w:rPr>
        <w:t>481.19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76" w:lineRule="atLeas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（二）</w:t>
      </w:r>
      <w:r>
        <w:rPr>
          <w:rFonts w:hint="eastAsia" w:ascii="仿宋_GB2312" w:eastAsia="仿宋_GB2312"/>
          <w:sz w:val="32"/>
          <w:szCs w:val="32"/>
        </w:rPr>
        <w:t>社会保障和就业</w:t>
      </w:r>
      <w:r>
        <w:rPr>
          <w:rFonts w:hint="eastAsia" w:ascii="仿宋_GB2312" w:eastAsia="仿宋_GB2312"/>
          <w:sz w:val="32"/>
          <w:szCs w:val="32"/>
          <w:lang w:val="en-US" w:eastAsia="zh-CN"/>
        </w:rPr>
        <w:t>89.98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76" w:lineRule="atLeas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（三）</w:t>
      </w:r>
      <w:r>
        <w:rPr>
          <w:rFonts w:hint="eastAsia" w:ascii="仿宋_GB2312" w:eastAsia="仿宋_GB2312"/>
          <w:sz w:val="32"/>
          <w:szCs w:val="32"/>
        </w:rPr>
        <w:t>医疗卫生</w:t>
      </w:r>
      <w:r>
        <w:rPr>
          <w:rFonts w:hint="eastAsia" w:ascii="仿宋_GB2312" w:eastAsia="仿宋_GB2312"/>
          <w:sz w:val="32"/>
          <w:szCs w:val="32"/>
          <w:lang w:val="en-US" w:eastAsia="zh-CN"/>
        </w:rPr>
        <w:t>34.47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76" w:lineRule="atLeas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（四）</w:t>
      </w:r>
      <w:r>
        <w:rPr>
          <w:rFonts w:hint="eastAsia" w:ascii="仿宋_GB2312" w:eastAsia="仿宋_GB2312"/>
          <w:sz w:val="32"/>
          <w:szCs w:val="32"/>
        </w:rPr>
        <w:t>住房保障支出</w:t>
      </w:r>
      <w:r>
        <w:rPr>
          <w:rFonts w:hint="eastAsia" w:ascii="仿宋_GB2312" w:eastAsia="仿宋_GB2312"/>
          <w:sz w:val="32"/>
          <w:szCs w:val="32"/>
          <w:lang w:val="en-US" w:eastAsia="zh-CN"/>
        </w:rPr>
        <w:t>50.11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right="0" w:rightChars="0" w:firstLine="640" w:firstLineChars="20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本年度预算拨款收入655.75万元较上年度预算553.86万元增加了18.4%，其中基本行政运行经费预算39.87万元，占全部总预算的6.08%，较上年39.04万元减少了2.13%，原因为压缩各项开支，减少基本支出。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2.62万元，其中：出国费0万元，与上年持平，主要原因为未安排因公出国；公车购置费0元，与上年持平；公务用车维护费支出2.62万元，较上年度预算4.6万元略有减少，主要原因严格执行“八项规定、六项禁令”；二是将有关股室的工作有机地结合起来，减少不必要的资源浪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leftChars="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leftChars="0"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right="0" w:rightChars="0" w:firstLine="643"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leftChars="0" w:right="0" w:rightChars="0" w:firstLine="643" w:firstLineChars="20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atLeast"/>
        <w:ind w:left="0" w:leftChars="0" w:right="0" w:rightChars="0" w:firstLine="640" w:firstLineChars="200"/>
        <w:textAlignment w:val="auto"/>
        <w:rPr>
          <w:rFonts w:hint="eastAsia"/>
          <w:lang w:val="en-US" w:eastAsia="zh-CN"/>
        </w:rPr>
      </w:pPr>
      <w:r>
        <w:rPr>
          <w:rFonts w:hint="eastAsia" w:ascii="仿宋_GB2312" w:eastAsia="仿宋_GB2312"/>
          <w:sz w:val="32"/>
          <w:szCs w:val="32"/>
          <w:lang w:val="en-US" w:eastAsia="zh-CN"/>
        </w:rPr>
        <w:t>截止2023年底，实际共有固定资产价值176.62</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16.46</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157.1</w:t>
      </w:r>
      <w:r>
        <w:rPr>
          <w:rFonts w:hint="eastAsia" w:ascii="仿宋_GB2312" w:eastAsia="仿宋_GB2312"/>
          <w:sz w:val="32"/>
          <w:szCs w:val="32"/>
          <w:lang w:eastAsia="zh-CN"/>
        </w:rPr>
        <w:t>万元，</w:t>
      </w:r>
      <w:r>
        <w:rPr>
          <w:rFonts w:hint="eastAsia" w:ascii="仿宋_GB2312" w:eastAsia="仿宋_GB2312"/>
          <w:sz w:val="32"/>
          <w:szCs w:val="32"/>
          <w:lang w:val="en-US" w:eastAsia="zh-CN"/>
        </w:rPr>
        <w:t>家具和用具3.06。</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atLeast"/>
        <w:ind w:left="0" w:leftChars="0" w:right="0" w:rightChars="0" w:firstLine="643" w:firstLineChars="20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76" w:lineRule="atLeast"/>
        <w:ind w:left="640" w:leftChars="0" w:right="0" w:rightChars="0" w:hanging="640" w:hangingChars="200"/>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十、名词解释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right="0" w:rightChars="0"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1.财政拨款收入：</w:t>
      </w:r>
      <w:r>
        <w:rPr>
          <w:rFonts w:hint="eastAsia" w:ascii="仿宋_GB2312" w:eastAsia="仿宋_GB2312"/>
          <w:sz w:val="32"/>
          <w:szCs w:val="32"/>
          <w:lang w:val="en-US" w:eastAsia="zh-CN"/>
        </w:rPr>
        <w:t xml:space="preserve">指财政部门核拨给单位的财政预算资金。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right="0" w:rightChars="0"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2.其他收入：</w:t>
      </w:r>
      <w:r>
        <w:rPr>
          <w:rFonts w:hint="eastAsia" w:ascii="仿宋_GB2312" w:eastAsia="仿宋_GB2312"/>
          <w:sz w:val="32"/>
          <w:szCs w:val="32"/>
          <w:lang w:val="en-US" w:eastAsia="zh-CN"/>
        </w:rPr>
        <w:t>指除上述财政部门拨付单位以外的收入。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right="0" w:rightChars="0"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3.基本支出：</w:t>
      </w:r>
      <w:r>
        <w:rPr>
          <w:rFonts w:hint="eastAsia" w:ascii="仿宋_GB2312" w:eastAsia="仿宋_GB2312"/>
          <w:sz w:val="32"/>
          <w:szCs w:val="32"/>
          <w:lang w:val="en-US" w:eastAsia="zh-CN"/>
        </w:rPr>
        <w:t>指为保障单位机关正常运转、完成日常工作任务而发生的人员支出和公用支出。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right="0" w:rightChars="0"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4.项目支出：</w:t>
      </w:r>
      <w:r>
        <w:rPr>
          <w:rFonts w:hint="eastAsia" w:ascii="仿宋_GB2312" w:eastAsia="仿宋_GB2312"/>
          <w:sz w:val="32"/>
          <w:szCs w:val="32"/>
          <w:lang w:val="en-US" w:eastAsia="zh-CN"/>
        </w:rPr>
        <w:t>指在基本支出之外为完成特定行政任务和事业发展目标所发生的支出。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atLeast"/>
        <w:ind w:left="0" w:right="0" w:rightChars="0"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5.机关运行经费：</w:t>
      </w:r>
      <w:r>
        <w:rPr>
          <w:rFonts w:hint="eastAsia" w:ascii="仿宋_GB2312" w:eastAsia="仿宋_GB2312"/>
          <w:sz w:val="32"/>
          <w:szCs w:val="32"/>
          <w:lang w:val="en-US" w:eastAsia="zh-CN"/>
        </w:rPr>
        <w:t>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atLeas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atLeast"/>
        <w:ind w:left="0" w:leftChars="0" w:right="0" w:rightChars="0" w:firstLine="1600" w:firstLineChars="50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红原县融媒体中心</w:t>
      </w:r>
    </w:p>
    <w:p>
      <w:pPr>
        <w:pStyle w:val="2"/>
        <w:keepNext w:val="0"/>
        <w:keepLines w:val="0"/>
        <w:pageBreakBefore w:val="0"/>
        <w:widowControl w:val="0"/>
        <w:kinsoku/>
        <w:wordWrap/>
        <w:overflowPunct/>
        <w:topLinePunct w:val="0"/>
        <w:autoSpaceDE/>
        <w:autoSpaceDN/>
        <w:bidi w:val="0"/>
        <w:adjustRightInd/>
        <w:spacing w:line="576" w:lineRule="atLeast"/>
        <w:ind w:left="0"/>
        <w:jc w:val="center"/>
        <w:textAlignment w:val="auto"/>
        <w:rPr>
          <w:rFonts w:hint="default"/>
          <w:lang w:val="en-US" w:eastAsia="zh-CN"/>
        </w:rPr>
      </w:pPr>
      <w:r>
        <w:rPr>
          <w:rFonts w:hint="eastAsia" w:ascii="仿宋_GB2312" w:eastAsia="仿宋_GB2312"/>
          <w:sz w:val="32"/>
          <w:szCs w:val="32"/>
          <w:lang w:val="en-US" w:eastAsia="zh-CN"/>
        </w:rPr>
        <w:t xml:space="preserve">                         2024年4月16日</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fldChar w:fldCharType="begin"/>
    </w:r>
    <w:r>
      <w:rPr>
        <w:rStyle w:val="9"/>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TcyOTEwZmRkODgzMDczOTA1MTNmY2M4ZDA5NjMifQ=="/>
  </w:docVars>
  <w:rsids>
    <w:rsidRoot w:val="00172A27"/>
    <w:rsid w:val="06E72BA3"/>
    <w:rsid w:val="0A6E1F7B"/>
    <w:rsid w:val="0CEE610B"/>
    <w:rsid w:val="0DF76B88"/>
    <w:rsid w:val="10B92046"/>
    <w:rsid w:val="13CD0A5B"/>
    <w:rsid w:val="14DB6BBA"/>
    <w:rsid w:val="183E2E81"/>
    <w:rsid w:val="18870CA9"/>
    <w:rsid w:val="18DE7327"/>
    <w:rsid w:val="25736E70"/>
    <w:rsid w:val="28CA79FA"/>
    <w:rsid w:val="2A2B114A"/>
    <w:rsid w:val="2D241839"/>
    <w:rsid w:val="2F577956"/>
    <w:rsid w:val="32B9061F"/>
    <w:rsid w:val="32D73255"/>
    <w:rsid w:val="3DC26157"/>
    <w:rsid w:val="41A25F12"/>
    <w:rsid w:val="41C14C68"/>
    <w:rsid w:val="4A7D7DE9"/>
    <w:rsid w:val="53B17EDA"/>
    <w:rsid w:val="546703A6"/>
    <w:rsid w:val="550D5715"/>
    <w:rsid w:val="555E53B0"/>
    <w:rsid w:val="56F015BA"/>
    <w:rsid w:val="58063D6C"/>
    <w:rsid w:val="589E5BC9"/>
    <w:rsid w:val="5B4041A6"/>
    <w:rsid w:val="62BF00A6"/>
    <w:rsid w:val="636966A0"/>
    <w:rsid w:val="65CF619D"/>
    <w:rsid w:val="670175BB"/>
    <w:rsid w:val="69772B35"/>
    <w:rsid w:val="6A7F4532"/>
    <w:rsid w:val="6E711791"/>
    <w:rsid w:val="6F792101"/>
    <w:rsid w:val="6F885CC3"/>
    <w:rsid w:val="6FBF4B32"/>
    <w:rsid w:val="70F00356"/>
    <w:rsid w:val="71A62D3F"/>
    <w:rsid w:val="730B0D1A"/>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Body Text"/>
    <w:basedOn w:val="1"/>
    <w:next w:val="4"/>
    <w:qFormat/>
    <w:uiPriority w:val="0"/>
    <w:pPr>
      <w:spacing w:before="93" w:beforeLines="30"/>
    </w:pPr>
    <w:rPr>
      <w:rFonts w:ascii="仿宋_GB2312" w:eastAsia="仿宋_GB2312"/>
      <w:sz w:val="30"/>
    </w:rPr>
  </w:style>
  <w:style w:type="paragraph" w:styleId="4">
    <w:name w:val="Body Text First Indent"/>
    <w:basedOn w:val="3"/>
    <w:qFormat/>
    <w:uiPriority w:val="0"/>
    <w:pPr>
      <w:spacing w:after="0" w:afterAutospacing="0" w:line="500" w:lineRule="exact"/>
      <w:ind w:firstLine="420"/>
    </w:pPr>
    <w:rPr>
      <w:rFonts w:ascii="Times New Roman" w:hAnsi="Times New Roman" w:eastAsia="宋体" w:cs="Times New Roman"/>
      <w:sz w:val="2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autoRedefine/>
    <w:qFormat/>
    <w:uiPriority w:val="0"/>
  </w:style>
  <w:style w:type="character" w:styleId="10">
    <w:name w:val="line number"/>
    <w:basedOn w:val="8"/>
    <w:autoRedefine/>
    <w:qFormat/>
    <w:uiPriority w:val="0"/>
    <w:rPr>
      <w:rFonts w:hint="default"/>
      <w:sz w:val="22"/>
    </w:rPr>
  </w:style>
  <w:style w:type="character" w:styleId="11">
    <w:name w:val="Hyperlink"/>
    <w:autoRedefine/>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15</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རེ་སྨོན</cp:lastModifiedBy>
  <cp:lastPrinted>2024-04-18T02:57:00Z</cp:lastPrinted>
  <dcterms:modified xsi:type="dcterms:W3CDTF">2024-04-18T03:44:20Z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9FF4B6A37373472F92DF931D2397AB9D_13</vt:lpwstr>
  </property>
</Properties>
</file>