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8"/>
        <w:rPr>
          <w:rFonts w:ascii="方正小标宋简体" w:hAnsi="宋体" w:eastAsia="方正小标宋简体"/>
          <w:color w:val="000000"/>
          <w:sz w:val="72"/>
          <w:szCs w:val="72"/>
        </w:rPr>
      </w:pPr>
      <w:bookmarkStart w:id="0" w:name="_Toc27719"/>
      <w:bookmarkStart w:id="1" w:name="_Toc16625"/>
      <w:bookmarkStart w:id="2" w:name="_Toc23832"/>
      <w:bookmarkStart w:id="3" w:name="_Toc9065"/>
      <w:bookmarkStart w:id="4" w:name="_Toc15006"/>
      <w:bookmarkStart w:id="5" w:name="_Toc29542"/>
      <w:bookmarkStart w:id="6" w:name="_Toc16660"/>
      <w:bookmarkStart w:id="7" w:name="_Toc25690"/>
      <w:bookmarkStart w:id="8" w:name="_Toc19924"/>
      <w:bookmarkStart w:id="9" w:name="_Toc2396"/>
      <w:bookmarkStart w:id="10" w:name="_Toc14033"/>
      <w:bookmarkStart w:id="11" w:name="_Toc13173"/>
      <w:bookmarkStart w:id="12" w:name="_Toc13097"/>
      <w:r>
        <w:rPr>
          <w:rFonts w:ascii="黑体" w:hAnsi="黑体" w:eastAsia="黑体"/>
          <w:color w:val="000000"/>
          <w:sz w:val="72"/>
          <w:szCs w:val="72"/>
        </w:rPr>
        <w:t>20</w:t>
      </w:r>
      <w:r>
        <w:rPr>
          <w:rFonts w:hint="eastAsia" w:ascii="黑体" w:hAnsi="黑体" w:eastAsia="黑体"/>
          <w:color w:val="000000"/>
          <w:sz w:val="72"/>
          <w:szCs w:val="72"/>
          <w:lang w:val="en-US" w:eastAsia="zh-CN"/>
        </w:rPr>
        <w:t>24</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bookmarkEnd w:id="8"/>
      <w:bookmarkEnd w:id="9"/>
      <w:bookmarkEnd w:id="10"/>
      <w:bookmarkEnd w:id="11"/>
      <w:bookmarkEnd w:id="12"/>
    </w:p>
    <w:p>
      <w:pPr>
        <w:adjustRightInd w:val="0"/>
        <w:snapToGrid w:val="0"/>
        <w:spacing w:line="360" w:lineRule="auto"/>
        <w:jc w:val="center"/>
        <w:outlineLvl w:val="0"/>
        <w:rPr>
          <w:rFonts w:hint="eastAsia" w:ascii="黑体" w:hAnsi="黑体" w:eastAsia="黑体"/>
          <w:color w:val="000000"/>
          <w:sz w:val="72"/>
          <w:szCs w:val="72"/>
          <w:lang w:val="en-US" w:eastAsia="zh-CN"/>
        </w:rPr>
      </w:pPr>
      <w:bookmarkStart w:id="13" w:name="_Toc13333"/>
      <w:bookmarkStart w:id="14" w:name="_Toc4520"/>
      <w:bookmarkStart w:id="15" w:name="_Toc31528"/>
      <w:bookmarkStart w:id="16" w:name="_Toc22415"/>
      <w:bookmarkStart w:id="17" w:name="_Toc23284"/>
      <w:bookmarkStart w:id="18" w:name="_Toc26014"/>
      <w:bookmarkStart w:id="19" w:name="_Toc28762"/>
      <w:bookmarkStart w:id="20" w:name="_Toc20861"/>
      <w:bookmarkStart w:id="21" w:name="_Toc21644"/>
      <w:bookmarkStart w:id="22" w:name="_Toc7896"/>
      <w:bookmarkStart w:id="23" w:name="_Toc28333"/>
      <w:bookmarkStart w:id="24" w:name="_Toc15983"/>
      <w:bookmarkStart w:id="25" w:name="_Toc28659"/>
      <w:bookmarkStart w:id="26" w:name="_Toc18829"/>
      <w:r>
        <w:rPr>
          <w:rFonts w:hint="eastAsia" w:ascii="黑体" w:hAnsi="黑体" w:eastAsia="黑体"/>
          <w:color w:val="000000"/>
          <w:sz w:val="72"/>
          <w:szCs w:val="72"/>
          <w:lang w:eastAsia="zh-CN"/>
        </w:rPr>
        <w:t>红原县</w:t>
      </w:r>
      <w:bookmarkEnd w:id="13"/>
      <w:bookmarkStart w:id="27" w:name="_Toc19355"/>
      <w:r>
        <w:rPr>
          <w:rFonts w:hint="eastAsia" w:ascii="黑体" w:hAnsi="黑体" w:eastAsia="黑体"/>
          <w:color w:val="000000"/>
          <w:sz w:val="72"/>
          <w:szCs w:val="72"/>
          <w:lang w:val="en-US" w:eastAsia="zh-CN"/>
        </w:rPr>
        <w:t>民族宗教局</w:t>
      </w:r>
      <w:bookmarkEnd w:id="14"/>
    </w:p>
    <w:p>
      <w:pPr>
        <w:adjustRightInd w:val="0"/>
        <w:snapToGrid w:val="0"/>
        <w:spacing w:line="360" w:lineRule="auto"/>
        <w:jc w:val="center"/>
        <w:outlineLvl w:val="0"/>
        <w:rPr>
          <w:rFonts w:ascii="黑体" w:hAnsi="黑体" w:eastAsia="黑体"/>
          <w:color w:val="000000"/>
          <w:sz w:val="72"/>
          <w:szCs w:val="72"/>
        </w:rPr>
      </w:pPr>
      <w:bookmarkStart w:id="28" w:name="_Toc26087"/>
      <w:r>
        <w:rPr>
          <w:rFonts w:hint="eastAsia" w:ascii="黑体" w:hAnsi="黑体" w:eastAsia="黑体"/>
          <w:color w:val="000000"/>
          <w:sz w:val="72"/>
          <w:szCs w:val="72"/>
        </w:rPr>
        <w:t>关于</w:t>
      </w:r>
      <w:r>
        <w:rPr>
          <w:rFonts w:hint="eastAsia" w:ascii="黑体" w:hAnsi="黑体" w:eastAsia="黑体"/>
          <w:color w:val="000000"/>
          <w:sz w:val="72"/>
          <w:szCs w:val="72"/>
          <w:lang w:eastAsia="zh-CN"/>
        </w:rPr>
        <w:t>202</w:t>
      </w:r>
      <w:r>
        <w:rPr>
          <w:rFonts w:hint="eastAsia" w:ascii="黑体" w:hAnsi="黑体" w:eastAsia="黑体"/>
          <w:color w:val="000000"/>
          <w:sz w:val="72"/>
          <w:szCs w:val="72"/>
          <w:lang w:val="en-US" w:eastAsia="zh-CN"/>
        </w:rPr>
        <w:t>4</w:t>
      </w:r>
      <w:r>
        <w:rPr>
          <w:rFonts w:hint="eastAsia" w:ascii="黑体" w:hAnsi="黑体" w:eastAsia="黑体"/>
          <w:color w:val="000000"/>
          <w:sz w:val="72"/>
          <w:szCs w:val="72"/>
        </w:rPr>
        <w:t>年部门预算编制的说明</w:t>
      </w:r>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2"/>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bookmarkStart w:id="29" w:name="_Toc19416"/>
      <w:bookmarkStart w:id="30" w:name="_Toc15725"/>
      <w:bookmarkStart w:id="31" w:name="_Toc20639"/>
      <w:bookmarkStart w:id="32" w:name="_Toc3879"/>
      <w:r>
        <w:rPr>
          <w:rFonts w:hint="eastAsia" w:ascii="仿宋_GB2312" w:hAnsi="Calibri" w:eastAsia="仿宋_GB2312" w:cs="仿宋_GB2312"/>
          <w:sz w:val="32"/>
          <w:szCs w:val="32"/>
        </w:rPr>
        <w:t>保密审查情况：已审查，内容审定</w:t>
      </w:r>
      <w:bookmarkEnd w:id="29"/>
      <w:bookmarkEnd w:id="30"/>
      <w:bookmarkEnd w:id="31"/>
      <w:bookmarkEnd w:id="32"/>
    </w:p>
    <w:p>
      <w:pPr>
        <w:autoSpaceDE w:val="0"/>
        <w:autoSpaceDN w:val="0"/>
        <w:adjustRightInd w:val="0"/>
        <w:ind w:firstLine="1276"/>
        <w:jc w:val="left"/>
        <w:rPr>
          <w:rFonts w:eastAsia="仿宋_GB2312"/>
          <w:sz w:val="32"/>
          <w:szCs w:val="32"/>
        </w:rPr>
      </w:pPr>
      <w:bookmarkStart w:id="33" w:name="_Toc25414"/>
      <w:bookmarkStart w:id="34" w:name="_Toc15358"/>
      <w:bookmarkStart w:id="35" w:name="_Toc24968"/>
      <w:bookmarkStart w:id="36" w:name="_Toc480"/>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bookmarkEnd w:id="33"/>
      <w:bookmarkEnd w:id="34"/>
      <w:bookmarkEnd w:id="35"/>
      <w:bookmarkEnd w:id="36"/>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pPr>
        <w:pStyle w:val="2"/>
        <w:ind w:left="0" w:leftChars="0" w:firstLine="0" w:firstLineChars="0"/>
        <w:rPr>
          <w:rFonts w:hint="eastAsia" w:ascii="方正小标宋简体" w:hAnsi="方正小标宋简体" w:eastAsia="方正小标宋简体" w:cs="方正小标宋简体"/>
          <w:b w:val="0"/>
          <w:bCs/>
          <w:sz w:val="44"/>
          <w:szCs w:val="44"/>
          <w:lang w:eastAsia="zh-CN"/>
        </w:rPr>
      </w:pPr>
    </w:p>
    <w:p>
      <w:pPr>
        <w:rPr>
          <w:rFonts w:hint="eastAsia" w:ascii="方正小标宋简体" w:hAnsi="方正小标宋简体" w:eastAsia="方正小标宋简体" w:cs="方正小标宋简体"/>
          <w:b w:val="0"/>
          <w:bCs/>
          <w:sz w:val="44"/>
          <w:szCs w:val="44"/>
          <w:lang w:eastAsia="zh-CN"/>
        </w:rPr>
      </w:pPr>
    </w:p>
    <w:p>
      <w:pPr>
        <w:pStyle w:val="2"/>
        <w:rPr>
          <w:rFonts w:hint="eastAsia"/>
          <w:lang w:eastAsia="zh-CN"/>
        </w:rPr>
      </w:pPr>
    </w:p>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lang w:val="en-US" w:eastAsia="zh-CN"/>
        </w:rPr>
      </w:pPr>
      <w:r>
        <w:rPr>
          <w:rFonts w:hint="eastAsia" w:ascii="宋体" w:hAnsi="宋体" w:eastAsia="宋体"/>
          <w:b/>
          <w:sz w:val="44"/>
          <w:szCs w:val="44"/>
        </w:rPr>
        <w:t xml:space="preserve">   </w:t>
      </w:r>
      <w:r>
        <w:rPr>
          <w:rFonts w:hint="eastAsia" w:ascii="宋体" w:hAnsi="宋体" w:eastAsia="宋体"/>
          <w:b/>
          <w:sz w:val="44"/>
          <w:szCs w:val="44"/>
          <w:lang w:val="en-US" w:eastAsia="zh-CN"/>
        </w:rPr>
        <w:t xml:space="preserve">  </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jc w:val="center"/>
        <w:textAlignment w:val="auto"/>
        <w:rPr>
          <w:rFonts w:hint="eastAsia" w:ascii="黑体" w:hAnsi="黑体" w:eastAsia="黑体" w:cs="黑体"/>
          <w:b/>
          <w:sz w:val="44"/>
          <w:szCs w:val="44"/>
          <w:lang w:val="en-US" w:eastAsia="zh-CN"/>
        </w:rPr>
      </w:pPr>
      <w:bookmarkStart w:id="37" w:name="_Toc4479"/>
      <w:r>
        <w:rPr>
          <w:rFonts w:hint="eastAsia" w:ascii="黑体" w:hAnsi="黑体" w:eastAsia="黑体" w:cs="黑体"/>
          <w:b/>
          <w:sz w:val="44"/>
          <w:szCs w:val="44"/>
          <w:lang w:val="en-US" w:eastAsia="zh-CN"/>
        </w:rPr>
        <w:t>目录</w:t>
      </w:r>
      <w:bookmarkEnd w:id="37"/>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default" w:ascii="宋体" w:hAnsi="宋体" w:eastAsia="宋体"/>
          <w:b/>
          <w:sz w:val="44"/>
          <w:szCs w:val="44"/>
          <w:lang w:val="en-US" w:eastAsia="zh-CN"/>
        </w:rPr>
      </w:pP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TOC \f F \t "正文" \h \c</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_Toc13097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2024年度</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_Toc13097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_Toc4520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红原县民族宗教局</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_Toc4520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_Toc31996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一、基本职能及主要工作</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_Toc31996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5</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_Toc28064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二、部门预算单位构成</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_Toc28064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9</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_Toc27646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三、收支预算总体情况</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_Toc27646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9</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_Toc22245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四、 支出预算安排情况</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_Toc22245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9</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_Toc16377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五、较上年度增减变化</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_Toc16377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10</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_Toc30813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六、“三公”经费预算</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_Toc30813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10</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_Toc17288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七、政府性基金预算收支情况说明</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_Toc17288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_Toc22928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八、国有资本经营预算收支情况说明</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_Toc22928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_Toc26084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九、其他重要事项的情况说明</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_Toc26084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_Toc17933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（一）政府采购预算情况</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_Toc17933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_Toc28164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（二）政府财政国有资产占用情况</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_Toc28164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_Toc19644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（三）绩效目标设置情况</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_Toc19644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_Toc29453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十、名词解释  　</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_Toc29453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6"/>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end"/>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bookmarkStart w:id="38" w:name="_Toc26144"/>
      <w:r>
        <w:rPr>
          <w:rFonts w:hint="eastAsia"/>
          <w:sz w:val="32"/>
          <w:szCs w:val="32"/>
        </w:rPr>
        <w:t>按照预算管理有关规定，目前部门预算的编制实行综合预算制度，即全部收入和支出都反映在预算中。</w:t>
      </w:r>
      <w:bookmarkEnd w:id="38"/>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bookmarkStart w:id="39" w:name="_Toc31996"/>
      <w:bookmarkStart w:id="40" w:name="_Toc30176"/>
      <w:r>
        <w:rPr>
          <w:rFonts w:hint="eastAsia" w:ascii="黑体" w:eastAsia="黑体"/>
          <w:sz w:val="32"/>
          <w:szCs w:val="32"/>
        </w:rPr>
        <w:t>一、基本职能及主要工作</w:t>
      </w:r>
      <w:bookmarkEnd w:id="39"/>
      <w:bookmarkEnd w:id="40"/>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bookmarkStart w:id="41" w:name="_Toc17907"/>
      <w:r>
        <w:rPr>
          <w:rFonts w:hint="eastAsia" w:ascii="楷体_GB2312" w:hAnsi="楷体_GB2312" w:eastAsia="楷体_GB2312" w:cs="楷体_GB2312"/>
          <w:b/>
          <w:bCs w:val="0"/>
          <w:sz w:val="32"/>
          <w:szCs w:val="32"/>
          <w:lang w:eastAsia="zh-CN"/>
        </w:rPr>
        <w:t>（一）基本职能</w:t>
      </w:r>
      <w:bookmarkEnd w:id="41"/>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42" w:name="_Toc30548"/>
      <w:bookmarkStart w:id="43" w:name="_Toc30143"/>
      <w:r>
        <w:rPr>
          <w:rFonts w:ascii="仿宋_GB2312" w:hAnsi="仿宋_GB2312" w:eastAsia="仿宋_GB2312" w:cs="仿宋_GB2312"/>
          <w:color w:val="auto"/>
          <w:spacing w:val="0"/>
          <w:position w:val="0"/>
          <w:sz w:val="32"/>
          <w:shd w:val="clear" w:fill="auto"/>
        </w:rPr>
        <w:t>1、贯彻执行党和国家关于民族、宗教工作的方针、政策和法规，负责组织指导全县民族、宗教政策和法律法规及民族基本知识的宣传教育工作，提出有关民族、宗教工作的政策建议，当好县委、县政府民族、宗教工作方面的参谋助手，依法协调各民族间关系，会同处理民族关系中的重大事项，促进各民族共同团结奋斗、共同繁荣发展，维护民族团结、社会稳定和国家统一；</w:t>
      </w:r>
      <w:bookmarkEnd w:id="42"/>
      <w:bookmarkEnd w:id="43"/>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44" w:name="_Toc15474"/>
      <w:bookmarkStart w:id="45" w:name="_Toc24929"/>
      <w:r>
        <w:rPr>
          <w:rFonts w:ascii="仿宋_GB2312" w:hAnsi="仿宋_GB2312" w:eastAsia="仿宋_GB2312" w:cs="仿宋_GB2312"/>
          <w:color w:val="auto"/>
          <w:spacing w:val="0"/>
          <w:position w:val="0"/>
          <w:sz w:val="32"/>
          <w:shd w:val="clear" w:fill="auto"/>
        </w:rPr>
        <w:t>2、组织开展民族宗教政策、理论和民族宗教工作等重大课题的综合调研，掌握全县民族、宗教情况和动态，研究制定我县民族、宗教方面的规范性文件，并负责组织实施和监督检查，保障少数民族的合法权益，指导、督查、协调“一法两规定一条例”等民族法律法规的贯彻落实；</w:t>
      </w:r>
      <w:bookmarkEnd w:id="44"/>
      <w:bookmarkEnd w:id="45"/>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46" w:name="_Toc16856"/>
      <w:bookmarkStart w:id="47" w:name="_Toc8238"/>
      <w:r>
        <w:rPr>
          <w:rFonts w:ascii="仿宋_GB2312" w:hAnsi="仿宋_GB2312" w:eastAsia="仿宋_GB2312" w:cs="仿宋_GB2312"/>
          <w:color w:val="auto"/>
          <w:spacing w:val="0"/>
          <w:position w:val="0"/>
          <w:sz w:val="32"/>
          <w:shd w:val="clear" w:fill="auto"/>
        </w:rPr>
        <w:t>3、负责协调推动有关部门履行民族工作相关职责，对全县民族工作实施管理、指导，促进民族政策在经济发展和社会事业等相关领域的实施、衔接。参与制定全县社会经济和教育、文化、科技、卫生、体育等项事业发展的中长期规划和年度计划，促进建立和完善少数民族事业发展综合评价检测体系，推进民族事务服务体系和民族事务管理信息化建设；组织协调实施县委、县政府民生工程的相关工作，参与协调全县移民、扶贫开发等相关工作；</w:t>
      </w:r>
      <w:bookmarkEnd w:id="46"/>
      <w:bookmarkEnd w:id="47"/>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48" w:name="_Toc24533"/>
      <w:bookmarkStart w:id="49" w:name="_Toc5217"/>
      <w:r>
        <w:rPr>
          <w:rFonts w:ascii="仿宋_GB2312" w:hAnsi="仿宋_GB2312" w:eastAsia="仿宋_GB2312" w:cs="仿宋_GB2312"/>
          <w:color w:val="auto"/>
          <w:spacing w:val="0"/>
          <w:position w:val="0"/>
          <w:sz w:val="32"/>
          <w:shd w:val="clear" w:fill="auto"/>
        </w:rPr>
        <w:t>4、依法加强对宗教事务的管理，保护公民宗教信仰自由，保护宗教教职人员履行正常的教务活动，保护宗教教团和宗教活动场所的合法权益，巩固和发展同宗教界人士进行爱国主义、社会主义、拥护祖国统一和民族团结的自我教育，引导宗教与社会主义社会相适应，团结和动员广大信教群众为改革开放和经济建设服务；</w:t>
      </w:r>
      <w:bookmarkEnd w:id="48"/>
      <w:bookmarkEnd w:id="49"/>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50" w:name="_Toc13826"/>
      <w:bookmarkStart w:id="51" w:name="_Toc17637"/>
      <w:r>
        <w:rPr>
          <w:rFonts w:ascii="仿宋_GB2312" w:hAnsi="仿宋_GB2312" w:eastAsia="仿宋_GB2312" w:cs="仿宋_GB2312"/>
          <w:color w:val="auto"/>
          <w:spacing w:val="0"/>
          <w:position w:val="0"/>
          <w:sz w:val="32"/>
          <w:shd w:val="clear" w:fill="auto"/>
        </w:rPr>
        <w:t>5、承办县委、县政府民族团结进步表彰活动，组织开展民族团结进步创建活动，负责组织协调全县民族工作领域有关对</w:t>
      </w:r>
      <w:r>
        <w:rPr>
          <w:rFonts w:hint="eastAsia" w:ascii="仿宋_GB2312" w:hAnsi="仿宋_GB2312" w:eastAsia="仿宋_GB2312" w:cs="仿宋_GB2312"/>
          <w:color w:val="auto"/>
          <w:spacing w:val="0"/>
          <w:position w:val="0"/>
          <w:sz w:val="32"/>
          <w:shd w:val="clear" w:fill="auto"/>
          <w:lang w:eastAsia="zh-CN"/>
        </w:rPr>
        <w:t>外</w:t>
      </w:r>
      <w:r>
        <w:rPr>
          <w:rFonts w:ascii="仿宋_GB2312" w:hAnsi="仿宋_GB2312" w:eastAsia="仿宋_GB2312" w:cs="仿宋_GB2312"/>
          <w:color w:val="auto"/>
          <w:spacing w:val="0"/>
          <w:position w:val="0"/>
          <w:sz w:val="32"/>
          <w:shd w:val="clear" w:fill="auto"/>
        </w:rPr>
        <w:t>和对港澳台的交流与合作，参与涉及民族事务的对外宣传工作，做好民族上层人士、宗教界人士参观及学习等各项管理工作，组织少数民族开展健康有益的文化、体育、爱国卫生及民俗活动；</w:t>
      </w:r>
      <w:bookmarkEnd w:id="50"/>
      <w:bookmarkEnd w:id="51"/>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52" w:name="_Toc13058"/>
      <w:bookmarkStart w:id="53" w:name="_Toc28461"/>
      <w:r>
        <w:rPr>
          <w:rFonts w:ascii="仿宋_GB2312" w:hAnsi="仿宋_GB2312" w:eastAsia="仿宋_GB2312" w:cs="仿宋_GB2312"/>
          <w:color w:val="auto"/>
          <w:spacing w:val="0"/>
          <w:position w:val="0"/>
          <w:sz w:val="32"/>
          <w:shd w:val="clear" w:fill="auto"/>
        </w:rPr>
        <w:t>6、参与拟订全县少数民族人才队伍建设规划；会同有关部门做好少数民族干部的培养、教育和使用工作；</w:t>
      </w:r>
      <w:bookmarkEnd w:id="52"/>
      <w:bookmarkEnd w:id="53"/>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54" w:name="_Toc19870"/>
      <w:bookmarkStart w:id="55" w:name="_Toc21325"/>
      <w:r>
        <w:rPr>
          <w:rFonts w:ascii="仿宋_GB2312" w:hAnsi="仿宋_GB2312" w:eastAsia="仿宋_GB2312" w:cs="仿宋_GB2312"/>
          <w:color w:val="auto"/>
          <w:spacing w:val="0"/>
          <w:position w:val="0"/>
          <w:sz w:val="32"/>
          <w:shd w:val="clear" w:fill="auto"/>
        </w:rPr>
        <w:t>7、积极争取少数民族发展专项资金项目，合理安排项目建设，做好项目资金的使用管理，加强监督检查；组织协调民族贸易、民族特需用品生产和民族地区对位写作；</w:t>
      </w:r>
      <w:bookmarkEnd w:id="54"/>
      <w:bookmarkEnd w:id="55"/>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56" w:name="_Toc22625"/>
      <w:bookmarkStart w:id="57" w:name="_Toc31413"/>
      <w:r>
        <w:rPr>
          <w:rFonts w:ascii="仿宋_GB2312" w:hAnsi="仿宋_GB2312" w:eastAsia="仿宋_GB2312" w:cs="仿宋_GB2312"/>
          <w:color w:val="auto"/>
          <w:spacing w:val="0"/>
          <w:position w:val="0"/>
          <w:sz w:val="32"/>
          <w:shd w:val="clear" w:fill="auto"/>
        </w:rPr>
        <w:t>8、引导宗教在法律、法规和政策范围内活动，预防和制止不法分子利用宗教进行的非法、违法活动；、抵制境内外敌对势力利用宗教对我进行的参透；</w:t>
      </w:r>
      <w:bookmarkEnd w:id="56"/>
      <w:bookmarkEnd w:id="57"/>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58" w:name="_Toc14847"/>
      <w:bookmarkStart w:id="59" w:name="_Toc21264"/>
      <w:r>
        <w:rPr>
          <w:rFonts w:ascii="仿宋_GB2312" w:hAnsi="仿宋_GB2312" w:eastAsia="仿宋_GB2312" w:cs="仿宋_GB2312"/>
          <w:color w:val="auto"/>
          <w:spacing w:val="0"/>
          <w:position w:val="0"/>
          <w:sz w:val="32"/>
          <w:shd w:val="clear" w:fill="auto"/>
        </w:rPr>
        <w:t>9、指导宗教团体在宪法、法律和政策允许的范围内按照独立自主、自办教会的原则，搞好自身建设；帮助宗教团体培养、教育宗教教职人员，做好有关培训组织工作；办理宗教团体需政府协助或协调的事务；</w:t>
      </w:r>
      <w:bookmarkEnd w:id="58"/>
      <w:bookmarkEnd w:id="59"/>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60" w:name="_Toc6757"/>
      <w:bookmarkStart w:id="61" w:name="_Toc16504"/>
      <w:r>
        <w:rPr>
          <w:rFonts w:ascii="仿宋_GB2312" w:hAnsi="仿宋_GB2312" w:eastAsia="仿宋_GB2312" w:cs="仿宋_GB2312"/>
          <w:color w:val="auto"/>
          <w:spacing w:val="0"/>
          <w:position w:val="0"/>
          <w:sz w:val="32"/>
          <w:shd w:val="clear" w:fill="auto"/>
        </w:rPr>
        <w:t>10、负责宣传贯彻国家关于少数民族语言文字方面的政策、法规并监督实施；指导管理藏语语言文字的学习使用、社会市面用文的检查、整顿及藏文翻译工作；指导少数民族语言文字的翻译、出版和少数民族古籍的收集、整理、出版工作，会同有关部门对少数民族题材文化作品（产品）进行审查；</w:t>
      </w:r>
      <w:bookmarkEnd w:id="60"/>
      <w:bookmarkEnd w:id="61"/>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62" w:name="_Toc2216"/>
      <w:bookmarkStart w:id="63" w:name="_Toc11850"/>
      <w:r>
        <w:rPr>
          <w:rFonts w:ascii="仿宋_GB2312" w:hAnsi="仿宋_GB2312" w:eastAsia="仿宋_GB2312" w:cs="仿宋_GB2312"/>
          <w:color w:val="auto"/>
          <w:spacing w:val="0"/>
          <w:position w:val="0"/>
          <w:sz w:val="32"/>
          <w:shd w:val="clear" w:fill="auto"/>
        </w:rPr>
        <w:t>11、贯彻执行国家和省、州有关</w:t>
      </w:r>
      <w:r>
        <w:rPr>
          <w:rFonts w:hint="eastAsia" w:ascii="仿宋_GB2312" w:hAnsi="仿宋_GB2312" w:eastAsia="仿宋_GB2312" w:cs="仿宋_GB2312"/>
          <w:color w:val="auto"/>
          <w:spacing w:val="0"/>
          <w:position w:val="0"/>
          <w:sz w:val="32"/>
          <w:shd w:val="clear" w:fill="auto"/>
          <w:lang w:eastAsia="zh-CN"/>
        </w:rPr>
        <w:t>专</w:t>
      </w:r>
      <w:r>
        <w:rPr>
          <w:rFonts w:ascii="仿宋_GB2312" w:hAnsi="仿宋_GB2312" w:eastAsia="仿宋_GB2312" w:cs="仿宋_GB2312"/>
          <w:color w:val="auto"/>
          <w:spacing w:val="0"/>
          <w:position w:val="0"/>
          <w:sz w:val="32"/>
          <w:shd w:val="clear" w:fill="auto"/>
        </w:rPr>
        <w:t>项资金管理工作的政策和规定，依法管理</w:t>
      </w:r>
      <w:r>
        <w:rPr>
          <w:rFonts w:hint="eastAsia" w:ascii="仿宋_GB2312" w:hAnsi="仿宋_GB2312" w:eastAsia="仿宋_GB2312" w:cs="仿宋_GB2312"/>
          <w:color w:val="auto"/>
          <w:spacing w:val="0"/>
          <w:position w:val="0"/>
          <w:sz w:val="32"/>
          <w:shd w:val="clear" w:fill="auto"/>
          <w:lang w:eastAsia="zh-CN"/>
        </w:rPr>
        <w:t>专</w:t>
      </w:r>
      <w:r>
        <w:rPr>
          <w:rFonts w:ascii="仿宋_GB2312" w:hAnsi="仿宋_GB2312" w:eastAsia="仿宋_GB2312" w:cs="仿宋_GB2312"/>
          <w:color w:val="auto"/>
          <w:spacing w:val="0"/>
          <w:position w:val="0"/>
          <w:sz w:val="32"/>
          <w:shd w:val="clear" w:fill="auto"/>
        </w:rPr>
        <w:t>项资金投资的项目和资金，制定实施全县</w:t>
      </w:r>
      <w:r>
        <w:rPr>
          <w:rFonts w:hint="eastAsia" w:ascii="仿宋_GB2312" w:hAnsi="仿宋_GB2312" w:eastAsia="仿宋_GB2312" w:cs="仿宋_GB2312"/>
          <w:color w:val="auto"/>
          <w:spacing w:val="0"/>
          <w:position w:val="0"/>
          <w:sz w:val="32"/>
          <w:shd w:val="clear" w:fill="auto"/>
          <w:lang w:eastAsia="zh-CN"/>
        </w:rPr>
        <w:t>专</w:t>
      </w:r>
      <w:r>
        <w:rPr>
          <w:rFonts w:ascii="仿宋_GB2312" w:hAnsi="仿宋_GB2312" w:eastAsia="仿宋_GB2312" w:cs="仿宋_GB2312"/>
          <w:color w:val="auto"/>
          <w:spacing w:val="0"/>
          <w:position w:val="0"/>
          <w:sz w:val="32"/>
          <w:shd w:val="clear" w:fill="auto"/>
        </w:rPr>
        <w:t>项资金管理工作的具体办法和意见；对</w:t>
      </w:r>
      <w:r>
        <w:rPr>
          <w:rFonts w:hint="eastAsia" w:ascii="仿宋_GB2312" w:hAnsi="仿宋_GB2312" w:eastAsia="仿宋_GB2312" w:cs="仿宋_GB2312"/>
          <w:color w:val="auto"/>
          <w:spacing w:val="0"/>
          <w:position w:val="0"/>
          <w:sz w:val="32"/>
          <w:shd w:val="clear" w:fill="auto"/>
          <w:lang w:eastAsia="zh-CN"/>
        </w:rPr>
        <w:t>专</w:t>
      </w:r>
      <w:r>
        <w:rPr>
          <w:rFonts w:ascii="仿宋_GB2312" w:hAnsi="仿宋_GB2312" w:eastAsia="仿宋_GB2312" w:cs="仿宋_GB2312"/>
          <w:color w:val="auto"/>
          <w:spacing w:val="0"/>
          <w:position w:val="0"/>
          <w:sz w:val="32"/>
          <w:shd w:val="clear" w:fill="auto"/>
        </w:rPr>
        <w:t>项资金投资项目的审查、报批、实施、验收等全过程进行管理和监督；</w:t>
      </w:r>
      <w:bookmarkEnd w:id="62"/>
      <w:bookmarkEnd w:id="63"/>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64" w:name="_Toc29165"/>
      <w:bookmarkStart w:id="65" w:name="_Toc13928"/>
      <w:r>
        <w:rPr>
          <w:rFonts w:ascii="仿宋_GB2312" w:hAnsi="仿宋_GB2312" w:eastAsia="仿宋_GB2312" w:cs="仿宋_GB2312"/>
          <w:color w:val="auto"/>
          <w:spacing w:val="0"/>
          <w:position w:val="0"/>
          <w:sz w:val="32"/>
          <w:shd w:val="clear" w:fill="auto"/>
        </w:rPr>
        <w:t>12、承办县委、县政府交办的其他事项。</w:t>
      </w:r>
      <w:bookmarkEnd w:id="64"/>
      <w:bookmarkEnd w:id="65"/>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bookmarkStart w:id="66" w:name="_Toc21256"/>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4</w:t>
      </w:r>
      <w:r>
        <w:rPr>
          <w:rFonts w:hint="eastAsia" w:ascii="楷体_GB2312" w:hAnsi="楷体_GB2312" w:eastAsia="楷体_GB2312" w:cs="楷体_GB2312"/>
          <w:b/>
          <w:bCs w:val="0"/>
          <w:sz w:val="32"/>
          <w:szCs w:val="32"/>
          <w:lang w:eastAsia="zh-CN"/>
        </w:rPr>
        <w:t>年重点工作任务</w:t>
      </w:r>
      <w:bookmarkEnd w:id="66"/>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bookmarkStart w:id="67" w:name="_Toc12962"/>
      <w:bookmarkStart w:id="68" w:name="_Toc3647"/>
      <w:r>
        <w:rPr>
          <w:rFonts w:hint="eastAsia" w:ascii="仿宋_GB2312" w:eastAsia="仿宋_GB2312"/>
          <w:sz w:val="32"/>
          <w:szCs w:val="32"/>
          <w:lang w:eastAsia="zh-CN"/>
        </w:rPr>
        <w:t>履行政治领导责任，做好理论武装和思想工作，负责学习、宣传、贯彻执行党的理论和路线方针政策，贯彻落实党中央、省委、州委、县委的决策部署，发挥好把方向、管大局、保落实的重要作用；</w:t>
      </w:r>
      <w:bookmarkEnd w:id="67"/>
      <w:bookmarkEnd w:id="68"/>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bookmarkStart w:id="69" w:name="_Toc28903"/>
      <w:bookmarkStart w:id="70" w:name="_Toc18258"/>
      <w:r>
        <w:rPr>
          <w:rFonts w:hint="eastAsia" w:ascii="仿宋_GB2312" w:eastAsia="仿宋_GB2312"/>
          <w:sz w:val="32"/>
          <w:szCs w:val="32"/>
          <w:lang w:eastAsia="zh-CN"/>
        </w:rPr>
        <w:t>讨论和决定本单位下列重大问题，党的路线方针政策、国家法律法规和上级党组织重要会议、重要文件、重大决策部署的贯彻落实事项。需要向上级党组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bookmarkEnd w:id="69"/>
      <w:bookmarkEnd w:id="70"/>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bookmarkStart w:id="71" w:name="_Toc4898"/>
      <w:bookmarkStart w:id="72" w:name="_Toc26305"/>
      <w:r>
        <w:rPr>
          <w:rFonts w:hint="eastAsia" w:ascii="仿宋_GB2312" w:eastAsia="仿宋_GB2312"/>
          <w:sz w:val="32"/>
          <w:szCs w:val="32"/>
          <w:lang w:eastAsia="zh-CN"/>
        </w:rPr>
        <w:t>贯彻党管干部原则，加强干部队伍建设，完善干部培养选拔机制，加强干部教育管理监督。贯彻党管人才原则，加强人才队伍建设。加强对本单位工会、共青团、妇联等群团工作的领导。</w:t>
      </w:r>
      <w:bookmarkEnd w:id="71"/>
      <w:bookmarkEnd w:id="72"/>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bookmarkStart w:id="73" w:name="_Toc15041"/>
      <w:bookmarkStart w:id="74" w:name="_Toc17200"/>
      <w:r>
        <w:rPr>
          <w:rFonts w:hint="eastAsia" w:ascii="仿宋_GB2312" w:eastAsia="仿宋_GB2312"/>
          <w:sz w:val="32"/>
          <w:szCs w:val="32"/>
          <w:lang w:eastAsia="zh-CN"/>
        </w:rPr>
        <w:t>履行党要管党、从严治党主体责任，加强对本单位党的建设的领导，落实党建工作责任制。认真履行党风廉政建设主体责任，支持纪检监察机构履行监督责任。</w:t>
      </w:r>
      <w:bookmarkEnd w:id="73"/>
      <w:bookmarkEnd w:id="74"/>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bookmarkStart w:id="75" w:name="_Toc26788"/>
      <w:bookmarkStart w:id="76" w:name="_Toc28064"/>
      <w:r>
        <w:rPr>
          <w:rFonts w:hint="eastAsia" w:ascii="黑体" w:eastAsia="黑体"/>
          <w:sz w:val="32"/>
          <w:szCs w:val="32"/>
        </w:rPr>
        <w:t>二、部门</w:t>
      </w:r>
      <w:r>
        <w:rPr>
          <w:rFonts w:hint="eastAsia" w:ascii="黑体" w:eastAsia="黑体"/>
          <w:sz w:val="32"/>
          <w:szCs w:val="32"/>
          <w:lang w:eastAsia="zh-CN"/>
        </w:rPr>
        <w:t>预算单位构成</w:t>
      </w:r>
      <w:bookmarkEnd w:id="75"/>
      <w:bookmarkEnd w:id="76"/>
      <w:bookmarkStart w:id="135" w:name="_GoBack"/>
      <w:bookmarkEnd w:id="135"/>
    </w:p>
    <w:p>
      <w:pPr>
        <w:spacing w:before="0" w:after="0" w:line="576" w:lineRule="auto"/>
        <w:ind w:left="0" w:right="0" w:firstLine="640"/>
        <w:jc w:val="both"/>
        <w:rPr>
          <w:rFonts w:ascii="仿宋_GB2312" w:hAnsi="仿宋_GB2312" w:eastAsia="仿宋_GB2312" w:cs="仿宋_GB2312"/>
          <w:color w:val="auto"/>
          <w:spacing w:val="0"/>
          <w:position w:val="0"/>
          <w:sz w:val="32"/>
          <w:shd w:val="clear" w:fill="auto"/>
        </w:rPr>
      </w:pPr>
      <w:bookmarkStart w:id="77" w:name="_Toc16812"/>
      <w:bookmarkStart w:id="78" w:name="_Toc8005"/>
      <w:r>
        <w:rPr>
          <w:rFonts w:ascii="仿宋_GB2312" w:hAnsi="仿宋_GB2312" w:eastAsia="仿宋_GB2312" w:cs="仿宋_GB2312"/>
          <w:color w:val="auto"/>
          <w:spacing w:val="0"/>
          <w:position w:val="0"/>
          <w:sz w:val="32"/>
          <w:shd w:val="clear" w:fill="auto"/>
        </w:rPr>
        <w:t>民族宗教局下属二级预算单位1个，其中行政单位1个，参照公务员法管理的事业单位0个，其他事业单位0个。</w:t>
      </w:r>
      <w:bookmarkEnd w:id="77"/>
      <w:bookmarkEnd w:id="78"/>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ascii="仿宋_GB2312" w:hAnsi="仿宋_GB2312" w:eastAsia="仿宋_GB2312" w:cs="仿宋_GB2312"/>
          <w:color w:val="auto"/>
          <w:spacing w:val="0"/>
          <w:position w:val="0"/>
          <w:sz w:val="32"/>
          <w:shd w:val="clear" w:fill="auto"/>
        </w:rPr>
      </w:pPr>
      <w:bookmarkStart w:id="79" w:name="_Toc23470"/>
      <w:bookmarkStart w:id="80" w:name="_Toc26344"/>
      <w:r>
        <w:rPr>
          <w:rFonts w:ascii="仿宋_GB2312" w:hAnsi="仿宋_GB2312" w:eastAsia="仿宋_GB2312" w:cs="仿宋_GB2312"/>
          <w:color w:val="auto"/>
          <w:spacing w:val="0"/>
          <w:position w:val="0"/>
          <w:sz w:val="32"/>
          <w:shd w:val="clear" w:fill="auto"/>
        </w:rPr>
        <w:t>我单位共有编制</w:t>
      </w:r>
      <w:r>
        <w:rPr>
          <w:rFonts w:hint="eastAsia" w:ascii="仿宋_GB2312" w:hAnsi="仿宋_GB2312" w:eastAsia="仿宋_GB2312" w:cs="仿宋_GB2312"/>
          <w:color w:val="auto"/>
          <w:spacing w:val="0"/>
          <w:position w:val="0"/>
          <w:sz w:val="32"/>
          <w:shd w:val="clear" w:fill="auto"/>
          <w:lang w:val="en-US" w:eastAsia="zh-CN"/>
        </w:rPr>
        <w:t>15</w:t>
      </w:r>
      <w:r>
        <w:rPr>
          <w:rFonts w:ascii="仿宋_GB2312" w:hAnsi="仿宋_GB2312" w:eastAsia="仿宋_GB2312" w:cs="仿宋_GB2312"/>
          <w:color w:val="auto"/>
          <w:spacing w:val="0"/>
          <w:position w:val="0"/>
          <w:sz w:val="32"/>
          <w:shd w:val="clear" w:fill="auto"/>
        </w:rPr>
        <w:t>个，其中公务员编制</w:t>
      </w:r>
      <w:r>
        <w:rPr>
          <w:rFonts w:hint="eastAsia" w:ascii="仿宋_GB2312" w:hAnsi="仿宋_GB2312" w:eastAsia="仿宋_GB2312" w:cs="仿宋_GB2312"/>
          <w:color w:val="auto"/>
          <w:spacing w:val="0"/>
          <w:position w:val="0"/>
          <w:sz w:val="32"/>
          <w:shd w:val="clear" w:fill="auto"/>
          <w:lang w:val="en-US" w:eastAsia="zh-CN"/>
        </w:rPr>
        <w:t>11</w:t>
      </w:r>
      <w:r>
        <w:rPr>
          <w:rFonts w:ascii="仿宋_GB2312" w:hAnsi="仿宋_GB2312" w:eastAsia="仿宋_GB2312" w:cs="仿宋_GB2312"/>
          <w:color w:val="auto"/>
          <w:spacing w:val="0"/>
          <w:position w:val="0"/>
          <w:sz w:val="32"/>
          <w:shd w:val="clear" w:fill="auto"/>
        </w:rPr>
        <w:t>个，行政工勤编制1个，事业编制4个。在职</w:t>
      </w:r>
      <w:r>
        <w:rPr>
          <w:rFonts w:hint="eastAsia" w:ascii="仿宋_GB2312" w:hAnsi="仿宋_GB2312" w:eastAsia="仿宋_GB2312" w:cs="仿宋_GB2312"/>
          <w:color w:val="auto"/>
          <w:spacing w:val="0"/>
          <w:position w:val="0"/>
          <w:sz w:val="32"/>
          <w:shd w:val="clear" w:fill="auto"/>
          <w:lang w:val="en-US" w:eastAsia="zh-CN"/>
        </w:rPr>
        <w:t>15</w:t>
      </w:r>
      <w:r>
        <w:rPr>
          <w:rFonts w:ascii="仿宋_GB2312" w:hAnsi="仿宋_GB2312" w:eastAsia="仿宋_GB2312" w:cs="仿宋_GB2312"/>
          <w:color w:val="auto"/>
          <w:spacing w:val="0"/>
          <w:position w:val="0"/>
          <w:sz w:val="32"/>
          <w:shd w:val="clear" w:fill="auto"/>
        </w:rPr>
        <w:t>人，行政工勤1个，公务员</w:t>
      </w:r>
      <w:r>
        <w:rPr>
          <w:rFonts w:hint="eastAsia" w:ascii="仿宋_GB2312" w:hAnsi="仿宋_GB2312" w:eastAsia="仿宋_GB2312" w:cs="仿宋_GB2312"/>
          <w:color w:val="auto"/>
          <w:spacing w:val="0"/>
          <w:position w:val="0"/>
          <w:sz w:val="32"/>
          <w:shd w:val="clear" w:fill="auto"/>
          <w:lang w:val="en-US" w:eastAsia="zh-CN"/>
        </w:rPr>
        <w:t>11</w:t>
      </w:r>
      <w:r>
        <w:rPr>
          <w:rFonts w:ascii="仿宋_GB2312" w:hAnsi="仿宋_GB2312" w:eastAsia="仿宋_GB2312" w:cs="仿宋_GB2312"/>
          <w:color w:val="auto"/>
          <w:spacing w:val="0"/>
          <w:position w:val="0"/>
          <w:sz w:val="32"/>
          <w:shd w:val="clear" w:fill="auto"/>
        </w:rPr>
        <w:t>人，事业编制4人，退休</w:t>
      </w:r>
      <w:r>
        <w:rPr>
          <w:rFonts w:hint="eastAsia" w:ascii="仿宋_GB2312" w:hAnsi="仿宋_GB2312" w:eastAsia="仿宋_GB2312" w:cs="仿宋_GB2312"/>
          <w:color w:val="auto"/>
          <w:spacing w:val="0"/>
          <w:position w:val="0"/>
          <w:sz w:val="32"/>
          <w:shd w:val="clear" w:fill="auto"/>
          <w:lang w:val="en-US" w:eastAsia="zh-CN"/>
        </w:rPr>
        <w:t>3</w:t>
      </w:r>
      <w:r>
        <w:rPr>
          <w:rFonts w:ascii="仿宋_GB2312" w:hAnsi="仿宋_GB2312" w:eastAsia="仿宋_GB2312" w:cs="仿宋_GB2312"/>
          <w:color w:val="auto"/>
          <w:spacing w:val="0"/>
          <w:position w:val="0"/>
          <w:sz w:val="32"/>
          <w:shd w:val="clear" w:fill="auto"/>
        </w:rPr>
        <w:t>人</w:t>
      </w:r>
      <w:bookmarkEnd w:id="79"/>
      <w:bookmarkEnd w:id="80"/>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bookmarkStart w:id="81" w:name="_Toc30406"/>
      <w:bookmarkStart w:id="82" w:name="_Toc27646"/>
      <w:r>
        <w:rPr>
          <w:rFonts w:hint="eastAsia" w:ascii="黑体" w:eastAsia="黑体"/>
          <w:sz w:val="32"/>
          <w:szCs w:val="32"/>
        </w:rPr>
        <w:t>三、收支预算总体情况</w:t>
      </w:r>
      <w:bookmarkEnd w:id="81"/>
      <w:bookmarkEnd w:id="82"/>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83" w:name="_Toc8404"/>
      <w:bookmarkStart w:id="84" w:name="_Toc13233"/>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hAnsi="仿宋_GB2312" w:eastAsia="仿宋_GB2312" w:cs="仿宋_GB2312"/>
          <w:color w:val="auto"/>
          <w:spacing w:val="0"/>
          <w:position w:val="0"/>
          <w:sz w:val="32"/>
          <w:shd w:val="clear" w:fill="auto"/>
        </w:rPr>
        <w:t>红原县</w:t>
      </w:r>
      <w:r>
        <w:rPr>
          <w:rFonts w:hint="eastAsia" w:ascii="仿宋_GB2312" w:hAnsi="仿宋_GB2312" w:eastAsia="仿宋_GB2312" w:cs="仿宋_GB2312"/>
          <w:color w:val="auto"/>
          <w:spacing w:val="0"/>
          <w:position w:val="0"/>
          <w:sz w:val="32"/>
          <w:shd w:val="clear" w:fill="auto"/>
          <w:lang w:val="en-US" w:eastAsia="zh-CN"/>
        </w:rPr>
        <w:t>民族宗教局</w:t>
      </w:r>
      <w:r>
        <w:rPr>
          <w:rFonts w:hint="eastAsia" w:ascii="仿宋_GB2312" w:eastAsia="仿宋_GB2312"/>
          <w:sz w:val="32"/>
          <w:szCs w:val="32"/>
        </w:rPr>
        <w:t>收入预算总额为</w:t>
      </w:r>
      <w:r>
        <w:rPr>
          <w:rFonts w:hint="eastAsia" w:ascii="仿宋_GB2312" w:eastAsia="仿宋_GB2312"/>
          <w:sz w:val="32"/>
          <w:szCs w:val="32"/>
          <w:lang w:val="en-US" w:eastAsia="zh-CN"/>
        </w:rPr>
        <w:t>415.12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415.12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415.12</w:t>
      </w:r>
      <w:r>
        <w:rPr>
          <w:rFonts w:hint="eastAsia" w:ascii="仿宋_GB2312" w:eastAsia="仿宋_GB2312"/>
          <w:sz w:val="32"/>
          <w:szCs w:val="32"/>
        </w:rPr>
        <w:t>万元，其中：</w:t>
      </w:r>
      <w:r>
        <w:rPr>
          <w:rFonts w:hint="eastAsia" w:ascii="仿宋_GB2312" w:eastAsia="仿宋_GB2312"/>
          <w:sz w:val="32"/>
          <w:szCs w:val="32"/>
          <w:lang w:val="en-US" w:eastAsia="zh-CN"/>
        </w:rPr>
        <w:t>一般公共服务310.93</w:t>
      </w:r>
      <w:r>
        <w:rPr>
          <w:rFonts w:hint="eastAsia" w:ascii="仿宋_GB2312" w:eastAsia="仿宋_GB2312"/>
          <w:sz w:val="32"/>
          <w:szCs w:val="32"/>
        </w:rPr>
        <w:t>万元，社会保障和就业</w:t>
      </w:r>
      <w:r>
        <w:rPr>
          <w:rFonts w:hint="eastAsia" w:ascii="仿宋_GB2312" w:eastAsia="仿宋_GB2312"/>
          <w:sz w:val="32"/>
          <w:szCs w:val="32"/>
          <w:lang w:val="en-US" w:eastAsia="zh-CN"/>
        </w:rPr>
        <w:t>54.73</w:t>
      </w:r>
      <w:r>
        <w:rPr>
          <w:rFonts w:hint="eastAsia" w:ascii="仿宋_GB2312" w:eastAsia="仿宋_GB2312"/>
          <w:sz w:val="32"/>
          <w:szCs w:val="32"/>
        </w:rPr>
        <w:t>万元，医疗卫生</w:t>
      </w:r>
      <w:r>
        <w:rPr>
          <w:rFonts w:hint="eastAsia" w:ascii="仿宋_GB2312" w:eastAsia="仿宋_GB2312"/>
          <w:sz w:val="32"/>
          <w:szCs w:val="32"/>
          <w:lang w:val="en-US" w:eastAsia="zh-CN"/>
        </w:rPr>
        <w:t>19.86</w:t>
      </w:r>
      <w:r>
        <w:rPr>
          <w:rFonts w:hint="eastAsia" w:ascii="仿宋_GB2312" w:eastAsia="仿宋_GB2312"/>
          <w:sz w:val="32"/>
          <w:szCs w:val="32"/>
        </w:rPr>
        <w:t>万元，住房保障支出</w:t>
      </w:r>
      <w:r>
        <w:rPr>
          <w:rFonts w:hint="eastAsia" w:ascii="仿宋_GB2312" w:eastAsia="仿宋_GB2312"/>
          <w:sz w:val="32"/>
          <w:szCs w:val="32"/>
          <w:lang w:val="en-US" w:eastAsia="zh-CN"/>
        </w:rPr>
        <w:t>29.6</w:t>
      </w:r>
      <w:r>
        <w:rPr>
          <w:rFonts w:hint="eastAsia" w:ascii="仿宋_GB2312" w:eastAsia="仿宋_GB2312"/>
          <w:sz w:val="32"/>
          <w:szCs w:val="32"/>
        </w:rPr>
        <w:t>万元。</w:t>
      </w:r>
      <w:bookmarkEnd w:id="83"/>
      <w:bookmarkEnd w:id="84"/>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bookmarkStart w:id="85" w:name="_Toc19607"/>
      <w:bookmarkStart w:id="86" w:name="_Toc22245"/>
      <w:r>
        <w:rPr>
          <w:rFonts w:hint="eastAsia" w:ascii="黑体" w:eastAsia="黑体"/>
          <w:sz w:val="32"/>
          <w:szCs w:val="32"/>
        </w:rPr>
        <w:t>支出预算安排情况</w:t>
      </w:r>
      <w:bookmarkEnd w:id="85"/>
      <w:bookmarkEnd w:id="86"/>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ascii="仿宋_GB2312" w:hAnsi="仿宋_GB2312" w:eastAsia="仿宋_GB2312" w:cs="仿宋_GB2312"/>
          <w:color w:val="auto"/>
          <w:spacing w:val="0"/>
          <w:position w:val="0"/>
          <w:sz w:val="32"/>
          <w:shd w:val="clear" w:fill="auto"/>
        </w:rPr>
        <w:t xml:space="preserve"> </w:t>
      </w:r>
      <w:bookmarkStart w:id="87" w:name="_Toc16590"/>
      <w:bookmarkStart w:id="88" w:name="_Toc14263"/>
      <w:r>
        <w:rPr>
          <w:rFonts w:ascii="仿宋_GB2312" w:hAnsi="仿宋_GB2312" w:eastAsia="仿宋_GB2312" w:cs="仿宋_GB2312"/>
          <w:color w:val="auto"/>
          <w:spacing w:val="0"/>
          <w:position w:val="0"/>
          <w:sz w:val="32"/>
          <w:shd w:val="clear" w:fill="auto"/>
        </w:rPr>
        <w:t>红原县</w:t>
      </w:r>
      <w:r>
        <w:rPr>
          <w:rFonts w:hint="eastAsia" w:ascii="仿宋_GB2312" w:hAnsi="仿宋_GB2312" w:eastAsia="仿宋_GB2312" w:cs="仿宋_GB2312"/>
          <w:color w:val="auto"/>
          <w:spacing w:val="0"/>
          <w:position w:val="0"/>
          <w:sz w:val="32"/>
          <w:shd w:val="clear" w:fill="auto"/>
          <w:lang w:val="en-US" w:eastAsia="zh-CN"/>
        </w:rPr>
        <w:t>民族宗教局</w:t>
      </w:r>
      <w:r>
        <w:rPr>
          <w:rFonts w:hint="eastAsia" w:ascii="仿宋_GB2312" w:eastAsia="仿宋_GB2312"/>
          <w:sz w:val="32"/>
          <w:szCs w:val="32"/>
        </w:rPr>
        <w:t>预算安排支出主要用于保障该部门机构正常运转、完成日常工作任务以及承担</w:t>
      </w:r>
      <w:r>
        <w:rPr>
          <w:rFonts w:ascii="仿宋_GB2312" w:hAnsi="仿宋_GB2312" w:eastAsia="仿宋_GB2312" w:cs="仿宋_GB2312"/>
          <w:color w:val="auto"/>
          <w:spacing w:val="0"/>
          <w:position w:val="0"/>
          <w:sz w:val="32"/>
          <w:shd w:val="clear" w:fill="auto"/>
        </w:rPr>
        <w:t>我乡</w:t>
      </w:r>
      <w:r>
        <w:rPr>
          <w:rFonts w:hint="eastAsia" w:ascii="仿宋_GB2312" w:eastAsia="仿宋_GB2312"/>
          <w:sz w:val="32"/>
          <w:szCs w:val="32"/>
        </w:rPr>
        <w:t>事业发展相关工作。</w:t>
      </w:r>
      <w:bookmarkEnd w:id="87"/>
      <w:bookmarkEnd w:id="88"/>
      <w:r>
        <w:rPr>
          <w:rFonts w:hint="eastAsia" w:ascii="仿宋_GB2312" w:eastAsia="仿宋_GB2312"/>
          <w:sz w:val="32"/>
          <w:szCs w:val="32"/>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bookmarkStart w:id="89" w:name="_Toc304"/>
      <w:bookmarkStart w:id="90" w:name="_Toc9872"/>
      <w:r>
        <w:rPr>
          <w:rFonts w:hint="eastAsia" w:ascii="仿宋_GB2312" w:eastAsia="仿宋_GB2312"/>
          <w:sz w:val="32"/>
          <w:szCs w:val="32"/>
        </w:rPr>
        <w:t>基本支出</w:t>
      </w:r>
      <w:r>
        <w:rPr>
          <w:rFonts w:hint="eastAsia" w:ascii="仿宋_GB2312" w:eastAsia="仿宋_GB2312"/>
          <w:sz w:val="32"/>
          <w:szCs w:val="32"/>
          <w:lang w:val="en-US" w:eastAsia="zh-CN"/>
        </w:rPr>
        <w:t>401.72</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361.08万元，机关运行经费40.64万元，其中：办公费14.24万元，差旅费9万元，工会经费2.73万元，公务用车运行维护费6.46万元，培训费0.7万元，邮电费1.5万元，电费0.8万元，水费0.35万元，劳务费0万元，取暖费1万元，公务接待费0.28万元，会议费0万元，印刷费3.58万元。</w:t>
      </w:r>
      <w:bookmarkEnd w:id="89"/>
      <w:bookmarkEnd w:id="90"/>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91" w:name="_Toc5901"/>
      <w:bookmarkStart w:id="92" w:name="_Toc7077"/>
      <w:r>
        <w:rPr>
          <w:rFonts w:hint="eastAsia" w:ascii="仿宋_GB2312" w:eastAsia="仿宋_GB2312"/>
          <w:sz w:val="32"/>
          <w:szCs w:val="32"/>
        </w:rPr>
        <w:t>按支出功能分类主要用于以下方面:</w:t>
      </w:r>
      <w:bookmarkEnd w:id="91"/>
      <w:bookmarkEnd w:id="92"/>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93" w:name="_Toc25963"/>
      <w:bookmarkStart w:id="94" w:name="_Toc30633"/>
      <w:r>
        <w:rPr>
          <w:rFonts w:hint="eastAsia" w:ascii="仿宋_GB2312" w:eastAsia="仿宋_GB2312"/>
          <w:sz w:val="32"/>
          <w:szCs w:val="32"/>
        </w:rPr>
        <w:t>（一）</w:t>
      </w:r>
      <w:r>
        <w:rPr>
          <w:rFonts w:hint="eastAsia" w:ascii="仿宋_GB2312" w:eastAsia="仿宋_GB2312"/>
          <w:sz w:val="32"/>
          <w:szCs w:val="32"/>
          <w:lang w:val="en-US" w:eastAsia="zh-CN"/>
        </w:rPr>
        <w:t>一般公共服务310.93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bookmarkEnd w:id="93"/>
      <w:bookmarkEnd w:id="94"/>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95" w:name="_Toc26341"/>
      <w:bookmarkStart w:id="96" w:name="_Toc22017"/>
      <w:r>
        <w:rPr>
          <w:rFonts w:hint="eastAsia" w:ascii="仿宋_GB2312" w:eastAsia="仿宋_GB2312"/>
          <w:sz w:val="32"/>
          <w:szCs w:val="32"/>
        </w:rPr>
        <w:t>（二）社会保障和就业</w:t>
      </w:r>
      <w:r>
        <w:rPr>
          <w:rFonts w:hint="eastAsia" w:ascii="仿宋_GB2312" w:eastAsia="仿宋_GB2312"/>
          <w:sz w:val="32"/>
          <w:szCs w:val="32"/>
          <w:lang w:val="en-US" w:eastAsia="zh-CN"/>
        </w:rPr>
        <w:t>54.73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bookmarkEnd w:id="95"/>
      <w:bookmarkEnd w:id="96"/>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97" w:name="_Toc16136"/>
      <w:bookmarkStart w:id="98" w:name="_Toc32667"/>
      <w:r>
        <w:rPr>
          <w:rFonts w:hint="eastAsia" w:ascii="仿宋_GB2312" w:eastAsia="仿宋_GB2312"/>
          <w:sz w:val="32"/>
          <w:szCs w:val="32"/>
        </w:rPr>
        <w:t>（三）医疗卫生</w:t>
      </w:r>
      <w:r>
        <w:rPr>
          <w:rFonts w:hint="eastAsia" w:ascii="仿宋_GB2312" w:eastAsia="仿宋_GB2312"/>
          <w:sz w:val="32"/>
          <w:szCs w:val="32"/>
          <w:lang w:val="en-US" w:eastAsia="zh-CN"/>
        </w:rPr>
        <w:t>19.86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bookmarkEnd w:id="97"/>
      <w:bookmarkEnd w:id="98"/>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pacing w:val="0"/>
          <w:position w:val="0"/>
          <w:sz w:val="32"/>
          <w:shd w:val="clear" w:fill="auto"/>
          <w:lang w:val="en-US" w:eastAsia="zh-CN"/>
        </w:rPr>
      </w:pPr>
      <w:bookmarkStart w:id="99" w:name="_Toc30217"/>
      <w:bookmarkStart w:id="100" w:name="_Toc9573"/>
      <w:r>
        <w:rPr>
          <w:rFonts w:hint="eastAsia" w:ascii="仿宋_GB2312" w:eastAsia="仿宋_GB2312"/>
          <w:sz w:val="32"/>
          <w:szCs w:val="32"/>
        </w:rPr>
        <w:t>（四）住房保障支出</w:t>
      </w:r>
      <w:r>
        <w:rPr>
          <w:rFonts w:hint="eastAsia" w:ascii="仿宋_GB2312" w:eastAsia="仿宋_GB2312"/>
          <w:sz w:val="32"/>
          <w:szCs w:val="32"/>
          <w:lang w:val="en-US" w:eastAsia="zh-CN"/>
        </w:rPr>
        <w:t>29.6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bookmarkEnd w:id="99"/>
      <w:bookmarkEnd w:id="10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w:t>
      </w:r>
      <w:bookmarkStart w:id="101" w:name="_Toc20016"/>
      <w:bookmarkStart w:id="102" w:name="_Toc16377"/>
      <w:r>
        <w:rPr>
          <w:rFonts w:hint="eastAsia" w:ascii="黑体" w:hAnsi="黑体" w:eastAsia="黑体" w:cs="黑体"/>
          <w:color w:val="333333"/>
          <w:kern w:val="0"/>
          <w:sz w:val="32"/>
          <w:szCs w:val="32"/>
          <w:shd w:val="clear" w:color="auto" w:fill="FFFFFF"/>
          <w:lang w:val="en-US" w:eastAsia="zh-CN" w:bidi="ar"/>
        </w:rPr>
        <w:t>五、较上年度增减变化</w:t>
      </w:r>
      <w:bookmarkEnd w:id="101"/>
      <w:bookmarkEnd w:id="102"/>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103" w:name="_Toc19903"/>
      <w:bookmarkStart w:id="104" w:name="_Toc16261"/>
      <w:r>
        <w:rPr>
          <w:rFonts w:hint="eastAsia" w:ascii="仿宋_GB2312" w:eastAsia="仿宋_GB2312"/>
          <w:sz w:val="32"/>
          <w:szCs w:val="32"/>
          <w:lang w:val="en-US" w:eastAsia="zh-CN"/>
        </w:rPr>
        <w:t>本年度预算拨款收入415.12万元较上年度预算335.63万元增加了23.68%，其中基本行政运行经费预算401.72万元，占全部总预算的96.77%，较上年186.91万元增减了114.92%，原因为增加各项开支，增减基本支出；专项业务工作经费预算13.4万元，占总预算的3.23%，较上年预算</w:t>
      </w:r>
      <w:r>
        <w:rPr>
          <w:rFonts w:hint="eastAsia" w:ascii="仿宋_GB2312" w:hAnsi="仿宋_GB2312" w:eastAsia="仿宋_GB2312" w:cs="仿宋_GB2312"/>
          <w:color w:val="auto"/>
          <w:spacing w:val="0"/>
          <w:position w:val="0"/>
          <w:sz w:val="32"/>
          <w:shd w:val="clear" w:fill="auto"/>
          <w:lang w:val="en-US" w:eastAsia="zh-CN"/>
        </w:rPr>
        <w:t>14.4</w:t>
      </w:r>
      <w:r>
        <w:rPr>
          <w:rFonts w:hint="eastAsia" w:ascii="仿宋_GB2312" w:eastAsia="仿宋_GB2312"/>
          <w:sz w:val="32"/>
          <w:szCs w:val="32"/>
          <w:lang w:val="en-US" w:eastAsia="zh-CN"/>
        </w:rPr>
        <w:t>万元减少了6.94%，主要原因为缩减了项目经费开支，减少相关支出。</w:t>
      </w:r>
      <w:bookmarkEnd w:id="103"/>
      <w:bookmarkEnd w:id="104"/>
      <w:r>
        <w:rPr>
          <w:rFonts w:hint="eastAsia" w:ascii="仿宋_GB2312" w:eastAsia="仿宋_GB2312"/>
          <w:sz w:val="32"/>
          <w:szCs w:val="32"/>
          <w:lang w:val="en-US" w:eastAsia="zh-CN"/>
        </w:rPr>
        <w:t xml:space="preserve">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105" w:name="_Toc14805"/>
      <w:bookmarkStart w:id="106" w:name="_Toc30813"/>
      <w:r>
        <w:rPr>
          <w:rFonts w:hint="eastAsia" w:ascii="黑体" w:hAnsi="黑体" w:eastAsia="黑体" w:cs="黑体"/>
          <w:color w:val="333333"/>
          <w:kern w:val="0"/>
          <w:sz w:val="32"/>
          <w:szCs w:val="32"/>
          <w:shd w:val="clear" w:color="auto" w:fill="FFFFFF"/>
          <w:lang w:val="en-US" w:eastAsia="zh-CN" w:bidi="ar"/>
        </w:rPr>
        <w:t>六、“三公”经费预算</w:t>
      </w:r>
      <w:bookmarkEnd w:id="105"/>
      <w:bookmarkEnd w:id="106"/>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107" w:name="_Toc27560"/>
      <w:bookmarkStart w:id="108" w:name="_Toc30887"/>
      <w:r>
        <w:rPr>
          <w:rFonts w:hint="eastAsia" w:ascii="仿宋_GB2312" w:eastAsia="仿宋_GB2312"/>
          <w:sz w:val="32"/>
          <w:szCs w:val="32"/>
          <w:lang w:val="en-US" w:eastAsia="zh-CN"/>
        </w:rPr>
        <w:t>本年度三公经费预算安排支出为6.74万元，其中：出国费0万元，与上年持平，主要原因为未安排因公出国；公车购置费0元，与上年减少/持平/增加；公务用车维护费支出6.46万元，较上年度预算4.56万元较上年增减1.9万元，主要原因严格执行“八项规定、六项禁令”；二是将有关股室的工作有机地结合起来，减少不必要的资源浪费。/较上年度预算增加0万元，</w:t>
      </w:r>
      <w:r>
        <w:rPr>
          <w:rFonts w:ascii="仿宋_GB2312" w:hAnsi="仿宋_GB2312" w:eastAsia="仿宋_GB2312" w:cs="仿宋_GB2312"/>
          <w:color w:val="auto"/>
          <w:spacing w:val="0"/>
          <w:position w:val="0"/>
          <w:sz w:val="32"/>
          <w:shd w:val="clear" w:fill="auto"/>
        </w:rPr>
        <w:t>主要是安排的专项工作用车较多</w:t>
      </w:r>
      <w:r>
        <w:rPr>
          <w:rFonts w:hint="eastAsia" w:ascii="仿宋_GB2312" w:eastAsia="仿宋_GB2312"/>
          <w:sz w:val="32"/>
          <w:szCs w:val="32"/>
          <w:lang w:val="en-US" w:eastAsia="zh-CN"/>
        </w:rPr>
        <w:t>；公务接待费0.28万元，较上年度预算减少/持平/增0.52万元较上年减少0.24万元，</w:t>
      </w:r>
      <w:r>
        <w:rPr>
          <w:rFonts w:ascii="仿宋_GB2312" w:hAnsi="仿宋_GB2312" w:eastAsia="仿宋_GB2312" w:cs="仿宋_GB2312"/>
          <w:color w:val="auto"/>
          <w:spacing w:val="0"/>
          <w:position w:val="0"/>
          <w:sz w:val="32"/>
          <w:shd w:val="clear" w:fill="auto"/>
        </w:rPr>
        <w:t>主要原因为本年度我们将严格执行“八项规定、六项禁令”</w:t>
      </w:r>
      <w:r>
        <w:rPr>
          <w:rFonts w:hint="eastAsia" w:ascii="仿宋_GB2312" w:eastAsia="仿宋_GB2312"/>
          <w:sz w:val="32"/>
          <w:szCs w:val="32"/>
          <w:lang w:val="en-US" w:eastAsia="zh-CN"/>
        </w:rPr>
        <w:t>，本年度我们将严格执行“八项规定、六项禁令”，结合本年度工作需要，减少不必要的开支。</w:t>
      </w:r>
      <w:bookmarkEnd w:id="107"/>
      <w:bookmarkEnd w:id="108"/>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109" w:name="_Toc4313"/>
      <w:bookmarkStart w:id="110" w:name="_Toc17288"/>
      <w:r>
        <w:rPr>
          <w:rFonts w:hint="eastAsia" w:ascii="黑体" w:hAnsi="黑体" w:eastAsia="黑体" w:cs="黑体"/>
          <w:color w:val="333333"/>
          <w:kern w:val="0"/>
          <w:sz w:val="32"/>
          <w:szCs w:val="32"/>
          <w:shd w:val="clear" w:color="auto" w:fill="FFFFFF"/>
          <w:lang w:val="en-US" w:eastAsia="zh-CN" w:bidi="ar"/>
        </w:rPr>
        <w:t>七、政府性基金预算收支情况说明</w:t>
      </w:r>
      <w:bookmarkEnd w:id="109"/>
      <w:bookmarkEnd w:id="110"/>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111" w:name="_Toc23165"/>
      <w:bookmarkStart w:id="112" w:name="_Toc23317"/>
      <w:r>
        <w:rPr>
          <w:rFonts w:hint="eastAsia" w:ascii="仿宋_GB2312" w:eastAsia="仿宋_GB2312"/>
          <w:sz w:val="32"/>
          <w:szCs w:val="32"/>
          <w:lang w:val="en-US" w:eastAsia="zh-CN"/>
        </w:rPr>
        <w:t>2024年没有使用政府性基金预算拨款安排的支出。</w:t>
      </w:r>
      <w:bookmarkEnd w:id="111"/>
      <w:bookmarkEnd w:id="112"/>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113" w:name="_Toc22109"/>
      <w:bookmarkStart w:id="114" w:name="_Toc22928"/>
      <w:r>
        <w:rPr>
          <w:rFonts w:hint="eastAsia" w:ascii="黑体" w:hAnsi="黑体" w:eastAsia="黑体" w:cs="黑体"/>
          <w:color w:val="333333"/>
          <w:kern w:val="0"/>
          <w:sz w:val="32"/>
          <w:szCs w:val="32"/>
          <w:shd w:val="clear" w:color="auto" w:fill="FFFFFF"/>
          <w:lang w:val="en-US" w:eastAsia="zh-CN" w:bidi="ar"/>
        </w:rPr>
        <w:t>八、国有资本经营预算收支情况说明</w:t>
      </w:r>
      <w:bookmarkEnd w:id="113"/>
      <w:bookmarkEnd w:id="114"/>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115" w:name="_Toc2821"/>
      <w:bookmarkStart w:id="116" w:name="_Toc17835"/>
      <w:r>
        <w:rPr>
          <w:rFonts w:hint="eastAsia" w:ascii="仿宋_GB2312" w:eastAsia="仿宋_GB2312"/>
          <w:sz w:val="32"/>
          <w:szCs w:val="32"/>
          <w:lang w:val="en-US" w:eastAsia="zh-CN"/>
        </w:rPr>
        <w:t>2024年没有使用国有资本经营预算拨款安排的支出。</w:t>
      </w:r>
      <w:bookmarkEnd w:id="115"/>
      <w:bookmarkEnd w:id="116"/>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117" w:name="_Toc7203"/>
      <w:bookmarkStart w:id="118" w:name="_Toc26084"/>
      <w:r>
        <w:rPr>
          <w:rFonts w:hint="eastAsia" w:ascii="黑体" w:hAnsi="黑体" w:eastAsia="黑体" w:cs="黑体"/>
          <w:color w:val="333333"/>
          <w:kern w:val="0"/>
          <w:sz w:val="32"/>
          <w:szCs w:val="32"/>
          <w:shd w:val="clear" w:color="auto" w:fill="FFFFFF"/>
          <w:lang w:val="en-US" w:eastAsia="zh-CN" w:bidi="ar"/>
        </w:rPr>
        <w:t>九、其他重要事项的情况说明</w:t>
      </w:r>
      <w:bookmarkEnd w:id="117"/>
      <w:bookmarkEnd w:id="118"/>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119" w:name="_Toc9147"/>
      <w:bookmarkStart w:id="120" w:name="_Toc17933"/>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119"/>
      <w:bookmarkEnd w:id="120"/>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121" w:name="_Toc17291"/>
      <w:bookmarkStart w:id="122" w:name="_Toc22466"/>
      <w:r>
        <w:rPr>
          <w:rFonts w:hint="eastAsia" w:ascii="仿宋_GB2312" w:eastAsia="仿宋_GB2312"/>
          <w:sz w:val="32"/>
          <w:szCs w:val="32"/>
          <w:lang w:val="en-US" w:eastAsia="zh-CN"/>
        </w:rPr>
        <w:t>2024年度安排政府采购预算0万元。</w:t>
      </w:r>
      <w:bookmarkEnd w:id="121"/>
      <w:bookmarkEnd w:id="122"/>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123" w:name="_Toc18950"/>
      <w:bookmarkStart w:id="124" w:name="_Toc28164"/>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123"/>
      <w:bookmarkEnd w:id="124"/>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125" w:name="_Toc10176"/>
      <w:bookmarkStart w:id="126" w:name="_Toc25420"/>
      <w:r>
        <w:rPr>
          <w:rFonts w:hint="eastAsia" w:ascii="仿宋_GB2312" w:eastAsia="仿宋_GB2312"/>
          <w:sz w:val="32"/>
          <w:szCs w:val="32"/>
          <w:lang w:val="en-US" w:eastAsia="zh-CN"/>
        </w:rPr>
        <w:t>截止2023年底，实际共有固定资产原值价值22</w:t>
      </w:r>
      <w:r>
        <w:rPr>
          <w:rFonts w:hint="eastAsia" w:ascii="仿宋_GB2312" w:eastAsia="仿宋_GB2312"/>
          <w:sz w:val="32"/>
          <w:szCs w:val="32"/>
          <w:lang w:eastAsia="zh-CN"/>
        </w:rPr>
        <w:t>万元：其中：通用设备</w:t>
      </w:r>
      <w:r>
        <w:rPr>
          <w:rFonts w:hint="eastAsia" w:ascii="仿宋_GB2312" w:eastAsia="仿宋_GB2312"/>
          <w:sz w:val="32"/>
          <w:szCs w:val="32"/>
          <w:lang w:val="en-US" w:eastAsia="zh-CN"/>
        </w:rPr>
        <w:t>16.06</w:t>
      </w:r>
      <w:r>
        <w:rPr>
          <w:rFonts w:hint="eastAsia" w:ascii="仿宋_GB2312" w:eastAsia="仿宋_GB2312"/>
          <w:sz w:val="32"/>
          <w:szCs w:val="32"/>
          <w:lang w:eastAsia="zh-CN"/>
        </w:rPr>
        <w:t>万元，家具、用具、装具及动植物</w:t>
      </w:r>
      <w:r>
        <w:rPr>
          <w:rFonts w:hint="eastAsia" w:ascii="仿宋_GB2312" w:eastAsia="仿宋_GB2312"/>
          <w:sz w:val="32"/>
          <w:szCs w:val="32"/>
          <w:lang w:val="en-US" w:eastAsia="zh-CN"/>
        </w:rPr>
        <w:t>5.94万元。</w:t>
      </w:r>
      <w:bookmarkEnd w:id="125"/>
      <w:bookmarkEnd w:id="126"/>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127" w:name="_Toc4670"/>
      <w:bookmarkStart w:id="128" w:name="_Toc19644"/>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127"/>
      <w:bookmarkEnd w:id="12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bookmarkStart w:id="129" w:name="_Toc560"/>
      <w:bookmarkStart w:id="130" w:name="_Toc8260"/>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w:t>
      </w:r>
      <w:bookmarkEnd w:id="129"/>
      <w:bookmarkEnd w:id="130"/>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w:t>
      </w:r>
      <w:bookmarkStart w:id="131" w:name="_Toc13510"/>
      <w:bookmarkStart w:id="132" w:name="_Toc29453"/>
      <w:r>
        <w:rPr>
          <w:rFonts w:hint="eastAsia" w:ascii="黑体" w:hAnsi="黑体" w:eastAsia="黑体" w:cs="黑体"/>
          <w:color w:val="333333"/>
          <w:kern w:val="0"/>
          <w:sz w:val="32"/>
          <w:szCs w:val="32"/>
          <w:shd w:val="clear" w:color="auto" w:fill="FFFFFF"/>
          <w:lang w:val="en-US" w:eastAsia="zh-CN" w:bidi="ar"/>
        </w:rPr>
        <w:t xml:space="preserve">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bookmarkEnd w:id="131"/>
      <w:bookmarkEnd w:id="132"/>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133" w:name="_Toc9141"/>
      <w:bookmarkStart w:id="134" w:name="_Toc23489"/>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End w:id="133"/>
      <w:bookmarkEnd w:id="134"/>
      <w:r>
        <w:rPr>
          <w:rFonts w:hint="eastAsia" w:ascii="仿宋_GB2312" w:eastAsia="仿宋_GB2312"/>
          <w:sz w:val="32"/>
          <w:szCs w:val="32"/>
          <w:lang w:val="en-US" w:eastAsia="zh-CN"/>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D6E1ED-CBDF-421F-9883-04F0BBE3A4F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7E3D97D-B010-4C91-925D-75DB8580EF66}"/>
  </w:font>
  <w:font w:name="仿宋_GB2312">
    <w:panose1 w:val="02010609030101010101"/>
    <w:charset w:val="86"/>
    <w:family w:val="modern"/>
    <w:pitch w:val="default"/>
    <w:sig w:usb0="00000001" w:usb1="080E0000" w:usb2="00000000" w:usb3="00000000" w:csb0="00040000" w:csb1="00000000"/>
    <w:embedRegular r:id="rId3" w:fontKey="{451BC77F-44D7-4FED-8475-B19253CA7DDF}"/>
  </w:font>
  <w:font w:name="方正小标宋简体">
    <w:panose1 w:val="03000509000000000000"/>
    <w:charset w:val="86"/>
    <w:family w:val="auto"/>
    <w:pitch w:val="default"/>
    <w:sig w:usb0="00000001" w:usb1="080E0000" w:usb2="00000000" w:usb3="00000000" w:csb0="00040000" w:csb1="00000000"/>
    <w:embedRegular r:id="rId4" w:fontKey="{EA42165B-5922-4BD7-977E-2E44A059B6BF}"/>
  </w:font>
  <w:font w:name="仿宋">
    <w:panose1 w:val="02010609060101010101"/>
    <w:charset w:val="86"/>
    <w:family w:val="auto"/>
    <w:pitch w:val="default"/>
    <w:sig w:usb0="800002BF" w:usb1="38CF7CFA" w:usb2="00000016" w:usb3="00000000" w:csb0="00040001" w:csb1="00000000"/>
    <w:embedRegular r:id="rId5" w:fontKey="{094EAA4C-6CA8-44DD-89A0-E08CEB5AE1FC}"/>
  </w:font>
  <w:font w:name="楷体_GB2312">
    <w:panose1 w:val="02010609030101010101"/>
    <w:charset w:val="86"/>
    <w:family w:val="auto"/>
    <w:pitch w:val="default"/>
    <w:sig w:usb0="00000001" w:usb1="080E0000" w:usb2="00000000" w:usb3="00000000" w:csb0="00040000" w:csb1="00000000"/>
    <w:embedRegular r:id="rId6" w:fontKey="{40437D04-A11A-425A-BDE2-C07B8ABA92FF}"/>
  </w:font>
  <w:font w:name="微软雅黑">
    <w:panose1 w:val="020B0503020204020204"/>
    <w:charset w:val="86"/>
    <w:family w:val="auto"/>
    <w:pitch w:val="default"/>
    <w:sig w:usb0="80000287" w:usb1="280F3C52" w:usb2="00000016" w:usb3="00000000" w:csb0="0004001F" w:csb1="00000000"/>
    <w:embedRegular r:id="rId7" w:fontKey="{8DE466C4-03AF-4FC2-B08D-B432C297807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ODUxZWIzMGIwNGFmYzdhODgzMTU0MzE1MDE2NjIifQ=="/>
  </w:docVars>
  <w:rsids>
    <w:rsidRoot w:val="00172A27"/>
    <w:rsid w:val="011D5503"/>
    <w:rsid w:val="01342F8B"/>
    <w:rsid w:val="01D76A2E"/>
    <w:rsid w:val="021A1DF9"/>
    <w:rsid w:val="041E2D7D"/>
    <w:rsid w:val="06632AB0"/>
    <w:rsid w:val="06895A9A"/>
    <w:rsid w:val="0732093F"/>
    <w:rsid w:val="08FC7724"/>
    <w:rsid w:val="099063BD"/>
    <w:rsid w:val="0AD87F66"/>
    <w:rsid w:val="0B112BB9"/>
    <w:rsid w:val="0D1627E2"/>
    <w:rsid w:val="0FEF7509"/>
    <w:rsid w:val="10B92046"/>
    <w:rsid w:val="112A102E"/>
    <w:rsid w:val="115359BA"/>
    <w:rsid w:val="12AC7E51"/>
    <w:rsid w:val="133E3CAE"/>
    <w:rsid w:val="148A3534"/>
    <w:rsid w:val="14B576AB"/>
    <w:rsid w:val="15D16A44"/>
    <w:rsid w:val="162D2B44"/>
    <w:rsid w:val="16E42190"/>
    <w:rsid w:val="16EA5669"/>
    <w:rsid w:val="174C3F41"/>
    <w:rsid w:val="179E353F"/>
    <w:rsid w:val="17EF280E"/>
    <w:rsid w:val="18870CA9"/>
    <w:rsid w:val="19AF7825"/>
    <w:rsid w:val="1BB26885"/>
    <w:rsid w:val="1D6B43AB"/>
    <w:rsid w:val="1E3C4283"/>
    <w:rsid w:val="1E9633A0"/>
    <w:rsid w:val="1F126007"/>
    <w:rsid w:val="22D32F03"/>
    <w:rsid w:val="23601570"/>
    <w:rsid w:val="27421475"/>
    <w:rsid w:val="293F0359"/>
    <w:rsid w:val="2AE143F4"/>
    <w:rsid w:val="2B317C0A"/>
    <w:rsid w:val="2C0E487F"/>
    <w:rsid w:val="2C4512FF"/>
    <w:rsid w:val="2D241839"/>
    <w:rsid w:val="2F087354"/>
    <w:rsid w:val="31FB1843"/>
    <w:rsid w:val="34E73E2D"/>
    <w:rsid w:val="3566298D"/>
    <w:rsid w:val="35AE1B08"/>
    <w:rsid w:val="36594F2F"/>
    <w:rsid w:val="36B531BA"/>
    <w:rsid w:val="36D60061"/>
    <w:rsid w:val="39031AEA"/>
    <w:rsid w:val="390B7A43"/>
    <w:rsid w:val="3A674062"/>
    <w:rsid w:val="3A751F6D"/>
    <w:rsid w:val="3AF47336"/>
    <w:rsid w:val="3BB14FA2"/>
    <w:rsid w:val="3C0A6B46"/>
    <w:rsid w:val="3C7A1435"/>
    <w:rsid w:val="3CAD258A"/>
    <w:rsid w:val="3CF17972"/>
    <w:rsid w:val="3E951153"/>
    <w:rsid w:val="3EF9183B"/>
    <w:rsid w:val="3F7726E9"/>
    <w:rsid w:val="3FA15186"/>
    <w:rsid w:val="404305C3"/>
    <w:rsid w:val="40F13726"/>
    <w:rsid w:val="41C14C68"/>
    <w:rsid w:val="441F662D"/>
    <w:rsid w:val="442D7D7A"/>
    <w:rsid w:val="46751AB6"/>
    <w:rsid w:val="467D3C94"/>
    <w:rsid w:val="46ED5D81"/>
    <w:rsid w:val="495C7913"/>
    <w:rsid w:val="49934BEA"/>
    <w:rsid w:val="4A2B1E3B"/>
    <w:rsid w:val="4F13753B"/>
    <w:rsid w:val="4F511869"/>
    <w:rsid w:val="50FA2106"/>
    <w:rsid w:val="51601A98"/>
    <w:rsid w:val="5257222D"/>
    <w:rsid w:val="5309406A"/>
    <w:rsid w:val="54B90F7D"/>
    <w:rsid w:val="555E53B0"/>
    <w:rsid w:val="564F1075"/>
    <w:rsid w:val="5674446F"/>
    <w:rsid w:val="56F015BA"/>
    <w:rsid w:val="583A6DD4"/>
    <w:rsid w:val="5928629F"/>
    <w:rsid w:val="5A2D1B44"/>
    <w:rsid w:val="5DF331C1"/>
    <w:rsid w:val="5FDC69A0"/>
    <w:rsid w:val="60D5150D"/>
    <w:rsid w:val="60EA3BB6"/>
    <w:rsid w:val="623F130D"/>
    <w:rsid w:val="626B5128"/>
    <w:rsid w:val="634D74DE"/>
    <w:rsid w:val="636966A0"/>
    <w:rsid w:val="63822E81"/>
    <w:rsid w:val="63A04715"/>
    <w:rsid w:val="641F6497"/>
    <w:rsid w:val="647C553B"/>
    <w:rsid w:val="64FF4B43"/>
    <w:rsid w:val="66A6417B"/>
    <w:rsid w:val="670175BB"/>
    <w:rsid w:val="67112510"/>
    <w:rsid w:val="6876062A"/>
    <w:rsid w:val="68CE2649"/>
    <w:rsid w:val="6ACA62A3"/>
    <w:rsid w:val="6B125EF8"/>
    <w:rsid w:val="6B1F0615"/>
    <w:rsid w:val="6C210B76"/>
    <w:rsid w:val="6C404F62"/>
    <w:rsid w:val="6CD94AB3"/>
    <w:rsid w:val="6D761D6D"/>
    <w:rsid w:val="6E624B8E"/>
    <w:rsid w:val="6EAF12CE"/>
    <w:rsid w:val="6FBF4B32"/>
    <w:rsid w:val="70F00356"/>
    <w:rsid w:val="70F162D4"/>
    <w:rsid w:val="715252A1"/>
    <w:rsid w:val="72057ADC"/>
    <w:rsid w:val="73651CC1"/>
    <w:rsid w:val="73EB2393"/>
    <w:rsid w:val="74EB73D3"/>
    <w:rsid w:val="7739090A"/>
    <w:rsid w:val="778B1293"/>
    <w:rsid w:val="77D71A19"/>
    <w:rsid w:val="78530440"/>
    <w:rsid w:val="79FC73F5"/>
    <w:rsid w:val="7B2B63FA"/>
    <w:rsid w:val="7B312348"/>
    <w:rsid w:val="7BB60A4E"/>
    <w:rsid w:val="7D9E186E"/>
    <w:rsid w:val="7EED4B3C"/>
    <w:rsid w:val="7F1B7FBA"/>
    <w:rsid w:val="7F250A52"/>
    <w:rsid w:val="7FB74DC6"/>
    <w:rsid w:val="7FC524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rPr>
      <w:rFonts w:ascii="Times New Roman" w:hAnsi="Times New Roman" w:eastAsia="宋体" w:cs="Times New Roman"/>
    </w:rPr>
  </w:style>
  <w:style w:type="paragraph" w:styleId="3">
    <w:name w:val="Body Text Indent"/>
    <w:basedOn w:val="1"/>
    <w:next w:val="2"/>
    <w:autoRedefine/>
    <w:qFormat/>
    <w:uiPriority w:val="0"/>
    <w:pPr>
      <w:widowControl/>
      <w:spacing w:line="540" w:lineRule="exact"/>
      <w:ind w:firstLine="200" w:firstLineChars="200"/>
      <w:textAlignment w:val="baseline"/>
    </w:pPr>
    <w:rPr>
      <w:rFonts w:ascii="Times New Roman" w:hAnsi="Times New Roman" w:eastAsia="仿宋_GB2312" w:cs="Times New Roman"/>
      <w:color w:val="000000"/>
      <w:kern w:val="0"/>
      <w:sz w:val="32"/>
      <w:szCs w:val="32"/>
    </w:rPr>
  </w:style>
  <w:style w:type="paragraph" w:styleId="4">
    <w:name w:val="Body Text"/>
    <w:basedOn w:val="1"/>
    <w:autoRedefine/>
    <w:qFormat/>
    <w:uiPriority w:val="0"/>
    <w:pPr>
      <w:spacing w:before="93" w:beforeLines="30"/>
    </w:pPr>
    <w:rPr>
      <w:rFonts w:ascii="仿宋_GB2312" w:eastAsia="仿宋_GB2312"/>
      <w:sz w:val="3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able of figures"/>
    <w:basedOn w:val="1"/>
    <w:next w:val="1"/>
    <w:autoRedefine/>
    <w:uiPriority w:val="0"/>
    <w:pPr>
      <w:ind w:leftChars="200" w:hanging="200" w:hangingChars="200"/>
    </w:pPr>
  </w:style>
  <w:style w:type="paragraph" w:styleId="7">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10">
    <w:name w:val="page number"/>
    <w:basedOn w:val="9"/>
    <w:qFormat/>
    <w:uiPriority w:val="0"/>
  </w:style>
  <w:style w:type="character" w:styleId="11">
    <w:name w:val="line number"/>
    <w:basedOn w:val="9"/>
    <w:autoRedefine/>
    <w:qFormat/>
    <w:uiPriority w:val="0"/>
    <w:rPr>
      <w:rFonts w:hint="default"/>
      <w:sz w:val="22"/>
    </w:rPr>
  </w:style>
  <w:style w:type="character" w:styleId="12">
    <w:name w:val="Hyperlink"/>
    <w:autoRedefine/>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3423</Words>
  <Characters>3626</Characters>
  <Lines>0</Lines>
  <Paragraphs>0</Paragraphs>
  <TotalTime>8</TotalTime>
  <ScaleCrop>false</ScaleCrop>
  <LinksUpToDate>false</LinksUpToDate>
  <CharactersWithSpaces>3672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2024-04-18T02:06:31Z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499B579CD6AF4520BD77514B1BAE8586</vt:lpwstr>
  </property>
</Properties>
</file>