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right="0" w:rightChars="0" w:firstLine="880" w:firstLineChars="200"/>
        <w:jc w:val="center"/>
        <w:textAlignment w:val="auto"/>
        <w:rPr>
          <w:rFonts w:hint="eastAsia" w:ascii="方正小标宋简体" w:hAnsi="方正小标宋简体" w:eastAsia="方正小标宋简体" w:cs="方正小标宋简体"/>
          <w:b w:val="0"/>
          <w:bCs/>
          <w:color w:val="auto"/>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880" w:firstLineChars="200"/>
        <w:jc w:val="center"/>
        <w:textAlignment w:val="auto"/>
        <w:rPr>
          <w:rFonts w:hint="eastAsia" w:ascii="方正小标宋简体" w:hAnsi="方正小标宋简体" w:eastAsia="方正小标宋简体" w:cs="方正小标宋简体"/>
          <w:b w:val="0"/>
          <w:bCs/>
          <w:color w:val="auto"/>
          <w:sz w:val="44"/>
          <w:szCs w:val="44"/>
        </w:rPr>
      </w:pPr>
    </w:p>
    <w:sdt>
      <w:sdtPr>
        <w:rPr>
          <w:rFonts w:ascii="宋体" w:hAnsi="宋体" w:eastAsia="宋体" w:cstheme="minorBidi"/>
          <w:kern w:val="2"/>
          <w:sz w:val="32"/>
          <w:szCs w:val="40"/>
          <w:lang w:val="en-US" w:eastAsia="zh-CN" w:bidi="ar-SA"/>
        </w:rPr>
        <w:id w:val="147454060"/>
        <w15:color w:val="DBDBDB"/>
        <w:docPartObj>
          <w:docPartGallery w:val="Table of Contents"/>
          <w:docPartUnique/>
        </w:docPartObj>
      </w:sdtPr>
      <w:sdtEndPr>
        <w:rPr>
          <w:rFonts w:hint="eastAsia" w:ascii="仿宋_GB2312" w:eastAsia="仿宋_GB2312" w:hAnsiTheme="minorHAnsi" w:cstheme="minorBidi"/>
          <w:b/>
          <w:color w:val="auto"/>
          <w:kern w:val="2"/>
          <w:sz w:val="30"/>
          <w:szCs w:val="32"/>
          <w:lang w:val="en-US" w:eastAsia="zh-CN" w:bidi="ar-SA"/>
        </w:rPr>
      </w:sdtEndPr>
      <w:sdtContent>
        <w:p>
          <w:pPr>
            <w:spacing w:before="0" w:beforeLines="0" w:after="0" w:afterLines="0" w:line="240" w:lineRule="auto"/>
            <w:ind w:left="0" w:leftChars="0" w:right="0" w:rightChars="0" w:firstLine="0" w:firstLineChars="0"/>
            <w:jc w:val="center"/>
            <w:rPr>
              <w:sz w:val="44"/>
              <w:szCs w:val="52"/>
            </w:rPr>
          </w:pPr>
          <w:r>
            <w:rPr>
              <w:rFonts w:ascii="宋体" w:hAnsi="宋体" w:eastAsia="宋体"/>
              <w:sz w:val="44"/>
              <w:szCs w:val="52"/>
            </w:rPr>
            <w:t>目录</w:t>
          </w:r>
        </w:p>
        <w:p>
          <w:pPr>
            <w:pStyle w:val="10"/>
            <w:tabs>
              <w:tab w:val="right" w:leader="dot" w:pos="8844"/>
            </w:tabs>
            <w:rPr>
              <w:sz w:val="28"/>
              <w:szCs w:val="36"/>
            </w:rPr>
          </w:pPr>
          <w:r>
            <w:rPr>
              <w:rFonts w:hint="eastAsia"/>
              <w:color w:val="auto"/>
              <w:sz w:val="44"/>
              <w:szCs w:val="44"/>
            </w:rPr>
            <w:fldChar w:fldCharType="begin"/>
          </w:r>
          <w:r>
            <w:rPr>
              <w:rFonts w:hint="eastAsia"/>
              <w:color w:val="auto"/>
              <w:sz w:val="44"/>
              <w:szCs w:val="44"/>
            </w:rPr>
            <w:instrText xml:space="preserve">TOC \o "1-2" \h \u </w:instrText>
          </w:r>
          <w:r>
            <w:rPr>
              <w:rFonts w:hint="eastAsia"/>
              <w:color w:val="auto"/>
              <w:sz w:val="44"/>
              <w:szCs w:val="44"/>
            </w:rPr>
            <w:fldChar w:fldCharType="separate"/>
          </w:r>
          <w:r>
            <w:rPr>
              <w:rFonts w:hint="eastAsia"/>
              <w:color w:val="auto"/>
              <w:sz w:val="28"/>
              <w:szCs w:val="44"/>
            </w:rPr>
            <w:fldChar w:fldCharType="begin"/>
          </w:r>
          <w:r>
            <w:rPr>
              <w:rFonts w:hint="eastAsia"/>
              <w:sz w:val="28"/>
              <w:szCs w:val="44"/>
            </w:rPr>
            <w:instrText xml:space="preserve"> HYPERLINK \l _Toc9342 </w:instrText>
          </w:r>
          <w:r>
            <w:rPr>
              <w:rFonts w:hint="eastAsia"/>
              <w:sz w:val="28"/>
              <w:szCs w:val="44"/>
            </w:rPr>
            <w:fldChar w:fldCharType="separate"/>
          </w:r>
          <w:r>
            <w:rPr>
              <w:rFonts w:hint="eastAsia" w:ascii="方正小标宋简体" w:hAnsi="方正小标宋简体" w:eastAsia="方正小标宋简体" w:cs="方正小标宋简体"/>
              <w:bCs/>
              <w:sz w:val="28"/>
              <w:szCs w:val="56"/>
              <w:lang w:eastAsia="zh-CN"/>
            </w:rPr>
            <w:t>红原县自然资源局</w:t>
          </w:r>
          <w:r>
            <w:rPr>
              <w:rFonts w:hint="eastAsia"/>
              <w:color w:val="auto"/>
              <w:sz w:val="28"/>
              <w:szCs w:val="44"/>
            </w:rPr>
            <w:fldChar w:fldCharType="end"/>
          </w:r>
          <w:r>
            <w:rPr>
              <w:rFonts w:hint="eastAsia"/>
              <w:color w:val="auto"/>
              <w:sz w:val="28"/>
              <w:szCs w:val="44"/>
            </w:rPr>
            <w:fldChar w:fldCharType="begin"/>
          </w:r>
          <w:r>
            <w:rPr>
              <w:rFonts w:hint="eastAsia"/>
              <w:sz w:val="28"/>
              <w:szCs w:val="44"/>
            </w:rPr>
            <w:instrText xml:space="preserve"> HYPERLINK \l _Toc1911 </w:instrText>
          </w:r>
          <w:r>
            <w:rPr>
              <w:rFonts w:hint="eastAsia"/>
              <w:sz w:val="28"/>
              <w:szCs w:val="44"/>
            </w:rPr>
            <w:fldChar w:fldCharType="separate"/>
          </w:r>
          <w:r>
            <w:rPr>
              <w:rFonts w:hint="eastAsia" w:ascii="方正小标宋简体" w:hAnsi="方正小标宋简体" w:eastAsia="方正小标宋简体" w:cs="方正小标宋简体"/>
              <w:bCs/>
              <w:sz w:val="28"/>
              <w:szCs w:val="56"/>
              <w:lang w:eastAsia="zh-CN"/>
            </w:rPr>
            <w:t>202</w:t>
          </w:r>
          <w:r>
            <w:rPr>
              <w:rFonts w:hint="eastAsia" w:ascii="方正小标宋简体" w:hAnsi="方正小标宋简体" w:eastAsia="方正小标宋简体" w:cs="方正小标宋简体"/>
              <w:bCs/>
              <w:sz w:val="28"/>
              <w:szCs w:val="56"/>
              <w:lang w:val="en-US" w:eastAsia="zh-CN"/>
            </w:rPr>
            <w:t>4</w:t>
          </w:r>
          <w:r>
            <w:rPr>
              <w:rFonts w:hint="eastAsia" w:ascii="方正小标宋简体" w:hAnsi="方正小标宋简体" w:eastAsia="方正小标宋简体" w:cs="方正小标宋简体"/>
              <w:bCs/>
              <w:sz w:val="28"/>
              <w:szCs w:val="56"/>
            </w:rPr>
            <w:t>年部门预算编制的说明</w:t>
          </w:r>
          <w:r>
            <w:rPr>
              <w:sz w:val="28"/>
              <w:szCs w:val="36"/>
            </w:rPr>
            <w:tab/>
          </w:r>
          <w:r>
            <w:rPr>
              <w:sz w:val="28"/>
              <w:szCs w:val="36"/>
            </w:rPr>
            <w:fldChar w:fldCharType="begin"/>
          </w:r>
          <w:r>
            <w:rPr>
              <w:sz w:val="28"/>
              <w:szCs w:val="36"/>
            </w:rPr>
            <w:instrText xml:space="preserve"> PAGEREF _Toc1911 </w:instrText>
          </w:r>
          <w:r>
            <w:rPr>
              <w:sz w:val="28"/>
              <w:szCs w:val="36"/>
            </w:rPr>
            <w:fldChar w:fldCharType="separate"/>
          </w:r>
          <w:r>
            <w:rPr>
              <w:sz w:val="28"/>
              <w:szCs w:val="36"/>
            </w:rPr>
            <w:t>1</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_Toc12974 </w:instrText>
          </w:r>
          <w:r>
            <w:rPr>
              <w:rFonts w:hint="eastAsia"/>
              <w:sz w:val="28"/>
              <w:szCs w:val="44"/>
            </w:rPr>
            <w:fldChar w:fldCharType="separate"/>
          </w:r>
          <w:r>
            <w:rPr>
              <w:rFonts w:hint="eastAsia" w:ascii="黑体" w:eastAsia="黑体"/>
              <w:sz w:val="28"/>
              <w:szCs w:val="44"/>
            </w:rPr>
            <w:t>一、基本职能及主要工作</w:t>
          </w:r>
          <w:r>
            <w:rPr>
              <w:sz w:val="28"/>
              <w:szCs w:val="36"/>
            </w:rPr>
            <w:tab/>
          </w:r>
          <w:r>
            <w:rPr>
              <w:sz w:val="28"/>
              <w:szCs w:val="36"/>
            </w:rPr>
            <w:fldChar w:fldCharType="begin"/>
          </w:r>
          <w:r>
            <w:rPr>
              <w:sz w:val="28"/>
              <w:szCs w:val="36"/>
            </w:rPr>
            <w:instrText xml:space="preserve"> PAGEREF _Toc12974 </w:instrText>
          </w:r>
          <w:r>
            <w:rPr>
              <w:sz w:val="28"/>
              <w:szCs w:val="36"/>
            </w:rPr>
            <w:fldChar w:fldCharType="separate"/>
          </w:r>
          <w:r>
            <w:rPr>
              <w:sz w:val="28"/>
              <w:szCs w:val="36"/>
            </w:rPr>
            <w:t>1</w:t>
          </w:r>
          <w:r>
            <w:rPr>
              <w:sz w:val="28"/>
              <w:szCs w:val="36"/>
            </w:rPr>
            <w:fldChar w:fldCharType="end"/>
          </w:r>
          <w:r>
            <w:rPr>
              <w:rFonts w:hint="eastAsia"/>
              <w:color w:val="auto"/>
              <w:sz w:val="28"/>
              <w:szCs w:val="44"/>
            </w:rPr>
            <w:fldChar w:fldCharType="end"/>
          </w:r>
        </w:p>
        <w:p>
          <w:pPr>
            <w:pStyle w:val="11"/>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_Toc31571 </w:instrText>
          </w:r>
          <w:r>
            <w:rPr>
              <w:rFonts w:hint="eastAsia"/>
              <w:sz w:val="28"/>
              <w:szCs w:val="44"/>
            </w:rPr>
            <w:fldChar w:fldCharType="separate"/>
          </w:r>
          <w:r>
            <w:rPr>
              <w:rFonts w:hint="eastAsia" w:ascii="楷体_GB2312" w:hAnsi="楷体_GB2312" w:eastAsia="楷体_GB2312" w:cs="楷体_GB2312"/>
              <w:bCs w:val="0"/>
              <w:sz w:val="28"/>
              <w:szCs w:val="44"/>
              <w:lang w:eastAsia="zh-CN"/>
            </w:rPr>
            <w:t>（一）基本职能</w:t>
          </w:r>
          <w:r>
            <w:rPr>
              <w:sz w:val="28"/>
              <w:szCs w:val="36"/>
            </w:rPr>
            <w:tab/>
          </w:r>
          <w:r>
            <w:rPr>
              <w:sz w:val="28"/>
              <w:szCs w:val="36"/>
            </w:rPr>
            <w:fldChar w:fldCharType="begin"/>
          </w:r>
          <w:r>
            <w:rPr>
              <w:sz w:val="28"/>
              <w:szCs w:val="36"/>
            </w:rPr>
            <w:instrText xml:space="preserve"> PAGEREF _Toc31571 </w:instrText>
          </w:r>
          <w:r>
            <w:rPr>
              <w:sz w:val="28"/>
              <w:szCs w:val="36"/>
            </w:rPr>
            <w:fldChar w:fldCharType="separate"/>
          </w:r>
          <w:r>
            <w:rPr>
              <w:sz w:val="28"/>
              <w:szCs w:val="36"/>
            </w:rPr>
            <w:t>1</w:t>
          </w:r>
          <w:r>
            <w:rPr>
              <w:sz w:val="28"/>
              <w:szCs w:val="36"/>
            </w:rPr>
            <w:fldChar w:fldCharType="end"/>
          </w:r>
          <w:r>
            <w:rPr>
              <w:rFonts w:hint="eastAsia"/>
              <w:color w:val="auto"/>
              <w:sz w:val="28"/>
              <w:szCs w:val="44"/>
            </w:rPr>
            <w:fldChar w:fldCharType="end"/>
          </w:r>
        </w:p>
        <w:p>
          <w:pPr>
            <w:pStyle w:val="11"/>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_Toc11894 </w:instrText>
          </w:r>
          <w:r>
            <w:rPr>
              <w:rFonts w:hint="eastAsia"/>
              <w:sz w:val="28"/>
              <w:szCs w:val="44"/>
            </w:rPr>
            <w:fldChar w:fldCharType="separate"/>
          </w:r>
          <w:r>
            <w:rPr>
              <w:rFonts w:hint="eastAsia" w:ascii="楷体_GB2312" w:hAnsi="楷体_GB2312" w:eastAsia="楷体_GB2312" w:cs="楷体_GB2312"/>
              <w:bCs w:val="0"/>
              <w:sz w:val="28"/>
              <w:szCs w:val="44"/>
              <w:lang w:eastAsia="zh-CN"/>
            </w:rPr>
            <w:t>（二）</w:t>
          </w:r>
          <w:r>
            <w:rPr>
              <w:rFonts w:hint="eastAsia" w:ascii="Times New Roman" w:hAnsi="Times New Roman" w:eastAsia="黑体" w:cs="Times New Roman"/>
              <w:bCs w:val="0"/>
              <w:sz w:val="28"/>
              <w:szCs w:val="44"/>
              <w:lang w:val="en-US" w:eastAsia="zh-CN"/>
            </w:rPr>
            <w:t>2023年</w:t>
          </w:r>
          <w:r>
            <w:rPr>
              <w:rFonts w:hint="default" w:ascii="Times New Roman" w:hAnsi="Times New Roman" w:eastAsia="黑体" w:cs="Times New Roman"/>
              <w:bCs w:val="0"/>
              <w:sz w:val="28"/>
              <w:szCs w:val="44"/>
              <w:lang w:val="en-US" w:eastAsia="zh-CN"/>
            </w:rPr>
            <w:t>工作开展情况</w:t>
          </w:r>
          <w:r>
            <w:rPr>
              <w:sz w:val="28"/>
              <w:szCs w:val="36"/>
            </w:rPr>
            <w:tab/>
          </w:r>
          <w:r>
            <w:rPr>
              <w:sz w:val="28"/>
              <w:szCs w:val="36"/>
            </w:rPr>
            <w:fldChar w:fldCharType="begin"/>
          </w:r>
          <w:r>
            <w:rPr>
              <w:sz w:val="28"/>
              <w:szCs w:val="36"/>
            </w:rPr>
            <w:instrText xml:space="preserve"> PAGEREF _Toc11894 </w:instrText>
          </w:r>
          <w:r>
            <w:rPr>
              <w:sz w:val="28"/>
              <w:szCs w:val="36"/>
            </w:rPr>
            <w:fldChar w:fldCharType="separate"/>
          </w:r>
          <w:r>
            <w:rPr>
              <w:sz w:val="28"/>
              <w:szCs w:val="36"/>
            </w:rPr>
            <w:t>2</w:t>
          </w:r>
          <w:r>
            <w:rPr>
              <w:sz w:val="28"/>
              <w:szCs w:val="36"/>
            </w:rPr>
            <w:fldChar w:fldCharType="end"/>
          </w:r>
          <w:r>
            <w:rPr>
              <w:rFonts w:hint="eastAsia"/>
              <w:color w:val="auto"/>
              <w:sz w:val="28"/>
              <w:szCs w:val="44"/>
            </w:rPr>
            <w:fldChar w:fldCharType="end"/>
          </w:r>
        </w:p>
        <w:p>
          <w:pPr>
            <w:pStyle w:val="11"/>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_Toc27144 </w:instrText>
          </w:r>
          <w:r>
            <w:rPr>
              <w:rFonts w:hint="eastAsia"/>
              <w:sz w:val="28"/>
              <w:szCs w:val="44"/>
            </w:rPr>
            <w:fldChar w:fldCharType="separate"/>
          </w:r>
          <w:r>
            <w:rPr>
              <w:rFonts w:hint="eastAsia" w:ascii="Times New Roman" w:hAnsi="Times New Roman" w:eastAsia="黑体" w:cs="Times New Roman"/>
              <w:bCs w:val="0"/>
              <w:sz w:val="28"/>
              <w:szCs w:val="44"/>
              <w:lang w:val="en-US" w:eastAsia="zh-CN"/>
            </w:rPr>
            <w:t>（三）2024年工作安排</w:t>
          </w:r>
          <w:r>
            <w:rPr>
              <w:sz w:val="28"/>
              <w:szCs w:val="36"/>
            </w:rPr>
            <w:tab/>
          </w:r>
          <w:r>
            <w:rPr>
              <w:sz w:val="28"/>
              <w:szCs w:val="36"/>
            </w:rPr>
            <w:fldChar w:fldCharType="begin"/>
          </w:r>
          <w:r>
            <w:rPr>
              <w:sz w:val="28"/>
              <w:szCs w:val="36"/>
            </w:rPr>
            <w:instrText xml:space="preserve"> PAGEREF _Toc27144 </w:instrText>
          </w:r>
          <w:r>
            <w:rPr>
              <w:sz w:val="28"/>
              <w:szCs w:val="36"/>
            </w:rPr>
            <w:fldChar w:fldCharType="separate"/>
          </w:r>
          <w:r>
            <w:rPr>
              <w:sz w:val="28"/>
              <w:szCs w:val="36"/>
            </w:rPr>
            <w:t>6</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_Toc975 </w:instrText>
          </w:r>
          <w:r>
            <w:rPr>
              <w:rFonts w:hint="eastAsia"/>
              <w:sz w:val="28"/>
              <w:szCs w:val="44"/>
            </w:rPr>
            <w:fldChar w:fldCharType="separate"/>
          </w:r>
          <w:r>
            <w:rPr>
              <w:rFonts w:hint="eastAsia" w:ascii="黑体" w:eastAsia="黑体"/>
              <w:sz w:val="28"/>
              <w:szCs w:val="44"/>
            </w:rPr>
            <w:t>二、</w:t>
          </w:r>
          <w:r>
            <w:rPr>
              <w:rFonts w:hint="eastAsia" w:ascii="黑体" w:eastAsia="黑体"/>
              <w:sz w:val="28"/>
              <w:szCs w:val="44"/>
              <w:lang w:eastAsia="zh-CN"/>
            </w:rPr>
            <w:t>部门</w:t>
          </w:r>
          <w:r>
            <w:rPr>
              <w:rFonts w:hint="eastAsia" w:ascii="黑体" w:eastAsia="黑体"/>
              <w:sz w:val="28"/>
              <w:szCs w:val="44"/>
              <w:lang w:val="en-US" w:eastAsia="zh-CN"/>
            </w:rPr>
            <w:t>预算</w:t>
          </w:r>
          <w:r>
            <w:rPr>
              <w:rFonts w:hint="eastAsia" w:ascii="黑体" w:eastAsia="黑体"/>
              <w:sz w:val="28"/>
              <w:szCs w:val="44"/>
              <w:lang w:eastAsia="zh-CN"/>
            </w:rPr>
            <w:t>单位构成</w:t>
          </w:r>
          <w:r>
            <w:rPr>
              <w:sz w:val="28"/>
              <w:szCs w:val="36"/>
            </w:rPr>
            <w:tab/>
          </w:r>
          <w:r>
            <w:rPr>
              <w:sz w:val="28"/>
              <w:szCs w:val="36"/>
            </w:rPr>
            <w:fldChar w:fldCharType="begin"/>
          </w:r>
          <w:r>
            <w:rPr>
              <w:sz w:val="28"/>
              <w:szCs w:val="36"/>
            </w:rPr>
            <w:instrText xml:space="preserve"> PAGEREF _Toc975 </w:instrText>
          </w:r>
          <w:r>
            <w:rPr>
              <w:sz w:val="28"/>
              <w:szCs w:val="36"/>
            </w:rPr>
            <w:fldChar w:fldCharType="separate"/>
          </w:r>
          <w:r>
            <w:rPr>
              <w:sz w:val="28"/>
              <w:szCs w:val="36"/>
            </w:rPr>
            <w:t>6</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_Toc11960 </w:instrText>
          </w:r>
          <w:r>
            <w:rPr>
              <w:rFonts w:hint="eastAsia"/>
              <w:sz w:val="28"/>
              <w:szCs w:val="44"/>
            </w:rPr>
            <w:fldChar w:fldCharType="separate"/>
          </w:r>
          <w:r>
            <w:rPr>
              <w:rFonts w:hint="eastAsia" w:ascii="黑体" w:eastAsia="黑体"/>
              <w:sz w:val="28"/>
              <w:szCs w:val="44"/>
              <w:lang w:val="en-US" w:eastAsia="zh-CN"/>
            </w:rPr>
            <w:t>三、收支预算总体情况</w:t>
          </w:r>
          <w:r>
            <w:rPr>
              <w:sz w:val="28"/>
              <w:szCs w:val="36"/>
            </w:rPr>
            <w:tab/>
          </w:r>
          <w:r>
            <w:rPr>
              <w:sz w:val="28"/>
              <w:szCs w:val="36"/>
            </w:rPr>
            <w:fldChar w:fldCharType="begin"/>
          </w:r>
          <w:r>
            <w:rPr>
              <w:sz w:val="28"/>
              <w:szCs w:val="36"/>
            </w:rPr>
            <w:instrText xml:space="preserve"> PAGEREF _Toc11960 </w:instrText>
          </w:r>
          <w:r>
            <w:rPr>
              <w:sz w:val="28"/>
              <w:szCs w:val="36"/>
            </w:rPr>
            <w:fldChar w:fldCharType="separate"/>
          </w:r>
          <w:r>
            <w:rPr>
              <w:sz w:val="28"/>
              <w:szCs w:val="36"/>
            </w:rPr>
            <w:t>6</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_Toc27701 </w:instrText>
          </w:r>
          <w:r>
            <w:rPr>
              <w:rFonts w:hint="eastAsia"/>
              <w:sz w:val="28"/>
              <w:szCs w:val="44"/>
            </w:rPr>
            <w:fldChar w:fldCharType="separate"/>
          </w:r>
          <w:r>
            <w:rPr>
              <w:rFonts w:hint="eastAsia" w:ascii="黑体" w:eastAsia="黑体"/>
              <w:sz w:val="28"/>
              <w:szCs w:val="44"/>
            </w:rPr>
            <w:t>四、 支出预算安排情况</w:t>
          </w:r>
          <w:r>
            <w:rPr>
              <w:sz w:val="28"/>
              <w:szCs w:val="36"/>
            </w:rPr>
            <w:tab/>
          </w:r>
          <w:r>
            <w:rPr>
              <w:sz w:val="28"/>
              <w:szCs w:val="36"/>
            </w:rPr>
            <w:fldChar w:fldCharType="begin"/>
          </w:r>
          <w:r>
            <w:rPr>
              <w:sz w:val="28"/>
              <w:szCs w:val="36"/>
            </w:rPr>
            <w:instrText xml:space="preserve"> PAGEREF _Toc27701 </w:instrText>
          </w:r>
          <w:r>
            <w:rPr>
              <w:sz w:val="28"/>
              <w:szCs w:val="36"/>
            </w:rPr>
            <w:fldChar w:fldCharType="separate"/>
          </w:r>
          <w:r>
            <w:rPr>
              <w:sz w:val="28"/>
              <w:szCs w:val="36"/>
            </w:rPr>
            <w:t>7</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_Toc17474 </w:instrText>
          </w:r>
          <w:r>
            <w:rPr>
              <w:rFonts w:hint="eastAsia"/>
              <w:sz w:val="28"/>
              <w:szCs w:val="44"/>
            </w:rPr>
            <w:fldChar w:fldCharType="separate"/>
          </w:r>
          <w:r>
            <w:rPr>
              <w:rFonts w:hint="eastAsia" w:ascii="黑体" w:hAnsi="黑体" w:eastAsia="黑体" w:cs="黑体"/>
              <w:kern w:val="0"/>
              <w:sz w:val="28"/>
              <w:szCs w:val="44"/>
              <w:shd w:val="clear" w:color="auto" w:fill="FFFFFF"/>
              <w:lang w:val="en-US" w:eastAsia="zh-CN" w:bidi="ar"/>
            </w:rPr>
            <w:t>五、较上年度增减变化</w:t>
          </w:r>
          <w:r>
            <w:rPr>
              <w:sz w:val="28"/>
              <w:szCs w:val="36"/>
            </w:rPr>
            <w:tab/>
          </w:r>
          <w:r>
            <w:rPr>
              <w:sz w:val="28"/>
              <w:szCs w:val="36"/>
            </w:rPr>
            <w:fldChar w:fldCharType="begin"/>
          </w:r>
          <w:r>
            <w:rPr>
              <w:sz w:val="28"/>
              <w:szCs w:val="36"/>
            </w:rPr>
            <w:instrText xml:space="preserve"> PAGEREF _Toc17474 </w:instrText>
          </w:r>
          <w:r>
            <w:rPr>
              <w:sz w:val="28"/>
              <w:szCs w:val="36"/>
            </w:rPr>
            <w:fldChar w:fldCharType="separate"/>
          </w:r>
          <w:r>
            <w:rPr>
              <w:sz w:val="28"/>
              <w:szCs w:val="36"/>
            </w:rPr>
            <w:t>7</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_Toc26876 </w:instrText>
          </w:r>
          <w:r>
            <w:rPr>
              <w:rFonts w:hint="eastAsia"/>
              <w:sz w:val="28"/>
              <w:szCs w:val="44"/>
            </w:rPr>
            <w:fldChar w:fldCharType="separate"/>
          </w:r>
          <w:r>
            <w:rPr>
              <w:rFonts w:hint="eastAsia" w:ascii="黑体" w:hAnsi="黑体" w:eastAsia="黑体" w:cs="黑体"/>
              <w:kern w:val="0"/>
              <w:sz w:val="28"/>
              <w:szCs w:val="44"/>
              <w:shd w:val="clear" w:color="auto" w:fill="FFFFFF"/>
              <w:lang w:val="en-US" w:eastAsia="zh-CN" w:bidi="ar"/>
            </w:rPr>
            <w:t>六、“三公”经费预算</w:t>
          </w:r>
          <w:r>
            <w:rPr>
              <w:sz w:val="28"/>
              <w:szCs w:val="36"/>
            </w:rPr>
            <w:tab/>
          </w:r>
          <w:r>
            <w:rPr>
              <w:sz w:val="28"/>
              <w:szCs w:val="36"/>
            </w:rPr>
            <w:fldChar w:fldCharType="begin"/>
          </w:r>
          <w:r>
            <w:rPr>
              <w:sz w:val="28"/>
              <w:szCs w:val="36"/>
            </w:rPr>
            <w:instrText xml:space="preserve"> PAGEREF _Toc26876 </w:instrText>
          </w:r>
          <w:r>
            <w:rPr>
              <w:sz w:val="28"/>
              <w:szCs w:val="36"/>
            </w:rPr>
            <w:fldChar w:fldCharType="separate"/>
          </w:r>
          <w:r>
            <w:rPr>
              <w:sz w:val="28"/>
              <w:szCs w:val="36"/>
            </w:rPr>
            <w:t>8</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_Toc6361 </w:instrText>
          </w:r>
          <w:r>
            <w:rPr>
              <w:rFonts w:hint="eastAsia"/>
              <w:sz w:val="28"/>
              <w:szCs w:val="44"/>
            </w:rPr>
            <w:fldChar w:fldCharType="separate"/>
          </w:r>
          <w:r>
            <w:rPr>
              <w:rFonts w:hint="eastAsia" w:ascii="黑体" w:hAnsi="黑体" w:eastAsia="黑体" w:cs="黑体"/>
              <w:kern w:val="0"/>
              <w:sz w:val="28"/>
              <w:szCs w:val="44"/>
              <w:shd w:val="clear" w:color="auto" w:fill="FFFFFF"/>
              <w:lang w:val="en-US" w:eastAsia="zh-CN" w:bidi="ar"/>
            </w:rPr>
            <w:t>七、政府性基金预算收支情况说明</w:t>
          </w:r>
          <w:r>
            <w:rPr>
              <w:sz w:val="28"/>
              <w:szCs w:val="36"/>
            </w:rPr>
            <w:tab/>
          </w:r>
          <w:r>
            <w:rPr>
              <w:sz w:val="28"/>
              <w:szCs w:val="36"/>
            </w:rPr>
            <w:fldChar w:fldCharType="begin"/>
          </w:r>
          <w:r>
            <w:rPr>
              <w:sz w:val="28"/>
              <w:szCs w:val="36"/>
            </w:rPr>
            <w:instrText xml:space="preserve"> PAGEREF _Toc6361 </w:instrText>
          </w:r>
          <w:r>
            <w:rPr>
              <w:sz w:val="28"/>
              <w:szCs w:val="36"/>
            </w:rPr>
            <w:fldChar w:fldCharType="separate"/>
          </w:r>
          <w:r>
            <w:rPr>
              <w:sz w:val="28"/>
              <w:szCs w:val="36"/>
            </w:rPr>
            <w:t>8</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_Toc271 </w:instrText>
          </w:r>
          <w:r>
            <w:rPr>
              <w:rFonts w:hint="eastAsia"/>
              <w:sz w:val="28"/>
              <w:szCs w:val="44"/>
            </w:rPr>
            <w:fldChar w:fldCharType="separate"/>
          </w:r>
          <w:r>
            <w:rPr>
              <w:rFonts w:hint="eastAsia" w:ascii="黑体" w:hAnsi="黑体" w:eastAsia="黑体" w:cs="黑体"/>
              <w:kern w:val="0"/>
              <w:sz w:val="28"/>
              <w:szCs w:val="44"/>
              <w:shd w:val="clear" w:color="auto" w:fill="FFFFFF"/>
              <w:lang w:val="en-US" w:eastAsia="zh-CN" w:bidi="ar"/>
            </w:rPr>
            <w:t>八、国有资本经营预算收支情况说明</w:t>
          </w:r>
          <w:r>
            <w:rPr>
              <w:sz w:val="28"/>
              <w:szCs w:val="36"/>
            </w:rPr>
            <w:tab/>
          </w:r>
          <w:r>
            <w:rPr>
              <w:sz w:val="28"/>
              <w:szCs w:val="36"/>
            </w:rPr>
            <w:fldChar w:fldCharType="begin"/>
          </w:r>
          <w:r>
            <w:rPr>
              <w:sz w:val="28"/>
              <w:szCs w:val="36"/>
            </w:rPr>
            <w:instrText xml:space="preserve"> PAGEREF _Toc271 </w:instrText>
          </w:r>
          <w:r>
            <w:rPr>
              <w:sz w:val="28"/>
              <w:szCs w:val="36"/>
            </w:rPr>
            <w:fldChar w:fldCharType="separate"/>
          </w:r>
          <w:r>
            <w:rPr>
              <w:sz w:val="28"/>
              <w:szCs w:val="36"/>
            </w:rPr>
            <w:t>8</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_Toc11064 </w:instrText>
          </w:r>
          <w:r>
            <w:rPr>
              <w:rFonts w:hint="eastAsia"/>
              <w:sz w:val="28"/>
              <w:szCs w:val="44"/>
            </w:rPr>
            <w:fldChar w:fldCharType="separate"/>
          </w:r>
          <w:r>
            <w:rPr>
              <w:rFonts w:hint="eastAsia" w:ascii="黑体" w:hAnsi="黑体" w:eastAsia="黑体" w:cs="黑体"/>
              <w:kern w:val="0"/>
              <w:sz w:val="28"/>
              <w:szCs w:val="44"/>
              <w:shd w:val="clear" w:color="auto" w:fill="FFFFFF"/>
              <w:lang w:val="en-US" w:eastAsia="zh-CN" w:bidi="ar"/>
            </w:rPr>
            <w:t>九、其他重要事项的情况说明</w:t>
          </w:r>
          <w:r>
            <w:rPr>
              <w:sz w:val="28"/>
              <w:szCs w:val="36"/>
            </w:rPr>
            <w:tab/>
          </w:r>
          <w:r>
            <w:rPr>
              <w:sz w:val="28"/>
              <w:szCs w:val="36"/>
            </w:rPr>
            <w:fldChar w:fldCharType="begin"/>
          </w:r>
          <w:r>
            <w:rPr>
              <w:sz w:val="28"/>
              <w:szCs w:val="36"/>
            </w:rPr>
            <w:instrText xml:space="preserve"> PAGEREF _Toc11064 </w:instrText>
          </w:r>
          <w:r>
            <w:rPr>
              <w:sz w:val="28"/>
              <w:szCs w:val="36"/>
            </w:rPr>
            <w:fldChar w:fldCharType="separate"/>
          </w:r>
          <w:r>
            <w:rPr>
              <w:sz w:val="28"/>
              <w:szCs w:val="36"/>
            </w:rPr>
            <w:t>8</w:t>
          </w:r>
          <w:r>
            <w:rPr>
              <w:sz w:val="28"/>
              <w:szCs w:val="36"/>
            </w:rPr>
            <w:fldChar w:fldCharType="end"/>
          </w:r>
          <w:r>
            <w:rPr>
              <w:rFonts w:hint="eastAsia"/>
              <w:color w:val="auto"/>
              <w:sz w:val="28"/>
              <w:szCs w:val="44"/>
            </w:rPr>
            <w:fldChar w:fldCharType="end"/>
          </w:r>
        </w:p>
        <w:p>
          <w:pPr>
            <w:pStyle w:val="11"/>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_Toc26064 </w:instrText>
          </w:r>
          <w:r>
            <w:rPr>
              <w:rFonts w:hint="eastAsia"/>
              <w:sz w:val="28"/>
              <w:szCs w:val="44"/>
            </w:rPr>
            <w:fldChar w:fldCharType="separate"/>
          </w:r>
          <w:r>
            <w:rPr>
              <w:rFonts w:hint="eastAsia" w:ascii="楷体_GB2312" w:hAnsi="楷体_GB2312" w:eastAsia="楷体_GB2312" w:cs="楷体_GB2312"/>
              <w:bCs/>
              <w:kern w:val="0"/>
              <w:sz w:val="28"/>
              <w:szCs w:val="44"/>
              <w:shd w:val="clear" w:color="auto" w:fill="FFFFFF"/>
              <w:lang w:val="en-US" w:eastAsia="zh-CN" w:bidi="ar"/>
            </w:rPr>
            <w:t>（一）政府采购预算情况</w:t>
          </w:r>
          <w:r>
            <w:rPr>
              <w:sz w:val="28"/>
              <w:szCs w:val="36"/>
            </w:rPr>
            <w:tab/>
          </w:r>
          <w:r>
            <w:rPr>
              <w:sz w:val="28"/>
              <w:szCs w:val="36"/>
            </w:rPr>
            <w:fldChar w:fldCharType="begin"/>
          </w:r>
          <w:r>
            <w:rPr>
              <w:sz w:val="28"/>
              <w:szCs w:val="36"/>
            </w:rPr>
            <w:instrText xml:space="preserve"> PAGEREF _Toc26064 </w:instrText>
          </w:r>
          <w:r>
            <w:rPr>
              <w:sz w:val="28"/>
              <w:szCs w:val="36"/>
            </w:rPr>
            <w:fldChar w:fldCharType="separate"/>
          </w:r>
          <w:r>
            <w:rPr>
              <w:sz w:val="28"/>
              <w:szCs w:val="36"/>
            </w:rPr>
            <w:t>8</w:t>
          </w:r>
          <w:r>
            <w:rPr>
              <w:sz w:val="28"/>
              <w:szCs w:val="36"/>
            </w:rPr>
            <w:fldChar w:fldCharType="end"/>
          </w:r>
          <w:r>
            <w:rPr>
              <w:rFonts w:hint="eastAsia"/>
              <w:color w:val="auto"/>
              <w:sz w:val="28"/>
              <w:szCs w:val="44"/>
            </w:rPr>
            <w:fldChar w:fldCharType="end"/>
          </w:r>
        </w:p>
        <w:p>
          <w:pPr>
            <w:pStyle w:val="11"/>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_Toc9854 </w:instrText>
          </w:r>
          <w:r>
            <w:rPr>
              <w:rFonts w:hint="eastAsia"/>
              <w:sz w:val="28"/>
              <w:szCs w:val="44"/>
            </w:rPr>
            <w:fldChar w:fldCharType="separate"/>
          </w:r>
          <w:r>
            <w:rPr>
              <w:rFonts w:hint="eastAsia" w:ascii="楷体_GB2312" w:hAnsi="楷体_GB2312" w:eastAsia="楷体_GB2312" w:cs="楷体_GB2312"/>
              <w:bCs/>
              <w:kern w:val="0"/>
              <w:sz w:val="28"/>
              <w:szCs w:val="44"/>
              <w:shd w:val="clear" w:color="auto" w:fill="FFFFFF"/>
              <w:lang w:val="en-US" w:eastAsia="zh-CN" w:bidi="ar"/>
            </w:rPr>
            <w:t>（二）政府财政国有资产占用情况</w:t>
          </w:r>
          <w:r>
            <w:rPr>
              <w:sz w:val="28"/>
              <w:szCs w:val="36"/>
            </w:rPr>
            <w:tab/>
          </w:r>
          <w:r>
            <w:rPr>
              <w:sz w:val="28"/>
              <w:szCs w:val="36"/>
            </w:rPr>
            <w:fldChar w:fldCharType="begin"/>
          </w:r>
          <w:r>
            <w:rPr>
              <w:sz w:val="28"/>
              <w:szCs w:val="36"/>
            </w:rPr>
            <w:instrText xml:space="preserve"> PAGEREF _Toc9854 </w:instrText>
          </w:r>
          <w:r>
            <w:rPr>
              <w:sz w:val="28"/>
              <w:szCs w:val="36"/>
            </w:rPr>
            <w:fldChar w:fldCharType="separate"/>
          </w:r>
          <w:r>
            <w:rPr>
              <w:sz w:val="28"/>
              <w:szCs w:val="36"/>
            </w:rPr>
            <w:t>8</w:t>
          </w:r>
          <w:r>
            <w:rPr>
              <w:sz w:val="28"/>
              <w:szCs w:val="36"/>
            </w:rPr>
            <w:fldChar w:fldCharType="end"/>
          </w:r>
          <w:r>
            <w:rPr>
              <w:rFonts w:hint="eastAsia"/>
              <w:color w:val="auto"/>
              <w:sz w:val="28"/>
              <w:szCs w:val="44"/>
            </w:rPr>
            <w:fldChar w:fldCharType="end"/>
          </w:r>
        </w:p>
        <w:p>
          <w:pPr>
            <w:pStyle w:val="11"/>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_Toc2 </w:instrText>
          </w:r>
          <w:r>
            <w:rPr>
              <w:rFonts w:hint="eastAsia"/>
              <w:sz w:val="28"/>
              <w:szCs w:val="44"/>
            </w:rPr>
            <w:fldChar w:fldCharType="separate"/>
          </w:r>
          <w:r>
            <w:rPr>
              <w:rFonts w:hint="eastAsia" w:ascii="楷体_GB2312" w:hAnsi="楷体_GB2312" w:eastAsia="楷体_GB2312" w:cs="楷体_GB2312"/>
              <w:bCs/>
              <w:kern w:val="0"/>
              <w:sz w:val="28"/>
              <w:szCs w:val="44"/>
              <w:shd w:val="clear" w:color="auto" w:fill="FFFFFF"/>
              <w:lang w:val="en-US" w:eastAsia="zh-CN" w:bidi="ar"/>
            </w:rPr>
            <w:t>（三）绩效目标设置情况</w:t>
          </w:r>
          <w:r>
            <w:rPr>
              <w:sz w:val="28"/>
              <w:szCs w:val="36"/>
            </w:rPr>
            <w:tab/>
          </w:r>
          <w:r>
            <w:rPr>
              <w:sz w:val="28"/>
              <w:szCs w:val="36"/>
            </w:rPr>
            <w:fldChar w:fldCharType="begin"/>
          </w:r>
          <w:r>
            <w:rPr>
              <w:sz w:val="28"/>
              <w:szCs w:val="36"/>
            </w:rPr>
            <w:instrText xml:space="preserve"> PAGEREF _Toc2 </w:instrText>
          </w:r>
          <w:r>
            <w:rPr>
              <w:sz w:val="28"/>
              <w:szCs w:val="36"/>
            </w:rPr>
            <w:fldChar w:fldCharType="separate"/>
          </w:r>
          <w:r>
            <w:rPr>
              <w:sz w:val="28"/>
              <w:szCs w:val="36"/>
            </w:rPr>
            <w:t>9</w:t>
          </w:r>
          <w:r>
            <w:rPr>
              <w:sz w:val="28"/>
              <w:szCs w:val="36"/>
            </w:rPr>
            <w:fldChar w:fldCharType="end"/>
          </w:r>
          <w:r>
            <w:rPr>
              <w:rFonts w:hint="eastAsia"/>
              <w:color w:val="auto"/>
              <w:sz w:val="28"/>
              <w:szCs w:val="44"/>
            </w:rPr>
            <w:fldChar w:fldCharType="end"/>
          </w:r>
        </w:p>
        <w:p>
          <w:pPr>
            <w:pStyle w:val="10"/>
            <w:tabs>
              <w:tab w:val="right" w:leader="dot" w:pos="8844"/>
            </w:tabs>
            <w:rPr>
              <w:sz w:val="28"/>
              <w:szCs w:val="36"/>
            </w:rPr>
          </w:pPr>
          <w:r>
            <w:rPr>
              <w:rFonts w:hint="eastAsia"/>
              <w:color w:val="auto"/>
              <w:sz w:val="28"/>
              <w:szCs w:val="44"/>
            </w:rPr>
            <w:fldChar w:fldCharType="begin"/>
          </w:r>
          <w:r>
            <w:rPr>
              <w:rFonts w:hint="eastAsia"/>
              <w:sz w:val="28"/>
              <w:szCs w:val="44"/>
            </w:rPr>
            <w:instrText xml:space="preserve"> HYPERLINK \l _Toc6656 </w:instrText>
          </w:r>
          <w:r>
            <w:rPr>
              <w:rFonts w:hint="eastAsia"/>
              <w:sz w:val="28"/>
              <w:szCs w:val="44"/>
            </w:rPr>
            <w:fldChar w:fldCharType="separate"/>
          </w:r>
          <w:r>
            <w:rPr>
              <w:rFonts w:hint="eastAsia" w:ascii="黑体" w:hAnsi="黑体" w:eastAsia="黑体" w:cs="黑体"/>
              <w:kern w:val="0"/>
              <w:sz w:val="28"/>
              <w:szCs w:val="44"/>
              <w:shd w:val="clear" w:color="auto" w:fill="FFFFFF"/>
              <w:lang w:val="en-US" w:eastAsia="zh-CN" w:bidi="ar"/>
            </w:rPr>
            <w:t>十、名词解释</w:t>
          </w:r>
          <w:r>
            <w:rPr>
              <w:sz w:val="28"/>
              <w:szCs w:val="36"/>
            </w:rPr>
            <w:tab/>
          </w:r>
          <w:r>
            <w:rPr>
              <w:sz w:val="28"/>
              <w:szCs w:val="36"/>
            </w:rPr>
            <w:fldChar w:fldCharType="begin"/>
          </w:r>
          <w:r>
            <w:rPr>
              <w:sz w:val="28"/>
              <w:szCs w:val="36"/>
            </w:rPr>
            <w:instrText xml:space="preserve"> PAGEREF _Toc6656 </w:instrText>
          </w:r>
          <w:r>
            <w:rPr>
              <w:sz w:val="28"/>
              <w:szCs w:val="36"/>
            </w:rPr>
            <w:fldChar w:fldCharType="separate"/>
          </w:r>
          <w:r>
            <w:rPr>
              <w:sz w:val="28"/>
              <w:szCs w:val="36"/>
            </w:rPr>
            <w:t>9</w:t>
          </w:r>
          <w:r>
            <w:rPr>
              <w:sz w:val="28"/>
              <w:szCs w:val="36"/>
            </w:rPr>
            <w:fldChar w:fldCharType="end"/>
          </w:r>
          <w:r>
            <w:rPr>
              <w:rFonts w:hint="eastAsia"/>
              <w:color w:val="auto"/>
              <w:sz w:val="28"/>
              <w:szCs w:val="44"/>
            </w:rPr>
            <w:fldChar w:fldCharType="end"/>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800" w:firstLineChars="200"/>
            <w:textAlignment w:val="auto"/>
            <w:rPr>
              <w:rFonts w:hint="eastAsia"/>
              <w:color w:val="auto"/>
              <w:sz w:val="32"/>
              <w:szCs w:val="32"/>
            </w:rPr>
          </w:pPr>
          <w:r>
            <w:rPr>
              <w:rFonts w:hint="eastAsia"/>
              <w:color w:val="auto"/>
              <w:sz w:val="40"/>
              <w:szCs w:val="44"/>
            </w:rPr>
            <w:fldChar w:fldCharType="end"/>
          </w:r>
          <w:bookmarkStart w:id="34" w:name="_GoBack"/>
          <w:bookmarkEnd w:id="34"/>
        </w:p>
      </w:sdtContent>
    </w:sdt>
    <w:p>
      <w:pPr>
        <w:keepNext w:val="0"/>
        <w:keepLines w:val="0"/>
        <w:pageBreakBefore w:val="0"/>
        <w:kinsoku/>
        <w:wordWrap/>
        <w:overflowPunct/>
        <w:topLinePunct w:val="0"/>
        <w:autoSpaceDE/>
        <w:autoSpaceDN/>
        <w:bidi w:val="0"/>
        <w:spacing w:line="560" w:lineRule="exact"/>
        <w:ind w:right="0" w:rightChars="0" w:firstLine="880" w:firstLineChars="200"/>
        <w:jc w:val="center"/>
        <w:textAlignment w:val="auto"/>
        <w:outlineLvl w:val="0"/>
        <w:rPr>
          <w:rFonts w:hint="eastAsia" w:ascii="方正小标宋简体" w:hAnsi="方正小标宋简体" w:eastAsia="方正小标宋简体" w:cs="方正小标宋简体"/>
          <w:b w:val="0"/>
          <w:bCs/>
          <w:color w:val="auto"/>
          <w:sz w:val="44"/>
          <w:szCs w:val="44"/>
        </w:rPr>
      </w:pPr>
      <w:bookmarkStart w:id="0" w:name="_Toc9342"/>
      <w:r>
        <w:rPr>
          <w:rFonts w:hint="eastAsia" w:ascii="方正小标宋简体" w:hAnsi="方正小标宋简体" w:eastAsia="方正小标宋简体" w:cs="方正小标宋简体"/>
          <w:b w:val="0"/>
          <w:bCs/>
          <w:color w:val="auto"/>
          <w:sz w:val="44"/>
          <w:szCs w:val="44"/>
          <w:lang w:eastAsia="zh-CN"/>
        </w:rPr>
        <w:t>红原县自然资源局</w:t>
      </w:r>
      <w:bookmarkEnd w:id="0"/>
    </w:p>
    <w:p>
      <w:pPr>
        <w:jc w:val="cente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880" w:firstLineChars="200"/>
        <w:jc w:val="center"/>
        <w:textAlignment w:val="auto"/>
        <w:outlineLvl w:val="0"/>
        <w:rPr>
          <w:rFonts w:hint="eastAsia"/>
        </w:rPr>
      </w:pPr>
      <w:bookmarkStart w:id="1" w:name="_Toc1911"/>
      <w:r>
        <w:rPr>
          <w:rFonts w:hint="eastAsia" w:ascii="方正小标宋简体" w:hAnsi="方正小标宋简体" w:eastAsia="方正小标宋简体" w:cs="方正小标宋简体"/>
          <w:b w:val="0"/>
          <w:bCs/>
          <w:color w:val="auto"/>
          <w:sz w:val="44"/>
          <w:szCs w:val="44"/>
          <w:lang w:eastAsia="zh-CN"/>
        </w:rPr>
        <w:t>202</w:t>
      </w:r>
      <w:r>
        <w:rPr>
          <w:rFonts w:hint="eastAsia" w:ascii="方正小标宋简体" w:hAnsi="方正小标宋简体" w:eastAsia="方正小标宋简体" w:cs="方正小标宋简体"/>
          <w:b w:val="0"/>
          <w:bCs/>
          <w:color w:val="auto"/>
          <w:sz w:val="44"/>
          <w:szCs w:val="44"/>
          <w:lang w:val="en-US" w:eastAsia="zh-CN"/>
        </w:rPr>
        <w:t>4</w:t>
      </w:r>
      <w:r>
        <w:rPr>
          <w:rFonts w:hint="eastAsia" w:ascii="方正小标宋简体" w:hAnsi="方正小标宋简体" w:eastAsia="方正小标宋简体" w:cs="方正小标宋简体"/>
          <w:b w:val="0"/>
          <w:bCs/>
          <w:color w:val="auto"/>
          <w:sz w:val="44"/>
          <w:szCs w:val="44"/>
        </w:rPr>
        <w:t>年部门预算编制的说明</w:t>
      </w:r>
      <w:bookmarkEnd w:id="1"/>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宋体" w:hAnsi="宋体" w:eastAsia="宋体"/>
          <w:b/>
          <w:color w:val="auto"/>
          <w:sz w:val="44"/>
          <w:szCs w:val="44"/>
        </w:rPr>
      </w:pPr>
      <w:r>
        <w:rPr>
          <w:rFonts w:hint="eastAsia"/>
          <w:color w:val="auto"/>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color w:val="auto"/>
          <w:sz w:val="32"/>
          <w:szCs w:val="32"/>
        </w:rPr>
      </w:pPr>
      <w:bookmarkStart w:id="2" w:name="_Toc12974"/>
      <w:bookmarkStart w:id="3" w:name="_Toc9353"/>
      <w:r>
        <w:rPr>
          <w:rFonts w:hint="eastAsia" w:ascii="黑体" w:eastAsia="黑体"/>
          <w:color w:val="auto"/>
          <w:sz w:val="32"/>
          <w:szCs w:val="32"/>
        </w:rPr>
        <w:t>一、基本职能及主要工作</w:t>
      </w:r>
      <w:bookmarkEnd w:id="2"/>
      <w:bookmarkEnd w:id="3"/>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3" w:firstLineChars="200"/>
        <w:textAlignment w:val="auto"/>
        <w:outlineLvl w:val="1"/>
        <w:rPr>
          <w:rFonts w:hint="eastAsia" w:ascii="楷体_GB2312" w:hAnsi="楷体_GB2312" w:eastAsia="楷体_GB2312" w:cs="楷体_GB2312"/>
          <w:b/>
          <w:bCs w:val="0"/>
          <w:color w:val="auto"/>
          <w:sz w:val="32"/>
          <w:szCs w:val="32"/>
          <w:lang w:eastAsia="zh-CN"/>
        </w:rPr>
      </w:pPr>
      <w:bookmarkStart w:id="4" w:name="_Toc31571"/>
      <w:bookmarkStart w:id="5" w:name="_Toc608"/>
      <w:r>
        <w:rPr>
          <w:rFonts w:hint="eastAsia" w:ascii="楷体_GB2312" w:hAnsi="楷体_GB2312" w:eastAsia="楷体_GB2312" w:cs="楷体_GB2312"/>
          <w:b/>
          <w:bCs w:val="0"/>
          <w:color w:val="auto"/>
          <w:sz w:val="32"/>
          <w:szCs w:val="32"/>
          <w:lang w:eastAsia="zh-CN"/>
        </w:rPr>
        <w:t>（一）基本职能</w:t>
      </w:r>
      <w:bookmarkEnd w:id="4"/>
      <w:bookmarkEnd w:id="5"/>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按照规定权限，履行全民所有土地、矿产、森林、草原、湿地、水等自然资源资产所有者职责和所有国土空间用途管制职责</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制定有关政策措施并监督检查执行情况。</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自然资源调查监测评价。负责自然资源调查监测评价成果的监督管理和信息发布。</w:t>
      </w:r>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自然资源统一确权登记工作。组织实施各类自然资源和不动产统一确权登记、权籍调查、不动产测绘、争议调处、成果应用的制度、标准、规范。建立健全</w:t>
      </w:r>
      <w:r>
        <w:rPr>
          <w:rFonts w:hint="eastAsia" w:ascii="仿宋" w:hAnsi="仿宋" w:eastAsia="仿宋" w:cs="仿宋"/>
          <w:color w:val="auto"/>
          <w:sz w:val="32"/>
          <w:szCs w:val="32"/>
          <w:lang w:eastAsia="zh-CN"/>
        </w:rPr>
        <w:t>全县</w:t>
      </w:r>
      <w:r>
        <w:rPr>
          <w:rFonts w:hint="eastAsia" w:ascii="仿宋" w:hAnsi="仿宋" w:eastAsia="仿宋" w:cs="仿宋"/>
          <w:color w:val="auto"/>
          <w:sz w:val="32"/>
          <w:szCs w:val="32"/>
        </w:rPr>
        <w:t>自然资源和不动产登记信息管理基础平台。</w:t>
      </w:r>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自然资源资产有偿使用工作。建立全民所有自然资源资产统计制度，负责全民所有自然资源资产核算。</w:t>
      </w:r>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自然资源的合理开发利用。</w:t>
      </w:r>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负责建立全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空间规划体系并监督实施，推进主体功能区战略和制度，组织编制并监督实施国土空间规划和相关专项规划。</w:t>
      </w:r>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负责统筹全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国土空间生态修复。牵头组织编制全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国土空间生态修复规划并实施有关生态修复重大工程。</w:t>
      </w:r>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负责组织实施最严格的耕地保护制度。</w:t>
      </w:r>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负责管理全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地质勘查行业和地质工作。</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负责落实综合防灾减灾规划相关要求，组织编制并实施地质灾害防治规划。</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矿产资源管理工作。</w:t>
      </w:r>
    </w:p>
    <w:p>
      <w:pPr>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负责全县测绘地理信息工作。</w:t>
      </w:r>
    </w:p>
    <w:p>
      <w:pPr>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推动全县自然资源领域科技发展。</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承担县政府和上级相关部门交办的其它工作。</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3" w:firstLineChars="200"/>
        <w:textAlignment w:val="auto"/>
        <w:outlineLvl w:val="1"/>
        <w:rPr>
          <w:rFonts w:hint="eastAsia" w:ascii="楷体_GB2312" w:hAnsi="楷体_GB2312" w:eastAsia="楷体_GB2312" w:cs="楷体_GB2312"/>
          <w:b/>
          <w:bCs w:val="0"/>
          <w:color w:val="auto"/>
          <w:sz w:val="32"/>
          <w:szCs w:val="32"/>
          <w:lang w:eastAsia="zh-CN"/>
        </w:rPr>
      </w:pPr>
      <w:bookmarkStart w:id="6" w:name="_Toc11894"/>
      <w:bookmarkStart w:id="7" w:name="_Toc2180"/>
      <w:r>
        <w:rPr>
          <w:rFonts w:hint="eastAsia" w:ascii="楷体_GB2312" w:hAnsi="楷体_GB2312" w:eastAsia="楷体_GB2312" w:cs="楷体_GB2312"/>
          <w:b/>
          <w:bCs w:val="0"/>
          <w:color w:val="auto"/>
          <w:sz w:val="32"/>
          <w:szCs w:val="32"/>
          <w:lang w:eastAsia="zh-CN"/>
        </w:rPr>
        <w:t>（二）</w:t>
      </w:r>
      <w:r>
        <w:rPr>
          <w:rFonts w:hint="eastAsia" w:ascii="Times New Roman" w:hAnsi="Times New Roman" w:eastAsia="黑体" w:cs="Times New Roman"/>
          <w:b w:val="0"/>
          <w:bCs w:val="0"/>
          <w:sz w:val="32"/>
          <w:szCs w:val="32"/>
          <w:lang w:val="en-US" w:eastAsia="zh-CN"/>
        </w:rPr>
        <w:t>2023年</w:t>
      </w:r>
      <w:r>
        <w:rPr>
          <w:rFonts w:hint="default" w:ascii="Times New Roman" w:hAnsi="Times New Roman" w:eastAsia="黑体" w:cs="Times New Roman"/>
          <w:b w:val="0"/>
          <w:bCs w:val="0"/>
          <w:sz w:val="32"/>
          <w:szCs w:val="32"/>
          <w:lang w:val="en-US" w:eastAsia="zh-CN"/>
        </w:rPr>
        <w:t>工作开展情况</w:t>
      </w:r>
      <w:bookmarkEnd w:id="6"/>
      <w:bookmarkEnd w:id="7"/>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firstLine="640" w:firstLineChars="200"/>
        <w:jc w:val="both"/>
        <w:textAlignment w:val="auto"/>
        <w:outlineLvl w:val="2"/>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1.</w:t>
      </w:r>
      <w:r>
        <w:rPr>
          <w:rFonts w:hint="default" w:ascii="Times New Roman" w:hAnsi="Times New Roman" w:eastAsia="黑体" w:cs="Times New Roman"/>
          <w:b w:val="0"/>
          <w:bCs w:val="0"/>
          <w:sz w:val="32"/>
          <w:szCs w:val="32"/>
          <w:lang w:val="en-US" w:eastAsia="zh-CN"/>
        </w:rPr>
        <w:t>耕地保护和田长制工作</w:t>
      </w:r>
    </w:p>
    <w:p>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我县于2023年8月8日召开红原县耕地保护工作推进会暨2023年县田长制全体会议，并印发《红原县全面推行耕地保护田长制的实施方案》《红原县田长巡田工作制度（试行）》等四个方案制度。</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完成我县2023年耕地进出平衡方案编制，并取得州人民政府批复。</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我县1-6月动态监测耕地净流入201.769亩。</w:t>
      </w:r>
      <w:r>
        <w:rPr>
          <w:rFonts w:hint="default" w:ascii="Times New Roman" w:hAnsi="Times New Roman" w:eastAsia="仿宋_GB2312" w:cs="Times New Roman"/>
          <w:b/>
          <w:bCs/>
          <w:sz w:val="32"/>
          <w:szCs w:val="32"/>
          <w:lang w:val="en-US" w:eastAsia="zh-CN"/>
        </w:rPr>
        <w:t>四是</w:t>
      </w:r>
      <w:r>
        <w:rPr>
          <w:rFonts w:hint="default" w:ascii="Times New Roman" w:hAnsi="Times New Roman" w:eastAsia="仿宋_GB2312" w:cs="Times New Roman"/>
          <w:sz w:val="32"/>
          <w:szCs w:val="32"/>
          <w:lang w:val="en-US" w:eastAsia="zh-CN"/>
        </w:rPr>
        <w:t>完成田长制管理平台和巡田APP的注册，共注册</w:t>
      </w:r>
      <w:r>
        <w:rPr>
          <w:rFonts w:hint="eastAsia" w:ascii="Times New Roman" w:hAnsi="Times New Roman" w:eastAsia="仿宋_GB2312" w:cs="Times New Roman"/>
          <w:sz w:val="32"/>
          <w:szCs w:val="32"/>
          <w:lang w:val="en-US" w:eastAsia="zh-CN"/>
        </w:rPr>
        <w:t>52</w:t>
      </w:r>
      <w:r>
        <w:rPr>
          <w:rFonts w:hint="default" w:ascii="Times New Roman" w:hAnsi="Times New Roman" w:eastAsia="仿宋_GB2312" w:cs="Times New Roman"/>
          <w:sz w:val="32"/>
          <w:szCs w:val="32"/>
          <w:lang w:val="en-US" w:eastAsia="zh-CN"/>
        </w:rPr>
        <w:t>个账户，并启动巡田APP进行巡田，</w:t>
      </w:r>
      <w:r>
        <w:rPr>
          <w:rFonts w:hint="eastAsia" w:ascii="Times New Roman" w:hAnsi="Times New Roman" w:eastAsia="仿宋_GB2312" w:cs="Times New Roman"/>
          <w:sz w:val="32"/>
          <w:szCs w:val="32"/>
          <w:lang w:val="en-US" w:eastAsia="zh-CN"/>
        </w:rPr>
        <w:t>截至目前各级田长、副田长巡田任务完成率均达100%以上</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bCs/>
          <w:sz w:val="32"/>
          <w:szCs w:val="32"/>
          <w:lang w:val="en-US" w:eastAsia="zh-CN"/>
        </w:rPr>
        <w:t>五是</w:t>
      </w:r>
      <w:r>
        <w:rPr>
          <w:rFonts w:hint="default" w:ascii="Times New Roman" w:hAnsi="Times New Roman" w:eastAsia="仿宋_GB2312" w:cs="Times New Roman"/>
          <w:bCs/>
          <w:sz w:val="32"/>
          <w:szCs w:val="32"/>
          <w:highlight w:val="none"/>
          <w:lang w:val="en-US" w:eastAsia="zh-CN"/>
        </w:rPr>
        <w:t>完成各级田长公示牌的设立，</w:t>
      </w:r>
      <w:r>
        <w:rPr>
          <w:rFonts w:hint="eastAsia" w:ascii="Times New Roman" w:hAnsi="Times New Roman" w:eastAsia="仿宋_GB2312" w:cs="Times New Roman"/>
          <w:bCs/>
          <w:sz w:val="32"/>
          <w:szCs w:val="32"/>
          <w:highlight w:val="none"/>
          <w:lang w:val="en-US" w:eastAsia="zh-CN"/>
        </w:rPr>
        <w:t>实现县、乡、村田长公示全覆盖。</w:t>
      </w:r>
      <w:r>
        <w:rPr>
          <w:rFonts w:hint="eastAsia" w:ascii="Times New Roman" w:hAnsi="Times New Roman" w:eastAsia="仿宋_GB2312" w:cs="Times New Roman"/>
          <w:b/>
          <w:bCs/>
          <w:sz w:val="32"/>
          <w:szCs w:val="32"/>
          <w:lang w:val="en-US" w:eastAsia="zh-CN"/>
        </w:rPr>
        <w:t>六是</w:t>
      </w:r>
      <w:r>
        <w:rPr>
          <w:rFonts w:hint="default" w:ascii="Times New Roman" w:hAnsi="Times New Roman" w:eastAsia="仿宋_GB2312" w:cs="Times New Roman"/>
          <w:sz w:val="32"/>
          <w:szCs w:val="32"/>
          <w:lang w:val="en-US" w:eastAsia="zh-CN"/>
        </w:rPr>
        <w:t>我局正在开展永久基本农田和耕地核实补划工作，确保我县耕地面积不减少，质量不降低。</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outlineLvl w:val="2"/>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lang w:val="en-US" w:eastAsia="zh-CN"/>
        </w:rPr>
        <w:t>自然资源委托代理工作</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rPr>
        <w:t>落实履职主体，编制数据清单。按照州政府授权履行具体所有者职责要求，根据最新变更调查提取各类自然资源数据形成分类实物量，结合评价体系计算各类自然资源价值数据，目前正在对价值量数据进行汇总并分析，编制自然资源清单。开展对土地、矿产、森林、草原、水、湿地6大类全民所有自然资源资产的清查工作，并完成了各类自然资源实物量汇总及价值量核算。</w:t>
      </w:r>
      <w:r>
        <w:rPr>
          <w:rFonts w:hint="eastAsia" w:ascii="Times New Roman" w:hAnsi="Times New Roman" w:eastAsia="仿宋_GB2312" w:cs="Times New Roman"/>
          <w:sz w:val="32"/>
          <w:szCs w:val="32"/>
          <w:lang w:val="en-US" w:eastAsia="zh-CN"/>
        </w:rPr>
        <w:t>我局已按照草原所有权确权的相关要求完成草原确权登记的前试点总结工作。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2"/>
        <w:rPr>
          <w:rFonts w:hint="default" w:ascii="Times New Roman" w:hAnsi="Times New Roman" w:eastAsia="黑体" w:cs="Times New Roman"/>
          <w:b w:val="0"/>
          <w:bCs w:val="0"/>
          <w:color w:val="auto"/>
          <w:sz w:val="32"/>
          <w:szCs w:val="32"/>
          <w:lang w:val="en-US" w:eastAsia="zh-CN"/>
        </w:rPr>
      </w:pPr>
      <w:r>
        <w:rPr>
          <w:rFonts w:hint="eastAsia" w:ascii="Times New Roman" w:hAnsi="Times New Roman" w:eastAsia="黑体" w:cs="Times New Roman"/>
          <w:b w:val="0"/>
          <w:bCs w:val="0"/>
          <w:color w:val="auto"/>
          <w:sz w:val="32"/>
          <w:szCs w:val="32"/>
          <w:lang w:val="en-US" w:eastAsia="zh-CN"/>
        </w:rPr>
        <w:t>3.</w:t>
      </w:r>
      <w:r>
        <w:rPr>
          <w:rFonts w:hint="default" w:ascii="Times New Roman" w:hAnsi="Times New Roman" w:eastAsia="黑体" w:cs="Times New Roman"/>
          <w:b w:val="0"/>
          <w:bCs w:val="0"/>
          <w:color w:val="auto"/>
          <w:sz w:val="32"/>
          <w:szCs w:val="32"/>
          <w:lang w:val="en-US" w:eastAsia="zh-CN"/>
        </w:rPr>
        <w:t>地灾防治工作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3" w:firstLineChars="200"/>
        <w:jc w:val="left"/>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一是</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开展了地质灾害防治知识宣传培训。开展地灾防治知识宣传培训</w:t>
      </w:r>
      <w:r>
        <w:rPr>
          <w:rFonts w:hint="eastAsia" w:ascii="仿宋_GB2312" w:hAnsi="仿宋_GB2312" w:eastAsia="仿宋_GB2312" w:cs="仿宋_GB2312"/>
          <w:sz w:val="32"/>
          <w:szCs w:val="32"/>
          <w:lang w:val="en-US" w:eastAsia="zh-CN"/>
        </w:rPr>
        <w:t>52</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场，参与人数</w:t>
      </w:r>
      <w:r>
        <w:rPr>
          <w:rFonts w:hint="eastAsia" w:ascii="仿宋_GB2312" w:hAnsi="仿宋_GB2312" w:eastAsia="仿宋_GB2312" w:cs="仿宋_GB2312"/>
          <w:sz w:val="32"/>
          <w:szCs w:val="32"/>
          <w:lang w:val="en-US" w:eastAsia="zh-CN"/>
        </w:rPr>
        <w:t>885</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人，发放宣传资料</w:t>
      </w:r>
      <w:r>
        <w:rPr>
          <w:rFonts w:hint="eastAsia" w:ascii="仿宋_GB2312" w:hAnsi="仿宋_GB2312" w:eastAsia="仿宋_GB2312" w:cs="仿宋_GB2312"/>
          <w:sz w:val="32"/>
          <w:szCs w:val="32"/>
          <w:lang w:val="en-US" w:eastAsia="zh-CN"/>
        </w:rPr>
        <w:t>600</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余份；</w:t>
      </w: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二是</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在地质灾害隐患点开展逐点应急演练25场，参与人数850人。</w:t>
      </w: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三是</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红原县斜坡地质灾害隐患风险详查及重点场镇地质灾害精细调查项目已完成野外调查工作，正在准备开展野外验收工作；</w:t>
      </w: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四是</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全面贯彻落实省、州、县防灾减灾和安全生产会议精神，尤其是在“6·27汶川山洪泥石流灾害”、“8.9雅安市雨城区山洪”、“8.21金阳县山洪灾害”发生后，立足本职，迅速安排部署，提前分析研判雨情变化，积极做好防汛工作；</w:t>
      </w: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五是</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排查现有在建工程工棚、营地19处，新添加预警接收人员39名，排查22处地灾隐患点和已销号的33处地灾隐患点均未产生新隐患，排查已治理工程18处，隐患点无明显变形现象，治理工程运行正常。</w:t>
      </w: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六是</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积极推进“6·10”马尔康6.0级震群地震灾后恢复重建工作。红原县查尔玛乡查龙村村委会后山滑坡应急排危项目已竣工验收，该项目下达灾后重建工程治理资金97.5万元，已拨付资金73.93万元；震后地质灾害风险排查及安置点评估项目，成果已经州自然资源局组织的专家审查，该项目下达资金33万元，已拨付资金27.4万元，已全部拨付完成</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outlineLvl w:val="2"/>
        <w:rPr>
          <w:rFonts w:hint="default" w:ascii="Times New Roman" w:hAnsi="Times New Roman" w:eastAsia="黑体" w:cs="Times New Roman"/>
          <w:i w:val="0"/>
          <w:iCs w:val="0"/>
          <w:caps w:val="0"/>
          <w:color w:val="auto"/>
          <w:spacing w:val="0"/>
          <w:sz w:val="32"/>
          <w:szCs w:val="32"/>
          <w:shd w:val="clear" w:color="auto" w:fill="FFFFFF"/>
          <w:lang w:val="en-US" w:eastAsia="zh-CN"/>
        </w:rPr>
      </w:pPr>
      <w:r>
        <w:rPr>
          <w:rFonts w:hint="eastAsia" w:ascii="Times New Roman" w:hAnsi="Times New Roman" w:eastAsia="黑体" w:cs="Times New Roman"/>
          <w:i w:val="0"/>
          <w:iCs w:val="0"/>
          <w:caps w:val="0"/>
          <w:color w:val="auto"/>
          <w:spacing w:val="0"/>
          <w:sz w:val="32"/>
          <w:szCs w:val="32"/>
          <w:shd w:val="clear" w:color="auto" w:fill="FFFFFF"/>
          <w:lang w:val="en-US" w:eastAsia="zh-CN"/>
        </w:rPr>
        <w:t>4.</w:t>
      </w:r>
      <w:r>
        <w:rPr>
          <w:rFonts w:hint="default" w:ascii="Times New Roman" w:hAnsi="Times New Roman" w:eastAsia="黑体" w:cs="Times New Roman"/>
          <w:i w:val="0"/>
          <w:iCs w:val="0"/>
          <w:caps w:val="0"/>
          <w:color w:val="auto"/>
          <w:spacing w:val="0"/>
          <w:sz w:val="32"/>
          <w:szCs w:val="32"/>
          <w:shd w:val="clear" w:color="auto" w:fill="FFFFFF"/>
          <w:lang w:val="en-US" w:eastAsia="zh-CN"/>
        </w:rPr>
        <w:t>空间规划工作</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kern w:val="0"/>
          <w:sz w:val="32"/>
          <w:szCs w:val="32"/>
          <w:lang w:val="en-US" w:eastAsia="zh-CN" w:bidi="ar-SA"/>
        </w:rPr>
        <w:t>一是</w:t>
      </w:r>
      <w:r>
        <w:rPr>
          <w:rFonts w:hint="default" w:ascii="Times New Roman" w:hAnsi="Times New Roman" w:eastAsia="仿宋_GB2312" w:cs="Times New Roman"/>
          <w:b w:val="0"/>
          <w:bCs w:val="0"/>
          <w:color w:val="auto"/>
          <w:sz w:val="32"/>
          <w:szCs w:val="32"/>
          <w:lang w:val="en-US" w:eastAsia="zh-CN" w:bidi="ar-SA"/>
        </w:rPr>
        <w:t>县国土空间总体规划编制，</w:t>
      </w:r>
      <w:r>
        <w:rPr>
          <w:rFonts w:hint="default" w:ascii="Times New Roman" w:hAnsi="Times New Roman" w:eastAsia="仿宋_GB2312" w:cs="Times New Roman"/>
          <w:b w:val="0"/>
          <w:bCs w:val="0"/>
          <w:color w:val="auto"/>
          <w:sz w:val="32"/>
          <w:szCs w:val="32"/>
          <w:lang w:val="en-US" w:eastAsia="zh-CN"/>
        </w:rPr>
        <w:t>7月3日，县委书记杨文松、县长阿江召开《规划》专题审查会后，按照程序完成了县人民政府常务会审查、县人大常委会审定，目前已按照程序上报相关成果。8月12日，提交规划成果数据库至州局，由州局汇总后提交省厅。9月1号省厅下发关于县级数据库修改意见，结合阿坝州要求，现正在修改数据库成果</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b/>
          <w:bCs/>
          <w:color w:val="auto"/>
          <w:kern w:val="0"/>
          <w:sz w:val="32"/>
          <w:szCs w:val="32"/>
          <w:lang w:val="en-US" w:eastAsia="zh-CN" w:bidi="ar-SA"/>
        </w:rPr>
        <w:t>二是</w:t>
      </w:r>
      <w:r>
        <w:rPr>
          <w:rFonts w:hint="default" w:ascii="Times New Roman" w:hAnsi="Times New Roman" w:eastAsia="仿宋_GB2312" w:cs="Times New Roman"/>
          <w:color w:val="auto"/>
          <w:kern w:val="0"/>
          <w:sz w:val="32"/>
          <w:szCs w:val="32"/>
          <w:lang w:val="en-US" w:eastAsia="zh-CN" w:bidi="ar-SA"/>
        </w:rPr>
        <w:t>乡村片区国土空间规划工作。</w:t>
      </w:r>
      <w:r>
        <w:rPr>
          <w:rFonts w:hint="default" w:ascii="Times New Roman" w:hAnsi="Times New Roman" w:eastAsia="仿宋_GB2312" w:cs="Times New Roman"/>
          <w:color w:val="auto"/>
          <w:sz w:val="32"/>
          <w:szCs w:val="32"/>
          <w:lang w:val="en-US" w:eastAsia="zh-CN"/>
        </w:rPr>
        <w:t>截至目前，5个乡镇级片区国土空间总体规划基本已编制完成。邛溪片区、瓦切片区、安曲片区三个乡镇片区规划成果于7月12日已完成州级专家评审。刷经寺生态种养片区、查尔玛现代畜牧片区，目前已形成初步成果编制，现正在征求意见。</w:t>
      </w:r>
      <w:r>
        <w:rPr>
          <w:rFonts w:hint="default" w:ascii="Times New Roman" w:hAnsi="Times New Roman" w:eastAsia="仿宋_GB2312" w:cs="Times New Roman"/>
          <w:b/>
          <w:bCs/>
          <w:color w:val="auto"/>
          <w:sz w:val="32"/>
          <w:szCs w:val="32"/>
          <w:lang w:val="en-US" w:eastAsia="zh-CN"/>
        </w:rPr>
        <w:t>三是</w:t>
      </w:r>
      <w:r>
        <w:rPr>
          <w:rFonts w:hint="default" w:ascii="Times New Roman" w:hAnsi="Times New Roman" w:eastAsia="仿宋_GB2312" w:cs="Times New Roman"/>
          <w:color w:val="auto"/>
          <w:sz w:val="32"/>
          <w:szCs w:val="32"/>
          <w:lang w:val="en-US" w:eastAsia="zh-CN"/>
        </w:rPr>
        <w:t>编制完成8个村级国土空间规划，正在征求各乡镇、各部门意见。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2"/>
        <w:rPr>
          <w:rFonts w:hint="default" w:ascii="Times New Roman" w:hAnsi="Times New Roman" w:eastAsia="黑体" w:cs="Times New Roman"/>
          <w:i w:val="0"/>
          <w:iCs w:val="0"/>
          <w:caps w:val="0"/>
          <w:color w:val="auto"/>
          <w:spacing w:val="0"/>
          <w:sz w:val="32"/>
          <w:szCs w:val="32"/>
          <w:shd w:val="clear" w:color="auto" w:fill="FFFFFF"/>
          <w:lang w:val="en-US" w:eastAsia="zh-CN"/>
        </w:rPr>
      </w:pPr>
      <w:r>
        <w:rPr>
          <w:rFonts w:hint="eastAsia" w:ascii="Times New Roman" w:hAnsi="Times New Roman" w:eastAsia="黑体" w:cs="Times New Roman"/>
          <w:i w:val="0"/>
          <w:iCs w:val="0"/>
          <w:caps w:val="0"/>
          <w:color w:val="auto"/>
          <w:spacing w:val="0"/>
          <w:sz w:val="32"/>
          <w:szCs w:val="32"/>
          <w:shd w:val="clear" w:color="auto" w:fill="FFFFFF"/>
          <w:lang w:val="en-US" w:eastAsia="zh-CN"/>
        </w:rPr>
        <w:t>5.</w:t>
      </w:r>
      <w:r>
        <w:rPr>
          <w:rFonts w:hint="default" w:ascii="Times New Roman" w:hAnsi="Times New Roman" w:eastAsia="黑体" w:cs="Times New Roman"/>
          <w:i w:val="0"/>
          <w:iCs w:val="0"/>
          <w:caps w:val="0"/>
          <w:color w:val="auto"/>
          <w:spacing w:val="0"/>
          <w:sz w:val="32"/>
          <w:szCs w:val="32"/>
          <w:shd w:val="clear" w:color="auto" w:fill="FFFFFF"/>
          <w:lang w:val="en-US" w:eastAsia="zh-CN"/>
        </w:rPr>
        <w:t>自然资源执法工作</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b/>
          <w:bCs/>
          <w:i w:val="0"/>
          <w:iCs w:val="0"/>
          <w:caps w:val="0"/>
          <w:color w:val="auto"/>
          <w:spacing w:val="0"/>
          <w:kern w:val="2"/>
          <w:sz w:val="32"/>
          <w:szCs w:val="32"/>
          <w:shd w:val="clear" w:color="auto" w:fill="FFFFFF"/>
          <w:lang w:val="en-US" w:eastAsia="zh-CN" w:bidi="ar-SA"/>
        </w:rPr>
        <w:t>一是</w:t>
      </w:r>
      <w:r>
        <w:rPr>
          <w:rFonts w:hint="default" w:ascii="Times New Roman" w:hAnsi="Times New Roman" w:eastAsia="仿宋_GB2312" w:cs="Times New Roman"/>
          <w:color w:val="auto"/>
          <w:sz w:val="32"/>
          <w:szCs w:val="32"/>
        </w:rPr>
        <w:t>开展自然资源动态巡查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对县域内在建重大项目，尤其是对久马高速、山水工程、西成铁路建设工程定期开展执法检查工作</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w:t>
      </w:r>
      <w:r>
        <w:rPr>
          <w:rFonts w:hint="default" w:ascii="Times New Roman" w:hAnsi="Times New Roman"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rPr>
        <w:t>是</w:t>
      </w:r>
      <w:r>
        <w:rPr>
          <w:rFonts w:hint="default" w:ascii="Times New Roman" w:hAnsi="Times New Roman" w:eastAsia="仿宋_GB2312" w:cs="Times New Roman"/>
          <w:color w:val="auto"/>
          <w:sz w:val="32"/>
          <w:szCs w:val="32"/>
        </w:rPr>
        <w:t>依法依规查处违法案件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截至目前</w:t>
      </w:r>
      <w:r>
        <w:rPr>
          <w:rFonts w:hint="default" w:ascii="Times New Roman" w:hAnsi="Times New Roman" w:eastAsia="仿宋_GB2312" w:cs="Times New Roman"/>
          <w:color w:val="auto"/>
          <w:sz w:val="32"/>
          <w:szCs w:val="32"/>
        </w:rPr>
        <w:t>共查处自然资源领域违法案件13件。其中针对盗采土石料和泥炭采取全链条打击执法，查处盗采土石料案件5件，移交盗采泥炭案件1起，处罚盗采泥炭司机7人，协助州自然资源局办理违法用地案件1起</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w:t>
      </w:r>
      <w:r>
        <w:rPr>
          <w:rFonts w:hint="default" w:ascii="Times New Roman" w:hAnsi="Times New Roman" w:eastAsia="楷体" w:cs="Times New Roman"/>
          <w:b/>
          <w:bCs/>
          <w:color w:val="auto"/>
          <w:sz w:val="32"/>
          <w:szCs w:val="32"/>
        </w:rPr>
        <w:t>三是</w:t>
      </w:r>
      <w:r>
        <w:rPr>
          <w:rFonts w:hint="default" w:ascii="Times New Roman" w:hAnsi="Times New Roman" w:eastAsia="仿宋_GB2312" w:cs="Times New Roman"/>
          <w:b w:val="0"/>
          <w:bCs w:val="0"/>
          <w:color w:val="auto"/>
          <w:sz w:val="32"/>
          <w:szCs w:val="32"/>
        </w:rPr>
        <w:t>卫片执法核查</w:t>
      </w:r>
      <w:r>
        <w:rPr>
          <w:rFonts w:hint="default" w:ascii="Times New Roman" w:hAnsi="Times New Roman" w:eastAsia="楷体" w:cs="Times New Roman"/>
          <w:b/>
          <w:bCs/>
          <w:color w:val="auto"/>
          <w:sz w:val="32"/>
          <w:szCs w:val="32"/>
          <w:lang w:eastAsia="zh-CN"/>
        </w:rPr>
        <w:t>，</w:t>
      </w:r>
      <w:r>
        <w:rPr>
          <w:rFonts w:hint="default" w:ascii="Times New Roman" w:hAnsi="Times New Roman" w:eastAsia="仿宋_GB2312" w:cs="Times New Roman"/>
          <w:color w:val="auto"/>
          <w:kern w:val="2"/>
          <w:sz w:val="32"/>
          <w:szCs w:val="32"/>
        </w:rPr>
        <w:t>完成</w:t>
      </w:r>
      <w:r>
        <w:rPr>
          <w:rFonts w:hint="eastAsia" w:ascii="Times New Roman" w:hAnsi="Times New Roman" w:eastAsia="仿宋_GB2312" w:cs="Times New Roman"/>
          <w:color w:val="auto"/>
          <w:kern w:val="2"/>
          <w:sz w:val="32"/>
          <w:szCs w:val="32"/>
          <w:lang w:val="en-US" w:eastAsia="zh-CN"/>
        </w:rPr>
        <w:t>91</w:t>
      </w:r>
      <w:r>
        <w:rPr>
          <w:rFonts w:hint="default" w:ascii="Times New Roman" w:hAnsi="Times New Roman" w:eastAsia="仿宋_GB2312" w:cs="Times New Roman"/>
          <w:color w:val="auto"/>
          <w:kern w:val="2"/>
          <w:sz w:val="32"/>
          <w:szCs w:val="32"/>
        </w:rPr>
        <w:t>个土地卫片图斑外业核查上报工作。</w:t>
      </w:r>
    </w:p>
    <w:p>
      <w:pPr>
        <w:keepNext w:val="0"/>
        <w:keepLines w:val="0"/>
        <w:pageBreakBefore w:val="0"/>
        <w:widowControl w:val="0"/>
        <w:numPr>
          <w:ilvl w:val="0"/>
          <w:numId w:val="1"/>
        </w:numPr>
        <w:kinsoku/>
        <w:wordWrap/>
        <w:overflowPunct/>
        <w:topLinePunct w:val="0"/>
        <w:autoSpaceDE/>
        <w:autoSpaceDN/>
        <w:bidi w:val="0"/>
        <w:spacing w:line="560" w:lineRule="exact"/>
        <w:ind w:firstLine="640" w:firstLineChars="200"/>
        <w:jc w:val="both"/>
        <w:textAlignment w:val="auto"/>
        <w:outlineLvl w:val="2"/>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红原县“山水工程”领导小组办公室工作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ascii="仿宋_GB2312" w:hAnsi="仿宋_GB2312" w:eastAsia="仿宋_GB2312" w:cs="仿宋_GB2312"/>
          <w:b w:val="0"/>
          <w:color w:val="auto"/>
          <w:kern w:val="2"/>
          <w:sz w:val="32"/>
          <w:szCs w:val="32"/>
          <w:lang w:val="en-US" w:eastAsia="zh-CN" w:bidi="ar-SA"/>
        </w:rPr>
        <w:t>项目推进情况。我县“山水工程”项目共46个，</w:t>
      </w:r>
      <w:r>
        <w:rPr>
          <w:rFonts w:hint="eastAsia" w:ascii="仿宋_GB2312" w:hAnsi="仿宋_GB2312" w:eastAsia="仿宋_GB2312" w:cs="仿宋_GB2312"/>
          <w:b w:val="0"/>
          <w:bCs w:val="0"/>
          <w:color w:val="auto"/>
          <w:kern w:val="2"/>
          <w:sz w:val="32"/>
          <w:szCs w:val="32"/>
          <w:highlight w:val="none"/>
          <w:lang w:val="en-US" w:eastAsia="zh-CN" w:bidi="ar-SA"/>
        </w:rPr>
        <w:t>已</w:t>
      </w:r>
      <w:r>
        <w:rPr>
          <w:rFonts w:hint="eastAsia" w:ascii="仿宋_GB2312" w:hAnsi="仿宋_GB2312" w:eastAsia="仿宋_GB2312" w:cs="仿宋_GB2312"/>
          <w:b/>
          <w:bCs/>
          <w:color w:val="auto"/>
          <w:kern w:val="2"/>
          <w:sz w:val="32"/>
          <w:szCs w:val="32"/>
          <w:highlight w:val="none"/>
          <w:lang w:val="en-US" w:eastAsia="zh-CN" w:bidi="ar-SA"/>
        </w:rPr>
        <w:t>完工项目</w:t>
      </w:r>
      <w:r>
        <w:rPr>
          <w:rFonts w:hint="eastAsia" w:ascii="仿宋_GB2312" w:hAnsi="仿宋_GB2312" w:eastAsia="仿宋_GB2312" w:cs="仿宋_GB2312"/>
          <w:b w:val="0"/>
          <w:bCs w:val="0"/>
          <w:color w:val="auto"/>
          <w:kern w:val="2"/>
          <w:sz w:val="32"/>
          <w:szCs w:val="32"/>
          <w:highlight w:val="none"/>
          <w:lang w:val="en-US" w:eastAsia="zh-CN" w:bidi="ar-SA"/>
        </w:rPr>
        <w:t>36个（完成结算审核4个，正在办理结算审核29个，整改项目2个，完工待验收1个）</w:t>
      </w:r>
      <w:r>
        <w:rPr>
          <w:rFonts w:hint="eastAsia" w:ascii="仿宋_GB2312" w:hAnsi="仿宋_GB2312" w:eastAsia="仿宋_GB2312" w:cs="仿宋_GB2312"/>
          <w:b w:val="0"/>
          <w:color w:val="auto"/>
          <w:kern w:val="2"/>
          <w:sz w:val="32"/>
          <w:szCs w:val="32"/>
          <w:highlight w:val="none"/>
          <w:lang w:val="en-US" w:eastAsia="zh-CN" w:bidi="ar-SA"/>
        </w:rPr>
        <w:t>，占项目总数的78.26%；</w:t>
      </w:r>
      <w:r>
        <w:rPr>
          <w:rFonts w:hint="eastAsia" w:ascii="仿宋_GB2312" w:hAnsi="仿宋_GB2312" w:eastAsia="仿宋_GB2312" w:cs="仿宋_GB2312"/>
          <w:b/>
          <w:bCs/>
          <w:color w:val="auto"/>
          <w:kern w:val="2"/>
          <w:sz w:val="32"/>
          <w:szCs w:val="32"/>
          <w:highlight w:val="none"/>
          <w:lang w:val="en-US" w:eastAsia="zh-CN" w:bidi="ar-SA"/>
        </w:rPr>
        <w:t>在建项目10个，</w:t>
      </w:r>
      <w:r>
        <w:rPr>
          <w:rFonts w:hint="eastAsia" w:ascii="仿宋_GB2312" w:hAnsi="仿宋_GB2312" w:eastAsia="仿宋_GB2312" w:cs="仿宋_GB2312"/>
          <w:b w:val="0"/>
          <w:color w:val="auto"/>
          <w:kern w:val="2"/>
          <w:sz w:val="32"/>
          <w:szCs w:val="32"/>
          <w:highlight w:val="none"/>
          <w:lang w:val="en-US" w:eastAsia="zh-CN" w:bidi="ar-SA"/>
        </w:rPr>
        <w:t>占项目总数的21.74%</w:t>
      </w:r>
      <w:r>
        <w:rPr>
          <w:rFonts w:hint="eastAsia" w:ascii="仿宋_GB2312" w:hAnsi="仿宋_GB2312" w:eastAsia="仿宋_GB2312" w:cs="仿宋_GB2312"/>
          <w:b w:val="0"/>
          <w:bCs w:val="0"/>
          <w:color w:val="auto"/>
          <w:kern w:val="2"/>
          <w:sz w:val="32"/>
          <w:szCs w:val="32"/>
          <w:highlight w:val="none"/>
          <w:shd w:val="clear" w:color="auto" w:fill="auto"/>
          <w:lang w:val="en-US" w:eastAsia="zh-CN" w:bidi="ar-SA"/>
        </w:rPr>
        <w:t>（预计需跨年实施的项目8个）。</w:t>
      </w:r>
      <w:r>
        <w:rPr>
          <w:rFonts w:hint="eastAsia" w:ascii="仿宋_GB2312" w:hAnsi="仿宋_GB2312" w:eastAsia="仿宋_GB2312" w:cs="仿宋_GB2312"/>
          <w:b w:val="0"/>
          <w:color w:val="auto"/>
          <w:kern w:val="2"/>
          <w:sz w:val="32"/>
          <w:szCs w:val="32"/>
          <w:lang w:val="en-US" w:eastAsia="zh-CN" w:bidi="ar-SA"/>
        </w:rPr>
        <w:t>资金拨付情况。</w:t>
      </w:r>
      <w:r>
        <w:rPr>
          <w:rFonts w:hint="eastAsia" w:ascii="仿宋_GB2312" w:hAnsi="仿宋_GB2312" w:eastAsia="仿宋_GB2312" w:cs="仿宋_GB2312"/>
          <w:b w:val="0"/>
          <w:color w:val="auto"/>
          <w:kern w:val="2"/>
          <w:sz w:val="32"/>
          <w:szCs w:val="32"/>
          <w:highlight w:val="none"/>
          <w:lang w:val="en-US" w:eastAsia="zh-CN" w:bidi="ar-SA"/>
        </w:rPr>
        <w:t>项目累计到位资金9.95亿元，拨付资金</w:t>
      </w:r>
      <w:r>
        <w:rPr>
          <w:rFonts w:hint="eastAsia" w:ascii="仿宋_GB2312" w:hAnsi="仿宋_GB2312" w:eastAsia="仿宋_GB2312" w:cs="仿宋_GB2312"/>
          <w:b w:val="0"/>
          <w:bCs w:val="0"/>
          <w:color w:val="auto"/>
          <w:kern w:val="2"/>
          <w:sz w:val="32"/>
          <w:szCs w:val="32"/>
          <w:highlight w:val="none"/>
          <w:lang w:val="en-US" w:eastAsia="zh-CN" w:bidi="ar-SA"/>
        </w:rPr>
        <w:t>7.03</w:t>
      </w:r>
      <w:r>
        <w:rPr>
          <w:rFonts w:hint="eastAsia" w:ascii="仿宋_GB2312" w:hAnsi="仿宋_GB2312" w:eastAsia="仿宋_GB2312" w:cs="仿宋_GB2312"/>
          <w:b w:val="0"/>
          <w:color w:val="auto"/>
          <w:kern w:val="2"/>
          <w:sz w:val="32"/>
          <w:szCs w:val="32"/>
          <w:highlight w:val="none"/>
          <w:lang w:val="en-US" w:eastAsia="zh-CN" w:bidi="ar-SA"/>
        </w:rPr>
        <w:t>亿元，拨付比例70.65%。其中，中央资金到位5.11亿元，拨付资金4.30亿元，拨付比例84.15%（2023年</w:t>
      </w:r>
      <w:r>
        <w:rPr>
          <w:rFonts w:hint="eastAsia" w:ascii="仿宋_GB2312" w:hAnsi="仿宋_GB2312" w:eastAsia="仿宋_GB2312" w:cs="仿宋_GB2312"/>
          <w:b w:val="0"/>
          <w:bCs/>
          <w:sz w:val="32"/>
          <w:szCs w:val="32"/>
          <w:lang w:eastAsia="zh-CN"/>
        </w:rPr>
        <w:t>28136万元</w:t>
      </w:r>
      <w:r>
        <w:rPr>
          <w:rFonts w:hint="eastAsia" w:ascii="仿宋_GB2312" w:hAnsi="仿宋_GB2312" w:eastAsia="仿宋_GB2312" w:cs="仿宋_GB2312"/>
          <w:b w:val="0"/>
          <w:color w:val="auto"/>
          <w:kern w:val="2"/>
          <w:sz w:val="32"/>
          <w:szCs w:val="32"/>
          <w:highlight w:val="none"/>
          <w:lang w:val="en-US" w:eastAsia="zh-CN" w:bidi="ar-SA"/>
        </w:rPr>
        <w:t>，已拨付</w:t>
      </w:r>
      <w:r>
        <w:rPr>
          <w:rFonts w:hint="eastAsia" w:ascii="仿宋_GB2312" w:hAnsi="仿宋_GB2312" w:eastAsia="仿宋_GB2312" w:cs="仿宋_GB2312"/>
          <w:b w:val="0"/>
          <w:bCs/>
          <w:sz w:val="32"/>
          <w:szCs w:val="32"/>
          <w:lang w:eastAsia="zh-CN"/>
        </w:rPr>
        <w:t>20065.61万元</w:t>
      </w:r>
      <w:r>
        <w:rPr>
          <w:rFonts w:hint="eastAsia" w:ascii="仿宋_GB2312" w:hAnsi="仿宋_GB2312" w:eastAsia="仿宋_GB2312" w:cs="仿宋_GB2312"/>
          <w:b w:val="0"/>
          <w:color w:val="auto"/>
          <w:kern w:val="2"/>
          <w:sz w:val="32"/>
          <w:szCs w:val="32"/>
          <w:highlight w:val="none"/>
          <w:lang w:val="en-US" w:eastAsia="zh-CN" w:bidi="ar-SA"/>
        </w:rPr>
        <w:t>，拨付率71.32%）。地方统筹资金到位4.84亿元，拨付资金2.73亿元，拨付比例56.40%。</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outlineLvl w:val="1"/>
        <w:rPr>
          <w:rFonts w:hint="eastAsia" w:ascii="Times New Roman" w:hAnsi="Times New Roman" w:eastAsia="黑体" w:cs="Times New Roman"/>
          <w:b w:val="0"/>
          <w:bCs w:val="0"/>
          <w:sz w:val="32"/>
          <w:szCs w:val="32"/>
          <w:lang w:val="en-US" w:eastAsia="zh-CN"/>
        </w:rPr>
      </w:pPr>
      <w:bookmarkStart w:id="8" w:name="_Toc27144"/>
      <w:bookmarkStart w:id="9" w:name="_Toc16140"/>
      <w:r>
        <w:rPr>
          <w:rFonts w:hint="eastAsia" w:ascii="Times New Roman" w:hAnsi="Times New Roman" w:eastAsia="黑体" w:cs="Times New Roman"/>
          <w:b w:val="0"/>
          <w:bCs w:val="0"/>
          <w:sz w:val="32"/>
          <w:szCs w:val="32"/>
          <w:lang w:val="en-US" w:eastAsia="zh-CN"/>
        </w:rPr>
        <w:t>（三）2024年工作安排</w:t>
      </w:r>
      <w:bookmarkEnd w:id="8"/>
      <w:bookmarkEnd w:id="9"/>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left"/>
        <w:textAlignment w:val="auto"/>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黑体" w:cs="Times New Roman"/>
          <w:bCs/>
          <w:sz w:val="32"/>
          <w:szCs w:val="32"/>
          <w:highlight w:val="none"/>
          <w:lang w:val="en-US" w:eastAsia="zh-CN"/>
        </w:rPr>
        <w:t>耕地保护，</w:t>
      </w:r>
      <w:r>
        <w:rPr>
          <w:rFonts w:hint="eastAsia" w:ascii="Times New Roman" w:hAnsi="Times New Roman" w:eastAsia="仿宋_GB2312" w:cs="Times New Roman"/>
          <w:bCs/>
          <w:sz w:val="32"/>
          <w:szCs w:val="32"/>
          <w:highlight w:val="none"/>
          <w:lang w:val="en-US" w:eastAsia="zh-CN"/>
        </w:rPr>
        <w:t>继续加强协调争取年内完成购买广安市耕地占补平衡指标交易到位；严格耕地管理，确保2024年耕地进出平衡；进一步加强田长制巡田管护，督促各级田长按时完成巡田任务</w:t>
      </w:r>
      <w:r>
        <w:rPr>
          <w:rFonts w:hint="default" w:ascii="Times New Roman" w:hAnsi="Times New Roman" w:eastAsia="仿宋_GB2312" w:cs="Times New Roman"/>
          <w:bCs/>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left"/>
        <w:textAlignment w:val="auto"/>
        <w:outlineLvl w:val="9"/>
        <w:rPr>
          <w:rFonts w:hint="default" w:ascii="Times New Roman" w:hAnsi="Times New Roman" w:eastAsia="黑体" w:cs="Times New Roman"/>
          <w:bCs/>
          <w:kern w:val="2"/>
          <w:sz w:val="32"/>
          <w:szCs w:val="32"/>
          <w:highlight w:val="none"/>
          <w:lang w:val="en-US" w:eastAsia="zh-CN" w:bidi="ar-SA"/>
        </w:rPr>
      </w:pPr>
      <w:r>
        <w:rPr>
          <w:rFonts w:hint="eastAsia" w:ascii="Times New Roman" w:hAnsi="Times New Roman" w:eastAsia="黑体" w:cs="Times New Roman"/>
          <w:bCs/>
          <w:kern w:val="2"/>
          <w:sz w:val="32"/>
          <w:szCs w:val="32"/>
          <w:highlight w:val="none"/>
          <w:lang w:val="en-US" w:eastAsia="zh-CN" w:bidi="ar-SA"/>
        </w:rPr>
        <w:t>草地定级估价试点</w:t>
      </w:r>
      <w:r>
        <w:rPr>
          <w:rFonts w:hint="default" w:ascii="Times New Roman" w:hAnsi="Times New Roman" w:eastAsia="黑体" w:cs="Times New Roman"/>
          <w:bCs/>
          <w:sz w:val="32"/>
          <w:szCs w:val="32"/>
          <w:highlight w:val="none"/>
          <w:lang w:val="en-US" w:eastAsia="zh-CN"/>
        </w:rPr>
        <w:t>，</w:t>
      </w:r>
      <w:r>
        <w:rPr>
          <w:rFonts w:hint="eastAsia" w:ascii="Times New Roman" w:hAnsi="Times New Roman" w:eastAsia="仿宋_GB2312" w:cs="Times New Roman"/>
          <w:bCs/>
          <w:sz w:val="32"/>
          <w:szCs w:val="32"/>
          <w:highlight w:val="none"/>
          <w:lang w:val="en-US" w:eastAsia="zh-CN"/>
        </w:rPr>
        <w:t>加快开展草地定级估价试点工作，按试点工作推进时间节点逐步推进草地定级成果编制、技术审核、公布等工作</w:t>
      </w:r>
      <w:r>
        <w:rPr>
          <w:rFonts w:hint="default" w:ascii="Times New Roman" w:hAnsi="Times New Roman" w:eastAsia="仿宋_GB2312" w:cs="Times New Roman"/>
          <w:bCs/>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left"/>
        <w:textAlignment w:val="auto"/>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黑体" w:cs="Times New Roman"/>
          <w:bCs/>
          <w:sz w:val="32"/>
          <w:szCs w:val="32"/>
          <w:highlight w:val="none"/>
          <w:lang w:val="en-US" w:eastAsia="zh-CN"/>
        </w:rPr>
        <w:t>空间规划，</w:t>
      </w:r>
      <w:r>
        <w:rPr>
          <w:rFonts w:hint="default" w:ascii="Times New Roman" w:hAnsi="Times New Roman" w:eastAsia="仿宋_GB2312" w:cs="Times New Roman"/>
          <w:bCs/>
          <w:sz w:val="32"/>
          <w:szCs w:val="32"/>
          <w:highlight w:val="none"/>
          <w:lang w:val="en-US" w:eastAsia="zh-CN"/>
        </w:rPr>
        <w:t>按照省州的序时进度加快完善空间规划编制成果，按照相关程序报送审批。</w:t>
      </w:r>
    </w:p>
    <w:p>
      <w:pPr>
        <w:pStyle w:val="7"/>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黑体" w:cs="Times New Roman"/>
          <w:bCs/>
          <w:sz w:val="32"/>
          <w:szCs w:val="32"/>
          <w:highlight w:val="none"/>
          <w:lang w:val="en-US" w:eastAsia="zh-CN"/>
        </w:rPr>
        <w:t>地灾防治，</w:t>
      </w:r>
      <w:r>
        <w:rPr>
          <w:rFonts w:hint="default" w:ascii="Times New Roman" w:hAnsi="Times New Roman" w:eastAsia="仿宋_GB2312" w:cs="Times New Roman"/>
          <w:b w:val="0"/>
          <w:bCs/>
          <w:sz w:val="32"/>
          <w:szCs w:val="32"/>
          <w:lang w:val="en-US" w:eastAsia="zh-CN"/>
        </w:rPr>
        <w:t>加强</w:t>
      </w:r>
      <w:r>
        <w:rPr>
          <w:rFonts w:hint="eastAsia" w:ascii="Times New Roman" w:hAnsi="Times New Roman" w:eastAsia="仿宋_GB2312" w:cs="Times New Roman"/>
          <w:b w:val="0"/>
          <w:bCs/>
          <w:sz w:val="32"/>
          <w:szCs w:val="32"/>
          <w:lang w:val="en-US" w:eastAsia="zh-CN"/>
        </w:rPr>
        <w:t>地灾隐患</w:t>
      </w:r>
      <w:r>
        <w:rPr>
          <w:rFonts w:hint="default" w:ascii="Times New Roman" w:hAnsi="Times New Roman" w:eastAsia="仿宋_GB2312" w:cs="Times New Roman"/>
          <w:b w:val="0"/>
          <w:bCs/>
          <w:sz w:val="32"/>
          <w:szCs w:val="32"/>
          <w:lang w:val="en-US" w:eastAsia="zh-CN"/>
        </w:rPr>
        <w:t>排查、严加防范，做到雨前排查、雨中巡查、雨后核查；</w:t>
      </w:r>
      <w:r>
        <w:rPr>
          <w:rFonts w:hint="eastAsia" w:ascii="Times New Roman" w:hAnsi="Times New Roman" w:eastAsia="仿宋_GB2312" w:cs="Times New Roman"/>
          <w:b w:val="0"/>
          <w:bCs/>
          <w:sz w:val="32"/>
          <w:szCs w:val="32"/>
          <w:lang w:val="en-US" w:eastAsia="zh-CN"/>
        </w:rPr>
        <w:t>积极</w:t>
      </w:r>
      <w:r>
        <w:rPr>
          <w:rFonts w:hint="default" w:ascii="Times New Roman" w:hAnsi="Times New Roman" w:eastAsia="仿宋_GB2312" w:cs="Times New Roman"/>
          <w:b w:val="0"/>
          <w:bCs/>
          <w:sz w:val="32"/>
          <w:szCs w:val="32"/>
          <w:lang w:val="en-US" w:eastAsia="zh-CN"/>
        </w:rPr>
        <w:t>推进</w:t>
      </w:r>
      <w:r>
        <w:rPr>
          <w:rFonts w:hint="eastAsia" w:ascii="仿宋_GB2312" w:hAnsi="仿宋_GB2312" w:eastAsia="仿宋_GB2312" w:cs="仿宋_GB2312"/>
          <w:sz w:val="32"/>
          <w:szCs w:val="32"/>
          <w:lang w:val="en-US" w:eastAsia="zh-CN"/>
        </w:rPr>
        <w:t>实施红原县2024年地质灾害综合防治体系建设项目。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left"/>
        <w:textAlignment w:val="auto"/>
        <w:outlineLvl w:val="9"/>
        <w:rPr>
          <w:rFonts w:hint="eastAsia" w:ascii="Times New Roman" w:hAnsi="Times New Roman" w:eastAsia="仿宋_GB2312" w:cs="Times New Roman"/>
          <w:b w:val="0"/>
          <w:bCs/>
          <w:kern w:val="2"/>
          <w:sz w:val="32"/>
          <w:szCs w:val="32"/>
          <w:lang w:val="en-US" w:eastAsia="zh-CN" w:bidi="ar-SA"/>
        </w:rPr>
      </w:pPr>
      <w:r>
        <w:rPr>
          <w:rFonts w:hint="default" w:ascii="Times New Roman" w:hAnsi="Times New Roman" w:eastAsia="黑体" w:cs="Times New Roman"/>
          <w:bCs/>
          <w:kern w:val="2"/>
          <w:sz w:val="32"/>
          <w:szCs w:val="32"/>
          <w:highlight w:val="none"/>
          <w:lang w:val="en-US" w:eastAsia="zh-CN" w:bidi="ar-SA"/>
        </w:rPr>
        <w:t>自然资源执法</w:t>
      </w:r>
      <w:r>
        <w:rPr>
          <w:rFonts w:hint="default" w:ascii="Times New Roman" w:hAnsi="Times New Roman" w:eastAsia="仿宋_GB2312" w:cs="Times New Roman"/>
          <w:b w:val="0"/>
          <w:bCs/>
          <w:kern w:val="2"/>
          <w:sz w:val="32"/>
          <w:szCs w:val="32"/>
          <w:lang w:val="en-US" w:eastAsia="zh-CN" w:bidi="ar-SA"/>
        </w:rPr>
        <w:t>，持续深入开展全县非法占地、乱圈乱占、乱搭乱建专项整治工作，严厉打击非法盗采泥炭资源违法行为，加强泥炭资源保护工作</w:t>
      </w:r>
      <w:r>
        <w:rPr>
          <w:rFonts w:hint="eastAsia" w:ascii="Times New Roman" w:hAnsi="Times New Roman" w:eastAsia="仿宋_GB2312" w:cs="Times New Roman"/>
          <w:b w:val="0"/>
          <w:bCs/>
          <w:kern w:val="2"/>
          <w:sz w:val="32"/>
          <w:szCs w:val="32"/>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lang w:val="en-US" w:eastAsia="zh-CN"/>
        </w:rPr>
      </w:pPr>
      <w:r>
        <w:rPr>
          <w:rFonts w:hint="eastAsia" w:ascii="Times New Roman" w:hAnsi="Times New Roman" w:eastAsia="黑体" w:cs="Times New Roman"/>
          <w:b w:val="0"/>
          <w:bCs w:val="0"/>
          <w:color w:val="auto"/>
          <w:kern w:val="2"/>
          <w:sz w:val="32"/>
          <w:szCs w:val="32"/>
          <w:lang w:val="en-US" w:eastAsia="zh-CN" w:bidi="ar-SA"/>
        </w:rPr>
        <w:t>山水工作，</w:t>
      </w:r>
      <w:r>
        <w:rPr>
          <w:rFonts w:hint="eastAsia" w:ascii="Times New Roman" w:hAnsi="Times New Roman" w:eastAsia="楷体_GB2312" w:cs="Times New Roman"/>
          <w:bCs/>
          <w:sz w:val="32"/>
          <w:szCs w:val="32"/>
          <w:lang w:val="en-US" w:eastAsia="zh-CN"/>
        </w:rPr>
        <w:t>一</w:t>
      </w:r>
      <w:r>
        <w:rPr>
          <w:rFonts w:hint="default" w:ascii="Times New Roman" w:hAnsi="Times New Roman" w:eastAsia="楷体_GB2312" w:cs="Times New Roman"/>
          <w:bCs/>
          <w:sz w:val="32"/>
          <w:szCs w:val="32"/>
        </w:rPr>
        <w:t>是</w:t>
      </w:r>
      <w:r>
        <w:rPr>
          <w:rFonts w:hint="default" w:ascii="Times New Roman" w:hAnsi="Times New Roman" w:eastAsia="仿宋_GB2312" w:cs="Times New Roman"/>
          <w:bCs/>
          <w:sz w:val="32"/>
          <w:szCs w:val="32"/>
        </w:rPr>
        <w:t>加快项目建设。</w:t>
      </w:r>
      <w:r>
        <w:rPr>
          <w:rFonts w:hint="eastAsia" w:ascii="Times New Roman" w:hAnsi="Times New Roman" w:eastAsia="楷体_GB2312" w:cs="Times New Roman"/>
          <w:bCs/>
          <w:sz w:val="32"/>
          <w:szCs w:val="32"/>
          <w:lang w:val="en-US" w:eastAsia="zh-CN"/>
        </w:rPr>
        <w:t>二</w:t>
      </w:r>
      <w:r>
        <w:rPr>
          <w:rFonts w:hint="default" w:ascii="Times New Roman" w:hAnsi="Times New Roman" w:eastAsia="楷体_GB2312" w:cs="Times New Roman"/>
          <w:bCs/>
          <w:sz w:val="32"/>
          <w:szCs w:val="32"/>
        </w:rPr>
        <w:t>是</w:t>
      </w:r>
      <w:r>
        <w:rPr>
          <w:rFonts w:hint="default" w:ascii="Times New Roman" w:hAnsi="Times New Roman" w:eastAsia="仿宋_GB2312" w:cs="Times New Roman"/>
          <w:bCs/>
          <w:sz w:val="32"/>
          <w:szCs w:val="32"/>
        </w:rPr>
        <w:t>加强项目管护。</w:t>
      </w:r>
      <w:r>
        <w:rPr>
          <w:rFonts w:hint="eastAsia" w:ascii="Times New Roman" w:hAnsi="Times New Roman" w:eastAsia="楷体_GB2312" w:cs="Times New Roman"/>
          <w:bCs/>
          <w:sz w:val="32"/>
          <w:szCs w:val="32"/>
          <w:lang w:val="en-US" w:eastAsia="zh-CN"/>
        </w:rPr>
        <w:t>三</w:t>
      </w:r>
      <w:r>
        <w:rPr>
          <w:rFonts w:hint="default" w:ascii="Times New Roman" w:hAnsi="Times New Roman" w:eastAsia="楷体_GB2312" w:cs="Times New Roman"/>
          <w:bCs/>
          <w:sz w:val="32"/>
          <w:szCs w:val="32"/>
        </w:rPr>
        <w:t>是</w:t>
      </w:r>
      <w:r>
        <w:rPr>
          <w:rFonts w:hint="default" w:ascii="Times New Roman" w:hAnsi="Times New Roman" w:eastAsia="仿宋_GB2312" w:cs="Times New Roman"/>
          <w:bCs/>
          <w:sz w:val="32"/>
          <w:szCs w:val="32"/>
        </w:rPr>
        <w:t>注重打造适应性管理提升项目。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0"/>
        <w:rPr>
          <w:rFonts w:hint="eastAsia" w:ascii="黑体" w:eastAsia="黑体"/>
          <w:color w:val="auto"/>
          <w:sz w:val="32"/>
          <w:szCs w:val="32"/>
        </w:rPr>
      </w:pPr>
      <w:bookmarkStart w:id="10" w:name="_Toc2248"/>
      <w:bookmarkStart w:id="11" w:name="_Toc975"/>
      <w:r>
        <w:rPr>
          <w:rFonts w:hint="eastAsia" w:ascii="黑体" w:eastAsia="黑体"/>
          <w:color w:val="auto"/>
          <w:sz w:val="32"/>
          <w:szCs w:val="32"/>
        </w:rPr>
        <w:t>二、</w:t>
      </w:r>
      <w:r>
        <w:rPr>
          <w:rFonts w:hint="eastAsia" w:ascii="黑体" w:eastAsia="黑体"/>
          <w:color w:val="auto"/>
          <w:sz w:val="32"/>
          <w:szCs w:val="32"/>
          <w:lang w:eastAsia="zh-CN"/>
        </w:rPr>
        <w:t>部门</w:t>
      </w:r>
      <w:r>
        <w:rPr>
          <w:rFonts w:hint="eastAsia" w:ascii="黑体" w:eastAsia="黑体"/>
          <w:color w:val="auto"/>
          <w:sz w:val="32"/>
          <w:szCs w:val="32"/>
          <w:lang w:val="en-US" w:eastAsia="zh-CN"/>
        </w:rPr>
        <w:t>预算</w:t>
      </w:r>
      <w:r>
        <w:rPr>
          <w:rFonts w:hint="eastAsia" w:ascii="黑体" w:eastAsia="黑体"/>
          <w:color w:val="auto"/>
          <w:sz w:val="32"/>
          <w:szCs w:val="32"/>
          <w:lang w:eastAsia="zh-CN"/>
        </w:rPr>
        <w:t>单位构成</w:t>
      </w:r>
      <w:bookmarkEnd w:id="10"/>
      <w:bookmarkEnd w:id="11"/>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自然资源局含含行政单位1个，为局本级；事业单位1个，为不动产登记中心。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0"/>
        <w:rPr>
          <w:rFonts w:hint="eastAsia" w:ascii="黑体" w:eastAsia="黑体"/>
          <w:color w:val="auto"/>
          <w:sz w:val="32"/>
          <w:szCs w:val="32"/>
          <w:lang w:val="en-US" w:eastAsia="zh-CN"/>
        </w:rPr>
      </w:pPr>
      <w:bookmarkStart w:id="12" w:name="_Toc19210"/>
      <w:bookmarkStart w:id="13" w:name="_Toc11960"/>
      <w:r>
        <w:rPr>
          <w:rFonts w:hint="eastAsia" w:ascii="黑体" w:eastAsia="黑体"/>
          <w:color w:val="auto"/>
          <w:sz w:val="32"/>
          <w:szCs w:val="32"/>
          <w:lang w:val="en-US" w:eastAsia="zh-CN"/>
        </w:rPr>
        <w:t>三、收支预算总体情况</w:t>
      </w:r>
      <w:bookmarkEnd w:id="12"/>
      <w:bookmarkEnd w:id="13"/>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w:t>
      </w:r>
      <w:r>
        <w:rPr>
          <w:rFonts w:hint="eastAsia" w:ascii="仿宋_GB2312" w:eastAsia="仿宋_GB2312"/>
          <w:color w:val="auto"/>
          <w:sz w:val="32"/>
          <w:szCs w:val="32"/>
          <w:lang w:eastAsia="zh-CN"/>
        </w:rPr>
        <w:t>我局</w:t>
      </w:r>
      <w:r>
        <w:rPr>
          <w:rFonts w:hint="eastAsia" w:ascii="仿宋_GB2312" w:eastAsia="仿宋_GB2312"/>
          <w:color w:val="auto"/>
          <w:sz w:val="32"/>
          <w:szCs w:val="32"/>
        </w:rPr>
        <w:t>收入预算总额为</w:t>
      </w:r>
      <w:r>
        <w:rPr>
          <w:rFonts w:hint="eastAsia" w:ascii="仿宋_GB2312" w:eastAsia="仿宋_GB2312"/>
          <w:color w:val="auto"/>
          <w:sz w:val="32"/>
          <w:szCs w:val="32"/>
          <w:lang w:val="en-US" w:eastAsia="zh-CN"/>
        </w:rPr>
        <w:t>629.08万元</w:t>
      </w:r>
      <w:r>
        <w:rPr>
          <w:rFonts w:hint="eastAsia" w:ascii="仿宋_GB2312" w:eastAsia="仿宋_GB2312"/>
          <w:color w:val="auto"/>
          <w:sz w:val="32"/>
          <w:szCs w:val="32"/>
        </w:rPr>
        <w:t>，其中：当年财政拨款收入</w:t>
      </w:r>
      <w:r>
        <w:rPr>
          <w:rFonts w:hint="eastAsia" w:ascii="仿宋_GB2312" w:eastAsia="仿宋_GB2312"/>
          <w:color w:val="auto"/>
          <w:sz w:val="32"/>
          <w:szCs w:val="32"/>
          <w:lang w:val="en-US" w:eastAsia="zh-CN"/>
        </w:rPr>
        <w:t>629.08万元</w:t>
      </w:r>
      <w:r>
        <w:rPr>
          <w:rFonts w:hint="eastAsia" w:ascii="仿宋_GB2312" w:eastAsia="仿宋_GB2312"/>
          <w:color w:val="auto"/>
          <w:sz w:val="32"/>
          <w:szCs w:val="32"/>
        </w:rPr>
        <w:t>。相应安排支出预算</w:t>
      </w:r>
      <w:r>
        <w:rPr>
          <w:rFonts w:hint="eastAsia" w:ascii="仿宋_GB2312" w:eastAsia="仿宋_GB2312"/>
          <w:color w:val="auto"/>
          <w:sz w:val="32"/>
          <w:szCs w:val="32"/>
          <w:lang w:val="en-US" w:eastAsia="zh-CN"/>
        </w:rPr>
        <w:t>629.08万元</w:t>
      </w:r>
      <w:r>
        <w:rPr>
          <w:rFonts w:hint="eastAsia" w:ascii="仿宋_GB2312" w:eastAsia="仿宋_GB2312"/>
          <w:color w:val="auto"/>
          <w:sz w:val="32"/>
          <w:szCs w:val="32"/>
        </w:rPr>
        <w:t>，其中：卫生健康支出26.08</w:t>
      </w:r>
      <w:r>
        <w:rPr>
          <w:rFonts w:hint="eastAsia" w:ascii="仿宋_GB2312" w:eastAsia="仿宋_GB2312"/>
          <w:color w:val="auto"/>
          <w:sz w:val="32"/>
          <w:szCs w:val="32"/>
          <w:lang w:eastAsia="zh-CN"/>
        </w:rPr>
        <w:t>万元、自然资源海洋气象等支出497.78万元、住房保障支出37.33万元。</w:t>
      </w:r>
    </w:p>
    <w:p>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color w:val="auto"/>
          <w:sz w:val="32"/>
          <w:szCs w:val="32"/>
        </w:rPr>
      </w:pPr>
      <w:bookmarkStart w:id="14" w:name="_Toc12176"/>
      <w:bookmarkStart w:id="15" w:name="_Toc27701"/>
      <w:r>
        <w:rPr>
          <w:rFonts w:hint="eastAsia" w:ascii="黑体" w:eastAsia="黑体"/>
          <w:color w:val="auto"/>
          <w:sz w:val="32"/>
          <w:szCs w:val="32"/>
        </w:rPr>
        <w:t>支出预算安排情况</w:t>
      </w:r>
      <w:bookmarkEnd w:id="14"/>
      <w:bookmarkEnd w:id="15"/>
    </w:p>
    <w:p>
      <w:pPr>
        <w:keepNext w:val="0"/>
        <w:keepLines w:val="0"/>
        <w:pageBreakBefore w:val="0"/>
        <w:numPr>
          <w:ilvl w:val="0"/>
          <w:numId w:val="0"/>
        </w:numPr>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我局</w:t>
      </w:r>
      <w:r>
        <w:rPr>
          <w:rFonts w:hint="eastAsia" w:ascii="仿宋_GB2312" w:eastAsia="仿宋_GB2312"/>
          <w:color w:val="auto"/>
          <w:sz w:val="32"/>
          <w:szCs w:val="32"/>
        </w:rPr>
        <w:t>预算安排支出主要用于保障该部门机构正常运转、完成日常工作任务以及承担</w:t>
      </w:r>
      <w:r>
        <w:rPr>
          <w:rFonts w:hint="eastAsia" w:ascii="仿宋_GB2312" w:eastAsia="仿宋_GB2312"/>
          <w:color w:val="auto"/>
          <w:sz w:val="32"/>
          <w:szCs w:val="32"/>
          <w:lang w:eastAsia="zh-CN"/>
        </w:rPr>
        <w:t>自然资源</w:t>
      </w:r>
      <w:r>
        <w:rPr>
          <w:rFonts w:hint="eastAsia" w:ascii="仿宋_GB2312" w:eastAsia="仿宋_GB2312"/>
          <w:color w:val="auto"/>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color w:val="auto"/>
          <w:sz w:val="32"/>
          <w:szCs w:val="32"/>
          <w14:textFill>
            <w14:gradFill>
              <w14:gsLst>
                <w14:gs w14:pos="0">
                  <w14:srgbClr w14:val="FE4444"/>
                </w14:gs>
                <w14:gs w14:pos="100000">
                  <w14:srgbClr w14:val="832B2B"/>
                </w14:gs>
              </w14:gsLst>
              <w14:lin w14:scaled="0"/>
            </w14:gradFill>
          </w14:textFill>
        </w:rPr>
      </w:pPr>
      <w:r>
        <w:rPr>
          <w:rFonts w:hint="eastAsia" w:ascii="仿宋_GB2312" w:eastAsia="仿宋_GB2312"/>
          <w:color w:val="auto"/>
          <w:sz w:val="32"/>
          <w:szCs w:val="32"/>
        </w:rPr>
        <w:t>基本支出</w:t>
      </w:r>
      <w:r>
        <w:rPr>
          <w:rFonts w:hint="eastAsia" w:ascii="仿宋_GB2312" w:eastAsia="仿宋_GB2312"/>
          <w:color w:val="auto"/>
          <w:sz w:val="32"/>
          <w:szCs w:val="32"/>
          <w:lang w:val="en-US" w:eastAsia="zh-CN"/>
        </w:rPr>
        <w:t>490.68万元，</w:t>
      </w:r>
      <w:r>
        <w:rPr>
          <w:rFonts w:hint="eastAsia" w:ascii="仿宋_GB2312" w:eastAsia="仿宋_GB2312"/>
          <w:color w:val="auto"/>
          <w:sz w:val="32"/>
          <w:szCs w:val="32"/>
          <w:lang w:eastAsia="zh-CN"/>
        </w:rPr>
        <w:t>其中人员经费支出</w:t>
      </w:r>
      <w:r>
        <w:rPr>
          <w:rFonts w:hint="eastAsia" w:ascii="仿宋_GB2312" w:eastAsia="仿宋_GB2312"/>
          <w:color w:val="auto"/>
          <w:sz w:val="32"/>
          <w:szCs w:val="32"/>
          <w:lang w:val="en-US" w:eastAsia="zh-CN"/>
        </w:rPr>
        <w:t>461.84万元；公用经费28.84万元，其中：办公费4.33万元、印刷费0.8万元、手续费0.15万元、水费0.36万元、电费1.5万元、邮电费5.18万元、取暖费2.45万元、差旅费5.26万元、公务接待费0.32万元，工会经费3.39万元，公务用车运行维护费5.1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按支出功能分类主要用于以下方面:</w:t>
      </w:r>
    </w:p>
    <w:p>
      <w:pPr>
        <w:keepNext w:val="0"/>
        <w:keepLines w:val="0"/>
        <w:pageBreakBefore w:val="0"/>
        <w:numPr>
          <w:ilvl w:val="0"/>
          <w:numId w:val="3"/>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 自然资源海洋气象等支出497.78</w:t>
      </w:r>
      <w:r>
        <w:rPr>
          <w:rFonts w:hint="eastAsia" w:ascii="仿宋_GB2312" w:eastAsia="仿宋_GB2312"/>
          <w:color w:val="auto"/>
          <w:sz w:val="32"/>
          <w:szCs w:val="32"/>
          <w:lang w:eastAsia="zh-CN"/>
        </w:rPr>
        <w:t>万元</w:t>
      </w:r>
      <w:r>
        <w:rPr>
          <w:rFonts w:hint="eastAsia" w:ascii="仿宋_GB2312" w:eastAsia="仿宋_GB2312"/>
          <w:color w:val="auto"/>
          <w:sz w:val="32"/>
          <w:szCs w:val="32"/>
        </w:rPr>
        <w:t>，主要用于机关及下属事业单位人员工资、日常运转以及为完成特定行政工作任务和事业发展目标而安排的支出</w:t>
      </w:r>
      <w:r>
        <w:rPr>
          <w:rFonts w:hint="eastAsia" w:ascii="仿宋_GB2312" w:eastAsia="仿宋_GB2312"/>
          <w:color w:val="auto"/>
          <w:sz w:val="32"/>
          <w:szCs w:val="32"/>
          <w:lang w:eastAsia="zh-CN"/>
        </w:rPr>
        <w:t>。</w:t>
      </w:r>
    </w:p>
    <w:p>
      <w:pPr>
        <w:keepNext w:val="0"/>
        <w:keepLines w:val="0"/>
        <w:pageBreakBefore w:val="0"/>
        <w:numPr>
          <w:ilvl w:val="0"/>
          <w:numId w:val="3"/>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社会保障和就业</w:t>
      </w:r>
      <w:r>
        <w:rPr>
          <w:rFonts w:hint="eastAsia" w:ascii="仿宋_GB2312" w:eastAsia="仿宋_GB2312"/>
          <w:color w:val="auto"/>
          <w:sz w:val="32"/>
          <w:szCs w:val="32"/>
          <w:lang w:val="en-US" w:eastAsia="zh-CN"/>
        </w:rPr>
        <w:t>67.9万元</w:t>
      </w:r>
      <w:r>
        <w:rPr>
          <w:rFonts w:hint="eastAsia" w:ascii="仿宋_GB2312" w:eastAsia="仿宋_GB2312"/>
          <w:color w:val="auto"/>
          <w:sz w:val="32"/>
          <w:szCs w:val="32"/>
        </w:rPr>
        <w:t>，主要用于机关及下属事业单位</w:t>
      </w:r>
      <w:r>
        <w:rPr>
          <w:rFonts w:hint="eastAsia" w:ascii="仿宋_GB2312" w:eastAsia="仿宋_GB2312"/>
          <w:color w:val="auto"/>
          <w:sz w:val="32"/>
          <w:szCs w:val="32"/>
          <w:lang w:eastAsia="zh-CN"/>
        </w:rPr>
        <w:t>养老保险、职业年金等缴费</w:t>
      </w:r>
      <w:r>
        <w:rPr>
          <w:rFonts w:hint="eastAsia" w:ascii="仿宋_GB2312" w:eastAsia="仿宋_GB2312"/>
          <w:color w:val="auto"/>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（三）卫生</w:t>
      </w:r>
      <w:r>
        <w:rPr>
          <w:rFonts w:hint="eastAsia" w:ascii="仿宋_GB2312" w:eastAsia="仿宋_GB2312"/>
          <w:color w:val="auto"/>
          <w:sz w:val="32"/>
          <w:szCs w:val="32"/>
          <w:lang w:eastAsia="zh-CN"/>
        </w:rPr>
        <w:t>健康</w:t>
      </w:r>
      <w:r>
        <w:rPr>
          <w:rFonts w:hint="eastAsia" w:ascii="仿宋_GB2312" w:eastAsia="仿宋_GB2312"/>
          <w:color w:val="auto"/>
          <w:sz w:val="32"/>
          <w:szCs w:val="32"/>
          <w:lang w:val="en-US" w:eastAsia="zh-CN"/>
        </w:rPr>
        <w:t>26.08万元</w:t>
      </w:r>
      <w:r>
        <w:rPr>
          <w:rFonts w:hint="eastAsia" w:ascii="仿宋_GB2312" w:eastAsia="仿宋_GB2312"/>
          <w:color w:val="auto"/>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（四）住房保障支出</w:t>
      </w:r>
      <w:r>
        <w:rPr>
          <w:rFonts w:hint="eastAsia" w:ascii="仿宋_GB2312" w:eastAsia="仿宋_GB2312"/>
          <w:color w:val="auto"/>
          <w:sz w:val="32"/>
          <w:szCs w:val="32"/>
          <w:lang w:val="en-US" w:eastAsia="zh-CN"/>
        </w:rPr>
        <w:t>37.33万元</w:t>
      </w:r>
      <w:r>
        <w:rPr>
          <w:rFonts w:hint="eastAsia" w:ascii="仿宋_GB2312" w:eastAsia="仿宋_GB2312"/>
          <w:color w:val="auto"/>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outlineLvl w:val="0"/>
        <w:rPr>
          <w:rFonts w:hint="eastAsia" w:ascii="黑体" w:hAnsi="黑体" w:eastAsia="黑体" w:cs="黑体"/>
          <w:color w:val="auto"/>
          <w:sz w:val="32"/>
          <w:szCs w:val="32"/>
        </w:rPr>
      </w:pPr>
      <w:bookmarkStart w:id="16" w:name="_Toc8971"/>
      <w:bookmarkStart w:id="17" w:name="_Toc17474"/>
      <w:r>
        <w:rPr>
          <w:rFonts w:hint="eastAsia" w:ascii="黑体" w:hAnsi="黑体" w:eastAsia="黑体" w:cs="黑体"/>
          <w:color w:val="auto"/>
          <w:kern w:val="0"/>
          <w:sz w:val="32"/>
          <w:szCs w:val="32"/>
          <w:shd w:val="clear" w:color="auto" w:fill="FFFFFF"/>
          <w:lang w:val="en-US" w:eastAsia="zh-CN" w:bidi="ar"/>
        </w:rPr>
        <w:t>五、较上年度增减变化</w:t>
      </w:r>
      <w:bookmarkEnd w:id="16"/>
      <w:bookmarkEnd w:id="17"/>
      <w:r>
        <w:rPr>
          <w:rFonts w:hint="eastAsia" w:ascii="黑体" w:hAnsi="黑体" w:eastAsia="黑体" w:cs="黑体"/>
          <w:color w:val="auto"/>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本年度预算拨款收入629.08</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 xml:space="preserve">较上年度预算602.33万元增加了26.75万元，增加4.44%，其中基本支出预算490.68万元，占全部总预算的77.99%，较上年561.93万元减少了71.25万元，减少12.68%，原因为职工人员减少导致工资、保险减少，；项目支出138.4万元，较上年增加98万元，原因是本年增加国土变更调查工作经费。 </w:t>
      </w:r>
      <w:r>
        <w:rPr>
          <w:rFonts w:hint="eastAsia" w:ascii="黑体" w:hAnsi="黑体" w:eastAsia="黑体" w:cs="黑体"/>
          <w:color w:val="auto"/>
          <w:kern w:val="0"/>
          <w:sz w:val="32"/>
          <w:szCs w:val="32"/>
          <w:shd w:val="clear" w:color="auto" w:fill="FFFFFF"/>
          <w:lang w:val="en-US" w:eastAsia="zh-CN" w:bidi="ar"/>
        </w:rPr>
        <w:t xml:space="preserve"> </w:t>
      </w:r>
      <w:r>
        <w:rPr>
          <w:rFonts w:hint="eastAsia" w:ascii="仿宋_GB2312" w:eastAsia="仿宋_GB2312"/>
          <w:color w:val="auto"/>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outlineLvl w:val="0"/>
        <w:rPr>
          <w:rFonts w:hint="eastAsia" w:ascii="黑体" w:hAnsi="黑体" w:eastAsia="黑体" w:cs="黑体"/>
          <w:color w:val="auto"/>
          <w:kern w:val="0"/>
          <w:sz w:val="32"/>
          <w:szCs w:val="32"/>
          <w:shd w:val="clear" w:color="auto" w:fill="FFFFFF"/>
          <w:lang w:val="en-US" w:eastAsia="zh-CN" w:bidi="ar"/>
        </w:rPr>
      </w:pPr>
      <w:bookmarkStart w:id="18" w:name="_Toc15527"/>
      <w:bookmarkStart w:id="19" w:name="_Toc26876"/>
      <w:r>
        <w:rPr>
          <w:rFonts w:hint="eastAsia" w:ascii="黑体" w:hAnsi="黑体" w:eastAsia="黑体" w:cs="黑体"/>
          <w:color w:val="auto"/>
          <w:kern w:val="0"/>
          <w:sz w:val="32"/>
          <w:szCs w:val="32"/>
          <w:shd w:val="clear" w:color="auto" w:fill="FFFFFF"/>
          <w:lang w:val="en-US" w:eastAsia="zh-CN" w:bidi="ar"/>
        </w:rPr>
        <w:t>六、“三公”经费预算</w:t>
      </w:r>
      <w:bookmarkEnd w:id="18"/>
      <w:bookmarkEnd w:id="19"/>
      <w:r>
        <w:rPr>
          <w:rFonts w:hint="eastAsia" w:ascii="黑体" w:hAnsi="黑体" w:eastAsia="黑体" w:cs="黑体"/>
          <w:color w:val="auto"/>
          <w:kern w:val="0"/>
          <w:sz w:val="32"/>
          <w:szCs w:val="32"/>
          <w:shd w:val="clear" w:color="auto"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年度三公经费预算安排支出为5.42万元，其中：出国费0万元，与上年持平，主要原因为未安排因公出国；公车购置费0万元，与上年持平；公务用车维护费支出5.1万元，较上年度预算5.18万元减少0.08万元，减少1.54%，主要原因是减少单位用车使用费用；公务接待费0.32万元，与上年持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outlineLvl w:val="0"/>
        <w:rPr>
          <w:rFonts w:hint="eastAsia" w:ascii="黑体" w:hAnsi="黑体" w:eastAsia="黑体" w:cs="黑体"/>
          <w:color w:val="auto"/>
          <w:kern w:val="0"/>
          <w:sz w:val="32"/>
          <w:szCs w:val="32"/>
          <w:shd w:val="clear" w:color="auto" w:fill="FFFFFF"/>
          <w:lang w:val="en-US" w:eastAsia="zh-CN" w:bidi="ar"/>
        </w:rPr>
      </w:pPr>
      <w:bookmarkStart w:id="20" w:name="_Toc19998"/>
      <w:bookmarkStart w:id="21" w:name="_Toc6361"/>
      <w:r>
        <w:rPr>
          <w:rFonts w:hint="eastAsia" w:ascii="黑体" w:hAnsi="黑体" w:eastAsia="黑体" w:cs="黑体"/>
          <w:color w:val="auto"/>
          <w:kern w:val="0"/>
          <w:sz w:val="32"/>
          <w:szCs w:val="32"/>
          <w:shd w:val="clear" w:color="auto" w:fill="FFFFFF"/>
          <w:lang w:val="en-US" w:eastAsia="zh-CN" w:bidi="ar"/>
        </w:rPr>
        <w:t>七、政府性基金预算收支情况说明</w:t>
      </w:r>
      <w:bookmarkEnd w:id="20"/>
      <w:bookmarkEnd w:id="21"/>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2024年没有政府性基金预算拨款安排的支出。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hAnsi="黑体" w:eastAsia="黑体" w:cs="黑体"/>
          <w:color w:val="auto"/>
          <w:kern w:val="0"/>
          <w:sz w:val="32"/>
          <w:szCs w:val="32"/>
          <w:shd w:val="clear" w:color="auto" w:fill="FFFFFF"/>
          <w:lang w:val="en-US" w:eastAsia="zh-CN" w:bidi="ar"/>
        </w:rPr>
      </w:pPr>
      <w:bookmarkStart w:id="22" w:name="_Toc3972"/>
      <w:bookmarkStart w:id="23" w:name="_Toc271"/>
      <w:r>
        <w:rPr>
          <w:rFonts w:hint="eastAsia" w:ascii="黑体" w:hAnsi="黑体" w:eastAsia="黑体" w:cs="黑体"/>
          <w:color w:val="auto"/>
          <w:kern w:val="0"/>
          <w:sz w:val="32"/>
          <w:szCs w:val="32"/>
          <w:shd w:val="clear" w:color="auto" w:fill="FFFFFF"/>
          <w:lang w:val="en-US" w:eastAsia="zh-CN" w:bidi="ar"/>
        </w:rPr>
        <w:t>八、国有资本经营预算收支情况说明</w:t>
      </w:r>
      <w:bookmarkEnd w:id="22"/>
      <w:bookmarkEnd w:id="23"/>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2024年没有使用国有资本经营预算拨款安排的支出。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outlineLvl w:val="0"/>
        <w:rPr>
          <w:rFonts w:hint="eastAsia" w:ascii="黑体" w:hAnsi="黑体" w:eastAsia="黑体" w:cs="黑体"/>
          <w:color w:val="auto"/>
          <w:kern w:val="0"/>
          <w:sz w:val="32"/>
          <w:szCs w:val="32"/>
          <w:shd w:val="clear" w:color="auto" w:fill="FFFFFF"/>
          <w:lang w:val="en-US" w:eastAsia="zh-CN" w:bidi="ar"/>
        </w:rPr>
      </w:pPr>
      <w:bookmarkStart w:id="24" w:name="_Toc30691"/>
      <w:bookmarkStart w:id="25" w:name="_Toc11064"/>
      <w:r>
        <w:rPr>
          <w:rFonts w:hint="eastAsia" w:ascii="黑体" w:hAnsi="黑体" w:eastAsia="黑体" w:cs="黑体"/>
          <w:color w:val="auto"/>
          <w:kern w:val="0"/>
          <w:sz w:val="32"/>
          <w:szCs w:val="32"/>
          <w:shd w:val="clear" w:color="auto" w:fill="FFFFFF"/>
          <w:lang w:val="en-US" w:eastAsia="zh-CN" w:bidi="ar"/>
        </w:rPr>
        <w:t>九、其他重要事项的情况说明</w:t>
      </w:r>
      <w:bookmarkEnd w:id="24"/>
      <w:bookmarkEnd w:id="25"/>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3" w:firstLineChars="200"/>
        <w:jc w:val="left"/>
        <w:textAlignment w:val="auto"/>
        <w:outlineLvl w:val="1"/>
        <w:rPr>
          <w:rFonts w:hint="eastAsia" w:ascii="黑体" w:hAnsi="黑体" w:eastAsia="黑体" w:cs="黑体"/>
          <w:color w:val="auto"/>
          <w:kern w:val="0"/>
          <w:sz w:val="32"/>
          <w:szCs w:val="32"/>
          <w:shd w:val="clear" w:color="auto" w:fill="FFFFFF"/>
          <w:lang w:val="en-US" w:eastAsia="zh-CN" w:bidi="ar"/>
        </w:rPr>
      </w:pPr>
      <w:bookmarkStart w:id="26" w:name="_Toc20293"/>
      <w:bookmarkStart w:id="27" w:name="_Toc26064"/>
      <w:r>
        <w:rPr>
          <w:rFonts w:hint="eastAsia" w:ascii="楷体_GB2312" w:hAnsi="楷体_GB2312" w:eastAsia="楷体_GB2312" w:cs="楷体_GB2312"/>
          <w:b/>
          <w:bCs/>
          <w:color w:val="auto"/>
          <w:kern w:val="0"/>
          <w:sz w:val="32"/>
          <w:szCs w:val="32"/>
          <w:shd w:val="clear" w:color="auto" w:fill="FFFFFF"/>
          <w:lang w:val="en-US" w:eastAsia="zh-CN" w:bidi="ar"/>
        </w:rPr>
        <w:t>（一）政府采购预算情况</w:t>
      </w:r>
      <w:bookmarkEnd w:id="26"/>
      <w:bookmarkEnd w:id="27"/>
      <w:r>
        <w:rPr>
          <w:rFonts w:hint="eastAsia" w:ascii="黑体" w:hAnsi="黑体" w:eastAsia="黑体" w:cs="黑体"/>
          <w:color w:val="auto"/>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2024年没有使用国有资本经营预算拨款安排的支出。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3" w:firstLineChars="200"/>
        <w:jc w:val="left"/>
        <w:textAlignment w:val="auto"/>
        <w:outlineLvl w:val="1"/>
        <w:rPr>
          <w:color w:val="auto"/>
        </w:rPr>
      </w:pPr>
      <w:bookmarkStart w:id="28" w:name="_Toc5389"/>
      <w:bookmarkStart w:id="29" w:name="_Toc9854"/>
      <w:r>
        <w:rPr>
          <w:rFonts w:hint="eastAsia" w:ascii="楷体_GB2312" w:hAnsi="楷体_GB2312" w:eastAsia="楷体_GB2312" w:cs="楷体_GB2312"/>
          <w:b/>
          <w:bCs/>
          <w:color w:val="auto"/>
          <w:kern w:val="0"/>
          <w:sz w:val="32"/>
          <w:szCs w:val="32"/>
          <w:shd w:val="clear" w:color="auto" w:fill="FFFFFF"/>
          <w:lang w:val="en-US" w:eastAsia="zh-CN" w:bidi="ar"/>
        </w:rPr>
        <w:t>（二）政府财政国有资产占用情况</w:t>
      </w:r>
      <w:bookmarkEnd w:id="28"/>
      <w:bookmarkEnd w:id="29"/>
      <w:r>
        <w:rPr>
          <w:rFonts w:hint="eastAsia" w:ascii="微软雅黑" w:hAnsi="微软雅黑" w:eastAsia="微软雅黑" w:cs="微软雅黑"/>
          <w:color w:val="auto"/>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月31日</w:t>
      </w:r>
      <w:r>
        <w:rPr>
          <w:rFonts w:hint="eastAsia" w:ascii="仿宋_GB2312" w:hAnsi="仿宋_GB2312" w:eastAsia="仿宋_GB2312" w:cs="仿宋_GB2312"/>
          <w:sz w:val="32"/>
          <w:szCs w:val="32"/>
          <w:lang w:eastAsia="zh-CN"/>
        </w:rPr>
        <w:t>，单位固定资产原值为</w:t>
      </w:r>
      <w:r>
        <w:rPr>
          <w:rFonts w:hint="eastAsia" w:ascii="仿宋_GB2312" w:hAnsi="仿宋_GB2312" w:eastAsia="仿宋_GB2312" w:cs="仿宋_GB2312"/>
          <w:sz w:val="32"/>
          <w:szCs w:val="32"/>
          <w:lang w:val="en-US" w:eastAsia="zh-CN"/>
        </w:rPr>
        <w:t>230.66万元，其中：房屋构筑物76.77万元、通用设备141.93万元、家具和用具11.96万元。</w:t>
      </w:r>
    </w:p>
    <w:p>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outlineLvl w:val="1"/>
        <w:rPr>
          <w:rFonts w:hint="eastAsia" w:ascii="楷体_GB2312" w:hAnsi="楷体_GB2312" w:eastAsia="楷体_GB2312" w:cs="楷体_GB2312"/>
          <w:b/>
          <w:bCs/>
          <w:color w:val="auto"/>
          <w:kern w:val="0"/>
          <w:sz w:val="32"/>
          <w:szCs w:val="32"/>
          <w:shd w:val="clear" w:color="auto" w:fill="FFFFFF"/>
          <w:lang w:val="en-US" w:eastAsia="zh-CN" w:bidi="ar"/>
        </w:rPr>
      </w:pPr>
      <w:bookmarkStart w:id="30" w:name="_Toc10138"/>
      <w:bookmarkStart w:id="31" w:name="_Toc2"/>
      <w:r>
        <w:rPr>
          <w:rFonts w:hint="eastAsia" w:ascii="楷体_GB2312" w:hAnsi="楷体_GB2312" w:eastAsia="楷体_GB2312" w:cs="楷体_GB2312"/>
          <w:b/>
          <w:bCs/>
          <w:color w:val="auto"/>
          <w:kern w:val="0"/>
          <w:sz w:val="32"/>
          <w:szCs w:val="32"/>
          <w:shd w:val="clear" w:color="auto" w:fill="FFFFFF"/>
          <w:lang w:val="en-US" w:eastAsia="zh-CN" w:bidi="ar"/>
        </w:rPr>
        <w:t>（三）绩效目标设置情况</w:t>
      </w:r>
      <w:bookmarkEnd w:id="30"/>
      <w:bookmarkEnd w:id="31"/>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绩效目标是预算编制的前提和基础，按照“费随事定”的原则，2024年我单位项目支出按要求编制了绩效目标共计6个，实际下达3个，分别为气象服务经费、土地评估测绘、国土变更调查工作经费。3个项目的项目完成指标≥90%、项目效益指标≥90%、项目满意度指标≥90%。</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outlineLvl w:val="0"/>
        <w:rPr>
          <w:rFonts w:hint="eastAsia" w:ascii="黑体" w:hAnsi="黑体" w:eastAsia="黑体" w:cs="黑体"/>
          <w:color w:val="auto"/>
          <w:kern w:val="0"/>
          <w:sz w:val="32"/>
          <w:szCs w:val="32"/>
          <w:shd w:val="clear" w:color="auto" w:fill="FFFFFF"/>
          <w:lang w:val="en-US" w:eastAsia="zh-CN" w:bidi="ar"/>
        </w:rPr>
      </w:pPr>
      <w:bookmarkStart w:id="32" w:name="_Toc11572"/>
      <w:bookmarkStart w:id="33" w:name="_Toc6656"/>
      <w:r>
        <w:rPr>
          <w:rFonts w:hint="eastAsia" w:ascii="黑体" w:hAnsi="黑体" w:eastAsia="黑体" w:cs="黑体"/>
          <w:color w:val="auto"/>
          <w:kern w:val="0"/>
          <w:sz w:val="32"/>
          <w:szCs w:val="32"/>
          <w:shd w:val="clear" w:color="auto" w:fill="FFFFFF"/>
          <w:lang w:val="en-US" w:eastAsia="zh-CN" w:bidi="ar"/>
        </w:rPr>
        <w:t>十、名词解释</w:t>
      </w:r>
      <w:bookmarkEnd w:id="32"/>
      <w:bookmarkEnd w:id="33"/>
      <w:r>
        <w:rPr>
          <w:rFonts w:hint="eastAsia" w:ascii="黑体" w:hAnsi="黑体" w:eastAsia="黑体" w:cs="黑体"/>
          <w:color w:val="auto"/>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1.财政拨款收入：指财政部门核拨给单位的财政预算资金。 </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3.基本支出：指为保障单位机关正常运转、完成日常工作任务而发生的人员支出和公用支出。 </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4.项目支出：指在基本支出之外为完成特定行政任务和事业发展目标所发生的支出。 </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表1-1.部门收入总表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表1-2.部门支出总表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表2.财政拨款收支预算总表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表2-1.财政拨款支出预算表（部门经济分类科目）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表3.一般公共预算支出预算表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表3-1.一般公共预算基本支出预算表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表3-2.一般公共预算项目支出预算表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表3-3.一般公共预算“三公”经费支出预算表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表4.政府性基金预算支出预算表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表4-1.政府性基金预算“三公”经费支出预算表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表5.国有资本经营预算支出预算表</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表6.部门项目支出绩效目标表</w:t>
      </w:r>
    </w:p>
    <w:p>
      <w:pPr>
        <w:keepNext w:val="0"/>
        <w:keepLines w:val="0"/>
        <w:pageBreakBefore w:val="0"/>
        <w:kinsoku/>
        <w:wordWrap/>
        <w:overflowPunct/>
        <w:topLinePunct w:val="0"/>
        <w:autoSpaceDE/>
        <w:autoSpaceDN/>
        <w:bidi w:val="0"/>
        <w:spacing w:line="560" w:lineRule="exact"/>
        <w:ind w:firstLine="420" w:firstLineChars="200"/>
        <w:textAlignment w:val="auto"/>
        <w:rPr>
          <w:rFonts w:hint="default"/>
          <w:lang w:val="en-US" w:eastAsia="zh-CN"/>
        </w:rPr>
      </w:pPr>
    </w:p>
    <w:p>
      <w:pPr>
        <w:pStyle w:val="7"/>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p>
    <w:p>
      <w:pPr>
        <w:pStyle w:val="7"/>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p>
    <w:p>
      <w:pPr>
        <w:pStyle w:val="7"/>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红原县自然资源局</w:t>
      </w:r>
    </w:p>
    <w:p>
      <w:pPr>
        <w:pStyle w:val="7"/>
        <w:keepNext w:val="0"/>
        <w:keepLines w:val="0"/>
        <w:pageBreakBefore w:val="0"/>
        <w:kinsoku/>
        <w:wordWrap/>
        <w:overflowPunct/>
        <w:topLinePunct w:val="0"/>
        <w:autoSpaceDE/>
        <w:autoSpaceDN/>
        <w:bidi w:val="0"/>
        <w:spacing w:line="560" w:lineRule="exact"/>
        <w:ind w:firstLine="640" w:firstLineChars="200"/>
        <w:jc w:val="right"/>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2024年4月16日</w:t>
      </w:r>
    </w:p>
    <w:p>
      <w:pPr>
        <w:pStyle w:val="7"/>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FangSong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Style w:val="15"/>
                            </w:rPr>
                          </w:pPr>
                          <w:r>
                            <w:fldChar w:fldCharType="begin"/>
                          </w:r>
                          <w:r>
                            <w:rPr>
                              <w:rStyle w:val="15"/>
                            </w:rPr>
                            <w:instrText xml:space="preserve">PAGE  </w:instrText>
                          </w:r>
                          <w:r>
                            <w:fldChar w:fldCharType="separate"/>
                          </w:r>
                          <w:r>
                            <w:rPr>
                              <w:rStyle w:val="15"/>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rPr>
                        <w:rStyle w:val="15"/>
                      </w:rPr>
                    </w:pPr>
                    <w:r>
                      <w:fldChar w:fldCharType="begin"/>
                    </w:r>
                    <w:r>
                      <w:rPr>
                        <w:rStyle w:val="15"/>
                      </w:rPr>
                      <w:instrText xml:space="preserve">PAGE  </w:instrText>
                    </w:r>
                    <w:r>
                      <w:fldChar w:fldCharType="separate"/>
                    </w:r>
                    <w:r>
                      <w:rPr>
                        <w:rStyle w:val="15"/>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fldChar w:fldCharType="begin"/>
    </w:r>
    <w:r>
      <w:rPr>
        <w:rStyle w:val="15"/>
      </w:rPr>
      <w:instrText xml:space="preserve">PAGE  </w:instrText>
    </w:r>
    <w: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2710F9"/>
    <w:multiLevelType w:val="singleLevel"/>
    <w:tmpl w:val="CA2710F9"/>
    <w:lvl w:ilvl="0" w:tentative="0">
      <w:start w:val="1"/>
      <w:numFmt w:val="chineseCounting"/>
      <w:suff w:val="nothing"/>
      <w:lvlText w:val="（%1）"/>
      <w:lvlJc w:val="left"/>
      <w:rPr>
        <w:rFonts w:hint="eastAsia"/>
      </w:rPr>
    </w:lvl>
  </w:abstractNum>
  <w:abstractNum w:abstractNumId="1">
    <w:nsid w:val="1FC1D0D0"/>
    <w:multiLevelType w:val="singleLevel"/>
    <w:tmpl w:val="1FC1D0D0"/>
    <w:lvl w:ilvl="0" w:tentative="0">
      <w:start w:val="6"/>
      <w:numFmt w:val="decimal"/>
      <w:lvlText w:val="%1."/>
      <w:lvlJc w:val="left"/>
      <w:pPr>
        <w:tabs>
          <w:tab w:val="left" w:pos="312"/>
        </w:tabs>
      </w:pPr>
    </w:lvl>
  </w:abstractNum>
  <w:abstractNum w:abstractNumId="2">
    <w:nsid w:val="5A717D6F"/>
    <w:multiLevelType w:val="singleLevel"/>
    <w:tmpl w:val="5A717D6F"/>
    <w:lvl w:ilvl="0" w:tentative="0">
      <w:start w:val="4"/>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1OGYzOTQxY2YzYzNlZWY2N2Q1ZmMwOWYxOWE3NTIifQ=="/>
  </w:docVars>
  <w:rsids>
    <w:rsidRoot w:val="00172A27"/>
    <w:rsid w:val="01CC78B5"/>
    <w:rsid w:val="01CD5789"/>
    <w:rsid w:val="021C42D8"/>
    <w:rsid w:val="029376E3"/>
    <w:rsid w:val="02D30314"/>
    <w:rsid w:val="065E2FC6"/>
    <w:rsid w:val="06D10230"/>
    <w:rsid w:val="07782C82"/>
    <w:rsid w:val="07DF5914"/>
    <w:rsid w:val="08696BF3"/>
    <w:rsid w:val="09F542E5"/>
    <w:rsid w:val="0A8B519C"/>
    <w:rsid w:val="0B751308"/>
    <w:rsid w:val="0CDC1A46"/>
    <w:rsid w:val="0DE96864"/>
    <w:rsid w:val="0F3963AF"/>
    <w:rsid w:val="0FDB48DC"/>
    <w:rsid w:val="104E6D39"/>
    <w:rsid w:val="10B92046"/>
    <w:rsid w:val="11B34D6C"/>
    <w:rsid w:val="13707471"/>
    <w:rsid w:val="14BF6B67"/>
    <w:rsid w:val="14F92A08"/>
    <w:rsid w:val="15B46437"/>
    <w:rsid w:val="165D5FB4"/>
    <w:rsid w:val="17554BCF"/>
    <w:rsid w:val="181D2512"/>
    <w:rsid w:val="18870CA9"/>
    <w:rsid w:val="18F83C7B"/>
    <w:rsid w:val="19D61D91"/>
    <w:rsid w:val="1ACE6637"/>
    <w:rsid w:val="1AD41DEC"/>
    <w:rsid w:val="1B0846A9"/>
    <w:rsid w:val="1B345DF0"/>
    <w:rsid w:val="1C7D192F"/>
    <w:rsid w:val="1CCD61C2"/>
    <w:rsid w:val="1CE10CAE"/>
    <w:rsid w:val="1D4A12B9"/>
    <w:rsid w:val="1D99530F"/>
    <w:rsid w:val="21F57526"/>
    <w:rsid w:val="221162CE"/>
    <w:rsid w:val="23ED1C2E"/>
    <w:rsid w:val="245211CC"/>
    <w:rsid w:val="24AC01D2"/>
    <w:rsid w:val="24B7295B"/>
    <w:rsid w:val="26816586"/>
    <w:rsid w:val="27B228C9"/>
    <w:rsid w:val="29472716"/>
    <w:rsid w:val="2AD34F57"/>
    <w:rsid w:val="2B2D046A"/>
    <w:rsid w:val="2C804D2A"/>
    <w:rsid w:val="2D241839"/>
    <w:rsid w:val="2DC363F4"/>
    <w:rsid w:val="30196050"/>
    <w:rsid w:val="30BD689D"/>
    <w:rsid w:val="312018FA"/>
    <w:rsid w:val="32136295"/>
    <w:rsid w:val="328379E6"/>
    <w:rsid w:val="331D6020"/>
    <w:rsid w:val="33426576"/>
    <w:rsid w:val="34FC3238"/>
    <w:rsid w:val="35DC681F"/>
    <w:rsid w:val="37BF6182"/>
    <w:rsid w:val="39185E40"/>
    <w:rsid w:val="39341992"/>
    <w:rsid w:val="395B0BD2"/>
    <w:rsid w:val="39870D23"/>
    <w:rsid w:val="3A2A44C4"/>
    <w:rsid w:val="3A345B25"/>
    <w:rsid w:val="3A9D5424"/>
    <w:rsid w:val="3AA14A20"/>
    <w:rsid w:val="3AC32B7F"/>
    <w:rsid w:val="3B9A5655"/>
    <w:rsid w:val="3C206D00"/>
    <w:rsid w:val="3D2C2D5E"/>
    <w:rsid w:val="3D2C309B"/>
    <w:rsid w:val="3D3572E7"/>
    <w:rsid w:val="3D4406E1"/>
    <w:rsid w:val="3F034D13"/>
    <w:rsid w:val="3F190343"/>
    <w:rsid w:val="3F2370D8"/>
    <w:rsid w:val="3FA00FFA"/>
    <w:rsid w:val="41AE4097"/>
    <w:rsid w:val="41C14C68"/>
    <w:rsid w:val="42683267"/>
    <w:rsid w:val="42C73BF0"/>
    <w:rsid w:val="435F6A8C"/>
    <w:rsid w:val="43EE1F8F"/>
    <w:rsid w:val="44B76486"/>
    <w:rsid w:val="44D84221"/>
    <w:rsid w:val="460A3FB2"/>
    <w:rsid w:val="463C70B6"/>
    <w:rsid w:val="46980CB2"/>
    <w:rsid w:val="46A87C18"/>
    <w:rsid w:val="46D30CE6"/>
    <w:rsid w:val="479558CE"/>
    <w:rsid w:val="4A537679"/>
    <w:rsid w:val="4A90587D"/>
    <w:rsid w:val="4AC65A5A"/>
    <w:rsid w:val="4B1479D2"/>
    <w:rsid w:val="4B247CA0"/>
    <w:rsid w:val="4B331D6D"/>
    <w:rsid w:val="4B5C2D95"/>
    <w:rsid w:val="4BB159D9"/>
    <w:rsid w:val="4C470043"/>
    <w:rsid w:val="4C583EBD"/>
    <w:rsid w:val="4D490557"/>
    <w:rsid w:val="4DA51269"/>
    <w:rsid w:val="4E272E1D"/>
    <w:rsid w:val="4EF429A3"/>
    <w:rsid w:val="4F394CDE"/>
    <w:rsid w:val="4FD80F14"/>
    <w:rsid w:val="50066C8E"/>
    <w:rsid w:val="50C21166"/>
    <w:rsid w:val="51C66E49"/>
    <w:rsid w:val="529C3DB8"/>
    <w:rsid w:val="52D0219B"/>
    <w:rsid w:val="53F33A7B"/>
    <w:rsid w:val="555E53B0"/>
    <w:rsid w:val="55E17162"/>
    <w:rsid w:val="56F015BA"/>
    <w:rsid w:val="57542D79"/>
    <w:rsid w:val="588261D7"/>
    <w:rsid w:val="589E46B7"/>
    <w:rsid w:val="58A71158"/>
    <w:rsid w:val="5953489E"/>
    <w:rsid w:val="5A0E7FFC"/>
    <w:rsid w:val="5B4D3C9C"/>
    <w:rsid w:val="5B7A6A72"/>
    <w:rsid w:val="5B902206"/>
    <w:rsid w:val="5BB761E6"/>
    <w:rsid w:val="5CE30923"/>
    <w:rsid w:val="5DEC3413"/>
    <w:rsid w:val="5E3122BE"/>
    <w:rsid w:val="5E4623F4"/>
    <w:rsid w:val="5EEB03D7"/>
    <w:rsid w:val="5F18750B"/>
    <w:rsid w:val="60D83036"/>
    <w:rsid w:val="613D61C0"/>
    <w:rsid w:val="61422F39"/>
    <w:rsid w:val="621D1A81"/>
    <w:rsid w:val="633F35C2"/>
    <w:rsid w:val="636966A0"/>
    <w:rsid w:val="63D40F0F"/>
    <w:rsid w:val="64EE57D4"/>
    <w:rsid w:val="66382D8F"/>
    <w:rsid w:val="66DF4B0D"/>
    <w:rsid w:val="66FD6FC8"/>
    <w:rsid w:val="670175BB"/>
    <w:rsid w:val="67233B11"/>
    <w:rsid w:val="68204073"/>
    <w:rsid w:val="682A12E1"/>
    <w:rsid w:val="68573DC3"/>
    <w:rsid w:val="6913255D"/>
    <w:rsid w:val="699E1033"/>
    <w:rsid w:val="6BEF391B"/>
    <w:rsid w:val="6D114CF3"/>
    <w:rsid w:val="6D247C61"/>
    <w:rsid w:val="6F07586E"/>
    <w:rsid w:val="6F211DCB"/>
    <w:rsid w:val="6F2A4081"/>
    <w:rsid w:val="6F5F7252"/>
    <w:rsid w:val="6FBF4B32"/>
    <w:rsid w:val="729163E3"/>
    <w:rsid w:val="731D146E"/>
    <w:rsid w:val="73A0566C"/>
    <w:rsid w:val="73F07D53"/>
    <w:rsid w:val="749A662E"/>
    <w:rsid w:val="750A388D"/>
    <w:rsid w:val="772A1084"/>
    <w:rsid w:val="7732460F"/>
    <w:rsid w:val="79726BEB"/>
    <w:rsid w:val="79F95E17"/>
    <w:rsid w:val="7A5E5D36"/>
    <w:rsid w:val="7ACD2B3A"/>
    <w:rsid w:val="7C1F7267"/>
    <w:rsid w:val="7C781CC4"/>
    <w:rsid w:val="7D6D6302"/>
    <w:rsid w:val="7D9155B3"/>
    <w:rsid w:val="7D9D581B"/>
    <w:rsid w:val="7DB4510C"/>
    <w:rsid w:val="7E260FAF"/>
    <w:rsid w:val="7E6D4E1F"/>
    <w:rsid w:val="7EAD18FD"/>
    <w:rsid w:val="7EF241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4">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3">
    <w:name w:val="index 5"/>
    <w:basedOn w:val="1"/>
    <w:next w:val="1"/>
    <w:qFormat/>
    <w:uiPriority w:val="0"/>
    <w:pPr>
      <w:ind w:left="1680"/>
    </w:pPr>
  </w:style>
  <w:style w:type="paragraph" w:styleId="4">
    <w:name w:val="Body Text"/>
    <w:basedOn w:val="1"/>
    <w:next w:val="5"/>
    <w:qFormat/>
    <w:uiPriority w:val="0"/>
    <w:pPr>
      <w:spacing w:before="93" w:beforeLines="30"/>
    </w:pPr>
    <w:rPr>
      <w:rFonts w:ascii="仿宋_GB2312" w:eastAsia="仿宋_GB2312"/>
      <w:sz w:val="30"/>
    </w:rPr>
  </w:style>
  <w:style w:type="paragraph" w:styleId="5">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6">
    <w:name w:val="Body Text Indent"/>
    <w:basedOn w:val="1"/>
    <w:next w:val="7"/>
    <w:unhideWhenUsed/>
    <w:qFormat/>
    <w:uiPriority w:val="99"/>
    <w:pPr>
      <w:ind w:firstLine="496" w:firstLineChars="155"/>
    </w:pPr>
    <w:rPr>
      <w:rFonts w:ascii="FangSong_GB2312" w:hAnsi="宋体" w:eastAsia="FangSong_GB2312"/>
      <w:color w:val="000000"/>
      <w:sz w:val="32"/>
      <w:szCs w:val="20"/>
    </w:rPr>
  </w:style>
  <w:style w:type="paragraph" w:styleId="7">
    <w:name w:val="Body Text First Indent 2"/>
    <w:basedOn w:val="6"/>
    <w:next w:val="8"/>
    <w:unhideWhenUsed/>
    <w:qFormat/>
    <w:uiPriority w:val="99"/>
    <w:pPr>
      <w:ind w:firstLine="420" w:firstLineChars="200"/>
    </w:pPr>
  </w:style>
  <w:style w:type="paragraph" w:styleId="8">
    <w:name w:val="Plain Text"/>
    <w:basedOn w:val="1"/>
    <w:next w:val="3"/>
    <w:qFormat/>
    <w:uiPriority w:val="0"/>
    <w:rPr>
      <w:rFonts w:ascii="宋体" w:cs="Courier New"/>
      <w:szCs w:val="22"/>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next w:val="3"/>
    <w:qFormat/>
    <w:uiPriority w:val="0"/>
    <w:pPr>
      <w:spacing w:before="0" w:beforeAutospacing="1" w:after="0" w:afterAutospacing="1"/>
      <w:ind w:left="0" w:right="0"/>
      <w:jc w:val="left"/>
    </w:pPr>
    <w:rPr>
      <w:kern w:val="0"/>
      <w:sz w:val="24"/>
      <w:lang w:val="en-US" w:eastAsia="zh-CN" w:bidi="ar"/>
    </w:rPr>
  </w:style>
  <w:style w:type="character" w:styleId="15">
    <w:name w:val="page number"/>
    <w:basedOn w:val="14"/>
    <w:qFormat/>
    <w:uiPriority w:val="0"/>
  </w:style>
  <w:style w:type="character" w:styleId="16">
    <w:name w:val="line number"/>
    <w:basedOn w:val="14"/>
    <w:qFormat/>
    <w:uiPriority w:val="0"/>
    <w:rPr>
      <w:rFonts w:hint="default"/>
      <w:sz w:val="22"/>
    </w:rPr>
  </w:style>
  <w:style w:type="character" w:styleId="17">
    <w:name w:val="Hyperlink"/>
    <w:qFormat/>
    <w:uiPriority w:val="0"/>
    <w:rPr>
      <w:rFonts w:hint="default"/>
      <w:sz w:val="22"/>
    </w:rPr>
  </w:style>
  <w:style w:type="character" w:customStyle="1" w:styleId="18">
    <w:name w:val="NormalCharacter"/>
    <w:qFormat/>
    <w:uiPriority w:val="0"/>
  </w:style>
  <w:style w:type="paragraph" w:customStyle="1" w:styleId="19">
    <w:name w:val="BodyText1I2"/>
    <w:basedOn w:val="20"/>
    <w:next w:val="1"/>
    <w:qFormat/>
    <w:uiPriority w:val="0"/>
    <w:pPr>
      <w:spacing w:line="560" w:lineRule="atLeast"/>
      <w:ind w:firstLine="200" w:firstLineChars="200"/>
      <w:jc w:val="both"/>
      <w:textAlignment w:val="baseline"/>
    </w:pPr>
  </w:style>
  <w:style w:type="paragraph" w:customStyle="1" w:styleId="20">
    <w:name w:val="BodyTextIndent"/>
    <w:basedOn w:val="1"/>
    <w:next w:val="19"/>
    <w:qFormat/>
    <w:uiPriority w:val="0"/>
    <w:pPr>
      <w:spacing w:line="560" w:lineRule="atLeast"/>
      <w:ind w:firstLine="200" w:firstLineChars="200"/>
      <w:jc w:val="both"/>
      <w:textAlignment w:val="baseline"/>
    </w:pPr>
    <w:rPr>
      <w:rFonts w:ascii="仿宋_GB2312" w:eastAsia="仿宋_GB2312"/>
      <w:kern w:val="2"/>
      <w:sz w:val="32"/>
      <w:szCs w:val="24"/>
      <w:lang w:val="en-US" w:eastAsia="zh-CN" w:bidi="ar-SA"/>
    </w:rPr>
  </w:style>
  <w:style w:type="paragraph" w:customStyle="1" w:styleId="21">
    <w:name w:val="HtmlNormal"/>
    <w:basedOn w:val="1"/>
    <w:next w:val="22"/>
    <w:qFormat/>
    <w:uiPriority w:val="0"/>
    <w:pPr>
      <w:spacing w:before="100" w:beforeAutospacing="1" w:after="100" w:afterAutospacing="1"/>
      <w:ind w:left="0" w:right="0"/>
      <w:jc w:val="left"/>
      <w:textAlignment w:val="baseline"/>
    </w:pPr>
    <w:rPr>
      <w:rFonts w:ascii="Calibri" w:hAnsi="Calibri" w:eastAsia="宋体"/>
      <w:kern w:val="0"/>
      <w:sz w:val="24"/>
      <w:szCs w:val="24"/>
      <w:lang w:val="en-US" w:eastAsia="zh-CN"/>
    </w:rPr>
  </w:style>
  <w:style w:type="paragraph" w:customStyle="1" w:styleId="22">
    <w:name w:val="Index5"/>
    <w:basedOn w:val="1"/>
    <w:next w:val="1"/>
    <w:qFormat/>
    <w:uiPriority w:val="0"/>
    <w:pPr>
      <w:ind w:left="1680"/>
      <w:jc w:val="both"/>
      <w:textAlignment w:val="baseline"/>
    </w:pPr>
  </w:style>
  <w:style w:type="paragraph" w:customStyle="1" w:styleId="23">
    <w:name w:val="BodyTextIndent2"/>
    <w:basedOn w:val="1"/>
    <w:qFormat/>
    <w:uiPriority w:val="0"/>
    <w:pPr>
      <w:spacing w:line="580" w:lineRule="exact"/>
      <w:ind w:firstLine="200" w:firstLineChars="200"/>
      <w:jc w:val="both"/>
      <w:textAlignment w:val="baseline"/>
    </w:pPr>
    <w:rPr>
      <w:rFonts w:ascii="仿宋_GB2312" w:eastAsia="仿宋_GB2312"/>
      <w:spacing w:val="-4"/>
      <w:kern w:val="2"/>
      <w:sz w:val="28"/>
      <w:szCs w:val="24"/>
      <w:lang w:val="en-US" w:eastAsia="zh-CN" w:bidi="ar-SA"/>
    </w:r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 w:type="paragraph" w:customStyle="1" w:styleId="2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4390</Words>
  <Characters>4798</Characters>
  <Lines>0</Lines>
  <Paragraphs>0</Paragraphs>
  <TotalTime>1</TotalTime>
  <ScaleCrop>false</ScaleCrop>
  <LinksUpToDate>false</LinksUpToDate>
  <CharactersWithSpaces>4880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2025-04-10T03:15:36Z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775CF01953B64CEAB8E32BD5FCB15F12_12</vt:lpwstr>
  </property>
</Properties>
</file>