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8B368">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jc w:val="center"/>
        <w:textAlignment w:val="auto"/>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 xml:space="preserve"> 红原县行政审批局</w:t>
      </w:r>
    </w:p>
    <w:p w14:paraId="39BEA641">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2024年</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部门预算编制的说明</w:t>
      </w:r>
    </w:p>
    <w:p w14:paraId="7CAD7565">
      <w:pPr>
        <w:pStyle w:val="4"/>
        <w:keepNext w:val="0"/>
        <w:keepLines w:val="0"/>
        <w:pageBreakBefore w:val="0"/>
        <w:kinsoku/>
        <w:wordWrap/>
        <w:overflowPunct/>
        <w:topLinePunct w:val="0"/>
        <w:autoSpaceDE/>
        <w:autoSpaceDN/>
        <w:bidi w:val="0"/>
        <w:adjustRightInd w:val="0"/>
        <w:snapToGrid w:val="0"/>
        <w:spacing w:before="0" w:beforeLines="0" w:line="576" w:lineRule="exact"/>
        <w:ind w:left="0" w:leftChars="0" w:right="0" w:rightChars="0"/>
        <w:textAlignment w:val="auto"/>
        <w:rPr>
          <w:rFonts w:hint="eastAsia" w:ascii="宋体" w:hAnsi="宋体" w:eastAsia="宋体"/>
          <w:b/>
          <w:color w:val="000000" w:themeColor="text1"/>
          <w:sz w:val="44"/>
          <w:szCs w:val="44"/>
          <w14:textFill>
            <w14:solidFill>
              <w14:schemeClr w14:val="tx1"/>
            </w14:solidFill>
          </w14:textFill>
        </w:rPr>
      </w:pPr>
      <w:r>
        <w:rPr>
          <w:rFonts w:hint="eastAsia" w:ascii="宋体" w:hAnsi="宋体" w:eastAsia="宋体"/>
          <w:b/>
          <w:color w:val="000000" w:themeColor="text1"/>
          <w:sz w:val="44"/>
          <w:szCs w:val="44"/>
          <w14:textFill>
            <w14:solidFill>
              <w14:schemeClr w14:val="tx1"/>
            </w14:solidFill>
          </w14:textFill>
        </w:rPr>
        <w:t xml:space="preserve">    </w:t>
      </w:r>
    </w:p>
    <w:p w14:paraId="1EF5CB7F">
      <w:pPr>
        <w:pStyle w:val="4"/>
        <w:keepNext w:val="0"/>
        <w:keepLines w:val="0"/>
        <w:pageBreakBefore w:val="0"/>
        <w:widowControl w:val="0"/>
        <w:kinsoku/>
        <w:wordWrap/>
        <w:overflowPunct/>
        <w:topLinePunct w:val="0"/>
        <w:autoSpaceDE/>
        <w:autoSpaceDN/>
        <w:bidi w:val="0"/>
        <w:adjustRightInd w:val="0"/>
        <w:snapToGrid w:val="0"/>
        <w:spacing w:before="0" w:beforeLines="0" w:line="576" w:lineRule="exact"/>
        <w:ind w:left="0" w:leftChars="0" w:right="0" w:rightChars="0" w:firstLine="640" w:firstLineChars="200"/>
        <w:jc w:val="both"/>
        <w:textAlignment w:val="auto"/>
        <w:rPr>
          <w:rFonts w:hint="eastAsia" w:ascii="宋体" w:hAnsi="宋体" w:eastAsia="宋体"/>
          <w:b/>
          <w:color w:val="000000" w:themeColor="text1"/>
          <w:sz w:val="44"/>
          <w:szCs w:val="44"/>
          <w14:textFill>
            <w14:solidFill>
              <w14:schemeClr w14:val="tx1"/>
            </w14:solidFill>
          </w14:textFill>
        </w:rPr>
      </w:pPr>
      <w:r>
        <w:rPr>
          <w:rFonts w:hint="eastAsia"/>
          <w:color w:val="000000" w:themeColor="text1"/>
          <w:sz w:val="32"/>
          <w:szCs w:val="32"/>
          <w14:textFill>
            <w14:solidFill>
              <w14:schemeClr w14:val="tx1"/>
            </w14:solidFill>
          </w14:textFill>
        </w:rPr>
        <w:t>按照预算管理有关规定，目前部门预算的编制实行综合预算制度，即全部收入和支出都反映在预算中。</w:t>
      </w:r>
    </w:p>
    <w:p w14:paraId="29610CDE">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jc w:val="both"/>
        <w:textAlignment w:val="auto"/>
        <w:rPr>
          <w:rFonts w:hint="eastAsia"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一、基本职能及主要工作</w:t>
      </w:r>
    </w:p>
    <w:p w14:paraId="3C638509">
      <w:pPr>
        <w:pStyle w:val="4"/>
        <w:keepNext w:val="0"/>
        <w:keepLines w:val="0"/>
        <w:pageBreakBefore w:val="0"/>
        <w:widowControl w:val="0"/>
        <w:kinsoku/>
        <w:wordWrap/>
        <w:overflowPunct/>
        <w:topLinePunct w:val="0"/>
        <w:autoSpaceDE/>
        <w:autoSpaceDN/>
        <w:bidi w:val="0"/>
        <w:adjustRightInd w:val="0"/>
        <w:snapToGrid w:val="0"/>
        <w:spacing w:before="0" w:beforeLines="0" w:line="576" w:lineRule="exact"/>
        <w:ind w:left="0" w:leftChars="0" w:right="0" w:rightChars="0" w:firstLine="643" w:firstLineChars="200"/>
        <w:jc w:val="both"/>
        <w:textAlignment w:val="auto"/>
        <w:rPr>
          <w:rFonts w:hint="eastAsia" w:ascii="楷体_GB2312" w:hAnsi="楷体_GB2312" w:eastAsia="楷体_GB2312" w:cs="楷体_GB2312"/>
          <w:b/>
          <w:bCs w:val="0"/>
          <w:color w:val="000000" w:themeColor="text1"/>
          <w:sz w:val="32"/>
          <w:szCs w:val="32"/>
          <w:lang w:eastAsia="zh-CN"/>
          <w14:textFill>
            <w14:solidFill>
              <w14:schemeClr w14:val="tx1"/>
            </w14:solidFill>
          </w14:textFill>
        </w:rPr>
      </w:pPr>
      <w:r>
        <w:rPr>
          <w:rFonts w:hint="eastAsia" w:ascii="楷体_GB2312" w:hAnsi="楷体_GB2312" w:eastAsia="楷体_GB2312" w:cs="楷体_GB2312"/>
          <w:b/>
          <w:bCs w:val="0"/>
          <w:color w:val="000000" w:themeColor="text1"/>
          <w:sz w:val="32"/>
          <w:szCs w:val="32"/>
          <w:lang w:eastAsia="zh-CN"/>
          <w14:textFill>
            <w14:solidFill>
              <w14:schemeClr w14:val="tx1"/>
            </w14:solidFill>
          </w14:textFill>
        </w:rPr>
        <w:t>（一）基本职能</w:t>
      </w:r>
    </w:p>
    <w:p w14:paraId="27B2A761">
      <w:pPr>
        <w:pStyle w:val="3"/>
        <w:keepNext w:val="0"/>
        <w:keepLines w:val="0"/>
        <w:pageBreakBefore w:val="0"/>
        <w:widowControl w:val="0"/>
        <w:kinsoku/>
        <w:wordWrap/>
        <w:overflowPunct/>
        <w:topLinePunct w:val="0"/>
        <w:autoSpaceDE/>
        <w:autoSpaceDN/>
        <w:bidi w:val="0"/>
        <w:spacing w:line="576" w:lineRule="exact"/>
        <w:ind w:left="0" w:leftChars="0" w:firstLine="643" w:firstLineChars="200"/>
        <w:jc w:val="both"/>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红原县行政审批局基本职能：</w:t>
      </w:r>
    </w:p>
    <w:p w14:paraId="513EF514">
      <w:pPr>
        <w:pStyle w:val="3"/>
        <w:keepNext w:val="0"/>
        <w:keepLines w:val="0"/>
        <w:pageBreakBefore w:val="0"/>
        <w:widowControl w:val="0"/>
        <w:kinsoku/>
        <w:wordWrap/>
        <w:overflowPunct/>
        <w:topLinePunct w:val="0"/>
        <w:autoSpaceDE/>
        <w:autoSpaceDN/>
        <w:bidi w:val="0"/>
        <w:spacing w:line="576" w:lineRule="exact"/>
        <w:ind w:left="0" w:leftChars="0"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负责深化行政审批制度改革和“放管服”改革工作，拟订全县行政审批制度和“放管服”改革相关政策和规范性文件，承担县本级行政权力清单和责任清单的动态调整，指导全县行政权力清单和责任清单工作，建立完善相关工作机制。</w:t>
      </w:r>
    </w:p>
    <w:p w14:paraId="523AF1A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负责协调、指导入驻县政务服务</w:t>
      </w:r>
      <w:r>
        <w:rPr>
          <w:rFonts w:hint="eastAsia" w:ascii="仿宋_GB2312" w:hAnsi="仿宋_GB2312" w:eastAsia="仿宋_GB2312" w:cs="仿宋_GB2312"/>
          <w:color w:val="000000" w:themeColor="text1"/>
          <w:sz w:val="32"/>
          <w:szCs w:val="32"/>
          <w:lang w:eastAsia="zh-CN"/>
          <w14:textFill>
            <w14:solidFill>
              <w14:schemeClr w14:val="tx1"/>
            </w14:solidFill>
          </w14:textFill>
        </w:rPr>
        <w:t>大厅县级</w:t>
      </w:r>
      <w:r>
        <w:rPr>
          <w:rFonts w:hint="eastAsia" w:ascii="仿宋_GB2312" w:hAnsi="仿宋_GB2312" w:eastAsia="仿宋_GB2312" w:cs="仿宋_GB2312"/>
          <w:color w:val="000000" w:themeColor="text1"/>
          <w:sz w:val="32"/>
          <w:szCs w:val="32"/>
          <w14:textFill>
            <w14:solidFill>
              <w14:schemeClr w14:val="tx1"/>
            </w14:solidFill>
          </w14:textFill>
        </w:rPr>
        <w:t>部门的行政审批工作。</w:t>
      </w:r>
    </w:p>
    <w:p w14:paraId="6266EF5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指导乡镇便民服务中心工作</w:t>
      </w:r>
      <w:r>
        <w:rPr>
          <w:rFonts w:hint="eastAsia" w:ascii="仿宋_GB2312" w:hAnsi="仿宋_GB2312" w:eastAsia="仿宋_GB2312" w:cs="仿宋_GB2312"/>
          <w:color w:val="000000" w:themeColor="text1"/>
          <w:sz w:val="32"/>
          <w:szCs w:val="32"/>
          <w14:textFill>
            <w14:solidFill>
              <w14:schemeClr w14:val="tx1"/>
            </w14:solidFill>
          </w14:textFill>
        </w:rPr>
        <w:t>。</w:t>
      </w:r>
    </w:p>
    <w:p w14:paraId="39AE019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 xml:space="preserve">负责全县政务服务管理工作，指导全县政务服务体系建设。 </w:t>
      </w:r>
    </w:p>
    <w:p w14:paraId="42F3890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负责全县公共资源交易管理工作，指导全县公共资源交易服务体系建设。</w:t>
      </w:r>
    </w:p>
    <w:p w14:paraId="043946F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负责对涉及县政务服务</w:t>
      </w:r>
      <w:r>
        <w:rPr>
          <w:rFonts w:hint="eastAsia" w:ascii="仿宋_GB2312" w:hAnsi="仿宋_GB2312" w:eastAsia="仿宋_GB2312" w:cs="仿宋_GB2312"/>
          <w:color w:val="000000" w:themeColor="text1"/>
          <w:sz w:val="32"/>
          <w:szCs w:val="32"/>
          <w:lang w:eastAsia="zh-CN"/>
          <w14:textFill>
            <w14:solidFill>
              <w14:schemeClr w14:val="tx1"/>
            </w14:solidFill>
          </w14:textFill>
        </w:rPr>
        <w:t>大厅</w:t>
      </w:r>
      <w:r>
        <w:rPr>
          <w:rFonts w:hint="eastAsia" w:ascii="仿宋_GB2312" w:hAnsi="仿宋_GB2312" w:eastAsia="仿宋_GB2312" w:cs="仿宋_GB2312"/>
          <w:color w:val="000000" w:themeColor="text1"/>
          <w:sz w:val="32"/>
          <w:szCs w:val="32"/>
          <w14:textFill>
            <w14:solidFill>
              <w14:schemeClr w14:val="tx1"/>
            </w14:solidFill>
          </w14:textFill>
        </w:rPr>
        <w:t>、县公共资源交易中心、县行政审批服务机构的投诉举报的承办、转办和督办工作。</w:t>
      </w:r>
    </w:p>
    <w:p w14:paraId="10A6CF1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完成县委、县政府交办的其他任务。</w:t>
      </w:r>
    </w:p>
    <w:p w14:paraId="55F3D8CB">
      <w:pPr>
        <w:pStyle w:val="3"/>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红原县政务服务和公共资源交易服务中心基本职能：</w:t>
      </w:r>
    </w:p>
    <w:p w14:paraId="02DC6D9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负责按规定参与县级政务服务管理规章制度、工作流程和服务规范并组织实施，推行政务服务标准化。负责开展进入县级平台的并联审批协调服务工作，配合主管部门对县直各部门（单位）政务服务入驻窗口及人员进行监督管理，并实施考核，协助入驻部门做好工作纪律和作风建设。</w:t>
      </w:r>
    </w:p>
    <w:p w14:paraId="358E0D6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参与对县直部门（单位）行政审批制度改革、政务服务、公共资源交易开展情况的综合评估，协助相关行业部门开展监管工作。</w:t>
      </w:r>
    </w:p>
    <w:p w14:paraId="24F879D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为县政务服务和公共资源交易活动提供场所、设施、信息和管理服务，承担县级政务服务和公共资源交易平台建设和管理工作。</w:t>
      </w:r>
    </w:p>
    <w:p w14:paraId="1336489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负责全县政务服务和行政审批管理工作，并协调指导乡镇、村便民服务和乡镇行政审批相关工作。</w:t>
      </w:r>
    </w:p>
    <w:p w14:paraId="6ECA373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对乡镇便民服务中心和村（社区）便民代办点进行业务指导，负责对相关业务工作的调研和培训。</w:t>
      </w:r>
    </w:p>
    <w:p w14:paraId="4AF6AAEA">
      <w:pPr>
        <w:pStyle w:val="12"/>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依托上级部门及州公共资源交易中心，为全县工程建设项目招标投标、政府采购等各类公共资源交易活动中为市场主体提供服务，为政府监管提供平台，为交易活动提供场所、设施、信息和现场管理服务。负责制定公共资源交易现场管理规章制度、工作流程和服务规范并组织实施，推行公共资源交易标准化服务。</w:t>
      </w:r>
    </w:p>
    <w:p w14:paraId="63B85128">
      <w:pPr>
        <w:pStyle w:val="12"/>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按相关规定政府采购等各类交易信息和交易结果公告由交易中心在指定的网站上统一发布；受理交易申请，为开标、评标和定标等交易活动提供优质服务；协助各职能部门、监察部门对有关质疑投诉进行调查处理，维护交易场所内活动秩序；承办政府集中采购机构职责；承办县委、县政府和主管部门交办的其他事项。</w:t>
      </w:r>
    </w:p>
    <w:p w14:paraId="3F265238">
      <w:pPr>
        <w:pStyle w:val="12"/>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参与电子化交易系统、信用评价体系等建设管理工作；建立公共资源交易从业者现场行为公开制度，开展场内信用信息记录、评价并对外发布。</w:t>
      </w:r>
    </w:p>
    <w:p w14:paraId="1E4F79F7">
      <w:pPr>
        <w:pStyle w:val="12"/>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负责按规定实施现场秩序管理和监督工作，记录、制止违反现场管理制度的行为；按职责分工移送处理违法、违规人员。</w:t>
      </w:r>
    </w:p>
    <w:p w14:paraId="67904D1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完成县行政审批局交办的其他任务。</w:t>
      </w:r>
    </w:p>
    <w:p w14:paraId="339090E8">
      <w:pPr>
        <w:pStyle w:val="4"/>
        <w:keepNext w:val="0"/>
        <w:keepLines w:val="0"/>
        <w:pageBreakBefore w:val="0"/>
        <w:widowControl w:val="0"/>
        <w:kinsoku/>
        <w:wordWrap/>
        <w:overflowPunct/>
        <w:topLinePunct w:val="0"/>
        <w:autoSpaceDE/>
        <w:autoSpaceDN/>
        <w:bidi w:val="0"/>
        <w:adjustRightInd w:val="0"/>
        <w:snapToGrid w:val="0"/>
        <w:spacing w:before="0" w:beforeLines="0" w:line="576" w:lineRule="exact"/>
        <w:ind w:left="0" w:leftChars="0" w:right="0" w:rightChars="0" w:firstLine="643" w:firstLineChars="200"/>
        <w:jc w:val="both"/>
        <w:textAlignment w:val="auto"/>
        <w:rPr>
          <w:rFonts w:hint="eastAsia" w:ascii="楷体_GB2312" w:hAnsi="楷体_GB2312" w:eastAsia="楷体_GB2312" w:cs="楷体_GB2312"/>
          <w:b/>
          <w:bCs w:val="0"/>
          <w:color w:val="000000" w:themeColor="text1"/>
          <w:sz w:val="32"/>
          <w:szCs w:val="32"/>
          <w:lang w:eastAsia="zh-CN"/>
          <w14:textFill>
            <w14:solidFill>
              <w14:schemeClr w14:val="tx1"/>
            </w14:solidFill>
          </w14:textFill>
        </w:rPr>
      </w:pPr>
      <w:r>
        <w:rPr>
          <w:rFonts w:hint="eastAsia" w:ascii="楷体_GB2312" w:hAnsi="楷体_GB2312" w:eastAsia="楷体_GB2312" w:cs="楷体_GB2312"/>
          <w:b/>
          <w:bCs w:val="0"/>
          <w:color w:val="000000" w:themeColor="text1"/>
          <w:sz w:val="32"/>
          <w:szCs w:val="32"/>
          <w:lang w:eastAsia="zh-CN"/>
          <w14:textFill>
            <w14:solidFill>
              <w14:schemeClr w14:val="tx1"/>
            </w14:solidFill>
          </w14:textFill>
        </w:rPr>
        <w:t>（二）2024年重点工作任务</w:t>
      </w:r>
    </w:p>
    <w:p w14:paraId="0EB9A80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76" w:lineRule="exact"/>
        <w:ind w:firstLine="640" w:firstLineChars="200"/>
        <w:jc w:val="both"/>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行政审批改革和政务服务能力建设既是政府职能转变的重要内容，也是最重要的行政竞争力，是一个地方治理能力和治理水平的重要体现。面对当下经济发展下行严峻形势，依靠优质的营商环境、优越的政务服务、优秀的干部队伍招引市场主体、保护市场主体、壮大市场主体，加快经济社会高质量发展。</w:t>
      </w:r>
    </w:p>
    <w:p w14:paraId="6C0E596D">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pPr>
      <w:r>
        <w:rPr>
          <w:rFonts w:hint="eastAsia" w:ascii="楷体_GB2312" w:hAnsi="楷体_GB2312" w:eastAsia="楷体_GB2312" w:cs="楷体_GB2312"/>
          <w:b/>
          <w:bCs/>
          <w:i w:val="0"/>
          <w:caps w:val="0"/>
          <w:color w:val="000000" w:themeColor="text1"/>
          <w:spacing w:val="0"/>
          <w:w w:val="100"/>
          <w:sz w:val="32"/>
          <w:szCs w:val="32"/>
          <w:lang w:val="en-US" w:eastAsia="zh-CN"/>
          <w14:textFill>
            <w14:solidFill>
              <w14:schemeClr w14:val="tx1"/>
            </w14:solidFill>
          </w14:textFill>
        </w:rPr>
        <w:t>1.</w:t>
      </w:r>
      <w:r>
        <w:rPr>
          <w:rFonts w:hint="eastAsia" w:ascii="楷体_GB2312" w:hAnsi="楷体_GB2312" w:eastAsia="楷体_GB2312" w:cs="楷体_GB2312"/>
          <w:b/>
          <w:bCs/>
          <w:color w:val="000000" w:themeColor="text1"/>
          <w:spacing w:val="0"/>
          <w:sz w:val="32"/>
          <w:szCs w:val="32"/>
          <w:lang w:val="en-US" w:eastAsia="zh-CN"/>
          <w14:textFill>
            <w14:solidFill>
              <w14:schemeClr w14:val="tx1"/>
            </w14:solidFill>
          </w14:textFill>
        </w:rPr>
        <w:t>着力推进政务服务改革。</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坚持“全联、深通、好办”的目标导向，持续推进“天府通办”分站点试点建设。围绕企业和群众反映强烈的问题，进一步提升政务服务事项网上办理深度，承接推动更多政务服务事项由“网上可办”向“全程网办”“全网好办”转变。围绕企业全生命周期高频服务事项，优化升级事项样板“一件事”与重点“一件事”等。</w:t>
      </w:r>
    </w:p>
    <w:p w14:paraId="4395230C">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default" w:ascii="仿宋_GB2312" w:hAnsi="仿宋_GB2312" w:eastAsia="仿宋_GB2312" w:cs="仿宋_GB2312"/>
          <w:color w:val="000000" w:themeColor="text1"/>
          <w:spacing w:val="0"/>
          <w:sz w:val="32"/>
          <w:szCs w:val="32"/>
          <w:lang w:val="en-US" w:eastAsia="zh-CN"/>
          <w14:textFill>
            <w14:solidFill>
              <w14:schemeClr w14:val="tx1"/>
            </w14:solidFill>
          </w14:textFill>
        </w:rPr>
      </w:pPr>
      <w:r>
        <w:rPr>
          <w:rFonts w:hint="eastAsia" w:ascii="楷体_GB2312" w:hAnsi="楷体_GB2312" w:eastAsia="楷体_GB2312" w:cs="楷体_GB2312"/>
          <w:b/>
          <w:bCs/>
          <w:i w:val="0"/>
          <w:caps w:val="0"/>
          <w:color w:val="000000" w:themeColor="text1"/>
          <w:spacing w:val="0"/>
          <w:w w:val="100"/>
          <w:sz w:val="32"/>
          <w:szCs w:val="32"/>
          <w:lang w:val="en-US" w:eastAsia="zh-CN"/>
          <w14:textFill>
            <w14:solidFill>
              <w14:schemeClr w14:val="tx1"/>
            </w14:solidFill>
          </w14:textFill>
        </w:rPr>
        <w:t>2.</w:t>
      </w:r>
      <w:r>
        <w:rPr>
          <w:rFonts w:hint="eastAsia" w:ascii="楷体_GB2312" w:hAnsi="楷体_GB2312" w:eastAsia="楷体_GB2312" w:cs="楷体_GB2312"/>
          <w:b/>
          <w:bCs/>
          <w:color w:val="000000" w:themeColor="text1"/>
          <w:spacing w:val="0"/>
          <w:sz w:val="32"/>
          <w:szCs w:val="32"/>
          <w:lang w:val="en-US" w:eastAsia="zh-CN"/>
          <w14:textFill>
            <w14:solidFill>
              <w14:schemeClr w14:val="tx1"/>
            </w14:solidFill>
          </w14:textFill>
        </w:rPr>
        <w:t>着力推进中心高标准建设。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按照“三化”要求，制定和明晰基层便民服务工作规范，把事项入驻、人员配备、办事质效等纳入全县行政服务工作建设内容，统筹安排，一体推进。</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着力构建行政许可事项清单、事项运行流程图和实施要素一览表在内的“一单一图一表”管理体系，推动政务服务事项“应进必进”，规范设置综合咨询、帮办代办、跨省通办等综窗建设，同步</w:t>
      </w:r>
      <w:r>
        <w:rPr>
          <w:rFonts w:hint="eastAsia" w:ascii="仿宋_GB2312" w:hAnsi="仿宋_GB2312" w:eastAsia="仿宋_GB2312" w:cs="仿宋_GB2312"/>
          <w:color w:val="000000" w:themeColor="text1"/>
          <w:spacing w:val="0"/>
          <w:kern w:val="2"/>
          <w:sz w:val="32"/>
          <w:szCs w:val="32"/>
          <w:highlight w:val="none"/>
          <w:lang w:val="en-US" w:eastAsia="zh-CN" w:bidi="ar-SA"/>
          <w14:textFill>
            <w14:solidFill>
              <w14:schemeClr w14:val="tx1"/>
            </w14:solidFill>
          </w14:textFill>
        </w:rPr>
        <w:t>制定综合窗口运行管理办法</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，树立</w:t>
      </w:r>
      <w:r>
        <w:rPr>
          <w:rFonts w:hint="eastAsia" w:ascii="仿宋_GB2312" w:hAnsi="仿宋_GB2312" w:eastAsia="仿宋_GB2312" w:cs="仿宋_GB2312"/>
          <w:b w:val="0"/>
          <w:bCs w:val="0"/>
          <w:color w:val="000000" w:themeColor="text1"/>
          <w:spacing w:val="0"/>
          <w:sz w:val="32"/>
          <w:szCs w:val="32"/>
          <w:highlight w:val="none"/>
          <w:lang w:val="en-US" w:eastAsia="zh-CN"/>
          <w14:textFill>
            <w14:solidFill>
              <w14:schemeClr w14:val="tx1"/>
            </w14:solidFill>
          </w14:textFill>
        </w:rPr>
        <w:t>“红原服务”的政务品牌新形象。</w:t>
      </w:r>
    </w:p>
    <w:p w14:paraId="2D8A0E34">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pacing w:val="0"/>
          <w:kern w:val="2"/>
          <w:sz w:val="32"/>
          <w:szCs w:val="32"/>
          <w:lang w:val="en-US" w:eastAsia="zh-CN" w:bidi="ar-SA"/>
          <w14:textFill>
            <w14:solidFill>
              <w14:schemeClr w14:val="tx1"/>
            </w14:solidFill>
          </w14:textFill>
        </w:rPr>
        <w:t>3.着力推进营商环境优化。</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认真开展营商环境对标创新行动，推动有效市场和有为政府更好结合。大力提升对外开放服务水平，推动更多审批服务事项“一站式”办理、“一网通办”。同步完善社会监督机制，加强12345政务服务便民热线工作，</w:t>
      </w:r>
      <w:r>
        <w:rPr>
          <w:rStyle w:val="14"/>
          <w:rFonts w:hint="eastAsia" w:ascii="仿宋_GB2312" w:hAnsi="仿宋_GB2312" w:eastAsia="仿宋_GB2312" w:cs="仿宋_GB2312"/>
          <w:b w:val="0"/>
          <w:bCs w:val="0"/>
          <w:i w:val="0"/>
          <w:caps w:val="0"/>
          <w:color w:val="000000" w:themeColor="text1"/>
          <w:spacing w:val="0"/>
          <w:w w:val="100"/>
          <w:kern w:val="2"/>
          <w:sz w:val="32"/>
          <w:szCs w:val="32"/>
          <w:highlight w:val="none"/>
          <w:lang w:val="en-US" w:eastAsia="zh-CN" w:bidi="ar-SA"/>
          <w14:textFill>
            <w14:solidFill>
              <w14:schemeClr w14:val="tx1"/>
            </w14:solidFill>
          </w14:textFill>
        </w:rPr>
        <w:t>最大限度发挥12345“指挥棒”“绣花针”“连心桥”作用。</w:t>
      </w:r>
    </w:p>
    <w:p w14:paraId="67A48F11">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jc w:val="both"/>
        <w:textAlignment w:val="auto"/>
        <w:rPr>
          <w:rFonts w:hint="eastAsia"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二、部门</w:t>
      </w:r>
      <w:r>
        <w:rPr>
          <w:rFonts w:hint="eastAsia" w:ascii="黑体" w:eastAsia="黑体"/>
          <w:color w:val="000000" w:themeColor="text1"/>
          <w:sz w:val="32"/>
          <w:szCs w:val="32"/>
          <w:lang w:eastAsia="zh-CN"/>
          <w14:textFill>
            <w14:solidFill>
              <w14:schemeClr w14:val="tx1"/>
            </w14:solidFill>
          </w14:textFill>
        </w:rPr>
        <w:t>预算单位构成</w:t>
      </w:r>
    </w:p>
    <w:p w14:paraId="040D2741">
      <w:pPr>
        <w:keepNext w:val="0"/>
        <w:keepLines w:val="0"/>
        <w:pageBreakBefore w:val="0"/>
        <w:widowControl w:val="0"/>
        <w:kinsoku/>
        <w:wordWrap/>
        <w:overflowPunct/>
        <w:topLinePunct w:val="0"/>
        <w:autoSpaceDE/>
        <w:autoSpaceDN/>
        <w:bidi w:val="0"/>
        <w:spacing w:line="576" w:lineRule="exact"/>
        <w:ind w:firstLine="640" w:firstLineChars="2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红原县行政审批局内设一个</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本级单位：红原县行政审批局；一个</w:t>
      </w:r>
      <w:r>
        <w:rPr>
          <w:rFonts w:hint="eastAsia" w:ascii="仿宋_GB2312" w:hAnsi="仿宋_GB2312" w:eastAsia="仿宋_GB2312" w:cs="仿宋_GB2312"/>
          <w:color w:val="000000" w:themeColor="text1"/>
          <w:sz w:val="32"/>
          <w:szCs w:val="32"/>
          <w:lang w:eastAsia="zh-CN"/>
          <w14:textFill>
            <w14:solidFill>
              <w14:schemeClr w14:val="tx1"/>
            </w14:solidFill>
          </w14:textFill>
        </w:rPr>
        <w:t>二级事业单位：红原县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政务服务和</w:t>
      </w:r>
      <w:r>
        <w:rPr>
          <w:rFonts w:hint="eastAsia" w:ascii="仿宋_GB2312" w:hAnsi="仿宋_GB2312" w:eastAsia="仿宋_GB2312" w:cs="仿宋_GB2312"/>
          <w:color w:val="000000" w:themeColor="text1"/>
          <w:sz w:val="32"/>
          <w:szCs w:val="32"/>
          <w:lang w:eastAsia="zh-CN"/>
          <w14:textFill>
            <w14:solidFill>
              <w14:schemeClr w14:val="tx1"/>
            </w14:solidFill>
          </w14:textFill>
        </w:rPr>
        <w:t>公共资源交易服务中心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。2024年部门预算编制范围包括一个行政单位：行政审批局本级，一个事业单位：</w:t>
      </w:r>
      <w:r>
        <w:rPr>
          <w:rFonts w:hint="eastAsia" w:ascii="仿宋_GB2312" w:hAnsi="仿宋_GB2312" w:eastAsia="仿宋_GB2312" w:cs="仿宋_GB2312"/>
          <w:color w:val="000000" w:themeColor="text1"/>
          <w:sz w:val="32"/>
          <w:szCs w:val="32"/>
          <w:lang w:eastAsia="zh-CN"/>
          <w14:textFill>
            <w14:solidFill>
              <w14:schemeClr w14:val="tx1"/>
            </w14:solidFill>
          </w14:textFill>
        </w:rPr>
        <w:t>红原县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政务服务和</w:t>
      </w:r>
      <w:r>
        <w:rPr>
          <w:rFonts w:hint="eastAsia" w:ascii="仿宋_GB2312" w:hAnsi="仿宋_GB2312" w:eastAsia="仿宋_GB2312" w:cs="仿宋_GB2312"/>
          <w:color w:val="000000" w:themeColor="text1"/>
          <w:sz w:val="32"/>
          <w:szCs w:val="32"/>
          <w:lang w:eastAsia="zh-CN"/>
          <w14:textFill>
            <w14:solidFill>
              <w14:schemeClr w14:val="tx1"/>
            </w14:solidFill>
          </w14:textFill>
        </w:rPr>
        <w:t>公共资源交易服务中心。红原县行政审批局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为全</w:t>
      </w:r>
      <w:r>
        <w:rPr>
          <w:rFonts w:hint="eastAsia" w:ascii="仿宋_GB2312" w:hAnsi="仿宋_GB2312" w:eastAsia="仿宋_GB2312" w:cs="仿宋_GB2312"/>
          <w:color w:val="000000" w:themeColor="text1"/>
          <w:sz w:val="32"/>
          <w:szCs w:val="32"/>
          <w:lang w:eastAsia="zh-CN"/>
          <w14:textFill>
            <w14:solidFill>
              <w14:schemeClr w14:val="tx1"/>
            </w14:solidFill>
          </w14:textFill>
        </w:rPr>
        <w:t>额拨款行政单位，截止</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2023年底共15人，其中公务员4人，行政工勤1人，事业人员9人，事业工勤1人。                                   </w:t>
      </w:r>
    </w:p>
    <w:p w14:paraId="7627924C">
      <w:pPr>
        <w:keepNext w:val="0"/>
        <w:keepLines w:val="0"/>
        <w:pageBreakBefore w:val="0"/>
        <w:widowControl w:val="0"/>
        <w:kinsoku/>
        <w:wordWrap/>
        <w:overflowPunct/>
        <w:topLinePunct w:val="0"/>
        <w:autoSpaceDE/>
        <w:autoSpaceDN/>
        <w:bidi w:val="0"/>
        <w:spacing w:line="576" w:lineRule="exact"/>
        <w:ind w:firstLine="640" w:firstLineChars="200"/>
        <w:jc w:val="both"/>
        <w:rPr>
          <w:rFonts w:hint="eastAsia"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三、收支预算总体情况</w:t>
      </w:r>
    </w:p>
    <w:p w14:paraId="4029B9A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2024年</w:t>
      </w:r>
      <w:r>
        <w:rPr>
          <w:rFonts w:hint="eastAsia" w:ascii="仿宋_GB2312" w:eastAsia="仿宋_GB2312"/>
          <w:color w:val="000000" w:themeColor="text1"/>
          <w:sz w:val="32"/>
          <w:szCs w:val="32"/>
          <w:lang w:val="en-US" w:eastAsia="zh-CN"/>
          <w14:textFill>
            <w14:solidFill>
              <w14:schemeClr w14:val="tx1"/>
            </w14:solidFill>
          </w14:textFill>
        </w:rPr>
        <w:t>红原县行政审批局</w:t>
      </w:r>
      <w:r>
        <w:rPr>
          <w:rFonts w:hint="eastAsia" w:ascii="仿宋_GB2312" w:eastAsia="仿宋_GB2312"/>
          <w:color w:val="000000" w:themeColor="text1"/>
          <w:sz w:val="32"/>
          <w:szCs w:val="32"/>
          <w14:textFill>
            <w14:solidFill>
              <w14:schemeClr w14:val="tx1"/>
            </w14:solidFill>
          </w14:textFill>
        </w:rPr>
        <w:t>收入预算总额为</w:t>
      </w:r>
      <w:r>
        <w:rPr>
          <w:rFonts w:hint="eastAsia" w:ascii="仿宋_GB2312" w:eastAsia="仿宋_GB2312"/>
          <w:color w:val="000000" w:themeColor="text1"/>
          <w:sz w:val="32"/>
          <w:szCs w:val="32"/>
          <w:lang w:val="en-US" w:eastAsia="zh-CN"/>
          <w14:textFill>
            <w14:solidFill>
              <w14:schemeClr w14:val="tx1"/>
            </w14:solidFill>
          </w14:textFill>
        </w:rPr>
        <w:t>424.39</w:t>
      </w:r>
      <w:r>
        <w:rPr>
          <w:rFonts w:hint="eastAsia" w:ascii="仿宋_GB2312" w:eastAsia="仿宋_GB2312"/>
          <w:color w:val="000000" w:themeColor="text1"/>
          <w:sz w:val="32"/>
          <w:szCs w:val="32"/>
          <w14:textFill>
            <w14:solidFill>
              <w14:schemeClr w14:val="tx1"/>
            </w14:solidFill>
          </w14:textFill>
        </w:rPr>
        <w:t>万元，其中：当年财政拨款收入</w:t>
      </w:r>
      <w:r>
        <w:rPr>
          <w:rFonts w:hint="eastAsia" w:ascii="仿宋_GB2312" w:eastAsia="仿宋_GB2312"/>
          <w:color w:val="000000" w:themeColor="text1"/>
          <w:sz w:val="32"/>
          <w:szCs w:val="32"/>
          <w:lang w:val="en-US" w:eastAsia="zh-CN"/>
          <w14:textFill>
            <w14:solidFill>
              <w14:schemeClr w14:val="tx1"/>
            </w14:solidFill>
          </w14:textFill>
        </w:rPr>
        <w:t>424.39</w:t>
      </w:r>
      <w:r>
        <w:rPr>
          <w:rFonts w:hint="eastAsia" w:ascii="仿宋_GB2312" w:eastAsia="仿宋_GB2312"/>
          <w:color w:val="000000" w:themeColor="text1"/>
          <w:sz w:val="32"/>
          <w:szCs w:val="32"/>
          <w14:textFill>
            <w14:solidFill>
              <w14:schemeClr w14:val="tx1"/>
            </w14:solidFill>
          </w14:textFill>
        </w:rPr>
        <w:t>万元。相应安排支出预算</w:t>
      </w:r>
      <w:r>
        <w:rPr>
          <w:rFonts w:hint="eastAsia" w:ascii="仿宋_GB2312" w:eastAsia="仿宋_GB2312"/>
          <w:color w:val="000000" w:themeColor="text1"/>
          <w:sz w:val="32"/>
          <w:szCs w:val="32"/>
          <w:lang w:val="en-US" w:eastAsia="zh-CN"/>
          <w14:textFill>
            <w14:solidFill>
              <w14:schemeClr w14:val="tx1"/>
            </w14:solidFill>
          </w14:textFill>
        </w:rPr>
        <w:t>424.39</w:t>
      </w:r>
      <w:r>
        <w:rPr>
          <w:rFonts w:hint="eastAsia" w:ascii="仿宋_GB2312" w:eastAsia="仿宋_GB2312"/>
          <w:color w:val="000000" w:themeColor="text1"/>
          <w:sz w:val="32"/>
          <w:szCs w:val="32"/>
          <w14:textFill>
            <w14:solidFill>
              <w14:schemeClr w14:val="tx1"/>
            </w14:solidFill>
          </w14:textFill>
        </w:rPr>
        <w:t>万元，其中：一般公共服务</w:t>
      </w:r>
      <w:r>
        <w:rPr>
          <w:rFonts w:hint="eastAsia" w:ascii="仿宋_GB2312" w:eastAsia="仿宋_GB2312"/>
          <w:color w:val="000000" w:themeColor="text1"/>
          <w:sz w:val="32"/>
          <w:szCs w:val="32"/>
          <w:lang w:val="en-US" w:eastAsia="zh-CN"/>
          <w14:textFill>
            <w14:solidFill>
              <w14:schemeClr w14:val="tx1"/>
            </w14:solidFill>
          </w14:textFill>
        </w:rPr>
        <w:t>328.87</w:t>
      </w:r>
      <w:r>
        <w:rPr>
          <w:rFonts w:hint="eastAsia" w:ascii="仿宋_GB2312" w:eastAsia="仿宋_GB2312"/>
          <w:color w:val="000000" w:themeColor="text1"/>
          <w:sz w:val="32"/>
          <w:szCs w:val="32"/>
          <w14:textFill>
            <w14:solidFill>
              <w14:schemeClr w14:val="tx1"/>
            </w14:solidFill>
          </w14:textFill>
        </w:rPr>
        <w:t>万元，社会保障和就业</w:t>
      </w:r>
      <w:r>
        <w:rPr>
          <w:rFonts w:hint="eastAsia" w:ascii="仿宋_GB2312" w:eastAsia="仿宋_GB2312"/>
          <w:color w:val="000000" w:themeColor="text1"/>
          <w:sz w:val="32"/>
          <w:szCs w:val="32"/>
          <w:lang w:val="en-US" w:eastAsia="zh-CN"/>
          <w14:textFill>
            <w14:solidFill>
              <w14:schemeClr w14:val="tx1"/>
            </w14:solidFill>
          </w14:textFill>
        </w:rPr>
        <w:t>50.46</w:t>
      </w:r>
      <w:r>
        <w:rPr>
          <w:rFonts w:hint="eastAsia" w:ascii="仿宋_GB2312" w:eastAsia="仿宋_GB2312"/>
          <w:color w:val="000000" w:themeColor="text1"/>
          <w:sz w:val="32"/>
          <w:szCs w:val="32"/>
          <w14:textFill>
            <w14:solidFill>
              <w14:schemeClr w14:val="tx1"/>
            </w14:solidFill>
          </w14:textFill>
        </w:rPr>
        <w:t>万元，医疗卫生</w:t>
      </w:r>
      <w:r>
        <w:rPr>
          <w:rFonts w:hint="eastAsia" w:ascii="仿宋_GB2312" w:eastAsia="仿宋_GB2312"/>
          <w:color w:val="000000" w:themeColor="text1"/>
          <w:sz w:val="32"/>
          <w:szCs w:val="32"/>
          <w:lang w:val="en-US" w:eastAsia="zh-CN"/>
          <w14:textFill>
            <w14:solidFill>
              <w14:schemeClr w14:val="tx1"/>
            </w14:solidFill>
          </w14:textFill>
        </w:rPr>
        <w:t>17.14</w:t>
      </w:r>
      <w:r>
        <w:rPr>
          <w:rFonts w:hint="eastAsia" w:ascii="仿宋_GB2312" w:eastAsia="仿宋_GB2312"/>
          <w:color w:val="000000" w:themeColor="text1"/>
          <w:sz w:val="32"/>
          <w:szCs w:val="32"/>
          <w14:textFill>
            <w14:solidFill>
              <w14:schemeClr w14:val="tx1"/>
            </w14:solidFill>
          </w14:textFill>
        </w:rPr>
        <w:t>万元，住房保障支出</w:t>
      </w:r>
      <w:r>
        <w:rPr>
          <w:rFonts w:hint="eastAsia" w:ascii="仿宋_GB2312" w:eastAsia="仿宋_GB2312"/>
          <w:color w:val="000000" w:themeColor="text1"/>
          <w:sz w:val="32"/>
          <w:szCs w:val="32"/>
          <w:lang w:val="en-US" w:eastAsia="zh-CN"/>
          <w14:textFill>
            <w14:solidFill>
              <w14:schemeClr w14:val="tx1"/>
            </w14:solidFill>
          </w14:textFill>
        </w:rPr>
        <w:t>27.92</w:t>
      </w:r>
      <w:r>
        <w:rPr>
          <w:rFonts w:hint="eastAsia" w:ascii="仿宋_GB2312" w:eastAsia="仿宋_GB2312"/>
          <w:color w:val="000000" w:themeColor="text1"/>
          <w:sz w:val="32"/>
          <w:szCs w:val="32"/>
          <w14:textFill>
            <w14:solidFill>
              <w14:schemeClr w14:val="tx1"/>
            </w14:solidFill>
          </w14:textFill>
        </w:rPr>
        <w:t>万元。</w:t>
      </w:r>
    </w:p>
    <w:p w14:paraId="52A16B76">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支出预算安排情况</w:t>
      </w:r>
    </w:p>
    <w:p w14:paraId="1A13E08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红原县行政审批局</w:t>
      </w:r>
      <w:r>
        <w:rPr>
          <w:rFonts w:hint="eastAsia" w:ascii="仿宋_GB2312" w:eastAsia="仿宋_GB2312"/>
          <w:color w:val="000000" w:themeColor="text1"/>
          <w:sz w:val="32"/>
          <w:szCs w:val="32"/>
          <w14:textFill>
            <w14:solidFill>
              <w14:schemeClr w14:val="tx1"/>
            </w14:solidFill>
          </w14:textFill>
        </w:rPr>
        <w:t>预算安排支出主要用于保障该部门机构正常运转、完成日常工作任务以及承担</w:t>
      </w:r>
      <w:r>
        <w:rPr>
          <w:rFonts w:hint="eastAsia" w:ascii="仿宋_GB2312" w:hAnsi="仿宋_GB2312" w:eastAsia="仿宋_GB2312" w:cs="仿宋_GB2312"/>
          <w:color w:val="000000" w:themeColor="text1"/>
          <w:sz w:val="32"/>
          <w:szCs w:val="32"/>
          <w:lang w:eastAsia="zh-CN"/>
          <w14:textFill>
            <w14:solidFill>
              <w14:schemeClr w14:val="tx1"/>
            </w14:solidFill>
          </w14:textFill>
        </w:rPr>
        <w:t>行政审批及公共资源交易服务</w:t>
      </w:r>
      <w:r>
        <w:rPr>
          <w:rFonts w:hint="eastAsia" w:ascii="仿宋_GB2312" w:hAnsi="仿宋_GB2312" w:eastAsia="仿宋_GB2312" w:cs="仿宋_GB2312"/>
          <w:color w:val="000000" w:themeColor="text1"/>
          <w:sz w:val="32"/>
          <w:szCs w:val="32"/>
          <w14:textFill>
            <w14:solidFill>
              <w14:schemeClr w14:val="tx1"/>
            </w14:solidFill>
          </w14:textFill>
        </w:rPr>
        <w:t>事业发展</w:t>
      </w:r>
      <w:r>
        <w:rPr>
          <w:rFonts w:hint="eastAsia" w:ascii="仿宋_GB2312" w:eastAsia="仿宋_GB2312"/>
          <w:color w:val="000000" w:themeColor="text1"/>
          <w:sz w:val="32"/>
          <w:szCs w:val="32"/>
          <w14:textFill>
            <w14:solidFill>
              <w14:schemeClr w14:val="tx1"/>
            </w14:solidFill>
          </w14:textFill>
        </w:rPr>
        <w:t xml:space="preserve">相关工作。  </w:t>
      </w:r>
    </w:p>
    <w:p w14:paraId="6EB9777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基本支出</w:t>
      </w:r>
      <w:r>
        <w:rPr>
          <w:rFonts w:hint="eastAsia" w:ascii="仿宋_GB2312" w:eastAsia="仿宋_GB2312"/>
          <w:color w:val="000000" w:themeColor="text1"/>
          <w:sz w:val="32"/>
          <w:szCs w:val="32"/>
          <w:lang w:val="en-US" w:eastAsia="zh-CN"/>
          <w14:textFill>
            <w14:solidFill>
              <w14:schemeClr w14:val="tx1"/>
            </w14:solidFill>
          </w14:textFill>
        </w:rPr>
        <w:t>359.39</w:t>
      </w:r>
      <w:r>
        <w:rPr>
          <w:rFonts w:hint="eastAsia" w:ascii="仿宋_GB2312" w:eastAsia="仿宋_GB2312"/>
          <w:color w:val="000000" w:themeColor="text1"/>
          <w:sz w:val="32"/>
          <w:szCs w:val="32"/>
          <w:lang w:eastAsia="zh-CN"/>
          <w14:textFill>
            <w14:solidFill>
              <w14:schemeClr w14:val="tx1"/>
            </w14:solidFill>
          </w14:textFill>
        </w:rPr>
        <w:t>万元</w:t>
      </w:r>
      <w:r>
        <w:rPr>
          <w:rFonts w:hint="eastAsia" w:ascii="仿宋_GB2312" w:eastAsia="仿宋_GB2312"/>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其中人员经费支出</w:t>
      </w:r>
      <w:r>
        <w:rPr>
          <w:rFonts w:hint="eastAsia" w:ascii="仿宋_GB2312" w:eastAsia="仿宋_GB2312"/>
          <w:color w:val="000000" w:themeColor="text1"/>
          <w:sz w:val="32"/>
          <w:szCs w:val="32"/>
          <w:lang w:val="en-US" w:eastAsia="zh-CN"/>
          <w14:textFill>
            <w14:solidFill>
              <w14:schemeClr w14:val="tx1"/>
            </w14:solidFill>
          </w14:textFill>
        </w:rPr>
        <w:t>335.16万元，机关运行经费24.23万元，其中：办公费7.92万元，差旅费2万元，工会经费2.52万元，公务用车运行维护费4.6万元，印刷费4.38万元，培训费2万元，公务接待费0.3万元，劳务费0.5万元。</w:t>
      </w:r>
    </w:p>
    <w:p w14:paraId="16D17E4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 xml:space="preserve">一般公共预算项目支出65万元。其中取暖费7.01万元，邮电费13万元，水费2万元，电费5万元，公务用车运行维护费7万元，维修（护）费0.5万元，公务接待费0.65万元，劳务费11万元，印刷费3万元，办公费5.84万元，差旅费10万元。  </w:t>
      </w:r>
    </w:p>
    <w:p w14:paraId="41A3D41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3" w:firstLineChars="200"/>
        <w:jc w:val="both"/>
        <w:textAlignment w:val="baseline"/>
        <w:rPr>
          <w:rFonts w:hint="eastAsia" w:ascii="仿宋_GB2312" w:eastAsia="仿宋_GB2312"/>
          <w:b/>
          <w:bCs/>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按支出功能分类主要用于以下方面:</w:t>
      </w:r>
    </w:p>
    <w:p w14:paraId="4BF458C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一般公共服务</w:t>
      </w:r>
      <w:r>
        <w:rPr>
          <w:rFonts w:hint="eastAsia" w:ascii="仿宋_GB2312" w:eastAsia="仿宋_GB2312"/>
          <w:color w:val="000000" w:themeColor="text1"/>
          <w:sz w:val="32"/>
          <w:szCs w:val="32"/>
          <w:lang w:val="en-US" w:eastAsia="zh-CN"/>
          <w14:textFill>
            <w14:solidFill>
              <w14:schemeClr w14:val="tx1"/>
            </w14:solidFill>
          </w14:textFill>
        </w:rPr>
        <w:t>328.87</w:t>
      </w:r>
      <w:r>
        <w:rPr>
          <w:rFonts w:hint="eastAsia" w:ascii="仿宋_GB2312" w:eastAsia="仿宋_GB2312"/>
          <w:color w:val="000000" w:themeColor="text1"/>
          <w:sz w:val="32"/>
          <w:szCs w:val="32"/>
          <w:lang w:eastAsia="zh-CN"/>
          <w14:textFill>
            <w14:solidFill>
              <w14:schemeClr w14:val="tx1"/>
            </w14:solidFill>
          </w14:textFill>
        </w:rPr>
        <w:t>万元</w:t>
      </w:r>
      <w:r>
        <w:rPr>
          <w:rFonts w:hint="eastAsia" w:ascii="仿宋_GB2312" w:eastAsia="仿宋_GB2312"/>
          <w:color w:val="000000" w:themeColor="text1"/>
          <w:sz w:val="32"/>
          <w:szCs w:val="32"/>
          <w14:textFill>
            <w14:solidFill>
              <w14:schemeClr w14:val="tx1"/>
            </w14:solidFill>
          </w14:textFill>
        </w:rPr>
        <w:t>，主要用于机关及下属事业单位人员工资、日常运转以及为完成特定行政工作任务和事业发展目标而安排的年度项目支出。</w:t>
      </w:r>
    </w:p>
    <w:p w14:paraId="747A354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社会保障和就业</w:t>
      </w:r>
      <w:r>
        <w:rPr>
          <w:rFonts w:hint="eastAsia" w:ascii="仿宋_GB2312" w:eastAsia="仿宋_GB2312"/>
          <w:color w:val="000000" w:themeColor="text1"/>
          <w:sz w:val="32"/>
          <w:szCs w:val="32"/>
          <w:lang w:val="en-US" w:eastAsia="zh-CN"/>
          <w14:textFill>
            <w14:solidFill>
              <w14:schemeClr w14:val="tx1"/>
            </w14:solidFill>
          </w14:textFill>
        </w:rPr>
        <w:t>50.46</w:t>
      </w:r>
      <w:r>
        <w:rPr>
          <w:rFonts w:hint="eastAsia" w:ascii="仿宋_GB2312" w:eastAsia="仿宋_GB2312"/>
          <w:color w:val="000000" w:themeColor="text1"/>
          <w:sz w:val="32"/>
          <w:szCs w:val="32"/>
          <w:lang w:eastAsia="zh-CN"/>
          <w14:textFill>
            <w14:solidFill>
              <w14:schemeClr w14:val="tx1"/>
            </w14:solidFill>
          </w14:textFill>
        </w:rPr>
        <w:t>万元</w:t>
      </w:r>
      <w:r>
        <w:rPr>
          <w:rFonts w:hint="eastAsia" w:ascii="仿宋_GB2312" w:eastAsia="仿宋_GB2312"/>
          <w:color w:val="000000" w:themeColor="text1"/>
          <w:sz w:val="32"/>
          <w:szCs w:val="32"/>
          <w14:textFill>
            <w14:solidFill>
              <w14:schemeClr w14:val="tx1"/>
            </w14:solidFill>
          </w14:textFill>
        </w:rPr>
        <w:t>，主要用于机关及下属事业单位</w:t>
      </w:r>
      <w:r>
        <w:rPr>
          <w:rFonts w:hint="eastAsia" w:ascii="仿宋_GB2312" w:eastAsia="仿宋_GB2312"/>
          <w:color w:val="000000" w:themeColor="text1"/>
          <w:sz w:val="32"/>
          <w:szCs w:val="32"/>
          <w:lang w:eastAsia="zh-CN"/>
          <w14:textFill>
            <w14:solidFill>
              <w14:schemeClr w14:val="tx1"/>
            </w14:solidFill>
          </w14:textFill>
        </w:rPr>
        <w:t>养老保险及职业年金缴费</w:t>
      </w:r>
      <w:r>
        <w:rPr>
          <w:rFonts w:hint="eastAsia" w:ascii="仿宋_GB2312" w:eastAsia="仿宋_GB2312"/>
          <w:color w:val="000000" w:themeColor="text1"/>
          <w:sz w:val="32"/>
          <w:szCs w:val="32"/>
          <w14:textFill>
            <w14:solidFill>
              <w14:schemeClr w14:val="tx1"/>
            </w14:solidFill>
          </w14:textFill>
        </w:rPr>
        <w:t>。</w:t>
      </w:r>
    </w:p>
    <w:p w14:paraId="1D8EDCB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医疗卫生</w:t>
      </w:r>
      <w:r>
        <w:rPr>
          <w:rFonts w:hint="eastAsia" w:ascii="仿宋_GB2312" w:eastAsia="仿宋_GB2312"/>
          <w:color w:val="000000" w:themeColor="text1"/>
          <w:sz w:val="32"/>
          <w:szCs w:val="32"/>
          <w:lang w:val="en-US" w:eastAsia="zh-CN"/>
          <w14:textFill>
            <w14:solidFill>
              <w14:schemeClr w14:val="tx1"/>
            </w14:solidFill>
          </w14:textFill>
        </w:rPr>
        <w:t>17.14</w:t>
      </w:r>
      <w:r>
        <w:rPr>
          <w:rFonts w:hint="eastAsia" w:ascii="仿宋_GB2312" w:eastAsia="仿宋_GB2312"/>
          <w:color w:val="000000" w:themeColor="text1"/>
          <w:sz w:val="32"/>
          <w:szCs w:val="32"/>
          <w:lang w:eastAsia="zh-CN"/>
          <w14:textFill>
            <w14:solidFill>
              <w14:schemeClr w14:val="tx1"/>
            </w14:solidFill>
          </w14:textFill>
        </w:rPr>
        <w:t>万元</w:t>
      </w:r>
      <w:r>
        <w:rPr>
          <w:rFonts w:hint="eastAsia" w:ascii="仿宋_GB2312" w:eastAsia="仿宋_GB2312"/>
          <w:color w:val="000000" w:themeColor="text1"/>
          <w:sz w:val="32"/>
          <w:szCs w:val="32"/>
          <w14:textFill>
            <w14:solidFill>
              <w14:schemeClr w14:val="tx1"/>
            </w14:solidFill>
          </w14:textFill>
        </w:rPr>
        <w:t>，主要用于机关及下属事业单位按照规定标准为职工缴纳的基本医疗保险及公务员医疗补助等支出。</w:t>
      </w:r>
    </w:p>
    <w:p w14:paraId="664F5D3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default"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住房保障支出</w:t>
      </w:r>
      <w:r>
        <w:rPr>
          <w:rFonts w:hint="eastAsia" w:ascii="仿宋_GB2312" w:eastAsia="仿宋_GB2312"/>
          <w:color w:val="000000" w:themeColor="text1"/>
          <w:sz w:val="32"/>
          <w:szCs w:val="32"/>
          <w:lang w:val="en-US" w:eastAsia="zh-CN"/>
          <w14:textFill>
            <w14:solidFill>
              <w14:schemeClr w14:val="tx1"/>
            </w14:solidFill>
          </w14:textFill>
        </w:rPr>
        <w:t>27.92</w:t>
      </w:r>
      <w:r>
        <w:rPr>
          <w:rFonts w:hint="eastAsia" w:ascii="仿宋_GB2312" w:eastAsia="仿宋_GB2312"/>
          <w:color w:val="000000" w:themeColor="text1"/>
          <w:sz w:val="32"/>
          <w:szCs w:val="32"/>
          <w:lang w:eastAsia="zh-CN"/>
          <w14:textFill>
            <w14:solidFill>
              <w14:schemeClr w14:val="tx1"/>
            </w14:solidFill>
          </w14:textFill>
        </w:rPr>
        <w:t>万元</w:t>
      </w:r>
      <w:r>
        <w:rPr>
          <w:rFonts w:hint="eastAsia" w:ascii="仿宋_GB2312" w:eastAsia="仿宋_GB2312"/>
          <w:color w:val="000000" w:themeColor="text1"/>
          <w:sz w:val="32"/>
          <w:szCs w:val="32"/>
          <w14:textFill>
            <w14:solidFill>
              <w14:schemeClr w14:val="tx1"/>
            </w14:solidFill>
          </w14:textFill>
        </w:rPr>
        <w:t>，用于机关及下属事业单位按照规定标准为职工缴纳住房公积金等支出。</w:t>
      </w:r>
    </w:p>
    <w:p w14:paraId="4A981E0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（其他科目支出主要用途）</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无</w:t>
      </w:r>
    </w:p>
    <w:p w14:paraId="3AF89CF4">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76" w:lineRule="exact"/>
        <w:ind w:left="0" w:leftChars="0" w:firstLine="640" w:firstLineChars="200"/>
        <w:jc w:val="both"/>
        <w:textAlignment w:val="baseline"/>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t>较上年度增减变化</w:t>
      </w:r>
    </w:p>
    <w:p w14:paraId="54BFE4F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本年度预算拨款收入424.39万元较上年度预算459.68万元减少，减少原因为2024年无天府通办APP红原分站点“红e办”建设项目80万元项目，2024年无红原县乡镇便民服务专项规划编制项目5万元项目；减少了35.29%。其中基本行政运行经费预算101.50元，占全部总预算的23.92%，较上年96.13万元增加了5.37万元，增加了5%，原因为2023年9月新招录工作人员一人，工资及差旅费、办公费等相应增加；专项项目工作经费预算65万元，占总预算的15.32%，较上年预算47.01万元增加了17.99%。主要原因为：</w:t>
      </w:r>
      <w:r>
        <w:rPr>
          <w:rFonts w:hint="eastAsia" w:ascii="仿宋_GB2312" w:eastAsia="仿宋_GB2312"/>
          <w:b/>
          <w:bCs/>
          <w:color w:val="000000" w:themeColor="text1"/>
          <w:sz w:val="32"/>
          <w:szCs w:val="32"/>
          <w:lang w:val="en-US" w:eastAsia="zh-CN"/>
          <w14:textFill>
            <w14:solidFill>
              <w14:schemeClr w14:val="tx1"/>
            </w14:solidFill>
          </w14:textFill>
        </w:rPr>
        <w:t>一是</w:t>
      </w:r>
      <w:r>
        <w:rPr>
          <w:rFonts w:hint="eastAsia" w:ascii="仿宋_GB2312" w:eastAsia="仿宋_GB2312"/>
          <w:color w:val="000000" w:themeColor="text1"/>
          <w:sz w:val="32"/>
          <w:szCs w:val="32"/>
          <w:lang w:val="en-US" w:eastAsia="zh-CN"/>
          <w14:textFill>
            <w14:solidFill>
              <w14:schemeClr w14:val="tx1"/>
            </w14:solidFill>
          </w14:textFill>
        </w:rPr>
        <w:t>政务大厅搬迁至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新建政务中心大楼，入驻人员由90人增加至115人。</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二是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大楼建筑面积由1185.2㎡增加至6174.39㎡。</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三是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政务大厅搬迁至新大楼需要完善购置相应基础设施设备。因此专项办公费、取暖费、电费、网话费、印刷费、水费、劳务费等经费增加。</w:t>
      </w:r>
      <w:r>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t xml:space="preserve"> </w:t>
      </w:r>
      <w:r>
        <w:rPr>
          <w:rFonts w:hint="eastAsia" w:ascii="仿宋_GB2312" w:eastAsia="仿宋_GB2312"/>
          <w:color w:val="000000" w:themeColor="text1"/>
          <w:sz w:val="32"/>
          <w:szCs w:val="32"/>
          <w:lang w:val="en-US" w:eastAsia="zh-CN"/>
          <w14:textFill>
            <w14:solidFill>
              <w14:schemeClr w14:val="tx1"/>
            </w14:solidFill>
          </w14:textFill>
        </w:rPr>
        <w:t xml:space="preserve"> </w:t>
      </w:r>
    </w:p>
    <w:p w14:paraId="44988946">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76" w:lineRule="exact"/>
        <w:ind w:left="0" w:leftChars="0" w:firstLine="640" w:firstLineChars="200"/>
        <w:jc w:val="both"/>
        <w:textAlignment w:val="baseline"/>
        <w:rPr>
          <w:rFonts w:hint="eastAsia" w:ascii="仿宋_GB2312" w:eastAsia="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t>“三公”经费预算</w:t>
      </w:r>
    </w:p>
    <w:p w14:paraId="2B59F6B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本年度三公经费预算安排支出为12.55万元，其中：出国费0万元，与上年持平，主要原因为未安排因公出国；公车购置费0元，与上年持平；公务用车维护费支出11.6万元，较上年度预算12.07万元减少0.47万元；二是将有关股室的工作有机地结合起来，减少不必要的资源浪费。较上年度预算持平，主要是安排的交易中心出差、开展群众工作及开展乡镇便民服务中心专项工作用车较多；公务接待费0.95万元，较上年度预算增加0.65万元，主要原因为因政务大厅搬迁至新大楼政务学习考察增多。</w:t>
      </w:r>
      <w:r>
        <w:rPr>
          <w:rFonts w:ascii="Times New Roman" w:hAnsi="Times New Roman" w:eastAsia="仿宋_GB2312" w:cs="Times New Roman"/>
          <w:color w:val="000000" w:themeColor="text1"/>
          <w:sz w:val="32"/>
          <w:szCs w:val="32"/>
          <w14:textFill>
            <w14:solidFill>
              <w14:schemeClr w14:val="tx1"/>
            </w14:solidFill>
          </w14:textFill>
        </w:rPr>
        <w:t xml:space="preserve">本年度我们将严格执行“八项规定、六项禁令”，结合本年度工作需要，减少不必要的开支。 </w:t>
      </w:r>
    </w:p>
    <w:p w14:paraId="655134C1">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76" w:lineRule="exact"/>
        <w:ind w:left="0" w:leftChars="0" w:firstLine="640" w:firstLineChars="200"/>
        <w:jc w:val="both"/>
        <w:textAlignment w:val="baseline"/>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t>政府性基金预算收支情况说明</w:t>
      </w:r>
    </w:p>
    <w:p w14:paraId="537ADCA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2024年无使用政府性基金预算拨款安排的支出</w:t>
      </w:r>
      <w:r>
        <w:rPr>
          <w:rFonts w:hint="eastAsia" w:ascii="仿宋_GB2312" w:eastAsia="仿宋_GB2312"/>
          <w:color w:val="000000" w:themeColor="text1"/>
          <w:sz w:val="32"/>
          <w:szCs w:val="32"/>
          <w14:textFill>
            <w14:solidFill>
              <w14:schemeClr w14:val="tx1"/>
            </w14:solidFill>
          </w14:textFill>
        </w:rPr>
        <w:t>。</w:t>
      </w:r>
    </w:p>
    <w:p w14:paraId="3A4B033A">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76" w:lineRule="exact"/>
        <w:ind w:left="0" w:leftChars="0" w:firstLine="640" w:firstLineChars="200"/>
        <w:jc w:val="both"/>
        <w:textAlignment w:val="baseline"/>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t>国有资本经营预算收支情况说明</w:t>
      </w:r>
    </w:p>
    <w:p w14:paraId="21DF740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2024年无使用国有资本经营预算拨款安排的支出。</w:t>
      </w:r>
    </w:p>
    <w:p w14:paraId="42FF5F4C">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76" w:lineRule="exact"/>
        <w:ind w:left="0" w:leftChars="0" w:firstLine="640" w:firstLineChars="200"/>
        <w:jc w:val="both"/>
        <w:textAlignment w:val="baseline"/>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t>其他重要事项的情况说明</w:t>
      </w:r>
    </w:p>
    <w:p w14:paraId="4804C6BD">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snapToGrid/>
        <w:spacing w:line="576" w:lineRule="exact"/>
        <w:ind w:firstLine="643" w:firstLineChars="200"/>
        <w:jc w:val="both"/>
        <w:textAlignment w:val="baseline"/>
        <w:rPr>
          <w:rFonts w:hint="eastAsia" w:ascii="仿宋_GB2312" w:eastAsia="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kern w:val="0"/>
          <w:sz w:val="32"/>
          <w:szCs w:val="32"/>
          <w:shd w:val="clear" w:color="auto" w:fill="FFFFFF"/>
          <w:lang w:val="en-US" w:eastAsia="zh-CN" w:bidi="ar"/>
          <w14:textFill>
            <w14:solidFill>
              <w14:schemeClr w14:val="tx1"/>
            </w14:solidFill>
          </w14:textFill>
        </w:rPr>
        <w:t>政府采购预算情况</w:t>
      </w:r>
      <w:r>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t xml:space="preserve"> </w:t>
      </w:r>
    </w:p>
    <w:p w14:paraId="2032B30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2024年度安排政府采购预算0万元。</w:t>
      </w:r>
    </w:p>
    <w:p w14:paraId="755CDE84">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snapToGrid/>
        <w:spacing w:line="576" w:lineRule="exact"/>
        <w:ind w:left="0" w:leftChars="0" w:firstLine="643" w:firstLineChars="200"/>
        <w:jc w:val="both"/>
        <w:textAlignment w:val="baseline"/>
        <w:rPr>
          <w:rFonts w:hint="eastAsia" w:ascii="楷体_GB2312" w:hAnsi="楷体_GB2312" w:eastAsia="楷体_GB2312" w:cs="楷体_GB2312"/>
          <w:b/>
          <w:bCs/>
          <w:color w:val="000000" w:themeColor="text1"/>
          <w:kern w:val="0"/>
          <w:sz w:val="32"/>
          <w:szCs w:val="32"/>
          <w:shd w:val="clear" w:color="auto" w:fill="FFFFFF"/>
          <w:lang w:val="en-US" w:eastAsia="zh-CN" w:bidi="ar"/>
          <w14:textFill>
            <w14:solidFill>
              <w14:schemeClr w14:val="tx1"/>
            </w14:solidFill>
          </w14:textFill>
        </w:rPr>
      </w:pPr>
      <w:r>
        <w:rPr>
          <w:rFonts w:hint="eastAsia" w:ascii="楷体_GB2312" w:hAnsi="楷体_GB2312" w:eastAsia="楷体_GB2312" w:cs="楷体_GB2312"/>
          <w:b/>
          <w:bCs/>
          <w:color w:val="000000" w:themeColor="text1"/>
          <w:kern w:val="0"/>
          <w:sz w:val="32"/>
          <w:szCs w:val="32"/>
          <w:shd w:val="clear" w:color="auto" w:fill="FFFFFF"/>
          <w:lang w:val="en-US" w:eastAsia="zh-CN" w:bidi="ar"/>
          <w14:textFill>
            <w14:solidFill>
              <w14:schemeClr w14:val="tx1"/>
            </w14:solidFill>
          </w14:textFill>
        </w:rPr>
        <w:t xml:space="preserve">政府财政国有资产占用情况 </w:t>
      </w:r>
    </w:p>
    <w:p w14:paraId="095DBCA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截止2023年底，实际共有固定资产价值275.91</w:t>
      </w:r>
      <w:r>
        <w:rPr>
          <w:rFonts w:hint="eastAsia" w:ascii="仿宋_GB2312" w:eastAsia="仿宋_GB2312"/>
          <w:color w:val="000000" w:themeColor="text1"/>
          <w:sz w:val="32"/>
          <w:szCs w:val="32"/>
          <w:lang w:eastAsia="zh-CN"/>
          <w14:textFill>
            <w14:solidFill>
              <w14:schemeClr w14:val="tx1"/>
            </w14:solidFill>
          </w14:textFill>
        </w:rPr>
        <w:t>万元：其中：公务用车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lang w:eastAsia="zh-CN"/>
          <w14:textFill>
            <w14:solidFill>
              <w14:schemeClr w14:val="tx1"/>
            </w14:solidFill>
          </w14:textFill>
        </w:rPr>
        <w:t>万元（</w:t>
      </w:r>
      <w:r>
        <w:rPr>
          <w:rFonts w:hint="eastAsia" w:ascii="仿宋_GB2312" w:eastAsia="仿宋_GB2312"/>
          <w:color w:val="000000" w:themeColor="text1"/>
          <w:sz w:val="32"/>
          <w:szCs w:val="32"/>
          <w:lang w:val="en-US" w:eastAsia="zh-CN"/>
          <w14:textFill>
            <w14:solidFill>
              <w14:schemeClr w14:val="tx1"/>
            </w14:solidFill>
          </w14:textFill>
        </w:rPr>
        <w:t>其他单位还未进行车辆调拨</w:t>
      </w:r>
      <w:bookmarkStart w:id="0" w:name="_GoBack"/>
      <w:bookmarkEnd w:id="0"/>
      <w:r>
        <w:rPr>
          <w:rFonts w:hint="eastAsia" w:ascii="仿宋_GB2312" w:eastAsia="仿宋_GB2312"/>
          <w:color w:val="000000" w:themeColor="text1"/>
          <w:sz w:val="32"/>
          <w:szCs w:val="32"/>
          <w:lang w:val="en-US" w:eastAsia="zh-CN"/>
          <w14:textFill>
            <w14:solidFill>
              <w14:schemeClr w14:val="tx1"/>
            </w14:solidFill>
          </w14:textFill>
        </w:rPr>
        <w:t>手续，因此资产系统上未有公务用车价值</w:t>
      </w:r>
      <w:r>
        <w:rPr>
          <w:rFonts w:hint="eastAsia" w:ascii="仿宋_GB2312" w:eastAsia="仿宋_GB2312"/>
          <w:color w:val="000000" w:themeColor="text1"/>
          <w:sz w:val="32"/>
          <w:szCs w:val="32"/>
          <w:lang w:eastAsia="zh-CN"/>
          <w14:textFill>
            <w14:solidFill>
              <w14:schemeClr w14:val="tx1"/>
            </w14:solidFill>
          </w14:textFill>
        </w:rPr>
        <w:t>），业务用房</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lang w:eastAsia="zh-CN"/>
          <w14:textFill>
            <w14:solidFill>
              <w14:schemeClr w14:val="tx1"/>
            </w14:solidFill>
          </w14:textFill>
        </w:rPr>
        <w:t>万元（</w:t>
      </w:r>
      <w:r>
        <w:rPr>
          <w:rFonts w:hint="eastAsia" w:ascii="仿宋_GB2312" w:eastAsia="仿宋_GB2312"/>
          <w:color w:val="000000" w:themeColor="text1"/>
          <w:sz w:val="32"/>
          <w:szCs w:val="32"/>
          <w:lang w:val="en-US" w:eastAsia="zh-CN"/>
          <w14:textFill>
            <w14:solidFill>
              <w14:schemeClr w14:val="tx1"/>
            </w14:solidFill>
          </w14:textFill>
        </w:rPr>
        <w:t>在建工程还未转固定资产</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通用设备252.04万元，家具和用具23.87万元。</w:t>
      </w:r>
    </w:p>
    <w:p w14:paraId="6BB8D5BB">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snapToGrid/>
        <w:spacing w:line="576" w:lineRule="exact"/>
        <w:ind w:left="0" w:leftChars="0" w:firstLine="643" w:firstLineChars="200"/>
        <w:jc w:val="both"/>
        <w:textAlignment w:val="baseline"/>
        <w:rPr>
          <w:rFonts w:hint="eastAsia" w:ascii="楷体_GB2312" w:hAnsi="楷体_GB2312" w:eastAsia="楷体_GB2312" w:cs="楷体_GB2312"/>
          <w:b/>
          <w:bCs/>
          <w:color w:val="000000" w:themeColor="text1"/>
          <w:kern w:val="0"/>
          <w:sz w:val="32"/>
          <w:szCs w:val="32"/>
          <w:shd w:val="clear" w:color="auto" w:fill="FFFFFF"/>
          <w:lang w:val="en-US" w:eastAsia="zh-CN" w:bidi="ar"/>
          <w14:textFill>
            <w14:solidFill>
              <w14:schemeClr w14:val="tx1"/>
            </w14:solidFill>
          </w14:textFill>
        </w:rPr>
      </w:pPr>
      <w:r>
        <w:rPr>
          <w:rFonts w:hint="eastAsia" w:ascii="楷体_GB2312" w:hAnsi="楷体_GB2312" w:eastAsia="楷体_GB2312" w:cs="楷体_GB2312"/>
          <w:b/>
          <w:bCs/>
          <w:color w:val="000000" w:themeColor="text1"/>
          <w:kern w:val="0"/>
          <w:sz w:val="32"/>
          <w:szCs w:val="32"/>
          <w:shd w:val="clear" w:color="auto" w:fill="FFFFFF"/>
          <w:lang w:val="en-US" w:eastAsia="zh-CN" w:bidi="ar"/>
          <w14:textFill>
            <w14:solidFill>
              <w14:schemeClr w14:val="tx1"/>
            </w14:solidFill>
          </w14:textFill>
        </w:rPr>
        <w:t>绩效目标设置情况</w:t>
      </w:r>
    </w:p>
    <w:p w14:paraId="0D3CEFC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绩效目标是预算编制的前提和基础，按照“费随事定”的原则，2024年我单位项目支出按要求编制了绩效目标，从项目完成、项目效益、满意度。</w:t>
      </w:r>
    </w:p>
    <w:p w14:paraId="79FBFCCB">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76" w:lineRule="exact"/>
        <w:ind w:left="0" w:leftChars="0" w:firstLine="640" w:firstLineChars="200"/>
        <w:jc w:val="both"/>
        <w:textAlignment w:val="baseline"/>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val="en-US" w:eastAsia="zh-CN" w:bidi="ar"/>
          <w14:textFill>
            <w14:solidFill>
              <w14:schemeClr w14:val="tx1"/>
            </w14:solidFill>
          </w14:textFill>
        </w:rPr>
        <w:t>名词解释</w:t>
      </w:r>
    </w:p>
    <w:p w14:paraId="06C5D56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1.财政拨款收入：指财政部门核拨给单位的财政预算资金</w:t>
      </w:r>
    </w:p>
    <w:p w14:paraId="50C7DF9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2.其他收入：指除上述财政部门拨付单位以外的收入。</w:t>
      </w:r>
    </w:p>
    <w:p w14:paraId="2F8D851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0" w:firstLineChars="200"/>
        <w:jc w:val="both"/>
        <w:textAlignment w:val="baseline"/>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3.基本支出：指为保障单位机关正常运转、完成日常工作任务而发生的人员支出和公用支出。</w:t>
      </w:r>
      <w:r>
        <w:rPr>
          <w:rFonts w:hint="eastAsia" w:ascii="仿宋_GB2312" w:eastAsia="仿宋_GB2312"/>
          <w:color w:val="000000" w:themeColor="text1"/>
          <w:sz w:val="32"/>
          <w:szCs w:val="32"/>
          <w:lang w:val="en-US" w:eastAsia="zh-CN"/>
          <w14:textFill>
            <w14:solidFill>
              <w14:schemeClr w14:val="tx1"/>
            </w14:solidFill>
          </w14:textFill>
        </w:rPr>
        <w:br w:type="textWrapping"/>
      </w:r>
      <w:r>
        <w:rPr>
          <w:rFonts w:hint="eastAsia" w:ascii="仿宋_GB2312" w:eastAsia="仿宋_GB2312"/>
          <w:color w:val="000000" w:themeColor="text1"/>
          <w:sz w:val="32"/>
          <w:szCs w:val="32"/>
          <w:lang w:val="en-US" w:eastAsia="zh-CN"/>
          <w14:textFill>
            <w14:solidFill>
              <w14:schemeClr w14:val="tx1"/>
            </w14:solidFill>
          </w14:textFill>
        </w:rPr>
        <w:t xml:space="preserve">    4.项目支出：指在基本支出之外为完成特定行政任务和事业发展目标所发生的支出。</w:t>
      </w:r>
      <w:r>
        <w:rPr>
          <w:rFonts w:hint="eastAsia" w:ascii="仿宋_GB2312" w:eastAsia="仿宋_GB2312"/>
          <w:color w:val="000000" w:themeColor="text1"/>
          <w:sz w:val="32"/>
          <w:szCs w:val="32"/>
          <w:lang w:val="en-US" w:eastAsia="zh-CN"/>
          <w14:textFill>
            <w14:solidFill>
              <w14:schemeClr w14:val="tx1"/>
            </w14:solidFill>
          </w14:textFill>
        </w:rPr>
        <w:br w:type="textWrapping"/>
      </w:r>
      <w:r>
        <w:rPr>
          <w:rFonts w:hint="eastAsia" w:ascii="仿宋_GB2312" w:eastAsia="仿宋_GB2312"/>
          <w:color w:val="000000" w:themeColor="text1"/>
          <w:sz w:val="32"/>
          <w:szCs w:val="32"/>
          <w:lang w:val="en-US" w:eastAsia="zh-CN"/>
          <w14:textFill>
            <w14:solidFill>
              <w14:schemeClr w14:val="tx1"/>
            </w14:solidFill>
          </w14:textFill>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A673387">
      <w:pPr>
        <w:keepNext w:val="0"/>
        <w:keepLines w:val="0"/>
        <w:pageBreakBefore w:val="0"/>
        <w:widowControl w:val="0"/>
        <w:kinsoku/>
        <w:wordWrap/>
        <w:overflowPunct/>
        <w:topLinePunct w:val="0"/>
        <w:autoSpaceDE/>
        <w:autoSpaceDN/>
        <w:bidi w:val="0"/>
        <w:spacing w:line="576" w:lineRule="exact"/>
        <w:ind w:left="0" w:leftChars="0" w:right="0" w:rightChars="0" w:firstLine="640" w:firstLineChars="200"/>
        <w:jc w:val="both"/>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附件：表1.部门收支总表</w:t>
      </w:r>
    </w:p>
    <w:p w14:paraId="0D9A3215">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表2.部门收入总表</w:t>
      </w:r>
    </w:p>
    <w:p w14:paraId="7B0AFC85">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表3.部门支出总表</w:t>
      </w:r>
    </w:p>
    <w:p w14:paraId="1E435E6E">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表4.财政拨款收支预算总表</w:t>
      </w:r>
    </w:p>
    <w:p w14:paraId="4C2D728A">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表5.财政拨款支出预算表（部门经济分类科目）</w:t>
      </w:r>
    </w:p>
    <w:p w14:paraId="4BDE4ACB">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表6.一般公共预算支出预算表</w:t>
      </w:r>
    </w:p>
    <w:p w14:paraId="32C7DC70">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表7.一般公共预算基本支出预算表</w:t>
      </w:r>
    </w:p>
    <w:p w14:paraId="317C93D2">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表8.一般公共预算项目支出预算表</w:t>
      </w:r>
    </w:p>
    <w:p w14:paraId="1A553EEB">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280" w:firstLineChars="400"/>
        <w:jc w:val="both"/>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表9.一般公共预算“三公”经费支出预算表</w:t>
      </w:r>
    </w:p>
    <w:p w14:paraId="7E554239">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280" w:firstLineChars="400"/>
        <w:jc w:val="both"/>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表10.政府性基金支出预算表</w:t>
      </w:r>
    </w:p>
    <w:p w14:paraId="6C319541">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280" w:firstLineChars="400"/>
        <w:jc w:val="both"/>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表11.政府性基金预算“三公”经费支出预算表</w:t>
      </w:r>
    </w:p>
    <w:p w14:paraId="05F6C333">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280" w:firstLineChars="400"/>
        <w:jc w:val="both"/>
        <w:textAlignment w:val="auto"/>
        <w:outlineLvl w:val="9"/>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表12.国有资本经营预算支出预算表</w:t>
      </w:r>
    </w:p>
    <w:p w14:paraId="0F97100E">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280" w:firstLineChars="400"/>
        <w:jc w:val="both"/>
        <w:textAlignment w:val="auto"/>
        <w:outlineLvl w:val="9"/>
        <w:rPr>
          <w:rFonts w:hint="default"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表13.部门项目支出绩效目标表（2024年度）</w:t>
      </w:r>
    </w:p>
    <w:sectPr>
      <w:footerReference r:id="rId3" w:type="default"/>
      <w:footerReference r:id="rId4" w:type="even"/>
      <w:pgSz w:w="11906" w:h="16838"/>
      <w:pgMar w:top="1803" w:right="1440" w:bottom="1803"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B3111">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14:paraId="1CDD2A39">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2A3CD">
    <w:pPr>
      <w:pStyle w:val="5"/>
      <w:framePr w:wrap="around" w:vAnchor="text" w:hAnchor="margin" w:xAlign="center" w:y="1"/>
      <w:rPr>
        <w:rStyle w:val="9"/>
      </w:rPr>
    </w:pPr>
    <w:r>
      <w:fldChar w:fldCharType="begin"/>
    </w:r>
    <w:r>
      <w:rPr>
        <w:rStyle w:val="9"/>
      </w:rPr>
      <w:instrText xml:space="preserve">PAGE  </w:instrText>
    </w:r>
    <w:r>
      <w:fldChar w:fldCharType="end"/>
    </w:r>
  </w:p>
  <w:p w14:paraId="76F5645C">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E280C"/>
    <w:multiLevelType w:val="singleLevel"/>
    <w:tmpl w:val="9FFE280C"/>
    <w:lvl w:ilvl="0" w:tentative="0">
      <w:start w:val="1"/>
      <w:numFmt w:val="chineseCounting"/>
      <w:suff w:val="nothing"/>
      <w:lvlText w:val="（%1）"/>
      <w:lvlJc w:val="left"/>
      <w:rPr>
        <w:rFonts w:hint="eastAsia" w:ascii="楷体_GB2312" w:hAnsi="楷体_GB2312" w:eastAsia="楷体_GB2312" w:cs="楷体_GB2312"/>
        <w:sz w:val="32"/>
        <w:szCs w:val="32"/>
      </w:rPr>
    </w:lvl>
  </w:abstractNum>
  <w:abstractNum w:abstractNumId="1">
    <w:nsid w:val="4E5D0B13"/>
    <w:multiLevelType w:val="singleLevel"/>
    <w:tmpl w:val="4E5D0B13"/>
    <w:lvl w:ilvl="0" w:tentative="0">
      <w:start w:val="4"/>
      <w:numFmt w:val="chineseCounting"/>
      <w:suff w:val="nothing"/>
      <w:lvlText w:val="%1、"/>
      <w:lvlJc w:val="left"/>
      <w:rPr>
        <w:rFonts w:hint="eastAsia" w:ascii="黑体" w:hAnsi="黑体" w:eastAsia="黑体" w:cs="黑体"/>
        <w:sz w:val="32"/>
        <w:szCs w:val="3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3MmE1NTM5OTI0MWM2NWZiNjlkYTFmNDI5MGJlNGIifQ=="/>
  </w:docVars>
  <w:rsids>
    <w:rsidRoot w:val="00172A27"/>
    <w:rsid w:val="005E627B"/>
    <w:rsid w:val="00F74A57"/>
    <w:rsid w:val="026003DA"/>
    <w:rsid w:val="04A84376"/>
    <w:rsid w:val="0A51401B"/>
    <w:rsid w:val="0A6E1F7B"/>
    <w:rsid w:val="0A886B7F"/>
    <w:rsid w:val="0B4244E5"/>
    <w:rsid w:val="0CEE610B"/>
    <w:rsid w:val="0DF76B88"/>
    <w:rsid w:val="0ECA25C3"/>
    <w:rsid w:val="10B92046"/>
    <w:rsid w:val="132711CC"/>
    <w:rsid w:val="18555FC5"/>
    <w:rsid w:val="18870CA9"/>
    <w:rsid w:val="18DE7327"/>
    <w:rsid w:val="1A750A6F"/>
    <w:rsid w:val="1D100F23"/>
    <w:rsid w:val="1E9C21E3"/>
    <w:rsid w:val="1EE42670"/>
    <w:rsid w:val="20276E94"/>
    <w:rsid w:val="25736E70"/>
    <w:rsid w:val="28CA79FA"/>
    <w:rsid w:val="2CDC665A"/>
    <w:rsid w:val="2D241839"/>
    <w:rsid w:val="32B9061F"/>
    <w:rsid w:val="38255AF3"/>
    <w:rsid w:val="384A069C"/>
    <w:rsid w:val="40235BAA"/>
    <w:rsid w:val="41C14C68"/>
    <w:rsid w:val="43303BED"/>
    <w:rsid w:val="43851473"/>
    <w:rsid w:val="483A213A"/>
    <w:rsid w:val="4A7D7DE9"/>
    <w:rsid w:val="546703A6"/>
    <w:rsid w:val="550D5715"/>
    <w:rsid w:val="555E53B0"/>
    <w:rsid w:val="56F015BA"/>
    <w:rsid w:val="57725349"/>
    <w:rsid w:val="58063D6C"/>
    <w:rsid w:val="589E5BC9"/>
    <w:rsid w:val="58FD484E"/>
    <w:rsid w:val="62E030C0"/>
    <w:rsid w:val="636966A0"/>
    <w:rsid w:val="65CF619D"/>
    <w:rsid w:val="670175BB"/>
    <w:rsid w:val="67137F80"/>
    <w:rsid w:val="67B57CC9"/>
    <w:rsid w:val="69772B35"/>
    <w:rsid w:val="6A7F4532"/>
    <w:rsid w:val="6C0303F4"/>
    <w:rsid w:val="6DAC64B9"/>
    <w:rsid w:val="6E711791"/>
    <w:rsid w:val="6FBF4B32"/>
    <w:rsid w:val="70F00356"/>
    <w:rsid w:val="742E1899"/>
    <w:rsid w:val="75D960DE"/>
    <w:rsid w:val="78C7405F"/>
    <w:rsid w:val="7B312348"/>
    <w:rsid w:val="7C8025FB"/>
    <w:rsid w:val="7D567B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index 8"/>
    <w:basedOn w:val="1"/>
    <w:next w:val="1"/>
    <w:qFormat/>
    <w:uiPriority w:val="0"/>
    <w:pPr>
      <w:ind w:left="2940"/>
    </w:pPr>
    <w:rPr>
      <w:rFonts w:ascii="Times New Roman" w:hAnsi="Times New Roman" w:eastAsia="宋体" w:cs="Times New Roman"/>
    </w:rPr>
  </w:style>
  <w:style w:type="paragraph" w:styleId="4">
    <w:name w:val="Body Text"/>
    <w:basedOn w:val="1"/>
    <w:qFormat/>
    <w:uiPriority w:val="0"/>
    <w:pPr>
      <w:spacing w:before="93" w:beforeLines="30"/>
    </w:pPr>
    <w:rPr>
      <w:rFonts w:ascii="仿宋_GB2312" w:eastAsia="仿宋_GB2312"/>
      <w:sz w:val="3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page number"/>
    <w:basedOn w:val="8"/>
    <w:qFormat/>
    <w:uiPriority w:val="0"/>
  </w:style>
  <w:style w:type="character" w:styleId="10">
    <w:name w:val="line number"/>
    <w:basedOn w:val="8"/>
    <w:qFormat/>
    <w:uiPriority w:val="0"/>
    <w:rPr>
      <w:rFonts w:hint="default"/>
      <w:sz w:val="22"/>
    </w:rPr>
  </w:style>
  <w:style w:type="character" w:styleId="11">
    <w:name w:val="Hyperlink"/>
    <w:qFormat/>
    <w:uiPriority w:val="0"/>
    <w:rPr>
      <w:rFonts w:hint="default"/>
      <w:sz w:val="22"/>
    </w:rPr>
  </w:style>
  <w:style w:type="paragraph" w:customStyle="1" w:styleId="12">
    <w:name w:val="称呼1"/>
    <w:basedOn w:val="1"/>
    <w:next w:val="1"/>
    <w:qFormat/>
    <w:uiPriority w:val="99"/>
  </w:style>
  <w:style w:type="paragraph" w:customStyle="1" w:styleId="13">
    <w:name w:val="正文首行缩进 21"/>
    <w:basedOn w:val="1"/>
    <w:qFormat/>
    <w:uiPriority w:val="0"/>
    <w:pPr>
      <w:spacing w:line="540" w:lineRule="exact"/>
      <w:ind w:firstLine="200" w:firstLineChars="200"/>
      <w:textAlignment w:val="baseline"/>
    </w:pPr>
    <w:rPr>
      <w:kern w:val="0"/>
      <w:szCs w:val="32"/>
    </w:rPr>
  </w:style>
  <w:style w:type="character" w:customStyle="1" w:styleId="14">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3835</Words>
  <Characters>4126</Characters>
  <Lines>0</Lines>
  <Paragraphs>0</Paragraphs>
  <TotalTime>55</TotalTime>
  <ScaleCrop>false</ScaleCrop>
  <LinksUpToDate>false</LinksUpToDate>
  <CharactersWithSpaces>4184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Mr.L</cp:lastModifiedBy>
  <cp:lastPrinted>2024-04-17T02:32:00Z</cp:lastPrinted>
  <dcterms:modified xsi:type="dcterms:W3CDTF">2025-04-11T08:57:50Z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35B16FBFE7B54989B89DFC8EFAA1BF6E_12</vt:lpwstr>
  </property>
  <property fmtid="{D5CDD505-2E9C-101B-9397-08002B2CF9AE}" pid="4" name="KSOTemplateDocerSaveRecord">
    <vt:lpwstr>eyJoZGlkIjoiMmEzMWZlMzAwNjgyNzQzOGE1YTI5YmJlNDE4NDk5Y2UiLCJ1c2VySWQiOiIxMDQyNjI3MDE1In0=</vt:lpwstr>
  </property>
</Properties>
</file>