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jc w:val="center"/>
        <w:textAlignment w:val="auto"/>
        <w:rPr>
          <w:rStyle w:val="13"/>
          <w:rFonts w:hint="eastAsia" w:ascii="方正小标宋_GBK" w:hAnsi="方正小标宋_GBK" w:eastAsia="方正小标宋_GBK" w:cs="方正小标宋_GBK"/>
          <w:sz w:val="44"/>
          <w:szCs w:val="44"/>
          <w:shd w:val="clear" w:fill="FFFFFF"/>
        </w:rPr>
      </w:pPr>
      <w:r>
        <w:rPr>
          <w:rStyle w:val="13"/>
          <w:rFonts w:hint="eastAsia" w:ascii="方正小标宋_GBK" w:hAnsi="方正小标宋_GBK" w:eastAsia="方正小标宋_GBK" w:cs="方正小标宋_GBK"/>
          <w:sz w:val="44"/>
          <w:szCs w:val="44"/>
          <w:shd w:val="clear" w:fill="FFFFFF"/>
        </w:rPr>
        <w:t>阿坝州红原县医疗保障局</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jc w:val="center"/>
        <w:textAlignment w:val="auto"/>
        <w:rPr>
          <w:shd w:val="clear" w:fill="FFFFFF"/>
        </w:rPr>
      </w:pPr>
      <w:r>
        <w:rPr>
          <w:rStyle w:val="13"/>
          <w:rFonts w:hint="eastAsia" w:ascii="方正小标宋_GBK" w:hAnsi="方正小标宋_GBK" w:eastAsia="方正小标宋_GBK" w:cs="方正小标宋_GBK"/>
          <w:sz w:val="44"/>
          <w:szCs w:val="44"/>
          <w:shd w:val="clear" w:fill="FFFFFF"/>
        </w:rPr>
        <w:t>2022年度部门决算分析报告</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jc w:val="center"/>
        <w:textAlignment w:val="auto"/>
        <w:rPr>
          <w:shd w:val="clear" w:fill="FFFFFF"/>
        </w:rPr>
      </w:pP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一、单位情况</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3" w:firstLineChars="200"/>
        <w:jc w:val="left"/>
        <w:textAlignment w:val="auto"/>
        <w:rPr>
          <w:rFonts w:hint="eastAsia" w:ascii="楷体_GB2312" w:hAnsi="楷体_GB2312" w:eastAsia="楷体_GB2312" w:cs="楷体_GB2312"/>
          <w:sz w:val="32"/>
          <w:szCs w:val="32"/>
        </w:rPr>
      </w:pPr>
      <w:r>
        <w:rPr>
          <w:rStyle w:val="13"/>
          <w:rFonts w:hint="eastAsia" w:ascii="楷体_GB2312" w:hAnsi="楷体_GB2312" w:eastAsia="楷体_GB2312" w:cs="楷体_GB2312"/>
          <w:sz w:val="32"/>
          <w:szCs w:val="32"/>
          <w:shd w:val="clear" w:fill="FFFFFF"/>
        </w:rPr>
        <w:t>（一）基本情况。</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0" w:firstLineChars="200"/>
        <w:jc w:val="both"/>
        <w:textAlignment w:val="auto"/>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主要职能。</w:t>
      </w:r>
      <w:r>
        <w:rPr>
          <w:rFonts w:hint="eastAsia" w:ascii="仿宋_GB2312" w:hAnsi="宋体" w:eastAsia="仿宋_GB2312" w:cs="仿宋_GB2312"/>
          <w:kern w:val="0"/>
          <w:sz w:val="32"/>
          <w:szCs w:val="32"/>
        </w:rPr>
        <w:t>县医疗保障局贯彻落实党中央关于医疗保障工作的方针政策和决策部署，在履行职责过程中坚持和加强党对医疗保障工作的集中统一领导。主要职责是:</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（一）贯彻落实医疗保险、生育保险、医疗救助、药品和医疗服务价格管理职责等医疗保障法律法规和方针政策。</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（二）组织拟订并实施医疗保障基金监督管理制度，建立健全医疗保障基金安全防控机制，监督强化医疗保障基金运行管理。</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三</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贯彻落实医疗保障目录和支付标准,落实特殊医用材料、特殊检查和治疗、医院制剂等目录和支付标准。推进医疗保障基金支付方式改革,落实医保对医疗行为的激励约束机制以及对医疗费用的控制机制。</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（四）贯彻落实医疗保障信用评价体系和信息披露制度，监督管理纳入医疗保障范围内的医疗服务行为和医疗费用，依法查处医疗保障领域违法违规行为。</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五）负责参保人员基本医疗保险住院和普通门诊、门诊特殊疾病待遇的初审、复审和待遇确定，确保医疗保险基金的合理使用；负责参保患者的转诊转院的审批工作；负责参保患者的门诊特殊疾病审核认定工作。</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（六）贯彻落实医疗保障经办管理和公共服务体系建设，异地就医管理和费用结算政策；做好全县参保人员医疗保险的统计分析报表工作，建立健全医疗保障关系转移接续制度。</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（七）负责职责范围内的安全生产和职业健康、生态环境保护、审批服务便民化等工作。</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（八）完成县委和县政府交办的其他任务。</w:t>
      </w:r>
    </w:p>
    <w:p>
      <w:pPr>
        <w:keepNext w:val="0"/>
        <w:keepLines w:val="0"/>
        <w:pageBreakBefore w:val="0"/>
        <w:widowControl/>
        <w:suppressLineNumbers w:val="0"/>
        <w:kinsoku/>
        <w:wordWrap/>
        <w:overflowPunct/>
        <w:topLinePunct w:val="0"/>
        <w:autoSpaceDE w:val="0"/>
        <w:autoSpaceDN/>
        <w:bidi w:val="0"/>
        <w:adjustRightInd/>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（九）职能转变。贯彻落实省、州有关推进医疗、医保、医药“三医联动”改革工作，更好地保障人民群众就医需求、减轻医药费用负担。</w:t>
      </w:r>
    </w:p>
    <w:p>
      <w:pPr>
        <w:pStyle w:val="14"/>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（十）与县卫生健康</w:t>
      </w:r>
      <w:r>
        <w:rPr>
          <w:rFonts w:hint="eastAsia" w:ascii="仿宋_GB2312" w:eastAsia="仿宋_GB2312" w:cs="仿宋_GB2312"/>
          <w:kern w:val="0"/>
          <w:sz w:val="32"/>
          <w:szCs w:val="32"/>
          <w:lang w:val="en-US" w:eastAsia="zh-CN"/>
        </w:rPr>
        <w:t>局</w:t>
      </w:r>
      <w:bookmarkStart w:id="0" w:name="_GoBack"/>
      <w:bookmarkEnd w:id="0"/>
      <w:r>
        <w:rPr>
          <w:rFonts w:hint="eastAsia" w:ascii="仿宋_GB2312" w:hAnsi="宋体" w:eastAsia="仿宋_GB2312" w:cs="仿宋_GB2312"/>
          <w:kern w:val="0"/>
          <w:sz w:val="32"/>
          <w:szCs w:val="32"/>
        </w:rPr>
        <w:t>的有关职责分工。两部门在医疗、医保、医药等方面加强制度、政策衔接，建立沟通协商机制，协同推进改革，提高医疗资源使用效率和医疗保障水平。</w:t>
      </w:r>
    </w:p>
    <w:p>
      <w:pPr>
        <w:pStyle w:val="14"/>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shd w:val="clear" w:fill="FFFFFF"/>
        </w:rPr>
        <w:t>2.本单位本年度纳入本套决算编制范围的独立编制机构数共2个；独立核算机构数共2个</w:t>
      </w:r>
      <w:r>
        <w:rPr>
          <w:rStyle w:val="15"/>
          <w:rFonts w:hint="eastAsia" w:ascii="仿宋_GB2312" w:hAnsi="Times New Roman" w:eastAsia="仿宋_GB2312" w:cs="仿宋_GB2312"/>
          <w:b/>
          <w:sz w:val="32"/>
          <w:szCs w:val="32"/>
          <w:shd w:val="clear" w:fill="FFFFFF"/>
        </w:rPr>
        <w:t>。</w:t>
      </w:r>
    </w:p>
    <w:p>
      <w:pPr>
        <w:pStyle w:val="14"/>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exact"/>
        <w:ind w:left="0"/>
        <w:jc w:val="both"/>
        <w:textAlignment w:val="auto"/>
        <w:rPr>
          <w:rFonts w:hint="eastAsia" w:ascii="仿宋_GB2312" w:hAnsi="仿宋_GB2312" w:eastAsia="仿宋_GB2312" w:cs="仿宋_GB2312"/>
          <w:sz w:val="32"/>
          <w:szCs w:val="32"/>
        </w:rPr>
      </w:pPr>
      <w:r>
        <w:rPr>
          <w:rFonts w:hint="eastAsia" w:ascii="仿宋_GB2312" w:hAnsi="宋体" w:eastAsia="仿宋_GB2312" w:cs="仿宋_GB2312"/>
          <w:kern w:val="0"/>
          <w:sz w:val="32"/>
          <w:szCs w:val="32"/>
          <w:shd w:val="clear" w:fill="FFFFFF"/>
        </w:rPr>
        <w:t xml:space="preserve">    3</w:t>
      </w:r>
      <w:r>
        <w:rPr>
          <w:rFonts w:hint="eastAsia" w:ascii="仿宋_GB2312" w:eastAsia="仿宋_GB2312" w:cs="仿宋_GB2312"/>
          <w:kern w:val="0"/>
          <w:sz w:val="32"/>
          <w:szCs w:val="32"/>
          <w:shd w:val="clear" w:fill="FFFFFF"/>
          <w:lang w:val="en-US" w:eastAsia="zh-CN"/>
        </w:rPr>
        <w:t>.</w:t>
      </w:r>
      <w:r>
        <w:rPr>
          <w:rFonts w:hint="eastAsia" w:ascii="仿宋_GB2312" w:hAnsi="宋体" w:eastAsia="仿宋_GB2312" w:cs="仿宋_GB2312"/>
          <w:kern w:val="0"/>
          <w:sz w:val="32"/>
          <w:szCs w:val="32"/>
          <w:shd w:val="clear" w:fill="FFFFFF"/>
        </w:rPr>
        <w:t>本单位本年度年末实有人数为2</w:t>
      </w:r>
      <w:r>
        <w:rPr>
          <w:rFonts w:hint="eastAsia" w:ascii="仿宋_GB2312" w:eastAsia="仿宋_GB2312" w:cs="仿宋_GB2312"/>
          <w:kern w:val="0"/>
          <w:sz w:val="32"/>
          <w:szCs w:val="32"/>
          <w:shd w:val="clear" w:fill="FFFFFF"/>
          <w:lang w:val="en-US" w:eastAsia="zh-CN"/>
        </w:rPr>
        <w:t>2</w:t>
      </w:r>
      <w:r>
        <w:rPr>
          <w:rFonts w:hint="eastAsia" w:ascii="仿宋_GB2312" w:hAnsi="宋体" w:eastAsia="仿宋_GB2312" w:cs="仿宋_GB2312"/>
          <w:kern w:val="0"/>
          <w:sz w:val="32"/>
          <w:szCs w:val="32"/>
          <w:shd w:val="clear" w:fill="FFFFFF"/>
        </w:rPr>
        <w:t>人，比上年增加1人；</w:t>
      </w:r>
      <w:r>
        <w:rPr>
          <w:rFonts w:hint="eastAsia" w:ascii="仿宋_GB2312" w:hAnsi="宋体" w:eastAsia="仿宋_GB2312" w:cs="仿宋_GB2312"/>
          <w:kern w:val="0"/>
          <w:sz w:val="32"/>
          <w:szCs w:val="32"/>
        </w:rPr>
        <w:t>现有行政编制</w:t>
      </w:r>
      <w:r>
        <w:rPr>
          <w:rFonts w:hint="eastAsia" w:ascii="仿宋_GB2312" w:eastAsia="仿宋_GB2312" w:cs="仿宋_GB2312"/>
          <w:kern w:val="0"/>
          <w:sz w:val="32"/>
          <w:szCs w:val="32"/>
          <w:lang w:val="en-US" w:eastAsia="zh-CN"/>
        </w:rPr>
        <w:t>4</w:t>
      </w:r>
      <w:r>
        <w:rPr>
          <w:rFonts w:hint="eastAsia" w:ascii="仿宋_GB2312" w:hAnsi="宋体" w:eastAsia="仿宋_GB2312" w:cs="仿宋_GB2312"/>
          <w:kern w:val="0"/>
          <w:sz w:val="32"/>
          <w:szCs w:val="32"/>
        </w:rPr>
        <w:t>名，参公编制8名，事业编制9人，共有编制21人，</w:t>
      </w:r>
      <w:r>
        <w:rPr>
          <w:rFonts w:hint="eastAsia" w:ascii="仿宋_GB2312" w:eastAsia="仿宋_GB2312" w:cs="仿宋_GB2312"/>
          <w:kern w:val="0"/>
          <w:sz w:val="32"/>
          <w:szCs w:val="32"/>
          <w:lang w:eastAsia="zh-CN"/>
        </w:rPr>
        <w:t>年末实有人数</w:t>
      </w:r>
      <w:r>
        <w:rPr>
          <w:rFonts w:hint="eastAsia" w:ascii="仿宋_GB2312" w:hAnsi="宋体" w:eastAsia="仿宋_GB2312" w:cs="仿宋_GB2312"/>
          <w:kern w:val="0"/>
          <w:sz w:val="32"/>
          <w:szCs w:val="32"/>
        </w:rPr>
        <w:t>2</w:t>
      </w:r>
      <w:r>
        <w:rPr>
          <w:rFonts w:hint="eastAsia" w:ascii="仿宋_GB2312" w:eastAsia="仿宋_GB2312" w:cs="仿宋_GB2312"/>
          <w:kern w:val="0"/>
          <w:sz w:val="32"/>
          <w:szCs w:val="32"/>
          <w:lang w:val="en-US" w:eastAsia="zh-CN"/>
        </w:rPr>
        <w:t>2</w:t>
      </w:r>
      <w:r>
        <w:rPr>
          <w:rFonts w:hint="eastAsia" w:ascii="仿宋_GB2312" w:hAnsi="宋体" w:eastAsia="仿宋_GB2312" w:cs="仿宋_GB2312"/>
          <w:kern w:val="0"/>
          <w:sz w:val="32"/>
          <w:szCs w:val="32"/>
        </w:rPr>
        <w:t>人。</w:t>
      </w:r>
      <w:r>
        <w:rPr>
          <w:rFonts w:hint="eastAsia" w:ascii="仿宋_GB2312" w:hAnsi="仿宋_GB2312" w:eastAsia="仿宋_GB2312" w:cs="仿宋_GB2312"/>
          <w:sz w:val="32"/>
          <w:szCs w:val="32"/>
          <w:shd w:val="clear" w:fill="FFFFFF"/>
        </w:rPr>
        <w:t> </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firstLine="643" w:firstLineChars="200"/>
        <w:jc w:val="both"/>
        <w:rPr>
          <w:rFonts w:hint="eastAsia" w:ascii="仿宋_GB2312" w:hAnsi="仿宋_GB2312" w:eastAsia="仿宋_GB2312" w:cs="仿宋_GB2312"/>
          <w:sz w:val="32"/>
          <w:szCs w:val="32"/>
        </w:rPr>
      </w:pPr>
      <w:r>
        <w:rPr>
          <w:rStyle w:val="13"/>
          <w:rFonts w:hint="eastAsia" w:ascii="楷体_GB2312" w:hAnsi="楷体_GB2312" w:eastAsia="楷体_GB2312" w:cs="楷体_GB2312"/>
          <w:sz w:val="32"/>
          <w:szCs w:val="32"/>
          <w:shd w:val="clear" w:fill="FFFFFF"/>
        </w:rPr>
        <w:t>（二）当年取得的主要事业成效。</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b w:val="0"/>
          <w:i w:val="0"/>
          <w:caps w:val="0"/>
          <w:color w:val="000000"/>
          <w:spacing w:val="0"/>
          <w:w w:val="100"/>
          <w:kern w:val="0"/>
          <w:sz w:val="32"/>
          <w:szCs w:val="32"/>
          <w:lang w:val="en-US" w:eastAsia="zh-CN" w:bidi="ar"/>
        </w:rPr>
      </w:pPr>
      <w:r>
        <w:rPr>
          <w:rFonts w:hint="eastAsia" w:ascii="仿宋_GB2312" w:hAnsi="仿宋_GB2312" w:eastAsia="仿宋_GB2312" w:cs="仿宋_GB2312"/>
          <w:b w:val="0"/>
          <w:i w:val="0"/>
          <w:caps w:val="0"/>
          <w:color w:val="000000"/>
          <w:spacing w:val="0"/>
          <w:w w:val="100"/>
          <w:kern w:val="0"/>
          <w:sz w:val="32"/>
          <w:szCs w:val="32"/>
          <w:lang w:val="en-US" w:eastAsia="zh-CN" w:bidi="ar"/>
        </w:rPr>
        <w:t>1.概述单位工作开展情况及主要事业成效。</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（1）深入推进全民参保。</w:t>
      </w:r>
      <w:r>
        <w:rPr>
          <w:rFonts w:hint="eastAsia" w:ascii="仿宋_GB2312" w:hAnsi="仿宋_GB2312" w:eastAsia="仿宋_GB2312" w:cs="仿宋_GB2312"/>
          <w:b w:val="0"/>
          <w:bCs w:val="0"/>
          <w:i w:val="0"/>
          <w:caps w:val="0"/>
          <w:color w:val="000000"/>
          <w:spacing w:val="0"/>
          <w:w w:val="100"/>
          <w:kern w:val="2"/>
          <w:sz w:val="32"/>
          <w:szCs w:val="32"/>
          <w:lang w:val="en-US" w:eastAsia="zh-CN" w:bidi="ar-SA"/>
        </w:rPr>
        <w:t>组织</w:t>
      </w:r>
      <w:r>
        <w:rPr>
          <w:rFonts w:hint="eastAsia" w:ascii="仿宋_GB2312" w:hAnsi="仿宋_GB2312" w:eastAsia="仿宋_GB2312" w:cs="仿宋_GB2312"/>
          <w:b w:val="0"/>
          <w:i w:val="0"/>
          <w:caps w:val="0"/>
          <w:color w:val="000000"/>
          <w:spacing w:val="0"/>
          <w:w w:val="100"/>
          <w:sz w:val="32"/>
          <w:szCs w:val="32"/>
          <w:lang w:val="en-US" w:eastAsia="zh-CN"/>
        </w:rPr>
        <w:t>召开红原县2022年度城乡居民基本医疗保险征缴工作推进会，压紧压实征缴责任。2022年度，全县基本医疗保险参保</w:t>
      </w:r>
      <w:r>
        <w:rPr>
          <w:rFonts w:hint="eastAsia" w:ascii="仿宋_GB2312" w:hAnsi="仿宋_GB2312" w:eastAsia="仿宋_GB2312" w:cs="仿宋_GB2312"/>
          <w:b w:val="0"/>
          <w:i w:val="0"/>
          <w:caps w:val="0"/>
          <w:color w:val="000000"/>
          <w:spacing w:val="0"/>
          <w:w w:val="100"/>
          <w:kern w:val="2"/>
          <w:sz w:val="32"/>
          <w:szCs w:val="32"/>
          <w:lang w:val="en-US" w:eastAsia="zh-CN" w:bidi="ar-SA"/>
        </w:rPr>
        <w:t>43218</w:t>
      </w:r>
      <w:r>
        <w:rPr>
          <w:rFonts w:hint="eastAsia" w:ascii="仿宋_GB2312" w:hAnsi="仿宋_GB2312" w:eastAsia="仿宋_GB2312" w:cs="仿宋_GB2312"/>
          <w:b w:val="0"/>
          <w:i w:val="0"/>
          <w:caps w:val="0"/>
          <w:color w:val="000000"/>
          <w:spacing w:val="0"/>
          <w:w w:val="100"/>
          <w:sz w:val="32"/>
          <w:szCs w:val="32"/>
          <w:lang w:val="en-US" w:eastAsia="zh-CN"/>
        </w:rPr>
        <w:t>人，其中，城镇职工基本医疗保险参保</w:t>
      </w:r>
      <w:r>
        <w:rPr>
          <w:rFonts w:hint="eastAsia" w:ascii="仿宋_GB2312" w:hAnsi="仿宋_GB2312" w:eastAsia="仿宋_GB2312" w:cs="仿宋_GB2312"/>
          <w:b w:val="0"/>
          <w:i w:val="0"/>
          <w:caps w:val="0"/>
          <w:color w:val="000000"/>
          <w:spacing w:val="0"/>
          <w:w w:val="100"/>
          <w:kern w:val="2"/>
          <w:sz w:val="32"/>
          <w:szCs w:val="32"/>
          <w:lang w:val="en-US" w:eastAsia="zh-CN" w:bidi="ar-SA"/>
        </w:rPr>
        <w:t>6785</w:t>
      </w:r>
      <w:r>
        <w:rPr>
          <w:rFonts w:hint="eastAsia" w:ascii="仿宋_GB2312" w:hAnsi="仿宋_GB2312" w:eastAsia="仿宋_GB2312" w:cs="仿宋_GB2312"/>
          <w:b w:val="0"/>
          <w:i w:val="0"/>
          <w:caps w:val="0"/>
          <w:color w:val="000000"/>
          <w:spacing w:val="0"/>
          <w:w w:val="100"/>
          <w:sz w:val="32"/>
          <w:szCs w:val="32"/>
          <w:lang w:val="en-US" w:eastAsia="zh-CN"/>
        </w:rPr>
        <w:t>人；城乡居民医疗保险参保</w:t>
      </w:r>
      <w:r>
        <w:rPr>
          <w:rFonts w:hint="eastAsia" w:ascii="仿宋_GB2312" w:hAnsi="仿宋_GB2312" w:eastAsia="仿宋_GB2312" w:cs="仿宋_GB2312"/>
          <w:b w:val="0"/>
          <w:i w:val="0"/>
          <w:caps w:val="0"/>
          <w:color w:val="000000"/>
          <w:spacing w:val="0"/>
          <w:w w:val="100"/>
          <w:kern w:val="2"/>
          <w:sz w:val="32"/>
          <w:szCs w:val="32"/>
          <w:lang w:val="en-US" w:eastAsia="zh-CN" w:bidi="ar-SA"/>
        </w:rPr>
        <w:t>36433</w:t>
      </w:r>
      <w:r>
        <w:rPr>
          <w:rFonts w:hint="eastAsia" w:ascii="仿宋_GB2312" w:hAnsi="仿宋_GB2312" w:eastAsia="仿宋_GB2312" w:cs="仿宋_GB2312"/>
          <w:b w:val="0"/>
          <w:i w:val="0"/>
          <w:caps w:val="0"/>
          <w:color w:val="000000"/>
          <w:spacing w:val="0"/>
          <w:w w:val="100"/>
          <w:sz w:val="32"/>
          <w:szCs w:val="32"/>
          <w:lang w:val="en-US" w:eastAsia="zh-CN"/>
        </w:rPr>
        <w:t>人，完成州局下达城乡居民基本医疗保险参保任务36000人的</w:t>
      </w:r>
      <w:r>
        <w:rPr>
          <w:rFonts w:hint="eastAsia" w:ascii="仿宋_GB2312" w:hAnsi="仿宋_GB2312" w:eastAsia="仿宋_GB2312" w:cs="仿宋_GB2312"/>
          <w:b w:val="0"/>
          <w:i w:val="0"/>
          <w:caps w:val="0"/>
          <w:color w:val="000000"/>
          <w:spacing w:val="0"/>
          <w:w w:val="100"/>
          <w:kern w:val="2"/>
          <w:sz w:val="32"/>
          <w:szCs w:val="32"/>
          <w:lang w:val="en-US" w:eastAsia="zh-CN" w:bidi="ar-SA"/>
        </w:rPr>
        <w:t>101.2%</w:t>
      </w:r>
      <w:r>
        <w:rPr>
          <w:rFonts w:hint="eastAsia" w:ascii="仿宋_GB2312" w:hAnsi="仿宋_GB2312" w:eastAsia="仿宋_GB2312" w:cs="仿宋_GB2312"/>
          <w:b w:val="0"/>
          <w:i w:val="0"/>
          <w:caps w:val="0"/>
          <w:color w:val="000000"/>
          <w:spacing w:val="0"/>
          <w:w w:val="100"/>
          <w:sz w:val="32"/>
          <w:szCs w:val="32"/>
          <w:lang w:val="en-US" w:eastAsia="zh-CN"/>
        </w:rPr>
        <w:t>；全县参保率稳定在95%以上。</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（2）着力做好医疗待遇保障。</w:t>
      </w:r>
      <w:r>
        <w:rPr>
          <w:rFonts w:hint="eastAsia" w:ascii="仿宋_GB2312" w:hAnsi="仿宋_GB2312" w:eastAsia="仿宋_GB2312" w:cs="仿宋_GB2312"/>
          <w:b w:val="0"/>
          <w:i w:val="0"/>
          <w:caps w:val="0"/>
          <w:color w:val="000000"/>
          <w:spacing w:val="0"/>
          <w:w w:val="100"/>
          <w:sz w:val="32"/>
          <w:szCs w:val="32"/>
          <w:lang w:val="en-US" w:eastAsia="zh-CN"/>
        </w:rPr>
        <w:t>截止目前，中心单据共报销1450人次，基本医保报销380.72万元，大病保险26.51万元，医疗救助23.09万元。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（3）医疗救助精准实施。</w:t>
      </w:r>
      <w:r>
        <w:rPr>
          <w:rFonts w:hint="eastAsia" w:ascii="仿宋_GB2312" w:hAnsi="仿宋_GB2312" w:eastAsia="仿宋_GB2312" w:cs="仿宋_GB2312"/>
          <w:b/>
          <w:bCs/>
          <w:i w:val="0"/>
          <w:caps w:val="0"/>
          <w:color w:val="000000"/>
          <w:spacing w:val="0"/>
          <w:w w:val="100"/>
          <w:sz w:val="32"/>
          <w:szCs w:val="32"/>
          <w:lang w:val="en-US" w:eastAsia="zh-CN"/>
        </w:rPr>
        <w:t>一是</w:t>
      </w:r>
      <w:r>
        <w:rPr>
          <w:rFonts w:hint="eastAsia" w:ascii="仿宋_GB2312" w:hAnsi="仿宋_GB2312" w:eastAsia="仿宋_GB2312" w:cs="仿宋_GB2312"/>
          <w:b w:val="0"/>
          <w:i w:val="0"/>
          <w:caps w:val="0"/>
          <w:color w:val="000000"/>
          <w:spacing w:val="0"/>
          <w:w w:val="100"/>
          <w:sz w:val="32"/>
          <w:szCs w:val="32"/>
          <w:lang w:val="en-US" w:eastAsia="zh-CN"/>
        </w:rPr>
        <w:t>持续巩固医疗保障脱贫攻坚成果，着力</w:t>
      </w:r>
      <w:r>
        <w:rPr>
          <w:rFonts w:hint="eastAsia" w:ascii="仿宋_GB2312" w:hAnsi="仿宋_GB2312" w:eastAsia="仿宋_GB2312" w:cs="仿宋_GB2312"/>
          <w:b w:val="0"/>
          <w:bCs w:val="0"/>
          <w:i w:val="0"/>
          <w:caps w:val="0"/>
          <w:color w:val="000000"/>
          <w:spacing w:val="0"/>
          <w:w w:val="100"/>
          <w:kern w:val="0"/>
          <w:sz w:val="32"/>
          <w:szCs w:val="32"/>
          <w:lang w:val="en-US" w:eastAsia="zh-CN" w:bidi="ar"/>
        </w:rPr>
        <w:t>建立健全防范化解因病返贫致贫的长效机制。</w:t>
      </w:r>
      <w:r>
        <w:rPr>
          <w:rFonts w:hint="eastAsia" w:ascii="仿宋_GB2312" w:hAnsi="仿宋_GB2312" w:eastAsia="仿宋_GB2312" w:cs="仿宋_GB2312"/>
          <w:b/>
          <w:bCs/>
          <w:i w:val="0"/>
          <w:caps w:val="0"/>
          <w:color w:val="000000"/>
          <w:spacing w:val="0"/>
          <w:w w:val="100"/>
          <w:kern w:val="0"/>
          <w:sz w:val="32"/>
          <w:szCs w:val="32"/>
          <w:lang w:val="en-US" w:eastAsia="zh-CN" w:bidi="ar"/>
        </w:rPr>
        <w:t>二是</w:t>
      </w:r>
      <w:r>
        <w:rPr>
          <w:rFonts w:hint="eastAsia" w:ascii="仿宋_GB2312" w:hAnsi="仿宋_GB2312" w:eastAsia="仿宋_GB2312" w:cs="仿宋_GB2312"/>
          <w:b w:val="0"/>
          <w:i w:val="0"/>
          <w:caps w:val="0"/>
          <w:color w:val="000000"/>
          <w:spacing w:val="0"/>
          <w:w w:val="100"/>
          <w:sz w:val="32"/>
          <w:szCs w:val="32"/>
          <w:lang w:val="en-US" w:eastAsia="zh-CN"/>
        </w:rPr>
        <w:t>稳妥审慎推进医疗救助资金发放工作。截至目前，共发放医疗救助资金97.34万元，惠及389人。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（4）着力维护医保基金安全。</w:t>
      </w:r>
      <w:r>
        <w:rPr>
          <w:rFonts w:hint="eastAsia" w:ascii="仿宋_GB2312" w:hAnsi="仿宋_GB2312" w:eastAsia="仿宋_GB2312" w:cs="仿宋_GB2312"/>
          <w:b/>
          <w:bCs/>
          <w:i w:val="0"/>
          <w:caps w:val="0"/>
          <w:color w:val="000000"/>
          <w:spacing w:val="0"/>
          <w:w w:val="100"/>
          <w:sz w:val="32"/>
          <w:szCs w:val="32"/>
          <w:lang w:val="en-US" w:eastAsia="zh-CN"/>
        </w:rPr>
        <w:t>一是</w:t>
      </w:r>
      <w:r>
        <w:rPr>
          <w:rFonts w:hint="eastAsia" w:ascii="仿宋_GB2312" w:hAnsi="仿宋_GB2312" w:eastAsia="仿宋_GB2312" w:cs="仿宋_GB2312"/>
          <w:b w:val="0"/>
          <w:i w:val="0"/>
          <w:caps w:val="0"/>
          <w:color w:val="000000"/>
          <w:spacing w:val="0"/>
          <w:w w:val="100"/>
          <w:sz w:val="32"/>
          <w:szCs w:val="32"/>
          <w:lang w:val="en-US" w:eastAsia="zh-CN"/>
        </w:rPr>
        <w:t>深化专项整治行动，强化基金违规打击力度，组织县域内各定点医药机构开展自查自纠，主动退回违规医保基金2.68万元。责令整改3家定点零售药店，约谈县域内13家定点医疗机构，对县级医疗机构涉及的违规金额15.64万元予以追回。</w:t>
      </w:r>
      <w:r>
        <w:rPr>
          <w:rFonts w:hint="eastAsia" w:ascii="仿宋_GB2312" w:hAnsi="仿宋_GB2312" w:eastAsia="仿宋_GB2312" w:cs="仿宋_GB2312"/>
          <w:b/>
          <w:bCs/>
          <w:i w:val="0"/>
          <w:caps w:val="0"/>
          <w:color w:val="000000"/>
          <w:spacing w:val="0"/>
          <w:w w:val="100"/>
          <w:sz w:val="32"/>
          <w:szCs w:val="32"/>
          <w:lang w:val="en-US" w:eastAsia="zh-CN"/>
        </w:rPr>
        <w:t>二是</w:t>
      </w:r>
      <w:r>
        <w:rPr>
          <w:rFonts w:hint="eastAsia" w:ascii="仿宋_GB2312" w:hAnsi="仿宋_GB2312" w:eastAsia="仿宋_GB2312" w:cs="仿宋_GB2312"/>
          <w:b w:val="0"/>
          <w:i w:val="0"/>
          <w:caps w:val="0"/>
          <w:color w:val="000000"/>
          <w:spacing w:val="0"/>
          <w:w w:val="100"/>
          <w:sz w:val="32"/>
          <w:szCs w:val="32"/>
          <w:lang w:val="en-US" w:eastAsia="zh-CN"/>
        </w:rPr>
        <w:t>严厉打击欺诈骗保。开展外伤调查19次，核查19人（次），其中符合补偿条件17人（次），不予补偿2人（次）。</w:t>
      </w:r>
      <w:r>
        <w:rPr>
          <w:rFonts w:hint="eastAsia" w:ascii="仿宋_GB2312" w:hAnsi="仿宋_GB2312" w:eastAsia="仿宋_GB2312" w:cs="仿宋_GB2312"/>
          <w:b/>
          <w:bCs/>
          <w:i w:val="0"/>
          <w:caps w:val="0"/>
          <w:color w:val="000000"/>
          <w:spacing w:val="0"/>
          <w:w w:val="100"/>
          <w:sz w:val="32"/>
          <w:szCs w:val="32"/>
          <w:lang w:val="en-US" w:eastAsia="zh-CN"/>
        </w:rPr>
        <w:t>三是</w:t>
      </w:r>
      <w:r>
        <w:rPr>
          <w:rFonts w:hint="eastAsia" w:ascii="仿宋_GB2312" w:hAnsi="仿宋_GB2312" w:eastAsia="仿宋_GB2312" w:cs="仿宋_GB2312"/>
          <w:b w:val="0"/>
          <w:i w:val="0"/>
          <w:caps w:val="0"/>
          <w:color w:val="000000"/>
          <w:spacing w:val="0"/>
          <w:w w:val="100"/>
          <w:sz w:val="32"/>
          <w:szCs w:val="32"/>
          <w:lang w:val="en-US" w:eastAsia="zh-CN"/>
        </w:rPr>
        <w:t>深入10个乡镇现场开展集中宣传，扎实推动“织密基金监管网 共筑医保防护线”集中宣传月活动，发放藏汉双语等各类宣传资料共计8000余份。微信平台宣传6期。</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（5）医保基金收支平稳。</w:t>
      </w:r>
      <w:r>
        <w:rPr>
          <w:rFonts w:hint="eastAsia" w:ascii="仿宋_GB2312" w:hAnsi="仿宋_GB2312" w:eastAsia="仿宋_GB2312" w:cs="仿宋_GB2312"/>
          <w:b w:val="0"/>
          <w:i w:val="0"/>
          <w:caps w:val="0"/>
          <w:color w:val="000000"/>
          <w:spacing w:val="0"/>
          <w:w w:val="100"/>
          <w:sz w:val="32"/>
          <w:szCs w:val="32"/>
          <w:lang w:val="en-US" w:eastAsia="zh-CN"/>
        </w:rPr>
        <w:t>截至目前，全县城镇职工基本医疗保险基金收入2829.77万元，支付城镇职工基本医疗保险费496.94万元。征收城乡居民医疗保险基金328万元，支付城乡居民基本医疗保险费593.54万元。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left="0" w:leftChars="0" w:firstLine="643" w:firstLineChars="20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（6）着力推动药械集中采购。</w:t>
      </w:r>
      <w:r>
        <w:rPr>
          <w:rFonts w:hint="eastAsia" w:ascii="仿宋_GB2312" w:hAnsi="仿宋_GB2312" w:eastAsia="仿宋_GB2312" w:cs="仿宋_GB2312"/>
          <w:b/>
          <w:bCs/>
          <w:i w:val="0"/>
          <w:caps w:val="0"/>
          <w:color w:val="000000"/>
          <w:spacing w:val="0"/>
          <w:w w:val="100"/>
          <w:sz w:val="32"/>
          <w:szCs w:val="32"/>
          <w:lang w:val="en-US" w:eastAsia="zh-CN"/>
        </w:rPr>
        <w:t>一是</w:t>
      </w:r>
      <w:r>
        <w:rPr>
          <w:rFonts w:hint="eastAsia" w:ascii="仿宋_GB2312" w:hAnsi="仿宋_GB2312" w:eastAsia="仿宋_GB2312" w:cs="仿宋_GB2312"/>
          <w:b w:val="0"/>
          <w:i w:val="0"/>
          <w:caps w:val="0"/>
          <w:color w:val="000000"/>
          <w:spacing w:val="0"/>
          <w:w w:val="100"/>
          <w:sz w:val="32"/>
          <w:szCs w:val="32"/>
          <w:lang w:eastAsia="zh-CN"/>
        </w:rPr>
        <w:t>扎实推动落实药品耗材集中带量采购，截至目前，</w:t>
      </w:r>
      <w:r>
        <w:rPr>
          <w:rFonts w:hint="eastAsia" w:ascii="仿宋_GB2312" w:hAnsi="仿宋_GB2312" w:eastAsia="仿宋_GB2312" w:cs="仿宋_GB2312"/>
          <w:b w:val="0"/>
          <w:i w:val="0"/>
          <w:caps w:val="0"/>
          <w:color w:val="000000"/>
          <w:spacing w:val="0"/>
          <w:w w:val="100"/>
          <w:sz w:val="32"/>
          <w:szCs w:val="32"/>
          <w:lang w:val="en-US" w:eastAsia="zh-CN"/>
        </w:rPr>
        <w:t>全</w:t>
      </w:r>
      <w:r>
        <w:rPr>
          <w:rFonts w:hint="eastAsia" w:ascii="仿宋_GB2312" w:hAnsi="仿宋_GB2312" w:eastAsia="仿宋_GB2312" w:cs="仿宋_GB2312"/>
          <w:b w:val="0"/>
          <w:i w:val="0"/>
          <w:caps w:val="0"/>
          <w:color w:val="000000"/>
          <w:spacing w:val="0"/>
          <w:w w:val="100"/>
          <w:sz w:val="32"/>
          <w:szCs w:val="32"/>
          <w:lang w:eastAsia="zh-CN"/>
        </w:rPr>
        <w:t>县</w:t>
      </w:r>
      <w:r>
        <w:rPr>
          <w:rFonts w:hint="eastAsia" w:ascii="仿宋_GB2312" w:hAnsi="仿宋_GB2312" w:eastAsia="仿宋_GB2312" w:cs="仿宋_GB2312"/>
          <w:b w:val="0"/>
          <w:i w:val="0"/>
          <w:caps w:val="0"/>
          <w:color w:val="000000"/>
          <w:spacing w:val="0"/>
          <w:w w:val="100"/>
          <w:sz w:val="32"/>
          <w:szCs w:val="32"/>
          <w:lang w:val="en-US" w:eastAsia="zh-CN"/>
        </w:rPr>
        <w:t>共</w:t>
      </w:r>
      <w:r>
        <w:rPr>
          <w:rFonts w:hint="eastAsia" w:ascii="仿宋_GB2312" w:hAnsi="仿宋_GB2312" w:eastAsia="仿宋_GB2312" w:cs="仿宋_GB2312"/>
          <w:b w:val="0"/>
          <w:i w:val="0"/>
          <w:caps w:val="0"/>
          <w:color w:val="000000"/>
          <w:spacing w:val="0"/>
          <w:w w:val="100"/>
          <w:sz w:val="32"/>
          <w:szCs w:val="32"/>
          <w:lang w:eastAsia="zh-CN"/>
        </w:rPr>
        <w:t>集采</w:t>
      </w:r>
      <w:r>
        <w:rPr>
          <w:rFonts w:hint="eastAsia" w:ascii="仿宋_GB2312" w:hAnsi="仿宋_GB2312" w:eastAsia="仿宋_GB2312" w:cs="仿宋_GB2312"/>
          <w:b w:val="0"/>
          <w:i w:val="0"/>
          <w:caps w:val="0"/>
          <w:color w:val="000000"/>
          <w:spacing w:val="0"/>
          <w:w w:val="100"/>
          <w:sz w:val="32"/>
          <w:szCs w:val="32"/>
          <w:lang w:val="en-US" w:eastAsia="zh-CN"/>
        </w:rPr>
        <w:t>9批次289</w:t>
      </w:r>
      <w:r>
        <w:rPr>
          <w:rFonts w:hint="eastAsia" w:ascii="仿宋_GB2312" w:hAnsi="仿宋_GB2312" w:eastAsia="仿宋_GB2312" w:cs="仿宋_GB2312"/>
          <w:b w:val="0"/>
          <w:i w:val="0"/>
          <w:caps w:val="0"/>
          <w:color w:val="000000"/>
          <w:spacing w:val="0"/>
          <w:w w:val="100"/>
          <w:sz w:val="32"/>
          <w:szCs w:val="32"/>
          <w:lang w:eastAsia="zh-CN"/>
        </w:rPr>
        <w:t>个药品品种，已预付</w:t>
      </w:r>
      <w:r>
        <w:rPr>
          <w:rFonts w:hint="eastAsia" w:ascii="仿宋_GB2312" w:hAnsi="仿宋_GB2312" w:eastAsia="仿宋_GB2312" w:cs="仿宋_GB2312"/>
          <w:b w:val="0"/>
          <w:i w:val="0"/>
          <w:caps w:val="0"/>
          <w:color w:val="000000"/>
          <w:spacing w:val="0"/>
          <w:w w:val="100"/>
          <w:sz w:val="32"/>
          <w:szCs w:val="32"/>
          <w:lang w:val="en-US" w:eastAsia="zh-CN"/>
        </w:rPr>
        <w:t>56132.04元。</w:t>
      </w:r>
      <w:r>
        <w:rPr>
          <w:rFonts w:hint="eastAsia" w:ascii="仿宋_GB2312" w:hAnsi="仿宋_GB2312" w:eastAsia="仿宋_GB2312" w:cs="仿宋_GB2312"/>
          <w:b/>
          <w:bCs/>
          <w:i w:val="0"/>
          <w:caps w:val="0"/>
          <w:color w:val="000000"/>
          <w:spacing w:val="0"/>
          <w:w w:val="100"/>
          <w:sz w:val="32"/>
          <w:szCs w:val="32"/>
          <w:lang w:val="en-US" w:eastAsia="zh-CN"/>
        </w:rPr>
        <w:t>二是</w:t>
      </w:r>
      <w:r>
        <w:rPr>
          <w:rFonts w:hint="eastAsia" w:ascii="仿宋_GB2312" w:hAnsi="仿宋_GB2312" w:eastAsia="仿宋_GB2312" w:cs="仿宋_GB2312"/>
          <w:b w:val="0"/>
          <w:bCs w:val="0"/>
          <w:i w:val="0"/>
          <w:caps w:val="0"/>
          <w:color w:val="000000"/>
          <w:spacing w:val="0"/>
          <w:w w:val="100"/>
          <w:sz w:val="32"/>
          <w:szCs w:val="32"/>
          <w:lang w:val="en-US" w:eastAsia="zh-CN"/>
        </w:rPr>
        <w:t>着力</w:t>
      </w:r>
      <w:r>
        <w:rPr>
          <w:rFonts w:hint="eastAsia" w:ascii="仿宋" w:hAnsi="仿宋" w:eastAsia="仿宋_GB2312" w:cs="仿宋"/>
          <w:b w:val="0"/>
          <w:i w:val="0"/>
          <w:caps w:val="0"/>
          <w:color w:val="000000"/>
          <w:spacing w:val="-6"/>
          <w:w w:val="100"/>
          <w:sz w:val="32"/>
          <w:szCs w:val="32"/>
          <w:lang w:val="en-US" w:eastAsia="zh-CN"/>
        </w:rPr>
        <w:t>推动非集采工作</w:t>
      </w:r>
      <w:r>
        <w:rPr>
          <w:rFonts w:hint="eastAsia" w:ascii="仿宋" w:hAnsi="仿宋" w:eastAsia="仿宋_GB2312" w:cs="仿宋"/>
          <w:b w:val="0"/>
          <w:i w:val="0"/>
          <w:caps w:val="0"/>
          <w:color w:val="000000"/>
          <w:spacing w:val="6"/>
          <w:w w:val="100"/>
          <w:sz w:val="32"/>
          <w:szCs w:val="32"/>
          <w:shd w:val="clear" w:color="auto" w:fill="FFFFFF"/>
          <w:lang w:val="en-US" w:eastAsia="zh-CN"/>
        </w:rPr>
        <w:t>，截至目前，</w:t>
      </w:r>
      <w:r>
        <w:rPr>
          <w:rFonts w:hint="eastAsia" w:ascii="仿宋" w:hAnsi="仿宋" w:eastAsia="仿宋_GB2312" w:cs="仿宋"/>
          <w:b w:val="0"/>
          <w:i w:val="0"/>
          <w:caps w:val="0"/>
          <w:color w:val="000000"/>
          <w:spacing w:val="0"/>
          <w:w w:val="100"/>
          <w:sz w:val="32"/>
          <w:szCs w:val="32"/>
          <w:shd w:val="clear" w:color="auto" w:fill="FFFFFF"/>
          <w:lang w:val="en-US" w:eastAsia="zh-CN"/>
        </w:rPr>
        <w:t>全县13</w:t>
      </w:r>
      <w:r>
        <w:rPr>
          <w:rFonts w:hint="eastAsia" w:ascii="仿宋" w:hAnsi="仿宋" w:eastAsia="仿宋_GB2312" w:cs="仿宋"/>
          <w:b w:val="0"/>
          <w:i w:val="0"/>
          <w:caps w:val="0"/>
          <w:color w:val="000000"/>
          <w:spacing w:val="6"/>
          <w:w w:val="100"/>
          <w:sz w:val="32"/>
          <w:szCs w:val="32"/>
          <w:shd w:val="clear" w:color="auto" w:fill="FFFFFF"/>
        </w:rPr>
        <w:t>家</w:t>
      </w:r>
      <w:r>
        <w:rPr>
          <w:rFonts w:hint="eastAsia" w:ascii="仿宋" w:hAnsi="仿宋" w:eastAsia="仿宋_GB2312" w:cs="仿宋"/>
          <w:b w:val="0"/>
          <w:i w:val="0"/>
          <w:caps w:val="0"/>
          <w:color w:val="000000"/>
          <w:spacing w:val="6"/>
          <w:w w:val="100"/>
          <w:sz w:val="32"/>
          <w:szCs w:val="32"/>
          <w:shd w:val="clear" w:color="auto" w:fill="FFFFFF"/>
          <w:lang w:val="en-US" w:eastAsia="zh-CN"/>
        </w:rPr>
        <w:t>公立</w:t>
      </w:r>
      <w:r>
        <w:rPr>
          <w:rFonts w:hint="eastAsia" w:ascii="仿宋" w:hAnsi="仿宋" w:eastAsia="仿宋_GB2312" w:cs="仿宋"/>
          <w:b w:val="0"/>
          <w:i w:val="0"/>
          <w:caps w:val="0"/>
          <w:color w:val="000000"/>
          <w:spacing w:val="6"/>
          <w:w w:val="100"/>
          <w:sz w:val="32"/>
          <w:szCs w:val="32"/>
          <w:shd w:val="clear" w:color="auto" w:fill="FFFFFF"/>
        </w:rPr>
        <w:t>医疗机构</w:t>
      </w:r>
      <w:r>
        <w:rPr>
          <w:rFonts w:hint="eastAsia" w:ascii="仿宋" w:hAnsi="仿宋" w:eastAsia="仿宋_GB2312" w:cs="仿宋"/>
          <w:b w:val="0"/>
          <w:i w:val="0"/>
          <w:caps w:val="0"/>
          <w:color w:val="000000"/>
          <w:spacing w:val="6"/>
          <w:w w:val="100"/>
          <w:sz w:val="32"/>
          <w:szCs w:val="32"/>
          <w:shd w:val="clear" w:color="auto" w:fill="FFFFFF"/>
          <w:lang w:val="en-US" w:eastAsia="zh-CN"/>
        </w:rPr>
        <w:t>与12家配送企业签订72份药品、耗材配送合同。</w:t>
      </w:r>
      <w:r>
        <w:rPr>
          <w:rFonts w:hint="eastAsia" w:ascii="仿宋" w:hAnsi="仿宋" w:eastAsia="仿宋_GB2312" w:cs="仿宋"/>
          <w:b/>
          <w:bCs/>
          <w:i w:val="0"/>
          <w:caps w:val="0"/>
          <w:color w:val="000000"/>
          <w:spacing w:val="6"/>
          <w:w w:val="100"/>
          <w:sz w:val="32"/>
          <w:szCs w:val="32"/>
          <w:shd w:val="clear" w:color="auto" w:fill="FFFFFF"/>
          <w:lang w:val="en-US" w:eastAsia="zh-CN"/>
        </w:rPr>
        <w:t>三是</w:t>
      </w:r>
      <w:r>
        <w:rPr>
          <w:rFonts w:hint="eastAsia" w:ascii="仿宋" w:hAnsi="仿宋" w:eastAsia="仿宋_GB2312" w:cs="仿宋"/>
          <w:b w:val="0"/>
          <w:i w:val="0"/>
          <w:caps w:val="0"/>
          <w:color w:val="000000"/>
          <w:spacing w:val="-6"/>
          <w:w w:val="100"/>
          <w:sz w:val="32"/>
          <w:szCs w:val="32"/>
          <w:lang w:val="en-US" w:eastAsia="zh-CN"/>
        </w:rPr>
        <w:t>强化集采和非集采相关政策宣传，加强对各级医疗机构系统培训及指导。并组织</w:t>
      </w:r>
      <w:r>
        <w:rPr>
          <w:rFonts w:hint="eastAsia" w:ascii="仿宋_GB2312" w:hAnsi="仿宋_GB2312" w:eastAsia="仿宋_GB2312" w:cs="仿宋_GB2312"/>
          <w:b w:val="0"/>
          <w:i w:val="0"/>
          <w:caps w:val="0"/>
          <w:color w:val="000000"/>
          <w:spacing w:val="0"/>
          <w:w w:val="100"/>
          <w:sz w:val="32"/>
          <w:szCs w:val="32"/>
          <w:lang w:val="en-US" w:eastAsia="zh-CN"/>
        </w:rPr>
        <w:t>1期流程培训会。</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3" w:firstLineChars="200"/>
        <w:jc w:val="both"/>
        <w:textAlignment w:val="baseline"/>
        <w:rPr>
          <w:rFonts w:hint="eastAsia" w:ascii="仿宋_GB2312" w:hAnsi="仿宋_GB2312" w:eastAsia="仿宋_GB2312" w:cs="仿宋_GB2312"/>
          <w:b w:val="0"/>
          <w:i w:val="0"/>
          <w:caps w:val="0"/>
          <w:color w:val="000000"/>
          <w:spacing w:val="0"/>
          <w:w w:val="100"/>
          <w:kern w:val="2"/>
          <w:sz w:val="32"/>
          <w:szCs w:val="32"/>
          <w:lang w:val="en-US" w:eastAsia="zh-CN" w:bidi="ar-SA"/>
        </w:rPr>
      </w:pPr>
      <w:r>
        <w:rPr>
          <w:rFonts w:hint="eastAsia" w:ascii="仿宋_GB2312" w:hAnsi="仿宋_GB2312" w:eastAsia="仿宋_GB2312" w:cs="仿宋_GB2312"/>
          <w:b/>
          <w:bCs/>
          <w:i w:val="0"/>
          <w:caps w:val="0"/>
          <w:color w:val="000000"/>
          <w:spacing w:val="0"/>
          <w:w w:val="100"/>
          <w:kern w:val="2"/>
          <w:sz w:val="32"/>
          <w:szCs w:val="32"/>
          <w:lang w:val="en-US" w:eastAsia="zh-CN" w:bidi="ar-SA"/>
        </w:rPr>
        <w:t>（7）</w:t>
      </w:r>
      <w:r>
        <w:rPr>
          <w:rFonts w:hint="default" w:ascii="仿宋_GB2312" w:hAnsi="仿宋_GB2312" w:eastAsia="仿宋_GB2312" w:cs="仿宋_GB2312"/>
          <w:b/>
          <w:bCs/>
          <w:i w:val="0"/>
          <w:caps w:val="0"/>
          <w:color w:val="000000"/>
          <w:spacing w:val="0"/>
          <w:w w:val="100"/>
          <w:kern w:val="2"/>
          <w:sz w:val="32"/>
          <w:szCs w:val="32"/>
          <w:lang w:val="en-US" w:eastAsia="zh-CN" w:bidi="ar-SA"/>
        </w:rPr>
        <w:t>抓好定点医药机构的管理服务工作。</w:t>
      </w:r>
      <w:r>
        <w:rPr>
          <w:rFonts w:hint="eastAsia" w:ascii="仿宋_GB2312" w:hAnsi="仿宋_GB2312" w:eastAsia="仿宋_GB2312" w:cs="仿宋_GB2312"/>
          <w:b/>
          <w:bCs/>
          <w:i w:val="0"/>
          <w:caps w:val="0"/>
          <w:color w:val="000000"/>
          <w:spacing w:val="0"/>
          <w:w w:val="100"/>
          <w:sz w:val="32"/>
          <w:szCs w:val="32"/>
          <w:lang w:val="en-US" w:eastAsia="zh-CN"/>
        </w:rPr>
        <w:t>一是</w:t>
      </w:r>
      <w:r>
        <w:rPr>
          <w:rFonts w:hint="eastAsia" w:ascii="仿宋_GB2312" w:hAnsi="仿宋_GB2312" w:eastAsia="仿宋_GB2312" w:cs="仿宋_GB2312"/>
          <w:b w:val="0"/>
          <w:i w:val="0"/>
          <w:caps w:val="0"/>
          <w:color w:val="000000"/>
          <w:spacing w:val="0"/>
          <w:w w:val="100"/>
          <w:sz w:val="32"/>
          <w:szCs w:val="32"/>
          <w:lang w:val="en-US" w:eastAsia="zh-CN"/>
        </w:rPr>
        <w:t>强化</w:t>
      </w:r>
      <w:r>
        <w:rPr>
          <w:rFonts w:hint="eastAsia" w:ascii="仿宋_GB2312" w:hAnsi="仿宋_GB2312" w:eastAsia="仿宋_GB2312" w:cs="仿宋_GB2312"/>
          <w:b w:val="0"/>
          <w:i w:val="0"/>
          <w:caps w:val="0"/>
          <w:color w:val="000000"/>
          <w:spacing w:val="0"/>
          <w:w w:val="100"/>
          <w:sz w:val="32"/>
          <w:szCs w:val="32"/>
          <w:lang w:val="zh-CN" w:eastAsia="zh-CN"/>
        </w:rPr>
        <w:t>对定点医</w:t>
      </w:r>
      <w:r>
        <w:rPr>
          <w:rFonts w:hint="eastAsia" w:ascii="仿宋_GB2312" w:hAnsi="仿宋_GB2312" w:eastAsia="仿宋_GB2312" w:cs="仿宋_GB2312"/>
          <w:b w:val="0"/>
          <w:i w:val="0"/>
          <w:caps w:val="0"/>
          <w:color w:val="000000"/>
          <w:spacing w:val="0"/>
          <w:w w:val="100"/>
          <w:sz w:val="32"/>
          <w:szCs w:val="32"/>
          <w:lang w:val="en-US" w:eastAsia="zh-CN"/>
        </w:rPr>
        <w:t>药</w:t>
      </w:r>
      <w:r>
        <w:rPr>
          <w:rFonts w:hint="eastAsia" w:ascii="仿宋_GB2312" w:hAnsi="仿宋_GB2312" w:eastAsia="仿宋_GB2312" w:cs="仿宋_GB2312"/>
          <w:b w:val="0"/>
          <w:i w:val="0"/>
          <w:caps w:val="0"/>
          <w:color w:val="000000"/>
          <w:spacing w:val="0"/>
          <w:w w:val="100"/>
          <w:sz w:val="32"/>
          <w:szCs w:val="32"/>
          <w:lang w:val="zh-CN" w:eastAsia="zh-CN"/>
        </w:rPr>
        <w:t>服务机构</w:t>
      </w:r>
      <w:r>
        <w:rPr>
          <w:rFonts w:hint="eastAsia" w:ascii="仿宋_GB2312" w:hAnsi="仿宋_GB2312" w:eastAsia="仿宋_GB2312" w:cs="仿宋_GB2312"/>
          <w:b w:val="0"/>
          <w:i w:val="0"/>
          <w:caps w:val="0"/>
          <w:color w:val="000000"/>
          <w:spacing w:val="0"/>
          <w:w w:val="100"/>
          <w:sz w:val="32"/>
          <w:szCs w:val="32"/>
          <w:lang w:val="en-US" w:eastAsia="zh-CN"/>
        </w:rPr>
        <w:t>的年度协议管理，年内，共与13家定点医疗机构、12家定点零售药店（年内新增定点药店1家）签订2022年定点医药服务协议及相关补充协议。</w:t>
      </w:r>
      <w:r>
        <w:rPr>
          <w:rFonts w:hint="eastAsia" w:ascii="仿宋_GB2312" w:hAnsi="仿宋_GB2312" w:eastAsia="仿宋_GB2312" w:cs="仿宋_GB2312"/>
          <w:b/>
          <w:bCs/>
          <w:i w:val="0"/>
          <w:caps w:val="0"/>
          <w:color w:val="000000"/>
          <w:spacing w:val="0"/>
          <w:w w:val="100"/>
          <w:sz w:val="32"/>
          <w:szCs w:val="32"/>
          <w:lang w:val="en-US" w:eastAsia="zh-CN"/>
        </w:rPr>
        <w:t>二是</w:t>
      </w:r>
      <w:r>
        <w:rPr>
          <w:rFonts w:hint="eastAsia" w:ascii="仿宋_GB2312" w:hAnsi="Times New Roman" w:eastAsia="仿宋_GB2312"/>
          <w:b w:val="0"/>
          <w:i w:val="0"/>
          <w:caps w:val="0"/>
          <w:color w:val="000000"/>
          <w:spacing w:val="0"/>
          <w:w w:val="100"/>
          <w:kern w:val="2"/>
          <w:sz w:val="32"/>
          <w:szCs w:val="32"/>
        </w:rPr>
        <w:t>严格</w:t>
      </w:r>
      <w:r>
        <w:rPr>
          <w:rFonts w:hint="eastAsia" w:ascii="仿宋_GB2312" w:hAnsi="Times New Roman" w:eastAsia="仿宋_GB2312"/>
          <w:b w:val="0"/>
          <w:i w:val="0"/>
          <w:caps w:val="0"/>
          <w:color w:val="000000"/>
          <w:spacing w:val="0"/>
          <w:w w:val="100"/>
          <w:kern w:val="2"/>
          <w:sz w:val="32"/>
          <w:szCs w:val="32"/>
          <w:lang w:val="en-US" w:eastAsia="zh-CN"/>
        </w:rPr>
        <w:t>执行</w:t>
      </w:r>
      <w:r>
        <w:rPr>
          <w:rFonts w:hint="eastAsia" w:ascii="仿宋_GB2312" w:hAnsi="Times New Roman" w:eastAsia="仿宋_GB2312"/>
          <w:b w:val="0"/>
          <w:i w:val="0"/>
          <w:caps w:val="0"/>
          <w:color w:val="000000"/>
          <w:spacing w:val="0"/>
          <w:w w:val="100"/>
          <w:kern w:val="2"/>
          <w:sz w:val="32"/>
          <w:szCs w:val="32"/>
        </w:rPr>
        <w:t>“两定”</w:t>
      </w:r>
      <w:r>
        <w:rPr>
          <w:rFonts w:hint="eastAsia" w:ascii="仿宋_GB2312" w:hAnsi="Times New Roman" w:eastAsia="仿宋_GB2312"/>
          <w:b w:val="0"/>
          <w:i w:val="0"/>
          <w:caps w:val="0"/>
          <w:color w:val="000000"/>
          <w:spacing w:val="0"/>
          <w:w w:val="100"/>
          <w:kern w:val="2"/>
          <w:sz w:val="32"/>
          <w:szCs w:val="32"/>
          <w:lang w:val="en-US" w:eastAsia="zh-CN"/>
        </w:rPr>
        <w:t>服务</w:t>
      </w:r>
      <w:r>
        <w:rPr>
          <w:rFonts w:hint="eastAsia" w:ascii="仿宋_GB2312" w:hAnsi="Times New Roman" w:eastAsia="仿宋_GB2312"/>
          <w:b w:val="0"/>
          <w:i w:val="0"/>
          <w:caps w:val="0"/>
          <w:color w:val="000000"/>
          <w:spacing w:val="0"/>
          <w:w w:val="100"/>
          <w:kern w:val="2"/>
          <w:sz w:val="32"/>
          <w:szCs w:val="32"/>
        </w:rPr>
        <w:t>协议</w:t>
      </w:r>
      <w:r>
        <w:rPr>
          <w:rFonts w:hint="eastAsia" w:ascii="仿宋_GB2312" w:hAnsi="Times New Roman" w:eastAsia="仿宋_GB2312"/>
          <w:b w:val="0"/>
          <w:i w:val="0"/>
          <w:caps w:val="0"/>
          <w:color w:val="000000"/>
          <w:spacing w:val="0"/>
          <w:w w:val="100"/>
          <w:kern w:val="2"/>
          <w:sz w:val="32"/>
          <w:szCs w:val="32"/>
          <w:lang w:val="en-US" w:eastAsia="zh-CN"/>
        </w:rPr>
        <w:t>管理，截至目前，共扣除3家医药机构保证金9871.4元。</w:t>
      </w:r>
      <w:r>
        <w:rPr>
          <w:rFonts w:hint="eastAsia" w:ascii="仿宋_GB2312" w:hAnsi="Times New Roman" w:eastAsia="仿宋_GB2312"/>
          <w:b/>
          <w:bCs/>
          <w:i w:val="0"/>
          <w:caps w:val="0"/>
          <w:color w:val="000000"/>
          <w:spacing w:val="0"/>
          <w:w w:val="100"/>
          <w:kern w:val="2"/>
          <w:sz w:val="32"/>
          <w:szCs w:val="32"/>
          <w:lang w:val="en-US" w:eastAsia="zh-CN"/>
        </w:rPr>
        <w:t>三是</w:t>
      </w:r>
      <w:r>
        <w:rPr>
          <w:rFonts w:hint="eastAsia" w:ascii="仿宋_GB2312" w:hAnsi="仿宋_GB2312" w:eastAsia="仿宋_GB2312" w:cs="仿宋_GB2312"/>
          <w:b w:val="0"/>
          <w:i w:val="0"/>
          <w:caps w:val="0"/>
          <w:color w:val="000000"/>
          <w:spacing w:val="0"/>
          <w:w w:val="100"/>
          <w:kern w:val="2"/>
          <w:sz w:val="32"/>
          <w:szCs w:val="32"/>
          <w:lang w:val="en-US" w:eastAsia="zh-CN" w:bidi="ar-SA"/>
        </w:rPr>
        <w:t>推进全县医药机构信息化建设，截至目前，全县2家县级医疗机构、11家定点零售药店、11家乡镇卫生院已完成基线版接口改造和切换工作。</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3" w:firstLineChars="200"/>
        <w:jc w:val="both"/>
        <w:textAlignment w:val="baseline"/>
        <w:rPr>
          <w:rFonts w:hint="eastAsia" w:ascii="仿宋_GB2312" w:hAnsi="仿宋_GB2312" w:eastAsia="仿宋_GB2312" w:cs="仿宋_GB2312"/>
          <w:b w:val="0"/>
          <w:bCs w:val="0"/>
          <w:i w:val="0"/>
          <w:caps w:val="0"/>
          <w:spacing w:val="0"/>
          <w:w w:val="100"/>
          <w:sz w:val="32"/>
          <w:szCs w:val="32"/>
          <w:lang w:val="en-US" w:eastAsia="zh-CN"/>
        </w:rPr>
      </w:pPr>
      <w:r>
        <w:rPr>
          <w:rFonts w:hint="eastAsia" w:ascii="仿宋_GB2312" w:hAnsi="仿宋_GB2312" w:eastAsia="仿宋_GB2312" w:cs="仿宋_GB2312"/>
          <w:b/>
          <w:bCs/>
          <w:i w:val="0"/>
          <w:caps w:val="0"/>
          <w:color w:val="000000"/>
          <w:spacing w:val="0"/>
          <w:w w:val="100"/>
          <w:kern w:val="2"/>
          <w:sz w:val="32"/>
          <w:szCs w:val="32"/>
          <w:lang w:val="en-US" w:eastAsia="zh-CN" w:bidi="ar-SA"/>
        </w:rPr>
        <w:t>（8）抓实重点人群医保待遇保障。</w:t>
      </w:r>
      <w:r>
        <w:rPr>
          <w:rFonts w:hint="eastAsia" w:ascii="仿宋_GB2312" w:hAnsi="仿宋_GB2312" w:eastAsia="仿宋_GB2312" w:cs="仿宋_GB2312"/>
          <w:b w:val="0"/>
          <w:i w:val="0"/>
          <w:caps w:val="0"/>
          <w:color w:val="000000"/>
          <w:spacing w:val="0"/>
          <w:w w:val="100"/>
          <w:sz w:val="32"/>
          <w:szCs w:val="32"/>
          <w:lang w:val="en-US" w:eastAsia="zh-CN"/>
        </w:rPr>
        <w:t>为坚决守住</w:t>
      </w:r>
      <w:r>
        <w:rPr>
          <w:rFonts w:hint="eastAsia" w:ascii="仿宋_GB2312" w:hAnsi="仿宋_GB2312" w:eastAsia="仿宋_GB2312" w:cs="仿宋_GB2312"/>
          <w:b w:val="0"/>
          <w:i w:val="0"/>
          <w:caps w:val="0"/>
          <w:spacing w:val="0"/>
          <w:w w:val="100"/>
          <w:sz w:val="32"/>
          <w:szCs w:val="32"/>
          <w:lang w:val="en-US" w:eastAsia="zh-CN"/>
        </w:rPr>
        <w:t>不发生规模性返贫底线，坚持分阶段、分对象、分类别落实三重保障综合保障政策。</w:t>
      </w:r>
      <w:r>
        <w:rPr>
          <w:rFonts w:hint="eastAsia" w:ascii="仿宋_GB2312" w:hAnsi="仿宋_GB2312" w:eastAsia="仿宋_GB2312" w:cs="仿宋_GB2312"/>
          <w:b/>
          <w:bCs/>
          <w:i w:val="0"/>
          <w:caps w:val="0"/>
          <w:spacing w:val="0"/>
          <w:w w:val="100"/>
          <w:sz w:val="32"/>
          <w:szCs w:val="32"/>
          <w:lang w:val="en-US" w:eastAsia="zh-CN"/>
        </w:rPr>
        <w:t>一是</w:t>
      </w:r>
      <w:r>
        <w:rPr>
          <w:rFonts w:hint="eastAsia" w:ascii="仿宋_GB2312" w:hAnsi="仿宋_GB2312" w:eastAsia="仿宋_GB2312" w:cs="仿宋_GB2312"/>
          <w:b w:val="0"/>
          <w:i w:val="0"/>
          <w:caps w:val="0"/>
          <w:spacing w:val="0"/>
          <w:w w:val="100"/>
          <w:sz w:val="32"/>
          <w:szCs w:val="32"/>
          <w:lang w:val="en-US" w:eastAsia="zh-CN"/>
        </w:rPr>
        <w:t>严格执行</w:t>
      </w:r>
      <w:r>
        <w:rPr>
          <w:rFonts w:hint="eastAsia" w:ascii="仿宋_GB2312" w:hAnsi="仿宋_GB2312" w:eastAsia="仿宋_GB2312" w:cs="仿宋_GB2312"/>
          <w:b w:val="0"/>
          <w:i w:val="0"/>
          <w:caps w:val="0"/>
          <w:spacing w:val="0"/>
          <w:w w:val="100"/>
          <w:sz w:val="32"/>
          <w:szCs w:val="32"/>
        </w:rPr>
        <w:t>城乡居民基本医疗保险</w:t>
      </w:r>
      <w:r>
        <w:rPr>
          <w:rFonts w:hint="eastAsia" w:ascii="仿宋_GB2312" w:hAnsi="仿宋_GB2312" w:eastAsia="仿宋_GB2312" w:cs="仿宋_GB2312"/>
          <w:b w:val="0"/>
          <w:i w:val="0"/>
          <w:caps w:val="0"/>
          <w:spacing w:val="0"/>
          <w:w w:val="100"/>
          <w:sz w:val="32"/>
          <w:szCs w:val="32"/>
          <w:lang w:val="en-US" w:eastAsia="zh-CN"/>
        </w:rPr>
        <w:t>政策、</w:t>
      </w:r>
      <w:r>
        <w:rPr>
          <w:rFonts w:hint="eastAsia" w:ascii="仿宋_GB2312" w:hAnsi="仿宋_GB2312" w:eastAsia="仿宋_GB2312" w:cs="仿宋_GB2312"/>
          <w:b w:val="0"/>
          <w:i w:val="0"/>
          <w:caps w:val="0"/>
          <w:spacing w:val="0"/>
          <w:w w:val="100"/>
          <w:sz w:val="32"/>
          <w:szCs w:val="32"/>
        </w:rPr>
        <w:t>门诊慢特病保障政策，</w:t>
      </w:r>
      <w:r>
        <w:rPr>
          <w:rFonts w:hint="eastAsia" w:ascii="仿宋_GB2312" w:hAnsi="仿宋_GB2312" w:eastAsia="仿宋_GB2312" w:cs="仿宋_GB2312"/>
          <w:b w:val="0"/>
          <w:i w:val="0"/>
          <w:caps w:val="0"/>
          <w:spacing w:val="0"/>
          <w:w w:val="100"/>
          <w:sz w:val="32"/>
          <w:szCs w:val="32"/>
          <w:lang w:eastAsia="zh-CN"/>
        </w:rPr>
        <w:t>结合</w:t>
      </w:r>
      <w:r>
        <w:rPr>
          <w:rFonts w:hint="eastAsia" w:ascii="仿宋_GB2312" w:hAnsi="仿宋_GB2312" w:eastAsia="仿宋_GB2312" w:cs="仿宋_GB2312"/>
          <w:b w:val="0"/>
          <w:i w:val="0"/>
          <w:caps w:val="0"/>
          <w:spacing w:val="0"/>
          <w:w w:val="100"/>
          <w:sz w:val="32"/>
          <w:szCs w:val="32"/>
        </w:rPr>
        <w:t>高血压、糖尿病（简称“两病”）门诊用药保障机制，确保“两病”患者用药保障和健康管理全覆盖，切实降低“两病”并发症、合并症风险。</w:t>
      </w:r>
      <w:r>
        <w:rPr>
          <w:rFonts w:hint="eastAsia" w:ascii="仿宋_GB2312" w:hAnsi="仿宋_GB2312" w:eastAsia="仿宋_GB2312" w:cs="仿宋_GB2312"/>
          <w:b w:val="0"/>
          <w:i w:val="0"/>
          <w:caps w:val="0"/>
          <w:spacing w:val="0"/>
          <w:w w:val="100"/>
          <w:sz w:val="32"/>
          <w:szCs w:val="32"/>
          <w:lang w:val="en-US" w:eastAsia="zh-CN"/>
        </w:rPr>
        <w:t>2022年</w:t>
      </w:r>
      <w:r>
        <w:rPr>
          <w:rFonts w:hint="eastAsia" w:ascii="仿宋_GB2312" w:hAnsi="仿宋_GB2312" w:eastAsia="仿宋_GB2312" w:cs="仿宋_GB2312"/>
          <w:b w:val="0"/>
          <w:bCs w:val="0"/>
          <w:i w:val="0"/>
          <w:caps w:val="0"/>
          <w:spacing w:val="0"/>
          <w:w w:val="100"/>
          <w:sz w:val="32"/>
          <w:szCs w:val="32"/>
          <w:lang w:eastAsia="zh-CN"/>
        </w:rPr>
        <w:t>全县认定高血压</w:t>
      </w:r>
      <w:r>
        <w:rPr>
          <w:rFonts w:hint="eastAsia" w:ascii="仿宋_GB2312" w:hAnsi="仿宋_GB2312" w:eastAsia="仿宋_GB2312" w:cs="仿宋_GB2312"/>
          <w:b w:val="0"/>
          <w:bCs w:val="0"/>
          <w:i w:val="0"/>
          <w:caps w:val="0"/>
          <w:spacing w:val="0"/>
          <w:w w:val="100"/>
          <w:sz w:val="32"/>
          <w:szCs w:val="32"/>
          <w:lang w:val="en-US" w:eastAsia="zh-CN"/>
        </w:rPr>
        <w:t>32人，糖尿病20人，</w:t>
      </w:r>
      <w:r>
        <w:rPr>
          <w:rFonts w:hint="eastAsia" w:ascii="仿宋_GB2312" w:hAnsi="仿宋_GB2312" w:eastAsia="仿宋_GB2312" w:cs="仿宋_GB2312"/>
          <w:b w:val="0"/>
          <w:i w:val="0"/>
          <w:caps w:val="0"/>
          <w:spacing w:val="0"/>
          <w:w w:val="100"/>
          <w:sz w:val="32"/>
          <w:szCs w:val="32"/>
          <w:lang w:val="en-US" w:eastAsia="zh-CN"/>
        </w:rPr>
        <w:t>均按政策享受门诊用药保障。</w:t>
      </w:r>
      <w:r>
        <w:rPr>
          <w:rFonts w:hint="eastAsia" w:ascii="仿宋_GB2312" w:hAnsi="仿宋_GB2312" w:eastAsia="仿宋_GB2312" w:cs="仿宋_GB2312"/>
          <w:b/>
          <w:bCs/>
          <w:i w:val="0"/>
          <w:caps w:val="0"/>
          <w:spacing w:val="0"/>
          <w:w w:val="100"/>
          <w:sz w:val="32"/>
          <w:szCs w:val="32"/>
          <w:lang w:val="en-US" w:eastAsia="zh-CN"/>
        </w:rPr>
        <w:t>二是</w:t>
      </w:r>
      <w:r>
        <w:rPr>
          <w:rFonts w:hint="eastAsia" w:ascii="仿宋_GB2312" w:hAnsi="仿宋_GB2312" w:eastAsia="仿宋_GB2312" w:cs="仿宋_GB2312"/>
          <w:b w:val="0"/>
          <w:i w:val="0"/>
          <w:caps w:val="0"/>
          <w:spacing w:val="0"/>
          <w:w w:val="100"/>
          <w:sz w:val="32"/>
          <w:szCs w:val="32"/>
          <w:lang w:eastAsia="zh-CN"/>
        </w:rPr>
        <w:t>严格执行</w:t>
      </w:r>
      <w:r>
        <w:rPr>
          <w:rFonts w:hint="eastAsia" w:ascii="仿宋_GB2312" w:hAnsi="仿宋_GB2312" w:eastAsia="仿宋_GB2312" w:cs="仿宋_GB2312"/>
          <w:b w:val="0"/>
          <w:i w:val="0"/>
          <w:caps w:val="0"/>
          <w:spacing w:val="0"/>
          <w:w w:val="100"/>
          <w:sz w:val="32"/>
          <w:szCs w:val="32"/>
        </w:rPr>
        <w:t>对特困人员、</w:t>
      </w:r>
      <w:r>
        <w:rPr>
          <w:rFonts w:hint="eastAsia" w:ascii="仿宋_GB2312" w:hAnsi="仿宋_GB2312" w:eastAsia="仿宋_GB2312" w:cs="仿宋_GB2312"/>
          <w:b w:val="0"/>
          <w:i w:val="0"/>
          <w:caps w:val="0"/>
          <w:spacing w:val="0"/>
          <w:w w:val="100"/>
          <w:sz w:val="32"/>
          <w:szCs w:val="32"/>
          <w:lang w:val="en-US" w:eastAsia="zh-CN"/>
        </w:rPr>
        <w:t>孤儿、</w:t>
      </w:r>
      <w:r>
        <w:rPr>
          <w:rFonts w:hint="eastAsia" w:ascii="仿宋_GB2312" w:hAnsi="仿宋_GB2312" w:eastAsia="仿宋_GB2312" w:cs="仿宋_GB2312"/>
          <w:b w:val="0"/>
          <w:i w:val="0"/>
          <w:caps w:val="0"/>
          <w:spacing w:val="0"/>
          <w:w w:val="100"/>
          <w:sz w:val="32"/>
          <w:szCs w:val="32"/>
        </w:rPr>
        <w:t>低保对象</w:t>
      </w:r>
      <w:r>
        <w:rPr>
          <w:rFonts w:hint="eastAsia" w:ascii="仿宋_GB2312" w:hAnsi="仿宋_GB2312" w:eastAsia="仿宋_GB2312" w:cs="仿宋_GB2312"/>
          <w:b w:val="0"/>
          <w:i w:val="0"/>
          <w:caps w:val="0"/>
          <w:spacing w:val="0"/>
          <w:w w:val="100"/>
          <w:sz w:val="32"/>
          <w:szCs w:val="32"/>
          <w:lang w:eastAsia="zh-CN"/>
        </w:rPr>
        <w:t>等特殊困难群体</w:t>
      </w:r>
      <w:r>
        <w:rPr>
          <w:rFonts w:hint="eastAsia" w:ascii="仿宋_GB2312" w:hAnsi="仿宋_GB2312" w:eastAsia="仿宋_GB2312" w:cs="仿宋_GB2312"/>
          <w:b w:val="0"/>
          <w:i w:val="0"/>
          <w:caps w:val="0"/>
          <w:spacing w:val="0"/>
          <w:w w:val="100"/>
          <w:sz w:val="32"/>
          <w:szCs w:val="32"/>
        </w:rPr>
        <w:t>实施起付线降低50%、报销比例提高5个百分点的倾斜保障政策</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eastAsia="仿宋_GB2312"/>
          <w:b w:val="0"/>
          <w:i w:val="0"/>
          <w:caps w:val="0"/>
          <w:color w:val="000000"/>
          <w:spacing w:val="-6"/>
          <w:w w:val="100"/>
          <w:kern w:val="0"/>
          <w:sz w:val="32"/>
          <w:szCs w:val="32"/>
        </w:rPr>
        <w:t>进一步减轻困难群众就医负担，兜牢民生底线</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eastAsia="zh-CN"/>
        </w:rPr>
        <w:t>截至目前，全县大病保险报销</w:t>
      </w:r>
      <w:r>
        <w:rPr>
          <w:rFonts w:hint="eastAsia" w:ascii="仿宋_GB2312" w:hAnsi="仿宋_GB2312" w:eastAsia="仿宋_GB2312" w:cs="仿宋_GB2312"/>
          <w:b w:val="0"/>
          <w:i w:val="0"/>
          <w:caps w:val="0"/>
          <w:spacing w:val="0"/>
          <w:w w:val="100"/>
          <w:sz w:val="32"/>
          <w:szCs w:val="32"/>
          <w:lang w:val="en-US" w:eastAsia="zh-CN"/>
        </w:rPr>
        <w:t>139人次</w:t>
      </w:r>
      <w:r>
        <w:rPr>
          <w:rFonts w:hint="eastAsia" w:ascii="仿宋_GB2312" w:hAnsi="仿宋_GB2312" w:eastAsia="仿宋_GB2312" w:cs="仿宋_GB2312"/>
          <w:b w:val="0"/>
          <w:i w:val="0"/>
          <w:caps w:val="0"/>
          <w:spacing w:val="0"/>
          <w:w w:val="100"/>
          <w:sz w:val="32"/>
          <w:szCs w:val="32"/>
          <w:lang w:eastAsia="zh-CN"/>
        </w:rPr>
        <w:t>，基金报销</w:t>
      </w:r>
      <w:r>
        <w:rPr>
          <w:rFonts w:hint="eastAsia" w:ascii="仿宋_GB2312" w:hAnsi="仿宋_GB2312" w:eastAsia="仿宋_GB2312" w:cs="仿宋_GB2312"/>
          <w:b w:val="0"/>
          <w:i w:val="0"/>
          <w:caps w:val="0"/>
          <w:spacing w:val="0"/>
          <w:w w:val="100"/>
          <w:sz w:val="32"/>
          <w:szCs w:val="32"/>
          <w:lang w:val="en-US" w:eastAsia="zh-CN"/>
        </w:rPr>
        <w:t>47.53</w:t>
      </w:r>
      <w:r>
        <w:rPr>
          <w:rFonts w:hint="eastAsia" w:ascii="仿宋_GB2312" w:hAnsi="仿宋_GB2312" w:eastAsia="仿宋_GB2312" w:cs="仿宋_GB2312"/>
          <w:b w:val="0"/>
          <w:i w:val="0"/>
          <w:caps w:val="0"/>
          <w:spacing w:val="0"/>
          <w:w w:val="100"/>
          <w:sz w:val="32"/>
          <w:szCs w:val="32"/>
        </w:rPr>
        <w:t>万元</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bCs/>
          <w:i w:val="0"/>
          <w:caps w:val="0"/>
          <w:spacing w:val="0"/>
          <w:w w:val="100"/>
          <w:sz w:val="32"/>
          <w:szCs w:val="32"/>
          <w:lang w:val="en-US" w:eastAsia="zh-CN"/>
        </w:rPr>
        <w:t>三是</w:t>
      </w:r>
      <w:r>
        <w:rPr>
          <w:rFonts w:hint="eastAsia" w:eastAsia="仿宋_GB2312" w:cs="Times New Roman"/>
          <w:b w:val="0"/>
          <w:i w:val="0"/>
          <w:caps w:val="0"/>
          <w:color w:val="000000"/>
          <w:spacing w:val="0"/>
          <w:w w:val="100"/>
          <w:sz w:val="32"/>
          <w:szCs w:val="32"/>
          <w:lang w:eastAsia="zh-CN" w:bidi="ar-SA"/>
        </w:rPr>
        <w:t>严格执行</w:t>
      </w:r>
      <w:r>
        <w:rPr>
          <w:rFonts w:hint="eastAsia" w:ascii="Times New Roman" w:hAnsi="Times New Roman" w:eastAsia="仿宋_GB2312" w:cs="Times New Roman"/>
          <w:b w:val="0"/>
          <w:i w:val="0"/>
          <w:caps w:val="0"/>
          <w:color w:val="000000"/>
          <w:spacing w:val="0"/>
          <w:w w:val="100"/>
          <w:sz w:val="32"/>
          <w:szCs w:val="32"/>
          <w:lang w:val="en-US" w:eastAsia="zh-CN" w:bidi="ar-SA"/>
        </w:rPr>
        <w:t>重</w:t>
      </w:r>
      <w:r>
        <w:rPr>
          <w:rFonts w:hint="eastAsia" w:ascii="仿宋_GB2312" w:hAnsi="仿宋_GB2312" w:eastAsia="仿宋_GB2312" w:cs="仿宋_GB2312"/>
          <w:b w:val="0"/>
          <w:i w:val="0"/>
          <w:caps w:val="0"/>
          <w:spacing w:val="0"/>
          <w:w w:val="100"/>
          <w:sz w:val="32"/>
          <w:szCs w:val="32"/>
          <w:lang w:val="en-US" w:eastAsia="zh-CN"/>
        </w:rPr>
        <w:t>特大疾病医疗保险和救助制度，</w:t>
      </w:r>
      <w:r>
        <w:rPr>
          <w:rFonts w:hint="eastAsia" w:ascii="仿宋_GB2312" w:hAnsi="仿宋_GB2312" w:eastAsia="仿宋_GB2312" w:cs="仿宋_GB2312"/>
          <w:b w:val="0"/>
          <w:i w:val="0"/>
          <w:caps w:val="0"/>
          <w:spacing w:val="0"/>
          <w:w w:val="100"/>
          <w:sz w:val="32"/>
          <w:szCs w:val="32"/>
        </w:rPr>
        <w:t>统筹加大门诊慢特病救助力度，</w:t>
      </w:r>
      <w:r>
        <w:rPr>
          <w:rFonts w:hint="eastAsia" w:ascii="仿宋_GB2312" w:hAnsi="仿宋_GB2312" w:eastAsia="仿宋_GB2312" w:cs="仿宋_GB2312"/>
          <w:b w:val="0"/>
          <w:i w:val="0"/>
          <w:caps w:val="0"/>
          <w:spacing w:val="0"/>
          <w:w w:val="100"/>
          <w:sz w:val="32"/>
          <w:szCs w:val="32"/>
          <w:lang w:eastAsia="zh-CN"/>
        </w:rPr>
        <w:t>进一步</w:t>
      </w:r>
      <w:r>
        <w:rPr>
          <w:rFonts w:hint="eastAsia" w:eastAsia="仿宋_GB2312" w:cs="Times New Roman"/>
          <w:b w:val="0"/>
          <w:i w:val="0"/>
          <w:caps w:val="0"/>
          <w:color w:val="000000"/>
          <w:spacing w:val="0"/>
          <w:w w:val="100"/>
          <w:sz w:val="32"/>
          <w:szCs w:val="32"/>
          <w:lang w:eastAsia="zh-CN" w:bidi="ar-SA"/>
        </w:rPr>
        <w:t>落实</w:t>
      </w:r>
      <w:r>
        <w:rPr>
          <w:rFonts w:hint="default" w:ascii="Times New Roman" w:hAnsi="Times New Roman" w:eastAsia="仿宋_GB2312" w:cs="Times New Roman"/>
          <w:b w:val="0"/>
          <w:i w:val="0"/>
          <w:caps w:val="0"/>
          <w:color w:val="000000"/>
          <w:spacing w:val="0"/>
          <w:w w:val="100"/>
          <w:sz w:val="32"/>
          <w:szCs w:val="32"/>
          <w:lang w:bidi="ar-SA"/>
        </w:rPr>
        <w:t>医疗救助托底保障功能</w:t>
      </w:r>
      <w:r>
        <w:rPr>
          <w:rFonts w:hint="eastAsia" w:eastAsia="仿宋_GB2312" w:cs="Times New Roman"/>
          <w:b w:val="0"/>
          <w:i w:val="0"/>
          <w:caps w:val="0"/>
          <w:color w:val="000000"/>
          <w:spacing w:val="0"/>
          <w:w w:val="100"/>
          <w:sz w:val="32"/>
          <w:szCs w:val="32"/>
          <w:lang w:eastAsia="zh-CN" w:bidi="ar-SA"/>
        </w:rPr>
        <w:t>，</w:t>
      </w:r>
      <w:r>
        <w:rPr>
          <w:rFonts w:hint="eastAsia" w:ascii="仿宋_GB2312" w:hAnsi="仿宋_GB2312" w:eastAsia="仿宋_GB2312" w:cs="仿宋_GB2312"/>
          <w:b w:val="0"/>
          <w:i w:val="0"/>
          <w:caps w:val="0"/>
          <w:spacing w:val="0"/>
          <w:w w:val="100"/>
          <w:sz w:val="32"/>
          <w:szCs w:val="32"/>
        </w:rPr>
        <w:t>对明确身份标识的</w:t>
      </w:r>
      <w:r>
        <w:rPr>
          <w:rFonts w:hint="default" w:ascii="仿宋_GB2312" w:hAnsi="仿宋_GB2312" w:eastAsia="仿宋_GB2312" w:cs="仿宋_GB2312"/>
          <w:b w:val="0"/>
          <w:i w:val="0"/>
          <w:caps w:val="0"/>
          <w:spacing w:val="0"/>
          <w:w w:val="100"/>
          <w:sz w:val="32"/>
          <w:szCs w:val="32"/>
        </w:rPr>
        <w:t>救助对象</w:t>
      </w:r>
      <w:r>
        <w:rPr>
          <w:rFonts w:hint="eastAsia" w:ascii="仿宋_GB2312" w:hAnsi="仿宋_GB2312" w:eastAsia="仿宋_GB2312" w:cs="仿宋_GB2312"/>
          <w:b w:val="0"/>
          <w:i w:val="0"/>
          <w:caps w:val="0"/>
          <w:spacing w:val="0"/>
          <w:w w:val="100"/>
          <w:sz w:val="32"/>
          <w:szCs w:val="32"/>
        </w:rPr>
        <w:t>全面实现住院费用基本医保、大病保险、医疗救助“一单式”结算，</w:t>
      </w:r>
      <w:r>
        <w:rPr>
          <w:rFonts w:hint="eastAsia" w:ascii="仿宋_GB2312" w:hAnsi="仿宋_GB2312" w:eastAsia="仿宋_GB2312" w:cs="仿宋_GB2312"/>
          <w:b w:val="0"/>
          <w:i w:val="0"/>
          <w:caps w:val="0"/>
          <w:spacing w:val="0"/>
          <w:w w:val="100"/>
          <w:sz w:val="32"/>
          <w:szCs w:val="32"/>
          <w:lang w:val="en-US" w:eastAsia="zh-CN"/>
        </w:rPr>
        <w:t>有效减轻困难群众门诊负担。</w:t>
      </w:r>
      <w:r>
        <w:rPr>
          <w:rFonts w:hint="eastAsia" w:ascii="仿宋_GB2312" w:hAnsi="仿宋_GB2312" w:eastAsia="仿宋_GB2312" w:cs="仿宋_GB2312"/>
          <w:b w:val="0"/>
          <w:bCs w:val="0"/>
          <w:i w:val="0"/>
          <w:caps w:val="0"/>
          <w:spacing w:val="0"/>
          <w:w w:val="100"/>
          <w:sz w:val="32"/>
          <w:szCs w:val="32"/>
          <w:lang w:val="en-US" w:eastAsia="zh-CN"/>
        </w:rPr>
        <w:t>截至目前，全县困难群众门诊救助101人次，救助支出3.92万元；住院救助288人次，93.42万元。</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3"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bCs/>
          <w:i w:val="0"/>
          <w:caps w:val="0"/>
          <w:color w:val="000000"/>
          <w:spacing w:val="0"/>
          <w:w w:val="100"/>
          <w:kern w:val="2"/>
          <w:sz w:val="32"/>
          <w:szCs w:val="32"/>
          <w:lang w:val="en-US" w:eastAsia="zh-CN" w:bidi="ar-SA"/>
        </w:rPr>
        <w:t>（9）强化部门联动，加强动态监测。</w:t>
      </w:r>
      <w:r>
        <w:rPr>
          <w:rFonts w:hint="eastAsia" w:ascii="仿宋_GB2312" w:hAnsi="仿宋_GB2312" w:eastAsia="仿宋_GB2312" w:cs="仿宋_GB2312"/>
          <w:b w:val="0"/>
          <w:i w:val="0"/>
          <w:caps w:val="0"/>
          <w:spacing w:val="0"/>
          <w:w w:val="100"/>
          <w:sz w:val="32"/>
          <w:szCs w:val="32"/>
        </w:rPr>
        <w:t>持续加强与乡村振兴、民政、税务等部门联席联动，确保信息互通，数据共享。立足单位职能，强化动态监测，做好动态调整，及时保障待遇，筑牢因病致贫返贫底线。年内，按照乡村振兴部门推送的数据，动态调整新增监测对象15户64人，调出风险消除监测对象15户74人。我局落实主动发现机制，向乡村振兴、民政等部门推送406人。</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3" w:firstLineChars="200"/>
        <w:jc w:val="both"/>
        <w:textAlignment w:val="baseline"/>
        <w:rPr>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bCs/>
          <w:i w:val="0"/>
          <w:caps w:val="0"/>
          <w:color w:val="000000"/>
          <w:spacing w:val="0"/>
          <w:w w:val="100"/>
          <w:kern w:val="2"/>
          <w:sz w:val="32"/>
          <w:szCs w:val="32"/>
          <w:lang w:val="en-US" w:eastAsia="zh-CN" w:bidi="ar-SA"/>
        </w:rPr>
        <w:t>（10）强化保障功能，助力疫情防控。</w:t>
      </w:r>
      <w:r>
        <w:rPr>
          <w:rFonts w:hint="eastAsia" w:ascii="仿宋_GB2312" w:hAnsi="仿宋_GB2312" w:eastAsia="仿宋_GB2312" w:cs="仿宋_GB2312"/>
          <w:b w:val="0"/>
          <w:bCs w:val="0"/>
          <w:i w:val="0"/>
          <w:caps w:val="0"/>
          <w:color w:val="000000"/>
          <w:spacing w:val="0"/>
          <w:w w:val="100"/>
          <w:sz w:val="32"/>
          <w:szCs w:val="32"/>
          <w:lang w:eastAsia="zh-CN"/>
        </w:rPr>
        <w:t>加强对辖区内</w:t>
      </w:r>
      <w:r>
        <w:rPr>
          <w:rFonts w:hint="eastAsia" w:ascii="仿宋_GB2312" w:hAnsi="仿宋_GB2312" w:eastAsia="仿宋_GB2312" w:cs="仿宋_GB2312"/>
          <w:b w:val="0"/>
          <w:bCs w:val="0"/>
          <w:i w:val="0"/>
          <w:caps w:val="0"/>
          <w:color w:val="000000"/>
          <w:spacing w:val="0"/>
          <w:w w:val="100"/>
          <w:sz w:val="32"/>
          <w:szCs w:val="32"/>
          <w:lang w:val="en-US" w:eastAsia="zh-CN"/>
        </w:rPr>
        <w:t>24家医药机构</w:t>
      </w:r>
      <w:r>
        <w:rPr>
          <w:rFonts w:hint="eastAsia" w:ascii="仿宋_GB2312" w:hAnsi="仿宋_GB2312" w:eastAsia="仿宋_GB2312" w:cs="仿宋_GB2312"/>
          <w:b w:val="0"/>
          <w:i w:val="0"/>
          <w:caps w:val="0"/>
          <w:spacing w:val="0"/>
          <w:w w:val="100"/>
          <w:kern w:val="2"/>
          <w:sz w:val="32"/>
          <w:szCs w:val="32"/>
          <w:lang w:val="en-US" w:eastAsia="zh-CN" w:bidi="ar-SA"/>
        </w:rPr>
        <w:t>开展新冠病毒疫情相关商品价格监测，确保价格稳定；同时，着力发挥保障功能，助力疫情防控。截至8月，累计拨付新冠疫苗接种费用</w:t>
      </w:r>
      <w:r>
        <w:rPr>
          <w:rFonts w:hint="eastAsia" w:ascii="仿宋_GB2312" w:hAnsi="仿宋_GB2312" w:eastAsia="仿宋_GB2312" w:cs="仿宋_GB2312"/>
          <w:b w:val="0"/>
          <w:i w:val="0"/>
          <w:caps w:val="0"/>
          <w:color w:val="000000"/>
          <w:spacing w:val="0"/>
          <w:w w:val="100"/>
          <w:kern w:val="2"/>
          <w:sz w:val="32"/>
          <w:szCs w:val="32"/>
          <w:lang w:val="en-US" w:eastAsia="zh-CN" w:bidi="ar-SA"/>
        </w:rPr>
        <w:t>99.9964万元</w:t>
      </w:r>
      <w:r>
        <w:rPr>
          <w:rFonts w:hint="eastAsia" w:ascii="仿宋_GB2312" w:hAnsi="仿宋_GB2312" w:eastAsia="仿宋_GB2312" w:cs="仿宋_GB2312"/>
          <w:b w:val="0"/>
          <w:i w:val="0"/>
          <w:caps w:val="0"/>
          <w:spacing w:val="0"/>
          <w:w w:val="100"/>
          <w:kern w:val="2"/>
          <w:sz w:val="32"/>
          <w:szCs w:val="32"/>
          <w:lang w:val="en-US" w:eastAsia="zh-CN" w:bidi="ar-SA"/>
        </w:rPr>
        <w:t>。</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3" w:firstLineChars="200"/>
        <w:jc w:val="both"/>
        <w:textAlignment w:val="baseline"/>
        <w:rPr>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bCs/>
          <w:i w:val="0"/>
          <w:caps w:val="0"/>
          <w:color w:val="000000"/>
          <w:spacing w:val="0"/>
          <w:w w:val="100"/>
          <w:kern w:val="2"/>
          <w:sz w:val="32"/>
          <w:szCs w:val="32"/>
          <w:lang w:val="en-US" w:eastAsia="zh-CN" w:bidi="ar-SA"/>
        </w:rPr>
        <w:t>（11）紧贴基层群众，扎实开展“两联一进”。</w:t>
      </w:r>
      <w:r>
        <w:rPr>
          <w:rFonts w:hint="eastAsia" w:ascii="仿宋_GB2312" w:hAnsi="仿宋_GB2312" w:eastAsia="仿宋_GB2312" w:cs="仿宋_GB2312"/>
          <w:b/>
          <w:bCs/>
          <w:i w:val="0"/>
          <w:caps w:val="0"/>
          <w:spacing w:val="0"/>
          <w:w w:val="100"/>
          <w:kern w:val="2"/>
          <w:sz w:val="32"/>
          <w:szCs w:val="32"/>
          <w:lang w:val="en-US" w:eastAsia="zh-CN" w:bidi="ar-SA"/>
        </w:rPr>
        <w:t>一是</w:t>
      </w:r>
      <w:r>
        <w:rPr>
          <w:rFonts w:hint="eastAsia" w:ascii="仿宋_GB2312" w:hAnsi="仿宋_GB2312" w:eastAsia="仿宋_GB2312" w:cs="仿宋_GB2312"/>
          <w:b w:val="0"/>
          <w:i w:val="0"/>
          <w:caps w:val="0"/>
          <w:spacing w:val="0"/>
          <w:w w:val="100"/>
          <w:kern w:val="2"/>
          <w:sz w:val="32"/>
          <w:szCs w:val="32"/>
          <w:lang w:val="en-US" w:eastAsia="zh-CN" w:bidi="ar-SA"/>
        </w:rPr>
        <w:t>提事知情开展全覆盖走访，摸清基本情况。定期组织联系干部全覆盖走访联系户,对其所联系家庭的成员结构、经济来源、困难诉求和思想动态等情况进行全面摸排，做到提户知人、提人知事、提事知情。</w:t>
      </w:r>
      <w:r>
        <w:rPr>
          <w:rFonts w:hint="eastAsia" w:ascii="仿宋_GB2312" w:hAnsi="仿宋_GB2312" w:eastAsia="仿宋_GB2312" w:cs="仿宋_GB2312"/>
          <w:b/>
          <w:bCs/>
          <w:i w:val="0"/>
          <w:caps w:val="0"/>
          <w:spacing w:val="0"/>
          <w:w w:val="100"/>
          <w:kern w:val="2"/>
          <w:sz w:val="32"/>
          <w:szCs w:val="32"/>
          <w:lang w:val="en-US" w:eastAsia="zh-CN" w:bidi="ar-SA"/>
        </w:rPr>
        <w:t>二是</w:t>
      </w:r>
      <w:r>
        <w:rPr>
          <w:rFonts w:hint="eastAsia" w:ascii="仿宋_GB2312" w:hAnsi="仿宋_GB2312" w:eastAsia="仿宋_GB2312" w:cs="仿宋_GB2312"/>
          <w:b w:val="0"/>
          <w:i w:val="0"/>
          <w:caps w:val="0"/>
          <w:spacing w:val="0"/>
          <w:w w:val="100"/>
          <w:kern w:val="2"/>
          <w:sz w:val="32"/>
          <w:szCs w:val="32"/>
          <w:lang w:val="en-US" w:eastAsia="zh-CN" w:bidi="ar-SA"/>
        </w:rPr>
        <w:t>发挥部门主动性，解决群众困难。了解联系群众就医和用药情况，基本医保、大病保险、医疗救助等保障待遇落实情况，宣讲医保政策，进一步跟踪服务，加强帮扶，为联系群众提供力所能及的帮助。三是矛盾纠纷排查，促进和谐稳定。在走访慰问中，联系干部与联系群众交心交谈，坚持上群众门、见群众面、听群众声，排查问题隐患，建立问题隐患台账，把矛盾解决在萌芽状态。</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atLeast"/>
        <w:ind w:firstLine="640" w:firstLineChars="200"/>
        <w:jc w:val="both"/>
        <w:textAlignment w:val="baseline"/>
        <w:rPr>
          <w:rFonts w:hint="eastAsia" w:ascii="黑体" w:hAnsi="黑体" w:eastAsia="黑体" w:cs="黑体"/>
          <w:sz w:val="32"/>
          <w:szCs w:val="32"/>
          <w:shd w:val="clear" w:fill="FFFFFF"/>
        </w:rPr>
      </w:pPr>
      <w:r>
        <w:rPr>
          <w:rFonts w:hint="eastAsia" w:ascii="黑体" w:hAnsi="黑体" w:eastAsia="黑体" w:cs="黑体"/>
          <w:sz w:val="32"/>
          <w:szCs w:val="32"/>
          <w:shd w:val="clear" w:fill="FFFFFF"/>
        </w:rPr>
        <w:t>二、收入支出预算执行情况分析</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exact"/>
        <w:ind w:firstLine="643" w:firstLineChars="200"/>
        <w:jc w:val="both"/>
        <w:textAlignment w:val="baseline"/>
        <w:rPr>
          <w:rStyle w:val="13"/>
          <w:rFonts w:hint="eastAsia" w:ascii="楷体_GB2312" w:hAnsi="楷体_GB2312" w:eastAsia="楷体_GB2312" w:cs="楷体_GB2312"/>
          <w:b/>
          <w:bCs w:val="0"/>
          <w:sz w:val="32"/>
          <w:szCs w:val="32"/>
          <w:shd w:val="clear" w:fill="FFFFFF"/>
        </w:rPr>
      </w:pPr>
      <w:r>
        <w:rPr>
          <w:rStyle w:val="13"/>
          <w:rFonts w:hint="eastAsia" w:ascii="楷体_GB2312" w:hAnsi="楷体_GB2312" w:eastAsia="楷体_GB2312" w:cs="楷体_GB2312"/>
          <w:b/>
          <w:bCs w:val="0"/>
          <w:sz w:val="32"/>
          <w:szCs w:val="32"/>
          <w:shd w:val="clear" w:fill="FFFFFF"/>
        </w:rPr>
        <w:t>（一）收入支出预算安排情况</w:t>
      </w:r>
    </w:p>
    <w:p>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本单位本年度收入的年初预算数为473.15万元，上年度收入的年初预算数为461.66万元，差异为11.49万元；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各类保险基数调整，收入相应增加。</w:t>
      </w:r>
      <w:r>
        <w:rPr>
          <w:rFonts w:hint="eastAsia" w:ascii="仿宋_GB2312" w:hAnsi="仿宋_GB2312" w:eastAsia="仿宋_GB2312" w:cs="仿宋_GB2312"/>
          <w:sz w:val="32"/>
          <w:szCs w:val="32"/>
          <w:shd w:val="clear" w:fill="FFFFFF"/>
        </w:rPr>
        <w:t>本年度支出的年初预算数为 473.15万元，上年度支出的年初预算数为477.66万元，差异为-4.51万元；</w:t>
      </w:r>
      <w:r>
        <w:rPr>
          <w:rStyle w:val="13"/>
          <w:rFonts w:hint="eastAsia" w:ascii="仿宋_GB2312" w:hAnsi="仿宋_GB2312" w:eastAsia="仿宋_GB2312" w:cs="仿宋_GB2312"/>
          <w:b w:val="0"/>
          <w:bCs/>
          <w:sz w:val="32"/>
          <w:szCs w:val="32"/>
          <w:shd w:val="clear" w:fill="FFFFFF"/>
        </w:rPr>
        <w:t>主要原因为原因</w:t>
      </w:r>
      <w:r>
        <w:rPr>
          <w:rStyle w:val="13"/>
          <w:rFonts w:hint="eastAsia" w:ascii="仿宋_GB2312" w:hAnsi="仿宋_GB2312" w:eastAsia="仿宋_GB2312" w:cs="仿宋_GB2312"/>
          <w:b w:val="0"/>
          <w:bCs/>
          <w:sz w:val="32"/>
          <w:szCs w:val="32"/>
          <w:shd w:val="clear" w:fill="FFFFFF"/>
          <w:lang w:eastAsia="zh-CN"/>
        </w:rPr>
        <w:t>厉行节约，控制支出成本</w:t>
      </w:r>
      <w:r>
        <w:rPr>
          <w:rStyle w:val="13"/>
          <w:rFonts w:hint="eastAsia" w:ascii="仿宋_GB2312" w:hAnsi="仿宋_GB2312" w:eastAsia="仿宋_GB2312" w:cs="仿宋_GB2312"/>
          <w:b w:val="0"/>
          <w:bCs/>
          <w:sz w:val="32"/>
          <w:szCs w:val="32"/>
          <w:shd w:val="clear" w:fill="FFFFFF"/>
        </w:rPr>
        <w:t>。</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Style w:val="13"/>
          <w:rFonts w:hint="eastAsia" w:ascii="楷体_GB2312" w:hAnsi="楷体_GB2312" w:eastAsia="楷体_GB2312" w:cs="楷体_GB2312"/>
          <w:sz w:val="32"/>
          <w:szCs w:val="32"/>
          <w:shd w:val="clear" w:fill="FFFFFF"/>
          <w:lang w:eastAsia="zh-CN"/>
        </w:rPr>
      </w:pPr>
      <w:r>
        <w:rPr>
          <w:rStyle w:val="13"/>
          <w:rFonts w:hint="eastAsia" w:ascii="楷体_GB2312" w:hAnsi="楷体_GB2312" w:eastAsia="楷体_GB2312" w:cs="楷体_GB2312"/>
          <w:sz w:val="32"/>
          <w:szCs w:val="32"/>
          <w:shd w:val="clear" w:fill="FFFFFF"/>
          <w:lang w:eastAsia="zh-CN"/>
        </w:rPr>
        <w:drawing>
          <wp:inline distT="0" distB="0" distL="114300" distR="114300">
            <wp:extent cx="4690745" cy="2516505"/>
            <wp:effectExtent l="4445" t="5080" r="10160" b="1206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2" w:firstLineChars="200"/>
        <w:jc w:val="both"/>
        <w:rPr>
          <w:rStyle w:val="13"/>
          <w:rFonts w:hint="eastAsia" w:ascii="宋体" w:hAnsi="宋体" w:eastAsia="宋体" w:cs="宋体"/>
          <w:sz w:val="24"/>
          <w:szCs w:val="24"/>
          <w:shd w:val="clear" w:fill="FFFFFF"/>
          <w:lang w:eastAsia="zh-CN"/>
        </w:rPr>
      </w:pPr>
      <w:r>
        <w:rPr>
          <w:rStyle w:val="13"/>
          <w:rFonts w:hint="eastAsia" w:ascii="宋体" w:hAnsi="宋体" w:eastAsia="宋体" w:cs="宋体"/>
          <w:sz w:val="24"/>
          <w:szCs w:val="24"/>
          <w:shd w:val="clear" w:fill="FFFFFF"/>
          <w:lang w:eastAsia="zh-CN"/>
        </w:rPr>
        <w:t>（</w:t>
      </w:r>
      <w:r>
        <w:rPr>
          <w:rStyle w:val="13"/>
          <w:rFonts w:hint="eastAsia" w:ascii="宋体" w:hAnsi="宋体" w:eastAsia="宋体" w:cs="宋体"/>
          <w:sz w:val="24"/>
          <w:szCs w:val="24"/>
          <w:shd w:val="clear" w:fill="FFFFFF"/>
          <w:lang w:val="en-US" w:eastAsia="zh-CN"/>
        </w:rPr>
        <w:t>2021年、2022年财政拨款收入、支出对比表  单位：万元</w:t>
      </w:r>
      <w:r>
        <w:rPr>
          <w:rStyle w:val="13"/>
          <w:rFonts w:hint="eastAsia" w:ascii="宋体" w:hAnsi="宋体" w:eastAsia="宋体" w:cs="宋体"/>
          <w:sz w:val="24"/>
          <w:szCs w:val="24"/>
          <w:shd w:val="clear" w:fill="FFFFFF"/>
          <w:lang w:eastAsia="zh-CN"/>
        </w:rPr>
        <w:t>）</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643" w:firstLineChars="200"/>
        <w:jc w:val="both"/>
        <w:textAlignment w:val="auto"/>
        <w:rPr>
          <w:rFonts w:hint="eastAsia" w:ascii="仿宋_GB2312" w:hAnsi="仿宋_GB2312" w:eastAsia="仿宋_GB2312" w:cs="仿宋_GB2312"/>
          <w:sz w:val="32"/>
          <w:szCs w:val="32"/>
        </w:rPr>
      </w:pPr>
      <w:r>
        <w:rPr>
          <w:rStyle w:val="13"/>
          <w:rFonts w:hint="eastAsia" w:ascii="楷体_GB2312" w:hAnsi="楷体_GB2312" w:eastAsia="楷体_GB2312" w:cs="楷体_GB2312"/>
          <w:sz w:val="32"/>
          <w:szCs w:val="32"/>
          <w:shd w:val="clear" w:fill="FFFFFF"/>
        </w:rPr>
        <w:t>（二）收入支出预算执行情况。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本单位本年度收入全年预算数为671.74万元，收入决算数为671.74万元，预算完成度为100.00%，上年度预算完成度为100.00%。 本年度支出全年预算数为671.74万元，支出决算数为671.74万元，预算完成度为100.00%，上年度预算完成度为100.00%。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Style w:val="13"/>
          <w:rFonts w:hint="eastAsia" w:ascii="仿宋_GB2312" w:hAnsi="仿宋_GB2312" w:eastAsia="仿宋_GB2312" w:cs="仿宋_GB2312"/>
          <w:sz w:val="32"/>
          <w:szCs w:val="32"/>
          <w:shd w:val="clear" w:fill="FFFFFF"/>
          <w:lang w:eastAsia="zh-CN"/>
        </w:rPr>
      </w:pPr>
      <w:r>
        <w:rPr>
          <w:rStyle w:val="13"/>
          <w:rFonts w:hint="eastAsia" w:ascii="仿宋_GB2312" w:hAnsi="仿宋_GB2312" w:eastAsia="仿宋_GB2312" w:cs="仿宋_GB2312"/>
          <w:sz w:val="32"/>
          <w:szCs w:val="32"/>
          <w:shd w:val="clear" w:fill="FFFFFF"/>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2" w:firstLineChars="200"/>
        <w:jc w:val="both"/>
        <w:rPr>
          <w:rStyle w:val="13"/>
          <w:rFonts w:hint="eastAsia" w:ascii="仿宋_GB2312" w:hAnsi="仿宋_GB2312" w:eastAsia="仿宋_GB2312" w:cs="仿宋_GB2312"/>
          <w:sz w:val="32"/>
          <w:szCs w:val="32"/>
          <w:shd w:val="clear" w:fill="FFFFFF"/>
          <w:lang w:eastAsia="zh-CN"/>
        </w:rPr>
      </w:pPr>
      <w:r>
        <w:rPr>
          <w:rStyle w:val="13"/>
          <w:rFonts w:hint="eastAsia" w:ascii="宋体" w:hAnsi="宋体" w:eastAsia="宋体" w:cs="宋体"/>
          <w:sz w:val="24"/>
          <w:szCs w:val="24"/>
          <w:shd w:val="clear" w:fill="FFFFFF"/>
          <w:lang w:eastAsia="zh-CN"/>
        </w:rPr>
        <w:t>（</w:t>
      </w:r>
      <w:r>
        <w:rPr>
          <w:rStyle w:val="13"/>
          <w:rFonts w:hint="eastAsia" w:ascii="宋体" w:hAnsi="宋体" w:eastAsia="宋体" w:cs="宋体"/>
          <w:sz w:val="24"/>
          <w:szCs w:val="24"/>
          <w:shd w:val="clear" w:fill="FFFFFF"/>
          <w:lang w:val="en-US" w:eastAsia="zh-CN"/>
        </w:rPr>
        <w:t>2022年预、决算收入、支出对比表</w:t>
      </w:r>
      <w:r>
        <w:rPr>
          <w:rStyle w:val="13"/>
          <w:rFonts w:hint="eastAsia" w:ascii="宋体" w:hAnsi="宋体" w:eastAsia="宋体" w:cs="宋体"/>
          <w:sz w:val="24"/>
          <w:szCs w:val="24"/>
          <w:shd w:val="clear" w:fill="FFFFFF"/>
          <w:lang w:eastAsia="zh-CN"/>
        </w:rPr>
        <w:t>）</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lang w:val="en-US" w:eastAsia="zh-CN"/>
        </w:rPr>
        <w:t>1.</w:t>
      </w:r>
      <w:r>
        <w:rPr>
          <w:rStyle w:val="13"/>
          <w:rFonts w:hint="eastAsia" w:ascii="仿宋_GB2312" w:hAnsi="仿宋_GB2312" w:eastAsia="仿宋_GB2312" w:cs="仿宋_GB2312"/>
          <w:sz w:val="32"/>
          <w:szCs w:val="32"/>
          <w:shd w:val="clear" w:fill="FFFFFF"/>
        </w:rPr>
        <w:t>收入支出与预算对比分析。</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年度年初预算收入</w:t>
      </w:r>
      <w:r>
        <w:rPr>
          <w:rFonts w:hint="eastAsia" w:ascii="仿宋_GB2312" w:hAnsi="宋体" w:eastAsia="仿宋_GB2312" w:cs="仿宋_GB2312"/>
          <w:kern w:val="0"/>
          <w:sz w:val="32"/>
          <w:szCs w:val="32"/>
          <w:lang w:val="en-US" w:eastAsia="zh-CN"/>
        </w:rPr>
        <w:t>473.15</w:t>
      </w:r>
      <w:r>
        <w:rPr>
          <w:rFonts w:hint="eastAsia" w:ascii="仿宋_GB2312" w:hAnsi="宋体" w:eastAsia="仿宋_GB2312" w:cs="仿宋_GB2312"/>
          <w:kern w:val="0"/>
          <w:sz w:val="32"/>
          <w:szCs w:val="32"/>
        </w:rPr>
        <w:t>万元，实际收入</w:t>
      </w:r>
      <w:r>
        <w:rPr>
          <w:rFonts w:hint="eastAsia" w:ascii="仿宋_GB2312" w:hAnsi="宋体" w:eastAsia="仿宋_GB2312" w:cs="仿宋_GB2312"/>
          <w:kern w:val="0"/>
          <w:sz w:val="32"/>
          <w:szCs w:val="32"/>
          <w:lang w:val="en-US" w:eastAsia="zh-CN"/>
        </w:rPr>
        <w:t>671.74</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198.59万元。</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年度年初预算支出</w:t>
      </w:r>
      <w:r>
        <w:rPr>
          <w:rFonts w:hint="eastAsia" w:ascii="仿宋_GB2312" w:hAnsi="宋体" w:eastAsia="仿宋_GB2312" w:cs="仿宋_GB2312"/>
          <w:kern w:val="0"/>
          <w:sz w:val="32"/>
          <w:szCs w:val="32"/>
          <w:lang w:val="en-US" w:eastAsia="zh-CN"/>
        </w:rPr>
        <w:t>341.76</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496.33</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154.57万元</w:t>
      </w:r>
      <w:r>
        <w:rPr>
          <w:rFonts w:hint="eastAsia" w:ascii="仿宋_GB2312" w:hAnsi="宋体" w:eastAsia="仿宋_GB2312" w:cs="仿宋_GB2312"/>
          <w:kern w:val="0"/>
          <w:sz w:val="32"/>
          <w:szCs w:val="32"/>
        </w:rPr>
        <w:t>，按基本支出分类：人员经费年初预算数</w:t>
      </w:r>
      <w:r>
        <w:rPr>
          <w:rFonts w:hint="eastAsia" w:ascii="仿宋_GB2312" w:hAnsi="宋体" w:eastAsia="仿宋_GB2312" w:cs="仿宋_GB2312"/>
          <w:kern w:val="0"/>
          <w:sz w:val="32"/>
          <w:szCs w:val="32"/>
          <w:lang w:val="en-US" w:eastAsia="zh-CN"/>
        </w:rPr>
        <w:t>311.66</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448.53</w:t>
      </w:r>
      <w:r>
        <w:rPr>
          <w:rFonts w:hint="eastAsia" w:ascii="仿宋_GB2312" w:hAnsi="宋体" w:eastAsia="仿宋_GB2312" w:cs="仿宋_GB2312"/>
          <w:kern w:val="0"/>
          <w:sz w:val="32"/>
          <w:szCs w:val="32"/>
        </w:rPr>
        <w:t>万元；公用经费年初预算数</w:t>
      </w:r>
      <w:r>
        <w:rPr>
          <w:rFonts w:hint="eastAsia" w:ascii="仿宋_GB2312" w:hAnsi="宋体" w:eastAsia="仿宋_GB2312" w:cs="仿宋_GB2312"/>
          <w:kern w:val="0"/>
          <w:sz w:val="32"/>
          <w:szCs w:val="32"/>
          <w:lang w:val="en-US" w:eastAsia="zh-CN"/>
        </w:rPr>
        <w:t>30.10</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47.80</w:t>
      </w:r>
      <w:r>
        <w:rPr>
          <w:rFonts w:hint="eastAsia" w:ascii="仿宋_GB2312" w:hAnsi="宋体" w:eastAsia="仿宋_GB2312" w:cs="仿宋_GB2312"/>
          <w:kern w:val="0"/>
          <w:sz w:val="32"/>
          <w:szCs w:val="32"/>
        </w:rPr>
        <w:t>万；项目支出年初预算数</w:t>
      </w:r>
      <w:r>
        <w:rPr>
          <w:rFonts w:hint="eastAsia" w:ascii="仿宋_GB2312" w:hAnsi="宋体" w:eastAsia="仿宋_GB2312" w:cs="仿宋_GB2312"/>
          <w:kern w:val="0"/>
          <w:sz w:val="32"/>
          <w:szCs w:val="32"/>
          <w:lang w:val="en-US" w:eastAsia="zh-CN"/>
        </w:rPr>
        <w:t>131.39</w:t>
      </w:r>
      <w:r>
        <w:rPr>
          <w:rFonts w:hint="eastAsia" w:ascii="仿宋_GB2312" w:hAnsi="宋体" w:eastAsia="仿宋_GB2312" w:cs="仿宋_GB2312"/>
          <w:kern w:val="0"/>
          <w:sz w:val="32"/>
          <w:szCs w:val="32"/>
        </w:rPr>
        <w:t>万元，实际支出</w:t>
      </w:r>
      <w:r>
        <w:rPr>
          <w:rFonts w:hint="eastAsia" w:ascii="仿宋_GB2312" w:hAnsi="宋体" w:eastAsia="仿宋_GB2312" w:cs="仿宋_GB2312"/>
          <w:kern w:val="0"/>
          <w:sz w:val="32"/>
          <w:szCs w:val="32"/>
          <w:lang w:val="en-US" w:eastAsia="zh-CN"/>
        </w:rPr>
        <w:t>175.41</w:t>
      </w:r>
      <w:r>
        <w:rPr>
          <w:rFonts w:hint="eastAsia" w:ascii="仿宋_GB2312" w:hAnsi="宋体" w:eastAsia="仿宋_GB2312" w:cs="仿宋_GB2312"/>
          <w:kern w:val="0"/>
          <w:sz w:val="32"/>
          <w:szCs w:val="32"/>
        </w:rPr>
        <w:t>万元。差异原因分析：1.202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年保险及住房公积金基数上调。</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城乡居民建档立卡贫困人员政府全额代缴</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城乡居民</w:t>
      </w:r>
      <w:r>
        <w:rPr>
          <w:rFonts w:hint="eastAsia" w:ascii="仿宋_GB2312" w:hAnsi="宋体" w:eastAsia="仿宋_GB2312" w:cs="仿宋_GB2312"/>
          <w:kern w:val="0"/>
          <w:sz w:val="32"/>
          <w:szCs w:val="32"/>
          <w:lang w:eastAsia="zh-CN"/>
        </w:rPr>
        <w:t>县级配套、医保专项</w:t>
      </w:r>
      <w:r>
        <w:rPr>
          <w:rFonts w:hint="eastAsia" w:ascii="仿宋_GB2312" w:hAnsi="宋体" w:eastAsia="仿宋_GB2312" w:cs="仿宋_GB2312"/>
          <w:kern w:val="0"/>
          <w:sz w:val="32"/>
          <w:szCs w:val="32"/>
        </w:rPr>
        <w:t>基金从大平台拨付至城乡居民基金收入户。</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城乡居民建档立卡贫困人员政府全额代缴</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城乡居民</w:t>
      </w:r>
      <w:r>
        <w:rPr>
          <w:rFonts w:hint="eastAsia" w:ascii="仿宋_GB2312" w:hAnsi="宋体" w:eastAsia="仿宋_GB2312" w:cs="仿宋_GB2312"/>
          <w:kern w:val="0"/>
          <w:sz w:val="32"/>
          <w:szCs w:val="32"/>
          <w:lang w:eastAsia="zh-CN"/>
        </w:rPr>
        <w:t>县级配套、医保专项</w:t>
      </w:r>
      <w:r>
        <w:rPr>
          <w:rFonts w:hint="eastAsia" w:ascii="仿宋_GB2312" w:hAnsi="宋体" w:eastAsia="仿宋_GB2312" w:cs="仿宋_GB2312"/>
          <w:kern w:val="0"/>
          <w:sz w:val="32"/>
          <w:szCs w:val="32"/>
        </w:rPr>
        <w:t>基金列入202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年初预算中。</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2．收入支出结构分析。</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Style w:val="13"/>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（1）本单位本年度总收入为671.74万元。其中：一般公共预算财政拨款收入为671.74万元，占比100.00%；</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本年度总支出为671.74万元。其中：社会保障和就业支出为61.05万元，占比9.09%；卫生健康支出为578.28万元，占比86.09%；住房保障支出为32.40万元，占比4.82%；</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3" w:firstLineChars="200"/>
        <w:jc w:val="both"/>
        <w:rPr>
          <w:rStyle w:val="13"/>
          <w:rFonts w:hint="eastAsia" w:ascii="仿宋_GB2312" w:hAnsi="仿宋_GB2312" w:eastAsia="仿宋_GB2312" w:cs="仿宋_GB2312"/>
          <w:sz w:val="32"/>
          <w:szCs w:val="32"/>
          <w:shd w:val="clear" w:fill="FFFFFF"/>
          <w:lang w:eastAsia="zh-CN"/>
        </w:rPr>
      </w:pPr>
      <w:r>
        <w:rPr>
          <w:rStyle w:val="13"/>
          <w:rFonts w:hint="eastAsia" w:ascii="仿宋_GB2312" w:hAnsi="仿宋_GB2312" w:eastAsia="仿宋_GB2312" w:cs="仿宋_GB2312"/>
          <w:sz w:val="32"/>
          <w:szCs w:val="32"/>
          <w:shd w:val="clear" w:fill="FFFFFF"/>
          <w:lang w:eastAsia="zh-CN"/>
        </w:rPr>
        <w:drawing>
          <wp:inline distT="0" distB="0" distL="114300" distR="114300">
            <wp:extent cx="4585335" cy="2543810"/>
            <wp:effectExtent l="4445" t="4445" r="20320" b="234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480" w:firstLineChars="200"/>
        <w:jc w:val="both"/>
        <w:rPr>
          <w:rFonts w:hint="eastAsia" w:ascii="宋体" w:hAnsi="宋体" w:eastAsia="宋体" w:cs="宋体"/>
          <w:sz w:val="24"/>
          <w:szCs w:val="24"/>
          <w:shd w:val="clear" w:fill="FFFFFF"/>
          <w:lang w:eastAsia="zh-CN"/>
        </w:rPr>
      </w:pPr>
      <w:r>
        <w:rPr>
          <w:rFonts w:hint="eastAsia" w:ascii="宋体" w:hAnsi="宋体" w:eastAsia="宋体" w:cs="宋体"/>
          <w:sz w:val="24"/>
          <w:szCs w:val="24"/>
          <w:shd w:val="clear" w:fill="FFFFFF"/>
          <w:lang w:eastAsia="zh-CN"/>
        </w:rPr>
        <w:t>（</w:t>
      </w:r>
      <w:r>
        <w:rPr>
          <w:rFonts w:hint="eastAsia" w:ascii="宋体" w:hAnsi="宋体" w:eastAsia="宋体" w:cs="宋体"/>
          <w:sz w:val="24"/>
          <w:szCs w:val="24"/>
          <w:shd w:val="clear" w:fill="FFFFFF"/>
          <w:lang w:val="en-US" w:eastAsia="zh-CN"/>
        </w:rPr>
        <w:t>2022年财政拨款支出比例表</w:t>
      </w:r>
      <w:r>
        <w:rPr>
          <w:rFonts w:hint="eastAsia" w:ascii="宋体" w:hAnsi="宋体" w:eastAsia="宋体" w:cs="宋体"/>
          <w:sz w:val="24"/>
          <w:szCs w:val="24"/>
          <w:shd w:val="clear" w:fill="FFFFFF"/>
          <w:lang w:eastAsia="zh-CN"/>
        </w:rPr>
        <w:t>）</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（2）本年度一般公共预算财政拨款收入相比上年度增加120.36万元，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本年度保险等基数调整，新购入</w:t>
      </w:r>
      <w:r>
        <w:rPr>
          <w:rStyle w:val="13"/>
          <w:rFonts w:hint="eastAsia" w:ascii="仿宋_GB2312" w:hAnsi="仿宋_GB2312" w:eastAsia="仿宋_GB2312" w:cs="仿宋_GB2312"/>
          <w:b w:val="0"/>
          <w:bCs/>
          <w:sz w:val="32"/>
          <w:szCs w:val="32"/>
          <w:shd w:val="clear" w:fill="FFFFFF"/>
          <w:lang w:val="en-US" w:eastAsia="zh-CN"/>
        </w:rPr>
        <w:t>1辆公务用车</w:t>
      </w:r>
      <w:r>
        <w:rPr>
          <w:rFonts w:hint="eastAsia" w:ascii="仿宋_GB2312" w:hAnsi="仿宋_GB2312" w:eastAsia="仿宋_GB2312" w:cs="仿宋_GB2312"/>
          <w:sz w:val="32"/>
          <w:szCs w:val="32"/>
          <w:shd w:val="clear" w:fill="FFFFFF"/>
        </w:rPr>
        <w:t>；本年度一般公共服务支出相比上年度增加-18.10万元，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厉行节约，控制成本</w:t>
      </w:r>
      <w:r>
        <w:rPr>
          <w:rFonts w:hint="eastAsia" w:ascii="仿宋_GB2312" w:hAnsi="仿宋_GB2312" w:eastAsia="仿宋_GB2312" w:cs="仿宋_GB2312"/>
          <w:sz w:val="32"/>
          <w:szCs w:val="32"/>
          <w:shd w:val="clear" w:fill="FFFFFF"/>
        </w:rPr>
        <w:t>，社会保障和就业支出相比上年度增加-425.96万元，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厉行节约</w:t>
      </w:r>
      <w:r>
        <w:rPr>
          <w:rFonts w:hint="eastAsia" w:ascii="仿宋_GB2312" w:hAnsi="仿宋_GB2312" w:eastAsia="仿宋_GB2312" w:cs="仿宋_GB2312"/>
          <w:sz w:val="32"/>
          <w:szCs w:val="32"/>
          <w:shd w:val="clear" w:fill="FFFFFF"/>
        </w:rPr>
        <w:t>；卫生健康支出相比上年度增加545.54万元，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城乡居民建档立卡贫困人员政府全额代缴、县级配套、医保专项业务费列入年初预算中</w:t>
      </w:r>
      <w:r>
        <w:rPr>
          <w:rFonts w:hint="eastAsia" w:ascii="仿宋_GB2312" w:hAnsi="仿宋_GB2312" w:eastAsia="仿宋_GB2312" w:cs="仿宋_GB2312"/>
          <w:sz w:val="32"/>
          <w:szCs w:val="32"/>
          <w:shd w:val="clear" w:fill="FFFFFF"/>
        </w:rPr>
        <w:t>；住房保障支出相比上年度增加4.99万元，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公积金基数调整</w:t>
      </w:r>
      <w:r>
        <w:rPr>
          <w:rFonts w:hint="eastAsia" w:ascii="仿宋_GB2312" w:hAnsi="仿宋_GB2312" w:eastAsia="仿宋_GB2312" w:cs="仿宋_GB2312"/>
          <w:sz w:val="32"/>
          <w:szCs w:val="32"/>
          <w:shd w:val="clear" w:fill="FFFFFF"/>
          <w:lang w:eastAsia="zh-CN"/>
        </w:rPr>
        <w:t>。</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3</w:t>
      </w:r>
      <w:r>
        <w:rPr>
          <w:rStyle w:val="13"/>
          <w:rFonts w:hint="eastAsia" w:ascii="仿宋_GB2312" w:hAnsi="仿宋_GB2312" w:eastAsia="仿宋_GB2312" w:cs="仿宋_GB2312"/>
          <w:sz w:val="32"/>
          <w:szCs w:val="32"/>
          <w:shd w:val="clear" w:fill="FFFFFF"/>
          <w:lang w:eastAsia="zh-CN"/>
        </w:rPr>
        <w:t>.</w:t>
      </w:r>
      <w:r>
        <w:rPr>
          <w:rStyle w:val="13"/>
          <w:rFonts w:hint="eastAsia" w:ascii="仿宋_GB2312" w:hAnsi="仿宋_GB2312" w:eastAsia="仿宋_GB2312" w:cs="仿宋_GB2312"/>
          <w:sz w:val="32"/>
          <w:szCs w:val="32"/>
          <w:shd w:val="clear" w:fill="FFFFFF"/>
        </w:rPr>
        <w:t>支出按经济分类科目分析。</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1）“三公”经费支出情况：本单位本年度“三公”经费支出决算数为44.60万元。其中:因公出国（境）费支出决算数为0.00万元，相比上年度增加0.00万元，公务用车购置及运行维护费支出决算数为44.28万元，相比上年度增加39.08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val="en-US" w:eastAsia="zh-CN"/>
        </w:rPr>
        <w:t>7月我局新购入1辆公务用车</w:t>
      </w:r>
      <w:r>
        <w:rPr>
          <w:rFonts w:hint="eastAsia" w:ascii="仿宋_GB2312" w:hAnsi="仿宋_GB2312" w:eastAsia="仿宋_GB2312" w:cs="仿宋_GB2312"/>
          <w:sz w:val="32"/>
          <w:szCs w:val="32"/>
          <w:shd w:val="clear" w:fill="FFFFFF"/>
        </w:rPr>
        <w:t>；公务接待费支出决算数为0.32万元，相比上年度增加0.02万元，</w:t>
      </w:r>
      <w:r>
        <w:rPr>
          <w:rStyle w:val="13"/>
          <w:rFonts w:hint="eastAsia" w:ascii="仿宋_GB2312" w:hAnsi="仿宋_GB2312" w:eastAsia="仿宋_GB2312" w:cs="仿宋_GB2312"/>
          <w:b w:val="0"/>
          <w:bCs/>
          <w:sz w:val="32"/>
          <w:szCs w:val="32"/>
          <w:shd w:val="clear" w:fill="FFFFFF"/>
        </w:rPr>
        <w:t>主要原因为</w:t>
      </w:r>
      <w:r>
        <w:rPr>
          <w:rStyle w:val="13"/>
          <w:rFonts w:hint="eastAsia" w:ascii="仿宋_GB2312" w:hAnsi="仿宋_GB2312" w:eastAsia="仿宋_GB2312" w:cs="仿宋_GB2312"/>
          <w:b w:val="0"/>
          <w:bCs/>
          <w:sz w:val="32"/>
          <w:szCs w:val="32"/>
          <w:shd w:val="clear" w:fill="FFFFFF"/>
          <w:lang w:eastAsia="zh-CN"/>
        </w:rPr>
        <w:t>接待人数增加</w:t>
      </w:r>
      <w:r>
        <w:rPr>
          <w:rFonts w:hint="eastAsia" w:ascii="仿宋_GB2312" w:hAnsi="仿宋_GB2312" w:eastAsia="仿宋_GB2312" w:cs="仿宋_GB2312"/>
          <w:sz w:val="32"/>
          <w:szCs w:val="32"/>
          <w:shd w:val="clear" w:fill="FFFFFF"/>
        </w:rPr>
        <w:t>。本年度“三公”经费支出预算数为44.60万元，决算数为44.60万元，预算完成度为100.00%。本年度因公出国（境）费人均支出为0.00万元，公务用车购置及运行维护费人均支出为2.01万元，公务接待费人均支出为0.01万元。（2）会议费支出情况：本单位本年度会议费支出决算数为0.00万元，相比上年度增加0.00万元</w:t>
      </w:r>
      <w:r>
        <w:rPr>
          <w:rFonts w:hint="eastAsia" w:ascii="仿宋_GB2312" w:hAnsi="仿宋_GB2312" w:eastAsia="仿宋_GB2312" w:cs="仿宋_GB2312"/>
          <w:sz w:val="32"/>
          <w:szCs w:val="32"/>
          <w:shd w:val="clear" w:fill="FFFFFF"/>
          <w:lang w:eastAsia="zh-CN"/>
        </w:rPr>
        <w:t>。</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（3）培训费支出情况：本单位本年度培训费支出决算数为0.00万元，相比上年度增加0.00万元。</w:t>
      </w:r>
    </w:p>
    <w:tbl>
      <w:tblPr>
        <w:tblStyle w:val="11"/>
        <w:tblW w:w="8522"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420"/>
        <w:gridCol w:w="1420"/>
        <w:gridCol w:w="1420"/>
        <w:gridCol w:w="1420"/>
        <w:gridCol w:w="1091"/>
        <w:gridCol w:w="17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公车运行</w:t>
            </w: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出国境</w:t>
            </w: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公务接待</w:t>
            </w:r>
          </w:p>
        </w:tc>
        <w:tc>
          <w:tcPr>
            <w:tcW w:w="1091"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会议费</w:t>
            </w:r>
          </w:p>
        </w:tc>
        <w:tc>
          <w:tcPr>
            <w:tcW w:w="1751"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培训费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w:t>
            </w: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44.28</w:t>
            </w: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c>
          <w:tcPr>
            <w:tcW w:w="1420"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0.32</w:t>
            </w:r>
          </w:p>
        </w:tc>
        <w:tc>
          <w:tcPr>
            <w:tcW w:w="1091"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c>
          <w:tcPr>
            <w:tcW w:w="1751"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0</w:t>
            </w:r>
          </w:p>
        </w:tc>
      </w:tr>
    </w:tbl>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shd w:val="clear" w:fill="FFFFFF"/>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（4）其他对单位影响较大的支出情况。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Style w:val="13"/>
          <w:rFonts w:hint="eastAsia" w:ascii="仿宋_GB2312" w:hAnsi="仿宋_GB2312" w:eastAsia="仿宋_GB2312" w:cs="仿宋_GB2312"/>
          <w:b w:val="0"/>
          <w:bCs/>
          <w:sz w:val="32"/>
          <w:szCs w:val="32"/>
          <w:shd w:val="clear" w:fill="FFFFFF"/>
          <w:lang w:eastAsia="zh-CN"/>
        </w:rPr>
      </w:pPr>
      <w:r>
        <w:rPr>
          <w:rStyle w:val="13"/>
          <w:rFonts w:hint="eastAsia" w:ascii="仿宋_GB2312" w:hAnsi="仿宋_GB2312" w:eastAsia="仿宋_GB2312" w:cs="仿宋_GB2312"/>
          <w:b w:val="0"/>
          <w:bCs/>
          <w:sz w:val="32"/>
          <w:szCs w:val="32"/>
          <w:shd w:val="clear" w:fill="FFFFFF"/>
          <w:lang w:eastAsia="zh-CN"/>
        </w:rPr>
        <w:t>无</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（5）重点经济分类支出中存在的问题及改进措施。</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Style w:val="13"/>
          <w:rFonts w:hint="eastAsia" w:ascii="仿宋_GB2312" w:hAnsi="仿宋_GB2312" w:eastAsia="仿宋_GB2312" w:cs="仿宋_GB2312"/>
          <w:b w:val="0"/>
          <w:bCs/>
          <w:sz w:val="32"/>
          <w:szCs w:val="32"/>
          <w:shd w:val="clear" w:fill="FFFFFF"/>
          <w:lang w:eastAsia="zh-CN"/>
        </w:rPr>
      </w:pPr>
      <w:r>
        <w:rPr>
          <w:rStyle w:val="13"/>
          <w:rFonts w:hint="eastAsia" w:ascii="仿宋_GB2312" w:hAnsi="仿宋_GB2312" w:eastAsia="仿宋_GB2312" w:cs="仿宋_GB2312"/>
          <w:b w:val="0"/>
          <w:bCs/>
          <w:sz w:val="32"/>
          <w:szCs w:val="32"/>
          <w:shd w:val="clear" w:fill="FFFFFF"/>
          <w:lang w:eastAsia="zh-CN"/>
        </w:rPr>
        <w:t>无</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4.财政拨款收入、支出分析。</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本单位本年度财政拨款收入为671.74万元，财政拨款支出为671.74万元，其中：基本支出中人员经费支出为448.53万元，公用经费支出为47.80万元。项目支出中基本建设类项目支出为0.00万元，</w:t>
      </w:r>
      <w:r>
        <w:rPr>
          <w:rFonts w:hint="eastAsia" w:ascii="仿宋_GB2312" w:hAnsi="宋体" w:eastAsia="仿宋_GB2312" w:cs="仿宋_GB2312"/>
          <w:kern w:val="0"/>
          <w:sz w:val="32"/>
          <w:szCs w:val="32"/>
          <w:shd w:val="clear" w:fill="FFFFFF"/>
        </w:rPr>
        <w:t>主要用于日常运转。</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3" w:firstLineChars="200"/>
        <w:jc w:val="both"/>
        <w:textAlignment w:val="auto"/>
        <w:rPr>
          <w:rFonts w:hint="eastAsia" w:ascii="楷体_GB2312" w:hAnsi="楷体_GB2312" w:eastAsia="楷体_GB2312" w:cs="楷体_GB2312"/>
          <w:sz w:val="32"/>
          <w:szCs w:val="32"/>
        </w:rPr>
      </w:pPr>
      <w:r>
        <w:rPr>
          <w:rStyle w:val="13"/>
          <w:rFonts w:hint="eastAsia" w:ascii="楷体_GB2312" w:hAnsi="楷体_GB2312" w:eastAsia="楷体_GB2312" w:cs="楷体_GB2312"/>
          <w:sz w:val="32"/>
          <w:szCs w:val="32"/>
          <w:shd w:val="clear" w:fill="FFFFFF"/>
        </w:rPr>
        <w:t>（三）年末结转和结余情况。</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2022年年末无结转结余资金。</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3" w:firstLineChars="200"/>
        <w:jc w:val="both"/>
        <w:textAlignment w:val="auto"/>
        <w:rPr>
          <w:rFonts w:hint="eastAsia" w:ascii="楷体_GB2312" w:hAnsi="楷体_GB2312" w:eastAsia="楷体_GB2312" w:cs="楷体_GB2312"/>
          <w:sz w:val="32"/>
          <w:szCs w:val="32"/>
        </w:rPr>
      </w:pPr>
      <w:r>
        <w:rPr>
          <w:rStyle w:val="13"/>
          <w:rFonts w:hint="eastAsia" w:ascii="楷体_GB2312" w:hAnsi="楷体_GB2312" w:eastAsia="楷体_GB2312" w:cs="楷体_GB2312"/>
          <w:sz w:val="32"/>
          <w:szCs w:val="32"/>
          <w:shd w:val="clear" w:fill="FFFFFF"/>
        </w:rPr>
        <w:t>（四）与预算支出相关的其他指标分析。</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202</w:t>
      </w:r>
      <w:r>
        <w:rPr>
          <w:rFonts w:hint="eastAsia" w:ascii="仿宋_GB2312" w:eastAsia="仿宋_GB2312" w:cs="仿宋_GB2312"/>
          <w:kern w:val="0"/>
          <w:sz w:val="32"/>
          <w:szCs w:val="32"/>
          <w:lang w:val="en-US" w:eastAsia="zh-CN"/>
        </w:rPr>
        <w:t>2</w:t>
      </w:r>
      <w:r>
        <w:rPr>
          <w:rFonts w:hint="eastAsia" w:ascii="仿宋_GB2312" w:hAnsi="宋体" w:eastAsia="仿宋_GB2312" w:cs="仿宋_GB2312"/>
          <w:kern w:val="0"/>
          <w:sz w:val="32"/>
          <w:szCs w:val="32"/>
        </w:rPr>
        <w:t>年末单位资产</w:t>
      </w:r>
      <w:r>
        <w:rPr>
          <w:rFonts w:hint="eastAsia" w:ascii="仿宋_GB2312" w:eastAsia="仿宋_GB2312" w:cs="仿宋_GB2312"/>
          <w:kern w:val="0"/>
          <w:sz w:val="32"/>
          <w:szCs w:val="32"/>
          <w:lang w:val="en-US" w:eastAsia="zh-CN"/>
        </w:rPr>
        <w:t>1487120.60</w:t>
      </w:r>
      <w:r>
        <w:rPr>
          <w:rFonts w:hint="eastAsia" w:ascii="仿宋_GB2312" w:hAnsi="宋体" w:eastAsia="仿宋_GB2312" w:cs="仿宋_GB2312"/>
          <w:kern w:val="0"/>
          <w:sz w:val="32"/>
          <w:szCs w:val="32"/>
        </w:rPr>
        <w:t>元，其中库存现金0元</w:t>
      </w:r>
      <w:r>
        <w:rPr>
          <w:rFonts w:hint="eastAsia" w:ascii="仿宋_GB2312" w:eastAsia="仿宋_GB2312" w:cs="仿宋_GB2312"/>
          <w:kern w:val="0"/>
          <w:sz w:val="32"/>
          <w:szCs w:val="32"/>
          <w:lang w:eastAsia="zh-CN"/>
        </w:rPr>
        <w:t>，</w:t>
      </w:r>
      <w:r>
        <w:rPr>
          <w:rFonts w:hint="eastAsia" w:ascii="仿宋_GB2312" w:hAnsi="宋体" w:eastAsia="仿宋_GB2312" w:cs="仿宋_GB2312"/>
          <w:kern w:val="0"/>
          <w:sz w:val="32"/>
          <w:szCs w:val="32"/>
        </w:rPr>
        <w:t>银行存款</w:t>
      </w:r>
      <w:r>
        <w:rPr>
          <w:rFonts w:hint="eastAsia" w:ascii="仿宋_GB2312" w:eastAsia="仿宋_GB2312" w:cs="仿宋_GB2312"/>
          <w:kern w:val="0"/>
          <w:sz w:val="32"/>
          <w:szCs w:val="32"/>
          <w:lang w:val="en-US" w:eastAsia="zh-CN"/>
        </w:rPr>
        <w:t>2243.60</w:t>
      </w:r>
      <w:r>
        <w:rPr>
          <w:rFonts w:hint="eastAsia" w:ascii="仿宋_GB2312" w:hAnsi="宋体" w:eastAsia="仿宋_GB2312" w:cs="仿宋_GB2312"/>
          <w:kern w:val="0"/>
          <w:sz w:val="32"/>
          <w:szCs w:val="32"/>
        </w:rPr>
        <w:t>元，固定资产原值</w:t>
      </w:r>
      <w:r>
        <w:rPr>
          <w:rFonts w:hint="eastAsia" w:ascii="仿宋_GB2312" w:eastAsia="仿宋_GB2312" w:cs="仿宋_GB2312"/>
          <w:kern w:val="0"/>
          <w:sz w:val="32"/>
          <w:szCs w:val="32"/>
          <w:lang w:val="en-US" w:eastAsia="zh-CN"/>
        </w:rPr>
        <w:t>1484877</w:t>
      </w:r>
      <w:r>
        <w:rPr>
          <w:rFonts w:hint="eastAsia" w:ascii="仿宋_GB2312" w:hAnsi="宋体" w:eastAsia="仿宋_GB2312" w:cs="仿宋_GB2312"/>
          <w:kern w:val="0"/>
          <w:sz w:val="32"/>
          <w:szCs w:val="32"/>
        </w:rPr>
        <w:t>元。</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shd w:val="clear" w:fill="FFFFFF"/>
        </w:rPr>
        <w:t>（五）绩效目标完成情况。</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1.概述项目绩效目标完成情况</w:t>
      </w:r>
      <w:r>
        <w:rPr>
          <w:rFonts w:hint="eastAsia" w:ascii="仿宋_GB2312" w:hAnsi="仿宋_GB2312" w:eastAsia="仿宋_GB2312" w:cs="仿宋_GB2312"/>
          <w:sz w:val="32"/>
          <w:szCs w:val="32"/>
          <w:shd w:val="clear" w:fill="FFFFFF"/>
          <w:lang w:eastAsia="zh-CN"/>
        </w:rPr>
        <w:t>：</w:t>
      </w:r>
      <w:r>
        <w:rPr>
          <w:rFonts w:hint="eastAsia"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年度医保局项目已完成拨付。</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宋体" w:eastAsia="仿宋_GB2312" w:cs="仿宋_GB2312"/>
          <w:kern w:val="0"/>
          <w:sz w:val="32"/>
          <w:szCs w:val="32"/>
        </w:rPr>
        <w:t>2.概述本单位整体支出绩效目标实现情况：</w:t>
      </w:r>
      <w:r>
        <w:rPr>
          <w:rFonts w:hint="eastAsia" w:ascii="仿宋_GB2312" w:hAnsi="宋体" w:eastAsia="仿宋_GB2312" w:cs="仿宋_GB2312"/>
          <w:color w:val="000000"/>
          <w:kern w:val="0"/>
          <w:sz w:val="32"/>
          <w:szCs w:val="32"/>
        </w:rPr>
        <w:t>202</w:t>
      </w:r>
      <w:r>
        <w:rPr>
          <w:rFonts w:hint="eastAsia" w:ascii="仿宋_GB2312" w:hAnsi="宋体" w:eastAsia="仿宋_GB2312" w:cs="仿宋_GB2312"/>
          <w:color w:val="000000"/>
          <w:kern w:val="0"/>
          <w:sz w:val="32"/>
          <w:szCs w:val="32"/>
          <w:lang w:val="en-US" w:eastAsia="zh-CN"/>
        </w:rPr>
        <w:t>2</w:t>
      </w:r>
      <w:r>
        <w:rPr>
          <w:rFonts w:hint="eastAsia" w:ascii="仿宋_GB2312" w:hAnsi="宋体" w:eastAsia="仿宋_GB2312" w:cs="仿宋_GB2312"/>
          <w:color w:val="000000"/>
          <w:kern w:val="0"/>
          <w:sz w:val="32"/>
          <w:szCs w:val="32"/>
        </w:rPr>
        <w:t>年度我单位年初根据工作规划和重点工作规划，围绕全面建成小康社会的发展蓝图，积极履行职责，强化本单位预算管理，较好地完成了年初工作目标。通过加强预算收支管理，不断建立健全内部管理制度，梳理内部管理流程。</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firstLine="643" w:firstLineChars="200"/>
        <w:jc w:val="both"/>
        <w:textAlignment w:val="auto"/>
        <w:rPr>
          <w:rFonts w:hint="eastAsia" w:ascii="楷体_GB2312" w:hAnsi="楷体_GB2312" w:eastAsia="楷体_GB2312" w:cs="楷体_GB2312"/>
          <w:sz w:val="32"/>
          <w:szCs w:val="32"/>
        </w:rPr>
      </w:pPr>
      <w:r>
        <w:rPr>
          <w:rStyle w:val="13"/>
          <w:rFonts w:hint="eastAsia" w:ascii="楷体_GB2312" w:hAnsi="楷体_GB2312" w:eastAsia="楷体_GB2312" w:cs="楷体_GB2312"/>
          <w:sz w:val="32"/>
          <w:szCs w:val="32"/>
          <w:shd w:val="clear" w:fill="FFFFFF"/>
        </w:rPr>
        <w:t>（六）当年预算执行及绩效管理中存在问题、原因及改进措施</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Style w:val="13"/>
          <w:rFonts w:hint="eastAsia" w:ascii="仿宋_GB2312" w:hAnsi="仿宋_GB2312" w:eastAsia="仿宋_GB2312" w:cs="仿宋_GB2312"/>
          <w:sz w:val="32"/>
          <w:szCs w:val="32"/>
          <w:shd w:val="clear" w:fill="FFFFFF"/>
          <w:lang w:eastAsia="zh-CN"/>
        </w:rPr>
      </w:pPr>
      <w:r>
        <w:rPr>
          <w:rStyle w:val="13"/>
          <w:rFonts w:hint="eastAsia" w:ascii="仿宋_GB2312" w:hAnsi="仿宋_GB2312" w:eastAsia="仿宋_GB2312" w:cs="仿宋_GB2312"/>
          <w:b w:val="0"/>
          <w:bCs/>
          <w:sz w:val="32"/>
          <w:szCs w:val="32"/>
          <w:shd w:val="clear" w:fill="FFFFFF"/>
          <w:lang w:eastAsia="zh-CN"/>
        </w:rPr>
        <w:t>无</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shd w:val="clear" w:fill="FFFFFF"/>
        </w:rPr>
        <w:t>三、本年度部门决算等财务工作开展情况</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（一）本单位财务管理、绩效管理、决算组织、编报、审核情况</w:t>
      </w:r>
      <w:r>
        <w:rPr>
          <w:rFonts w:hint="eastAsia" w:ascii="仿宋_GB2312" w:hAnsi="仿宋_GB2312" w:eastAsia="仿宋_GB2312" w:cs="仿宋_GB2312"/>
          <w:sz w:val="32"/>
          <w:szCs w:val="32"/>
          <w:shd w:val="clear" w:fill="FFFFFF"/>
          <w:lang w:eastAsia="zh-CN"/>
        </w:rPr>
        <w:t>：</w:t>
      </w:r>
      <w:r>
        <w:rPr>
          <w:rFonts w:hint="eastAsia" w:ascii="仿宋_GB2312" w:hAnsi="宋体" w:eastAsia="仿宋_GB2312" w:cs="仿宋_GB2312"/>
          <w:kern w:val="0"/>
          <w:sz w:val="32"/>
          <w:szCs w:val="32"/>
        </w:rPr>
        <w:t>本单位对财务管理，绩效管理进行规范化，同财政部分及时沟通学习，积极进行财政部门组织的决算、编报、审核等方面工作按时完成，认真如实填报。</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（二）本单位决算及绩效信息公开工作开展情况。</w:t>
      </w:r>
      <w:r>
        <w:rPr>
          <w:rFonts w:hint="eastAsia" w:ascii="仿宋_GB2312" w:hAnsi="宋体" w:eastAsia="仿宋_GB2312" w:cs="仿宋_GB2312"/>
          <w:kern w:val="0"/>
          <w:sz w:val="32"/>
          <w:szCs w:val="32"/>
        </w:rPr>
        <w:t>本单位对决算及绩效信息公开工作，及主管部门对所属单位按规定批复决算的各项工作按规定认真执行，该填制及时填制，该公开及时公开，该上报及时上报。</w:t>
      </w:r>
    </w:p>
    <w:p>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（三）对单位决算管理及报表设计的意见建议。</w:t>
      </w:r>
      <w:r>
        <w:rPr>
          <w:rFonts w:hint="eastAsia" w:ascii="仿宋_GB2312" w:hAnsi="宋体" w:eastAsia="仿宋_GB2312" w:cs="仿宋_GB2312"/>
          <w:kern w:val="0"/>
          <w:sz w:val="32"/>
          <w:szCs w:val="32"/>
        </w:rPr>
        <w:t>本单位无意见。</w:t>
      </w:r>
    </w:p>
    <w:p>
      <w:pPr>
        <w:pStyle w:val="14"/>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exact"/>
        <w:ind w:left="0" w:firstLine="640" w:firstLineChars="200"/>
        <w:jc w:val="both"/>
        <w:textAlignment w:val="auto"/>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fill="FFFFFF"/>
        </w:rPr>
        <w:t>（四）对加强部门决算数据分析利用工作的建议。</w:t>
      </w:r>
      <w:r>
        <w:rPr>
          <w:rFonts w:hint="eastAsia" w:ascii="仿宋_GB2312" w:hAnsi="宋体" w:eastAsia="仿宋_GB2312" w:cs="仿宋_GB2312"/>
          <w:kern w:val="0"/>
          <w:sz w:val="32"/>
          <w:szCs w:val="32"/>
        </w:rPr>
        <w:t>1、理顺决算工作规程，建立工作机制，明确责任分工，提高部门决算工作质量；2、转变观念，提升决算综合分析利用；3、开展部门决算信息核查工作，进一步细化决算公开内容；4、加强人员培训，提高决算质量。</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shd w:val="clear" w:fill="FFFFFF"/>
        </w:rPr>
      </w:pP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shd w:val="clear" w:fill="FFFFFF"/>
        </w:rPr>
      </w:pP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附： </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center"/>
        <w:rPr>
          <w:rFonts w:hint="eastAsia" w:ascii="方正小标宋简体" w:hAnsi="方正小标宋简体" w:eastAsia="方正小标宋简体" w:cs="方正小标宋简体"/>
          <w:b/>
          <w:bCs/>
          <w:sz w:val="44"/>
          <w:szCs w:val="44"/>
          <w:shd w:val="clear" w:fill="FFFFFF"/>
        </w:rPr>
      </w:pPr>
      <w:r>
        <w:rPr>
          <w:rFonts w:hint="eastAsia" w:ascii="方正小标宋简体" w:hAnsi="方正小标宋简体" w:eastAsia="方正小标宋简体" w:cs="方正小标宋简体"/>
          <w:b/>
          <w:bCs/>
          <w:sz w:val="44"/>
          <w:szCs w:val="44"/>
          <w:shd w:val="clear" w:fill="FFFFFF"/>
        </w:rPr>
        <w:t>行政事业单位财务分析指标</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黑体" w:hAnsi="黑体" w:eastAsia="黑体" w:cs="黑体"/>
          <w:sz w:val="32"/>
          <w:szCs w:val="32"/>
          <w:shd w:val="clear" w:fill="FFFFFF"/>
        </w:rPr>
      </w:pP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黑体" w:hAnsi="黑体" w:eastAsia="黑体" w:cs="黑体"/>
          <w:sz w:val="32"/>
          <w:szCs w:val="32"/>
        </w:rPr>
      </w:pPr>
      <w:r>
        <w:rPr>
          <w:rFonts w:hint="eastAsia" w:ascii="黑体" w:hAnsi="黑体" w:eastAsia="黑体" w:cs="黑体"/>
          <w:sz w:val="32"/>
          <w:szCs w:val="32"/>
          <w:shd w:val="clear" w:fill="FFFFFF"/>
        </w:rPr>
        <w:t>一、行政单位财务分析指标</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1.支出增长率，衡量行政单位支出的增长水平。计算公式为：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支出增长率＝(本期支出总额÷上期支出总额-1)×100%=18.84%</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2.当年预算支出完成率，衡量行政单位当年支出总预算及分项预算完成的程度。计算公式为：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当年预算支出完成率＝年终执行数÷调整预算数×100%=100.00%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3.人均开支，衡量行政单位人均年消耗经费水平。计算公式为：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人均开支＝本期支出数÷本期平均在职人员数=22.56</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4.项目支出占总支出的比率，衡量行政单位的支出结构。计算公式为：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项目支出比率=本期项目支出数÷本期支出总数×100%=26.11%</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5.人员支出、公用支出占总支出的比率，衡量行政单位的支出结构。计算公式为：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人员支出比率=本期人员支出数÷本期支出总数×100%=66.77%</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公用支出比率=本期公用支出数÷本期支出总数×100%=7.12%</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6.人均办公使用面积，衡量行政单位办公用房配备情况。计算公式为：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人均办公使用面积=本期末单位办公用房使用面积÷本期末在职人员数=0.00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7.人车比例，衡量行政单位公务用车配备情况。计算公式为：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人车比例=本期末在职人员数÷本期末公务用车实有数=22.00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黑体" w:hAnsi="黑体" w:eastAsia="黑体" w:cs="黑体"/>
          <w:sz w:val="32"/>
          <w:szCs w:val="32"/>
        </w:rPr>
      </w:pP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黑体" w:hAnsi="黑体" w:eastAsia="黑体" w:cs="黑体"/>
          <w:sz w:val="32"/>
          <w:szCs w:val="32"/>
          <w:shd w:val="clear" w:fill="FFFFFF"/>
        </w:rPr>
        <w:t>二、事业单位财务分析指标</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1.预算收入和支出完成率，衡量事业单位收入和支出总预算及分项预算完成的程度。计算公式为：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预算收入完成率＝年终执行数÷调整预算数×100%=100.00%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预算支出完成率＝年终执行数÷调整预算数×100%=100.00%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2.人员支出、公用支出占事业支出的比率，衡量事业单位事业支出结构。计算公式为：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人员支出比率＝人员支出÷事业支出×100%=66.77%</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公用支出比率＝公用支出÷事业支出×100%=7.12%</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3.人均基本支出，衡量事业单位按照实际在编人数平均的基本支出水平。计算公式为：</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人均基本支出＝（基本支出-离退休人员支出）÷实际在编人数=203,876.91</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此外，行业事业单位还可根据相关财务制度规定和分析需要增加相关分析指标，如：</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1.财政拨款依存度, 衡量部门（单位）对财政拨款的依赖程度。</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财政拨款依存度＝财政拨款收入÷收入总额×100%=100.00%</w:t>
      </w:r>
    </w:p>
    <w:p>
      <w:pPr>
        <w:pStyle w:val="10"/>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sectPr>
      <w:pgSz w:w="11915" w:h="16851"/>
      <w:pgMar w:top="2211" w:right="1474" w:bottom="1871"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YWE4MDI0ODY0MDFlNjM2NTdmZTdhZWFkZjQ4YWMifQ=="/>
  </w:docVars>
  <w:rsids>
    <w:rsidRoot w:val="00000000"/>
    <w:rsid w:val="027E6796"/>
    <w:rsid w:val="0C8F3251"/>
    <w:rsid w:val="1931779B"/>
    <w:rsid w:val="433371DA"/>
    <w:rsid w:val="5C4E5D7A"/>
    <w:rsid w:val="71973104"/>
    <w:rsid w:val="7E0840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paragraph" w:customStyle="1" w:styleId="1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5">
    <w:name w:val="15"/>
    <w:basedOn w:val="12"/>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461.66</c:v>
                </c:pt>
                <c:pt idx="1">
                  <c:v>477.66</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473.15</c:v>
                </c:pt>
                <c:pt idx="1">
                  <c:v>473.15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4790129"/>
        <c:axId val="524270401"/>
      </c:barChart>
      <c:catAx>
        <c:axId val="9147901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4270401"/>
        <c:crosses val="autoZero"/>
        <c:auto val="1"/>
        <c:lblAlgn val="ctr"/>
        <c:lblOffset val="100"/>
        <c:noMultiLvlLbl val="0"/>
      </c:catAx>
      <c:valAx>
        <c:axId val="5242704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79012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年预、决算情况表</a:t>
            </a:r>
            <a:r>
              <a:rPr lang="en-US" altLang="zh-CN"/>
              <a:t>      </a:t>
            </a:r>
            <a:r>
              <a:rPr altLang="en-US"/>
              <a:t>单位：万元</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本年收入</c:v>
                </c:pt>
                <c:pt idx="1">
                  <c:v>本年支出</c:v>
                </c:pt>
              </c:strCache>
            </c:strRef>
          </c:cat>
          <c:val>
            <c:numRef>
              <c:f>Sheet1!$B$2:$B$3</c:f>
              <c:numCache>
                <c:formatCode>General</c:formatCode>
                <c:ptCount val="2"/>
                <c:pt idx="0">
                  <c:v>671.74</c:v>
                </c:pt>
                <c:pt idx="1">
                  <c:v>671.74</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本年收入</c:v>
                </c:pt>
                <c:pt idx="1">
                  <c:v>本年支出</c:v>
                </c:pt>
              </c:strCache>
            </c:strRef>
          </c:cat>
          <c:val>
            <c:numRef>
              <c:f>Sheet1!$C$2:$C$3</c:f>
              <c:numCache>
                <c:formatCode>General</c:formatCode>
                <c:ptCount val="2"/>
                <c:pt idx="0">
                  <c:v>671.74</c:v>
                </c:pt>
                <c:pt idx="1">
                  <c:v>671.74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本年收入</c:v>
                </c:pt>
                <c:pt idx="1">
                  <c:v>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36501587"/>
        <c:axId val="653402206"/>
      </c:barChart>
      <c:catAx>
        <c:axId val="9365015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3402206"/>
        <c:crosses val="autoZero"/>
        <c:auto val="1"/>
        <c:lblAlgn val="ctr"/>
        <c:lblOffset val="100"/>
        <c:noMultiLvlLbl val="0"/>
      </c:catAx>
      <c:valAx>
        <c:axId val="6534022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650158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19021597710122"/>
          <c:y val="0.033080127419750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财政拨款支出情况表</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205076989279521"/>
                  <c:y val="0.1384400405724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社会保障和就业支出61.05万元，占比</a:t>
                    </a:r>
                    <a:r>
                      <a:rPr lang="en-US" altLang="zh-CN"/>
                      <a:t>9.09%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99239490191801"/>
                  <c:y val="-0.23174513537851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卫生健康支出578.28万元，占比</a:t>
                    </a:r>
                    <a:r>
                      <a:rPr lang="en-US" altLang="zh-CN"/>
                      <a:t>86.09%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16356877166635"/>
                  <c:y val="0.079418784247446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住房保障支出32.4</a:t>
                    </a:r>
                    <a:r>
                      <a:rPr lang="en-US" altLang="zh-CN"/>
                      <a:t>0</a:t>
                    </a:r>
                    <a:r>
                      <a:rPr altLang="en-US"/>
                      <a:t>万元，占比</a:t>
                    </a:r>
                    <a:r>
                      <a:rPr lang="en-US" altLang="zh-CN"/>
                      <a:t>4.82%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213374967473328"/>
                      <c:h val="0.14065180102916"/>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卫生健康指出</c:v>
                </c:pt>
                <c:pt idx="2">
                  <c:v>住房保障支出</c:v>
                </c:pt>
              </c:strCache>
            </c:strRef>
          </c:cat>
          <c:val>
            <c:numRef>
              <c:f>Sheet1!$B$2:$B$4</c:f>
              <c:numCache>
                <c:formatCode>General</c:formatCode>
                <c:ptCount val="3"/>
                <c:pt idx="0">
                  <c:v>61.05</c:v>
                </c:pt>
                <c:pt idx="1">
                  <c:v>578.28</c:v>
                </c:pt>
                <c:pt idx="2">
                  <c:v>32.4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5576</Words>
  <Characters>6223</Characters>
  <TotalTime>20</TotalTime>
  <ScaleCrop>false</ScaleCrop>
  <LinksUpToDate>false</LinksUpToDate>
  <CharactersWithSpaces>6241</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2023-01-14T08:16:00Z</dcterms:created>
  <dc:creator>Administrator</dc:creator>
  <cp:lastModifiedBy>Administrator</cp:lastModifiedBy>
  <dcterms:modified xsi:type="dcterms:W3CDTF">2023-11-02T09:05:25Z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302B0FFB18E94337B3BBA0ACE77B3A73_13</vt:lpwstr>
  </property>
</Properties>
</file>