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CA0142">
      <w:pPr>
        <w:jc w:val="center"/>
        <w:rPr>
          <w:rFonts w:hint="eastAsia" w:ascii="方正小标宋_GBK" w:hAnsi="方正小标宋_GBK" w:eastAsia="方正小标宋_GBK" w:cs="方正小标宋_GBK"/>
          <w:sz w:val="44"/>
          <w:szCs w:val="44"/>
          <w:lang w:eastAsia="zh-CN"/>
        </w:rPr>
      </w:pPr>
      <w:bookmarkStart w:id="0" w:name="_GoBack"/>
      <w:bookmarkEnd w:id="0"/>
      <w:r>
        <w:rPr>
          <w:rFonts w:hint="eastAsia" w:ascii="方正小标宋_GBK" w:hAnsi="方正小标宋_GBK" w:eastAsia="方正小标宋_GBK" w:cs="方正小标宋_GBK"/>
          <w:sz w:val="44"/>
          <w:szCs w:val="44"/>
          <w:lang w:eastAsia="zh-CN"/>
        </w:rPr>
        <w:t>红原县医疗保障局</w:t>
      </w:r>
    </w:p>
    <w:p w14:paraId="05238C3E">
      <w:pPr>
        <w:jc w:val="center"/>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2022年度部门整体支出绩效评价自评报告</w:t>
      </w:r>
    </w:p>
    <w:p w14:paraId="238B2AFC">
      <w:pPr>
        <w:numPr>
          <w:ilvl w:val="0"/>
          <w:numId w:val="1"/>
        </w:numPr>
        <w:jc w:val="both"/>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部门（单位）概况</w:t>
      </w:r>
    </w:p>
    <w:p w14:paraId="4B94D3CC">
      <w:pPr>
        <w:numPr>
          <w:ilvl w:val="0"/>
          <w:numId w:val="0"/>
        </w:numPr>
        <w:ind w:firstLine="640" w:firstLineChars="200"/>
        <w:jc w:val="both"/>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（一）机构组成</w:t>
      </w:r>
    </w:p>
    <w:p w14:paraId="36680C08">
      <w:pPr>
        <w:numPr>
          <w:ilvl w:val="0"/>
          <w:numId w:val="0"/>
        </w:numPr>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红原县医疗保障局下设医疗保障事务中心、城乡居民基本医疗保险服务中心，内设8个股室（办公室、综合业务股、基金待遇保障股、统筹股、审核结算股、稽核股、信息股、档案管理股）。</w:t>
      </w:r>
    </w:p>
    <w:p w14:paraId="5FA62F12">
      <w:pPr>
        <w:numPr>
          <w:ilvl w:val="0"/>
          <w:numId w:val="0"/>
        </w:numPr>
        <w:ind w:leftChars="0" w:firstLine="640" w:firstLineChars="200"/>
        <w:jc w:val="both"/>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（二）机构职能</w:t>
      </w:r>
    </w:p>
    <w:p w14:paraId="19615BEB">
      <w:pPr>
        <w:pStyle w:val="3"/>
        <w:keepNext w:val="0"/>
        <w:keepLines w:val="0"/>
        <w:pageBreakBefore w:val="0"/>
        <w:widowControl/>
        <w:suppressLineNumbers w:val="0"/>
        <w:kinsoku/>
        <w:wordWrap/>
        <w:overflowPunct/>
        <w:topLinePunct w:val="0"/>
        <w:autoSpaceDN/>
        <w:bidi w:val="0"/>
        <w:adjustRightInd/>
        <w:spacing w:before="0" w:beforeAutospacing="0" w:afterAutospacing="0" w:line="576" w:lineRule="atLeast"/>
        <w:ind w:left="0" w:firstLine="640" w:firstLineChars="200"/>
        <w:jc w:val="left"/>
        <w:rPr>
          <w:rFonts w:hint="eastAsia" w:ascii="仿宋_GB2312" w:hAnsi="宋体" w:eastAsia="仿宋_GB2312" w:cs="仿宋_GB2312"/>
          <w:kern w:val="0"/>
          <w:sz w:val="32"/>
          <w:szCs w:val="32"/>
        </w:rPr>
      </w:pPr>
      <w:r>
        <w:rPr>
          <w:rFonts w:hint="eastAsia" w:ascii="仿宋_GB2312" w:hAnsi="仿宋_GB2312" w:eastAsia="仿宋_GB2312" w:cs="仿宋_GB2312"/>
          <w:sz w:val="32"/>
          <w:szCs w:val="32"/>
          <w:shd w:val="clear" w:color="auto" w:fill="FFFFFF"/>
        </w:rPr>
        <w:t>主要职能。</w:t>
      </w:r>
      <w:r>
        <w:rPr>
          <w:rFonts w:hint="eastAsia" w:ascii="仿宋_GB2312" w:hAnsi="宋体" w:eastAsia="仿宋_GB2312" w:cs="仿宋_GB2312"/>
          <w:kern w:val="0"/>
          <w:sz w:val="32"/>
          <w:szCs w:val="32"/>
        </w:rPr>
        <w:t>县医疗保障局贯彻落实党中央关于医疗保障工作的方针政策和决策部署，在履行职责过程中坚持和加强党对医疗保障工作的集中统一领导。主要职责是:</w:t>
      </w:r>
    </w:p>
    <w:p w14:paraId="6F16C5F1">
      <w:pPr>
        <w:keepNext w:val="0"/>
        <w:keepLines w:val="0"/>
        <w:pageBreakBefore w:val="0"/>
        <w:widowControl/>
        <w:suppressLineNumbers w:val="0"/>
        <w:kinsoku/>
        <w:wordWrap/>
        <w:overflowPunct/>
        <w:topLinePunct w:val="0"/>
        <w:autoSpaceDE w:val="0"/>
        <w:autoSpaceDN/>
        <w:bidi w:val="0"/>
        <w:adjustRightInd/>
        <w:spacing w:afterAutospacing="0" w:line="576" w:lineRule="atLeast"/>
        <w:ind w:left="0" w:firstLine="640" w:firstLineChars="200"/>
        <w:jc w:val="both"/>
        <w:rPr>
          <w:rFonts w:hint="eastAsia" w:ascii="仿宋_GB2312" w:hAnsi="宋体" w:eastAsia="仿宋_GB2312" w:cs="仿宋_GB2312"/>
          <w:kern w:val="0"/>
          <w:sz w:val="32"/>
          <w:szCs w:val="32"/>
        </w:rPr>
      </w:pPr>
      <w:r>
        <w:rPr>
          <w:rFonts w:hint="eastAsia" w:ascii="仿宋_GB2312" w:hAnsi="宋体" w:eastAsia="仿宋_GB2312" w:cs="仿宋_GB2312"/>
          <w:kern w:val="0"/>
          <w:sz w:val="32"/>
          <w:szCs w:val="32"/>
        </w:rPr>
        <w:t>（一）贯彻落实医疗保险、生育保险、医疗救助、药品和医疗服务价格管理职责等医疗保障法律法规和方针政策。</w:t>
      </w:r>
    </w:p>
    <w:p w14:paraId="4229B70F">
      <w:pPr>
        <w:keepNext w:val="0"/>
        <w:keepLines w:val="0"/>
        <w:pageBreakBefore w:val="0"/>
        <w:widowControl/>
        <w:suppressLineNumbers w:val="0"/>
        <w:kinsoku/>
        <w:wordWrap/>
        <w:overflowPunct/>
        <w:topLinePunct w:val="0"/>
        <w:autoSpaceDE w:val="0"/>
        <w:autoSpaceDN/>
        <w:bidi w:val="0"/>
        <w:adjustRightInd/>
        <w:snapToGrid w:val="0"/>
        <w:spacing w:afterAutospacing="0" w:line="576" w:lineRule="atLeast"/>
        <w:ind w:left="0" w:firstLine="640" w:firstLineChars="200"/>
        <w:jc w:val="both"/>
        <w:rPr>
          <w:rFonts w:hint="eastAsia" w:ascii="仿宋_GB2312" w:hAnsi="宋体" w:eastAsia="仿宋_GB2312" w:cs="仿宋_GB2312"/>
          <w:b/>
          <w:kern w:val="0"/>
          <w:sz w:val="32"/>
          <w:szCs w:val="32"/>
        </w:rPr>
      </w:pPr>
      <w:r>
        <w:rPr>
          <w:rFonts w:hint="eastAsia" w:ascii="仿宋_GB2312" w:hAnsi="宋体" w:eastAsia="仿宋_GB2312" w:cs="仿宋_GB2312"/>
          <w:kern w:val="0"/>
          <w:sz w:val="32"/>
          <w:szCs w:val="32"/>
        </w:rPr>
        <w:t>（二）组织拟订并实施医疗保障基金监督</w:t>
      </w:r>
    </w:p>
    <w:p w14:paraId="65E1A223">
      <w:pPr>
        <w:keepNext w:val="0"/>
        <w:keepLines w:val="0"/>
        <w:pageBreakBefore w:val="0"/>
        <w:widowControl/>
        <w:suppressLineNumbers w:val="0"/>
        <w:kinsoku/>
        <w:wordWrap/>
        <w:overflowPunct/>
        <w:topLinePunct w:val="0"/>
        <w:autoSpaceDE w:val="0"/>
        <w:autoSpaceDN/>
        <w:bidi w:val="0"/>
        <w:adjustRightInd/>
        <w:spacing w:afterAutospacing="0" w:line="576" w:lineRule="atLeast"/>
        <w:jc w:val="both"/>
        <w:rPr>
          <w:rFonts w:hint="eastAsia" w:ascii="仿宋_GB2312" w:hAnsi="宋体" w:eastAsia="仿宋_GB2312" w:cs="仿宋_GB2312"/>
          <w:kern w:val="0"/>
          <w:sz w:val="32"/>
          <w:szCs w:val="32"/>
        </w:rPr>
      </w:pPr>
      <w:r>
        <w:rPr>
          <w:rFonts w:hint="eastAsia" w:ascii="仿宋_GB2312" w:hAnsi="宋体" w:eastAsia="仿宋_GB2312" w:cs="仿宋_GB2312"/>
          <w:kern w:val="0"/>
          <w:sz w:val="32"/>
          <w:szCs w:val="32"/>
        </w:rPr>
        <w:t>管理制度，建立健全医疗保障基金安全防控机制，监督强化医疗保障基金运行管理。</w:t>
      </w:r>
    </w:p>
    <w:p w14:paraId="56B1C70A">
      <w:pPr>
        <w:keepNext w:val="0"/>
        <w:keepLines w:val="0"/>
        <w:pageBreakBefore w:val="0"/>
        <w:widowControl/>
        <w:numPr>
          <w:ilvl w:val="0"/>
          <w:numId w:val="2"/>
        </w:numPr>
        <w:suppressLineNumbers w:val="0"/>
        <w:kinsoku/>
        <w:wordWrap/>
        <w:overflowPunct/>
        <w:topLinePunct w:val="0"/>
        <w:autoSpaceDE w:val="0"/>
        <w:autoSpaceDN/>
        <w:bidi w:val="0"/>
        <w:adjustRightInd/>
        <w:spacing w:afterAutospacing="0" w:line="576" w:lineRule="atLeast"/>
        <w:ind w:left="0" w:firstLine="640" w:firstLineChars="200"/>
        <w:jc w:val="both"/>
        <w:rPr>
          <w:rFonts w:hint="eastAsia" w:ascii="仿宋_GB2312" w:hAnsi="宋体" w:eastAsia="仿宋_GB2312" w:cs="仿宋_GB2312"/>
          <w:kern w:val="0"/>
          <w:sz w:val="32"/>
          <w:szCs w:val="32"/>
        </w:rPr>
      </w:pPr>
      <w:r>
        <w:rPr>
          <w:rFonts w:hint="eastAsia" w:ascii="仿宋_GB2312" w:hAnsi="宋体" w:eastAsia="仿宋_GB2312" w:cs="仿宋_GB2312"/>
          <w:kern w:val="0"/>
          <w:sz w:val="32"/>
          <w:szCs w:val="32"/>
        </w:rPr>
        <w:t>贯彻落实医疗保障目录和支付标准,落实特殊医用材料、特殊检查和治疗、医院制剂等目录和支付标准。推进医疗保障基金支付方式改革,落实医保对医疗行为的激励约束机制以及对医疗费用的控制机制。</w:t>
      </w:r>
    </w:p>
    <w:p w14:paraId="4A31B2EE">
      <w:pPr>
        <w:keepNext w:val="0"/>
        <w:keepLines w:val="0"/>
        <w:pageBreakBefore w:val="0"/>
        <w:widowControl/>
        <w:suppressLineNumbers w:val="0"/>
        <w:kinsoku/>
        <w:wordWrap/>
        <w:overflowPunct/>
        <w:topLinePunct w:val="0"/>
        <w:autoSpaceDE w:val="0"/>
        <w:autoSpaceDN/>
        <w:bidi w:val="0"/>
        <w:adjustRightInd/>
        <w:spacing w:afterAutospacing="0" w:line="576" w:lineRule="atLeast"/>
        <w:ind w:left="0" w:firstLine="640" w:firstLineChars="200"/>
        <w:jc w:val="both"/>
        <w:rPr>
          <w:rFonts w:hint="eastAsia" w:ascii="仿宋_GB2312" w:hAnsi="宋体" w:eastAsia="仿宋_GB2312" w:cs="仿宋_GB2312"/>
          <w:kern w:val="0"/>
          <w:sz w:val="32"/>
          <w:szCs w:val="32"/>
        </w:rPr>
      </w:pPr>
      <w:r>
        <w:rPr>
          <w:rFonts w:hint="eastAsia" w:ascii="仿宋_GB2312" w:hAnsi="宋体" w:eastAsia="仿宋_GB2312" w:cs="仿宋_GB2312"/>
          <w:kern w:val="0"/>
          <w:sz w:val="32"/>
          <w:szCs w:val="32"/>
        </w:rPr>
        <w:t>（四）贯彻落实医疗保障信用评价体系和信息披露制度，监督管理纳入医疗保障范围内的医疗服务行为和医疗费用，依法查处医疗保障领域违法违规行为。</w:t>
      </w:r>
    </w:p>
    <w:p w14:paraId="649830FE">
      <w:pPr>
        <w:keepNext w:val="0"/>
        <w:keepLines w:val="0"/>
        <w:pageBreakBefore w:val="0"/>
        <w:widowControl/>
        <w:suppressLineNumbers w:val="0"/>
        <w:kinsoku/>
        <w:wordWrap/>
        <w:overflowPunct/>
        <w:topLinePunct w:val="0"/>
        <w:autoSpaceDE w:val="0"/>
        <w:autoSpaceDN/>
        <w:bidi w:val="0"/>
        <w:adjustRightInd/>
        <w:spacing w:afterAutospacing="0" w:line="576" w:lineRule="atLeast"/>
        <w:ind w:left="0" w:firstLine="640" w:firstLineChars="200"/>
        <w:jc w:val="both"/>
        <w:rPr>
          <w:rFonts w:hint="eastAsia" w:ascii="仿宋_GB2312" w:hAnsi="宋体" w:eastAsia="仿宋_GB2312" w:cs="仿宋_GB2312"/>
          <w:kern w:val="0"/>
          <w:sz w:val="32"/>
          <w:szCs w:val="32"/>
        </w:rPr>
      </w:pPr>
      <w:r>
        <w:rPr>
          <w:rFonts w:hint="eastAsia" w:ascii="仿宋_GB2312" w:hAnsi="宋体" w:eastAsia="仿宋_GB2312" w:cs="仿宋_GB2312"/>
          <w:kern w:val="0"/>
          <w:sz w:val="32"/>
          <w:szCs w:val="32"/>
        </w:rPr>
        <w:t>（五）负责参保人员基本医疗保险住院和普通门诊、门诊特殊疾病待遇的初审、复审和待遇确定，确保医疗保险基金的合理使用；负责参保患者的转诊转院的审批工作；负责参保患者的门诊特殊疾病审核认定工作。</w:t>
      </w:r>
    </w:p>
    <w:p w14:paraId="2B213D8D">
      <w:pPr>
        <w:keepNext w:val="0"/>
        <w:keepLines w:val="0"/>
        <w:pageBreakBefore w:val="0"/>
        <w:widowControl/>
        <w:suppressLineNumbers w:val="0"/>
        <w:kinsoku/>
        <w:wordWrap/>
        <w:overflowPunct/>
        <w:topLinePunct w:val="0"/>
        <w:autoSpaceDE w:val="0"/>
        <w:autoSpaceDN/>
        <w:bidi w:val="0"/>
        <w:adjustRightInd/>
        <w:spacing w:afterAutospacing="0" w:line="576" w:lineRule="atLeast"/>
        <w:ind w:left="0" w:firstLine="640" w:firstLineChars="200"/>
        <w:jc w:val="both"/>
        <w:rPr>
          <w:rFonts w:hint="eastAsia" w:ascii="仿宋_GB2312" w:hAnsi="宋体" w:eastAsia="仿宋_GB2312" w:cs="仿宋_GB2312"/>
          <w:kern w:val="0"/>
          <w:sz w:val="32"/>
          <w:szCs w:val="32"/>
        </w:rPr>
      </w:pPr>
      <w:r>
        <w:rPr>
          <w:rFonts w:hint="eastAsia" w:ascii="仿宋_GB2312" w:hAnsi="宋体" w:eastAsia="仿宋_GB2312" w:cs="仿宋_GB2312"/>
          <w:kern w:val="0"/>
          <w:sz w:val="32"/>
          <w:szCs w:val="32"/>
        </w:rPr>
        <w:t>（六）贯彻落实医疗保障经办管理和公共服务体系建设，异地就医管理和费用结算政策；做好全县参保人员医疗保险的统计分析报表工作，建立健全医疗保障关系转移接续制度。</w:t>
      </w:r>
    </w:p>
    <w:p w14:paraId="706A2A19">
      <w:pPr>
        <w:keepNext w:val="0"/>
        <w:keepLines w:val="0"/>
        <w:pageBreakBefore w:val="0"/>
        <w:widowControl/>
        <w:suppressLineNumbers w:val="0"/>
        <w:kinsoku/>
        <w:wordWrap/>
        <w:overflowPunct/>
        <w:topLinePunct w:val="0"/>
        <w:autoSpaceDE w:val="0"/>
        <w:autoSpaceDN/>
        <w:bidi w:val="0"/>
        <w:adjustRightInd/>
        <w:spacing w:afterAutospacing="0" w:line="576" w:lineRule="atLeast"/>
        <w:ind w:left="0" w:firstLine="640" w:firstLineChars="200"/>
        <w:jc w:val="both"/>
        <w:rPr>
          <w:rFonts w:hint="eastAsia" w:ascii="仿宋_GB2312" w:hAnsi="宋体" w:eastAsia="仿宋_GB2312" w:cs="仿宋_GB2312"/>
          <w:kern w:val="0"/>
          <w:sz w:val="32"/>
          <w:szCs w:val="32"/>
        </w:rPr>
      </w:pPr>
      <w:r>
        <w:rPr>
          <w:rFonts w:hint="eastAsia" w:ascii="仿宋_GB2312" w:hAnsi="宋体" w:eastAsia="仿宋_GB2312" w:cs="仿宋_GB2312"/>
          <w:kern w:val="0"/>
          <w:sz w:val="32"/>
          <w:szCs w:val="32"/>
        </w:rPr>
        <w:t>（七）负责职责范围内的安全生产和职业健康、生态环境保护、审批服务便民化等工作。</w:t>
      </w:r>
    </w:p>
    <w:p w14:paraId="68F5399F">
      <w:pPr>
        <w:keepNext w:val="0"/>
        <w:keepLines w:val="0"/>
        <w:pageBreakBefore w:val="0"/>
        <w:widowControl/>
        <w:suppressLineNumbers w:val="0"/>
        <w:kinsoku/>
        <w:wordWrap/>
        <w:overflowPunct/>
        <w:topLinePunct w:val="0"/>
        <w:autoSpaceDE w:val="0"/>
        <w:autoSpaceDN/>
        <w:bidi w:val="0"/>
        <w:adjustRightInd/>
        <w:spacing w:afterAutospacing="0" w:line="576" w:lineRule="atLeast"/>
        <w:ind w:left="0" w:firstLine="640" w:firstLineChars="200"/>
        <w:jc w:val="both"/>
        <w:rPr>
          <w:rFonts w:hint="eastAsia" w:ascii="仿宋_GB2312" w:hAnsi="宋体" w:eastAsia="仿宋_GB2312" w:cs="仿宋_GB2312"/>
          <w:kern w:val="0"/>
          <w:sz w:val="32"/>
          <w:szCs w:val="32"/>
        </w:rPr>
      </w:pPr>
      <w:r>
        <w:rPr>
          <w:rFonts w:hint="eastAsia" w:ascii="仿宋_GB2312" w:hAnsi="宋体" w:eastAsia="仿宋_GB2312" w:cs="仿宋_GB2312"/>
          <w:kern w:val="0"/>
          <w:sz w:val="32"/>
          <w:szCs w:val="32"/>
        </w:rPr>
        <w:t>（八）完成县委和县政府交办的其他任务。</w:t>
      </w:r>
    </w:p>
    <w:p w14:paraId="785A544D">
      <w:pPr>
        <w:keepNext w:val="0"/>
        <w:keepLines w:val="0"/>
        <w:pageBreakBefore w:val="0"/>
        <w:widowControl/>
        <w:suppressLineNumbers w:val="0"/>
        <w:kinsoku/>
        <w:wordWrap/>
        <w:overflowPunct/>
        <w:topLinePunct w:val="0"/>
        <w:autoSpaceDE w:val="0"/>
        <w:autoSpaceDN/>
        <w:bidi w:val="0"/>
        <w:adjustRightInd/>
        <w:spacing w:afterAutospacing="0" w:line="576" w:lineRule="atLeast"/>
        <w:ind w:left="0" w:firstLine="640" w:firstLineChars="200"/>
        <w:jc w:val="both"/>
        <w:rPr>
          <w:rFonts w:hint="eastAsia" w:ascii="仿宋_GB2312" w:hAnsi="宋体" w:eastAsia="仿宋_GB2312" w:cs="仿宋_GB2312"/>
          <w:kern w:val="0"/>
          <w:sz w:val="32"/>
          <w:szCs w:val="32"/>
        </w:rPr>
      </w:pPr>
      <w:r>
        <w:rPr>
          <w:rFonts w:hint="eastAsia" w:ascii="仿宋_GB2312" w:hAnsi="宋体" w:eastAsia="仿宋_GB2312" w:cs="仿宋_GB2312"/>
          <w:kern w:val="0"/>
          <w:sz w:val="32"/>
          <w:szCs w:val="32"/>
        </w:rPr>
        <w:t>（九）职能转变。贯彻落实省、州有关推进医疗、医保、医药“三医联动”改革工作，更好地保障人民群众就医需求、减轻医药费用负担。</w:t>
      </w:r>
    </w:p>
    <w:p w14:paraId="0F3E8801">
      <w:pPr>
        <w:pStyle w:val="7"/>
        <w:keepNext w:val="0"/>
        <w:keepLines w:val="0"/>
        <w:pageBreakBefore w:val="0"/>
        <w:widowControl/>
        <w:suppressLineNumbers w:val="0"/>
        <w:kinsoku/>
        <w:wordWrap/>
        <w:overflowPunct/>
        <w:topLinePunct w:val="0"/>
        <w:autoSpaceDE w:val="0"/>
        <w:autoSpaceDN/>
        <w:bidi w:val="0"/>
        <w:adjustRightInd/>
        <w:spacing w:before="0" w:beforeAutospacing="0" w:afterAutospacing="0" w:line="576" w:lineRule="atLeast"/>
        <w:ind w:left="0" w:firstLine="640" w:firstLineChars="200"/>
        <w:jc w:val="both"/>
        <w:rPr>
          <w:rFonts w:hint="eastAsia" w:ascii="仿宋_GB2312" w:hAnsi="宋体" w:eastAsia="仿宋_GB2312" w:cs="仿宋_GB2312"/>
          <w:kern w:val="0"/>
          <w:sz w:val="32"/>
          <w:szCs w:val="32"/>
        </w:rPr>
      </w:pPr>
      <w:r>
        <w:rPr>
          <w:rFonts w:hint="eastAsia" w:ascii="仿宋_GB2312" w:hAnsi="宋体" w:eastAsia="仿宋_GB2312" w:cs="仿宋_GB2312"/>
          <w:kern w:val="0"/>
          <w:sz w:val="32"/>
          <w:szCs w:val="32"/>
        </w:rPr>
        <w:t>（十）与县卫生健康委的有关职责分工。两部门在医疗、医保、医药等方面加强制度、政策衔接，建立沟通协商机制，协同推进改革，提高医疗资源使用效率和医疗保障水平。</w:t>
      </w:r>
    </w:p>
    <w:p w14:paraId="2D4075D6">
      <w:pPr>
        <w:pStyle w:val="7"/>
        <w:keepNext w:val="0"/>
        <w:keepLines w:val="0"/>
        <w:pageBreakBefore w:val="0"/>
        <w:widowControl/>
        <w:suppressLineNumbers w:val="0"/>
        <w:kinsoku/>
        <w:wordWrap/>
        <w:overflowPunct/>
        <w:topLinePunct w:val="0"/>
        <w:autoSpaceDE w:val="0"/>
        <w:autoSpaceDN/>
        <w:bidi w:val="0"/>
        <w:adjustRightInd/>
        <w:spacing w:before="0" w:beforeAutospacing="0" w:afterAutospacing="0" w:line="576" w:lineRule="atLeast"/>
        <w:ind w:left="0" w:firstLine="640" w:firstLineChars="200"/>
        <w:jc w:val="both"/>
        <w:rPr>
          <w:rFonts w:hint="eastAsia" w:ascii="楷体_GB2312" w:hAnsi="楷体_GB2312" w:eastAsia="楷体_GB2312" w:cs="楷体_GB2312"/>
          <w:kern w:val="0"/>
          <w:sz w:val="32"/>
          <w:szCs w:val="32"/>
          <w:lang w:eastAsia="zh-CN"/>
        </w:rPr>
      </w:pPr>
      <w:r>
        <w:rPr>
          <w:rFonts w:hint="eastAsia" w:ascii="楷体_GB2312" w:hAnsi="楷体_GB2312" w:eastAsia="楷体_GB2312" w:cs="楷体_GB2312"/>
          <w:kern w:val="0"/>
          <w:sz w:val="32"/>
          <w:szCs w:val="32"/>
          <w:lang w:eastAsia="zh-CN"/>
        </w:rPr>
        <w:t>（三）人员概况</w:t>
      </w:r>
    </w:p>
    <w:p w14:paraId="7ABAC3E0">
      <w:pPr>
        <w:pStyle w:val="7"/>
        <w:keepNext w:val="0"/>
        <w:keepLines w:val="0"/>
        <w:pageBreakBefore w:val="0"/>
        <w:widowControl/>
        <w:suppressLineNumbers w:val="0"/>
        <w:kinsoku/>
        <w:wordWrap/>
        <w:overflowPunct/>
        <w:topLinePunct w:val="0"/>
        <w:autoSpaceDE w:val="0"/>
        <w:autoSpaceDN/>
        <w:bidi w:val="0"/>
        <w:adjustRightInd/>
        <w:spacing w:before="0" w:beforeAutospacing="0" w:afterAutospacing="0" w:line="576" w:lineRule="atLeast"/>
        <w:ind w:left="0" w:firstLine="640" w:firstLineChars="200"/>
        <w:jc w:val="both"/>
        <w:rPr>
          <w:rFonts w:hint="eastAsia" w:ascii="仿宋_GB2312" w:hAnsi="宋体" w:eastAsia="仿宋_GB2312" w:cs="仿宋_GB2312"/>
          <w:kern w:val="0"/>
          <w:sz w:val="32"/>
          <w:szCs w:val="32"/>
          <w:lang w:val="en-US" w:eastAsia="zh-CN"/>
        </w:rPr>
      </w:pPr>
      <w:r>
        <w:rPr>
          <w:rFonts w:hint="eastAsia" w:ascii="仿宋_GB2312" w:hAnsi="宋体" w:eastAsia="仿宋_GB2312" w:cs="仿宋_GB2312"/>
          <w:kern w:val="0"/>
          <w:sz w:val="32"/>
          <w:szCs w:val="32"/>
          <w:shd w:val="clear" w:color="auto" w:fill="FFFFFF"/>
        </w:rPr>
        <w:t>本单位本年度纳入本套决算编制范围的独立编制机构数共2个；独立核算机构数共2个</w:t>
      </w:r>
      <w:r>
        <w:rPr>
          <w:rFonts w:hint="eastAsia" w:ascii="仿宋_GB2312" w:eastAsia="仿宋_GB2312" w:cs="仿宋_GB2312"/>
          <w:kern w:val="0"/>
          <w:sz w:val="32"/>
          <w:szCs w:val="32"/>
          <w:shd w:val="clear" w:color="auto" w:fill="FFFFFF"/>
          <w:lang w:eastAsia="zh-CN"/>
        </w:rPr>
        <w:t>。</w:t>
      </w:r>
    </w:p>
    <w:p w14:paraId="0CDE1EF6">
      <w:pPr>
        <w:pStyle w:val="7"/>
        <w:keepNext w:val="0"/>
        <w:keepLines w:val="0"/>
        <w:pageBreakBefore w:val="0"/>
        <w:widowControl/>
        <w:suppressLineNumbers w:val="0"/>
        <w:kinsoku/>
        <w:wordWrap/>
        <w:overflowPunct/>
        <w:topLinePunct w:val="0"/>
        <w:autoSpaceDE w:val="0"/>
        <w:autoSpaceDN/>
        <w:bidi w:val="0"/>
        <w:adjustRightInd/>
        <w:spacing w:before="0" w:beforeAutospacing="0" w:afterAutospacing="0" w:line="576" w:lineRule="atLeast"/>
        <w:ind w:left="0" w:firstLine="640"/>
        <w:jc w:val="both"/>
        <w:rPr>
          <w:rFonts w:hint="eastAsia" w:ascii="仿宋_GB2312" w:hAnsi="仿宋_GB2312" w:eastAsia="仿宋_GB2312" w:cs="仿宋_GB2312"/>
          <w:sz w:val="32"/>
          <w:szCs w:val="32"/>
          <w:shd w:val="clear" w:color="auto" w:fill="FFFFFF"/>
        </w:rPr>
      </w:pPr>
      <w:r>
        <w:rPr>
          <w:rFonts w:hint="eastAsia" w:ascii="仿宋_GB2312" w:hAnsi="宋体" w:eastAsia="仿宋_GB2312" w:cs="仿宋_GB2312"/>
          <w:kern w:val="0"/>
          <w:sz w:val="32"/>
          <w:szCs w:val="32"/>
          <w:shd w:val="clear" w:color="auto" w:fill="FFFFFF"/>
        </w:rPr>
        <w:t>本单位本年度年末实有人数为2</w:t>
      </w:r>
      <w:r>
        <w:rPr>
          <w:rFonts w:hint="eastAsia" w:ascii="仿宋_GB2312" w:eastAsia="仿宋_GB2312" w:cs="仿宋_GB2312"/>
          <w:kern w:val="0"/>
          <w:sz w:val="32"/>
          <w:szCs w:val="32"/>
          <w:shd w:val="clear" w:color="auto" w:fill="FFFFFF"/>
          <w:lang w:val="en-US" w:eastAsia="zh-CN"/>
        </w:rPr>
        <w:t>2</w:t>
      </w:r>
      <w:r>
        <w:rPr>
          <w:rFonts w:hint="eastAsia" w:ascii="仿宋_GB2312" w:hAnsi="宋体" w:eastAsia="仿宋_GB2312" w:cs="仿宋_GB2312"/>
          <w:kern w:val="0"/>
          <w:sz w:val="32"/>
          <w:szCs w:val="32"/>
          <w:shd w:val="clear" w:color="auto" w:fill="FFFFFF"/>
        </w:rPr>
        <w:t>人；</w:t>
      </w:r>
      <w:r>
        <w:rPr>
          <w:rFonts w:hint="eastAsia" w:ascii="仿宋_GB2312" w:hAnsi="宋体" w:eastAsia="仿宋_GB2312" w:cs="仿宋_GB2312"/>
          <w:kern w:val="0"/>
          <w:sz w:val="32"/>
          <w:szCs w:val="32"/>
        </w:rPr>
        <w:t>现有行政编制</w:t>
      </w:r>
      <w:r>
        <w:rPr>
          <w:rFonts w:hint="eastAsia" w:ascii="仿宋_GB2312" w:eastAsia="仿宋_GB2312" w:cs="仿宋_GB2312"/>
          <w:kern w:val="0"/>
          <w:sz w:val="32"/>
          <w:szCs w:val="32"/>
          <w:lang w:val="en-US" w:eastAsia="zh-CN"/>
        </w:rPr>
        <w:t>4</w:t>
      </w:r>
      <w:r>
        <w:rPr>
          <w:rFonts w:hint="eastAsia" w:ascii="仿宋_GB2312" w:hAnsi="宋体" w:eastAsia="仿宋_GB2312" w:cs="仿宋_GB2312"/>
          <w:kern w:val="0"/>
          <w:sz w:val="32"/>
          <w:szCs w:val="32"/>
        </w:rPr>
        <w:t>名，参公编制8名，事业编制9人，共有编制21人，</w:t>
      </w:r>
      <w:r>
        <w:rPr>
          <w:rFonts w:hint="eastAsia" w:ascii="仿宋_GB2312" w:eastAsia="仿宋_GB2312" w:cs="仿宋_GB2312"/>
          <w:kern w:val="0"/>
          <w:sz w:val="32"/>
          <w:szCs w:val="32"/>
          <w:lang w:eastAsia="zh-CN"/>
        </w:rPr>
        <w:t>年末实有人数</w:t>
      </w:r>
      <w:r>
        <w:rPr>
          <w:rFonts w:hint="eastAsia" w:ascii="仿宋_GB2312" w:hAnsi="宋体" w:eastAsia="仿宋_GB2312" w:cs="仿宋_GB2312"/>
          <w:kern w:val="0"/>
          <w:sz w:val="32"/>
          <w:szCs w:val="32"/>
        </w:rPr>
        <w:t>2</w:t>
      </w:r>
      <w:r>
        <w:rPr>
          <w:rFonts w:hint="eastAsia" w:ascii="仿宋_GB2312" w:eastAsia="仿宋_GB2312" w:cs="仿宋_GB2312"/>
          <w:kern w:val="0"/>
          <w:sz w:val="32"/>
          <w:szCs w:val="32"/>
          <w:lang w:val="en-US" w:eastAsia="zh-CN"/>
        </w:rPr>
        <w:t>2</w:t>
      </w:r>
      <w:r>
        <w:rPr>
          <w:rFonts w:hint="eastAsia" w:ascii="仿宋_GB2312" w:hAnsi="宋体" w:eastAsia="仿宋_GB2312" w:cs="仿宋_GB2312"/>
          <w:kern w:val="0"/>
          <w:sz w:val="32"/>
          <w:szCs w:val="32"/>
        </w:rPr>
        <w:t>人。</w:t>
      </w:r>
      <w:r>
        <w:rPr>
          <w:rFonts w:hint="eastAsia" w:ascii="仿宋_GB2312" w:hAnsi="仿宋_GB2312" w:eastAsia="仿宋_GB2312" w:cs="仿宋_GB2312"/>
          <w:sz w:val="32"/>
          <w:szCs w:val="32"/>
          <w:shd w:val="clear" w:color="auto" w:fill="FFFFFF"/>
        </w:rPr>
        <w:t> </w:t>
      </w:r>
    </w:p>
    <w:p w14:paraId="7E42EC5B">
      <w:pPr>
        <w:pStyle w:val="7"/>
        <w:keepNext w:val="0"/>
        <w:keepLines w:val="0"/>
        <w:pageBreakBefore w:val="0"/>
        <w:widowControl/>
        <w:numPr>
          <w:ilvl w:val="0"/>
          <w:numId w:val="1"/>
        </w:numPr>
        <w:suppressLineNumbers w:val="0"/>
        <w:kinsoku/>
        <w:wordWrap/>
        <w:overflowPunct/>
        <w:topLinePunct w:val="0"/>
        <w:autoSpaceDE w:val="0"/>
        <w:autoSpaceDN/>
        <w:bidi w:val="0"/>
        <w:adjustRightInd/>
        <w:spacing w:before="0" w:beforeAutospacing="0" w:afterAutospacing="0" w:line="576" w:lineRule="atLeast"/>
        <w:ind w:left="0" w:leftChars="0" w:firstLine="0" w:firstLineChars="0"/>
        <w:jc w:val="both"/>
        <w:rPr>
          <w:rFonts w:hint="eastAsia" w:ascii="楷体_GB2312" w:hAnsi="楷体_GB2312" w:eastAsia="楷体_GB2312" w:cs="楷体_GB2312"/>
          <w:b/>
          <w:bCs/>
          <w:sz w:val="32"/>
          <w:szCs w:val="32"/>
          <w:shd w:val="clear" w:color="auto" w:fill="FFFFFF"/>
          <w:lang w:eastAsia="zh-CN"/>
        </w:rPr>
      </w:pPr>
      <w:r>
        <w:rPr>
          <w:rFonts w:hint="eastAsia" w:ascii="楷体_GB2312" w:hAnsi="楷体_GB2312" w:eastAsia="楷体_GB2312" w:cs="楷体_GB2312"/>
          <w:b/>
          <w:bCs/>
          <w:sz w:val="32"/>
          <w:szCs w:val="32"/>
          <w:shd w:val="clear" w:color="auto" w:fill="FFFFFF"/>
          <w:lang w:eastAsia="zh-CN"/>
        </w:rPr>
        <w:t>部门财政资金收支情况</w:t>
      </w:r>
    </w:p>
    <w:p w14:paraId="4C17DFBB">
      <w:pPr>
        <w:pStyle w:val="7"/>
        <w:keepNext w:val="0"/>
        <w:keepLines w:val="0"/>
        <w:pageBreakBefore w:val="0"/>
        <w:widowControl/>
        <w:numPr>
          <w:ilvl w:val="0"/>
          <w:numId w:val="0"/>
        </w:numPr>
        <w:suppressLineNumbers w:val="0"/>
        <w:kinsoku/>
        <w:wordWrap/>
        <w:overflowPunct/>
        <w:topLinePunct w:val="0"/>
        <w:autoSpaceDE w:val="0"/>
        <w:autoSpaceDN/>
        <w:bidi w:val="0"/>
        <w:adjustRightInd/>
        <w:spacing w:before="0" w:beforeAutospacing="0" w:afterAutospacing="0" w:line="576" w:lineRule="atLeast"/>
        <w:ind w:right="0" w:rightChars="0" w:firstLine="640" w:firstLineChars="200"/>
        <w:jc w:val="both"/>
        <w:rPr>
          <w:rFonts w:hint="eastAsia" w:ascii="楷体_GB2312" w:hAnsi="楷体_GB2312" w:eastAsia="楷体_GB2312" w:cs="楷体_GB2312"/>
          <w:sz w:val="32"/>
          <w:szCs w:val="32"/>
          <w:shd w:val="clear" w:color="auto" w:fill="FFFFFF"/>
          <w:lang w:eastAsia="zh-CN"/>
        </w:rPr>
      </w:pPr>
      <w:r>
        <w:rPr>
          <w:rFonts w:hint="eastAsia" w:ascii="楷体_GB2312" w:hAnsi="楷体_GB2312" w:eastAsia="楷体_GB2312" w:cs="楷体_GB2312"/>
          <w:sz w:val="32"/>
          <w:szCs w:val="32"/>
          <w:shd w:val="clear" w:color="auto" w:fill="FFFFFF"/>
          <w:lang w:eastAsia="zh-CN"/>
        </w:rPr>
        <w:t>（一）部门财政资金收入情况</w:t>
      </w:r>
    </w:p>
    <w:p w14:paraId="65D011DE">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资金投入情况。2022年中央对地方特殊转移支付医疗服务与保障能力提升中央财政补助资金，</w:t>
      </w:r>
      <w:r>
        <w:rPr>
          <w:rFonts w:hint="eastAsia" w:ascii="仿宋_GB2312" w:hAnsi="仿宋_GB2312" w:eastAsia="仿宋_GB2312" w:cs="仿宋_GB2312"/>
          <w:bCs/>
          <w:sz w:val="32"/>
          <w:szCs w:val="32"/>
          <w:lang w:val="zh-CN" w:eastAsia="zh-CN"/>
        </w:rPr>
        <w:t>实施单位</w:t>
      </w:r>
      <w:r>
        <w:rPr>
          <w:rFonts w:hint="eastAsia" w:ascii="仿宋_GB2312" w:hAnsi="仿宋_GB2312" w:eastAsia="仿宋_GB2312" w:cs="仿宋_GB2312"/>
          <w:bCs/>
          <w:sz w:val="32"/>
          <w:szCs w:val="32"/>
          <w:lang w:val="en-US" w:eastAsia="zh-CN"/>
        </w:rPr>
        <w:t>是红原县医疗保障局，</w:t>
      </w:r>
      <w:r>
        <w:rPr>
          <w:rFonts w:hint="eastAsia" w:ascii="仿宋_GB2312" w:hAnsi="仿宋_GB2312" w:eastAsia="仿宋_GB2312" w:cs="仿宋_GB2312"/>
          <w:bCs/>
          <w:sz w:val="32"/>
          <w:szCs w:val="32"/>
          <w:lang w:val="zh-CN" w:eastAsia="zh-CN"/>
        </w:rPr>
        <w:t>财务管理制度相对健全，严格</w:t>
      </w:r>
      <w:r>
        <w:rPr>
          <w:rFonts w:hint="eastAsia" w:ascii="仿宋_GB2312" w:hAnsi="仿宋_GB2312" w:eastAsia="仿宋_GB2312" w:cs="仿宋_GB2312"/>
          <w:bCs/>
          <w:sz w:val="32"/>
          <w:szCs w:val="32"/>
          <w:lang w:val="en-US" w:eastAsia="zh-CN"/>
        </w:rPr>
        <w:t>按</w:t>
      </w:r>
      <w:r>
        <w:rPr>
          <w:rFonts w:hint="eastAsia" w:ascii="仿宋_GB2312" w:hAnsi="仿宋_GB2312" w:eastAsia="仿宋_GB2312" w:cs="仿宋_GB2312"/>
          <w:bCs/>
          <w:sz w:val="32"/>
          <w:szCs w:val="32"/>
          <w:lang w:val="zh-CN" w:eastAsia="zh-CN"/>
        </w:rPr>
        <w:t>财务管理制度</w:t>
      </w:r>
      <w:r>
        <w:rPr>
          <w:rFonts w:hint="eastAsia" w:ascii="仿宋_GB2312" w:hAnsi="仿宋_GB2312" w:eastAsia="仿宋_GB2312" w:cs="仿宋_GB2312"/>
          <w:bCs/>
          <w:sz w:val="32"/>
          <w:szCs w:val="32"/>
          <w:lang w:val="en-US" w:eastAsia="zh-CN"/>
        </w:rPr>
        <w:t>执行</w:t>
      </w:r>
      <w:r>
        <w:rPr>
          <w:rFonts w:hint="eastAsia" w:ascii="仿宋_GB2312" w:hAnsi="仿宋_GB2312" w:eastAsia="仿宋_GB2312" w:cs="仿宋_GB2312"/>
          <w:bCs/>
          <w:sz w:val="32"/>
          <w:szCs w:val="32"/>
          <w:lang w:val="zh-CN" w:eastAsia="zh-CN"/>
        </w:rPr>
        <w:t>，账务处理及时，会计、</w:t>
      </w:r>
      <w:r>
        <w:rPr>
          <w:rFonts w:hint="eastAsia" w:ascii="仿宋_GB2312" w:hAnsi="仿宋_GB2312" w:eastAsia="仿宋_GB2312" w:cs="仿宋_GB2312"/>
          <w:bCs/>
          <w:sz w:val="32"/>
          <w:szCs w:val="32"/>
          <w:lang w:val="en-US" w:eastAsia="zh-CN"/>
        </w:rPr>
        <w:t>出纳</w:t>
      </w:r>
      <w:r>
        <w:rPr>
          <w:rFonts w:hint="eastAsia" w:ascii="仿宋_GB2312" w:hAnsi="仿宋_GB2312" w:eastAsia="仿宋_GB2312" w:cs="仿宋_GB2312"/>
          <w:bCs/>
          <w:sz w:val="32"/>
          <w:szCs w:val="32"/>
          <w:lang w:val="zh-CN" w:eastAsia="zh-CN"/>
        </w:rPr>
        <w:t>核算</w:t>
      </w:r>
      <w:r>
        <w:rPr>
          <w:rFonts w:hint="eastAsia" w:ascii="仿宋_GB2312" w:hAnsi="仿宋_GB2312" w:eastAsia="仿宋_GB2312" w:cs="仿宋_GB2312"/>
          <w:bCs/>
          <w:sz w:val="32"/>
          <w:szCs w:val="32"/>
          <w:lang w:val="en-US" w:eastAsia="zh-CN"/>
        </w:rPr>
        <w:t>较为准确规范。我局领导对各专项资金的管理使用都高度重视，在使用时均严格按照专项资金使用的相关政策进行使用，坚决做到专款专用，强化监督，堵塞漏洞，使各专项资金能够充分发挥其应有的作用。</w:t>
      </w:r>
    </w:p>
    <w:p w14:paraId="0A890B7E">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医疗服务与保障能力提升补助资金2022年总收入10万元（阿州财社[2022]017号）（中央财政补贴收入10万元）。</w:t>
      </w:r>
    </w:p>
    <w:p w14:paraId="2C106929">
      <w:pPr>
        <w:pStyle w:val="7"/>
        <w:keepNext w:val="0"/>
        <w:keepLines w:val="0"/>
        <w:pageBreakBefore w:val="0"/>
        <w:widowControl/>
        <w:numPr>
          <w:ilvl w:val="0"/>
          <w:numId w:val="0"/>
        </w:numPr>
        <w:suppressLineNumbers w:val="0"/>
        <w:tabs>
          <w:tab w:val="left" w:pos="1091"/>
        </w:tabs>
        <w:kinsoku/>
        <w:wordWrap/>
        <w:overflowPunct/>
        <w:topLinePunct w:val="0"/>
        <w:autoSpaceDE w:val="0"/>
        <w:autoSpaceDN/>
        <w:bidi w:val="0"/>
        <w:adjustRightInd/>
        <w:spacing w:before="0" w:beforeAutospacing="0" w:afterAutospacing="0" w:line="576" w:lineRule="atLeast"/>
        <w:ind w:right="0" w:rightChars="0" w:firstLine="640" w:firstLineChars="200"/>
        <w:jc w:val="both"/>
        <w:rPr>
          <w:rFonts w:hint="eastAsia" w:ascii="楷体_GB2312" w:hAnsi="楷体_GB2312" w:eastAsia="楷体_GB2312" w:cs="楷体_GB2312"/>
          <w:sz w:val="32"/>
          <w:szCs w:val="32"/>
          <w:shd w:val="clear" w:color="auto" w:fill="FFFFFF"/>
          <w:lang w:eastAsia="zh-CN"/>
        </w:rPr>
      </w:pPr>
      <w:r>
        <w:rPr>
          <w:rFonts w:hint="eastAsia" w:ascii="楷体_GB2312" w:hAnsi="楷体_GB2312" w:eastAsia="楷体_GB2312" w:cs="楷体_GB2312"/>
          <w:sz w:val="32"/>
          <w:szCs w:val="32"/>
          <w:shd w:val="clear" w:color="auto" w:fill="FFFFFF"/>
          <w:lang w:eastAsia="zh-CN"/>
        </w:rPr>
        <w:t>（二）部门财政资金支出情况</w:t>
      </w:r>
    </w:p>
    <w:p w14:paraId="2A418B31">
      <w:pPr>
        <w:pStyle w:val="7"/>
        <w:keepNext w:val="0"/>
        <w:keepLines w:val="0"/>
        <w:pageBreakBefore w:val="0"/>
        <w:widowControl/>
        <w:suppressLineNumbers w:val="0"/>
        <w:kinsoku/>
        <w:wordWrap/>
        <w:overflowPunct/>
        <w:topLinePunct w:val="0"/>
        <w:autoSpaceDE w:val="0"/>
        <w:autoSpaceDN/>
        <w:bidi w:val="0"/>
        <w:adjustRightInd/>
        <w:spacing w:before="0" w:beforeAutospacing="0" w:afterAutospacing="0" w:line="576" w:lineRule="atLeast"/>
        <w:ind w:left="0" w:firstLine="640" w:firstLineChars="200"/>
        <w:jc w:val="both"/>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医疗服务与保障能力提升中央财政补助资金截止2022年10月18日已全部用于职工的业务能力提升。</w:t>
      </w:r>
    </w:p>
    <w:p w14:paraId="5C47DCCF">
      <w:pPr>
        <w:pStyle w:val="7"/>
        <w:keepNext w:val="0"/>
        <w:keepLines w:val="0"/>
        <w:pageBreakBefore w:val="0"/>
        <w:widowControl/>
        <w:numPr>
          <w:ilvl w:val="0"/>
          <w:numId w:val="1"/>
        </w:numPr>
        <w:suppressLineNumbers w:val="0"/>
        <w:kinsoku/>
        <w:wordWrap/>
        <w:overflowPunct/>
        <w:topLinePunct w:val="0"/>
        <w:autoSpaceDE w:val="0"/>
        <w:autoSpaceDN/>
        <w:bidi w:val="0"/>
        <w:adjustRightInd/>
        <w:spacing w:before="0" w:beforeAutospacing="0" w:afterAutospacing="0" w:line="576" w:lineRule="atLeast"/>
        <w:ind w:left="0" w:leftChars="0" w:firstLine="0" w:firstLineChars="0"/>
        <w:jc w:val="both"/>
        <w:rPr>
          <w:rFonts w:hint="eastAsia" w:ascii="楷体_GB2312" w:hAnsi="楷体_GB2312" w:eastAsia="楷体_GB2312" w:cs="楷体_GB2312"/>
          <w:b/>
          <w:bCs w:val="0"/>
          <w:sz w:val="32"/>
          <w:szCs w:val="32"/>
          <w:lang w:val="en-US" w:eastAsia="zh-CN"/>
        </w:rPr>
      </w:pPr>
      <w:r>
        <w:rPr>
          <w:rFonts w:hint="eastAsia" w:ascii="楷体_GB2312" w:hAnsi="楷体_GB2312" w:eastAsia="楷体_GB2312" w:cs="楷体_GB2312"/>
          <w:b/>
          <w:bCs w:val="0"/>
          <w:sz w:val="32"/>
          <w:szCs w:val="32"/>
          <w:lang w:val="en-US" w:eastAsia="zh-CN"/>
        </w:rPr>
        <w:t>部门整体预算绩效管理情况</w:t>
      </w:r>
    </w:p>
    <w:p w14:paraId="5BF19E2B">
      <w:pPr>
        <w:pStyle w:val="7"/>
        <w:keepNext w:val="0"/>
        <w:keepLines w:val="0"/>
        <w:pageBreakBefore w:val="0"/>
        <w:widowControl/>
        <w:numPr>
          <w:ilvl w:val="0"/>
          <w:numId w:val="0"/>
        </w:numPr>
        <w:suppressLineNumbers w:val="0"/>
        <w:kinsoku/>
        <w:wordWrap/>
        <w:overflowPunct/>
        <w:topLinePunct w:val="0"/>
        <w:autoSpaceDE w:val="0"/>
        <w:autoSpaceDN/>
        <w:bidi w:val="0"/>
        <w:adjustRightInd/>
        <w:spacing w:before="0" w:beforeAutospacing="0" w:afterAutospacing="0" w:line="576" w:lineRule="atLeast"/>
        <w:ind w:right="0" w:rightChars="0" w:firstLine="640" w:firstLineChars="200"/>
        <w:jc w:val="both"/>
        <w:rPr>
          <w:rFonts w:hint="eastAsia" w:ascii="楷体_GB2312" w:hAnsi="楷体_GB2312" w:eastAsia="楷体_GB2312" w:cs="楷体_GB2312"/>
          <w:bCs/>
          <w:sz w:val="32"/>
          <w:szCs w:val="32"/>
          <w:lang w:val="en-US" w:eastAsia="zh-CN"/>
        </w:rPr>
      </w:pPr>
      <w:r>
        <w:rPr>
          <w:rFonts w:hint="eastAsia" w:ascii="楷体_GB2312" w:hAnsi="楷体_GB2312" w:eastAsia="楷体_GB2312" w:cs="楷体_GB2312"/>
          <w:bCs/>
          <w:sz w:val="32"/>
          <w:szCs w:val="32"/>
          <w:lang w:val="en-US" w:eastAsia="zh-CN"/>
        </w:rPr>
        <w:t>（一）部门预算管理</w:t>
      </w:r>
    </w:p>
    <w:p w14:paraId="244CF824">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1、能力提升补助资金2022年总收入10万元。</w:t>
      </w:r>
    </w:p>
    <w:p w14:paraId="45F77216">
      <w:pPr>
        <w:pStyle w:val="7"/>
        <w:keepNext w:val="0"/>
        <w:keepLines w:val="0"/>
        <w:pageBreakBefore w:val="0"/>
        <w:widowControl/>
        <w:numPr>
          <w:ilvl w:val="0"/>
          <w:numId w:val="0"/>
        </w:numPr>
        <w:suppressLineNumbers w:val="0"/>
        <w:kinsoku/>
        <w:wordWrap/>
        <w:overflowPunct/>
        <w:topLinePunct w:val="0"/>
        <w:autoSpaceDE w:val="0"/>
        <w:autoSpaceDN/>
        <w:bidi w:val="0"/>
        <w:adjustRightInd/>
        <w:spacing w:before="0" w:beforeAutospacing="0" w:afterAutospacing="0" w:line="576" w:lineRule="atLeast"/>
        <w:ind w:right="0" w:rightChars="0" w:firstLine="640" w:firstLineChars="200"/>
        <w:jc w:val="both"/>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2、医疗服务与保障能力提升中央财政补助资金截止2022年10月18日已全部用于职工的业务能力提升。</w:t>
      </w:r>
    </w:p>
    <w:p w14:paraId="4D5DADF2">
      <w:pPr>
        <w:pStyle w:val="7"/>
        <w:keepNext w:val="0"/>
        <w:keepLines w:val="0"/>
        <w:pageBreakBefore w:val="0"/>
        <w:widowControl/>
        <w:numPr>
          <w:ilvl w:val="0"/>
          <w:numId w:val="0"/>
        </w:numPr>
        <w:suppressLineNumbers w:val="0"/>
        <w:kinsoku/>
        <w:wordWrap/>
        <w:overflowPunct/>
        <w:topLinePunct w:val="0"/>
        <w:autoSpaceDE w:val="0"/>
        <w:autoSpaceDN/>
        <w:bidi w:val="0"/>
        <w:adjustRightInd/>
        <w:spacing w:before="0" w:beforeAutospacing="0" w:afterAutospacing="0" w:line="576" w:lineRule="atLeast"/>
        <w:ind w:right="0" w:rightChars="0" w:firstLine="640" w:firstLineChars="200"/>
        <w:jc w:val="both"/>
        <w:rPr>
          <w:rFonts w:hint="eastAsia" w:ascii="楷体_GB2312" w:hAnsi="楷体_GB2312" w:eastAsia="楷体_GB2312" w:cs="楷体_GB2312"/>
          <w:bCs/>
          <w:sz w:val="32"/>
          <w:szCs w:val="32"/>
          <w:lang w:val="en-US" w:eastAsia="zh-CN"/>
        </w:rPr>
      </w:pPr>
      <w:r>
        <w:rPr>
          <w:rFonts w:hint="eastAsia" w:ascii="楷体_GB2312" w:hAnsi="楷体_GB2312" w:eastAsia="楷体_GB2312" w:cs="楷体_GB2312"/>
          <w:bCs/>
          <w:sz w:val="32"/>
          <w:szCs w:val="32"/>
          <w:lang w:val="en-US" w:eastAsia="zh-CN"/>
        </w:rPr>
        <w:t>（二）结果应用情况</w:t>
      </w:r>
    </w:p>
    <w:p w14:paraId="0A68AC51">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1、我单位根据专项绩效评定指标，对2022年度医疗服务与保障能力提升中央财政补助资金进行量化评价，自评指标得分94分。</w:t>
      </w:r>
    </w:p>
    <w:p w14:paraId="2ECCE353">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2、本次项目评价结果值得在以后的年度预算安排中借鉴，评价结果可自行公开。</w:t>
      </w:r>
    </w:p>
    <w:p w14:paraId="131BAE9B">
      <w:pPr>
        <w:pStyle w:val="2"/>
        <w:rPr>
          <w:rFonts w:hint="eastAsia" w:ascii="楷体_GB2312" w:hAnsi="楷体_GB2312" w:eastAsia="楷体_GB2312" w:cs="楷体_GB2312"/>
          <w:b/>
          <w:bCs w:val="0"/>
          <w:kern w:val="2"/>
          <w:sz w:val="32"/>
          <w:szCs w:val="32"/>
          <w:lang w:val="en-US" w:eastAsia="zh-CN" w:bidi="ar-SA"/>
        </w:rPr>
      </w:pPr>
      <w:r>
        <w:rPr>
          <w:rFonts w:hint="eastAsia" w:ascii="楷体_GB2312" w:hAnsi="楷体_GB2312" w:eastAsia="楷体_GB2312" w:cs="楷体_GB2312"/>
          <w:b/>
          <w:bCs w:val="0"/>
          <w:kern w:val="2"/>
          <w:sz w:val="32"/>
          <w:szCs w:val="32"/>
          <w:lang w:val="en-US" w:eastAsia="zh-CN" w:bidi="ar-SA"/>
        </w:rPr>
        <w:t>四、评价结论及建议</w:t>
      </w:r>
    </w:p>
    <w:p w14:paraId="6723F622">
      <w:pPr>
        <w:pStyle w:val="2"/>
        <w:ind w:firstLine="640" w:firstLineChars="200"/>
        <w:rPr>
          <w:rFonts w:hint="eastAsia" w:ascii="楷体_GB2312" w:hAnsi="楷体_GB2312" w:eastAsia="楷体_GB2312" w:cs="楷体_GB2312"/>
          <w:bCs/>
          <w:kern w:val="2"/>
          <w:sz w:val="32"/>
          <w:szCs w:val="32"/>
          <w:lang w:val="en-US" w:eastAsia="zh-CN" w:bidi="ar-SA"/>
        </w:rPr>
      </w:pPr>
      <w:r>
        <w:rPr>
          <w:rFonts w:hint="eastAsia" w:ascii="楷体_GB2312" w:hAnsi="楷体_GB2312" w:eastAsia="楷体_GB2312" w:cs="楷体_GB2312"/>
          <w:bCs/>
          <w:kern w:val="2"/>
          <w:sz w:val="32"/>
          <w:szCs w:val="32"/>
          <w:lang w:val="en-US" w:eastAsia="zh-CN" w:bidi="ar-SA"/>
        </w:rPr>
        <w:t>（一）评价结论</w:t>
      </w:r>
    </w:p>
    <w:p w14:paraId="0CA9D767">
      <w:pPr>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我单位根据专项绩效评定指标，对2022年度医疗服务与保障能力提升中央财政补助资金进行量化评价，自评指标得分94分。</w:t>
      </w:r>
    </w:p>
    <w:p w14:paraId="6E950BCA">
      <w:pPr>
        <w:pStyle w:val="2"/>
        <w:numPr>
          <w:ilvl w:val="0"/>
          <w:numId w:val="0"/>
        </w:numPr>
        <w:ind w:leftChars="0" w:firstLine="640" w:firstLineChars="200"/>
        <w:rPr>
          <w:rFonts w:hint="eastAsia" w:ascii="楷体_GB2312" w:hAnsi="楷体_GB2312" w:eastAsia="楷体_GB2312" w:cs="楷体_GB2312"/>
          <w:bCs/>
          <w:kern w:val="2"/>
          <w:sz w:val="32"/>
          <w:szCs w:val="32"/>
          <w:lang w:val="en-US" w:eastAsia="zh-CN" w:bidi="ar-SA"/>
        </w:rPr>
      </w:pPr>
      <w:r>
        <w:rPr>
          <w:rFonts w:hint="eastAsia" w:ascii="楷体_GB2312" w:hAnsi="楷体_GB2312" w:eastAsia="楷体_GB2312" w:cs="楷体_GB2312"/>
          <w:bCs/>
          <w:kern w:val="2"/>
          <w:sz w:val="32"/>
          <w:szCs w:val="32"/>
          <w:lang w:val="en-US" w:eastAsia="zh-CN" w:bidi="ar-SA"/>
        </w:rPr>
        <w:t>（二）存在问题</w:t>
      </w:r>
    </w:p>
    <w:p w14:paraId="089EBACD">
      <w:pPr>
        <w:pStyle w:val="2"/>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政策宣传尚需进一步加强：我们通过微信公众号、下乡宣讲、会议等多种方式向各界群众宣传医保相关政策，加强打击欺诈骗保工作力度，切实保障医保基金合理有效使用；加快推进医保支付方式改革和DRG试点工作；有效提升监管能力，加强监管体系、监管队伍建设。取得了一定的效果，群众对相关政策，取得了一定的效果，群众对相关政策有了一定程度的了解，但从总体来看，宣传工作尚未普及，群众对政策的知晓度还不是很高，政策宣传面还不是很广，政策宣传力度还不够与深入，政策宣传形式缺乏多样性。</w:t>
      </w:r>
    </w:p>
    <w:p w14:paraId="03C87CEF">
      <w:pPr>
        <w:pStyle w:val="2"/>
        <w:numPr>
          <w:ilvl w:val="0"/>
          <w:numId w:val="0"/>
        </w:numPr>
        <w:tabs>
          <w:tab w:val="left" w:pos="0"/>
        </w:tabs>
        <w:ind w:leftChars="200"/>
        <w:rPr>
          <w:rFonts w:hint="eastAsia" w:ascii="楷体_GB2312" w:hAnsi="楷体_GB2312" w:eastAsia="楷体_GB2312" w:cs="楷体_GB2312"/>
          <w:bCs/>
          <w:kern w:val="2"/>
          <w:sz w:val="32"/>
          <w:szCs w:val="32"/>
          <w:lang w:val="en-US" w:eastAsia="zh-CN" w:bidi="ar-SA"/>
        </w:rPr>
      </w:pPr>
      <w:r>
        <w:rPr>
          <w:rFonts w:hint="eastAsia" w:ascii="楷体_GB2312" w:hAnsi="楷体_GB2312" w:eastAsia="楷体_GB2312" w:cs="楷体_GB2312"/>
          <w:bCs/>
          <w:kern w:val="2"/>
          <w:sz w:val="32"/>
          <w:szCs w:val="32"/>
          <w:lang w:val="en-US" w:eastAsia="zh-CN" w:bidi="ar-SA"/>
        </w:rPr>
        <w:t>（三）改进建议</w:t>
      </w:r>
    </w:p>
    <w:p w14:paraId="542605CA">
      <w:pPr>
        <w:pStyle w:val="2"/>
        <w:numPr>
          <w:ilvl w:val="0"/>
          <w:numId w:val="0"/>
        </w:numPr>
        <w:tabs>
          <w:tab w:val="left" w:pos="0"/>
        </w:tabs>
        <w:ind w:leftChars="200" w:firstLine="640" w:firstLineChars="200"/>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进一步提高医保服务能力，持续做好医保惠民工作，持续开展政策宣传。利用广播、电视、网络、报纸、微信、宣传手册、一次性告知单等形式，多渠道、多样性的增加宣传方式。</w:t>
      </w:r>
    </w:p>
    <w:p w14:paraId="1C99DFF1">
      <w:pPr>
        <w:pStyle w:val="2"/>
        <w:numPr>
          <w:ilvl w:val="0"/>
          <w:numId w:val="0"/>
        </w:numPr>
        <w:tabs>
          <w:tab w:val="left" w:pos="0"/>
        </w:tabs>
        <w:ind w:leftChars="200" w:firstLine="320" w:firstLineChars="100"/>
        <w:rPr>
          <w:rFonts w:hint="eastAsia" w:ascii="仿宋_GB2312" w:hAnsi="仿宋_GB2312" w:eastAsia="仿宋_GB2312" w:cs="仿宋_GB2312"/>
          <w:bCs/>
          <w:kern w:val="2"/>
          <w:sz w:val="32"/>
          <w:szCs w:val="32"/>
          <w:lang w:val="en-US" w:eastAsia="zh-CN" w:bidi="ar-SA"/>
        </w:rPr>
      </w:pPr>
    </w:p>
    <w:p w14:paraId="3B2B910C">
      <w:pPr>
        <w:pStyle w:val="2"/>
        <w:numPr>
          <w:ilvl w:val="0"/>
          <w:numId w:val="0"/>
        </w:numPr>
        <w:tabs>
          <w:tab w:val="left" w:pos="0"/>
        </w:tabs>
        <w:ind w:leftChars="200" w:firstLine="320" w:firstLineChars="100"/>
        <w:rPr>
          <w:rFonts w:hint="eastAsia" w:ascii="仿宋_GB2312" w:hAnsi="仿宋_GB2312" w:eastAsia="仿宋_GB2312" w:cs="仿宋_GB2312"/>
          <w:bCs/>
          <w:kern w:val="2"/>
          <w:sz w:val="32"/>
          <w:szCs w:val="32"/>
          <w:lang w:val="en-US" w:eastAsia="zh-CN" w:bidi="ar-SA"/>
        </w:rPr>
      </w:pPr>
    </w:p>
    <w:p w14:paraId="3C947625">
      <w:pPr>
        <w:pStyle w:val="2"/>
        <w:numPr>
          <w:ilvl w:val="0"/>
          <w:numId w:val="0"/>
        </w:numPr>
        <w:tabs>
          <w:tab w:val="left" w:pos="0"/>
        </w:tabs>
        <w:ind w:leftChars="200" w:firstLine="320" w:firstLineChars="100"/>
        <w:jc w:val="center"/>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 xml:space="preserve">                 红原县医疗保障局</w:t>
      </w:r>
    </w:p>
    <w:p w14:paraId="0AF391CA">
      <w:pPr>
        <w:pStyle w:val="2"/>
        <w:numPr>
          <w:ilvl w:val="0"/>
          <w:numId w:val="0"/>
        </w:numPr>
        <w:tabs>
          <w:tab w:val="left" w:pos="0"/>
        </w:tabs>
        <w:ind w:leftChars="200" w:firstLine="320" w:firstLineChars="100"/>
        <w:jc w:val="center"/>
        <w:rPr>
          <w:rFonts w:hint="default"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 xml:space="preserve">                  2023年6月6日</w:t>
      </w:r>
    </w:p>
    <w:p w14:paraId="0145AA2A">
      <w:pPr>
        <w:pStyle w:val="2"/>
        <w:numPr>
          <w:ilvl w:val="0"/>
          <w:numId w:val="0"/>
        </w:numPr>
        <w:ind w:leftChars="0"/>
        <w:rPr>
          <w:rFonts w:hint="eastAsia" w:ascii="仿宋_GB2312" w:hAnsi="仿宋_GB2312" w:eastAsia="仿宋_GB2312" w:cs="仿宋_GB2312"/>
          <w:bCs/>
          <w:kern w:val="2"/>
          <w:sz w:val="32"/>
          <w:szCs w:val="32"/>
          <w:lang w:val="en-US" w:eastAsia="zh-CN" w:bidi="ar-SA"/>
        </w:rPr>
      </w:pPr>
    </w:p>
    <w:p w14:paraId="79B910E8">
      <w:pPr>
        <w:pStyle w:val="2"/>
        <w:numPr>
          <w:ilvl w:val="0"/>
          <w:numId w:val="0"/>
        </w:numPr>
        <w:ind w:leftChars="0"/>
        <w:rPr>
          <w:rFonts w:hint="default" w:ascii="仿宋_GB2312" w:hAnsi="仿宋_GB2312" w:eastAsia="仿宋_GB2312" w:cs="仿宋_GB2312"/>
          <w:bCs/>
          <w:kern w:val="2"/>
          <w:sz w:val="32"/>
          <w:szCs w:val="32"/>
          <w:lang w:val="en-US" w:eastAsia="zh-CN" w:bidi="ar-SA"/>
        </w:rPr>
      </w:pPr>
    </w:p>
    <w:p w14:paraId="5CE71C0D">
      <w:pPr>
        <w:pStyle w:val="7"/>
        <w:keepNext w:val="0"/>
        <w:keepLines w:val="0"/>
        <w:pageBreakBefore w:val="0"/>
        <w:widowControl/>
        <w:numPr>
          <w:ilvl w:val="0"/>
          <w:numId w:val="0"/>
        </w:numPr>
        <w:suppressLineNumbers w:val="0"/>
        <w:kinsoku/>
        <w:wordWrap/>
        <w:overflowPunct/>
        <w:topLinePunct w:val="0"/>
        <w:autoSpaceDE w:val="0"/>
        <w:autoSpaceDN/>
        <w:bidi w:val="0"/>
        <w:adjustRightInd/>
        <w:spacing w:before="0" w:beforeAutospacing="0" w:afterAutospacing="0" w:line="576" w:lineRule="atLeast"/>
        <w:ind w:right="0" w:rightChars="0"/>
        <w:jc w:val="both"/>
        <w:rPr>
          <w:rFonts w:hint="eastAsia" w:ascii="仿宋_GB2312" w:hAnsi="仿宋_GB2312" w:eastAsia="仿宋_GB2312" w:cs="仿宋_GB2312"/>
          <w:bCs/>
          <w:sz w:val="32"/>
          <w:szCs w:val="32"/>
          <w:lang w:val="en-US" w:eastAsia="zh-CN"/>
        </w:rPr>
      </w:pPr>
    </w:p>
    <w:p w14:paraId="74D52BD8">
      <w:pPr>
        <w:pStyle w:val="7"/>
        <w:keepNext w:val="0"/>
        <w:keepLines w:val="0"/>
        <w:pageBreakBefore w:val="0"/>
        <w:widowControl/>
        <w:numPr>
          <w:ilvl w:val="0"/>
          <w:numId w:val="0"/>
        </w:numPr>
        <w:suppressLineNumbers w:val="0"/>
        <w:kinsoku/>
        <w:wordWrap/>
        <w:overflowPunct/>
        <w:topLinePunct w:val="0"/>
        <w:autoSpaceDE w:val="0"/>
        <w:autoSpaceDN/>
        <w:bidi w:val="0"/>
        <w:adjustRightInd/>
        <w:spacing w:before="0" w:beforeAutospacing="0" w:afterAutospacing="0" w:line="576" w:lineRule="atLeast"/>
        <w:ind w:leftChars="0" w:right="0" w:rightChars="0"/>
        <w:jc w:val="both"/>
        <w:rPr>
          <w:rFonts w:hint="eastAsia" w:ascii="仿宋_GB2312" w:hAnsi="仿宋_GB2312" w:eastAsia="仿宋_GB2312" w:cs="仿宋_GB2312"/>
          <w:bCs/>
          <w:sz w:val="32"/>
          <w:szCs w:val="32"/>
          <w:lang w:val="en-US" w:eastAsia="zh-CN"/>
        </w:rPr>
      </w:pPr>
    </w:p>
    <w:p w14:paraId="4FA3EF71">
      <w:pPr>
        <w:numPr>
          <w:ilvl w:val="0"/>
          <w:numId w:val="0"/>
        </w:numPr>
        <w:ind w:leftChars="0"/>
        <w:jc w:val="both"/>
        <w:rPr>
          <w:rFonts w:hint="eastAsia" w:ascii="仿宋_GB2312" w:hAnsi="仿宋_GB2312" w:eastAsia="仿宋_GB2312" w:cs="仿宋_GB2312"/>
          <w:sz w:val="32"/>
          <w:szCs w:val="32"/>
          <w:lang w:val="en-US" w:eastAsia="zh-CN"/>
        </w:rPr>
      </w:pPr>
    </w:p>
    <w:p w14:paraId="31998B16">
      <w:pPr>
        <w:numPr>
          <w:ilvl w:val="0"/>
          <w:numId w:val="0"/>
        </w:numPr>
        <w:ind w:leftChars="0"/>
        <w:jc w:val="both"/>
        <w:rPr>
          <w:rFonts w:hint="default" w:ascii="仿宋_GB2312" w:hAnsi="仿宋_GB2312" w:eastAsia="仿宋_GB2312" w:cs="仿宋_GB2312"/>
          <w:sz w:val="32"/>
          <w:szCs w:val="32"/>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49A9CC4"/>
    <w:multiLevelType w:val="singleLevel"/>
    <w:tmpl w:val="749A9CC4"/>
    <w:lvl w:ilvl="0" w:tentative="0">
      <w:start w:val="1"/>
      <w:numFmt w:val="chineseCounting"/>
      <w:suff w:val="nothing"/>
      <w:lvlText w:val="%1、"/>
      <w:lvlJc w:val="left"/>
      <w:rPr>
        <w:rFonts w:hint="eastAsia"/>
      </w:rPr>
    </w:lvl>
  </w:abstractNum>
  <w:abstractNum w:abstractNumId="1">
    <w:nsid w:val="7CB0DF9D"/>
    <w:multiLevelType w:val="multilevel"/>
    <w:tmpl w:val="7CB0DF9D"/>
    <w:lvl w:ilvl="0" w:tentative="0">
      <w:start w:val="3"/>
      <w:numFmt w:val="chineseCounting"/>
      <w:suff w:val="nothing"/>
      <w:lvlText w:val="（%1）"/>
      <w:lvlJc w:val="left"/>
      <w:pPr>
        <w:tabs>
          <w:tab w:val="left" w:pos="0"/>
        </w:tabs>
        <w:ind w:left="0" w:firstLine="0"/>
      </w:pPr>
      <w:rPr>
        <w:rFonts w:hint="eastAsia" w:ascii="宋体" w:hAnsi="宋体" w:eastAsia="宋体" w:cs="宋体"/>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NmNmUyNWQwNjMxMWQwM2NjMDZkM2VmMTQyMjA4ZWEifQ=="/>
  </w:docVars>
  <w:rsids>
    <w:rsidRoot w:val="4774552F"/>
    <w:rsid w:val="30FE0C7E"/>
    <w:rsid w:val="35D60A83"/>
    <w:rsid w:val="3C91537F"/>
    <w:rsid w:val="42997662"/>
    <w:rsid w:val="4774552F"/>
    <w:rsid w:val="4B864421"/>
    <w:rsid w:val="554B3634"/>
    <w:rsid w:val="7E99425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Style w:val="4"/>
      <w:tblCellMar>
        <w:top w:w="0" w:type="dxa"/>
        <w:left w:w="108" w:type="dxa"/>
        <w:bottom w:w="0" w:type="dxa"/>
        <w:right w:w="108" w:type="dxa"/>
      </w:tblCellMar>
    </w:tblPr>
  </w:style>
  <w:style w:type="paragraph" w:styleId="2">
    <w:name w:val="Body Text"/>
    <w:basedOn w:val="1"/>
    <w:qFormat/>
    <w:uiPriority w:val="0"/>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character" w:customStyle="1" w:styleId="6">
    <w:name w:val="15"/>
    <w:basedOn w:val="5"/>
    <w:uiPriority w:val="0"/>
    <w:rPr>
      <w:rFonts w:hint="default" w:ascii="Times New Roman" w:hAnsi="Times New Roman" w:cs="Times New Roman"/>
      <w:b/>
    </w:rPr>
  </w:style>
  <w:style w:type="paragraph" w:customStyle="1" w:styleId="7">
    <w:name w:val="普通(网站) Char"/>
    <w:basedOn w:val="1"/>
    <w:uiPriority w:val="0"/>
    <w:pPr>
      <w:spacing w:before="100" w:beforeAutospacing="1" w:after="100" w:afterAutospacing="1"/>
      <w:ind w:left="0" w:right="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1828</Words>
  <Characters>1877</Characters>
  <Lines>0</Lines>
  <Paragraphs>0</Paragraphs>
  <TotalTime>24</TotalTime>
  <ScaleCrop>false</ScaleCrop>
  <LinksUpToDate>false</LinksUpToDate>
  <CharactersWithSpaces>1913</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2023-05-29T01:39:00Z</dcterms:created>
  <dc:creator>Easy</dc:creator>
  <cp:lastModifiedBy>Sayya丁</cp:lastModifiedBy>
  <dcterms:modified xsi:type="dcterms:W3CDTF">2024-08-22T09:28:24Z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D04A9A251EBD4FC4A64AA755AA1A01E1_13</vt:lpwstr>
  </property>
</Properties>
</file>