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eastAsia="方正小标宋简体"/>
          <w:sz w:val="72"/>
          <w:szCs w:val="72"/>
        </w:rPr>
      </w:pPr>
      <w:bookmarkStart w:id="0" w:name="_Toc15377193"/>
      <w:bookmarkStart w:id="1" w:name="_Toc15378441"/>
      <w:bookmarkStart w:id="2" w:name="_Toc15396597"/>
      <w:bookmarkStart w:id="3" w:name="_Toc15377425"/>
      <w:bookmarkStart w:id="4" w:name="_Toc15396475"/>
      <w:bookmarkStart w:id="5" w:name="_Toc15306267"/>
    </w:p>
    <w:p>
      <w:pPr>
        <w:spacing w:line="600" w:lineRule="exact"/>
        <w:jc w:val="center"/>
        <w:outlineLvl w:val="9"/>
        <w:rPr>
          <w:rFonts w:ascii="方正小标宋简体" w:eastAsia="方正小标宋简体"/>
          <w:sz w:val="72"/>
          <w:szCs w:val="72"/>
        </w:rPr>
      </w:pPr>
    </w:p>
    <w:p>
      <w:pPr>
        <w:spacing w:line="600" w:lineRule="exact"/>
        <w:jc w:val="center"/>
        <w:outlineLvl w:val="9"/>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6" w:name="_Toc8511"/>
      <w:r>
        <w:rPr>
          <w:rFonts w:hint="eastAsia" w:ascii="方正小标宋简体" w:eastAsia="方正小标宋简体" w:cs="方正小标宋简体"/>
          <w:sz w:val="72"/>
          <w:szCs w:val="72"/>
        </w:rPr>
        <w:t>2022年度</w:t>
      </w:r>
      <w:bookmarkEnd w:id="0"/>
      <w:bookmarkEnd w:id="1"/>
      <w:bookmarkEnd w:id="2"/>
      <w:bookmarkEnd w:id="3"/>
      <w:bookmarkEnd w:id="4"/>
      <w:bookmarkEnd w:id="6"/>
    </w:p>
    <w:bookmarkEnd w:id="5"/>
    <w:p>
      <w:pPr>
        <w:adjustRightInd w:val="0"/>
        <w:snapToGrid w:val="0"/>
        <w:spacing w:line="360" w:lineRule="auto"/>
        <w:jc w:val="center"/>
        <w:outlineLvl w:val="0"/>
        <w:rPr>
          <w:rFonts w:hint="eastAsia" w:ascii="方正小标宋简体" w:hAnsi="宋体" w:eastAsia="方正小标宋简体"/>
          <w:color w:val="000000"/>
          <w:sz w:val="72"/>
          <w:szCs w:val="72"/>
        </w:rPr>
      </w:pPr>
      <w:bookmarkStart w:id="7" w:name="_Toc22556"/>
      <w:bookmarkStart w:id="8" w:name="_Toc15377194"/>
      <w:bookmarkStart w:id="9" w:name="_Toc22638"/>
      <w:bookmarkStart w:id="10" w:name="_Toc15396598"/>
      <w:bookmarkStart w:id="11" w:name="_Toc15378442"/>
      <w:bookmarkStart w:id="12" w:name="_Toc15396476"/>
      <w:bookmarkStart w:id="13" w:name="_Toc15377426"/>
      <w:r>
        <w:rPr>
          <w:rFonts w:hint="eastAsia" w:ascii="方正小标宋简体" w:hAnsi="宋体" w:eastAsia="方正小标宋简体"/>
          <w:color w:val="000000"/>
          <w:sz w:val="72"/>
          <w:szCs w:val="72"/>
        </w:rPr>
        <w:t>四川省阿坝州</w:t>
      </w:r>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14" w:name="_Toc27132"/>
      <w:r>
        <w:rPr>
          <w:rFonts w:hint="eastAsia" w:ascii="方正小标宋简体" w:hAnsi="宋体" w:eastAsia="方正小标宋简体"/>
          <w:color w:val="000000"/>
          <w:sz w:val="72"/>
          <w:szCs w:val="72"/>
          <w:lang w:eastAsia="zh-CN"/>
        </w:rPr>
        <w:t>红原县</w:t>
      </w:r>
      <w:bookmarkStart w:id="15" w:name="_Toc15306268"/>
      <w:r>
        <w:rPr>
          <w:rFonts w:hint="eastAsia" w:ascii="方正小标宋简体" w:hAnsi="宋体" w:eastAsia="方正小标宋简体"/>
          <w:color w:val="000000"/>
          <w:sz w:val="72"/>
          <w:szCs w:val="72"/>
          <w:lang w:eastAsia="zh-CN"/>
        </w:rPr>
        <w:t>水务局</w:t>
      </w: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pStyle w:val="16"/>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widowControl/>
        <w:jc w:val="center"/>
        <w:rPr>
          <w:rFonts w:hint="eastAsia" w:ascii="黑体" w:eastAsia="黑体"/>
          <w:sz w:val="48"/>
          <w:szCs w:val="48"/>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r>
        <w:rPr>
          <w:rFonts w:ascii="方正小标宋简体" w:eastAsia="方正小标宋简体"/>
          <w:sz w:val="36"/>
          <w:szCs w:val="36"/>
        </w:rPr>
        <w:br w:type="page"/>
      </w:r>
    </w:p>
    <w:sdt>
      <w:sdtPr>
        <w:rPr>
          <w:rFonts w:ascii="宋体" w:hAnsi="宋体" w:eastAsia="宋体" w:cs="Times New Roman"/>
          <w:kern w:val="2"/>
          <w:sz w:val="21"/>
          <w:szCs w:val="24"/>
          <w:lang w:val="en-US" w:eastAsia="zh-CN" w:bidi="ar-SA"/>
        </w:rPr>
        <w:id w:val="147474419"/>
        <w15:color w:val="DBDBDB"/>
        <w:docPartObj>
          <w:docPartGallery w:val="Table of Contents"/>
          <w:docPartUnique/>
        </w:docPartObj>
      </w:sdtPr>
      <w:sdtEndPr>
        <w:rPr>
          <w:rFonts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ascii="宋体" w:hAnsi="宋体" w:eastAsia="宋体"/>
              <w:sz w:val="21"/>
            </w:rPr>
          </w:pPr>
          <w:r>
            <w:rPr>
              <w:rFonts w:hint="eastAsia" w:ascii="黑体" w:hAnsi="黑体" w:eastAsia="黑体" w:cs="黑体"/>
              <w:sz w:val="48"/>
              <w:szCs w:val="48"/>
            </w:rPr>
            <w:t>目</w:t>
          </w:r>
          <w:r>
            <w:rPr>
              <w:rFonts w:hint="eastAsia" w:ascii="黑体" w:hAnsi="黑体" w:eastAsia="黑体" w:cs="黑体"/>
              <w:sz w:val="48"/>
              <w:szCs w:val="48"/>
              <w:lang w:val="en-US" w:eastAsia="zh-CN"/>
            </w:rPr>
            <w:t xml:space="preserve">  </w:t>
          </w:r>
          <w:r>
            <w:rPr>
              <w:rFonts w:hint="eastAsia" w:ascii="黑体" w:hAnsi="黑体" w:eastAsia="黑体" w:cs="黑体"/>
              <w:sz w:val="48"/>
              <w:szCs w:val="48"/>
            </w:rPr>
            <w:t>录</w:t>
          </w:r>
        </w:p>
        <w:p>
          <w:pPr>
            <w:pStyle w:val="2"/>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公开时间：2023年8月25日</w:t>
          </w:r>
        </w:p>
        <w:p>
          <w:pPr>
            <w:pStyle w:val="36"/>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TOC \o "1-3" \h \u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_Toc8166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xml:space="preserve">第一部分 </w:t>
          </w:r>
          <w:r>
            <w:rPr>
              <w:rFonts w:hint="eastAsia" w:ascii="仿宋_GB2312" w:hAnsi="仿宋_GB2312" w:eastAsia="仿宋_GB2312" w:cs="仿宋_GB2312"/>
              <w:bCs w:val="0"/>
              <w:sz w:val="28"/>
              <w:szCs w:val="28"/>
            </w:rPr>
            <w:t>部门概况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_Toc8166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_Toc20151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 部门职责</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_Toc20151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_Toc22278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rPr>
            <w:t>（一）主要职能</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_Toc22278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_Toc11392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sz w:val="28"/>
              <w:szCs w:val="28"/>
              <w:lang w:val="en-US" w:eastAsia="zh-CN"/>
            </w:rPr>
            <w:t>( 二）当年重点工作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_Toc11392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_Toc6864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二、机</w:t>
          </w:r>
          <w:r>
            <w:rPr>
              <w:rFonts w:hint="eastAsia" w:ascii="仿宋_GB2312" w:hAnsi="仿宋_GB2312" w:eastAsia="仿宋_GB2312" w:cs="仿宋_GB2312"/>
              <w:bCs w:val="0"/>
              <w:sz w:val="28"/>
              <w:szCs w:val="28"/>
            </w:rPr>
            <w:t>构设置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_Toc6864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_Toc5587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第二部分 2022年度</w:t>
          </w:r>
          <w:r>
            <w:rPr>
              <w:rFonts w:hint="eastAsia" w:ascii="仿宋_GB2312" w:hAnsi="仿宋_GB2312" w:eastAsia="仿宋_GB2312" w:cs="仿宋_GB2312"/>
              <w:bCs/>
              <w:sz w:val="28"/>
              <w:szCs w:val="28"/>
            </w:rPr>
            <w:t>部门决算情况说明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_Toc5587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_Toc23648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 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_Toc23648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_Toc1449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收入决算情况说明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_Toc26605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_Toc26605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_Toc26615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四、财政拨款收入支出决算总体情况说明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_Toc26615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_Toc28620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五、一般公共预算财政拨款支出决算情况说明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_Toc28620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_Toc2850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（一）一般公共预算财政拨款支出决算总体情况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_Toc2850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_Toc140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（二）一般公共预算财政拨款支出决算结构情况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9</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_Toc27199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（三）一般公共预算财政拨款支出决算具体情况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_Toc27199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_Toc32270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六、一般公共预算财政拨款基本支出决算情况说明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_Toc32270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_Toc5264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七、财政拨款“三公”经费支出决算情况说明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_Toc5264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_Toc29460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（一）“三公”经费财政拨款支出决算总体情况说明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_Toc29460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_Toc9178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（二）“三公”经费财政拨款支出决算具体情况说明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_Toc9178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_Toc21826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八、政府性基金预算支出决算情况说明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_Toc21826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_Toc15313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九、国有资本经营预算支出决算情况说明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_Toc15313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_Toc1538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十、其他重要事项的情况说明</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_Toc1538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_Toc9028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（一）机关运行经费支出情况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_Toc9028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_Toc14257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（二）政府采购支出情况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_Toc14257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_Toc22207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（三）国有资产占有使用情况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_Toc22207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_Toc16836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（四）预算绩效管理情况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_Toc16836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_Toc20631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val="0"/>
              <w:color w:val="auto"/>
              <w:kern w:val="2"/>
              <w:sz w:val="28"/>
              <w:szCs w:val="28"/>
              <w:lang w:val="en-US" w:eastAsia="zh-CN" w:bidi="ar-SA"/>
            </w:rPr>
            <w:t>绩效目标完成情况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_Toc20631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_Toc31527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部门开展绩效评价结果</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_Toc31527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_Toc25161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第三部分 名词解释</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_Toc25161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6"/>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_Toc29857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第四部分 附件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_Toc29857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_Toc12755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_Toc12755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_Toc31547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kern w:val="0"/>
              <w:sz w:val="28"/>
              <w:szCs w:val="28"/>
              <w:shd w:val="clear" w:fill="FFFFFF"/>
              <w:lang w:val="zh-CN"/>
            </w:rPr>
            <w:t xml:space="preserve">一、 </w:t>
          </w:r>
          <w:r>
            <w:rPr>
              <w:rFonts w:hint="eastAsia" w:ascii="仿宋_GB2312" w:hAnsi="仿宋_GB2312" w:eastAsia="仿宋_GB2312" w:cs="仿宋_GB2312"/>
              <w:kern w:val="0"/>
              <w:sz w:val="28"/>
              <w:szCs w:val="28"/>
              <w:shd w:val="clear" w:color="auto" w:fill="FFFFFF"/>
              <w:lang w:val="zh-CN"/>
            </w:rPr>
            <w:t>部门（单位）基本情况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_Toc31547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28</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_Toc17149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kern w:val="0"/>
              <w:sz w:val="28"/>
              <w:szCs w:val="28"/>
              <w:shd w:val="clear" w:color="auto" w:fill="FFFFFF"/>
            </w:rPr>
            <w:t>二、部门资金收支情况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_Toc17149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_Toc19196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0"/>
              <w:sz w:val="28"/>
              <w:szCs w:val="28"/>
              <w:shd w:val="clear" w:color="auto" w:fill="FFFFFF"/>
              <w:lang w:val="zh-CN"/>
            </w:rPr>
            <w:t>（一）部门总体收支情况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_Toc19196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_Toc29600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0"/>
              <w:sz w:val="28"/>
              <w:szCs w:val="28"/>
              <w:shd w:val="clear" w:color="auto" w:fill="FFFFFF"/>
              <w:lang w:val="zh-CN"/>
            </w:rPr>
            <w:t>（二）部门财政拨款收支情况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_Toc29600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_Toc23679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0"/>
              <w:sz w:val="28"/>
              <w:szCs w:val="28"/>
              <w:shd w:val="clear" w:color="auto" w:fill="FFFFFF"/>
              <w:lang w:val="zh-CN"/>
            </w:rPr>
            <w:t>（一）部门预算项目绩效分析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_Toc23679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30</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_Toc19312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0"/>
              <w:sz w:val="28"/>
              <w:szCs w:val="28"/>
              <w:shd w:val="clear" w:color="auto" w:fill="FFFFFF"/>
              <w:lang w:val="zh-CN"/>
            </w:rPr>
            <w:t>（二）部门整体履职绩效分析</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_Toc19312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_Toc19494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0"/>
              <w:sz w:val="28"/>
              <w:szCs w:val="28"/>
              <w:shd w:val="clear" w:color="auto" w:fill="FFFFFF"/>
              <w:lang w:val="zh-CN"/>
            </w:rPr>
            <w:t>（三）结果应用情况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_Toc19494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_Toc17111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0"/>
              <w:sz w:val="28"/>
              <w:szCs w:val="28"/>
              <w:shd w:val="clear" w:fill="FFFFFF"/>
              <w:lang w:val="zh-CN"/>
            </w:rPr>
            <w:t xml:space="preserve">（四） </w:t>
          </w:r>
          <w:r>
            <w:rPr>
              <w:rFonts w:hint="eastAsia" w:ascii="仿宋_GB2312" w:hAnsi="仿宋_GB2312" w:eastAsia="仿宋_GB2312" w:cs="仿宋_GB2312"/>
              <w:bCs/>
              <w:kern w:val="0"/>
              <w:sz w:val="28"/>
              <w:szCs w:val="28"/>
              <w:shd w:val="clear" w:color="auto" w:fill="FFFFFF"/>
              <w:lang w:val="zh-CN"/>
            </w:rPr>
            <w:t>自评质量</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_Toc17111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_Toc4089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kern w:val="0"/>
              <w:sz w:val="28"/>
              <w:szCs w:val="28"/>
              <w:shd w:val="clear" w:color="auto" w:fill="FFFFFF"/>
            </w:rPr>
            <w:t>四、评价结论及建议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_Toc4089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_Toc480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bCs/>
              <w:kern w:val="0"/>
              <w:sz w:val="28"/>
              <w:szCs w:val="28"/>
              <w:shd w:val="clear" w:color="auto" w:fill="FFFFFF"/>
              <w:lang w:val="zh-CN"/>
            </w:rPr>
            <w:t>（三）改进建议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_Toc480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32</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_Toc6518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shd w:val="clear" w:color="auto" w:fill="FFFFFF"/>
              <w:lang w:val="zh-CN"/>
            </w:rPr>
            <w:t>附件</w:t>
          </w:r>
          <w:r>
            <w:rPr>
              <w:rFonts w:hint="eastAsia" w:ascii="仿宋_GB2312" w:hAnsi="仿宋_GB2312" w:eastAsia="仿宋_GB2312" w:cs="仿宋_GB2312"/>
              <w:sz w:val="28"/>
              <w:szCs w:val="28"/>
              <w:shd w:val="clear" w:color="auto" w:fill="FFFFFF"/>
            </w:rPr>
            <w:t>2</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_Toc6518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_Toc24388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一、</w:t>
          </w:r>
          <w:r>
            <w:rPr>
              <w:rFonts w:hint="eastAsia" w:ascii="仿宋_GB2312" w:hAnsi="仿宋_GB2312" w:eastAsia="仿宋_GB2312" w:cs="仿宋_GB2312"/>
              <w:sz w:val="28"/>
              <w:szCs w:val="28"/>
              <w:lang w:val="zh-CN"/>
            </w:rPr>
            <w:t>项目概况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_Toc24388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_Toc10967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（一）项目基本情况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_Toc10967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_Toc26904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（二）项目绩效目标</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_Toc26904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33</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_Toc9116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（三）项目自评步骤及方法</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_Toc9116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_Toc19371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二、项目资金申报及使用情况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_Toc19371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_Toc26206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（一）项目资金申报及批复情况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_Toc26206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_Toc20628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（二）资金计划、</w:t>
          </w:r>
          <w:bookmarkStart w:id="148" w:name="_GoBack"/>
          <w:r>
            <w:rPr>
              <w:rFonts w:hint="eastAsia" w:ascii="仿宋_GB2312" w:hAnsi="仿宋_GB2312" w:eastAsia="仿宋_GB2312" w:cs="仿宋_GB2312"/>
              <w:sz w:val="28"/>
              <w:szCs w:val="28"/>
              <w:lang w:val="zh-CN"/>
            </w:rPr>
            <w:t>到</w:t>
          </w:r>
          <w:bookmarkEnd w:id="148"/>
          <w:r>
            <w:rPr>
              <w:rFonts w:hint="eastAsia" w:ascii="仿宋_GB2312" w:hAnsi="仿宋_GB2312" w:eastAsia="仿宋_GB2312" w:cs="仿宋_GB2312"/>
              <w:sz w:val="28"/>
              <w:szCs w:val="28"/>
              <w:lang w:val="zh-CN"/>
            </w:rPr>
            <w:t>位及使用情况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_Toc20628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_Toc18994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（三）项目财务管理情况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_Toc18994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_Toc16136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color w:val="auto"/>
              <w:sz w:val="28"/>
              <w:szCs w:val="28"/>
              <w:lang w:val="zh-CN"/>
            </w:rPr>
            <w:t>（一） 项目组织架构及实施流程</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_Toc16136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34</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_Toc23588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（二） 项目管理情况。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_Toc23588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_Toc28646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（三） 项目监管情况。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_Toc28646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_Toc6548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四、项目绩效情况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_Toc6548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_Toc15131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（一）项目完成情况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_Toc15131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_Toc21119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（二）项目效益情况</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_Toc21119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35</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7"/>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_Toc20824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五、评价结论及建议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_Toc20824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_Toc6898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（一）评价结论</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_Toc6898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_Toc27684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（二） 存在的问题</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_Toc27684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pPr>
            <w:pStyle w:val="38"/>
            <w:tabs>
              <w:tab w:val="right" w:leader="dot" w:pos="8306"/>
            </w:tabs>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HYPERLINK \l _Toc11581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（三） 相关建议</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PAGEREF _Toc11581 \h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36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fldChar w:fldCharType="end"/>
          </w:r>
        </w:p>
        <w:p>
          <w:r>
            <w:rPr>
              <w:rFonts w:hint="eastAsia" w:ascii="仿宋_GB2312" w:hAnsi="仿宋_GB2312" w:eastAsia="仿宋_GB2312" w:cs="仿宋_GB2312"/>
              <w:sz w:val="28"/>
              <w:szCs w:val="28"/>
            </w:rPr>
            <w:fldChar w:fldCharType="end"/>
          </w:r>
        </w:p>
      </w:sdtContent>
    </w:sdt>
    <w:p>
      <w:pPr>
        <w:widowControl/>
        <w:spacing w:line="440" w:lineRule="exact"/>
        <w:jc w:val="left"/>
        <w:rPr>
          <w:rFonts w:ascii="仿宋" w:eastAsia="仿宋"/>
          <w:bCs/>
          <w:kern w:val="44"/>
          <w:sz w:val="24"/>
        </w:rPr>
      </w:pPr>
      <w:bookmarkStart w:id="16" w:name="_Toc15377196"/>
      <w:bookmarkStart w:id="17" w:name="_Toc15396599"/>
      <w:r>
        <w:rPr>
          <w:rFonts w:ascii="仿宋" w:eastAsia="仿宋"/>
          <w:b/>
          <w:sz w:val="24"/>
        </w:rPr>
        <w:br w:type="page"/>
      </w:r>
    </w:p>
    <w:p>
      <w:pPr>
        <w:pStyle w:val="3"/>
        <w:pageBreakBefore w:val="0"/>
        <w:kinsoku/>
        <w:wordWrap/>
        <w:overflowPunct/>
        <w:topLinePunct w:val="0"/>
        <w:bidi w:val="0"/>
        <w:spacing w:after="0" w:afterAutospacing="0" w:line="560" w:lineRule="exact"/>
        <w:jc w:val="center"/>
        <w:textAlignment w:val="auto"/>
        <w:rPr>
          <w:rStyle w:val="21"/>
          <w:rFonts w:ascii="黑体" w:eastAsia="黑体"/>
          <w:b/>
          <w:bCs w:val="0"/>
        </w:rPr>
      </w:pPr>
      <w:bookmarkStart w:id="18" w:name="_Toc8166"/>
      <w:r>
        <w:rPr>
          <w:rFonts w:hint="eastAsia" w:ascii="黑体" w:eastAsia="黑体"/>
          <w:b w:val="0"/>
        </w:rPr>
        <w:t xml:space="preserve">第一部分 </w:t>
      </w:r>
      <w:r>
        <w:rPr>
          <w:rStyle w:val="21"/>
          <w:rFonts w:hint="eastAsia" w:ascii="黑体" w:eastAsia="黑体"/>
          <w:b w:val="0"/>
          <w:bCs w:val="0"/>
        </w:rPr>
        <w:t>部门概况</w:t>
      </w:r>
      <w:bookmarkEnd w:id="16"/>
      <w:bookmarkEnd w:id="17"/>
      <w:bookmarkEnd w:id="18"/>
    </w:p>
    <w:p>
      <w:pPr>
        <w:pStyle w:val="4"/>
        <w:pageBreakBefore w:val="0"/>
        <w:numPr>
          <w:ilvl w:val="0"/>
          <w:numId w:val="0"/>
        </w:numPr>
        <w:kinsoku/>
        <w:wordWrap/>
        <w:overflowPunct/>
        <w:topLinePunct w:val="0"/>
        <w:bidi w:val="0"/>
        <w:spacing w:before="0" w:beforeAutospacing="0" w:after="0" w:afterAutospacing="0" w:line="560" w:lineRule="exact"/>
        <w:ind w:firstLine="640" w:firstLineChars="200"/>
        <w:textAlignment w:val="auto"/>
        <w:rPr>
          <w:rFonts w:hint="eastAsia" w:ascii="黑体" w:eastAsia="黑体"/>
          <w:b w:val="0"/>
        </w:rPr>
      </w:pPr>
      <w:bookmarkStart w:id="19" w:name="_Toc20151"/>
      <w:r>
        <w:rPr>
          <w:rFonts w:hint="eastAsia" w:ascii="黑体" w:eastAsia="黑体"/>
          <w:b w:val="0"/>
          <w:lang w:val="en-US" w:eastAsia="zh-CN"/>
        </w:rPr>
        <w:t>一、</w:t>
      </w:r>
      <w:r>
        <w:rPr>
          <w:rFonts w:hint="eastAsia" w:ascii="黑体" w:eastAsia="黑体"/>
          <w:b w:val="0"/>
        </w:rPr>
        <w:t>部门职责</w:t>
      </w:r>
      <w:bookmarkEnd w:id="19"/>
    </w:p>
    <w:p>
      <w:pPr>
        <w:pStyle w:val="6"/>
        <w:pageBreakBefore w:val="0"/>
        <w:numPr>
          <w:ilvl w:val="0"/>
          <w:numId w:val="0"/>
        </w:numPr>
        <w:kinsoku/>
        <w:wordWrap/>
        <w:overflowPunct/>
        <w:topLinePunct w:val="0"/>
        <w:bidi w:val="0"/>
        <w:adjustRightInd w:val="0"/>
        <w:snapToGrid w:val="0"/>
        <w:spacing w:beforeLines="0" w:beforeAutospacing="0" w:line="560" w:lineRule="exact"/>
        <w:ind w:firstLine="643" w:firstLineChars="200"/>
        <w:textAlignment w:val="auto"/>
        <w:outlineLvl w:val="2"/>
        <w:rPr>
          <w:rFonts w:hint="eastAsia"/>
        </w:rPr>
      </w:pPr>
      <w:bookmarkStart w:id="20" w:name="_Toc15378445"/>
      <w:bookmarkStart w:id="21" w:name="_Toc15377198"/>
      <w:bookmarkStart w:id="22" w:name="_Toc22278"/>
      <w:r>
        <w:rPr>
          <w:rFonts w:hint="eastAsia" w:ascii="楷体_GB2312" w:hAnsi="楷体_GB2312" w:eastAsia="楷体_GB2312" w:cs="楷体_GB2312"/>
          <w:b/>
          <w:bCs w:val="0"/>
          <w:color w:val="000000"/>
          <w:sz w:val="32"/>
          <w:szCs w:val="32"/>
        </w:rPr>
        <w:t>（一）主要职能</w:t>
      </w:r>
      <w:bookmarkEnd w:id="20"/>
      <w:bookmarkEnd w:id="21"/>
      <w:bookmarkEnd w:id="22"/>
    </w:p>
    <w:p>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sz w:val="32"/>
          <w:szCs w:val="32"/>
        </w:rPr>
        <w:t>负责管理全县水资源（含地表水、地下水）开发、利用、保护工作；负责全县水利基本建设项目工作；组织制定全县水资源总体规划、流域规划和专业规划；</w:t>
      </w:r>
      <w:r>
        <w:rPr>
          <w:rFonts w:hint="eastAsia" w:ascii="仿宋_GB2312" w:hAnsi="仿宋_GB2312" w:eastAsia="仿宋_GB2312" w:cs="仿宋_GB2312"/>
          <w:b w:val="0"/>
          <w:bCs/>
          <w:kern w:val="2"/>
          <w:sz w:val="32"/>
          <w:szCs w:val="32"/>
          <w:lang w:val="en-US" w:eastAsia="zh-CN" w:bidi="ar-SA"/>
        </w:rPr>
        <w:t>拟定全县中长期和年度供水计划、水量分配方案和旱情紧急情况下水量调度预案；</w:t>
      </w:r>
      <w:r>
        <w:rPr>
          <w:rFonts w:hint="eastAsia" w:ascii="仿宋_GB2312" w:hAnsi="仿宋_GB2312" w:eastAsia="仿宋_GB2312" w:cs="仿宋_GB2312"/>
          <w:b w:val="0"/>
          <w:bCs/>
          <w:sz w:val="32"/>
          <w:szCs w:val="32"/>
        </w:rPr>
        <w:t>负责全县水行政执法工作；负责有关行政复议受理和行政诉讼应诉工作</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组织实施地方农村水利管理工作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负责全县河道砂石管理；河、湖管理工作；负责全县水土保持预防监督、水土流失监测、水土流失综合治理工作；指导重点水土保持建设项目的实施</w:t>
      </w:r>
      <w:r>
        <w:rPr>
          <w:rFonts w:hint="eastAsia" w:hAnsi="仿宋_GB2312" w:cs="仿宋_GB2312"/>
          <w:b w:val="0"/>
          <w:bCs/>
          <w:sz w:val="32"/>
          <w:szCs w:val="32"/>
          <w:lang w:val="en-US" w:eastAsia="zh-CN"/>
        </w:rPr>
        <w:t>;</w:t>
      </w:r>
      <w:r>
        <w:rPr>
          <w:rFonts w:hint="eastAsia" w:ascii="仿宋_GB2312" w:hAnsi="仿宋_GB2312" w:eastAsia="仿宋_GB2312" w:cs="仿宋_GB2312"/>
          <w:b w:val="0"/>
          <w:bCs/>
          <w:sz w:val="32"/>
          <w:szCs w:val="32"/>
        </w:rPr>
        <w:t>承办县委、县政府交办的其他事项</w:t>
      </w:r>
      <w:r>
        <w:rPr>
          <w:rFonts w:hint="eastAsia" w:ascii="仿宋_GB2312" w:hAnsi="仿宋_GB2312" w:eastAsia="仿宋_GB2312" w:cs="仿宋_GB2312"/>
          <w:b w:val="0"/>
          <w:bCs/>
          <w:kern w:val="2"/>
          <w:sz w:val="32"/>
          <w:szCs w:val="32"/>
          <w:lang w:val="en-US" w:eastAsia="zh-CN" w:bidi="ar-SA"/>
        </w:rPr>
        <w:t>。</w:t>
      </w:r>
    </w:p>
    <w:p>
      <w:pPr>
        <w:pStyle w:val="6"/>
        <w:pageBreakBefore w:val="0"/>
        <w:numPr>
          <w:ilvl w:val="0"/>
          <w:numId w:val="0"/>
        </w:numPr>
        <w:kinsoku/>
        <w:wordWrap/>
        <w:overflowPunct/>
        <w:topLinePunct w:val="0"/>
        <w:bidi w:val="0"/>
        <w:adjustRightInd w:val="0"/>
        <w:snapToGrid w:val="0"/>
        <w:spacing w:before="93" w:line="560" w:lineRule="exact"/>
        <w:ind w:firstLine="643" w:firstLineChars="200"/>
        <w:textAlignment w:val="auto"/>
        <w:outlineLvl w:val="2"/>
        <w:rPr>
          <w:rFonts w:hint="eastAsia" w:ascii="楷体_GB2312" w:hAnsi="楷体_GB2312" w:eastAsia="楷体_GB2312" w:cs="楷体_GB2312"/>
          <w:b/>
          <w:bCs w:val="0"/>
          <w:color w:val="000000"/>
          <w:sz w:val="32"/>
          <w:szCs w:val="32"/>
          <w:lang w:val="en-US" w:eastAsia="zh-CN"/>
        </w:rPr>
      </w:pPr>
      <w:bookmarkStart w:id="23" w:name="_Toc11392"/>
      <w:r>
        <w:rPr>
          <w:rFonts w:hint="eastAsia" w:ascii="楷体_GB2312" w:hAnsi="楷体_GB2312" w:eastAsia="楷体_GB2312" w:cs="楷体_GB2312"/>
          <w:b/>
          <w:bCs w:val="0"/>
          <w:color w:val="000000"/>
          <w:sz w:val="32"/>
          <w:szCs w:val="32"/>
          <w:lang w:val="en-US" w:eastAsia="zh-CN"/>
        </w:rPr>
        <w:t>(二）当年重点工作</w:t>
      </w:r>
      <w:bookmarkEnd w:id="23"/>
    </w:p>
    <w:p>
      <w:pPr>
        <w:pageBreakBefore w:val="0"/>
        <w:kinsoku/>
        <w:wordWrap/>
        <w:overflowPunct/>
        <w:topLinePunct w:val="0"/>
        <w:bidi w:val="0"/>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重点水利基础设施建设项目有序推进。本年，我单位实施水利基础设施项目9个,其中农村饮水项目2个，河道治理类项目7个。我单位狠抓加快项目推进，严把工程质量，确保项目保质保量。</w:t>
      </w:r>
    </w:p>
    <w:p>
      <w:pPr>
        <w:keepNext w:val="0"/>
        <w:keepLines w:val="0"/>
        <w:pageBreakBefore w:val="0"/>
        <w:widowControl/>
        <w:shd w:val="clear" w:color="auto" w:fill="FFFFFF"/>
        <w:tabs>
          <w:tab w:val="left" w:pos="7740"/>
        </w:tabs>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深入推进河长制工作落地落实。</w:t>
      </w:r>
      <w:r>
        <w:rPr>
          <w:rFonts w:hint="eastAsia" w:ascii="仿宋_GB2312" w:hAnsi="仿宋_GB2312" w:eastAsia="仿宋_GB2312" w:cs="仿宋_GB2312"/>
          <w:sz w:val="32"/>
          <w:szCs w:val="32"/>
        </w:rPr>
        <w:t>河长制是一项复杂的系统工程，治理任务重、时间长，</w:t>
      </w:r>
      <w:r>
        <w:rPr>
          <w:rFonts w:hint="eastAsia" w:ascii="仿宋_GB2312" w:hAnsi="仿宋_GB2312" w:eastAsia="仿宋_GB2312" w:cs="仿宋_GB2312"/>
          <w:sz w:val="32"/>
          <w:szCs w:val="32"/>
          <w:lang w:val="en-US" w:eastAsia="zh-CN"/>
        </w:rPr>
        <w:t>我单位将</w:t>
      </w:r>
      <w:r>
        <w:rPr>
          <w:rFonts w:hint="eastAsia" w:ascii="仿宋_GB2312" w:hAnsi="仿宋_GB2312" w:eastAsia="仿宋_GB2312" w:cs="仿宋_GB2312"/>
          <w:sz w:val="32"/>
          <w:szCs w:val="32"/>
        </w:rPr>
        <w:t>突出过程治理，全力管水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突出行政执法，依法治水，精准发力、履职</w:t>
      </w:r>
      <w:r>
        <w:rPr>
          <w:rFonts w:hint="eastAsia" w:ascii="仿宋_GB2312" w:hAnsi="仿宋_GB2312" w:eastAsia="仿宋_GB2312" w:cs="仿宋_GB2312"/>
          <w:sz w:val="32"/>
          <w:szCs w:val="32"/>
          <w:lang w:val="en-US" w:eastAsia="zh-CN"/>
        </w:rPr>
        <w:t>尽责</w:t>
      </w:r>
      <w:r>
        <w:rPr>
          <w:rFonts w:hint="eastAsia" w:ascii="仿宋_GB2312" w:hAnsi="仿宋_GB2312" w:eastAsia="仿宋_GB2312" w:cs="仿宋_GB2312"/>
          <w:sz w:val="32"/>
          <w:szCs w:val="32"/>
        </w:rPr>
        <w:t>，推动</w:t>
      </w:r>
      <w:r>
        <w:rPr>
          <w:rFonts w:hint="eastAsia" w:ascii="仿宋_GB2312" w:hAnsi="仿宋_GB2312" w:eastAsia="仿宋_GB2312" w:cs="仿宋_GB2312"/>
          <w:sz w:val="32"/>
          <w:szCs w:val="32"/>
          <w:lang w:val="en-US" w:eastAsia="zh-CN"/>
        </w:rPr>
        <w:t>我县</w:t>
      </w:r>
      <w:r>
        <w:rPr>
          <w:rFonts w:hint="eastAsia" w:ascii="仿宋_GB2312" w:hAnsi="仿宋_GB2312" w:eastAsia="仿宋_GB2312" w:cs="仿宋_GB2312"/>
          <w:sz w:val="32"/>
          <w:szCs w:val="32"/>
        </w:rPr>
        <w:t>河长制工作再上新台阶。</w:t>
      </w:r>
      <w:r>
        <w:rPr>
          <w:rFonts w:hint="eastAsia" w:ascii="仿宋_GB2312" w:hAnsi="仿宋_GB2312" w:eastAsia="仿宋_GB2312" w:cs="仿宋_GB2312"/>
          <w:sz w:val="32"/>
          <w:szCs w:val="32"/>
          <w:lang w:val="en-US" w:eastAsia="zh-CN"/>
        </w:rPr>
        <w:t>截至目前，</w:t>
      </w:r>
      <w:r>
        <w:rPr>
          <w:rFonts w:hint="eastAsia" w:ascii="仿宋_GB2312" w:hAnsi="仿宋_GB2312" w:eastAsia="仿宋_GB2312" w:cs="仿宋_GB2312"/>
          <w:b w:val="0"/>
          <w:kern w:val="2"/>
          <w:sz w:val="32"/>
          <w:szCs w:val="32"/>
          <w:lang w:val="en-US" w:eastAsia="zh-CN" w:bidi="ar-SA"/>
        </w:rPr>
        <w:t>在全县建立了县、乡（镇）村三级河长体系，全县共设立县级河长14名，镇级河长65名，规范设置河长制公示牌48块，已过生态公益性岗位设置河道管护员91名。</w:t>
      </w:r>
    </w:p>
    <w:p>
      <w:pPr>
        <w:pageBreakBefore w:val="0"/>
        <w:kinsoku/>
        <w:wordWrap/>
        <w:overflowPunct/>
        <w:topLinePunct w:val="0"/>
        <w:bidi w:val="0"/>
        <w:spacing w:line="56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多措并举确保安全度汛。我单位将</w:t>
      </w:r>
      <w:r>
        <w:rPr>
          <w:rFonts w:hint="eastAsia" w:ascii="仿宋_GB2312" w:hAnsi="仿宋_GB2312" w:eastAsia="仿宋_GB2312" w:cs="仿宋_GB2312"/>
          <w:sz w:val="32"/>
          <w:szCs w:val="32"/>
        </w:rPr>
        <w:t>牢固树立和</w:t>
      </w:r>
      <w:r>
        <w:rPr>
          <w:rFonts w:hint="eastAsia" w:ascii="仿宋_GB2312" w:hAnsi="仿宋_GB2312" w:eastAsia="仿宋_GB2312" w:cs="仿宋_GB2312"/>
          <w:sz w:val="32"/>
          <w:szCs w:val="32"/>
          <w:lang w:eastAsia="zh-CN"/>
        </w:rPr>
        <w:t>践行</w:t>
      </w:r>
      <w:r>
        <w:rPr>
          <w:rFonts w:hint="eastAsia" w:ascii="仿宋_GB2312" w:hAnsi="仿宋_GB2312" w:eastAsia="仿宋_GB2312" w:cs="仿宋_GB2312"/>
          <w:sz w:val="32"/>
          <w:szCs w:val="32"/>
        </w:rPr>
        <w:t>生命至上、安全第一理念，坚守不伤人、</w:t>
      </w:r>
      <w:r>
        <w:rPr>
          <w:rFonts w:hint="eastAsia" w:ascii="仿宋_GB2312" w:hAnsi="仿宋_GB2312" w:eastAsia="仿宋_GB2312" w:cs="仿宋_GB2312"/>
          <w:sz w:val="32"/>
          <w:szCs w:val="32"/>
          <w:lang w:eastAsia="zh-CN"/>
        </w:rPr>
        <w:t>不死人、</w:t>
      </w:r>
      <w:r>
        <w:rPr>
          <w:rFonts w:hint="eastAsia" w:ascii="仿宋_GB2312" w:hAnsi="仿宋_GB2312" w:eastAsia="仿宋_GB2312" w:cs="仿宋_GB2312"/>
          <w:sz w:val="32"/>
          <w:szCs w:val="32"/>
        </w:rPr>
        <w:t>少损失这条底线，</w:t>
      </w:r>
      <w:r>
        <w:rPr>
          <w:rFonts w:hint="eastAsia" w:ascii="仿宋_GB2312" w:hAnsi="仿宋_GB2312" w:eastAsia="仿宋_GB2312" w:cs="仿宋_GB2312"/>
          <w:sz w:val="32"/>
          <w:szCs w:val="32"/>
          <w:lang w:val="en-US" w:eastAsia="zh-CN"/>
        </w:rPr>
        <w:t>通过开展汛前排查，严格日常值守、强化物资储备、加强宣传引导等方式，多措并举推动各项防汛工作落实落细，安全度汛。</w:t>
      </w:r>
    </w:p>
    <w:p>
      <w:pPr>
        <w:pageBreakBefore w:val="0"/>
        <w:kinsoku/>
        <w:wordWrap/>
        <w:overflowPunct/>
        <w:topLinePunct w:val="0"/>
        <w:bidi w:val="0"/>
        <w:spacing w:afterAutospacing="0"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农村饮水安全再巩固再提升。</w:t>
      </w:r>
      <w:r>
        <w:rPr>
          <w:rFonts w:hint="eastAsia" w:ascii="仿宋_GB2312" w:hAnsi="仿宋_GB2312" w:eastAsia="仿宋_GB2312" w:cs="仿宋_GB2312"/>
          <w:sz w:val="32"/>
          <w:szCs w:val="32"/>
          <w:lang w:eastAsia="zh-CN"/>
        </w:rPr>
        <w:t>坚持把农村饮水</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lang w:eastAsia="zh-CN"/>
        </w:rPr>
        <w:t>作为为民办实事的首要任</w:t>
      </w:r>
      <w:r>
        <w:rPr>
          <w:rFonts w:hint="eastAsia" w:ascii="仿宋_GB2312" w:hAnsi="仿宋_GB2312" w:eastAsia="仿宋_GB2312" w:cs="仿宋_GB2312"/>
          <w:sz w:val="32"/>
          <w:szCs w:val="32"/>
        </w:rPr>
        <w:t>务</w:t>
      </w:r>
      <w:r>
        <w:rPr>
          <w:rFonts w:hint="eastAsia" w:ascii="仿宋_GB2312" w:hAnsi="仿宋_GB2312" w:eastAsia="仿宋_GB2312" w:cs="仿宋_GB2312"/>
          <w:sz w:val="32"/>
          <w:szCs w:val="32"/>
          <w:lang w:val="en-US" w:eastAsia="zh-CN"/>
        </w:rPr>
        <w:t>，依托农村饮水安全运行维护项目，及时对群众反映的农村饮水问题及时维修维护。进一步完善农村饮水安全管理服务体系。全面落实“三个责任”，推行“三项制度”，加强《农村饮水安全工作运行管理办法实施细则》的落实，推动水费收缴工作的开展，确保农村水利基础设施、服务体系有效运转。</w:t>
      </w:r>
    </w:p>
    <w:p>
      <w:pPr>
        <w:pStyle w:val="4"/>
        <w:pageBreakBefore w:val="0"/>
        <w:kinsoku/>
        <w:wordWrap/>
        <w:overflowPunct/>
        <w:topLinePunct w:val="0"/>
        <w:bidi w:val="0"/>
        <w:spacing w:before="0" w:beforeAutospacing="0" w:after="0" w:afterAutospacing="0" w:line="560" w:lineRule="exact"/>
        <w:ind w:firstLine="640" w:firstLineChars="200"/>
        <w:textAlignment w:val="auto"/>
        <w:rPr>
          <w:rStyle w:val="22"/>
          <w:b w:val="0"/>
          <w:bCs w:val="0"/>
        </w:rPr>
      </w:pPr>
      <w:bookmarkStart w:id="24" w:name="_Toc6864"/>
      <w:bookmarkStart w:id="25" w:name="_Toc15396601"/>
      <w:bookmarkStart w:id="26" w:name="_Toc15377200"/>
      <w:r>
        <w:rPr>
          <w:rFonts w:hint="eastAsia" w:ascii="黑体" w:eastAsia="黑体"/>
          <w:b w:val="0"/>
        </w:rPr>
        <w:t>二、机</w:t>
      </w:r>
      <w:r>
        <w:rPr>
          <w:rStyle w:val="22"/>
          <w:rFonts w:hint="eastAsia" w:ascii="黑体" w:eastAsia="黑体"/>
          <w:b w:val="0"/>
          <w:bCs w:val="0"/>
        </w:rPr>
        <w:t>构设置</w:t>
      </w:r>
      <w:bookmarkEnd w:id="24"/>
      <w:bookmarkEnd w:id="25"/>
      <w:bookmarkEnd w:id="26"/>
    </w:p>
    <w:p>
      <w:pPr>
        <w:pStyle w:val="6"/>
        <w:pageBreakBefore w:val="0"/>
        <w:kinsoku/>
        <w:wordWrap/>
        <w:overflowPunct/>
        <w:topLinePunct w:val="0"/>
        <w:bidi w:val="0"/>
        <w:adjustRightInd w:val="0"/>
        <w:snapToGrid w:val="0"/>
        <w:spacing w:beforeLines="0" w:beforeAutospacing="0" w:line="560" w:lineRule="exact"/>
        <w:ind w:firstLine="640" w:firstLineChars="200"/>
        <w:textAlignment w:val="auto"/>
      </w:pPr>
      <w:r>
        <w:rPr>
          <w:rFonts w:hint="eastAsia"/>
          <w:sz w:val="32"/>
          <w:szCs w:val="32"/>
          <w:lang w:eastAsia="zh-CN"/>
        </w:rPr>
        <w:t>水务局下设单位（股室）</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w:t>
      </w:r>
      <w:r>
        <w:rPr>
          <w:rFonts w:hint="eastAsia"/>
          <w:sz w:val="32"/>
          <w:szCs w:val="32"/>
          <w:lang w:eastAsia="zh-CN"/>
        </w:rPr>
        <w:t>分别是：水务局内设机构综合办公室</w:t>
      </w:r>
      <w:r>
        <w:rPr>
          <w:rFonts w:hint="eastAsia"/>
          <w:sz w:val="32"/>
          <w:szCs w:val="32"/>
          <w:lang w:val="en-US" w:eastAsia="zh-CN"/>
        </w:rPr>
        <w:t>;</w:t>
      </w:r>
      <w:r>
        <w:rPr>
          <w:rFonts w:hint="eastAsia" w:ascii="仿宋_GB2312" w:hAnsi="仿宋_GB2312" w:eastAsia="仿宋_GB2312" w:cs="仿宋_GB2312"/>
          <w:b w:val="0"/>
          <w:bCs/>
          <w:sz w:val="32"/>
          <w:szCs w:val="32"/>
          <w:lang w:eastAsia="zh-CN"/>
        </w:rPr>
        <w:t>水务局</w:t>
      </w:r>
      <w:r>
        <w:rPr>
          <w:rFonts w:hint="eastAsia" w:ascii="仿宋_GB2312" w:hAnsi="仿宋_GB2312" w:eastAsia="仿宋_GB2312" w:cs="仿宋_GB2312"/>
          <w:b w:val="0"/>
          <w:bCs/>
          <w:sz w:val="32"/>
          <w:szCs w:val="32"/>
        </w:rPr>
        <w:t>所属事业单位</w:t>
      </w:r>
      <w:r>
        <w:rPr>
          <w:rFonts w:hint="eastAsia" w:ascii="仿宋_GB2312" w:hAnsi="仿宋_GB2312" w:eastAsia="仿宋_GB2312" w:cs="仿宋_GB2312"/>
          <w:b w:val="0"/>
          <w:bCs/>
          <w:sz w:val="32"/>
          <w:szCs w:val="32"/>
          <w:lang w:eastAsia="zh-CN"/>
        </w:rPr>
        <w:t>水务服务中心</w:t>
      </w:r>
      <w:r>
        <w:rPr>
          <w:rFonts w:hint="eastAsia" w:hAnsi="仿宋_GB2312" w:cs="仿宋_GB2312"/>
          <w:b w:val="0"/>
          <w:bCs/>
          <w:sz w:val="32"/>
          <w:szCs w:val="32"/>
          <w:lang w:eastAsia="zh-CN"/>
        </w:rPr>
        <w:t>。</w:t>
      </w:r>
    </w:p>
    <w:p>
      <w:pPr>
        <w:pageBreakBefore w:val="0"/>
        <w:widowControl/>
        <w:kinsoku/>
        <w:wordWrap/>
        <w:overflowPunct/>
        <w:topLinePunct w:val="0"/>
        <w:bidi w:val="0"/>
        <w:spacing w:line="560" w:lineRule="exact"/>
        <w:jc w:val="left"/>
        <w:textAlignment w:val="auto"/>
        <w:rPr>
          <w:rFonts w:ascii="仿宋" w:eastAsia="仿宋"/>
          <w:kern w:val="0"/>
          <w:sz w:val="32"/>
          <w:szCs w:val="32"/>
        </w:rPr>
      </w:pPr>
      <w:r>
        <w:rPr>
          <w:rFonts w:ascii="仿宋" w:eastAsia="仿宋"/>
          <w:sz w:val="32"/>
          <w:szCs w:val="32"/>
        </w:rPr>
        <w:br w:type="page"/>
      </w:r>
    </w:p>
    <w:p>
      <w:pPr>
        <w:pStyle w:val="3"/>
        <w:pageBreakBefore w:val="0"/>
        <w:kinsoku/>
        <w:wordWrap/>
        <w:overflowPunct/>
        <w:topLinePunct w:val="0"/>
        <w:bidi w:val="0"/>
        <w:spacing w:line="560" w:lineRule="exact"/>
        <w:ind w:right="440"/>
        <w:jc w:val="center"/>
        <w:textAlignment w:val="auto"/>
      </w:pPr>
      <w:bookmarkStart w:id="27" w:name="_Toc5587"/>
      <w:bookmarkStart w:id="28" w:name="_Toc15377204"/>
      <w:bookmarkStart w:id="29" w:name="_Toc15396602"/>
      <w:r>
        <w:rPr>
          <w:rFonts w:hint="eastAsia" w:ascii="黑体" w:eastAsia="黑体"/>
          <w:b w:val="0"/>
        </w:rPr>
        <w:t>第二部分 2022年度</w:t>
      </w:r>
      <w:r>
        <w:rPr>
          <w:rStyle w:val="21"/>
          <w:rFonts w:hint="eastAsia" w:ascii="黑体" w:eastAsia="黑体"/>
          <w:b w:val="0"/>
          <w:bCs/>
        </w:rPr>
        <w:t>部门决算情况说明</w:t>
      </w:r>
      <w:bookmarkEnd w:id="27"/>
      <w:bookmarkEnd w:id="28"/>
      <w:bookmarkEnd w:id="29"/>
    </w:p>
    <w:p>
      <w:pPr>
        <w:pStyle w:val="28"/>
        <w:pageBreakBefore w:val="0"/>
        <w:numPr>
          <w:ilvl w:val="0"/>
          <w:numId w:val="1"/>
        </w:numPr>
        <w:kinsoku/>
        <w:wordWrap/>
        <w:overflowPunct/>
        <w:topLinePunct w:val="0"/>
        <w:bidi w:val="0"/>
        <w:spacing w:line="560" w:lineRule="exact"/>
        <w:ind w:firstLineChars="0"/>
        <w:textAlignment w:val="auto"/>
        <w:outlineLvl w:val="1"/>
        <w:rPr>
          <w:rStyle w:val="22"/>
          <w:rFonts w:ascii="黑体" w:eastAsia="黑体"/>
          <w:b w:val="0"/>
        </w:rPr>
      </w:pPr>
      <w:bookmarkStart w:id="30" w:name="_Toc15377205"/>
      <w:bookmarkStart w:id="31" w:name="_Toc15396603"/>
      <w:bookmarkStart w:id="32" w:name="_Toc23648"/>
      <w:r>
        <w:rPr>
          <w:rFonts w:hint="eastAsia" w:ascii="黑体" w:eastAsia="黑体"/>
          <w:sz w:val="32"/>
          <w:szCs w:val="32"/>
        </w:rPr>
        <w:t>收</w:t>
      </w:r>
      <w:r>
        <w:rPr>
          <w:rStyle w:val="22"/>
          <w:rFonts w:hint="eastAsia" w:ascii="黑体" w:eastAsia="黑体"/>
          <w:b w:val="0"/>
        </w:rPr>
        <w:t>入支出决算总体情况说明</w:t>
      </w:r>
      <w:bookmarkEnd w:id="30"/>
      <w:bookmarkEnd w:id="31"/>
      <w:bookmarkEnd w:id="32"/>
    </w:p>
    <w:p>
      <w:pPr>
        <w:pageBreakBefore w:val="0"/>
        <w:kinsoku/>
        <w:wordWrap/>
        <w:overflowPunct/>
        <w:topLinePunct w:val="0"/>
        <w:bidi w:val="0"/>
        <w:spacing w:line="560" w:lineRule="exact"/>
        <w:ind w:firstLine="640" w:firstLineChars="200"/>
        <w:textAlignment w:val="auto"/>
        <w:rPr>
          <w:rFonts w:hint="eastAsia" w:ascii="仿宋" w:eastAsia="仿宋"/>
          <w:sz w:val="32"/>
          <w:szCs w:val="32"/>
        </w:rPr>
      </w:pPr>
      <w:r>
        <w:rPr>
          <w:rFonts w:hint="eastAsia" w:ascii="仿宋_GB2312" w:hAnsi="Times New Roman" w:eastAsia="仿宋_GB2312" w:cs="Times New Roman"/>
          <w:kern w:val="0"/>
          <w:sz w:val="32"/>
          <w:szCs w:val="32"/>
          <w:shd w:val="clear" w:color="auto" w:fill="FFFFFF"/>
          <w:lang w:val="en-US" w:eastAsia="zh-CN" w:bidi="ar-SA"/>
        </w:rPr>
        <w:t>2022年度收入、支出总计</w:t>
      </w:r>
      <w:r>
        <w:rPr>
          <w:rFonts w:hint="eastAsia" w:ascii="仿宋_GB2312" w:eastAsia="仿宋_GB2312" w:cs="Times New Roman"/>
          <w:kern w:val="0"/>
          <w:sz w:val="32"/>
          <w:szCs w:val="32"/>
          <w:shd w:val="clear" w:color="auto" w:fill="FFFFFF"/>
          <w:lang w:val="en-US" w:eastAsia="zh-CN" w:bidi="ar-SA"/>
        </w:rPr>
        <w:t>15991.35</w:t>
      </w:r>
      <w:r>
        <w:rPr>
          <w:rFonts w:hint="eastAsia" w:ascii="仿宋_GB2312" w:hAnsi="Times New Roman" w:eastAsia="仿宋_GB2312" w:cs="Times New Roman"/>
          <w:kern w:val="0"/>
          <w:sz w:val="32"/>
          <w:szCs w:val="32"/>
          <w:shd w:val="clear" w:color="auto" w:fill="FFFFFF"/>
          <w:lang w:val="en-US" w:eastAsia="zh-CN" w:bidi="ar-SA"/>
        </w:rPr>
        <w:t>万元，与2021年相比，增长11709.67万元，增长273.48%。主要变动原因：项目增加。</w:t>
      </w: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pStyle w:val="6"/>
        <w:pageBreakBefore w:val="0"/>
        <w:kinsoku/>
        <w:wordWrap/>
        <w:overflowPunct/>
        <w:topLinePunct w:val="0"/>
        <w:bidi w:val="0"/>
        <w:spacing w:line="560" w:lineRule="exact"/>
        <w:textAlignment w:val="auto"/>
        <w:rPr>
          <w:rFonts w:hint="eastAsia" w:ascii="仿宋" w:eastAsia="仿宋"/>
          <w:sz w:val="32"/>
          <w:szCs w:val="32"/>
        </w:rPr>
      </w:pPr>
      <w:r>
        <w:rPr>
          <w:rStyle w:val="22"/>
          <w:rFonts w:hint="eastAsia" w:ascii="仿宋_GB2312" w:hAnsi="黑体" w:eastAsia="仿宋_GB2312"/>
          <w:b w:val="0"/>
          <w:lang w:eastAsia="zh-CN"/>
        </w:rPr>
        <w:drawing>
          <wp:anchor distT="0" distB="0" distL="114300" distR="114300" simplePos="0" relativeHeight="251659264" behindDoc="0" locked="0" layoutInCell="1" allowOverlap="1">
            <wp:simplePos x="0" y="0"/>
            <wp:positionH relativeFrom="column">
              <wp:posOffset>33020</wp:posOffset>
            </wp:positionH>
            <wp:positionV relativeFrom="paragraph">
              <wp:posOffset>88900</wp:posOffset>
            </wp:positionV>
            <wp:extent cx="4689475" cy="1859915"/>
            <wp:effectExtent l="4445" t="4445" r="11430" b="2159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6"/>
        <w:pageBreakBefore w:val="0"/>
        <w:kinsoku/>
        <w:wordWrap/>
        <w:overflowPunct/>
        <w:topLinePunct w:val="0"/>
        <w:bidi w:val="0"/>
        <w:spacing w:line="560" w:lineRule="exact"/>
        <w:textAlignment w:val="auto"/>
        <w:rPr>
          <w:rFonts w:hint="eastAsia" w:ascii="仿宋" w:eastAsia="仿宋"/>
          <w:sz w:val="32"/>
          <w:szCs w:val="32"/>
        </w:rPr>
      </w:pPr>
    </w:p>
    <w:p>
      <w:pPr>
        <w:pStyle w:val="6"/>
        <w:pageBreakBefore w:val="0"/>
        <w:kinsoku/>
        <w:wordWrap/>
        <w:overflowPunct/>
        <w:topLinePunct w:val="0"/>
        <w:bidi w:val="0"/>
        <w:spacing w:line="560" w:lineRule="exact"/>
        <w:textAlignment w:val="auto"/>
        <w:rPr>
          <w:rFonts w:hint="eastAsia" w:ascii="仿宋" w:eastAsia="仿宋"/>
          <w:sz w:val="32"/>
          <w:szCs w:val="32"/>
        </w:rPr>
      </w:pPr>
    </w:p>
    <w:p>
      <w:pPr>
        <w:pageBreakBefore w:val="0"/>
        <w:kinsoku/>
        <w:wordWrap/>
        <w:overflowPunct/>
        <w:topLinePunct w:val="0"/>
        <w:bidi w:val="0"/>
        <w:spacing w:line="560" w:lineRule="exact"/>
        <w:ind w:firstLine="640" w:firstLineChars="200"/>
        <w:jc w:val="left"/>
        <w:textAlignment w:val="auto"/>
        <w:rPr>
          <w:rFonts w:ascii="仿宋_GB2312" w:eastAsia="仿宋_GB2312"/>
          <w:sz w:val="32"/>
          <w:szCs w:val="32"/>
        </w:rPr>
      </w:pPr>
    </w:p>
    <w:p>
      <w:pPr>
        <w:pStyle w:val="28"/>
        <w:pageBreakBefore w:val="0"/>
        <w:numPr>
          <w:ilvl w:val="0"/>
          <w:numId w:val="0"/>
        </w:numPr>
        <w:kinsoku/>
        <w:wordWrap/>
        <w:overflowPunct/>
        <w:topLinePunct w:val="0"/>
        <w:bidi w:val="0"/>
        <w:spacing w:line="560" w:lineRule="exact"/>
        <w:textAlignment w:val="auto"/>
        <w:outlineLvl w:val="1"/>
        <w:rPr>
          <w:rFonts w:hint="eastAsia" w:ascii="黑体" w:eastAsia="黑体"/>
          <w:sz w:val="32"/>
          <w:szCs w:val="32"/>
          <w:lang w:eastAsia="zh-CN"/>
        </w:rPr>
      </w:pPr>
      <w:bookmarkStart w:id="33" w:name="_Toc15396604"/>
      <w:bookmarkStart w:id="34" w:name="_Toc15377206"/>
      <w:bookmarkStart w:id="35" w:name="_Toc1449"/>
    </w:p>
    <w:p>
      <w:pPr>
        <w:pStyle w:val="28"/>
        <w:pageBreakBefore w:val="0"/>
        <w:numPr>
          <w:ilvl w:val="0"/>
          <w:numId w:val="0"/>
        </w:numPr>
        <w:kinsoku/>
        <w:wordWrap/>
        <w:overflowPunct/>
        <w:topLinePunct w:val="0"/>
        <w:bidi w:val="0"/>
        <w:spacing w:line="560" w:lineRule="exact"/>
        <w:textAlignment w:val="auto"/>
        <w:outlineLvl w:val="1"/>
        <w:rPr>
          <w:rFonts w:hint="eastAsia" w:ascii="黑体" w:eastAsia="黑体"/>
          <w:sz w:val="32"/>
          <w:szCs w:val="32"/>
          <w:lang w:eastAsia="zh-CN"/>
        </w:rPr>
      </w:pPr>
    </w:p>
    <w:p>
      <w:pPr>
        <w:pStyle w:val="28"/>
        <w:pageBreakBefore w:val="0"/>
        <w:numPr>
          <w:ilvl w:val="0"/>
          <w:numId w:val="0"/>
        </w:numPr>
        <w:kinsoku/>
        <w:wordWrap/>
        <w:overflowPunct/>
        <w:topLinePunct w:val="0"/>
        <w:bidi w:val="0"/>
        <w:spacing w:line="560" w:lineRule="exact"/>
        <w:ind w:firstLine="640" w:firstLineChars="200"/>
        <w:textAlignment w:val="auto"/>
        <w:outlineLvl w:val="1"/>
        <w:rPr>
          <w:rStyle w:val="22"/>
          <w:rFonts w:ascii="黑体" w:eastAsia="黑体"/>
          <w:b w:val="0"/>
        </w:rPr>
      </w:pPr>
      <w:r>
        <w:rPr>
          <w:rFonts w:hint="eastAsia" w:ascii="黑体" w:eastAsia="黑体"/>
          <w:sz w:val="32"/>
          <w:szCs w:val="32"/>
          <w:lang w:eastAsia="zh-CN"/>
        </w:rPr>
        <w:t>二、</w:t>
      </w:r>
      <w:r>
        <w:rPr>
          <w:rFonts w:hint="eastAsia" w:ascii="黑体" w:eastAsia="黑体"/>
          <w:sz w:val="32"/>
          <w:szCs w:val="32"/>
        </w:rPr>
        <w:t>收</w:t>
      </w:r>
      <w:r>
        <w:rPr>
          <w:rStyle w:val="22"/>
          <w:rFonts w:hint="eastAsia" w:ascii="黑体" w:eastAsia="黑体"/>
          <w:b w:val="0"/>
        </w:rPr>
        <w:t>入决算情况说明</w:t>
      </w:r>
      <w:bookmarkEnd w:id="33"/>
      <w:bookmarkEnd w:id="34"/>
      <w:bookmarkEnd w:id="35"/>
    </w:p>
    <w:p>
      <w:pPr>
        <w:pageBreakBefore w:val="0"/>
        <w:kinsoku/>
        <w:wordWrap/>
        <w:overflowPunct/>
        <w:topLinePunct w:val="0"/>
        <w:bidi w:val="0"/>
        <w:spacing w:line="560" w:lineRule="exac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年本年收入合计</w:t>
      </w:r>
      <w:r>
        <w:rPr>
          <w:rFonts w:hint="eastAsia" w:ascii="仿宋_GB2312" w:eastAsia="仿宋_GB2312" w:cs="Times New Roman"/>
          <w:kern w:val="0"/>
          <w:sz w:val="32"/>
          <w:szCs w:val="32"/>
          <w:shd w:val="clear" w:color="auto" w:fill="FFFFFF"/>
          <w:lang w:val="en-US" w:eastAsia="zh-CN" w:bidi="ar-SA"/>
        </w:rPr>
        <w:t>15991.35</w:t>
      </w:r>
      <w:r>
        <w:rPr>
          <w:rFonts w:hint="eastAsia" w:ascii="仿宋_GB2312" w:hAnsi="仿宋" w:eastAsia="仿宋_GB2312"/>
          <w:color w:val="000000"/>
          <w:sz w:val="32"/>
          <w:szCs w:val="32"/>
        </w:rPr>
        <w:t>万元，其中：一般公共预算财政拨款收入</w:t>
      </w:r>
      <w:r>
        <w:rPr>
          <w:rFonts w:hint="eastAsia" w:ascii="仿宋_GB2312" w:hAnsi="仿宋" w:eastAsia="仿宋_GB2312"/>
          <w:color w:val="000000"/>
          <w:sz w:val="32"/>
          <w:szCs w:val="32"/>
          <w:lang w:val="en-US" w:eastAsia="zh-CN"/>
        </w:rPr>
        <w:t>15969.11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99.86</w:t>
      </w:r>
      <w:r>
        <w:rPr>
          <w:rFonts w:hint="eastAsia" w:ascii="仿宋_GB2312" w:hAnsi="仿宋" w:eastAsia="仿宋_GB2312"/>
          <w:color w:val="000000"/>
          <w:sz w:val="32"/>
          <w:szCs w:val="32"/>
        </w:rPr>
        <w:t>%；政府性基金预算财政拨款收入</w:t>
      </w:r>
      <w:r>
        <w:rPr>
          <w:rFonts w:hint="eastAsia" w:ascii="仿宋_GB2312" w:hAnsi="仿宋" w:eastAsia="仿宋_GB2312"/>
          <w:color w:val="000000"/>
          <w:sz w:val="32"/>
          <w:szCs w:val="32"/>
          <w:lang w:val="en-US" w:eastAsia="zh-CN"/>
        </w:rPr>
        <w:t>10.05</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0.06</w:t>
      </w:r>
      <w:r>
        <w:rPr>
          <w:rFonts w:hint="eastAsia" w:ascii="仿宋_GB2312" w:hAnsi="仿宋" w:eastAsia="仿宋_GB2312"/>
          <w:color w:val="000000"/>
          <w:sz w:val="32"/>
          <w:szCs w:val="32"/>
        </w:rPr>
        <w:t>%；其他收入</w:t>
      </w:r>
      <w:r>
        <w:rPr>
          <w:rFonts w:hint="eastAsia" w:ascii="仿宋_GB2312" w:hAnsi="仿宋" w:eastAsia="仿宋_GB2312"/>
          <w:color w:val="000000"/>
          <w:sz w:val="32"/>
          <w:szCs w:val="32"/>
          <w:lang w:val="en-US" w:eastAsia="zh-CN"/>
        </w:rPr>
        <w:t>12.20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0.08</w:t>
      </w:r>
      <w:r>
        <w:rPr>
          <w:rFonts w:hint="eastAsia" w:ascii="仿宋_GB2312" w:hAnsi="仿宋" w:eastAsia="仿宋_GB2312"/>
          <w:color w:val="000000"/>
          <w:sz w:val="32"/>
          <w:szCs w:val="32"/>
        </w:rPr>
        <w:t>%。</w:t>
      </w:r>
    </w:p>
    <w:p>
      <w:pPr>
        <w:pageBreakBefore w:val="0"/>
        <w:kinsoku/>
        <w:wordWrap/>
        <w:overflowPunct/>
        <w:topLinePunct w:val="0"/>
        <w:bidi w:val="0"/>
        <w:spacing w:line="560" w:lineRule="exact"/>
        <w:jc w:val="center"/>
        <w:textAlignment w:val="auto"/>
        <w:rPr>
          <w:rFonts w:hint="eastAsia" w:ascii="仿宋_GB2312" w:hAnsi="仿宋" w:eastAsia="仿宋_GB2312"/>
          <w:color w:val="000000" w:themeColor="text1"/>
          <w:sz w:val="32"/>
          <w:szCs w:val="32"/>
          <w:lang w:eastAsia="zh-CN"/>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（图2：收入决算结构图）</w:t>
      </w:r>
    </w:p>
    <w:p>
      <w:pPr>
        <w:pageBreakBefore w:val="0"/>
        <w:kinsoku/>
        <w:wordWrap/>
        <w:overflowPunct/>
        <w:topLinePunct w:val="0"/>
        <w:bidi w:val="0"/>
        <w:spacing w:line="560" w:lineRule="exact"/>
        <w:ind w:firstLine="1680" w:firstLineChars="200"/>
        <w:textAlignment w:val="auto"/>
        <w:outlineLvl w:val="9"/>
        <w:rPr>
          <w:rFonts w:ascii="仿宋_GB2312" w:hAnsi="仿宋" w:eastAsia="仿宋_GB2312"/>
          <w:color w:val="000000"/>
          <w:sz w:val="84"/>
          <w:szCs w:val="84"/>
        </w:rPr>
      </w:pPr>
      <w:r>
        <w:rPr>
          <w:rFonts w:hint="eastAsia" w:eastAsia="仿宋_GB2312"/>
          <w:sz w:val="84"/>
          <w:szCs w:val="84"/>
          <w:lang w:eastAsia="zh-CN"/>
        </w:rPr>
        <w:drawing>
          <wp:anchor distT="0" distB="0" distL="114300" distR="114300" simplePos="0" relativeHeight="251665408" behindDoc="0" locked="0" layoutInCell="1" allowOverlap="1">
            <wp:simplePos x="0" y="0"/>
            <wp:positionH relativeFrom="page">
              <wp:align>center</wp:align>
            </wp:positionH>
            <wp:positionV relativeFrom="paragraph">
              <wp:posOffset>122555</wp:posOffset>
            </wp:positionV>
            <wp:extent cx="5184775" cy="1830705"/>
            <wp:effectExtent l="4445" t="4445" r="11430" b="1270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8"/>
        <w:pageBreakBefore w:val="0"/>
        <w:numPr>
          <w:ilvl w:val="0"/>
          <w:numId w:val="0"/>
        </w:numPr>
        <w:kinsoku/>
        <w:wordWrap/>
        <w:overflowPunct/>
        <w:topLinePunct w:val="0"/>
        <w:bidi w:val="0"/>
        <w:spacing w:line="560" w:lineRule="exact"/>
        <w:ind w:left="640" w:leftChars="0"/>
        <w:textAlignment w:val="auto"/>
        <w:outlineLvl w:val="1"/>
        <w:rPr>
          <w:rStyle w:val="22"/>
          <w:rFonts w:ascii="黑体" w:eastAsia="黑体"/>
          <w:b w:val="0"/>
        </w:rPr>
      </w:pPr>
      <w:bookmarkStart w:id="36" w:name="_Toc15377207"/>
      <w:bookmarkStart w:id="37" w:name="_Toc26605"/>
      <w:bookmarkStart w:id="38" w:name="_Toc15396605"/>
      <w:r>
        <w:rPr>
          <w:rFonts w:hint="eastAsia" w:ascii="黑体" w:eastAsia="黑体"/>
          <w:sz w:val="32"/>
          <w:szCs w:val="32"/>
          <w:lang w:eastAsia="zh-CN"/>
        </w:rPr>
        <w:t>三、</w:t>
      </w:r>
      <w:r>
        <w:rPr>
          <w:rFonts w:hint="eastAsia" w:ascii="黑体" w:eastAsia="黑体"/>
          <w:sz w:val="32"/>
          <w:szCs w:val="32"/>
        </w:rPr>
        <w:t>支</w:t>
      </w:r>
      <w:r>
        <w:rPr>
          <w:rStyle w:val="22"/>
          <w:rFonts w:hint="eastAsia" w:ascii="黑体" w:eastAsia="黑体"/>
          <w:b w:val="0"/>
        </w:rPr>
        <w:t>出决算情况说明</w:t>
      </w:r>
      <w:bookmarkEnd w:id="36"/>
      <w:bookmarkEnd w:id="37"/>
      <w:bookmarkEnd w:id="38"/>
    </w:p>
    <w:p>
      <w:pPr>
        <w:pageBreakBefore w:val="0"/>
        <w:kinsoku/>
        <w:wordWrap/>
        <w:overflowPunct/>
        <w:topLinePunct w:val="0"/>
        <w:bidi w:val="0"/>
        <w:spacing w:line="560" w:lineRule="exact"/>
        <w:ind w:firstLine="640" w:firstLineChars="200"/>
        <w:jc w:val="center"/>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15991.35</w:t>
      </w:r>
      <w:r>
        <w:rPr>
          <w:rFonts w:hint="eastAsia" w:ascii="仿宋_GB2312" w:hAnsi="仿宋" w:eastAsia="仿宋_GB2312"/>
          <w:color w:val="000000"/>
          <w:sz w:val="32"/>
          <w:szCs w:val="32"/>
        </w:rPr>
        <w:t>万元，其中：基本支出</w:t>
      </w:r>
      <w:r>
        <w:rPr>
          <w:rFonts w:hint="eastAsia" w:ascii="仿宋_GB2312" w:hAnsi="仿宋" w:eastAsia="仿宋_GB2312"/>
          <w:color w:val="000000"/>
          <w:sz w:val="32"/>
          <w:szCs w:val="32"/>
          <w:lang w:val="en-US" w:eastAsia="zh-CN"/>
        </w:rPr>
        <w:t>488.49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3.10</w:t>
      </w: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15502.86</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96.90</w:t>
      </w:r>
      <w:r>
        <w:rPr>
          <w:rFonts w:hint="eastAsia" w:ascii="仿宋_GB2312" w:hAnsi="仿宋" w:eastAsia="仿宋_GB2312"/>
          <w:color w:val="000000"/>
          <w:sz w:val="32"/>
          <w:szCs w:val="32"/>
        </w:rPr>
        <w:t>%。</w:t>
      </w:r>
      <w:r>
        <w:rPr>
          <w:rFonts w:hint="eastAsia" w:ascii="仿宋_GB2312" w:hAnsi="仿宋" w:eastAsia="仿宋_GB2312"/>
          <w:color w:val="000000" w:themeColor="text1"/>
          <w:sz w:val="32"/>
          <w:szCs w:val="32"/>
          <w14:textFill>
            <w14:solidFill>
              <w14:schemeClr w14:val="tx1"/>
            </w14:solidFill>
          </w14:textFill>
        </w:rPr>
        <w:t>（图3：支出决算结构图）（饼状图）</w:t>
      </w:r>
    </w:p>
    <w:p>
      <w:pPr>
        <w:pageBreakBefore w:val="0"/>
        <w:kinsoku/>
        <w:wordWrap/>
        <w:overflowPunct/>
        <w:topLinePunct w:val="0"/>
        <w:bidi w:val="0"/>
        <w:spacing w:line="560" w:lineRule="exact"/>
        <w:ind w:firstLine="420" w:firstLineChars="200"/>
        <w:textAlignment w:val="auto"/>
        <w:rPr>
          <w:rFonts w:hint="eastAsia" w:eastAsia="仿宋_GB2312"/>
          <w:lang w:eastAsia="zh-CN"/>
        </w:rPr>
      </w:pPr>
      <w:r>
        <w:rPr>
          <w:rFonts w:hint="eastAsia" w:eastAsia="仿宋_GB2312"/>
          <w:lang w:eastAsia="zh-CN"/>
        </w:rPr>
        <w:drawing>
          <wp:anchor distT="0" distB="0" distL="114300" distR="114300" simplePos="0" relativeHeight="251663360" behindDoc="0" locked="0" layoutInCell="1" allowOverlap="1">
            <wp:simplePos x="0" y="0"/>
            <wp:positionH relativeFrom="column">
              <wp:posOffset>-100330</wp:posOffset>
            </wp:positionH>
            <wp:positionV relativeFrom="paragraph">
              <wp:posOffset>39370</wp:posOffset>
            </wp:positionV>
            <wp:extent cx="5415280" cy="2763520"/>
            <wp:effectExtent l="4445" t="4445" r="9525" b="1333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ageBreakBefore w:val="0"/>
        <w:kinsoku/>
        <w:wordWrap/>
        <w:overflowPunct/>
        <w:topLinePunct w:val="0"/>
        <w:bidi w:val="0"/>
        <w:spacing w:line="560" w:lineRule="exact"/>
        <w:ind w:firstLine="640" w:firstLineChars="200"/>
        <w:textAlignment w:val="auto"/>
        <w:outlineLvl w:val="1"/>
        <w:rPr>
          <w:rStyle w:val="22"/>
          <w:rFonts w:ascii="黑体" w:eastAsia="黑体"/>
          <w:b w:val="0"/>
        </w:rPr>
      </w:pPr>
      <w:bookmarkStart w:id="39" w:name="_Toc15377208"/>
      <w:bookmarkStart w:id="40" w:name="_Toc15396606"/>
      <w:bookmarkStart w:id="41" w:name="_Toc26615"/>
      <w:r>
        <w:rPr>
          <w:rFonts w:hint="eastAsia" w:ascii="黑体" w:eastAsia="黑体"/>
          <w:sz w:val="32"/>
          <w:szCs w:val="32"/>
        </w:rPr>
        <w:t>四、财</w:t>
      </w:r>
      <w:r>
        <w:rPr>
          <w:rStyle w:val="22"/>
          <w:rFonts w:hint="eastAsia" w:ascii="黑体" w:eastAsia="黑体"/>
          <w:b w:val="0"/>
        </w:rPr>
        <w:t>政拨款收入支出决算总体情况说明</w:t>
      </w:r>
      <w:bookmarkEnd w:id="39"/>
      <w:bookmarkEnd w:id="40"/>
      <w:bookmarkEnd w:id="41"/>
    </w:p>
    <w:p>
      <w:pPr>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kern w:val="0"/>
          <w:sz w:val="32"/>
          <w:szCs w:val="32"/>
          <w:shd w:val="clear" w:color="auto" w:fill="FFFFFF"/>
          <w:lang w:val="en-US" w:eastAsia="zh-CN" w:bidi="ar-SA"/>
        </w:rPr>
      </w:pP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年财政拨款收入</w:t>
      </w:r>
      <w:r>
        <w:rPr>
          <w:rFonts w:hint="eastAsia" w:ascii="仿宋_GB2312" w:hAnsi="仿宋" w:eastAsia="仿宋_GB2312"/>
          <w:color w:val="000000"/>
          <w:sz w:val="32"/>
          <w:szCs w:val="32"/>
          <w:lang w:eastAsia="zh-CN"/>
        </w:rPr>
        <w:t>、支出</w:t>
      </w:r>
      <w:r>
        <w:rPr>
          <w:rFonts w:hint="eastAsia" w:ascii="仿宋_GB2312" w:hAnsi="仿宋" w:eastAsia="仿宋_GB2312"/>
          <w:color w:val="000000"/>
          <w:sz w:val="32"/>
          <w:szCs w:val="32"/>
        </w:rPr>
        <w:t>总计15979.15</w:t>
      </w:r>
      <w:r>
        <w:rPr>
          <w:rFonts w:hint="eastAsia" w:ascii="仿宋_GB2312" w:hAnsi="仿宋" w:eastAsia="仿宋_GB2312"/>
          <w:color w:val="000000"/>
          <w:sz w:val="32"/>
          <w:szCs w:val="32"/>
          <w:lang w:eastAsia="zh-CN"/>
        </w:rPr>
        <w:t>万元</w:t>
      </w:r>
      <w:r>
        <w:rPr>
          <w:rFonts w:hint="eastAsia" w:ascii="仿宋_GB2312" w:hAnsi="仿宋" w:eastAsia="仿宋_GB2312"/>
          <w:color w:val="000000"/>
          <w:sz w:val="32"/>
          <w:szCs w:val="32"/>
        </w:rPr>
        <w:t>。</w:t>
      </w:r>
      <w:r>
        <w:rPr>
          <w:rFonts w:hint="eastAsia" w:ascii="仿宋_GB2312" w:hAnsi="Times New Roman" w:eastAsia="仿宋_GB2312" w:cs="Times New Roman"/>
          <w:kern w:val="0"/>
          <w:sz w:val="32"/>
          <w:szCs w:val="32"/>
          <w:shd w:val="clear" w:color="auto" w:fill="FFFFFF"/>
          <w:lang w:val="en-US" w:eastAsia="zh-CN" w:bidi="ar-SA"/>
        </w:rPr>
        <w:t>与2021年相比，增长11697.47万元，增长273.20%。主要变动原因：项目增加。</w:t>
      </w:r>
    </w:p>
    <w:p>
      <w:pPr>
        <w:pageBreakBefore w:val="0"/>
        <w:kinsoku/>
        <w:wordWrap/>
        <w:overflowPunct/>
        <w:topLinePunct w:val="0"/>
        <w:bidi w:val="0"/>
        <w:spacing w:line="560" w:lineRule="exact"/>
        <w:jc w:val="center"/>
        <w:textAlignment w:val="auto"/>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（图4：财政拨款收、支决算总计变动情况）</w:t>
      </w:r>
    </w:p>
    <w:p>
      <w:pPr>
        <w:pStyle w:val="6"/>
        <w:pageBreakBefore w:val="0"/>
        <w:kinsoku/>
        <w:wordWrap/>
        <w:overflowPunct/>
        <w:topLinePunct w:val="0"/>
        <w:bidi w:val="0"/>
        <w:spacing w:line="560" w:lineRule="exact"/>
        <w:textAlignment w:val="auto"/>
        <w:rPr>
          <w:rFonts w:hint="eastAsia"/>
        </w:rPr>
      </w:pPr>
      <w:r>
        <w:rPr>
          <w:rStyle w:val="22"/>
          <w:rFonts w:hint="eastAsia" w:ascii="仿宋_GB2312" w:hAnsi="黑体" w:eastAsia="仿宋_GB2312"/>
          <w:b w:val="0"/>
          <w:lang w:eastAsia="zh-CN"/>
        </w:rPr>
        <w:drawing>
          <wp:anchor distT="0" distB="0" distL="114300" distR="114300" simplePos="0" relativeHeight="251660288" behindDoc="0" locked="0" layoutInCell="1" allowOverlap="1">
            <wp:simplePos x="0" y="0"/>
            <wp:positionH relativeFrom="page">
              <wp:align>center</wp:align>
            </wp:positionH>
            <wp:positionV relativeFrom="paragraph">
              <wp:posOffset>151130</wp:posOffset>
            </wp:positionV>
            <wp:extent cx="4689475" cy="1859915"/>
            <wp:effectExtent l="4445" t="4445" r="11430" b="21590"/>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kinsoku/>
        <w:wordWrap/>
        <w:overflowPunct/>
        <w:topLinePunct w:val="0"/>
        <w:bidi w:val="0"/>
        <w:spacing w:line="560" w:lineRule="exact"/>
        <w:ind w:firstLine="640" w:firstLineChars="200"/>
        <w:textAlignment w:val="auto"/>
        <w:outlineLvl w:val="1"/>
        <w:rPr>
          <w:rStyle w:val="22"/>
          <w:rFonts w:ascii="黑体" w:eastAsia="黑体"/>
          <w:b w:val="0"/>
        </w:rPr>
      </w:pPr>
      <w:bookmarkStart w:id="42" w:name="_Toc15377209"/>
      <w:bookmarkStart w:id="43" w:name="_Toc15396607"/>
      <w:bookmarkStart w:id="44" w:name="_Toc28620"/>
      <w:r>
        <w:rPr>
          <w:rFonts w:hint="eastAsia" w:ascii="黑体" w:eastAsia="黑体"/>
          <w:sz w:val="32"/>
          <w:szCs w:val="32"/>
        </w:rPr>
        <w:t>五、</w:t>
      </w:r>
      <w:r>
        <w:rPr>
          <w:rFonts w:hint="eastAsia" w:ascii="黑体" w:eastAsia="黑体"/>
          <w:b/>
          <w:sz w:val="32"/>
          <w:szCs w:val="32"/>
        </w:rPr>
        <w:t>一</w:t>
      </w:r>
      <w:r>
        <w:rPr>
          <w:rStyle w:val="22"/>
          <w:rFonts w:hint="eastAsia" w:ascii="黑体" w:eastAsia="黑体"/>
          <w:b w:val="0"/>
        </w:rPr>
        <w:t>般公共预算财政拨款支出决算情况说明</w:t>
      </w:r>
      <w:bookmarkEnd w:id="42"/>
      <w:bookmarkEnd w:id="43"/>
      <w:bookmarkEnd w:id="44"/>
    </w:p>
    <w:p>
      <w:pPr>
        <w:pageBreakBefore w:val="0"/>
        <w:kinsoku/>
        <w:wordWrap/>
        <w:overflowPunct/>
        <w:topLinePunct w:val="0"/>
        <w:bidi w:val="0"/>
        <w:spacing w:line="560" w:lineRule="exact"/>
        <w:ind w:firstLine="643" w:firstLineChars="200"/>
        <w:textAlignment w:val="auto"/>
        <w:outlineLvl w:val="2"/>
        <w:rPr>
          <w:rFonts w:hint="eastAsia" w:ascii="楷体" w:hAnsi="楷体" w:eastAsia="楷体" w:cs="楷体"/>
          <w:b/>
          <w:sz w:val="32"/>
          <w:szCs w:val="32"/>
        </w:rPr>
      </w:pPr>
      <w:bookmarkStart w:id="45" w:name="_Toc15377210"/>
      <w:bookmarkStart w:id="46" w:name="_Toc2850"/>
      <w:r>
        <w:rPr>
          <w:rFonts w:hint="eastAsia" w:ascii="楷体" w:hAnsi="楷体" w:eastAsia="楷体" w:cs="楷体"/>
          <w:b/>
          <w:sz w:val="32"/>
          <w:szCs w:val="32"/>
        </w:rPr>
        <w:t>（一）一般公共预算财政拨款支出决算总体情况</w:t>
      </w:r>
      <w:bookmarkEnd w:id="45"/>
      <w:bookmarkEnd w:id="46"/>
    </w:p>
    <w:p>
      <w:pPr>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kern w:val="0"/>
          <w:sz w:val="32"/>
          <w:szCs w:val="32"/>
          <w:shd w:val="clear" w:color="auto" w:fill="FFFFFF"/>
          <w:lang w:val="en-US" w:eastAsia="zh-CN" w:bidi="ar-SA"/>
        </w:rPr>
      </w:pP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15969.11</w:t>
      </w:r>
      <w:r>
        <w:rPr>
          <w:rFonts w:hint="eastAsia" w:ascii="仿宋_GB2312" w:hAnsi="仿宋" w:eastAsia="仿宋_GB2312"/>
          <w:color w:val="000000"/>
          <w:sz w:val="32"/>
          <w:szCs w:val="32"/>
        </w:rPr>
        <w:t>万元，占本年支出合计的</w:t>
      </w:r>
      <w:r>
        <w:rPr>
          <w:rFonts w:hint="eastAsia" w:ascii="仿宋_GB2312" w:hAnsi="仿宋" w:eastAsia="仿宋_GB2312"/>
          <w:color w:val="000000"/>
          <w:sz w:val="32"/>
          <w:szCs w:val="32"/>
          <w:lang w:val="en-US" w:eastAsia="zh-CN"/>
        </w:rPr>
        <w:t>99.86</w:t>
      </w:r>
      <w:r>
        <w:rPr>
          <w:rFonts w:hint="eastAsia" w:ascii="仿宋_GB2312" w:hAnsi="仿宋" w:eastAsia="仿宋_GB2312"/>
          <w:color w:val="000000"/>
          <w:sz w:val="32"/>
          <w:szCs w:val="32"/>
        </w:rPr>
        <w:t>%。</w:t>
      </w:r>
      <w:r>
        <w:rPr>
          <w:rFonts w:hint="eastAsia" w:ascii="仿宋_GB2312" w:hAnsi="Times New Roman" w:eastAsia="仿宋_GB2312" w:cs="Times New Roman"/>
          <w:kern w:val="0"/>
          <w:sz w:val="32"/>
          <w:szCs w:val="32"/>
          <w:shd w:val="clear" w:color="auto" w:fill="FFFFFF"/>
          <w:lang w:val="en-US" w:eastAsia="zh-CN" w:bidi="ar-SA"/>
        </w:rPr>
        <w:t>与2021年相比，增长11884.43万元，增长290.95%。主要变动原因：项目支出增加。</w:t>
      </w:r>
    </w:p>
    <w:p>
      <w:pPr>
        <w:pageBreakBefore w:val="0"/>
        <w:kinsoku/>
        <w:wordWrap/>
        <w:overflowPunct/>
        <w:topLinePunct w:val="0"/>
        <w:bidi w:val="0"/>
        <w:spacing w:line="560" w:lineRule="exact"/>
        <w:jc w:val="center"/>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（图5：一般公共预算财政拨款支出决算变动情况）</w:t>
      </w:r>
    </w:p>
    <w:p>
      <w:pPr>
        <w:pageBreakBefore w:val="0"/>
        <w:kinsoku/>
        <w:wordWrap/>
        <w:overflowPunct/>
        <w:topLinePunct w:val="0"/>
        <w:bidi w:val="0"/>
        <w:spacing w:line="560" w:lineRule="exact"/>
        <w:ind w:firstLine="320" w:firstLineChars="100"/>
        <w:textAlignment w:val="auto"/>
        <w:rPr>
          <w:rFonts w:hint="eastAsia"/>
          <w:lang w:val="en-US" w:eastAsia="zh-CN"/>
        </w:rPr>
      </w:pPr>
      <w:r>
        <w:rPr>
          <w:rStyle w:val="22"/>
          <w:rFonts w:hint="eastAsia" w:ascii="仿宋_GB2312" w:hAnsi="黑体" w:eastAsia="仿宋_GB2312"/>
          <w:b w:val="0"/>
          <w:lang w:eastAsia="zh-CN"/>
        </w:rPr>
        <w:drawing>
          <wp:anchor distT="0" distB="0" distL="114300" distR="114300" simplePos="0" relativeHeight="251661312" behindDoc="0" locked="0" layoutInCell="1" allowOverlap="1">
            <wp:simplePos x="0" y="0"/>
            <wp:positionH relativeFrom="column">
              <wp:posOffset>356870</wp:posOffset>
            </wp:positionH>
            <wp:positionV relativeFrom="paragraph">
              <wp:posOffset>208280</wp:posOffset>
            </wp:positionV>
            <wp:extent cx="4889500" cy="1859915"/>
            <wp:effectExtent l="4445" t="4445" r="20955" b="21590"/>
            <wp:wrapSquare wrapText="bothSides"/>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lang w:val="en-US" w:eastAsia="zh-CN"/>
        </w:rPr>
        <w:t xml:space="preserve"> </w:t>
      </w:r>
    </w:p>
    <w:p>
      <w:pPr>
        <w:pageBreakBefore w:val="0"/>
        <w:kinsoku/>
        <w:wordWrap/>
        <w:overflowPunct/>
        <w:topLinePunct w:val="0"/>
        <w:bidi w:val="0"/>
        <w:spacing w:line="560" w:lineRule="exact"/>
        <w:ind w:firstLine="210" w:firstLineChars="100"/>
        <w:textAlignment w:val="auto"/>
        <w:rPr>
          <w:rFonts w:hint="eastAsia"/>
          <w:lang w:val="en-US" w:eastAsia="zh-CN"/>
        </w:rPr>
      </w:pPr>
    </w:p>
    <w:p>
      <w:pPr>
        <w:pageBreakBefore w:val="0"/>
        <w:kinsoku/>
        <w:wordWrap/>
        <w:overflowPunct/>
        <w:topLinePunct w:val="0"/>
        <w:bidi w:val="0"/>
        <w:spacing w:line="560" w:lineRule="exact"/>
        <w:ind w:firstLine="210" w:firstLineChars="100"/>
        <w:textAlignment w:val="auto"/>
        <w:rPr>
          <w:rFonts w:hint="eastAsia"/>
          <w:lang w:val="en-US" w:eastAsia="zh-CN"/>
        </w:rPr>
      </w:pPr>
    </w:p>
    <w:p>
      <w:pPr>
        <w:pageBreakBefore w:val="0"/>
        <w:kinsoku/>
        <w:wordWrap/>
        <w:overflowPunct/>
        <w:topLinePunct w:val="0"/>
        <w:bidi w:val="0"/>
        <w:spacing w:line="560" w:lineRule="exact"/>
        <w:ind w:firstLine="210" w:firstLineChars="100"/>
        <w:textAlignment w:val="auto"/>
        <w:rPr>
          <w:rFonts w:hint="eastAsia"/>
          <w:lang w:val="en-US" w:eastAsia="zh-CN"/>
        </w:rPr>
      </w:pPr>
    </w:p>
    <w:p>
      <w:pPr>
        <w:pageBreakBefore w:val="0"/>
        <w:kinsoku/>
        <w:wordWrap/>
        <w:overflowPunct/>
        <w:topLinePunct w:val="0"/>
        <w:bidi w:val="0"/>
        <w:spacing w:line="560" w:lineRule="exact"/>
        <w:ind w:firstLine="210" w:firstLineChars="100"/>
        <w:textAlignment w:val="auto"/>
        <w:rPr>
          <w:rFonts w:hint="eastAsia"/>
          <w:lang w:val="en-US" w:eastAsia="zh-CN"/>
        </w:rPr>
      </w:pPr>
    </w:p>
    <w:p>
      <w:pPr>
        <w:pageBreakBefore w:val="0"/>
        <w:kinsoku/>
        <w:wordWrap/>
        <w:overflowPunct/>
        <w:topLinePunct w:val="0"/>
        <w:bidi w:val="0"/>
        <w:spacing w:line="560" w:lineRule="exact"/>
        <w:textAlignment w:val="auto"/>
        <w:rPr>
          <w:rFonts w:ascii="仿宋" w:eastAsia="仿宋"/>
          <w:sz w:val="32"/>
          <w:szCs w:val="32"/>
        </w:rPr>
      </w:pPr>
    </w:p>
    <w:p>
      <w:pPr>
        <w:pageBreakBefore w:val="0"/>
        <w:kinsoku/>
        <w:wordWrap/>
        <w:overflowPunct/>
        <w:topLinePunct w:val="0"/>
        <w:bidi w:val="0"/>
        <w:spacing w:line="560" w:lineRule="exact"/>
        <w:ind w:firstLine="643" w:firstLineChars="200"/>
        <w:textAlignment w:val="auto"/>
        <w:outlineLvl w:val="2"/>
        <w:rPr>
          <w:rFonts w:hint="eastAsia" w:ascii="仿宋" w:eastAsia="仿宋"/>
          <w:b/>
          <w:sz w:val="32"/>
          <w:szCs w:val="32"/>
        </w:rPr>
      </w:pPr>
      <w:bookmarkStart w:id="47" w:name="_Toc140"/>
      <w:bookmarkStart w:id="48" w:name="_Toc15377211"/>
      <w:r>
        <w:rPr>
          <w:rFonts w:hint="eastAsia" w:ascii="楷体" w:hAnsi="楷体" w:eastAsia="楷体" w:cs="楷体"/>
          <w:b/>
          <w:sz w:val="32"/>
          <w:szCs w:val="32"/>
        </w:rPr>
        <w:t>（二）一般公共预算财政拨款支出决算结构情况</w:t>
      </w:r>
      <w:bookmarkEnd w:id="47"/>
      <w:bookmarkEnd w:id="48"/>
      <w:bookmarkStart w:id="49" w:name="_Toc15377212"/>
    </w:p>
    <w:p>
      <w:pPr>
        <w:pageBreakBefore w:val="0"/>
        <w:kinsoku/>
        <w:wordWrap/>
        <w:overflowPunct/>
        <w:topLinePunct w:val="0"/>
        <w:bidi w:val="0"/>
        <w:spacing w:line="560" w:lineRule="exact"/>
        <w:ind w:firstLine="640" w:firstLineChars="200"/>
        <w:textAlignment w:val="auto"/>
        <w:rPr>
          <w:rFonts w:hint="eastAsia" w:ascii="仿宋_GB2312" w:hAnsi="仿宋" w:eastAsia="仿宋_GB2312" w:cs="Times New Roman"/>
          <w:color w:val="000000" w:themeColor="text1"/>
          <w:sz w:val="32"/>
          <w:szCs w:val="32"/>
          <w:lang w:val="en-US" w:eastAsia="zh-CN"/>
          <w14:textFill>
            <w14:solidFill>
              <w14:schemeClr w14:val="tx1"/>
            </w14:solidFill>
          </w14:textFill>
        </w:rPr>
      </w:pP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themeColor="text1"/>
          <w:sz w:val="32"/>
          <w:szCs w:val="32"/>
          <w:lang w:val="en-US" w:eastAsia="zh-CN"/>
          <w14:textFill>
            <w14:solidFill>
              <w14:schemeClr w14:val="tx1"/>
            </w14:solidFill>
          </w14:textFill>
        </w:rPr>
        <w:t>15969.11</w:t>
      </w:r>
      <w:r>
        <w:rPr>
          <w:rFonts w:hint="eastAsia" w:ascii="仿宋_GB2312" w:hAnsi="仿宋" w:eastAsia="仿宋_GB2312"/>
          <w:color w:val="000000" w:themeColor="text1"/>
          <w:sz w:val="32"/>
          <w:szCs w:val="32"/>
          <w14:textFill>
            <w14:solidFill>
              <w14:schemeClr w14:val="tx1"/>
            </w14:solidFill>
          </w14:textFill>
        </w:rPr>
        <w:t>万元，主要用于以下方面:</w:t>
      </w:r>
      <w:r>
        <w:rPr>
          <w:rFonts w:hint="eastAsia" w:ascii="仿宋_GB2312" w:hAnsi="仿宋" w:eastAsia="仿宋_GB2312"/>
          <w:b/>
          <w:color w:val="000000" w:themeColor="text1"/>
          <w:sz w:val="32"/>
          <w:szCs w:val="32"/>
          <w14:textFill>
            <w14:solidFill>
              <w14:schemeClr w14:val="tx1"/>
            </w14:solidFill>
          </w14:textFill>
        </w:rPr>
        <w:t>社会保障和就业（类）</w:t>
      </w:r>
      <w:r>
        <w:rPr>
          <w:rFonts w:hint="eastAsia" w:ascii="仿宋_GB2312" w:hAnsi="仿宋" w:eastAsia="仿宋_GB2312"/>
          <w:color w:val="000000" w:themeColor="text1"/>
          <w:sz w:val="32"/>
          <w:szCs w:val="32"/>
          <w14:textFill>
            <w14:solidFill>
              <w14:schemeClr w14:val="tx1"/>
            </w14:solidFill>
          </w14:textFill>
        </w:rPr>
        <w:t>支出</w:t>
      </w:r>
      <w:r>
        <w:rPr>
          <w:rFonts w:hint="eastAsia" w:ascii="仿宋_GB2312" w:hAnsi="仿宋" w:eastAsia="仿宋_GB2312"/>
          <w:color w:val="000000" w:themeColor="text1"/>
          <w:sz w:val="32"/>
          <w:szCs w:val="32"/>
          <w:lang w:val="en-US" w:eastAsia="zh-CN"/>
          <w14:textFill>
            <w14:solidFill>
              <w14:schemeClr w14:val="tx1"/>
            </w14:solidFill>
          </w14:textFill>
        </w:rPr>
        <w:t>56.59</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0.35</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14:textFill>
            <w14:solidFill>
              <w14:schemeClr w14:val="tx1"/>
            </w14:solidFill>
          </w14:textFill>
        </w:rPr>
        <w:t>卫生</w:t>
      </w:r>
      <w:r>
        <w:rPr>
          <w:rFonts w:hint="eastAsia" w:ascii="仿宋_GB2312" w:hAnsi="仿宋" w:eastAsia="仿宋_GB2312"/>
          <w:b/>
          <w:bCs/>
          <w:color w:val="000000" w:themeColor="text1"/>
          <w:sz w:val="32"/>
          <w:szCs w:val="32"/>
          <w:lang w:eastAsia="zh-CN"/>
          <w14:textFill>
            <w14:solidFill>
              <w14:schemeClr w14:val="tx1"/>
            </w14:solidFill>
          </w14:textFill>
        </w:rPr>
        <w:t>健康</w:t>
      </w:r>
      <w:r>
        <w:rPr>
          <w:rFonts w:hint="eastAsia" w:ascii="仿宋_GB2312" w:hAnsi="仿宋" w:eastAsia="仿宋_GB2312"/>
          <w:b/>
          <w:bCs/>
          <w:color w:val="000000" w:themeColor="text1"/>
          <w:sz w:val="32"/>
          <w:szCs w:val="32"/>
          <w14:textFill>
            <w14:solidFill>
              <w14:schemeClr w14:val="tx1"/>
            </w14:solidFill>
          </w14:textFill>
        </w:rPr>
        <w:t>（类）</w:t>
      </w:r>
      <w:r>
        <w:rPr>
          <w:rFonts w:hint="eastAsia" w:ascii="仿宋_GB2312" w:hAnsi="仿宋" w:eastAsia="仿宋_GB2312"/>
          <w:color w:val="000000" w:themeColor="text1"/>
          <w:sz w:val="32"/>
          <w:szCs w:val="32"/>
          <w14:textFill>
            <w14:solidFill>
              <w14:schemeClr w14:val="tx1"/>
            </w14:solidFill>
          </w14:textFill>
        </w:rPr>
        <w:t>支出</w:t>
      </w:r>
      <w:r>
        <w:rPr>
          <w:rFonts w:hint="eastAsia" w:ascii="仿宋_GB2312" w:hAnsi="仿宋" w:eastAsia="仿宋_GB2312"/>
          <w:color w:val="000000" w:themeColor="text1"/>
          <w:sz w:val="32"/>
          <w:szCs w:val="32"/>
          <w:lang w:val="en-US" w:eastAsia="zh-CN"/>
          <w14:textFill>
            <w14:solidFill>
              <w14:schemeClr w14:val="tx1"/>
            </w14:solidFill>
          </w14:textFill>
        </w:rPr>
        <w:t>28.4</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0.18</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s="Times New Roman"/>
          <w:b/>
          <w:bCs/>
          <w:color w:val="000000" w:themeColor="text1"/>
          <w:sz w:val="32"/>
          <w:szCs w:val="32"/>
          <w14:textFill>
            <w14:solidFill>
              <w14:schemeClr w14:val="tx1"/>
            </w14:solidFill>
          </w14:textFill>
        </w:rPr>
        <w:t>节能环保</w:t>
      </w:r>
      <w:r>
        <w:rPr>
          <w:rFonts w:hint="eastAsia" w:ascii="仿宋_GB2312" w:hAnsi="仿宋" w:eastAsia="仿宋_GB2312" w:cs="Times New Roman"/>
          <w:color w:val="000000" w:themeColor="text1"/>
          <w:sz w:val="32"/>
          <w:szCs w:val="32"/>
          <w:lang w:eastAsia="zh-CN"/>
          <w14:textFill>
            <w14:solidFill>
              <w14:schemeClr w14:val="tx1"/>
            </w14:solidFill>
          </w14:textFill>
        </w:rPr>
        <w:t>支出65.81万元，占</w:t>
      </w:r>
      <w:r>
        <w:rPr>
          <w:rFonts w:hint="eastAsia" w:ascii="仿宋_GB2312" w:hAnsi="仿宋" w:eastAsia="仿宋_GB2312" w:cs="Times New Roman"/>
          <w:color w:val="000000" w:themeColor="text1"/>
          <w:sz w:val="32"/>
          <w:szCs w:val="32"/>
          <w:lang w:val="en-US" w:eastAsia="zh-CN"/>
          <w14:textFill>
            <w14:solidFill>
              <w14:schemeClr w14:val="tx1"/>
            </w14:solidFill>
          </w14:textFill>
        </w:rPr>
        <w:t xml:space="preserve">1.03%； </w:t>
      </w:r>
      <w:r>
        <w:rPr>
          <w:rFonts w:hint="eastAsia" w:ascii="仿宋_GB2312" w:hAnsi="仿宋" w:eastAsia="仿宋_GB2312"/>
          <w:b/>
          <w:bCs/>
          <w:color w:val="000000" w:themeColor="text1"/>
          <w:sz w:val="32"/>
          <w:szCs w:val="32"/>
          <w:lang w:eastAsia="zh-CN"/>
          <w14:textFill>
            <w14:solidFill>
              <w14:schemeClr w14:val="tx1"/>
            </w14:solidFill>
          </w14:textFill>
        </w:rPr>
        <w:t>农林水</w:t>
      </w:r>
      <w:r>
        <w:rPr>
          <w:rFonts w:hint="eastAsia" w:ascii="仿宋_GB2312" w:hAnsi="仿宋" w:eastAsia="仿宋_GB2312"/>
          <w:b/>
          <w:bCs/>
          <w:color w:val="000000" w:themeColor="text1"/>
          <w:sz w:val="32"/>
          <w:szCs w:val="32"/>
          <w14:textFill>
            <w14:solidFill>
              <w14:schemeClr w14:val="tx1"/>
            </w14:solidFill>
          </w14:textFill>
        </w:rPr>
        <w:t>（类）</w:t>
      </w:r>
      <w:r>
        <w:rPr>
          <w:rFonts w:hint="eastAsia" w:ascii="仿宋_GB2312" w:hAnsi="仿宋" w:eastAsia="仿宋_GB2312" w:cs="Times New Roman"/>
          <w:color w:val="000000" w:themeColor="text1"/>
          <w:sz w:val="32"/>
          <w:szCs w:val="32"/>
          <w:lang w:eastAsia="zh-CN"/>
          <w14:textFill>
            <w14:solidFill>
              <w14:schemeClr w14:val="tx1"/>
            </w14:solidFill>
          </w14:textFill>
        </w:rPr>
        <w:t>支出</w:t>
      </w:r>
      <w:r>
        <w:rPr>
          <w:rFonts w:hint="eastAsia" w:ascii="仿宋_GB2312" w:hAnsi="仿宋" w:eastAsia="仿宋_GB2312"/>
          <w:b w:val="0"/>
          <w:bCs/>
          <w:color w:val="000000" w:themeColor="text1"/>
          <w:sz w:val="32"/>
          <w:szCs w:val="32"/>
          <w:lang w:val="en-US" w:eastAsia="zh-CN"/>
          <w14:textFill>
            <w14:solidFill>
              <w14:schemeClr w14:val="tx1"/>
            </w14:solidFill>
          </w14:textFill>
        </w:rPr>
        <w:t>6370.71万元，占39.49%；</w:t>
      </w:r>
      <w:r>
        <w:rPr>
          <w:rFonts w:hint="eastAsia" w:ascii="仿宋_GB2312" w:hAnsi="仿宋" w:eastAsia="仿宋_GB2312" w:cs="Times New Roman"/>
          <w:b/>
          <w:bCs/>
          <w:color w:val="000000" w:themeColor="text1"/>
          <w:sz w:val="32"/>
          <w:szCs w:val="32"/>
          <w:lang w:val="en-US" w:eastAsia="zh-CN"/>
          <w14:textFill>
            <w14:solidFill>
              <w14:schemeClr w14:val="tx1"/>
            </w14:solidFill>
          </w14:textFill>
        </w:rPr>
        <w:t>自然资源海洋气象</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支出9398.62万元，占58.64%；</w:t>
      </w:r>
      <w:r>
        <w:rPr>
          <w:rFonts w:hint="eastAsia" w:ascii="仿宋_GB2312" w:hAnsi="仿宋" w:eastAsia="仿宋_GB2312" w:cs="Times New Roman"/>
          <w:b/>
          <w:bCs/>
          <w:color w:val="000000" w:themeColor="text1"/>
          <w:sz w:val="32"/>
          <w:szCs w:val="32"/>
          <w:lang w:val="en-US" w:eastAsia="zh-CN"/>
          <w14:textFill>
            <w14:solidFill>
              <w14:schemeClr w14:val="tx1"/>
            </w14:solidFill>
          </w14:textFill>
        </w:rPr>
        <w:t>住房保障</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支出31.34万元，占0.20%；</w:t>
      </w:r>
      <w:r>
        <w:rPr>
          <w:rFonts w:hint="eastAsia" w:ascii="仿宋_GB2312" w:hAnsi="仿宋" w:eastAsia="仿宋_GB2312" w:cs="Times New Roman"/>
          <w:b/>
          <w:bCs/>
          <w:color w:val="000000" w:themeColor="text1"/>
          <w:sz w:val="32"/>
          <w:szCs w:val="32"/>
          <w:lang w:val="en-US" w:eastAsia="zh-CN"/>
          <w14:textFill>
            <w14:solidFill>
              <w14:schemeClr w14:val="tx1"/>
            </w14:solidFill>
          </w14:textFill>
        </w:rPr>
        <w:t>灾害防治及应急管理</w:t>
      </w:r>
      <w:r>
        <w:rPr>
          <w:rFonts w:hint="eastAsia" w:ascii="仿宋_GB2312" w:hAnsi="仿宋" w:eastAsia="仿宋_GB2312" w:cs="Times New Roman"/>
          <w:color w:val="000000" w:themeColor="text1"/>
          <w:sz w:val="32"/>
          <w:szCs w:val="32"/>
          <w:lang w:val="en-US" w:eastAsia="zh-CN"/>
          <w14:textFill>
            <w14:solidFill>
              <w14:schemeClr w14:val="tx1"/>
            </w14:solidFill>
          </w14:textFill>
        </w:rPr>
        <w:t>支出17.64万元，占0.11%。</w:t>
      </w:r>
    </w:p>
    <w:p>
      <w:pPr>
        <w:pageBreakBefore w:val="0"/>
        <w:kinsoku/>
        <w:wordWrap/>
        <w:overflowPunct/>
        <w:topLinePunct w:val="0"/>
        <w:bidi w:val="0"/>
        <w:spacing w:line="560" w:lineRule="exact"/>
        <w:jc w:val="center"/>
        <w:textAlignment w:val="auto"/>
        <w:rPr>
          <w:rFonts w:hint="eastAsia" w:ascii="仿宋_GB2312" w:hAnsi="仿宋" w:eastAsia="仿宋_GB2312"/>
          <w:color w:val="000000"/>
          <w:sz w:val="32"/>
          <w:szCs w:val="32"/>
          <w:highlight w:val="none"/>
        </w:rPr>
      </w:pPr>
      <w:r>
        <w:rPr>
          <w:rFonts w:hint="eastAsia" w:ascii="仿宋_GB2312" w:hAnsi="仿宋" w:eastAsia="仿宋_GB2312"/>
          <w:color w:val="000000"/>
          <w:sz w:val="32"/>
          <w:szCs w:val="32"/>
          <w:highlight w:val="none"/>
        </w:rPr>
        <w:t>（图6：一般公共预算财政拨款支出决算结构）</w:t>
      </w:r>
    </w:p>
    <w:p>
      <w:pPr>
        <w:pStyle w:val="6"/>
        <w:pageBreakBefore w:val="0"/>
        <w:kinsoku/>
        <w:wordWrap/>
        <w:overflowPunct/>
        <w:topLinePunct w:val="0"/>
        <w:bidi w:val="0"/>
        <w:spacing w:line="560"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color w:val="000000"/>
          <w:sz w:val="32"/>
          <w:szCs w:val="32"/>
          <w:highlight w:val="none"/>
          <w:lang w:eastAsia="zh-CN"/>
        </w:rPr>
        <w:drawing>
          <wp:anchor distT="0" distB="0" distL="114300" distR="114300" simplePos="0" relativeHeight="251664384" behindDoc="0" locked="0" layoutInCell="1" allowOverlap="1">
            <wp:simplePos x="0" y="0"/>
            <wp:positionH relativeFrom="page">
              <wp:align>center</wp:align>
            </wp:positionH>
            <wp:positionV relativeFrom="page">
              <wp:posOffset>1015365</wp:posOffset>
            </wp:positionV>
            <wp:extent cx="5650865" cy="3810000"/>
            <wp:effectExtent l="4445" t="4445" r="21590" b="14605"/>
            <wp:wrapTopAndBottom/>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bookmarkStart w:id="50" w:name="_Toc27199"/>
      <w:r>
        <w:rPr>
          <w:rFonts w:hint="eastAsia" w:ascii="楷体" w:hAnsi="楷体" w:eastAsia="楷体" w:cs="楷体"/>
          <w:b/>
          <w:bCs/>
          <w:sz w:val="32"/>
          <w:szCs w:val="32"/>
        </w:rPr>
        <w:t>（三）一般公共预算财政拨款支出决算具体情况</w:t>
      </w:r>
      <w:bookmarkEnd w:id="49"/>
      <w:bookmarkEnd w:id="50"/>
    </w:p>
    <w:p>
      <w:pPr>
        <w:pageBreakBefore w:val="0"/>
        <w:kinsoku/>
        <w:wordWrap/>
        <w:overflowPunct/>
        <w:topLinePunct w:val="0"/>
        <w:bidi w:val="0"/>
        <w:spacing w:line="560" w:lineRule="exact"/>
        <w:ind w:firstLine="640" w:firstLineChars="200"/>
        <w:textAlignment w:val="auto"/>
        <w:outlineLvl w:val="1"/>
        <w:rPr>
          <w:rFonts w:hint="eastAsia" w:ascii="仿宋_GB2312" w:hAnsi="仿宋_GB2312" w:eastAsia="仿宋_GB2312" w:cs="仿宋_GB2312"/>
          <w:b w:val="0"/>
          <w:bCs/>
          <w:color w:val="FF0000"/>
          <w:sz w:val="32"/>
          <w:szCs w:val="32"/>
          <w:highlight w:val="none"/>
        </w:rPr>
      </w:pPr>
      <w:bookmarkStart w:id="51" w:name="_Toc11972"/>
      <w:r>
        <w:rPr>
          <w:rFonts w:hint="eastAsia" w:ascii="仿宋_GB2312" w:hAnsi="仿宋_GB2312" w:eastAsia="仿宋_GB2312" w:cs="仿宋_GB2312"/>
          <w:b w:val="0"/>
          <w:bCs/>
          <w:color w:val="000000" w:themeColor="text1"/>
          <w:sz w:val="32"/>
          <w:szCs w:val="32"/>
          <w:highlight w:val="none"/>
          <w:lang w:eastAsia="zh-CN"/>
          <w14:textFill>
            <w14:solidFill>
              <w14:schemeClr w14:val="tx1"/>
            </w14:solidFill>
          </w14:textFill>
        </w:rPr>
        <w:t>2022</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般公共预算支出决算数为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15969.11</w:t>
      </w:r>
      <w:r>
        <w:rPr>
          <w:rFonts w:hint="eastAsia" w:ascii="仿宋_GB2312" w:hAnsi="仿宋_GB2312" w:eastAsia="仿宋_GB2312" w:cs="仿宋_GB2312"/>
          <w:b w:val="0"/>
          <w:bCs/>
          <w:color w:val="000000" w:themeColor="text1"/>
          <w:sz w:val="32"/>
          <w:szCs w:val="32"/>
          <w:highlight w:val="none"/>
          <w:lang w:val="en-US" w:eastAsia="zh-CN"/>
          <w14:textFill>
            <w14:solidFill>
              <w14:schemeClr w14:val="tx1"/>
            </w14:solidFill>
          </w14:textFill>
        </w:rPr>
        <w:t>万元</w:t>
      </w:r>
      <w:r>
        <w:rPr>
          <w:rFonts w:hint="eastAsia" w:ascii="仿宋_GB2312" w:hAnsi="仿宋_GB2312" w:eastAsia="仿宋_GB2312" w:cs="仿宋_GB2312"/>
          <w:b w:val="0"/>
          <w:bCs/>
          <w:color w:val="000000" w:themeColor="text1"/>
          <w:sz w:val="32"/>
          <w:szCs w:val="32"/>
          <w:highlight w:val="none"/>
          <w14:textFill>
            <w14:solidFill>
              <w14:schemeClr w14:val="tx1"/>
            </w14:solidFill>
          </w14:textFill>
        </w:rPr>
        <w:t>，</w:t>
      </w:r>
      <w:r>
        <w:rPr>
          <w:rStyle w:val="19"/>
          <w:rFonts w:hint="eastAsia" w:ascii="仿宋_GB2312" w:hAnsi="仿宋_GB2312" w:eastAsia="仿宋_GB2312" w:cs="仿宋_GB2312"/>
          <w:b w:val="0"/>
          <w:bCs/>
          <w:color w:val="000000" w:themeColor="text1"/>
          <w:sz w:val="32"/>
          <w:szCs w:val="32"/>
          <w:highlight w:val="none"/>
          <w14:textFill>
            <w14:solidFill>
              <w14:schemeClr w14:val="tx1"/>
            </w14:solidFill>
          </w14:textFill>
        </w:rPr>
        <w:t>完成</w:t>
      </w:r>
      <w:r>
        <w:rPr>
          <w:rStyle w:val="19"/>
          <w:rFonts w:hint="eastAsia" w:ascii="仿宋_GB2312" w:hAnsi="仿宋_GB2312" w:eastAsia="仿宋_GB2312" w:cs="仿宋_GB2312"/>
          <w:b w:val="0"/>
          <w:bCs/>
          <w:color w:val="000000"/>
          <w:sz w:val="32"/>
          <w:szCs w:val="32"/>
          <w:highlight w:val="none"/>
        </w:rPr>
        <w:t>预算</w:t>
      </w:r>
      <w:r>
        <w:rPr>
          <w:rStyle w:val="19"/>
          <w:rFonts w:hint="eastAsia" w:ascii="仿宋_GB2312" w:hAnsi="仿宋_GB2312" w:eastAsia="仿宋_GB2312" w:cs="仿宋_GB2312"/>
          <w:b w:val="0"/>
          <w:bCs/>
          <w:color w:val="000000"/>
          <w:sz w:val="32"/>
          <w:szCs w:val="32"/>
          <w:highlight w:val="none"/>
          <w:lang w:val="en-US" w:eastAsia="zh-CN"/>
        </w:rPr>
        <w:t>100</w:t>
      </w:r>
      <w:r>
        <w:rPr>
          <w:rStyle w:val="19"/>
          <w:rFonts w:hint="eastAsia" w:ascii="仿宋_GB2312" w:hAnsi="仿宋_GB2312" w:eastAsia="仿宋_GB2312" w:cs="仿宋_GB2312"/>
          <w:b w:val="0"/>
          <w:bCs/>
          <w:color w:val="000000"/>
          <w:sz w:val="32"/>
          <w:szCs w:val="32"/>
          <w:highlight w:val="none"/>
        </w:rPr>
        <w:t>%。其中：</w:t>
      </w:r>
      <w:bookmarkEnd w:id="51"/>
    </w:p>
    <w:p>
      <w:pPr>
        <w:pageBreakBefore w:val="0"/>
        <w:kinsoku/>
        <w:wordWrap/>
        <w:overflowPunct/>
        <w:topLinePunct w:val="0"/>
        <w:bidi w:val="0"/>
        <w:spacing w:line="560" w:lineRule="exact"/>
        <w:ind w:firstLine="640" w:firstLineChars="200"/>
        <w:textAlignment w:val="auto"/>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 w:val="0"/>
          <w:bCs/>
          <w:color w:val="000000"/>
          <w:sz w:val="32"/>
          <w:szCs w:val="32"/>
          <w:lang w:val="en-US" w:eastAsia="zh-CN"/>
        </w:rPr>
        <w:t>1</w:t>
      </w:r>
      <w:r>
        <w:rPr>
          <w:rStyle w:val="19"/>
          <w:rFonts w:hint="eastAsia" w:ascii="仿宋_GB2312" w:hAnsi="仿宋_GB2312" w:eastAsia="仿宋_GB2312" w:cs="仿宋_GB2312"/>
          <w:b w:val="0"/>
          <w:bCs/>
          <w:color w:val="000000"/>
          <w:sz w:val="32"/>
          <w:szCs w:val="32"/>
        </w:rPr>
        <w:t>.社会保障和就业支出208（类）行政事业单位养老支出05（款）机关事业单位基本养老保险缴费支出05（项）:支出决算为</w:t>
      </w:r>
      <w:r>
        <w:rPr>
          <w:rStyle w:val="19"/>
          <w:rFonts w:hint="eastAsia" w:ascii="仿宋_GB2312" w:hAnsi="仿宋_GB2312" w:eastAsia="仿宋_GB2312" w:cs="仿宋_GB2312"/>
          <w:b w:val="0"/>
          <w:bCs/>
          <w:color w:val="000000"/>
          <w:sz w:val="32"/>
          <w:szCs w:val="32"/>
          <w:lang w:val="en-US" w:eastAsia="zh-CN"/>
        </w:rPr>
        <w:t>37.73</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60" w:lineRule="exact"/>
        <w:ind w:firstLine="640"/>
        <w:textAlignment w:val="auto"/>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 w:val="0"/>
          <w:bCs/>
          <w:color w:val="000000"/>
          <w:sz w:val="32"/>
          <w:szCs w:val="32"/>
          <w:lang w:val="en-US" w:eastAsia="zh-CN"/>
        </w:rPr>
        <w:t>2</w:t>
      </w:r>
      <w:r>
        <w:rPr>
          <w:rStyle w:val="19"/>
          <w:rFonts w:hint="eastAsia" w:ascii="仿宋_GB2312" w:hAnsi="仿宋_GB2312" w:eastAsia="仿宋_GB2312" w:cs="仿宋_GB2312"/>
          <w:b w:val="0"/>
          <w:bCs/>
          <w:color w:val="000000"/>
          <w:sz w:val="32"/>
          <w:szCs w:val="32"/>
        </w:rPr>
        <w:t>.社会保障和就业支出208（类）行政事业单位养老支出05（款）机关事业单位职业年金缴费支出06（项）:支出决算为</w:t>
      </w:r>
      <w:r>
        <w:rPr>
          <w:rStyle w:val="19"/>
          <w:rFonts w:hint="eastAsia" w:ascii="仿宋_GB2312" w:hAnsi="仿宋_GB2312" w:eastAsia="仿宋_GB2312" w:cs="仿宋_GB2312"/>
          <w:b w:val="0"/>
          <w:bCs/>
          <w:color w:val="000000"/>
          <w:sz w:val="32"/>
          <w:szCs w:val="32"/>
          <w:lang w:val="en-US" w:eastAsia="zh-CN"/>
        </w:rPr>
        <w:t>18.86</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60" w:lineRule="exact"/>
        <w:ind w:firstLine="640"/>
        <w:textAlignment w:val="auto"/>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 w:val="0"/>
          <w:bCs/>
          <w:color w:val="000000"/>
          <w:sz w:val="32"/>
          <w:szCs w:val="32"/>
          <w:lang w:val="en-US" w:eastAsia="zh-CN"/>
        </w:rPr>
        <w:t>3.</w:t>
      </w:r>
      <w:r>
        <w:rPr>
          <w:rStyle w:val="19"/>
          <w:rFonts w:hint="eastAsia" w:ascii="仿宋_GB2312" w:hAnsi="仿宋_GB2312" w:eastAsia="仿宋_GB2312" w:cs="仿宋_GB2312"/>
          <w:b w:val="0"/>
          <w:bCs/>
          <w:color w:val="000000"/>
          <w:sz w:val="32"/>
          <w:szCs w:val="32"/>
        </w:rPr>
        <w:t>卫生健康支出210（类）行政事业单位医疗11（款）</w:t>
      </w:r>
      <w:r>
        <w:rPr>
          <w:rStyle w:val="19"/>
          <w:rFonts w:hint="eastAsia" w:ascii="仿宋_GB2312" w:hAnsi="仿宋_GB2312" w:eastAsia="仿宋_GB2312" w:cs="仿宋_GB2312"/>
          <w:b w:val="0"/>
          <w:bCs/>
          <w:color w:val="000000"/>
          <w:sz w:val="32"/>
          <w:szCs w:val="32"/>
          <w:lang w:val="en-US" w:eastAsia="zh-CN"/>
        </w:rPr>
        <w:t>行政</w:t>
      </w:r>
      <w:r>
        <w:rPr>
          <w:rStyle w:val="19"/>
          <w:rFonts w:hint="eastAsia" w:ascii="仿宋_GB2312" w:hAnsi="仿宋_GB2312" w:eastAsia="仿宋_GB2312" w:cs="仿宋_GB2312"/>
          <w:b w:val="0"/>
          <w:bCs/>
          <w:color w:val="000000"/>
          <w:sz w:val="32"/>
          <w:szCs w:val="32"/>
        </w:rPr>
        <w:t>单位医疗0</w:t>
      </w:r>
      <w:r>
        <w:rPr>
          <w:rStyle w:val="19"/>
          <w:rFonts w:hint="eastAsia" w:ascii="仿宋_GB2312" w:hAnsi="仿宋_GB2312" w:eastAsia="仿宋_GB2312" w:cs="仿宋_GB2312"/>
          <w:b w:val="0"/>
          <w:bCs/>
          <w:color w:val="000000"/>
          <w:sz w:val="32"/>
          <w:szCs w:val="32"/>
          <w:lang w:val="en-US" w:eastAsia="zh-CN"/>
        </w:rPr>
        <w:t>1</w:t>
      </w:r>
      <w:r>
        <w:rPr>
          <w:rStyle w:val="19"/>
          <w:rFonts w:hint="eastAsia" w:ascii="仿宋_GB2312" w:hAnsi="仿宋_GB2312" w:eastAsia="仿宋_GB2312" w:cs="仿宋_GB2312"/>
          <w:b w:val="0"/>
          <w:bCs/>
          <w:color w:val="000000"/>
          <w:sz w:val="32"/>
          <w:szCs w:val="32"/>
        </w:rPr>
        <w:t>（项）:支出决算为</w:t>
      </w:r>
      <w:r>
        <w:rPr>
          <w:rStyle w:val="19"/>
          <w:rFonts w:hint="eastAsia" w:ascii="仿宋_GB2312" w:hAnsi="仿宋_GB2312" w:eastAsia="仿宋_GB2312" w:cs="仿宋_GB2312"/>
          <w:b w:val="0"/>
          <w:bCs/>
          <w:color w:val="000000"/>
          <w:sz w:val="32"/>
          <w:szCs w:val="32"/>
          <w:lang w:val="en-US" w:eastAsia="zh-CN"/>
        </w:rPr>
        <w:t>20.69</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60" w:lineRule="exact"/>
        <w:ind w:firstLine="640"/>
        <w:textAlignment w:val="auto"/>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 w:val="0"/>
          <w:bCs/>
          <w:color w:val="000000"/>
          <w:sz w:val="32"/>
          <w:szCs w:val="32"/>
          <w:lang w:val="en-US" w:eastAsia="zh-CN"/>
        </w:rPr>
        <w:t>4.</w:t>
      </w:r>
      <w:r>
        <w:rPr>
          <w:rStyle w:val="19"/>
          <w:rFonts w:hint="eastAsia" w:ascii="仿宋_GB2312" w:hAnsi="仿宋_GB2312" w:eastAsia="仿宋_GB2312" w:cs="仿宋_GB2312"/>
          <w:b w:val="0"/>
          <w:bCs/>
          <w:color w:val="000000"/>
          <w:sz w:val="32"/>
          <w:szCs w:val="32"/>
        </w:rPr>
        <w:t>卫生健康支出210（类）行政事业单位医疗11（款）公务员医疗补助03（项）:支出决算为</w:t>
      </w:r>
      <w:r>
        <w:rPr>
          <w:rStyle w:val="19"/>
          <w:rFonts w:hint="eastAsia" w:ascii="仿宋_GB2312" w:hAnsi="仿宋_GB2312" w:eastAsia="仿宋_GB2312" w:cs="仿宋_GB2312"/>
          <w:b w:val="0"/>
          <w:bCs/>
          <w:color w:val="000000"/>
          <w:sz w:val="32"/>
          <w:szCs w:val="32"/>
          <w:lang w:val="en-US" w:eastAsia="zh-CN"/>
        </w:rPr>
        <w:t>7.71</w:t>
      </w:r>
      <w:r>
        <w:rPr>
          <w:rStyle w:val="19"/>
          <w:rFonts w:hint="eastAsia" w:ascii="仿宋_GB2312" w:hAnsi="仿宋_GB2312" w:eastAsia="仿宋_GB2312" w:cs="仿宋_GB2312"/>
          <w:b w:val="0"/>
          <w:bCs/>
          <w:color w:val="000000"/>
          <w:sz w:val="32"/>
          <w:szCs w:val="32"/>
        </w:rPr>
        <w:t>万元</w:t>
      </w:r>
      <w:r>
        <w:rPr>
          <w:rStyle w:val="19"/>
          <w:rFonts w:hint="eastAsia" w:ascii="仿宋_GB2312" w:hAnsi="仿宋_GB2312" w:eastAsia="仿宋_GB2312" w:cs="仿宋_GB2312"/>
          <w:b w:val="0"/>
          <w:bCs/>
          <w:color w:val="000000"/>
          <w:sz w:val="32"/>
          <w:szCs w:val="32"/>
          <w:lang w:eastAsia="zh-CN"/>
        </w:rPr>
        <w:t>，</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60" w:lineRule="exact"/>
        <w:ind w:firstLine="640" w:firstLineChars="200"/>
        <w:textAlignment w:val="auto"/>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 w:val="0"/>
          <w:bCs/>
          <w:color w:val="000000"/>
          <w:sz w:val="32"/>
          <w:szCs w:val="32"/>
          <w:lang w:val="en-US" w:eastAsia="zh-CN"/>
        </w:rPr>
        <w:t>5.节能环保支出211（类）自然生态保护04（款）草原生态修复治理05（项）：65.81万元，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60" w:lineRule="exact"/>
        <w:ind w:firstLine="640" w:firstLineChars="200"/>
        <w:textAlignment w:val="auto"/>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 w:val="0"/>
          <w:bCs/>
          <w:color w:val="000000"/>
          <w:sz w:val="32"/>
          <w:szCs w:val="32"/>
          <w:lang w:val="en-US" w:eastAsia="zh-CN"/>
        </w:rPr>
        <w:t>6.</w:t>
      </w:r>
      <w:r>
        <w:rPr>
          <w:rStyle w:val="19"/>
          <w:rFonts w:hint="eastAsia" w:ascii="仿宋_GB2312" w:hAnsi="仿宋_GB2312" w:eastAsia="仿宋_GB2312" w:cs="仿宋_GB2312"/>
          <w:b w:val="0"/>
          <w:bCs/>
          <w:color w:val="000000"/>
          <w:sz w:val="32"/>
          <w:szCs w:val="32"/>
        </w:rPr>
        <w:t>农林水支出</w:t>
      </w:r>
      <w:r>
        <w:rPr>
          <w:rStyle w:val="19"/>
          <w:rFonts w:hint="eastAsia" w:ascii="仿宋_GB2312" w:hAnsi="仿宋_GB2312" w:eastAsia="仿宋_GB2312" w:cs="仿宋_GB2312"/>
          <w:b w:val="0"/>
          <w:bCs/>
          <w:color w:val="000000"/>
          <w:sz w:val="32"/>
          <w:szCs w:val="32"/>
          <w:lang w:val="en-US" w:eastAsia="zh-CN"/>
        </w:rPr>
        <w:t>213（类）水利03</w:t>
      </w:r>
      <w:r>
        <w:rPr>
          <w:rStyle w:val="19"/>
          <w:rFonts w:hint="eastAsia" w:ascii="仿宋_GB2312" w:hAnsi="仿宋_GB2312" w:eastAsia="仿宋_GB2312" w:cs="仿宋_GB2312"/>
          <w:b w:val="0"/>
          <w:bCs/>
          <w:color w:val="000000"/>
          <w:sz w:val="32"/>
          <w:szCs w:val="32"/>
        </w:rPr>
        <w:t>（款）</w:t>
      </w:r>
      <w:r>
        <w:rPr>
          <w:rStyle w:val="19"/>
          <w:rFonts w:hint="eastAsia" w:ascii="仿宋_GB2312" w:hAnsi="仿宋_GB2312" w:eastAsia="仿宋_GB2312" w:cs="仿宋_GB2312"/>
          <w:b w:val="0"/>
          <w:bCs/>
          <w:color w:val="000000"/>
          <w:sz w:val="32"/>
          <w:szCs w:val="32"/>
          <w:lang w:eastAsia="zh-CN"/>
        </w:rPr>
        <w:t>：</w:t>
      </w:r>
      <w:r>
        <w:rPr>
          <w:rStyle w:val="19"/>
          <w:rFonts w:hint="eastAsia" w:ascii="仿宋_GB2312" w:hAnsi="仿宋_GB2312" w:eastAsia="仿宋_GB2312" w:cs="仿宋_GB2312"/>
          <w:b w:val="0"/>
          <w:bCs/>
          <w:color w:val="000000"/>
          <w:sz w:val="32"/>
          <w:szCs w:val="32"/>
          <w:lang w:val="en-US" w:eastAsia="zh-CN"/>
        </w:rPr>
        <w:t>6370.71万元，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pageBreakBefore w:val="0"/>
        <w:kinsoku/>
        <w:wordWrap/>
        <w:overflowPunct/>
        <w:topLinePunct w:val="0"/>
        <w:bidi w:val="0"/>
        <w:spacing w:line="560" w:lineRule="exact"/>
        <w:ind w:firstLine="640"/>
        <w:textAlignment w:val="auto"/>
        <w:rPr>
          <w:rStyle w:val="19"/>
          <w:rFonts w:hint="eastAsia" w:ascii="仿宋_GB2312" w:hAnsi="仿宋_GB2312" w:eastAsia="仿宋_GB2312" w:cs="仿宋_GB2312"/>
          <w:b w:val="0"/>
          <w:bCs/>
          <w:color w:val="000000"/>
          <w:sz w:val="32"/>
          <w:szCs w:val="32"/>
          <w:lang w:eastAsia="zh-CN"/>
        </w:rPr>
      </w:pPr>
      <w:r>
        <w:rPr>
          <w:rStyle w:val="19"/>
          <w:rFonts w:hint="eastAsia" w:ascii="仿宋_GB2312" w:hAnsi="仿宋_GB2312" w:eastAsia="仿宋_GB2312" w:cs="仿宋_GB2312"/>
          <w:b w:val="0"/>
          <w:bCs/>
          <w:color w:val="000000"/>
          <w:sz w:val="32"/>
          <w:szCs w:val="32"/>
          <w:lang w:val="en-US" w:eastAsia="zh-CN"/>
        </w:rPr>
        <w:t>7.</w:t>
      </w:r>
      <w:r>
        <w:rPr>
          <w:rStyle w:val="19"/>
          <w:rFonts w:hint="eastAsia" w:ascii="仿宋_GB2312" w:hAnsi="仿宋_GB2312" w:eastAsia="仿宋_GB2312" w:cs="仿宋_GB2312"/>
          <w:b w:val="0"/>
          <w:bCs/>
          <w:color w:val="000000"/>
          <w:sz w:val="32"/>
          <w:szCs w:val="32"/>
        </w:rPr>
        <w:t>自然资源海洋气象等支出22</w:t>
      </w:r>
      <w:r>
        <w:rPr>
          <w:rStyle w:val="19"/>
          <w:rFonts w:hint="eastAsia" w:ascii="仿宋_GB2312" w:hAnsi="仿宋_GB2312" w:eastAsia="仿宋_GB2312" w:cs="仿宋_GB2312"/>
          <w:b w:val="0"/>
          <w:bCs/>
          <w:color w:val="000000"/>
          <w:sz w:val="32"/>
          <w:szCs w:val="32"/>
          <w:lang w:val="en-US" w:eastAsia="zh-CN"/>
        </w:rPr>
        <w:t>0</w:t>
      </w:r>
      <w:r>
        <w:rPr>
          <w:rStyle w:val="19"/>
          <w:rFonts w:hint="eastAsia" w:ascii="仿宋_GB2312" w:hAnsi="仿宋_GB2312" w:eastAsia="仿宋_GB2312" w:cs="仿宋_GB2312"/>
          <w:b w:val="0"/>
          <w:bCs/>
          <w:color w:val="000000"/>
          <w:sz w:val="32"/>
          <w:szCs w:val="32"/>
        </w:rPr>
        <w:t>（类）自然资源事务支出0（款）:支出决算为</w:t>
      </w:r>
      <w:r>
        <w:rPr>
          <w:rStyle w:val="19"/>
          <w:rFonts w:hint="eastAsia" w:ascii="仿宋_GB2312" w:hAnsi="仿宋_GB2312" w:eastAsia="仿宋_GB2312" w:cs="仿宋_GB2312"/>
          <w:b w:val="0"/>
          <w:bCs/>
          <w:color w:val="000000"/>
          <w:sz w:val="32"/>
          <w:szCs w:val="32"/>
          <w:lang w:val="en-US" w:eastAsia="zh-CN"/>
        </w:rPr>
        <w:t>9398.62</w:t>
      </w:r>
      <w:r>
        <w:rPr>
          <w:rStyle w:val="19"/>
          <w:rFonts w:hint="eastAsia" w:ascii="仿宋_GB2312" w:hAnsi="仿宋_GB2312" w:eastAsia="仿宋_GB2312" w:cs="仿宋_GB2312"/>
          <w:b w:val="0"/>
          <w:bCs/>
          <w:color w:val="000000"/>
          <w:sz w:val="32"/>
          <w:szCs w:val="32"/>
        </w:rPr>
        <w:t>万元，完成预算100%</w:t>
      </w:r>
      <w:r>
        <w:rPr>
          <w:rStyle w:val="19"/>
          <w:rFonts w:hint="eastAsia" w:ascii="仿宋_GB2312" w:hAnsi="仿宋_GB2312" w:eastAsia="仿宋_GB2312" w:cs="仿宋_GB2312"/>
          <w:b w:val="0"/>
          <w:bCs/>
          <w:color w:val="000000"/>
          <w:sz w:val="32"/>
          <w:szCs w:val="32"/>
          <w:lang w:eastAsia="zh-CN"/>
        </w:rPr>
        <w:t>。</w:t>
      </w:r>
    </w:p>
    <w:p>
      <w:pPr>
        <w:pageBreakBefore w:val="0"/>
        <w:kinsoku/>
        <w:wordWrap/>
        <w:overflowPunct/>
        <w:topLinePunct w:val="0"/>
        <w:bidi w:val="0"/>
        <w:spacing w:line="560" w:lineRule="exact"/>
        <w:ind w:firstLine="640"/>
        <w:textAlignment w:val="auto"/>
        <w:rPr>
          <w:rStyle w:val="19"/>
          <w:rFonts w:hint="eastAsia" w:ascii="仿宋_GB2312" w:hAnsi="仿宋_GB2312" w:eastAsia="仿宋_GB2312" w:cs="仿宋_GB2312"/>
          <w:b w:val="0"/>
          <w:bCs/>
          <w:color w:val="000000"/>
          <w:sz w:val="32"/>
          <w:szCs w:val="32"/>
          <w:lang w:eastAsia="zh-CN"/>
        </w:rPr>
      </w:pPr>
      <w:r>
        <w:rPr>
          <w:rStyle w:val="19"/>
          <w:rFonts w:hint="eastAsia" w:ascii="仿宋_GB2312" w:hAnsi="仿宋_GB2312" w:eastAsia="仿宋_GB2312" w:cs="仿宋_GB2312"/>
          <w:b w:val="0"/>
          <w:bCs/>
          <w:color w:val="000000"/>
          <w:sz w:val="32"/>
          <w:szCs w:val="32"/>
          <w:lang w:val="en-US" w:eastAsia="zh-CN"/>
        </w:rPr>
        <w:t xml:space="preserve"> 8.</w:t>
      </w:r>
      <w:r>
        <w:rPr>
          <w:rStyle w:val="19"/>
          <w:rFonts w:hint="eastAsia" w:ascii="仿宋_GB2312" w:hAnsi="仿宋_GB2312" w:eastAsia="仿宋_GB2312" w:cs="仿宋_GB2312"/>
          <w:b w:val="0"/>
          <w:bCs/>
          <w:color w:val="000000"/>
          <w:sz w:val="32"/>
          <w:szCs w:val="32"/>
        </w:rPr>
        <w:t>住房保障支出221（类）住房改革支出02（款）住房公积金01（项）:支出决算为</w:t>
      </w:r>
      <w:r>
        <w:rPr>
          <w:rStyle w:val="19"/>
          <w:rFonts w:hint="eastAsia" w:ascii="仿宋_GB2312" w:hAnsi="仿宋_GB2312" w:eastAsia="仿宋_GB2312" w:cs="仿宋_GB2312"/>
          <w:b w:val="0"/>
          <w:bCs/>
          <w:color w:val="000000"/>
          <w:sz w:val="32"/>
          <w:szCs w:val="32"/>
          <w:lang w:val="en-US" w:eastAsia="zh-CN"/>
        </w:rPr>
        <w:t>31.34</w:t>
      </w:r>
      <w:r>
        <w:rPr>
          <w:rStyle w:val="19"/>
          <w:rFonts w:hint="eastAsia" w:ascii="仿宋_GB2312" w:hAnsi="仿宋_GB2312" w:eastAsia="仿宋_GB2312" w:cs="仿宋_GB2312"/>
          <w:b w:val="0"/>
          <w:bCs/>
          <w:color w:val="000000"/>
          <w:sz w:val="32"/>
          <w:szCs w:val="32"/>
        </w:rPr>
        <w:t>万元，完成预算100%</w:t>
      </w:r>
      <w:r>
        <w:rPr>
          <w:rStyle w:val="19"/>
          <w:rFonts w:hint="eastAsia" w:ascii="仿宋_GB2312" w:hAnsi="仿宋_GB2312" w:eastAsia="仿宋_GB2312" w:cs="仿宋_GB2312"/>
          <w:b w:val="0"/>
          <w:bCs/>
          <w:color w:val="000000"/>
          <w:sz w:val="32"/>
          <w:szCs w:val="32"/>
          <w:lang w:eastAsia="zh-CN"/>
        </w:rPr>
        <w:t>。</w:t>
      </w:r>
    </w:p>
    <w:p>
      <w:pPr>
        <w:pStyle w:val="6"/>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Style w:val="19"/>
          <w:rFonts w:hint="eastAsia" w:ascii="仿宋_GB2312" w:hAnsi="仿宋_GB2312" w:eastAsia="仿宋_GB2312" w:cs="仿宋_GB2312"/>
          <w:b w:val="0"/>
          <w:bCs/>
          <w:color w:val="000000"/>
          <w:sz w:val="32"/>
          <w:szCs w:val="32"/>
          <w:lang w:val="en-US" w:eastAsia="zh-CN"/>
        </w:rPr>
        <w:t>9.灾害防治及应急管理支出224（类）自然灾害防治支出06（项）</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17.64万元，完成预算100%。</w:t>
      </w:r>
    </w:p>
    <w:p>
      <w:pPr>
        <w:pageBreakBefore w:val="0"/>
        <w:tabs>
          <w:tab w:val="right" w:pos="8306"/>
        </w:tabs>
        <w:kinsoku/>
        <w:wordWrap/>
        <w:overflowPunct/>
        <w:topLinePunct w:val="0"/>
        <w:bidi w:val="0"/>
        <w:spacing w:line="560" w:lineRule="exact"/>
        <w:ind w:firstLine="640" w:firstLineChars="200"/>
        <w:textAlignment w:val="auto"/>
        <w:outlineLvl w:val="1"/>
        <w:rPr>
          <w:rStyle w:val="22"/>
        </w:rPr>
      </w:pPr>
      <w:bookmarkStart w:id="52" w:name="_Toc15377214"/>
      <w:bookmarkStart w:id="53" w:name="_Toc15396608"/>
      <w:bookmarkStart w:id="54" w:name="_Toc32270"/>
      <w:r>
        <w:rPr>
          <w:rFonts w:hint="eastAsia" w:ascii="黑体" w:eastAsia="黑体"/>
          <w:sz w:val="32"/>
          <w:szCs w:val="32"/>
        </w:rPr>
        <w:t>六</w:t>
      </w:r>
      <w:r>
        <w:rPr>
          <w:rFonts w:hint="eastAsia" w:ascii="黑体" w:eastAsia="黑体"/>
          <w:b/>
          <w:sz w:val="32"/>
          <w:szCs w:val="32"/>
        </w:rPr>
        <w:t>、一</w:t>
      </w:r>
      <w:r>
        <w:rPr>
          <w:rStyle w:val="22"/>
          <w:rFonts w:hint="eastAsia" w:ascii="黑体" w:eastAsia="黑体"/>
          <w:b w:val="0"/>
        </w:rPr>
        <w:t>般公共预算财政拨款基本支出决算情况说明</w:t>
      </w:r>
      <w:bookmarkEnd w:id="52"/>
      <w:bookmarkEnd w:id="53"/>
      <w:bookmarkEnd w:id="54"/>
      <w:r>
        <w:rPr>
          <w:rStyle w:val="22"/>
          <w:rFonts w:ascii="黑体" w:eastAsia="黑体"/>
          <w:b w:val="0"/>
        </w:rPr>
        <w:tab/>
      </w:r>
    </w:p>
    <w:p>
      <w:pPr>
        <w:pageBreakBefore w:val="0"/>
        <w:kinsoku/>
        <w:wordWrap/>
        <w:overflowPunct/>
        <w:topLinePunct w:val="0"/>
        <w:bidi w:val="0"/>
        <w:spacing w:line="56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2022年一般公共预算财政拨款基本支出488.49万元，其中：</w:t>
      </w:r>
    </w:p>
    <w:p>
      <w:pPr>
        <w:pageBreakBefore w:val="0"/>
        <w:kinsoku/>
        <w:wordWrap/>
        <w:overflowPunct/>
        <w:topLinePunct w:val="0"/>
        <w:bidi w:val="0"/>
        <w:spacing w:line="560" w:lineRule="exact"/>
        <w:ind w:firstLine="645"/>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460.81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公用经费27.68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60" w:lineRule="exact"/>
        <w:ind w:firstLine="645"/>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（注：数据来源于财决07表和财决08-1表，仅罗列本部门实际支出涉及的经济分类科目。）</w:t>
      </w:r>
    </w:p>
    <w:p>
      <w:pPr>
        <w:pageBreakBefore w:val="0"/>
        <w:kinsoku/>
        <w:wordWrap/>
        <w:overflowPunct/>
        <w:topLinePunct w:val="0"/>
        <w:bidi w:val="0"/>
        <w:spacing w:line="560" w:lineRule="exact"/>
        <w:ind w:firstLine="640" w:firstLineChars="200"/>
        <w:textAlignment w:val="auto"/>
        <w:outlineLvl w:val="1"/>
        <w:rPr>
          <w:rStyle w:val="22"/>
          <w:rFonts w:ascii="黑体" w:eastAsia="黑体"/>
          <w:b w:val="0"/>
        </w:rPr>
      </w:pPr>
      <w:bookmarkStart w:id="55" w:name="_Toc15377215"/>
      <w:bookmarkStart w:id="56" w:name="_Toc5264"/>
      <w:bookmarkStart w:id="57" w:name="_Toc15396609"/>
      <w:r>
        <w:rPr>
          <w:rFonts w:hint="eastAsia" w:ascii="黑体" w:eastAsia="黑体"/>
          <w:sz w:val="32"/>
          <w:szCs w:val="32"/>
        </w:rPr>
        <w:t>七、</w:t>
      </w:r>
      <w:r>
        <w:rPr>
          <w:rStyle w:val="22"/>
          <w:rFonts w:hint="eastAsia" w:ascii="黑体" w:eastAsia="黑体"/>
          <w:b w:val="0"/>
        </w:rPr>
        <w:t>财政拨款</w:t>
      </w:r>
      <w:r>
        <w:rPr>
          <w:rStyle w:val="22"/>
          <w:rFonts w:hint="eastAsia" w:ascii="黑体" w:eastAsia="黑体"/>
        </w:rPr>
        <w:t>“</w:t>
      </w:r>
      <w:r>
        <w:rPr>
          <w:rStyle w:val="22"/>
          <w:rFonts w:hint="eastAsia" w:ascii="黑体" w:eastAsia="黑体"/>
          <w:b w:val="0"/>
        </w:rPr>
        <w:t>三公”经费支出决算情况说明</w:t>
      </w:r>
      <w:bookmarkEnd w:id="55"/>
      <w:bookmarkEnd w:id="56"/>
      <w:bookmarkEnd w:id="57"/>
    </w:p>
    <w:p>
      <w:pPr>
        <w:pageBreakBefore w:val="0"/>
        <w:kinsoku/>
        <w:wordWrap/>
        <w:overflowPunct/>
        <w:topLinePunct w:val="0"/>
        <w:bidi w:val="0"/>
        <w:spacing w:line="560" w:lineRule="exact"/>
        <w:ind w:firstLine="640"/>
        <w:textAlignment w:val="auto"/>
        <w:outlineLvl w:val="2"/>
        <w:rPr>
          <w:rFonts w:hint="eastAsia" w:ascii="楷体" w:hAnsi="楷体" w:eastAsia="楷体" w:cs="楷体"/>
          <w:b/>
          <w:sz w:val="32"/>
          <w:szCs w:val="32"/>
        </w:rPr>
      </w:pPr>
      <w:bookmarkStart w:id="58" w:name="_Toc15377216"/>
      <w:bookmarkStart w:id="59" w:name="_Toc29460"/>
      <w:r>
        <w:rPr>
          <w:rFonts w:hint="eastAsia" w:ascii="楷体" w:hAnsi="楷体" w:eastAsia="楷体" w:cs="楷体"/>
          <w:b/>
          <w:sz w:val="32"/>
          <w:szCs w:val="32"/>
        </w:rPr>
        <w:t>（一）“三公”经费财政拨款支出决算总体情况说明</w:t>
      </w:r>
      <w:bookmarkEnd w:id="58"/>
      <w:bookmarkEnd w:id="59"/>
    </w:p>
    <w:p>
      <w:pPr>
        <w:pageBreakBefore w:val="0"/>
        <w:kinsoku/>
        <w:wordWrap/>
        <w:overflowPunct/>
        <w:topLinePunct w:val="0"/>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2022年“三公”经费财政拨款支出决算为2.41万元，完成预算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%，较上年减少</w:t>
      </w:r>
      <w:r>
        <w:rPr>
          <w:rFonts w:hint="eastAsia" w:ascii="仿宋_GB2312" w:hAnsi="仿宋_GB2312" w:eastAsia="仿宋_GB2312" w:cs="仿宋_GB2312"/>
          <w:sz w:val="32"/>
          <w:szCs w:val="32"/>
          <w:lang w:val="en-US" w:eastAsia="zh-CN"/>
        </w:rPr>
        <w:t>45.47</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94.96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，原因是</w:t>
      </w:r>
      <w:r>
        <w:rPr>
          <w:rFonts w:hint="eastAsia" w:ascii="仿宋_GB2312" w:hAnsi="仿宋_GB2312" w:eastAsia="仿宋_GB2312" w:cs="仿宋_GB2312"/>
          <w:sz w:val="32"/>
          <w:szCs w:val="32"/>
          <w:lang w:val="en-US" w:eastAsia="zh-CN"/>
        </w:rPr>
        <w:t>2021年</w:t>
      </w:r>
      <w:r>
        <w:rPr>
          <w:rFonts w:hint="eastAsia" w:ascii="仿宋_GB2312" w:hAnsi="仿宋_GB2312" w:eastAsia="仿宋_GB2312" w:cs="仿宋_GB2312"/>
          <w:sz w:val="32"/>
          <w:szCs w:val="32"/>
          <w:lang w:eastAsia="zh-CN"/>
        </w:rPr>
        <w:t>购置公务车及</w:t>
      </w:r>
      <w:r>
        <w:rPr>
          <w:rFonts w:hint="eastAsia" w:ascii="仿宋_GB2312" w:hAnsi="仿宋_GB2312" w:eastAsia="仿宋_GB2312" w:cs="仿宋_GB2312"/>
          <w:sz w:val="32"/>
          <w:szCs w:val="32"/>
          <w:lang w:val="en-US" w:eastAsia="zh-CN"/>
        </w:rPr>
        <w:t>2022年厉行节约</w:t>
      </w:r>
      <w:r>
        <w:rPr>
          <w:rFonts w:hint="eastAsia" w:ascii="仿宋_GB2312" w:hAnsi="仿宋_GB2312" w:eastAsia="仿宋_GB2312" w:cs="仿宋_GB2312"/>
          <w:sz w:val="32"/>
          <w:szCs w:val="32"/>
        </w:rPr>
        <w:t>。</w:t>
      </w:r>
    </w:p>
    <w:p>
      <w:pPr>
        <w:pageBreakBefore w:val="0"/>
        <w:kinsoku/>
        <w:wordWrap/>
        <w:overflowPunct/>
        <w:topLinePunct w:val="0"/>
        <w:bidi w:val="0"/>
        <w:spacing w:line="560" w:lineRule="exact"/>
        <w:ind w:firstLine="64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（注：上述“预算”口径为全年预算数，包括一般公共预算和政府性基金预算财政拨款支出决算情况。）</w:t>
      </w:r>
    </w:p>
    <w:p>
      <w:pPr>
        <w:pageBreakBefore w:val="0"/>
        <w:kinsoku/>
        <w:wordWrap/>
        <w:overflowPunct/>
        <w:topLinePunct w:val="0"/>
        <w:bidi w:val="0"/>
        <w:spacing w:line="560" w:lineRule="exact"/>
        <w:ind w:firstLine="640"/>
        <w:textAlignment w:val="auto"/>
        <w:outlineLvl w:val="2"/>
        <w:rPr>
          <w:rFonts w:hint="eastAsia" w:ascii="楷体" w:hAnsi="楷体" w:eastAsia="楷体" w:cs="楷体"/>
          <w:b/>
          <w:sz w:val="32"/>
          <w:szCs w:val="32"/>
        </w:rPr>
      </w:pPr>
      <w:bookmarkStart w:id="60" w:name="_Toc15377217"/>
      <w:bookmarkStart w:id="61" w:name="_Toc9178"/>
      <w:r>
        <w:rPr>
          <w:rFonts w:hint="eastAsia" w:ascii="楷体" w:hAnsi="楷体" w:eastAsia="楷体" w:cs="楷体"/>
          <w:b/>
          <w:sz w:val="32"/>
          <w:szCs w:val="32"/>
        </w:rPr>
        <w:t>（二）“三公”经费财政拨款支出决算具体情况说明</w:t>
      </w:r>
      <w:bookmarkEnd w:id="60"/>
      <w:bookmarkEnd w:id="61"/>
    </w:p>
    <w:p>
      <w:pPr>
        <w:pageBreakBefore w:val="0"/>
        <w:kinsoku/>
        <w:wordWrap/>
        <w:overflowPunct/>
        <w:topLinePunct w:val="0"/>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%；公务用车购置及运行维护费支出决算2.41万元，占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%。具体情况如下：</w:t>
      </w:r>
    </w:p>
    <w:p>
      <w:pPr>
        <w:pageBreakBefore w:val="0"/>
        <w:kinsoku/>
        <w:wordWrap/>
        <w:overflowPunct/>
        <w:topLinePunct w:val="0"/>
        <w:bidi w:val="0"/>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（图7：“三公”经费财政拨款支出结构）</w:t>
      </w:r>
    </w:p>
    <w:p>
      <w:pPr>
        <w:pStyle w:val="6"/>
        <w:pageBreakBefore w:val="0"/>
        <w:kinsoku/>
        <w:wordWrap/>
        <w:overflowPunct/>
        <w:topLinePunct w:val="0"/>
        <w:bidi w:val="0"/>
        <w:spacing w:line="560" w:lineRule="exact"/>
        <w:textAlignment w:val="auto"/>
        <w:rPr>
          <w:rFonts w:hint="eastAsia" w:ascii="仿宋" w:eastAsia="仿宋"/>
          <w:sz w:val="32"/>
          <w:szCs w:val="32"/>
        </w:rPr>
      </w:pPr>
      <w:r>
        <w:drawing>
          <wp:anchor distT="0" distB="0" distL="114300" distR="114300" simplePos="0" relativeHeight="251662336" behindDoc="0" locked="0" layoutInCell="1" allowOverlap="1">
            <wp:simplePos x="0" y="0"/>
            <wp:positionH relativeFrom="column">
              <wp:posOffset>276225</wp:posOffset>
            </wp:positionH>
            <wp:positionV relativeFrom="page">
              <wp:posOffset>7355205</wp:posOffset>
            </wp:positionV>
            <wp:extent cx="4572000" cy="2743200"/>
            <wp:effectExtent l="4445" t="4445" r="14605" b="14605"/>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6"/>
        <w:pageBreakBefore w:val="0"/>
        <w:kinsoku/>
        <w:wordWrap/>
        <w:overflowPunct/>
        <w:topLinePunct w:val="0"/>
        <w:bidi w:val="0"/>
        <w:spacing w:line="560" w:lineRule="exact"/>
        <w:textAlignment w:val="auto"/>
        <w:rPr>
          <w:rFonts w:hint="eastAsia" w:ascii="仿宋" w:eastAsia="仿宋"/>
          <w:sz w:val="32"/>
          <w:szCs w:val="32"/>
        </w:rPr>
      </w:pPr>
    </w:p>
    <w:p>
      <w:pPr>
        <w:pStyle w:val="6"/>
        <w:pageBreakBefore w:val="0"/>
        <w:kinsoku/>
        <w:wordWrap/>
        <w:overflowPunct/>
        <w:topLinePunct w:val="0"/>
        <w:bidi w:val="0"/>
        <w:spacing w:line="560" w:lineRule="exact"/>
        <w:textAlignment w:val="auto"/>
        <w:rPr>
          <w:rFonts w:hint="eastAsia" w:ascii="仿宋" w:eastAsia="仿宋"/>
          <w:sz w:val="32"/>
          <w:szCs w:val="32"/>
        </w:rPr>
      </w:pPr>
    </w:p>
    <w:p>
      <w:pPr>
        <w:pStyle w:val="6"/>
        <w:pageBreakBefore w:val="0"/>
        <w:kinsoku/>
        <w:wordWrap/>
        <w:overflowPunct/>
        <w:topLinePunct w:val="0"/>
        <w:bidi w:val="0"/>
        <w:spacing w:line="560" w:lineRule="exact"/>
        <w:textAlignment w:val="auto"/>
        <w:rPr>
          <w:rFonts w:hint="eastAsia" w:ascii="仿宋" w:eastAsia="仿宋"/>
          <w:sz w:val="32"/>
          <w:szCs w:val="32"/>
        </w:rPr>
      </w:pPr>
    </w:p>
    <w:p>
      <w:pPr>
        <w:pStyle w:val="6"/>
        <w:pageBreakBefore w:val="0"/>
        <w:kinsoku/>
        <w:wordWrap/>
        <w:overflowPunct/>
        <w:topLinePunct w:val="0"/>
        <w:bidi w:val="0"/>
        <w:spacing w:line="560" w:lineRule="exact"/>
        <w:textAlignment w:val="auto"/>
        <w:rPr>
          <w:rFonts w:hint="eastAsia" w:ascii="仿宋" w:eastAsia="仿宋"/>
          <w:sz w:val="32"/>
          <w:szCs w:val="32"/>
        </w:rPr>
      </w:pPr>
    </w:p>
    <w:p>
      <w:pPr>
        <w:pStyle w:val="6"/>
        <w:pageBreakBefore w:val="0"/>
        <w:kinsoku/>
        <w:wordWrap/>
        <w:overflowPunct/>
        <w:topLinePunct w:val="0"/>
        <w:bidi w:val="0"/>
        <w:spacing w:line="560" w:lineRule="exact"/>
        <w:textAlignment w:val="auto"/>
        <w:rPr>
          <w:rFonts w:hint="eastAsia" w:ascii="仿宋" w:eastAsia="仿宋"/>
          <w:sz w:val="32"/>
          <w:szCs w:val="32"/>
        </w:rPr>
      </w:pPr>
    </w:p>
    <w:p>
      <w:pPr>
        <w:pStyle w:val="6"/>
        <w:pageBreakBefore w:val="0"/>
        <w:kinsoku/>
        <w:wordWrap/>
        <w:overflowPunct/>
        <w:topLinePunct w:val="0"/>
        <w:bidi w:val="0"/>
        <w:spacing w:line="560" w:lineRule="exact"/>
        <w:textAlignment w:val="auto"/>
        <w:rPr>
          <w:rFonts w:hint="eastAsia" w:ascii="仿宋" w:eastAsia="仿宋"/>
          <w:sz w:val="32"/>
          <w:szCs w:val="32"/>
        </w:rPr>
      </w:pPr>
    </w:p>
    <w:p>
      <w:pPr>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1.因公出国（境）经费支出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Style w:val="19"/>
          <w:rFonts w:hint="eastAsia" w:ascii="仿宋_GB2312" w:hAnsi="仿宋_GB2312" w:eastAsia="仿宋_GB2312" w:cs="仿宋_GB2312"/>
          <w:b w:val="0"/>
          <w:bCs/>
          <w:sz w:val="32"/>
          <w:szCs w:val="32"/>
        </w:rPr>
        <w:t>完成预算</w:t>
      </w:r>
      <w:r>
        <w:rPr>
          <w:rStyle w:val="19"/>
          <w:rFonts w:hint="eastAsia" w:ascii="仿宋_GB2312" w:hAnsi="仿宋_GB2312" w:eastAsia="仿宋_GB2312" w:cs="仿宋_GB2312"/>
          <w:b w:val="0"/>
          <w:bCs/>
          <w:sz w:val="32"/>
          <w:szCs w:val="32"/>
          <w:lang w:val="en-US" w:eastAsia="zh-CN"/>
        </w:rPr>
        <w:t>0</w:t>
      </w:r>
      <w:r>
        <w:rPr>
          <w:rStyle w:val="19"/>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全年安排因公出国（境）团组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人。因公出国（境）支出决算比2021年增加/减少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万元，增长/下降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2.公务用车购置及运行维护费支出</w:t>
      </w:r>
      <w:r>
        <w:rPr>
          <w:rFonts w:hint="eastAsia" w:ascii="仿宋_GB2312" w:hAnsi="仿宋_GB2312" w:eastAsia="仿宋_GB2312" w:cs="仿宋_GB2312"/>
          <w:sz w:val="32"/>
          <w:szCs w:val="32"/>
        </w:rPr>
        <w:t>2.41万元,</w:t>
      </w:r>
      <w:r>
        <w:rPr>
          <w:rStyle w:val="19"/>
          <w:rFonts w:hint="eastAsia" w:ascii="仿宋_GB2312" w:hAnsi="仿宋_GB2312" w:eastAsia="仿宋_GB2312" w:cs="仿宋_GB2312"/>
          <w:b w:val="0"/>
          <w:bCs/>
          <w:sz w:val="32"/>
          <w:szCs w:val="32"/>
        </w:rPr>
        <w:t>完成预算</w:t>
      </w:r>
      <w:r>
        <w:rPr>
          <w:rStyle w:val="19"/>
          <w:rFonts w:hint="eastAsia" w:ascii="仿宋_GB2312" w:hAnsi="仿宋_GB2312" w:eastAsia="仿宋_GB2312" w:cs="仿宋_GB2312"/>
          <w:b w:val="0"/>
          <w:bCs/>
          <w:sz w:val="32"/>
          <w:szCs w:val="32"/>
          <w:lang w:val="en-US" w:eastAsia="zh-CN"/>
        </w:rPr>
        <w:t>100</w:t>
      </w:r>
      <w:r>
        <w:rPr>
          <w:rStyle w:val="19"/>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公务用车购置及运行维护费支出决算比2021年减少</w:t>
      </w:r>
      <w:r>
        <w:rPr>
          <w:rFonts w:hint="eastAsia" w:ascii="仿宋_GB2312" w:hAnsi="仿宋_GB2312" w:eastAsia="仿宋_GB2312" w:cs="仿宋_GB2312"/>
          <w:sz w:val="32"/>
          <w:szCs w:val="32"/>
          <w:lang w:val="en-US" w:eastAsia="zh-CN"/>
        </w:rPr>
        <w:t>45.47</w:t>
      </w:r>
      <w:r>
        <w:rPr>
          <w:rFonts w:hint="eastAsia" w:ascii="仿宋_GB2312" w:hAnsi="仿宋_GB2312" w:eastAsia="仿宋_GB2312" w:cs="仿宋_GB2312"/>
          <w:sz w:val="32"/>
          <w:szCs w:val="32"/>
        </w:rPr>
        <w:t>万元，下降</w:t>
      </w:r>
      <w:r>
        <w:rPr>
          <w:rFonts w:hint="eastAsia" w:ascii="仿宋_GB2312" w:hAnsi="仿宋_GB2312" w:eastAsia="仿宋_GB2312" w:cs="仿宋_GB2312"/>
          <w:sz w:val="32"/>
          <w:szCs w:val="32"/>
          <w:lang w:val="en-US" w:eastAsia="zh-CN"/>
        </w:rPr>
        <w:t>94.96</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val="en-US" w:eastAsia="zh-CN"/>
        </w:rPr>
        <w:t>2021年购置了新的公务用车及2022年厉行节约</w:t>
      </w:r>
      <w:r>
        <w:rPr>
          <w:rFonts w:hint="eastAsia" w:ascii="仿宋_GB2312" w:hAnsi="仿宋_GB2312" w:eastAsia="仿宋_GB2312" w:cs="仿宋_GB2312"/>
          <w:sz w:val="32"/>
          <w:szCs w:val="32"/>
        </w:rPr>
        <w:t>。</w:t>
      </w:r>
    </w:p>
    <w:p>
      <w:pPr>
        <w:pageBreakBefore w:val="0"/>
        <w:kinsoku/>
        <w:wordWrap/>
        <w:overflowPunct/>
        <w:topLinePunct w:val="0"/>
        <w:bidi w:val="0"/>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公务用车运行维护费支出</w:t>
      </w:r>
      <w:r>
        <w:rPr>
          <w:rFonts w:hint="eastAsia" w:ascii="仿宋_GB2312" w:hAnsi="仿宋_GB2312" w:eastAsia="仿宋_GB2312" w:cs="仿宋_GB2312"/>
          <w:sz w:val="32"/>
          <w:szCs w:val="32"/>
        </w:rPr>
        <w:t>2.41万元。主要用于</w:t>
      </w:r>
      <w:r>
        <w:rPr>
          <w:rFonts w:hint="eastAsia" w:ascii="仿宋_GB2312" w:hAnsi="仿宋_GB2312" w:eastAsia="仿宋_GB2312" w:cs="仿宋_GB2312"/>
          <w:sz w:val="32"/>
          <w:szCs w:val="32"/>
          <w:lang w:eastAsia="zh-CN"/>
        </w:rPr>
        <w:t>检查水利基础设施建设</w:t>
      </w:r>
      <w:r>
        <w:rPr>
          <w:rFonts w:hint="eastAsia" w:ascii="仿宋_GB2312" w:hAnsi="仿宋_GB2312" w:eastAsia="仿宋_GB2312" w:cs="仿宋_GB2312"/>
          <w:sz w:val="32"/>
          <w:szCs w:val="32"/>
        </w:rPr>
        <w:t>等所需的公务用车燃料费、维修费、过路过桥费、保险费等支出。</w:t>
      </w:r>
    </w:p>
    <w:p>
      <w:pPr>
        <w:pageBreakBefore w:val="0"/>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3.公务接待费支出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Style w:val="19"/>
          <w:rFonts w:hint="eastAsia" w:ascii="仿宋_GB2312" w:hAnsi="仿宋_GB2312" w:eastAsia="仿宋_GB2312" w:cs="仿宋_GB2312"/>
          <w:b w:val="0"/>
          <w:bCs/>
          <w:sz w:val="32"/>
          <w:szCs w:val="32"/>
        </w:rPr>
        <w:t>完成预算</w:t>
      </w:r>
      <w:r>
        <w:rPr>
          <w:rStyle w:val="19"/>
          <w:rFonts w:hint="eastAsia" w:ascii="仿宋_GB2312" w:hAnsi="仿宋_GB2312" w:eastAsia="仿宋_GB2312" w:cs="仿宋_GB2312"/>
          <w:b w:val="0"/>
          <w:bCs/>
          <w:sz w:val="32"/>
          <w:szCs w:val="32"/>
          <w:lang w:val="en-US" w:eastAsia="zh-CN"/>
        </w:rPr>
        <w:t>0</w:t>
      </w:r>
      <w:r>
        <w:rPr>
          <w:rStyle w:val="19"/>
          <w:rFonts w:hint="eastAsia" w:ascii="仿宋_GB2312" w:hAnsi="仿宋_GB2312" w:eastAsia="仿宋_GB2312" w:cs="仿宋_GB2312"/>
          <w:b w:val="0"/>
          <w:bCs/>
          <w:sz w:val="32"/>
          <w:szCs w:val="32"/>
        </w:rPr>
        <w:t>%。</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2021年</w:t>
      </w:r>
      <w:r>
        <w:rPr>
          <w:rFonts w:hint="eastAsia" w:ascii="仿宋_GB2312" w:hAnsi="仿宋_GB2312" w:eastAsia="仿宋_GB2312" w:cs="仿宋_GB2312"/>
          <w:sz w:val="32"/>
          <w:szCs w:val="32"/>
          <w:lang w:eastAsia="zh-CN"/>
        </w:rPr>
        <w:t>持平。</w:t>
      </w:r>
    </w:p>
    <w:p>
      <w:pPr>
        <w:pageBreakBefore w:val="0"/>
        <w:kinsoku/>
        <w:wordWrap/>
        <w:overflowPunct/>
        <w:topLinePunct w:val="0"/>
        <w:bidi w:val="0"/>
        <w:spacing w:line="560" w:lineRule="exact"/>
        <w:ind w:firstLine="640" w:firstLineChars="200"/>
        <w:textAlignment w:val="auto"/>
        <w:outlineLvl w:val="1"/>
        <w:rPr>
          <w:rStyle w:val="22"/>
          <w:rFonts w:ascii="黑体" w:eastAsia="黑体"/>
        </w:rPr>
      </w:pPr>
      <w:bookmarkStart w:id="62" w:name="_Toc15377218"/>
      <w:bookmarkStart w:id="63" w:name="_Toc21826"/>
      <w:bookmarkStart w:id="64" w:name="_Toc15396610"/>
      <w:r>
        <w:rPr>
          <w:rFonts w:hint="eastAsia" w:ascii="黑体" w:eastAsia="黑体"/>
          <w:sz w:val="32"/>
          <w:szCs w:val="32"/>
        </w:rPr>
        <w:t>八、</w:t>
      </w:r>
      <w:r>
        <w:rPr>
          <w:rStyle w:val="22"/>
          <w:rFonts w:hint="eastAsia" w:ascii="黑体" w:eastAsia="黑体"/>
          <w:b w:val="0"/>
        </w:rPr>
        <w:t>政府性基金预算支出决算情况说明</w:t>
      </w:r>
      <w:bookmarkEnd w:id="62"/>
      <w:bookmarkEnd w:id="63"/>
      <w:bookmarkEnd w:id="64"/>
    </w:p>
    <w:p>
      <w:pPr>
        <w:pageBreakBefore w:val="0"/>
        <w:kinsoku/>
        <w:wordWrap/>
        <w:overflowPunct/>
        <w:topLinePunct w:val="0"/>
        <w:bidi w:val="0"/>
        <w:spacing w:line="560" w:lineRule="exact"/>
        <w:ind w:firstLine="64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22年政府性基金预算财政拨款支出10.05万元。</w:t>
      </w:r>
    </w:p>
    <w:p>
      <w:pPr>
        <w:pageBreakBefore w:val="0"/>
        <w:numPr>
          <w:ilvl w:val="0"/>
          <w:numId w:val="0"/>
        </w:numPr>
        <w:kinsoku/>
        <w:wordWrap/>
        <w:overflowPunct/>
        <w:topLinePunct w:val="0"/>
        <w:bidi w:val="0"/>
        <w:spacing w:line="560" w:lineRule="exact"/>
        <w:ind w:firstLine="640" w:firstLineChars="200"/>
        <w:textAlignment w:val="auto"/>
        <w:outlineLvl w:val="1"/>
        <w:rPr>
          <w:rStyle w:val="22"/>
          <w:rFonts w:ascii="黑体" w:eastAsia="黑体"/>
          <w:b w:val="0"/>
        </w:rPr>
      </w:pPr>
      <w:bookmarkStart w:id="65" w:name="_Toc15313"/>
      <w:bookmarkStart w:id="66" w:name="_Toc15396611"/>
      <w:bookmarkStart w:id="67" w:name="_Toc15377219"/>
      <w:r>
        <w:rPr>
          <w:rStyle w:val="22"/>
          <w:rFonts w:hint="eastAsia" w:ascii="黑体" w:eastAsia="黑体"/>
          <w:b w:val="0"/>
        </w:rPr>
        <w:t>九、国有资本经营预算支出决算情况说明</w:t>
      </w:r>
      <w:bookmarkEnd w:id="65"/>
      <w:bookmarkEnd w:id="66"/>
      <w:bookmarkEnd w:id="67"/>
    </w:p>
    <w:p>
      <w:pPr>
        <w:pageBreakBefore w:val="0"/>
        <w:kinsoku/>
        <w:wordWrap/>
        <w:overflowPunct/>
        <w:topLinePunct w:val="0"/>
        <w:bidi w:val="0"/>
        <w:spacing w:line="560" w:lineRule="exact"/>
        <w:ind w:firstLine="640"/>
        <w:textAlignment w:val="auto"/>
        <w:rPr>
          <w:rFonts w:asci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22年国有资本经营预算财政拨款支出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pageBreakBefore w:val="0"/>
        <w:numPr>
          <w:ilvl w:val="0"/>
          <w:numId w:val="0"/>
        </w:numPr>
        <w:kinsoku/>
        <w:wordWrap/>
        <w:overflowPunct/>
        <w:topLinePunct w:val="0"/>
        <w:bidi w:val="0"/>
        <w:spacing w:line="560" w:lineRule="exact"/>
        <w:ind w:left="640" w:leftChars="0"/>
        <w:textAlignment w:val="auto"/>
        <w:outlineLvl w:val="1"/>
        <w:rPr>
          <w:rStyle w:val="22"/>
          <w:rFonts w:ascii="黑体" w:eastAsia="黑体"/>
          <w:b w:val="0"/>
        </w:rPr>
      </w:pPr>
      <w:bookmarkStart w:id="68" w:name="_Toc1538"/>
      <w:bookmarkStart w:id="69" w:name="_Toc15377221"/>
      <w:bookmarkStart w:id="70" w:name="_Toc15396612"/>
      <w:r>
        <w:rPr>
          <w:rStyle w:val="22"/>
          <w:rFonts w:hint="eastAsia" w:ascii="黑体" w:eastAsia="黑体"/>
          <w:b w:val="0"/>
        </w:rPr>
        <w:t>十、其他重要事项的情况说明</w:t>
      </w:r>
      <w:bookmarkEnd w:id="68"/>
      <w:bookmarkEnd w:id="69"/>
      <w:bookmarkEnd w:id="70"/>
    </w:p>
    <w:p>
      <w:pPr>
        <w:pageBreakBefore w:val="0"/>
        <w:kinsoku/>
        <w:wordWrap/>
        <w:overflowPunct/>
        <w:topLinePunct w:val="0"/>
        <w:bidi w:val="0"/>
        <w:spacing w:line="560" w:lineRule="exact"/>
        <w:ind w:firstLine="643" w:firstLineChars="200"/>
        <w:textAlignment w:val="auto"/>
        <w:outlineLvl w:val="2"/>
        <w:rPr>
          <w:rFonts w:hint="eastAsia" w:ascii="楷体" w:hAnsi="楷体" w:eastAsia="楷体" w:cs="楷体"/>
          <w:sz w:val="32"/>
          <w:szCs w:val="32"/>
        </w:rPr>
      </w:pPr>
      <w:bookmarkStart w:id="71" w:name="_Toc9028"/>
      <w:bookmarkStart w:id="72" w:name="_Toc15377222"/>
      <w:r>
        <w:rPr>
          <w:rFonts w:hint="eastAsia" w:ascii="楷体" w:hAnsi="楷体" w:eastAsia="楷体" w:cs="楷体"/>
          <w:b/>
          <w:sz w:val="32"/>
          <w:szCs w:val="32"/>
        </w:rPr>
        <w:t>（一）机关运行经费支出情况</w:t>
      </w:r>
      <w:bookmarkEnd w:id="71"/>
      <w:bookmarkEnd w:id="72"/>
    </w:p>
    <w:p>
      <w:pPr>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22年，</w:t>
      </w:r>
      <w:r>
        <w:rPr>
          <w:rFonts w:hint="eastAsia" w:ascii="仿宋_GB2312" w:eastAsia="仿宋_GB2312"/>
          <w:sz w:val="32"/>
          <w:szCs w:val="32"/>
          <w:lang w:eastAsia="zh-CN"/>
        </w:rPr>
        <w:t>水务局</w:t>
      </w:r>
      <w:r>
        <w:rPr>
          <w:rFonts w:hint="eastAsia" w:ascii="仿宋_GB2312" w:eastAsia="仿宋_GB2312"/>
          <w:sz w:val="32"/>
          <w:szCs w:val="32"/>
        </w:rPr>
        <w:t>机关运行经费支出</w:t>
      </w:r>
      <w:r>
        <w:rPr>
          <w:rFonts w:hint="eastAsia" w:ascii="仿宋_GB2312" w:eastAsia="仿宋_GB2312"/>
          <w:sz w:val="32"/>
          <w:szCs w:val="32"/>
          <w:lang w:val="en-US" w:eastAsia="zh-CN"/>
        </w:rPr>
        <w:t>27.68</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21年减少</w:t>
      </w:r>
      <w:r>
        <w:rPr>
          <w:rFonts w:hint="eastAsia" w:ascii="仿宋_GB2312" w:eastAsia="仿宋_GB2312"/>
          <w:sz w:val="32"/>
          <w:szCs w:val="32"/>
          <w:lang w:val="en-US" w:eastAsia="zh-CN"/>
        </w:rPr>
        <w:t>50.79</w:t>
      </w:r>
      <w:r>
        <w:rPr>
          <w:rFonts w:hint="eastAsia" w:ascii="仿宋_GB2312" w:eastAsia="仿宋_GB2312"/>
          <w:sz w:val="32"/>
          <w:szCs w:val="32"/>
        </w:rPr>
        <w:t>万元，下降</w:t>
      </w:r>
      <w:r>
        <w:rPr>
          <w:rFonts w:hint="eastAsia" w:ascii="仿宋_GB2312" w:eastAsia="仿宋_GB2312"/>
          <w:sz w:val="32"/>
          <w:szCs w:val="32"/>
          <w:lang w:val="en-US" w:eastAsia="zh-CN"/>
        </w:rPr>
        <w:t>64.73</w:t>
      </w:r>
      <w:r>
        <w:rPr>
          <w:rFonts w:ascii="仿宋_GB2312" w:eastAsia="仿宋_GB2312"/>
          <w:sz w:val="32"/>
          <w:szCs w:val="32"/>
        </w:rPr>
        <w:t>%</w:t>
      </w:r>
      <w:r>
        <w:rPr>
          <w:rFonts w:hint="eastAsia" w:ascii="仿宋_GB2312" w:eastAsia="仿宋_GB2312"/>
          <w:sz w:val="32"/>
          <w:szCs w:val="32"/>
        </w:rPr>
        <w:t>（或与</w:t>
      </w:r>
      <w:r>
        <w:rPr>
          <w:rFonts w:ascii="仿宋_GB2312" w:eastAsia="仿宋_GB2312"/>
          <w:sz w:val="32"/>
          <w:szCs w:val="32"/>
        </w:rPr>
        <w:t>20</w:t>
      </w:r>
      <w:r>
        <w:rPr>
          <w:rFonts w:hint="eastAsia" w:ascii="仿宋_GB2312" w:eastAsia="仿宋_GB2312"/>
          <w:sz w:val="32"/>
          <w:szCs w:val="32"/>
        </w:rPr>
        <w:t>21年决算数持平）。主要原因是</w:t>
      </w:r>
      <w:r>
        <w:rPr>
          <w:rFonts w:hint="eastAsia" w:ascii="仿宋_GB2312" w:eastAsia="仿宋_GB2312"/>
          <w:sz w:val="32"/>
          <w:szCs w:val="32"/>
          <w:lang w:eastAsia="zh-CN"/>
        </w:rPr>
        <w:t>厉行节约</w:t>
      </w:r>
      <w:r>
        <w:rPr>
          <w:rFonts w:hint="eastAsia" w:ascii="仿宋_GB2312" w:eastAsia="仿宋_GB2312"/>
          <w:sz w:val="32"/>
          <w:szCs w:val="32"/>
        </w:rPr>
        <w:t>。</w:t>
      </w:r>
    </w:p>
    <w:p>
      <w:pPr>
        <w:pageBreakBefore w:val="0"/>
        <w:kinsoku/>
        <w:wordWrap/>
        <w:overflowPunct/>
        <w:topLinePunct w:val="0"/>
        <w:bidi w:val="0"/>
        <w:spacing w:line="560" w:lineRule="exact"/>
        <w:ind w:firstLine="643" w:firstLineChars="200"/>
        <w:textAlignment w:val="auto"/>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pageBreakBefore w:val="0"/>
        <w:kinsoku/>
        <w:wordWrap/>
        <w:overflowPunct/>
        <w:topLinePunct w:val="0"/>
        <w:autoSpaceDE w:val="0"/>
        <w:autoSpaceDN w:val="0"/>
        <w:bidi w:val="0"/>
        <w:adjustRightInd w:val="0"/>
        <w:spacing w:line="560" w:lineRule="exact"/>
        <w:ind w:firstLine="643" w:firstLineChars="200"/>
        <w:jc w:val="left"/>
        <w:textAlignment w:val="auto"/>
        <w:outlineLvl w:val="2"/>
        <w:rPr>
          <w:rFonts w:hint="eastAsia" w:ascii="楷体" w:hAnsi="楷体" w:eastAsia="楷体" w:cs="楷体"/>
          <w:b/>
          <w:sz w:val="32"/>
          <w:szCs w:val="32"/>
        </w:rPr>
      </w:pPr>
      <w:bookmarkStart w:id="73" w:name="_Toc14257"/>
      <w:bookmarkStart w:id="74" w:name="_Toc15377223"/>
      <w:r>
        <w:rPr>
          <w:rFonts w:hint="eastAsia" w:ascii="楷体" w:hAnsi="楷体" w:eastAsia="楷体" w:cs="楷体"/>
          <w:b/>
          <w:sz w:val="32"/>
          <w:szCs w:val="32"/>
        </w:rPr>
        <w:t>（二）政府采购支出情况</w:t>
      </w:r>
      <w:bookmarkEnd w:id="73"/>
      <w:bookmarkEnd w:id="74"/>
    </w:p>
    <w:p>
      <w:pPr>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w:t>
      </w:r>
      <w:r>
        <w:rPr>
          <w:rFonts w:hint="eastAsia" w:ascii="仿宋_GB2312" w:hAnsi="仿宋_GB2312" w:eastAsia="仿宋_GB2312" w:cs="仿宋_GB2312"/>
          <w:sz w:val="32"/>
          <w:szCs w:val="32"/>
          <w:lang w:eastAsia="zh-CN"/>
        </w:rPr>
        <w:t>水务局</w:t>
      </w:r>
      <w:r>
        <w:rPr>
          <w:rFonts w:hint="eastAsia" w:ascii="仿宋_GB2312" w:hAnsi="仿宋_GB2312" w:eastAsia="仿宋_GB2312" w:cs="仿宋_GB2312"/>
          <w:sz w:val="32"/>
          <w:szCs w:val="32"/>
        </w:rPr>
        <w:t>政府采购支出总额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万元、政府采购工程支出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万元。主要用于…（具体工作）。授予中小企业合同金额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pPr>
        <w:pageBreakBefore w:val="0"/>
        <w:kinsoku/>
        <w:wordWrap/>
        <w:overflowPunct/>
        <w:topLinePunct w:val="0"/>
        <w:bidi w:val="0"/>
        <w:spacing w:line="560" w:lineRule="exact"/>
        <w:ind w:firstLine="643" w:firstLineChars="200"/>
        <w:textAlignment w:val="auto"/>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pageBreakBefore w:val="0"/>
        <w:kinsoku/>
        <w:wordWrap/>
        <w:overflowPunct/>
        <w:topLinePunct w:val="0"/>
        <w:autoSpaceDE w:val="0"/>
        <w:autoSpaceDN w:val="0"/>
        <w:bidi w:val="0"/>
        <w:adjustRightInd w:val="0"/>
        <w:spacing w:line="560" w:lineRule="exact"/>
        <w:ind w:firstLine="643" w:firstLineChars="200"/>
        <w:jc w:val="left"/>
        <w:textAlignment w:val="auto"/>
        <w:outlineLvl w:val="2"/>
        <w:rPr>
          <w:rFonts w:hint="eastAsia" w:ascii="楷体" w:hAnsi="楷体" w:eastAsia="楷体" w:cs="楷体"/>
          <w:b/>
          <w:sz w:val="32"/>
          <w:szCs w:val="32"/>
        </w:rPr>
      </w:pPr>
      <w:bookmarkStart w:id="75" w:name="_Toc15377224"/>
      <w:bookmarkStart w:id="76" w:name="_Toc22207"/>
      <w:r>
        <w:rPr>
          <w:rFonts w:hint="eastAsia" w:ascii="楷体" w:hAnsi="楷体" w:eastAsia="楷体" w:cs="楷体"/>
          <w:b/>
          <w:sz w:val="32"/>
          <w:szCs w:val="32"/>
        </w:rPr>
        <w:t>（三）国有资产占有使用情况</w:t>
      </w:r>
      <w:bookmarkEnd w:id="75"/>
      <w:bookmarkEnd w:id="76"/>
    </w:p>
    <w:p>
      <w:pPr>
        <w:pageBreakBefore w:val="0"/>
        <w:kinsoku/>
        <w:wordWrap/>
        <w:overflowPunct/>
        <w:topLinePunct w:val="0"/>
        <w:autoSpaceDE w:val="0"/>
        <w:autoSpaceDN w:val="0"/>
        <w:bidi w:val="0"/>
        <w:adjustRightInd w:val="0"/>
        <w:spacing w:line="560" w:lineRule="exact"/>
        <w:ind w:firstLine="640" w:firstLineChars="200"/>
        <w:jc w:val="left"/>
        <w:textAlignment w:val="auto"/>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22年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水务局</w:t>
      </w:r>
      <w:r>
        <w:rPr>
          <w:rFonts w:hint="eastAsia" w:ascii="仿宋_GB2312" w:eastAsia="仿宋_GB2312"/>
          <w:sz w:val="32"/>
          <w:szCs w:val="32"/>
        </w:rPr>
        <w:t>共有车辆</w:t>
      </w:r>
      <w:r>
        <w:rPr>
          <w:rFonts w:hint="eastAsia" w:ascii="仿宋_GB2312" w:eastAsia="仿宋_GB2312"/>
          <w:sz w:val="32"/>
          <w:szCs w:val="32"/>
          <w:lang w:val="en-US" w:eastAsia="zh-CN"/>
        </w:rPr>
        <w:t>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0</w:t>
      </w:r>
      <w:r>
        <w:rPr>
          <w:rFonts w:hint="eastAsia" w:ascii="仿宋_GB2312" w:eastAsia="仿宋_GB2312"/>
          <w:sz w:val="32"/>
          <w:szCs w:val="32"/>
        </w:rPr>
        <w:t>台（套）。</w:t>
      </w:r>
    </w:p>
    <w:p>
      <w:pPr>
        <w:pageBreakBefore w:val="0"/>
        <w:kinsoku/>
        <w:wordWrap/>
        <w:overflowPunct/>
        <w:topLinePunct w:val="0"/>
        <w:autoSpaceDE w:val="0"/>
        <w:autoSpaceDN w:val="0"/>
        <w:bidi w:val="0"/>
        <w:adjustRightInd w:val="0"/>
        <w:spacing w:line="560" w:lineRule="exact"/>
        <w:ind w:firstLine="643" w:firstLineChars="200"/>
        <w:jc w:val="left"/>
        <w:textAlignment w:val="auto"/>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表，按部门决算报表填报数据罗列车辆情况。）</w:t>
      </w:r>
    </w:p>
    <w:p>
      <w:pPr>
        <w:pageBreakBefore w:val="0"/>
        <w:kinsoku/>
        <w:wordWrap/>
        <w:overflowPunct/>
        <w:topLinePunct w:val="0"/>
        <w:autoSpaceDE w:val="0"/>
        <w:autoSpaceDN w:val="0"/>
        <w:bidi w:val="0"/>
        <w:adjustRightInd w:val="0"/>
        <w:spacing w:line="560" w:lineRule="exact"/>
        <w:ind w:firstLine="643" w:firstLineChars="200"/>
        <w:jc w:val="left"/>
        <w:textAlignment w:val="auto"/>
        <w:outlineLvl w:val="2"/>
        <w:rPr>
          <w:rFonts w:hint="eastAsia" w:ascii="楷体" w:hAnsi="楷体" w:eastAsia="楷体" w:cs="楷体"/>
          <w:b/>
          <w:sz w:val="32"/>
          <w:szCs w:val="32"/>
        </w:rPr>
      </w:pPr>
      <w:bookmarkStart w:id="77" w:name="_Toc16836"/>
      <w:r>
        <w:rPr>
          <w:rFonts w:hint="eastAsia" w:ascii="楷体" w:hAnsi="楷体" w:eastAsia="楷体" w:cs="楷体"/>
          <w:b/>
          <w:sz w:val="32"/>
          <w:szCs w:val="32"/>
        </w:rPr>
        <w:t>（四）预算绩效管理情况</w:t>
      </w:r>
      <w:bookmarkEnd w:id="77"/>
    </w:p>
    <w:p>
      <w:pPr>
        <w:pageBreakBefore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5个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个项目开展了绩效目标完成情况梳理填报。</w:t>
      </w:r>
    </w:p>
    <w:p>
      <w:pPr>
        <w:pageBreakBefore w:val="0"/>
        <w:kinsoku/>
        <w:wordWrap/>
        <w:overflowPunct/>
        <w:topLinePunct w:val="0"/>
        <w:bidi w:val="0"/>
        <w:spacing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局严格按照年初预算进行部门整体支出，预算资金覆盖我单位工作的各个方面，按照保工资、保运转、保民生的保障序列科学编制，分配办法科学，考虑的因素必要合理，分配的结果合理，保障了人员经费及单位正常运转。在支出过程中，能严格遵守各项规章制度。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pStyle w:val="3"/>
        <w:pageBreakBefore w:val="0"/>
        <w:kinsoku/>
        <w:wordWrap/>
        <w:overflowPunct/>
        <w:topLinePunct w:val="0"/>
        <w:autoSpaceDE/>
        <w:autoSpaceDN/>
        <w:bidi w:val="0"/>
        <w:adjustRightInd/>
        <w:snapToGrid/>
        <w:spacing w:before="0" w:beforeAutospacing="0" w:after="0" w:afterAutospacing="0" w:line="560" w:lineRule="exact"/>
        <w:jc w:val="center"/>
        <w:rPr>
          <w:rFonts w:hint="eastAsia" w:ascii="仿宋_GB2312" w:eastAsia="仿宋_GB2312" w:cs="仿宋_GB2312"/>
          <w:sz w:val="32"/>
          <w:szCs w:val="32"/>
        </w:rPr>
      </w:pPr>
      <w:bookmarkStart w:id="78" w:name="_Toc7626"/>
      <w:bookmarkStart w:id="79" w:name="_Toc20631"/>
      <w:r>
        <w:rPr>
          <w:rFonts w:hint="eastAsia" w:ascii="仿宋" w:hAnsi="Times New Roman" w:eastAsia="仿宋" w:cs="Times New Roman"/>
          <w:b/>
          <w:bCs w:val="0"/>
          <w:kern w:val="2"/>
          <w:sz w:val="32"/>
          <w:szCs w:val="32"/>
          <w:lang w:val="en-US" w:eastAsia="zh-CN" w:bidi="ar-SA"/>
        </w:rPr>
        <w:t>绩效目标完成情况</w:t>
      </w:r>
      <w:bookmarkEnd w:id="78"/>
      <w:bookmarkEnd w:id="79"/>
    </w:p>
    <w:tbl>
      <w:tblPr>
        <w:tblStyle w:val="17"/>
        <w:tblW w:w="84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2"/>
        <w:gridCol w:w="504"/>
        <w:gridCol w:w="612"/>
        <w:gridCol w:w="878"/>
        <w:gridCol w:w="869"/>
        <w:gridCol w:w="684"/>
        <w:gridCol w:w="678"/>
        <w:gridCol w:w="667"/>
        <w:gridCol w:w="495"/>
        <w:gridCol w:w="653"/>
        <w:gridCol w:w="800"/>
        <w:gridCol w:w="645"/>
        <w:gridCol w:w="1"/>
        <w:gridCol w:w="589"/>
        <w:gridCol w:w="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gridAfter w:val="1"/>
          <w:wAfter w:w="14" w:type="dxa"/>
          <w:trHeight w:val="1306" w:hRule="atLeast"/>
        </w:trPr>
        <w:tc>
          <w:tcPr>
            <w:tcW w:w="782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Style w:val="32"/>
                <w:lang w:val="en-US" w:eastAsia="zh-CN" w:bidi="ar"/>
              </w:rPr>
              <w:t>绩效目标自评表</w:t>
            </w:r>
            <w:r>
              <w:rPr>
                <w:rStyle w:val="33"/>
                <w:lang w:val="en-US" w:eastAsia="zh-CN" w:bidi="ar"/>
              </w:rPr>
              <w:br w:type="textWrapping"/>
            </w:r>
            <w:r>
              <w:rPr>
                <w:rStyle w:val="34"/>
                <w:lang w:val="en-US" w:eastAsia="zh-CN" w:bidi="ar"/>
              </w:rPr>
              <w:t>（2022年度）</w:t>
            </w: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32"/>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660" w:hRule="atLeast"/>
        </w:trPr>
        <w:tc>
          <w:tcPr>
            <w:tcW w:w="1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24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各乡镇小学饮水工程提升项目</w:t>
            </w:r>
          </w:p>
        </w:tc>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项目负责</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人及电话</w:t>
            </w:r>
          </w:p>
        </w:tc>
        <w:tc>
          <w:tcPr>
            <w:tcW w:w="25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李舜燚08372662288</w:t>
            </w: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660" w:hRule="atLeast"/>
        </w:trPr>
        <w:tc>
          <w:tcPr>
            <w:tcW w:w="14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4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1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59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145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（A）</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(B)</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98.2</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98.2</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98.2</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5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5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34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35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393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56"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35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对瓦切镇小学等8所学校铺设110mm管2660米，63mm管1334米，32mm管81米安装防冻水龙头76个及配套设施。</w:t>
            </w:r>
          </w:p>
        </w:tc>
        <w:tc>
          <w:tcPr>
            <w:tcW w:w="393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对瓦切镇小学等8所学校铺设110mm管2660米，63mm管1334米，32mm管81米安装防冻水龙头76个及配套设施。</w:t>
            </w:r>
          </w:p>
        </w:tc>
        <w:tc>
          <w:tcPr>
            <w:tcW w:w="6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1561" w:hRule="atLeast"/>
        </w:trPr>
        <w:tc>
          <w:tcPr>
            <w:tcW w:w="34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年度指标值</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取的改进措施</w:t>
            </w: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改造供水学校处数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8所</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8所</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及时完工率</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受益建档立卡贫困人口数</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≥50人</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≥50人</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705"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4" w:type="dxa"/>
          <w:trHeight w:val="525" w:hRule="atLeast"/>
        </w:trPr>
        <w:tc>
          <w:tcPr>
            <w:tcW w:w="32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总分</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4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5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r>
    </w:tbl>
    <w:p>
      <w:pPr>
        <w:pStyle w:val="6"/>
        <w:rPr>
          <w:rFonts w:hint="eastAsia"/>
        </w:rPr>
      </w:pPr>
    </w:p>
    <w:p>
      <w:pPr>
        <w:pStyle w:val="6"/>
        <w:rPr>
          <w:rFonts w:hint="eastAsia"/>
        </w:rPr>
      </w:pPr>
    </w:p>
    <w:tbl>
      <w:tblPr>
        <w:tblStyle w:val="17"/>
        <w:tblW w:w="84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2"/>
        <w:gridCol w:w="496"/>
        <w:gridCol w:w="602"/>
        <w:gridCol w:w="1"/>
        <w:gridCol w:w="862"/>
        <w:gridCol w:w="851"/>
        <w:gridCol w:w="1"/>
        <w:gridCol w:w="672"/>
        <w:gridCol w:w="1"/>
        <w:gridCol w:w="667"/>
        <w:gridCol w:w="657"/>
        <w:gridCol w:w="484"/>
        <w:gridCol w:w="1"/>
        <w:gridCol w:w="641"/>
        <w:gridCol w:w="1"/>
        <w:gridCol w:w="800"/>
        <w:gridCol w:w="706"/>
        <w:gridCol w:w="1"/>
        <w:gridCol w:w="632"/>
        <w:gridCol w:w="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6" w:hRule="atLeast"/>
        </w:trPr>
        <w:tc>
          <w:tcPr>
            <w:tcW w:w="778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eastAsia" w:ascii="方正小标宋简体" w:hAnsi="方正小标宋简体" w:eastAsia="方正小标宋简体" w:cs="方正小标宋简体"/>
                <w:i w:val="0"/>
                <w:color w:val="000000"/>
                <w:kern w:val="0"/>
                <w:sz w:val="36"/>
                <w:szCs w:val="36"/>
                <w:u w:val="none"/>
                <w:lang w:val="en-US" w:eastAsia="zh-CN" w:bidi="ar"/>
              </w:rPr>
              <w:t>绩效目标自评表</w:t>
            </w:r>
            <w:r>
              <w:rPr>
                <w:rFonts w:hint="eastAsia" w:ascii="方正小标宋简体" w:hAnsi="方正小标宋简体" w:eastAsia="方正小标宋简体" w:cs="方正小标宋简体"/>
                <w:i w:val="0"/>
                <w:color w:val="000000"/>
                <w:kern w:val="0"/>
                <w:sz w:val="44"/>
                <w:szCs w:val="44"/>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（2022年度）</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color w:val="000000"/>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4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2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龙日镇新建取水枢纽及输水工程</w:t>
            </w:r>
          </w:p>
        </w:tc>
        <w:tc>
          <w:tcPr>
            <w:tcW w:w="1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项目负责</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人及电话</w:t>
            </w:r>
          </w:p>
        </w:tc>
        <w:tc>
          <w:tcPr>
            <w:tcW w:w="26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李舜燚08372662288</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4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1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6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144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（A）</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(B)</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1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34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348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39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56"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348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新建取水枢纽1座，改建水厂1座，新建输水管道22.2km</w:t>
            </w:r>
          </w:p>
        </w:tc>
        <w:tc>
          <w:tcPr>
            <w:tcW w:w="39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新建取水枢纽1座，改建水厂1座，新建输水管道22.2km</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1561" w:hRule="atLeast"/>
        </w:trPr>
        <w:tc>
          <w:tcPr>
            <w:tcW w:w="34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年度指标值</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取的改进措施</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1座</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1座</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及时完工率</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受益建档立卡贫困人口数</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≥200人</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≥200人</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705"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1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总分</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r>
    </w:tbl>
    <w:p>
      <w:pPr>
        <w:pStyle w:val="6"/>
        <w:rPr>
          <w:rFonts w:hint="eastAsia"/>
        </w:rPr>
      </w:pPr>
    </w:p>
    <w:tbl>
      <w:tblPr>
        <w:tblStyle w:val="17"/>
        <w:tblW w:w="84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2"/>
        <w:gridCol w:w="496"/>
        <w:gridCol w:w="602"/>
        <w:gridCol w:w="1"/>
        <w:gridCol w:w="862"/>
        <w:gridCol w:w="851"/>
        <w:gridCol w:w="1"/>
        <w:gridCol w:w="672"/>
        <w:gridCol w:w="1"/>
        <w:gridCol w:w="667"/>
        <w:gridCol w:w="657"/>
        <w:gridCol w:w="484"/>
        <w:gridCol w:w="1"/>
        <w:gridCol w:w="641"/>
        <w:gridCol w:w="1"/>
        <w:gridCol w:w="800"/>
        <w:gridCol w:w="706"/>
        <w:gridCol w:w="1"/>
        <w:gridCol w:w="632"/>
        <w:gridCol w:w="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6" w:hRule="atLeast"/>
        </w:trPr>
        <w:tc>
          <w:tcPr>
            <w:tcW w:w="7786"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eastAsia" w:ascii="方正小标宋简体" w:hAnsi="方正小标宋简体" w:eastAsia="方正小标宋简体" w:cs="方正小标宋简体"/>
                <w:i w:val="0"/>
                <w:color w:val="000000"/>
                <w:kern w:val="0"/>
                <w:sz w:val="36"/>
                <w:szCs w:val="36"/>
                <w:u w:val="none"/>
                <w:lang w:val="en-US" w:eastAsia="zh-CN" w:bidi="ar"/>
              </w:rPr>
              <w:t>绩效目标自评表</w:t>
            </w:r>
            <w:r>
              <w:rPr>
                <w:rFonts w:hint="eastAsia" w:ascii="方正小标宋简体" w:hAnsi="方正小标宋简体" w:eastAsia="方正小标宋简体" w:cs="方正小标宋简体"/>
                <w:i w:val="0"/>
                <w:color w:val="000000"/>
                <w:kern w:val="0"/>
                <w:sz w:val="44"/>
                <w:szCs w:val="44"/>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（2022年度）</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color w:val="000000"/>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4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2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邛溪镇备用水源地取水枢纽及输水工程</w:t>
            </w:r>
          </w:p>
        </w:tc>
        <w:tc>
          <w:tcPr>
            <w:tcW w:w="1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项目负责</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人及电话</w:t>
            </w:r>
          </w:p>
        </w:tc>
        <w:tc>
          <w:tcPr>
            <w:tcW w:w="26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李舜燚08372662288</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44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13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63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144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（A）</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(B)</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1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4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5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34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348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39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456"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3486"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新建取水枢纽1座，铺设355PE管网6公里，新建80立方米水池2个</w:t>
            </w:r>
          </w:p>
        </w:tc>
        <w:tc>
          <w:tcPr>
            <w:tcW w:w="395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新建取水枢纽1座，铺设355PE管网6公里，新建80立方米水池2个</w:t>
            </w: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1561" w:hRule="atLeast"/>
        </w:trPr>
        <w:tc>
          <w:tcPr>
            <w:tcW w:w="34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年度指标值</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取的改进措施</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新建取水枢纽</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1座</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1座</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及时完工率</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受益建档立卡贫困人口数</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≥200人</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≥200人</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6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2" w:type="dxa"/>
          <w:trHeight w:val="705"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1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总分</w:t>
            </w:r>
          </w:p>
        </w:tc>
        <w:tc>
          <w:tcPr>
            <w:tcW w:w="6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r>
    </w:tbl>
    <w:p>
      <w:pPr>
        <w:pStyle w:val="6"/>
      </w:pPr>
    </w:p>
    <w:tbl>
      <w:tblPr>
        <w:tblStyle w:val="17"/>
        <w:tblW w:w="84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2"/>
        <w:gridCol w:w="496"/>
        <w:gridCol w:w="601"/>
        <w:gridCol w:w="862"/>
        <w:gridCol w:w="852"/>
        <w:gridCol w:w="673"/>
        <w:gridCol w:w="672"/>
        <w:gridCol w:w="656"/>
        <w:gridCol w:w="486"/>
        <w:gridCol w:w="643"/>
        <w:gridCol w:w="800"/>
        <w:gridCol w:w="706"/>
        <w:gridCol w:w="1"/>
        <w:gridCol w:w="637"/>
        <w:gridCol w:w="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06" w:hRule="atLeast"/>
        </w:trPr>
        <w:tc>
          <w:tcPr>
            <w:tcW w:w="779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Fonts w:hint="eastAsia" w:ascii="方正小标宋简体" w:hAnsi="方正小标宋简体" w:eastAsia="方正小标宋简体" w:cs="方正小标宋简体"/>
                <w:i w:val="0"/>
                <w:color w:val="000000"/>
                <w:kern w:val="0"/>
                <w:sz w:val="36"/>
                <w:szCs w:val="36"/>
                <w:u w:val="none"/>
                <w:lang w:val="en-US" w:eastAsia="zh-CN" w:bidi="ar"/>
              </w:rPr>
              <w:t>绩效目标自评表</w:t>
            </w:r>
            <w:r>
              <w:rPr>
                <w:rFonts w:hint="eastAsia" w:ascii="方正小标宋简体" w:hAnsi="方正小标宋简体" w:eastAsia="方正小标宋简体" w:cs="方正小标宋简体"/>
                <w:i w:val="0"/>
                <w:color w:val="000000"/>
                <w:kern w:val="0"/>
                <w:sz w:val="44"/>
                <w:szCs w:val="44"/>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（2022年度）</w:t>
            </w: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小标宋简体" w:hAnsi="方正小标宋简体" w:eastAsia="方正小标宋简体" w:cs="方正小标宋简体"/>
                <w:i w:val="0"/>
                <w:color w:val="000000"/>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2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山洪危险区监测补助项</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项目负责</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人及电话</w:t>
            </w:r>
          </w:p>
        </w:tc>
        <w:tc>
          <w:tcPr>
            <w:tcW w:w="26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祁兰08372662288</w:t>
            </w: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4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1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6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75" w:hRule="atLeast"/>
        </w:trPr>
        <w:tc>
          <w:tcPr>
            <w:tcW w:w="143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（A）</w:t>
            </w:r>
          </w:p>
        </w:tc>
        <w:tc>
          <w:tcPr>
            <w:tcW w:w="18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(B)</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3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17.64</w:t>
            </w:r>
          </w:p>
        </w:tc>
        <w:tc>
          <w:tcPr>
            <w:tcW w:w="18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17.64</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3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17.64</w:t>
            </w:r>
          </w:p>
        </w:tc>
        <w:tc>
          <w:tcPr>
            <w:tcW w:w="18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17.64</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43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5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8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7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 w:type="dxa"/>
          <w:trHeight w:val="660" w:hRule="atLeast"/>
        </w:trPr>
        <w:tc>
          <w:tcPr>
            <w:tcW w:w="34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3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39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c>
          <w:tcPr>
            <w:tcW w:w="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3" w:type="dxa"/>
          <w:trHeight w:val="1456"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3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为我县49处山洪危险区的监测责任人按照3600/年的标准，落实监测经费。</w:t>
            </w:r>
          </w:p>
        </w:tc>
        <w:tc>
          <w:tcPr>
            <w:tcW w:w="39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为我县49处山洪危险区的监测责任人按照3600/年的标准，落实监测经费。</w:t>
            </w:r>
          </w:p>
        </w:tc>
        <w:tc>
          <w:tcPr>
            <w:tcW w:w="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61" w:hRule="atLeast"/>
        </w:trPr>
        <w:tc>
          <w:tcPr>
            <w:tcW w:w="34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年度指标值</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取的改进措施</w:t>
            </w: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监测人员数量</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49人</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49人</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汛期在岗率</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补贴及时发放率</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受益建档立卡贫困人口数</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≥100人</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≥100人</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5" w:hRule="atLeast"/>
        </w:trPr>
        <w:tc>
          <w:tcPr>
            <w:tcW w:w="34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4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1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315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总分</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8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r>
    </w:tbl>
    <w:p>
      <w:pPr>
        <w:pStyle w:val="6"/>
      </w:pPr>
    </w:p>
    <w:tbl>
      <w:tblPr>
        <w:tblStyle w:val="17"/>
        <w:tblW w:w="84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46"/>
        <w:gridCol w:w="647"/>
        <w:gridCol w:w="647"/>
        <w:gridCol w:w="646"/>
        <w:gridCol w:w="646"/>
        <w:gridCol w:w="647"/>
        <w:gridCol w:w="1"/>
        <w:gridCol w:w="646"/>
        <w:gridCol w:w="648"/>
        <w:gridCol w:w="645"/>
        <w:gridCol w:w="1"/>
        <w:gridCol w:w="646"/>
        <w:gridCol w:w="1"/>
        <w:gridCol w:w="800"/>
        <w:gridCol w:w="647"/>
        <w:gridCol w:w="1"/>
        <w:gridCol w:w="504"/>
        <w:gridCol w:w="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7915"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36"/>
                <w:szCs w:val="36"/>
                <w:u w:val="none"/>
              </w:rPr>
            </w:pPr>
            <w:r>
              <w:rPr>
                <w:rStyle w:val="35"/>
                <w:lang w:val="en-US" w:eastAsia="zh-CN" w:bidi="ar"/>
              </w:rPr>
              <w:t>绩效目标自评表</w:t>
            </w:r>
            <w:r>
              <w:rPr>
                <w:rFonts w:hint="eastAsia" w:ascii="方正小标宋简体" w:hAnsi="方正小标宋简体" w:eastAsia="方正小标宋简体" w:cs="方正小标宋简体"/>
                <w:i w:val="0"/>
                <w:color w:val="000000"/>
                <w:kern w:val="0"/>
                <w:sz w:val="44"/>
                <w:szCs w:val="44"/>
                <w:u w:val="none"/>
                <w:lang w:val="en-US" w:eastAsia="zh-CN" w:bidi="ar"/>
              </w:rPr>
              <w:br w:type="textWrapping"/>
            </w:r>
            <w:r>
              <w:rPr>
                <w:rFonts w:hint="eastAsia" w:ascii="宋体" w:hAnsi="宋体" w:eastAsia="宋体" w:cs="宋体"/>
                <w:i w:val="0"/>
                <w:color w:val="000000"/>
                <w:kern w:val="0"/>
                <w:sz w:val="28"/>
                <w:szCs w:val="28"/>
                <w:u w:val="none"/>
                <w:lang w:val="en-US" w:eastAsia="zh-CN" w:bidi="ar"/>
              </w:rPr>
              <w:t>（2022年度）</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Style w:val="35"/>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19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597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瓦切镇入户自来水管网建设项目</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19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1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12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27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红原县水务局</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540" w:hRule="atLeast"/>
        </w:trPr>
        <w:tc>
          <w:tcPr>
            <w:tcW w:w="194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（万元）</w:t>
            </w: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（A）</w:t>
            </w:r>
          </w:p>
        </w:tc>
        <w:tc>
          <w:tcPr>
            <w:tcW w:w="1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(B)</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540" w:hRule="atLeast"/>
        </w:trPr>
        <w:tc>
          <w:tcPr>
            <w:tcW w:w="19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w:t>
            </w:r>
          </w:p>
        </w:tc>
        <w:tc>
          <w:tcPr>
            <w:tcW w:w="12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810" w:hRule="atLeast"/>
        </w:trPr>
        <w:tc>
          <w:tcPr>
            <w:tcW w:w="19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12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540" w:hRule="atLeast"/>
        </w:trPr>
        <w:tc>
          <w:tcPr>
            <w:tcW w:w="194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12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32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40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323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168户户厕建设户自来水安装。</w:t>
            </w:r>
          </w:p>
        </w:tc>
        <w:tc>
          <w:tcPr>
            <w:tcW w:w="403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168户户厕建设户自来水安装。</w:t>
            </w:r>
          </w:p>
        </w:tc>
        <w:tc>
          <w:tcPr>
            <w:tcW w:w="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540" w:hRule="atLeast"/>
        </w:trPr>
        <w:tc>
          <w:tcPr>
            <w:tcW w:w="64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年度指标值</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取的改进措施</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168户户厕建设户自来水安装。</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160户</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160户</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项目验收合格率</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及时完工率</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168户户厕建设户自来水安装。</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≥50人</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≥50人</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6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2"/>
                <w:szCs w:val="22"/>
                <w:u w:val="none"/>
              </w:rPr>
            </w:pPr>
          </w:p>
        </w:tc>
        <w:tc>
          <w:tcPr>
            <w:tcW w:w="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1" w:type="dxa"/>
          <w:trHeight w:val="286" w:hRule="atLeast"/>
        </w:trPr>
        <w:tc>
          <w:tcPr>
            <w:tcW w:w="323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9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6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100</w:t>
            </w:r>
          </w:p>
        </w:tc>
        <w:tc>
          <w:tcPr>
            <w:tcW w:w="144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2"/>
                <w:szCs w:val="22"/>
                <w:u w:val="none"/>
              </w:rPr>
            </w:pPr>
          </w:p>
        </w:tc>
      </w:tr>
    </w:tbl>
    <w:p>
      <w:pPr>
        <w:pStyle w:val="4"/>
        <w:pageBreakBefore w:val="0"/>
        <w:kinsoku/>
        <w:wordWrap/>
        <w:overflowPunct/>
        <w:topLinePunct w:val="0"/>
        <w:bidi w:val="0"/>
        <w:spacing w:before="0" w:beforeAutospacing="0" w:after="0" w:afterAutospacing="0" w:line="560" w:lineRule="exact"/>
        <w:ind w:firstLine="643" w:firstLineChars="200"/>
        <w:outlineLvl w:val="2"/>
        <w:rPr>
          <w:rFonts w:hint="eastAsia" w:ascii="楷体" w:hAnsi="楷体" w:eastAsia="楷体" w:cs="楷体"/>
        </w:rPr>
      </w:pPr>
      <w:bookmarkStart w:id="80" w:name="_Toc31527"/>
      <w:r>
        <w:rPr>
          <w:rFonts w:hint="eastAsia" w:ascii="楷体" w:hAnsi="楷体" w:eastAsia="楷体" w:cs="楷体"/>
          <w:lang w:eastAsia="zh-CN"/>
        </w:rPr>
        <w:t>（</w:t>
      </w:r>
      <w:r>
        <w:rPr>
          <w:rFonts w:hint="eastAsia" w:ascii="楷体" w:hAnsi="楷体" w:eastAsia="楷体" w:cs="楷体"/>
          <w:lang w:val="en-US" w:eastAsia="zh-CN"/>
        </w:rPr>
        <w:t>三</w:t>
      </w:r>
      <w:r>
        <w:rPr>
          <w:rFonts w:hint="eastAsia" w:ascii="楷体" w:hAnsi="楷体" w:eastAsia="楷体" w:cs="楷体"/>
          <w:lang w:eastAsia="zh-CN"/>
        </w:rPr>
        <w:t>）</w:t>
      </w:r>
      <w:r>
        <w:rPr>
          <w:rFonts w:hint="eastAsia" w:ascii="楷体" w:hAnsi="楷体" w:eastAsia="楷体" w:cs="楷体"/>
        </w:rPr>
        <w:t>部门开展绩效评价结果。</w:t>
      </w:r>
      <w:bookmarkEnd w:id="80"/>
    </w:p>
    <w:p>
      <w:pPr>
        <w:pageBreakBefore w:val="0"/>
        <w:numPr>
          <w:ilvl w:val="0"/>
          <w:numId w:val="0"/>
        </w:numPr>
        <w:kinsoku/>
        <w:wordWrap/>
        <w:overflowPunct/>
        <w:topLinePunct w:val="0"/>
        <w:bidi w:val="0"/>
        <w:spacing w:beforeAutospacing="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红原县水务局202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w:t>
      </w:r>
    </w:p>
    <w:p>
      <w:pPr>
        <w:widowControl/>
        <w:ind w:firstLine="640" w:firstLineChars="200"/>
        <w:jc w:val="left"/>
        <w:rPr>
          <w:rFonts w:ascii="仿宋_GB2312" w:eastAsia="仿宋_GB2312"/>
          <w:b/>
          <w:sz w:val="32"/>
          <w:szCs w:val="32"/>
        </w:rPr>
      </w:pPr>
      <w:r>
        <w:rPr>
          <w:rFonts w:hint="eastAsia" w:ascii="仿宋_GB2312" w:hAnsi="仿宋" w:eastAsia="仿宋_GB2312"/>
          <w:color w:val="000000"/>
          <w:sz w:val="32"/>
          <w:szCs w:val="32"/>
          <w:highlight w:val="none"/>
          <w:lang w:val="en-US" w:eastAsia="zh-CN"/>
        </w:rPr>
        <w:t>本部门在2022年度部门决算中反映“</w:t>
      </w:r>
      <w:r>
        <w:rPr>
          <w:rFonts w:hint="eastAsia" w:ascii="仿宋_GB2312" w:hAnsi="Times New Roman" w:eastAsia="仿宋_GB2312" w:cs="仿宋_GB2312"/>
          <w:sz w:val="32"/>
          <w:szCs w:val="32"/>
          <w:lang w:val="en-US" w:eastAsia="zh-CN"/>
        </w:rPr>
        <w:t>各乡镇小学饮水工程提升项目、龙日镇新建取水枢纽及输水工程、邛溪镇备用水源地取水枢纽及输水工程、山洪危险区监测补助项、瓦切镇入户自来水管网建设项目”</w:t>
      </w:r>
      <w:r>
        <w:rPr>
          <w:rFonts w:hint="eastAsia" w:ascii="仿宋_GB2312" w:hAnsi="仿宋" w:eastAsia="仿宋_GB2312"/>
          <w:color w:val="000000"/>
          <w:sz w:val="32"/>
          <w:szCs w:val="32"/>
          <w:highlight w:val="none"/>
        </w:rPr>
        <w:t>等</w:t>
      </w:r>
      <w:r>
        <w:rPr>
          <w:rFonts w:hint="eastAsia" w:ascii="仿宋_GB2312" w:hAnsi="仿宋" w:eastAsia="仿宋_GB2312"/>
          <w:color w:val="000000"/>
          <w:sz w:val="32"/>
          <w:szCs w:val="32"/>
          <w:highlight w:val="none"/>
          <w:lang w:val="en-US" w:eastAsia="zh-CN"/>
        </w:rPr>
        <w:t>5</w:t>
      </w:r>
      <w:r>
        <w:rPr>
          <w:rFonts w:hint="eastAsia" w:ascii="仿宋_GB2312" w:hAnsi="仿宋" w:eastAsia="仿宋_GB2312"/>
          <w:color w:val="000000"/>
          <w:sz w:val="32"/>
          <w:szCs w:val="32"/>
          <w:highlight w:val="none"/>
        </w:rPr>
        <w:t>个项目绩效目标实际完成情况。（本单位部门项目绩效目标个数在5个以上的，选取5个项目进行公开，目标个数在5个以下的，全部进行公开，公开内容包括完成情况综述和完成情况表）。</w:t>
      </w:r>
      <w:r>
        <w:rPr>
          <w:rFonts w:hint="eastAsia" w:eastAsia="仿宋" w:cs="Times New Roman"/>
          <w:color w:val="000000"/>
          <w:kern w:val="0"/>
          <w:sz w:val="28"/>
          <w:szCs w:val="40"/>
          <w:lang w:val="en-US" w:eastAsia="zh-CN"/>
        </w:rPr>
        <w:t xml:space="preserve"> </w:t>
      </w:r>
      <w:r>
        <w:rPr>
          <w:rFonts w:ascii="仿宋_GB2312" w:eastAsia="仿宋_GB2312"/>
          <w:b/>
          <w:sz w:val="32"/>
          <w:szCs w:val="32"/>
        </w:rPr>
        <w:br w:type="page"/>
      </w:r>
    </w:p>
    <w:p>
      <w:pPr>
        <w:numPr>
          <w:ilvl w:val="0"/>
          <w:numId w:val="2"/>
        </w:numPr>
        <w:spacing w:line="600" w:lineRule="exact"/>
        <w:ind w:firstLine="660" w:firstLineChars="150"/>
        <w:jc w:val="center"/>
        <w:outlineLvl w:val="0"/>
        <w:rPr>
          <w:rStyle w:val="21"/>
          <w:rFonts w:ascii="黑体" w:eastAsia="黑体"/>
          <w:b w:val="0"/>
        </w:rPr>
      </w:pPr>
      <w:bookmarkStart w:id="81" w:name="_Toc15377225"/>
      <w:bookmarkStart w:id="82" w:name="_Toc25161"/>
      <w:bookmarkStart w:id="83" w:name="_Toc15396613"/>
      <w:r>
        <w:rPr>
          <w:rFonts w:hint="eastAsia" w:ascii="黑体" w:eastAsia="黑体"/>
          <w:sz w:val="44"/>
          <w:szCs w:val="44"/>
        </w:rPr>
        <w:t>名</w:t>
      </w:r>
      <w:r>
        <w:rPr>
          <w:rStyle w:val="21"/>
          <w:rFonts w:hint="eastAsia" w:ascii="黑体" w:eastAsia="黑体"/>
          <w:b w:val="0"/>
        </w:rPr>
        <w:t>词解释</w:t>
      </w:r>
      <w:bookmarkEnd w:id="81"/>
      <w:bookmarkEnd w:id="82"/>
      <w:bookmarkEnd w:id="83"/>
    </w:p>
    <w:p>
      <w:pPr>
        <w:spacing w:line="600" w:lineRule="exact"/>
        <w:jc w:val="left"/>
        <w:rPr>
          <w:rFonts w:ascii="宋体"/>
          <w:b/>
          <w:sz w:val="44"/>
          <w:szCs w:val="44"/>
        </w:rPr>
      </w:pP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事业收入：指事业单位开展专业业务活动及辅助活动取得的收入。如…（二级预算单位事业收入情况）等。</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sz w:val="32"/>
          <w:szCs w:val="32"/>
        </w:rPr>
        <w:t>9.</w:t>
      </w:r>
      <w:r>
        <w:rPr>
          <w:rFonts w:hint="eastAsia" w:ascii="仿宋_GB2312" w:eastAsia="仿宋_GB2312"/>
          <w:sz w:val="32"/>
          <w:szCs w:val="32"/>
        </w:rPr>
        <w:t>一般公共服务（类）…（款）…（项）：指……。</w:t>
      </w:r>
    </w:p>
    <w:p>
      <w:pPr>
        <w:ind w:firstLine="640" w:firstLineChars="200"/>
        <w:rPr>
          <w:rFonts w:ascii="仿宋_GB2312" w:eastAsia="仿宋_GB2312"/>
          <w:sz w:val="32"/>
          <w:szCs w:val="32"/>
        </w:rPr>
      </w:pPr>
      <w:r>
        <w:rPr>
          <w:rFonts w:ascii="仿宋_GB2312" w:eastAsia="仿宋_GB2312"/>
          <w:sz w:val="32"/>
          <w:szCs w:val="32"/>
        </w:rPr>
        <w:t>10.</w:t>
      </w:r>
      <w:r>
        <w:rPr>
          <w:rFonts w:hint="eastAsia" w:ascii="仿宋_GB2312" w:eastAsia="仿宋_GB2312"/>
          <w:sz w:val="32"/>
          <w:szCs w:val="32"/>
        </w:rPr>
        <w:t>外交（类）…（款）…（项）：指……。</w:t>
      </w:r>
    </w:p>
    <w:p>
      <w:pPr>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公共安全（类）…（款）…（项）：指……。</w:t>
      </w:r>
    </w:p>
    <w:p>
      <w:pPr>
        <w:ind w:firstLine="640" w:firstLineChars="200"/>
        <w:rPr>
          <w:rFonts w:ascii="仿宋_GB2312" w:eastAsia="仿宋_GB2312"/>
          <w:sz w:val="32"/>
          <w:szCs w:val="32"/>
        </w:rPr>
      </w:pPr>
      <w:r>
        <w:rPr>
          <w:rFonts w:ascii="仿宋_GB2312" w:eastAsia="仿宋_GB2312"/>
          <w:sz w:val="32"/>
          <w:szCs w:val="32"/>
        </w:rPr>
        <w:t>12.</w:t>
      </w:r>
      <w:r>
        <w:rPr>
          <w:rFonts w:hint="eastAsia" w:ascii="仿宋_GB2312" w:eastAsia="仿宋_GB2312"/>
          <w:sz w:val="32"/>
          <w:szCs w:val="32"/>
        </w:rPr>
        <w:t>教育（类）…（款）…（项）：指……。</w:t>
      </w:r>
    </w:p>
    <w:p>
      <w:pPr>
        <w:ind w:firstLine="640" w:firstLineChars="200"/>
        <w:rPr>
          <w:rFonts w:ascii="仿宋_GB2312" w:eastAsia="仿宋_GB2312"/>
          <w:sz w:val="32"/>
          <w:szCs w:val="32"/>
        </w:rPr>
      </w:pPr>
      <w:r>
        <w:rPr>
          <w:rFonts w:ascii="仿宋_GB2312" w:eastAsia="仿宋_GB2312"/>
          <w:sz w:val="32"/>
          <w:szCs w:val="32"/>
        </w:rPr>
        <w:t>13.</w:t>
      </w:r>
      <w:r>
        <w:rPr>
          <w:rFonts w:hint="eastAsia" w:ascii="仿宋_GB2312" w:eastAsia="仿宋_GB2312"/>
          <w:sz w:val="32"/>
          <w:szCs w:val="32"/>
        </w:rPr>
        <w:t>科学技术（类）…（款）…（项）：指……。</w:t>
      </w:r>
    </w:p>
    <w:p>
      <w:pPr>
        <w:ind w:firstLine="640" w:firstLineChars="200"/>
        <w:rPr>
          <w:rFonts w:ascii="仿宋_GB2312" w:eastAsia="仿宋_GB2312"/>
          <w:sz w:val="32"/>
          <w:szCs w:val="32"/>
        </w:rPr>
      </w:pPr>
      <w:r>
        <w:rPr>
          <w:rFonts w:ascii="仿宋_GB2312" w:eastAsia="仿宋_GB2312"/>
          <w:sz w:val="32"/>
          <w:szCs w:val="32"/>
        </w:rPr>
        <w:t>14.</w:t>
      </w:r>
      <w:r>
        <w:rPr>
          <w:rFonts w:hint="eastAsia" w:ascii="仿宋_GB2312" w:eastAsia="仿宋_GB2312"/>
          <w:sz w:val="32"/>
          <w:szCs w:val="32"/>
        </w:rPr>
        <w:t>文化旅游体育与传媒（类）…（款）…（项）：指……。</w:t>
      </w:r>
    </w:p>
    <w:p>
      <w:pPr>
        <w:ind w:firstLine="640" w:firstLineChars="200"/>
        <w:rPr>
          <w:rFonts w:ascii="仿宋_GB2312" w:eastAsia="仿宋_GB2312"/>
          <w:sz w:val="32"/>
          <w:szCs w:val="32"/>
        </w:rPr>
      </w:pPr>
      <w:r>
        <w:rPr>
          <w:rFonts w:ascii="仿宋_GB2312" w:eastAsia="仿宋_GB2312"/>
          <w:sz w:val="32"/>
          <w:szCs w:val="32"/>
        </w:rPr>
        <w:t>15.</w:t>
      </w:r>
      <w:r>
        <w:rPr>
          <w:rFonts w:hint="eastAsia" w:ascii="仿宋_GB2312" w:eastAsia="仿宋_GB2312"/>
          <w:sz w:val="32"/>
          <w:szCs w:val="32"/>
        </w:rPr>
        <w:t>社会保障和就业（类）…（款）…（项）：指……。</w:t>
      </w:r>
    </w:p>
    <w:p>
      <w:pPr>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卫生健康（类）…（款）…（项）：指……。</w:t>
      </w:r>
    </w:p>
    <w:p>
      <w:pPr>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节能环保（类）…（款）…（项）：指……。</w:t>
      </w:r>
    </w:p>
    <w:p>
      <w:pPr>
        <w:ind w:firstLine="640" w:firstLineChars="200"/>
        <w:rPr>
          <w:rFonts w:ascii="仿宋_GB2312" w:eastAsia="仿宋_GB2312"/>
          <w:sz w:val="32"/>
          <w:szCs w:val="32"/>
        </w:rPr>
      </w:pPr>
      <w:r>
        <w:rPr>
          <w:rFonts w:ascii="仿宋_GB2312" w:eastAsia="仿宋_GB2312"/>
          <w:sz w:val="32"/>
          <w:szCs w:val="32"/>
        </w:rPr>
        <w:t>18.</w:t>
      </w:r>
      <w:r>
        <w:rPr>
          <w:rFonts w:hint="eastAsia" w:ascii="仿宋_GB2312" w:eastAsia="仿宋_GB2312"/>
          <w:sz w:val="32"/>
          <w:szCs w:val="32"/>
        </w:rPr>
        <w:t>城乡社区（类）…（款）…（项）：指……。</w:t>
      </w:r>
    </w:p>
    <w:p>
      <w:pPr>
        <w:ind w:firstLine="640" w:firstLineChars="200"/>
        <w:rPr>
          <w:rFonts w:ascii="仿宋_GB2312" w:eastAsia="仿宋_GB2312"/>
          <w:sz w:val="32"/>
          <w:szCs w:val="32"/>
        </w:rPr>
      </w:pPr>
      <w:r>
        <w:rPr>
          <w:rFonts w:ascii="仿宋_GB2312" w:eastAsia="仿宋_GB2312"/>
          <w:sz w:val="32"/>
          <w:szCs w:val="32"/>
        </w:rPr>
        <w:t>19.</w:t>
      </w:r>
      <w:r>
        <w:rPr>
          <w:rFonts w:hint="eastAsia" w:ascii="仿宋_GB2312" w:eastAsia="仿宋_GB2312"/>
          <w:sz w:val="32"/>
          <w:szCs w:val="32"/>
        </w:rPr>
        <w:t>农林水（类）…（款）…（项）：指……。</w:t>
      </w:r>
    </w:p>
    <w:p>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交通运输（类）…（款）…（项）：指……。</w:t>
      </w:r>
    </w:p>
    <w:p>
      <w:pPr>
        <w:ind w:firstLine="640" w:firstLineChars="200"/>
        <w:rPr>
          <w:rFonts w:ascii="仿宋_GB2312" w:eastAsia="仿宋_GB2312"/>
          <w:sz w:val="32"/>
          <w:szCs w:val="32"/>
        </w:rPr>
      </w:pPr>
      <w:r>
        <w:rPr>
          <w:rFonts w:ascii="仿宋_GB2312" w:eastAsia="仿宋_GB2312"/>
          <w:sz w:val="32"/>
          <w:szCs w:val="32"/>
        </w:rPr>
        <w:t>21.</w:t>
      </w:r>
      <w:r>
        <w:rPr>
          <w:rFonts w:hint="eastAsia" w:ascii="仿宋_GB2312" w:eastAsia="仿宋_GB2312"/>
          <w:sz w:val="32"/>
          <w:szCs w:val="32"/>
        </w:rPr>
        <w:t>资源勘探工业信息等（类）…（款）…（项）：指……。</w:t>
      </w:r>
    </w:p>
    <w:p>
      <w:pPr>
        <w:ind w:firstLine="640" w:firstLineChars="200"/>
        <w:rPr>
          <w:rFonts w:ascii="仿宋_GB2312" w:eastAsia="仿宋_GB2312"/>
          <w:sz w:val="32"/>
          <w:szCs w:val="32"/>
        </w:rPr>
      </w:pPr>
      <w:r>
        <w:rPr>
          <w:rFonts w:ascii="仿宋_GB2312" w:eastAsia="仿宋_GB2312"/>
          <w:sz w:val="32"/>
          <w:szCs w:val="32"/>
        </w:rPr>
        <w:t>22.</w:t>
      </w:r>
      <w:r>
        <w:rPr>
          <w:rFonts w:hint="eastAsia" w:ascii="仿宋_GB2312" w:eastAsia="仿宋_GB2312"/>
          <w:sz w:val="32"/>
          <w:szCs w:val="32"/>
        </w:rPr>
        <w:t>商业服务业（类）…（款）…（项）：指……。</w:t>
      </w:r>
    </w:p>
    <w:p>
      <w:pPr>
        <w:ind w:firstLine="640" w:firstLineChars="200"/>
        <w:rPr>
          <w:rFonts w:ascii="仿宋_GB2312" w:eastAsia="仿宋_GB2312"/>
          <w:sz w:val="32"/>
          <w:szCs w:val="32"/>
        </w:rPr>
      </w:pPr>
      <w:r>
        <w:rPr>
          <w:rFonts w:ascii="仿宋_GB2312" w:eastAsia="仿宋_GB2312"/>
          <w:sz w:val="32"/>
          <w:szCs w:val="32"/>
        </w:rPr>
        <w:t>23.</w:t>
      </w:r>
      <w:r>
        <w:rPr>
          <w:rFonts w:hint="eastAsia" w:ascii="仿宋_GB2312" w:eastAsia="仿宋_GB2312"/>
          <w:sz w:val="32"/>
          <w:szCs w:val="32"/>
        </w:rPr>
        <w:t>金融（类）…（款）…（项）：指……。</w:t>
      </w:r>
    </w:p>
    <w:p>
      <w:pPr>
        <w:ind w:firstLine="640" w:firstLineChars="200"/>
        <w:rPr>
          <w:rFonts w:ascii="仿宋_GB2312" w:eastAsia="仿宋_GB2312"/>
          <w:sz w:val="32"/>
          <w:szCs w:val="32"/>
        </w:rPr>
      </w:pPr>
      <w:r>
        <w:rPr>
          <w:rFonts w:ascii="仿宋_GB2312" w:eastAsia="仿宋_GB2312"/>
          <w:sz w:val="32"/>
          <w:szCs w:val="32"/>
        </w:rPr>
        <w:t>24.</w:t>
      </w:r>
      <w:r>
        <w:rPr>
          <w:rFonts w:hint="eastAsia" w:ascii="仿宋_GB2312" w:eastAsia="仿宋_GB2312"/>
          <w:sz w:val="32"/>
          <w:szCs w:val="32"/>
        </w:rPr>
        <w:t>自然资源海洋气象等（类）…（款）…（项）：指……。</w:t>
      </w:r>
    </w:p>
    <w:p>
      <w:pPr>
        <w:ind w:firstLine="640" w:firstLineChars="200"/>
        <w:rPr>
          <w:rFonts w:ascii="仿宋_GB2312" w:eastAsia="仿宋_GB2312"/>
          <w:sz w:val="32"/>
          <w:szCs w:val="32"/>
        </w:rPr>
      </w:pPr>
      <w:r>
        <w:rPr>
          <w:rFonts w:ascii="仿宋_GB2312" w:eastAsia="仿宋_GB2312"/>
          <w:sz w:val="32"/>
          <w:szCs w:val="32"/>
        </w:rPr>
        <w:t>25.</w:t>
      </w:r>
      <w:r>
        <w:rPr>
          <w:rFonts w:hint="eastAsia" w:ascii="仿宋_GB2312" w:eastAsia="仿宋_GB2312"/>
          <w:sz w:val="32"/>
          <w:szCs w:val="32"/>
        </w:rPr>
        <w:t>住房保障（类）…（款）…（项）：指……。</w:t>
      </w:r>
    </w:p>
    <w:p>
      <w:pPr>
        <w:ind w:firstLine="640" w:firstLineChars="200"/>
        <w:rPr>
          <w:rFonts w:ascii="仿宋_GB2312" w:eastAsia="仿宋_GB2312"/>
          <w:sz w:val="32"/>
          <w:szCs w:val="32"/>
        </w:rPr>
      </w:pPr>
      <w:r>
        <w:rPr>
          <w:rFonts w:ascii="仿宋_GB2312" w:eastAsia="仿宋_GB2312"/>
          <w:sz w:val="32"/>
          <w:szCs w:val="32"/>
        </w:rPr>
        <w:t>26.</w:t>
      </w:r>
      <w:r>
        <w:rPr>
          <w:rFonts w:hint="eastAsia" w:ascii="仿宋_GB2312" w:eastAsia="仿宋_GB2312"/>
          <w:sz w:val="32"/>
          <w:szCs w:val="32"/>
        </w:rPr>
        <w:t>粮油物资储备（类）…（款）…（项）：指……。</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w:t>
      </w:r>
    </w:p>
    <w:p>
      <w:pPr>
        <w:spacing w:line="600" w:lineRule="exact"/>
        <w:ind w:firstLine="640"/>
        <w:rPr>
          <w:rFonts w:ascii="仿宋" w:eastAsia="仿宋"/>
          <w:b/>
          <w:sz w:val="32"/>
          <w:szCs w:val="32"/>
        </w:rPr>
      </w:pPr>
      <w:r>
        <w:rPr>
          <w:rFonts w:hint="eastAsia" w:ascii="仿宋" w:eastAsia="仿宋"/>
          <w:b/>
          <w:sz w:val="32"/>
          <w:szCs w:val="32"/>
        </w:rPr>
        <w:t>（解释本部门决算报表中涉及的全部功能分类科目至项级，不涉及的科目请自行删除。请参照《</w:t>
      </w:r>
      <w:r>
        <w:rPr>
          <w:rFonts w:ascii="仿宋" w:eastAsia="仿宋"/>
          <w:b/>
          <w:sz w:val="32"/>
          <w:szCs w:val="32"/>
        </w:rPr>
        <w:t>20</w:t>
      </w:r>
      <w:r>
        <w:rPr>
          <w:rFonts w:hint="eastAsia" w:ascii="仿宋" w:eastAsia="仿宋"/>
          <w:b/>
          <w:sz w:val="32"/>
          <w:szCs w:val="32"/>
        </w:rPr>
        <w:t>22年政府收支分类科目》增减内容。）</w:t>
      </w:r>
    </w:p>
    <w:p>
      <w:pPr>
        <w:ind w:firstLine="640" w:firstLineChars="200"/>
        <w:rPr>
          <w:rFonts w:ascii="仿宋_GB2312" w:eastAsia="仿宋_GB2312"/>
          <w:sz w:val="32"/>
          <w:szCs w:val="32"/>
        </w:rPr>
      </w:pPr>
      <w:r>
        <w:rPr>
          <w:rFonts w:ascii="仿宋_GB2312" w:eastAsia="仿宋_GB2312"/>
          <w:sz w:val="32"/>
          <w:szCs w:val="32"/>
        </w:rPr>
        <w:t>27.</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sz w:val="32"/>
          <w:szCs w:val="32"/>
        </w:rPr>
        <w:t>28.</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29.</w:t>
      </w:r>
      <w:r>
        <w:rPr>
          <w:rFonts w:hint="eastAsia" w:ascii="仿宋_GB2312" w:eastAsia="仿宋_GB2312"/>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30.</w:t>
      </w:r>
      <w:r>
        <w:rPr>
          <w:rFonts w:hint="eastAsia" w:ascii="仿宋_GB2312" w:eastAsia="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31.</w:t>
      </w:r>
      <w:r>
        <w:rPr>
          <w:rFonts w:hint="eastAsia" w:ascii="仿宋_GB2312" w:eastAsia="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ascii="仿宋_GB2312" w:eastAsia="仿宋_GB2312" w:cs="黑体"/>
          <w:color w:val="auto"/>
          <w:sz w:val="32"/>
          <w:szCs w:val="32"/>
        </w:rPr>
      </w:pPr>
      <w:r>
        <w:rPr>
          <w:rFonts w:ascii="仿宋_GB2312" w:eastAsia="仿宋_GB2312"/>
          <w:color w:val="auto"/>
          <w:sz w:val="32"/>
          <w:szCs w:val="32"/>
        </w:rPr>
        <w:t>32.</w:t>
      </w:r>
      <w:r>
        <w:rPr>
          <w:rFonts w:hint="eastAsia" w:ascii="仿宋_GB2312" w:eastAsia="仿宋_GB2312"/>
          <w:color w:val="auto"/>
          <w:sz w:val="32"/>
          <w:szCs w:val="32"/>
        </w:rPr>
        <w:t>……。</w:t>
      </w:r>
    </w:p>
    <w:p>
      <w:pPr>
        <w:ind w:firstLine="643" w:firstLineChars="200"/>
        <w:rPr>
          <w:rFonts w:ascii="仿宋" w:eastAsia="仿宋"/>
          <w:b/>
          <w:sz w:val="32"/>
          <w:szCs w:val="32"/>
        </w:rPr>
      </w:pPr>
      <w:r>
        <w:rPr>
          <w:rFonts w:hint="eastAsia" w:ascii="仿宋" w:eastAsia="仿宋"/>
          <w:b/>
          <w:sz w:val="32"/>
          <w:szCs w:val="32"/>
        </w:rPr>
        <w:t>（名词解释部分请根据各部门实际列支情况罗列，并根据本部门职责职能增减名词解释内容。）</w:t>
      </w:r>
    </w:p>
    <w:p>
      <w:pPr>
        <w:keepNext w:val="0"/>
        <w:keepLines w:val="0"/>
        <w:pageBreakBefore w:val="0"/>
        <w:kinsoku/>
        <w:wordWrap/>
        <w:overflowPunct/>
        <w:topLinePunct w:val="0"/>
        <w:autoSpaceDE/>
        <w:autoSpaceDN/>
        <w:bidi w:val="0"/>
        <w:spacing w:line="560" w:lineRule="exact"/>
        <w:jc w:val="center"/>
        <w:outlineLvl w:val="0"/>
        <w:rPr>
          <w:rStyle w:val="21"/>
          <w:rFonts w:ascii="黑体" w:eastAsia="黑体"/>
          <w:b w:val="0"/>
        </w:rPr>
      </w:pPr>
      <w:bookmarkStart w:id="84" w:name="_Toc15377226"/>
      <w:r>
        <w:rPr>
          <w:rFonts w:ascii="宋体"/>
          <w:b/>
          <w:sz w:val="44"/>
          <w:szCs w:val="44"/>
        </w:rPr>
        <w:br w:type="page"/>
      </w:r>
      <w:bookmarkStart w:id="85" w:name="_Toc29857"/>
      <w:bookmarkStart w:id="86" w:name="_Toc15396614"/>
      <w:r>
        <w:rPr>
          <w:rFonts w:hint="eastAsia" w:ascii="黑体" w:eastAsia="黑体"/>
          <w:sz w:val="44"/>
          <w:szCs w:val="44"/>
        </w:rPr>
        <w:t>第</w:t>
      </w:r>
      <w:r>
        <w:rPr>
          <w:rStyle w:val="21"/>
          <w:rFonts w:hint="eastAsia" w:ascii="黑体" w:eastAsia="黑体"/>
          <w:b w:val="0"/>
        </w:rPr>
        <w:t>四部分 附件</w:t>
      </w:r>
      <w:bookmarkEnd w:id="85"/>
      <w:bookmarkEnd w:id="86"/>
    </w:p>
    <w:p>
      <w:pPr>
        <w:keepNext w:val="0"/>
        <w:keepLines w:val="0"/>
        <w:pageBreakBefore w:val="0"/>
        <w:kinsoku/>
        <w:wordWrap/>
        <w:overflowPunct/>
        <w:topLinePunct w:val="0"/>
        <w:autoSpaceDE/>
        <w:autoSpaceDN/>
        <w:bidi w:val="0"/>
        <w:spacing w:line="560" w:lineRule="exact"/>
        <w:jc w:val="left"/>
        <w:outlineLvl w:val="1"/>
        <w:rPr>
          <w:rFonts w:ascii="方正小标宋简体" w:eastAsia="方正小标宋简体" w:cs="方正小标宋简体"/>
          <w:sz w:val="44"/>
          <w:szCs w:val="44"/>
        </w:rPr>
      </w:pPr>
      <w:bookmarkStart w:id="87" w:name="_Toc12755"/>
      <w:r>
        <w:rPr>
          <w:rFonts w:hint="eastAsia" w:ascii="黑体" w:eastAsia="黑体" w:cs="黑体"/>
          <w:sz w:val="32"/>
          <w:szCs w:val="32"/>
        </w:rPr>
        <w:t>附件</w:t>
      </w:r>
      <w:bookmarkEnd w:id="87"/>
    </w:p>
    <w:p>
      <w:pPr>
        <w:keepNext w:val="0"/>
        <w:keepLines w:val="0"/>
        <w:pageBreakBefore w:val="0"/>
        <w:widowControl/>
        <w:kinsoku/>
        <w:wordWrap/>
        <w:overflowPunct/>
        <w:topLinePunct w:val="0"/>
        <w:autoSpaceDE/>
        <w:autoSpaceDN/>
        <w:bidi w:val="0"/>
        <w:spacing w:line="560" w:lineRule="exact"/>
        <w:contextualSpacing/>
        <w:jc w:val="center"/>
        <w:rPr>
          <w:rFonts w:hint="eastAsia" w:ascii="方正小标宋简体" w:hAnsi="方正小标宋简体" w:eastAsia="方正小标宋简体" w:cs="方正小标宋简体"/>
          <w:w w:val="97"/>
          <w:sz w:val="44"/>
          <w:szCs w:val="44"/>
          <w:shd w:val="clear" w:color="auto" w:fill="FFFFFF"/>
        </w:rPr>
      </w:pPr>
      <w:r>
        <w:rPr>
          <w:rFonts w:hint="eastAsia" w:ascii="方正小标宋简体" w:hAnsi="方正小标宋简体" w:eastAsia="方正小标宋简体" w:cs="方正小标宋简体"/>
          <w:b/>
          <w:w w:val="97"/>
          <w:sz w:val="44"/>
          <w:szCs w:val="44"/>
          <w:shd w:val="clear" w:color="auto" w:fill="FFFFFF"/>
        </w:rPr>
        <w:t>2023年</w:t>
      </w:r>
      <w:r>
        <w:rPr>
          <w:rFonts w:hint="eastAsia" w:ascii="方正小标宋简体" w:hAnsi="方正小标宋简体" w:eastAsia="方正小标宋简体" w:cs="方正小标宋简体"/>
          <w:b/>
          <w:w w:val="97"/>
          <w:sz w:val="44"/>
          <w:szCs w:val="44"/>
          <w:shd w:val="clear" w:color="auto" w:fill="FFFFFF"/>
          <w:lang w:eastAsia="zh-CN"/>
        </w:rPr>
        <w:t>红原县水务局</w:t>
      </w:r>
      <w:r>
        <w:rPr>
          <w:rFonts w:hint="eastAsia" w:ascii="方正小标宋简体" w:hAnsi="方正小标宋简体" w:eastAsia="方正小标宋简体" w:cs="方正小标宋简体"/>
          <w:b/>
          <w:w w:val="97"/>
          <w:sz w:val="44"/>
          <w:szCs w:val="44"/>
          <w:shd w:val="clear" w:color="auto" w:fill="FFFFFF"/>
        </w:rPr>
        <w:t>部门整体绩效评价报告</w:t>
      </w:r>
    </w:p>
    <w:p>
      <w:pPr>
        <w:keepNext w:val="0"/>
        <w:keepLines w:val="0"/>
        <w:pageBreakBefore w:val="0"/>
        <w:widowControl/>
        <w:numPr>
          <w:ilvl w:val="0"/>
          <w:numId w:val="3"/>
        </w:numPr>
        <w:kinsoku/>
        <w:wordWrap/>
        <w:overflowPunct/>
        <w:topLinePunct w:val="0"/>
        <w:autoSpaceDE/>
        <w:autoSpaceDN/>
        <w:bidi w:val="0"/>
        <w:adjustRightInd w:val="0"/>
        <w:snapToGrid w:val="0"/>
        <w:spacing w:line="560" w:lineRule="exact"/>
        <w:ind w:firstLine="640" w:firstLineChars="200"/>
        <w:contextualSpacing/>
        <w:jc w:val="left"/>
        <w:outlineLvl w:val="1"/>
        <w:rPr>
          <w:rFonts w:ascii="黑体" w:eastAsia="黑体" w:cs="宋体"/>
          <w:kern w:val="0"/>
          <w:sz w:val="32"/>
          <w:szCs w:val="32"/>
          <w:shd w:val="clear" w:color="auto" w:fill="FFFFFF"/>
          <w:lang w:val="zh-CN"/>
        </w:rPr>
      </w:pPr>
      <w:bookmarkStart w:id="88" w:name="_Toc31547"/>
      <w:r>
        <w:rPr>
          <w:rFonts w:hint="eastAsia" w:ascii="黑体" w:eastAsia="黑体" w:cs="宋体"/>
          <w:kern w:val="0"/>
          <w:sz w:val="32"/>
          <w:szCs w:val="32"/>
          <w:shd w:val="clear" w:color="auto" w:fill="FFFFFF"/>
          <w:lang w:val="zh-CN"/>
        </w:rPr>
        <w:t>部门（单位）基本情况</w:t>
      </w:r>
      <w:bookmarkEnd w:id="88"/>
    </w:p>
    <w:p>
      <w:pPr>
        <w:pStyle w:val="6"/>
        <w:keepNext w:val="0"/>
        <w:keepLines w:val="0"/>
        <w:pageBreakBefore w:val="0"/>
        <w:kinsoku/>
        <w:wordWrap/>
        <w:overflowPunct/>
        <w:topLinePunct w:val="0"/>
        <w:autoSpaceDE/>
        <w:autoSpaceDN/>
        <w:bidi w:val="0"/>
        <w:adjustRightInd w:val="0"/>
        <w:snapToGrid w:val="0"/>
        <w:spacing w:beforeLines="0" w:line="560" w:lineRule="exact"/>
        <w:ind w:firstLine="643" w:firstLineChars="200"/>
      </w:pPr>
      <w:r>
        <w:rPr>
          <w:rFonts w:hint="eastAsia" w:ascii="楷体_GB2312" w:eastAsia="楷体_GB2312" w:cs="楷体_GB2312"/>
          <w:b/>
          <w:bCs/>
          <w:kern w:val="0"/>
          <w:sz w:val="32"/>
          <w:szCs w:val="32"/>
          <w:shd w:val="clear" w:color="auto" w:fill="FFFFFF"/>
          <w:lang w:val="zh-CN"/>
        </w:rPr>
        <w:t>（一）机构组成。</w:t>
      </w:r>
      <w:r>
        <w:rPr>
          <w:rFonts w:hint="eastAsia"/>
          <w:sz w:val="32"/>
          <w:szCs w:val="32"/>
          <w:lang w:eastAsia="zh-CN"/>
        </w:rPr>
        <w:t>水务局下设单位（股室）</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w:t>
      </w:r>
      <w:r>
        <w:rPr>
          <w:rFonts w:hint="eastAsia"/>
          <w:sz w:val="32"/>
          <w:szCs w:val="32"/>
          <w:lang w:eastAsia="zh-CN"/>
        </w:rPr>
        <w:t>分别是：水务局内设机构综合办公室</w:t>
      </w:r>
      <w:r>
        <w:rPr>
          <w:rFonts w:hint="eastAsia"/>
          <w:sz w:val="32"/>
          <w:szCs w:val="32"/>
          <w:lang w:val="en-US" w:eastAsia="zh-CN"/>
        </w:rPr>
        <w:t>;</w:t>
      </w:r>
      <w:r>
        <w:rPr>
          <w:rFonts w:hint="eastAsia" w:ascii="仿宋_GB2312" w:hAnsi="仿宋_GB2312" w:eastAsia="仿宋_GB2312" w:cs="仿宋_GB2312"/>
          <w:b w:val="0"/>
          <w:bCs/>
          <w:sz w:val="32"/>
          <w:szCs w:val="32"/>
          <w:lang w:eastAsia="zh-CN"/>
        </w:rPr>
        <w:t>水务局</w:t>
      </w:r>
      <w:r>
        <w:rPr>
          <w:rFonts w:hint="eastAsia" w:ascii="仿宋_GB2312" w:hAnsi="仿宋_GB2312" w:eastAsia="仿宋_GB2312" w:cs="仿宋_GB2312"/>
          <w:b w:val="0"/>
          <w:bCs/>
          <w:sz w:val="32"/>
          <w:szCs w:val="32"/>
        </w:rPr>
        <w:t>所属事业单位</w:t>
      </w:r>
      <w:r>
        <w:rPr>
          <w:rFonts w:hint="eastAsia" w:ascii="仿宋_GB2312" w:hAnsi="仿宋_GB2312" w:eastAsia="仿宋_GB2312" w:cs="仿宋_GB2312"/>
          <w:b w:val="0"/>
          <w:bCs/>
          <w:sz w:val="32"/>
          <w:szCs w:val="32"/>
          <w:lang w:eastAsia="zh-CN"/>
        </w:rPr>
        <w:t>水务服务中心</w:t>
      </w:r>
      <w:r>
        <w:rPr>
          <w:rFonts w:hint="eastAsia" w:hAnsi="仿宋_GB2312" w:cs="仿宋_GB2312"/>
          <w:b w:val="0"/>
          <w:bCs/>
          <w:sz w:val="32"/>
          <w:szCs w:val="32"/>
          <w:lang w:eastAsia="zh-CN"/>
        </w:rPr>
        <w:t>。</w:t>
      </w:r>
    </w:p>
    <w:p>
      <w:pPr>
        <w:pStyle w:val="16"/>
        <w:keepNext w:val="0"/>
        <w:keepLines w:val="0"/>
        <w:pageBreakBefore w:val="0"/>
        <w:kinsoku/>
        <w:wordWrap/>
        <w:overflowPunct/>
        <w:topLinePunct w:val="0"/>
        <w:autoSpaceDE/>
        <w:autoSpaceDN/>
        <w:bidi w:val="0"/>
        <w:spacing w:after="0" w:afterAutospacing="0" w:line="560" w:lineRule="exact"/>
        <w:ind w:left="0" w:leftChars="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eastAsia="楷体_GB2312" w:cs="楷体_GB2312"/>
          <w:b/>
          <w:bCs/>
          <w:kern w:val="0"/>
          <w:sz w:val="32"/>
          <w:szCs w:val="32"/>
          <w:shd w:val="clear" w:color="auto" w:fill="FFFFFF"/>
          <w:lang w:val="zh-CN"/>
        </w:rPr>
        <w:t>（二）机构职能和人员概况。</w:t>
      </w:r>
      <w:r>
        <w:rPr>
          <w:rFonts w:hint="eastAsia" w:ascii="仿宋_GB2312" w:hAnsi="仿宋_GB2312" w:eastAsia="仿宋_GB2312" w:cs="仿宋_GB2312"/>
          <w:kern w:val="2"/>
          <w:sz w:val="32"/>
          <w:szCs w:val="32"/>
          <w:lang w:val="en-US" w:eastAsia="zh-CN" w:bidi="ar-SA"/>
        </w:rPr>
        <w:t>1.主要职能。主要负责管理全县水资源（含地表水、地下水）开发、利用、保护工作。负责全县水利基本建设项目工作。组织制定全县水资源总体规划、流域规划和专业规划；拟定全县中长期和年度供水计划、水量分配方案和旱情紧急情况下水量调度预案；负责全县水政、渔政监察和水务行政执法工作；拟定渔业资源保护规划，实施渔业环境保护；负责全县水产资源和水生野生动植物的保护工作；协调并裁决水事、渔事纠纷，查处水事、渔事案件；负责有关行政复议受理和行政诉讼应诉工作。组织实施地方农村电力管理工作。</w:t>
      </w:r>
    </w:p>
    <w:p>
      <w:pPr>
        <w:pStyle w:val="16"/>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2．本单位本年度纳入本套决算编制范围的独立编制机构数共1个，比上年增加0个，无增减变动；独立核算机构数共1个，比上年增加0个,无增减变动。 </w:t>
      </w:r>
    </w:p>
    <w:p>
      <w:pPr>
        <w:pStyle w:val="16"/>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3．本单位本年度年末实有人数为19人，</w:t>
      </w:r>
      <w:r>
        <w:rPr>
          <w:rFonts w:hint="eastAsia" w:eastAsia="仿宋_GB2312" w:cs="仿宋_GB2312"/>
          <w:kern w:val="2"/>
          <w:sz w:val="32"/>
          <w:szCs w:val="32"/>
          <w:lang w:val="en-US" w:eastAsia="zh-CN" w:bidi="ar-SA"/>
        </w:rPr>
        <w:t>与上年持平</w:t>
      </w:r>
      <w:r>
        <w:rPr>
          <w:rFonts w:hint="eastAsia" w:ascii="仿宋_GB2312" w:hAnsi="仿宋_GB2312" w:eastAsia="仿宋_GB2312" w:cs="仿宋_GB2312"/>
          <w:kern w:val="2"/>
          <w:sz w:val="32"/>
          <w:szCs w:val="32"/>
          <w:lang w:val="en-US" w:eastAsia="zh-CN" w:bidi="ar-SA"/>
        </w:rPr>
        <w:t>；年末实有离退休人数为0人，比上年增加0人</w:t>
      </w:r>
      <w:r>
        <w:rPr>
          <w:rFonts w:hint="eastAsia" w:eastAsia="仿宋_GB2312" w:cs="仿宋_GB2312"/>
          <w:kern w:val="2"/>
          <w:sz w:val="32"/>
          <w:szCs w:val="32"/>
          <w:lang w:val="en-US" w:eastAsia="zh-CN" w:bidi="ar-SA"/>
        </w:rPr>
        <w:t>。</w:t>
      </w:r>
    </w:p>
    <w:p>
      <w:pPr>
        <w:keepNext w:val="0"/>
        <w:keepLines w:val="0"/>
        <w:pageBreakBefore w:val="0"/>
        <w:kinsoku/>
        <w:wordWrap/>
        <w:overflowPunct/>
        <w:topLinePunct w:val="0"/>
        <w:autoSpaceDE/>
        <w:autoSpaceDN/>
        <w:bidi w:val="0"/>
        <w:spacing w:line="560" w:lineRule="exact"/>
        <w:ind w:firstLine="643" w:firstLineChars="200"/>
        <w:jc w:val="left"/>
        <w:rPr>
          <w:rFonts w:hint="eastAsia" w:ascii="仿宋_GB2312" w:hAnsi="仿宋_GB2312" w:eastAsia="仿宋_GB2312" w:cs="仿宋_GB2312"/>
          <w:sz w:val="32"/>
          <w:szCs w:val="32"/>
          <w:lang w:val="en-US" w:eastAsia="zh-CN"/>
        </w:rPr>
      </w:pPr>
      <w:r>
        <w:rPr>
          <w:rFonts w:hint="eastAsia" w:ascii="楷体_GB2312" w:eastAsia="楷体_GB2312" w:cs="楷体_GB2312"/>
          <w:b/>
          <w:bCs/>
          <w:kern w:val="0"/>
          <w:sz w:val="32"/>
          <w:szCs w:val="32"/>
          <w:shd w:val="clear" w:color="auto" w:fill="FFFFFF"/>
          <w:lang w:val="zh-CN"/>
        </w:rPr>
        <w:t>（三）年度主要工作任务。</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重点水利基础设施建设项目有序推进。本年，我单位实施水利基础设施项目9个,其中农村饮水项目2个，河道治理类项目7个。我单位狠抓加快项目推进，严把工程质量，确保项目保质保量。</w:t>
      </w:r>
    </w:p>
    <w:p>
      <w:pPr>
        <w:keepNext w:val="0"/>
        <w:keepLines w:val="0"/>
        <w:pageBreakBefore w:val="0"/>
        <w:widowControl/>
        <w:shd w:val="clear" w:color="auto" w:fill="FFFFFF"/>
        <w:tabs>
          <w:tab w:val="left" w:pos="7740"/>
        </w:tabs>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 w:hAnsi="仿宋" w:eastAsia="仿宋" w:cs="黑体"/>
          <w:b/>
          <w:sz w:val="32"/>
          <w:szCs w:val="32"/>
          <w:lang w:val="en-US" w:eastAsia="zh-CN"/>
        </w:rPr>
      </w:pP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深入推进河长制工作落地落实。</w:t>
      </w:r>
      <w:r>
        <w:rPr>
          <w:rFonts w:hint="eastAsia" w:ascii="仿宋" w:hAnsi="仿宋" w:eastAsia="仿宋" w:cs="仿宋_GB2312"/>
          <w:sz w:val="32"/>
          <w:szCs w:val="32"/>
        </w:rPr>
        <w:t>河长制是一项复杂的系统工程，治理任务重、时间长，</w:t>
      </w:r>
      <w:r>
        <w:rPr>
          <w:rFonts w:hint="eastAsia" w:ascii="仿宋" w:hAnsi="仿宋" w:eastAsia="仿宋" w:cs="仿宋_GB2312"/>
          <w:sz w:val="32"/>
          <w:szCs w:val="32"/>
          <w:lang w:val="en-US" w:eastAsia="zh-CN"/>
        </w:rPr>
        <w:t>我单位将</w:t>
      </w:r>
      <w:r>
        <w:rPr>
          <w:rFonts w:hint="eastAsia" w:ascii="仿宋" w:hAnsi="仿宋" w:eastAsia="仿宋" w:cs="仿宋_GB2312"/>
          <w:sz w:val="32"/>
          <w:szCs w:val="32"/>
        </w:rPr>
        <w:t>突出过程治理，全力管水</w:t>
      </w:r>
      <w:r>
        <w:rPr>
          <w:rFonts w:hint="eastAsia" w:ascii="仿宋" w:hAnsi="仿宋" w:eastAsia="仿宋" w:cs="仿宋_GB2312"/>
          <w:sz w:val="32"/>
          <w:szCs w:val="32"/>
          <w:lang w:eastAsia="zh-CN"/>
        </w:rPr>
        <w:t>，</w:t>
      </w:r>
      <w:r>
        <w:rPr>
          <w:rFonts w:hint="eastAsia" w:ascii="仿宋" w:hAnsi="仿宋" w:eastAsia="仿宋" w:cs="仿宋_GB2312"/>
          <w:sz w:val="32"/>
          <w:szCs w:val="32"/>
        </w:rPr>
        <w:t>突出行政执法，依法治水，精准发力、履职</w:t>
      </w:r>
      <w:r>
        <w:rPr>
          <w:rFonts w:hint="eastAsia" w:ascii="仿宋" w:hAnsi="仿宋" w:eastAsia="仿宋" w:cs="仿宋_GB2312"/>
          <w:sz w:val="32"/>
          <w:szCs w:val="32"/>
          <w:lang w:val="en-US" w:eastAsia="zh-CN"/>
        </w:rPr>
        <w:t>尽责</w:t>
      </w:r>
      <w:r>
        <w:rPr>
          <w:rFonts w:hint="eastAsia" w:ascii="仿宋" w:hAnsi="仿宋" w:eastAsia="仿宋" w:cs="仿宋_GB2312"/>
          <w:sz w:val="32"/>
          <w:szCs w:val="32"/>
        </w:rPr>
        <w:t>，推动</w:t>
      </w:r>
      <w:r>
        <w:rPr>
          <w:rFonts w:hint="eastAsia" w:ascii="仿宋" w:hAnsi="仿宋" w:eastAsia="仿宋" w:cs="仿宋_GB2312"/>
          <w:sz w:val="32"/>
          <w:szCs w:val="32"/>
          <w:lang w:val="en-US" w:eastAsia="zh-CN"/>
        </w:rPr>
        <w:t>我县</w:t>
      </w:r>
      <w:r>
        <w:rPr>
          <w:rFonts w:hint="eastAsia" w:ascii="仿宋" w:hAnsi="仿宋" w:eastAsia="仿宋" w:cs="仿宋_GB2312"/>
          <w:sz w:val="32"/>
          <w:szCs w:val="32"/>
        </w:rPr>
        <w:t>河长制工作再上新台阶。</w:t>
      </w:r>
      <w:r>
        <w:rPr>
          <w:rFonts w:hint="eastAsia" w:ascii="仿宋_GB2312" w:hAnsi="仿宋_GB2312" w:eastAsia="仿宋_GB2312" w:cs="仿宋_GB2312"/>
          <w:sz w:val="32"/>
          <w:szCs w:val="32"/>
          <w:lang w:val="en-US" w:eastAsia="zh-CN"/>
        </w:rPr>
        <w:t>截至目前，</w:t>
      </w:r>
      <w:r>
        <w:rPr>
          <w:rFonts w:hint="eastAsia" w:ascii="仿宋_GB2312" w:hAnsi="仿宋_GB2312" w:eastAsia="仿宋_GB2312" w:cs="仿宋_GB2312"/>
          <w:b w:val="0"/>
          <w:kern w:val="2"/>
          <w:sz w:val="32"/>
          <w:szCs w:val="32"/>
          <w:lang w:val="en-US" w:eastAsia="zh-CN" w:bidi="ar-SA"/>
        </w:rPr>
        <w:t>在全县建立了县、乡（镇）村三级河长体系，全县共设立县级河长14名，镇级河长65名，规范设置河长制公示牌48块，已过生态公益性岗位设置河道管护员91名。</w:t>
      </w:r>
    </w:p>
    <w:p>
      <w:pPr>
        <w:keepNext w:val="0"/>
        <w:keepLines w:val="0"/>
        <w:pageBreakBefore w:val="0"/>
        <w:kinsoku/>
        <w:wordWrap/>
        <w:overflowPunct/>
        <w:topLinePunct w:val="0"/>
        <w:autoSpaceDE/>
        <w:autoSpaceDN/>
        <w:bidi w:val="0"/>
        <w:spacing w:line="560" w:lineRule="exact"/>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多措并举确保安全度汛。我单位将</w:t>
      </w:r>
      <w:r>
        <w:rPr>
          <w:rFonts w:hint="eastAsia" w:ascii="仿宋_GB2312" w:hAnsi="仿宋_GB2312" w:eastAsia="仿宋_GB2312" w:cs="仿宋_GB2312"/>
          <w:sz w:val="32"/>
          <w:szCs w:val="32"/>
        </w:rPr>
        <w:t>牢固树立和</w:t>
      </w:r>
      <w:r>
        <w:rPr>
          <w:rFonts w:hint="eastAsia" w:ascii="仿宋_GB2312" w:hAnsi="仿宋_GB2312" w:eastAsia="仿宋_GB2312" w:cs="仿宋_GB2312"/>
          <w:sz w:val="32"/>
          <w:szCs w:val="32"/>
          <w:lang w:eastAsia="zh-CN"/>
        </w:rPr>
        <w:t>践行</w:t>
      </w:r>
      <w:r>
        <w:rPr>
          <w:rFonts w:hint="eastAsia" w:ascii="仿宋_GB2312" w:hAnsi="仿宋_GB2312" w:eastAsia="仿宋_GB2312" w:cs="仿宋_GB2312"/>
          <w:sz w:val="32"/>
          <w:szCs w:val="32"/>
        </w:rPr>
        <w:t>生命至上、安全第一理念，坚守不伤人、</w:t>
      </w:r>
      <w:r>
        <w:rPr>
          <w:rFonts w:hint="eastAsia" w:ascii="仿宋_GB2312" w:hAnsi="仿宋_GB2312" w:eastAsia="仿宋_GB2312" w:cs="仿宋_GB2312"/>
          <w:sz w:val="32"/>
          <w:szCs w:val="32"/>
          <w:lang w:eastAsia="zh-CN"/>
        </w:rPr>
        <w:t>不死人、</w:t>
      </w:r>
      <w:r>
        <w:rPr>
          <w:rFonts w:hint="eastAsia" w:ascii="仿宋_GB2312" w:hAnsi="仿宋_GB2312" w:eastAsia="仿宋_GB2312" w:cs="仿宋_GB2312"/>
          <w:sz w:val="32"/>
          <w:szCs w:val="32"/>
        </w:rPr>
        <w:t>少损失这条底线，</w:t>
      </w:r>
      <w:r>
        <w:rPr>
          <w:rFonts w:hint="eastAsia" w:ascii="仿宋_GB2312" w:hAnsi="仿宋_GB2312" w:eastAsia="仿宋_GB2312" w:cs="仿宋_GB2312"/>
          <w:sz w:val="32"/>
          <w:szCs w:val="32"/>
          <w:lang w:val="en-US" w:eastAsia="zh-CN"/>
        </w:rPr>
        <w:t>通过开展汛前排查，严格日常值守、强化物资储备、加强宣传引导等方式，多措并举推动各项防汛工作落实落细，安全度汛。</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ascii="楷体_GB2312" w:eastAsia="楷体_GB2312" w:cs="楷体_GB2312"/>
          <w:b/>
          <w:bCs/>
          <w:kern w:val="0"/>
          <w:sz w:val="32"/>
          <w:szCs w:val="32"/>
          <w:shd w:val="clear" w:color="auto" w:fill="FFFFFF"/>
          <w:lang w:val="zh-CN"/>
        </w:rPr>
      </w:pP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sz w:val="32"/>
          <w:szCs w:val="32"/>
          <w:lang w:val="en-US" w:eastAsia="zh-CN"/>
        </w:rPr>
        <w:t>农村饮水安全再巩固再提升。</w:t>
      </w:r>
      <w:r>
        <w:rPr>
          <w:rFonts w:hint="eastAsia" w:ascii="仿宋_GB2312" w:hAnsi="仿宋_GB2312" w:eastAsia="仿宋_GB2312" w:cs="仿宋_GB2312"/>
          <w:sz w:val="32"/>
          <w:szCs w:val="32"/>
          <w:lang w:eastAsia="zh-CN"/>
        </w:rPr>
        <w:t>坚持把农村饮水</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lang w:eastAsia="zh-CN"/>
        </w:rPr>
        <w:t>作为为民办实事的首要任</w:t>
      </w:r>
      <w:r>
        <w:rPr>
          <w:rFonts w:hint="eastAsia" w:ascii="仿宋_GB2312" w:hAnsi="仿宋_GB2312" w:eastAsia="仿宋_GB2312" w:cs="仿宋_GB2312"/>
          <w:sz w:val="32"/>
          <w:szCs w:val="32"/>
        </w:rPr>
        <w:t>务</w:t>
      </w:r>
      <w:r>
        <w:rPr>
          <w:rFonts w:hint="eastAsia" w:ascii="仿宋_GB2312" w:hAnsi="仿宋_GB2312" w:eastAsia="仿宋_GB2312" w:cs="仿宋_GB2312"/>
          <w:sz w:val="32"/>
          <w:szCs w:val="32"/>
          <w:lang w:val="en-US" w:eastAsia="zh-CN"/>
        </w:rPr>
        <w:t>，依托农村饮水安全运行维护项目，及时对群众反映的农村饮水问题及时维修维护。进一步完善农村饮水安全管理服务体系。全面落实“三个责任”，推行“三项制度”，加强《农村饮水安全工作运行管理办法实施细则》的落实，推动水费收缴工作的开展，确保农村水利基础设施、服务体系有效运转。</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outlineLvl w:val="1"/>
        <w:rPr>
          <w:rFonts w:ascii="黑体" w:eastAsia="黑体" w:cs="宋体"/>
          <w:kern w:val="0"/>
          <w:sz w:val="32"/>
          <w:szCs w:val="32"/>
          <w:shd w:val="clear" w:color="auto" w:fill="FFFFFF"/>
        </w:rPr>
      </w:pPr>
      <w:bookmarkStart w:id="89" w:name="_Toc17149"/>
      <w:r>
        <w:rPr>
          <w:rFonts w:hint="eastAsia" w:ascii="黑体" w:eastAsia="黑体" w:cs="宋体"/>
          <w:kern w:val="0"/>
          <w:sz w:val="32"/>
          <w:szCs w:val="32"/>
          <w:shd w:val="clear" w:color="auto" w:fill="FFFFFF"/>
        </w:rPr>
        <w:t>二、部门资金收支情况</w:t>
      </w:r>
      <w:bookmarkEnd w:id="89"/>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outlineLvl w:val="2"/>
        <w:rPr>
          <w:rFonts w:ascii="楷体_GB2312" w:eastAsia="楷体_GB2312" w:cs="楷体_GB2312"/>
          <w:b/>
          <w:bCs/>
          <w:kern w:val="0"/>
          <w:sz w:val="32"/>
          <w:szCs w:val="32"/>
          <w:shd w:val="clear" w:color="auto" w:fill="FFFFFF"/>
          <w:lang w:val="zh-CN"/>
        </w:rPr>
      </w:pPr>
      <w:bookmarkStart w:id="90" w:name="_Toc19196"/>
      <w:r>
        <w:rPr>
          <w:rFonts w:hint="eastAsia" w:ascii="楷体_GB2312" w:eastAsia="楷体_GB2312" w:cs="楷体_GB2312"/>
          <w:b/>
          <w:bCs/>
          <w:kern w:val="0"/>
          <w:sz w:val="32"/>
          <w:szCs w:val="32"/>
          <w:shd w:val="clear" w:color="auto" w:fill="FFFFFF"/>
          <w:lang w:val="zh-CN"/>
        </w:rPr>
        <w:t>（一）部门总体收支情况</w:t>
      </w:r>
      <w:bookmarkEnd w:id="90"/>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ascii="仿宋_GB2312" w:eastAsia="仿宋_GB2312" w:cs="仿宋_GB2312"/>
          <w:kern w:val="0"/>
          <w:sz w:val="32"/>
          <w:szCs w:val="32"/>
          <w:shd w:val="clear" w:color="auto" w:fill="FFFFFF"/>
        </w:rPr>
      </w:pPr>
      <w:r>
        <w:rPr>
          <w:rFonts w:hint="eastAsia" w:ascii="仿宋_GB2312" w:eastAsia="仿宋_GB2312" w:cs="仿宋_GB2312"/>
          <w:kern w:val="0"/>
          <w:sz w:val="32"/>
          <w:szCs w:val="32"/>
          <w:shd w:val="clear" w:color="auto" w:fill="FFFFFF"/>
        </w:rPr>
        <w:t>1.部门总体收入情况</w:t>
      </w:r>
      <w:r>
        <w:rPr>
          <w:rFonts w:hint="eastAsia" w:ascii="仿宋_GB2312" w:eastAsia="仿宋_GB2312" w:cs="仿宋_GB2312"/>
          <w:kern w:val="0"/>
          <w:sz w:val="32"/>
          <w:szCs w:val="32"/>
          <w:shd w:val="clear" w:color="auto" w:fill="FFFFFF"/>
          <w:lang w:eastAsia="zh-CN"/>
        </w:rPr>
        <w:t>：</w:t>
      </w: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年本年收入合计</w:t>
      </w:r>
      <w:r>
        <w:rPr>
          <w:rFonts w:hint="eastAsia" w:ascii="仿宋_GB2312" w:eastAsia="仿宋_GB2312" w:cs="Times New Roman"/>
          <w:kern w:val="0"/>
          <w:sz w:val="32"/>
          <w:szCs w:val="32"/>
          <w:shd w:val="clear" w:color="auto" w:fill="FFFFFF"/>
          <w:lang w:val="en-US" w:eastAsia="zh-CN" w:bidi="ar-SA"/>
        </w:rPr>
        <w:t>15991.35</w:t>
      </w:r>
      <w:r>
        <w:rPr>
          <w:rFonts w:hint="eastAsia" w:ascii="仿宋_GB2312" w:hAnsi="仿宋" w:eastAsia="仿宋_GB2312"/>
          <w:color w:val="000000"/>
          <w:sz w:val="32"/>
          <w:szCs w:val="32"/>
        </w:rPr>
        <w:t>万元，其中：一般公共预算财政拨款收入</w:t>
      </w:r>
      <w:r>
        <w:rPr>
          <w:rFonts w:hint="eastAsia" w:ascii="仿宋_GB2312" w:hAnsi="仿宋" w:eastAsia="仿宋_GB2312"/>
          <w:color w:val="000000"/>
          <w:sz w:val="32"/>
          <w:szCs w:val="32"/>
          <w:lang w:val="en-US" w:eastAsia="zh-CN"/>
        </w:rPr>
        <w:t>15969.11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99.86</w:t>
      </w:r>
      <w:r>
        <w:rPr>
          <w:rFonts w:hint="eastAsia" w:ascii="仿宋_GB2312" w:hAnsi="仿宋" w:eastAsia="仿宋_GB2312"/>
          <w:color w:val="000000"/>
          <w:sz w:val="32"/>
          <w:szCs w:val="32"/>
        </w:rPr>
        <w:t>%；政府性基金预算财政拨款收入</w:t>
      </w:r>
      <w:r>
        <w:rPr>
          <w:rFonts w:hint="eastAsia" w:ascii="仿宋_GB2312" w:hAnsi="仿宋" w:eastAsia="仿宋_GB2312"/>
          <w:color w:val="000000"/>
          <w:sz w:val="32"/>
          <w:szCs w:val="32"/>
          <w:lang w:val="en-US" w:eastAsia="zh-CN"/>
        </w:rPr>
        <w:t>10.05</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0.06</w:t>
      </w:r>
      <w:r>
        <w:rPr>
          <w:rFonts w:hint="eastAsia" w:ascii="仿宋_GB2312" w:hAnsi="仿宋" w:eastAsia="仿宋_GB2312"/>
          <w:color w:val="000000"/>
          <w:sz w:val="32"/>
          <w:szCs w:val="32"/>
        </w:rPr>
        <w:t>%；其他收入</w:t>
      </w:r>
      <w:r>
        <w:rPr>
          <w:rFonts w:hint="eastAsia" w:ascii="仿宋_GB2312" w:hAnsi="仿宋" w:eastAsia="仿宋_GB2312"/>
          <w:color w:val="000000"/>
          <w:sz w:val="32"/>
          <w:szCs w:val="32"/>
          <w:lang w:val="en-US" w:eastAsia="zh-CN"/>
        </w:rPr>
        <w:t>12.20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0.08</w:t>
      </w:r>
      <w:r>
        <w:rPr>
          <w:rFonts w:hint="eastAsia" w:ascii="仿宋_GB2312" w:hAnsi="仿宋" w:eastAsia="仿宋_GB2312"/>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eastAsia="zh-CN"/>
        </w:rPr>
      </w:pPr>
      <w:r>
        <w:rPr>
          <w:rFonts w:hint="eastAsia" w:ascii="仿宋_GB2312" w:eastAsia="仿宋_GB2312" w:cs="仿宋_GB2312"/>
          <w:kern w:val="0"/>
          <w:sz w:val="32"/>
          <w:szCs w:val="32"/>
          <w:shd w:val="clear" w:color="auto" w:fill="FFFFFF"/>
        </w:rPr>
        <w:t>2.部门总体支出情况</w:t>
      </w:r>
      <w:r>
        <w:rPr>
          <w:rFonts w:hint="eastAsia" w:ascii="仿宋_GB2312" w:eastAsia="仿宋_GB2312" w:cs="仿宋_GB2312"/>
          <w:kern w:val="0"/>
          <w:sz w:val="32"/>
          <w:szCs w:val="32"/>
          <w:shd w:val="clear" w:color="auto" w:fill="FFFFFF"/>
          <w:lang w:eastAsia="zh-CN"/>
        </w:rPr>
        <w:t>：</w:t>
      </w: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15991.35</w:t>
      </w:r>
      <w:r>
        <w:rPr>
          <w:rFonts w:hint="eastAsia" w:ascii="仿宋_GB2312" w:hAnsi="仿宋" w:eastAsia="仿宋_GB2312"/>
          <w:color w:val="000000"/>
          <w:sz w:val="32"/>
          <w:szCs w:val="32"/>
        </w:rPr>
        <w:t>万元，其中：基本支出</w:t>
      </w:r>
      <w:r>
        <w:rPr>
          <w:rFonts w:hint="eastAsia" w:ascii="仿宋_GB2312" w:hAnsi="仿宋" w:eastAsia="仿宋_GB2312"/>
          <w:color w:val="000000"/>
          <w:sz w:val="32"/>
          <w:szCs w:val="32"/>
          <w:lang w:val="en-US" w:eastAsia="zh-CN"/>
        </w:rPr>
        <w:t>488.49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3.10</w:t>
      </w: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15502.86</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96.90</w:t>
      </w:r>
      <w:r>
        <w:rPr>
          <w:rFonts w:hint="eastAsia" w:ascii="仿宋_GB2312" w:hAnsi="仿宋" w:eastAsia="仿宋_GB2312"/>
          <w:color w:val="000000"/>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outlineLvl w:val="2"/>
        <w:rPr>
          <w:rFonts w:hint="eastAsia" w:ascii="楷体_GB2312" w:eastAsia="楷体_GB2312" w:cs="楷体_GB2312"/>
          <w:b/>
          <w:bCs/>
          <w:kern w:val="0"/>
          <w:sz w:val="32"/>
          <w:szCs w:val="32"/>
          <w:shd w:val="clear" w:color="auto" w:fill="FFFFFF"/>
          <w:lang w:val="zh-CN"/>
        </w:rPr>
      </w:pPr>
      <w:bookmarkStart w:id="91" w:name="_Toc29600"/>
      <w:r>
        <w:rPr>
          <w:rFonts w:hint="eastAsia" w:ascii="楷体_GB2312" w:eastAsia="楷体_GB2312" w:cs="楷体_GB2312"/>
          <w:b/>
          <w:bCs/>
          <w:kern w:val="0"/>
          <w:sz w:val="32"/>
          <w:szCs w:val="32"/>
          <w:shd w:val="clear" w:color="auto" w:fill="FFFFFF"/>
          <w:lang w:val="zh-CN"/>
        </w:rPr>
        <w:t>（二）部门财政拨款收支情况</w:t>
      </w:r>
      <w:bookmarkEnd w:id="91"/>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eastAsia="zh-CN"/>
        </w:rPr>
      </w:pPr>
      <w:r>
        <w:rPr>
          <w:rFonts w:hint="eastAsia" w:ascii="仿宋_GB2312" w:eastAsia="仿宋_GB2312" w:cs="仿宋_GB2312"/>
          <w:kern w:val="0"/>
          <w:sz w:val="32"/>
          <w:szCs w:val="32"/>
          <w:shd w:val="clear" w:color="auto" w:fill="FFFFFF"/>
        </w:rPr>
        <w:t>部门财政拨款收入</w:t>
      </w:r>
      <w:r>
        <w:rPr>
          <w:rFonts w:hint="eastAsia" w:ascii="仿宋_GB2312" w:eastAsia="仿宋_GB2312" w:cs="仿宋_GB2312"/>
          <w:kern w:val="0"/>
          <w:sz w:val="32"/>
          <w:szCs w:val="32"/>
          <w:shd w:val="clear" w:color="auto" w:fill="FFFFFF"/>
          <w:lang w:eastAsia="zh-CN"/>
        </w:rPr>
        <w:t>、支出</w:t>
      </w:r>
      <w:r>
        <w:rPr>
          <w:rFonts w:hint="eastAsia" w:ascii="仿宋_GB2312" w:eastAsia="仿宋_GB2312" w:cs="仿宋_GB2312"/>
          <w:kern w:val="0"/>
          <w:sz w:val="32"/>
          <w:szCs w:val="32"/>
          <w:shd w:val="clear" w:color="auto" w:fill="FFFFFF"/>
        </w:rPr>
        <w:t>情况</w:t>
      </w:r>
      <w:r>
        <w:rPr>
          <w:rFonts w:hint="eastAsia" w:ascii="仿宋_GB2312" w:eastAsia="仿宋_GB2312" w:cs="仿宋_GB2312"/>
          <w:kern w:val="0"/>
          <w:sz w:val="32"/>
          <w:szCs w:val="32"/>
          <w:shd w:val="clear" w:color="auto" w:fill="FFFFFF"/>
          <w:lang w:eastAsia="zh-CN"/>
        </w:rPr>
        <w:t>：</w:t>
      </w:r>
      <w:r>
        <w:rPr>
          <w:rFonts w:hint="eastAsia" w:ascii="仿宋_GB2312" w:hAnsi="仿宋" w:eastAsia="仿宋_GB2312"/>
          <w:color w:val="000000"/>
          <w:sz w:val="32"/>
          <w:szCs w:val="32"/>
          <w:lang w:eastAsia="zh-CN"/>
        </w:rPr>
        <w:t>2022</w:t>
      </w:r>
      <w:r>
        <w:rPr>
          <w:rFonts w:hint="eastAsia" w:ascii="仿宋_GB2312" w:hAnsi="仿宋" w:eastAsia="仿宋_GB2312"/>
          <w:color w:val="000000"/>
          <w:sz w:val="32"/>
          <w:szCs w:val="32"/>
        </w:rPr>
        <w:t>年财政拨款收入</w:t>
      </w:r>
      <w:r>
        <w:rPr>
          <w:rFonts w:hint="eastAsia" w:ascii="仿宋_GB2312" w:hAnsi="仿宋" w:eastAsia="仿宋_GB2312"/>
          <w:color w:val="000000"/>
          <w:sz w:val="32"/>
          <w:szCs w:val="32"/>
          <w:lang w:eastAsia="zh-CN"/>
        </w:rPr>
        <w:t>、支出</w:t>
      </w:r>
      <w:r>
        <w:rPr>
          <w:rFonts w:hint="eastAsia" w:ascii="仿宋_GB2312" w:hAnsi="仿宋" w:eastAsia="仿宋_GB2312"/>
          <w:color w:val="000000"/>
          <w:sz w:val="32"/>
          <w:szCs w:val="32"/>
        </w:rPr>
        <w:t>总计15979.15</w:t>
      </w:r>
      <w:r>
        <w:rPr>
          <w:rFonts w:hint="eastAsia" w:ascii="仿宋_GB2312" w:hAnsi="仿宋" w:eastAsia="仿宋_GB2312"/>
          <w:color w:val="000000"/>
          <w:sz w:val="32"/>
          <w:szCs w:val="32"/>
          <w:lang w:eastAsia="zh-CN"/>
        </w:rPr>
        <w:t>万元</w:t>
      </w:r>
      <w:r>
        <w:rPr>
          <w:rFonts w:hint="eastAsia" w:ascii="仿宋_GB2312" w:hAnsi="仿宋" w:eastAsia="仿宋_GB2312"/>
          <w:color w:val="000000"/>
          <w:sz w:val="32"/>
          <w:szCs w:val="32"/>
        </w:rPr>
        <w:t>。</w:t>
      </w:r>
      <w:r>
        <w:rPr>
          <w:rFonts w:hint="eastAsia" w:ascii="仿宋_GB2312" w:hAnsi="Times New Roman" w:eastAsia="仿宋_GB2312" w:cs="Times New Roman"/>
          <w:kern w:val="0"/>
          <w:sz w:val="32"/>
          <w:szCs w:val="32"/>
          <w:shd w:val="clear" w:color="auto" w:fill="FFFFFF"/>
          <w:lang w:val="en-US" w:eastAsia="zh-CN" w:bidi="ar-SA"/>
        </w:rPr>
        <w:t>与2021年相比，增长11697.47万元，增长273.20%。主要变动原因：项目增加。</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ascii="黑体" w:eastAsia="黑体" w:cs="宋体"/>
          <w:kern w:val="0"/>
          <w:sz w:val="32"/>
          <w:szCs w:val="32"/>
          <w:shd w:val="clear" w:color="auto" w:fill="FFFFFF"/>
        </w:rPr>
      </w:pPr>
      <w:r>
        <w:rPr>
          <w:rFonts w:hint="eastAsia" w:ascii="黑体" w:eastAsia="黑体" w:cs="宋体"/>
          <w:kern w:val="0"/>
          <w:sz w:val="32"/>
          <w:szCs w:val="32"/>
          <w:shd w:val="clear" w:color="auto" w:fill="FFFFFF"/>
        </w:rPr>
        <w:t>三、部门整体绩效分析（根据适用指标体系进行调整，涉及到有专项资金预算项目的部门，专项资金预算项目自评报告作为本报告附件一并公开）</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outlineLvl w:val="2"/>
        <w:rPr>
          <w:rFonts w:ascii="仿宋_GB2312" w:eastAsia="仿宋_GB2312" w:cs="仿宋_GB2312"/>
          <w:kern w:val="0"/>
          <w:sz w:val="32"/>
          <w:szCs w:val="32"/>
          <w:shd w:val="clear" w:color="auto" w:fill="FFFFFF"/>
          <w:lang w:val="zh-CN"/>
        </w:rPr>
      </w:pPr>
      <w:bookmarkStart w:id="92" w:name="_Toc23679"/>
      <w:r>
        <w:rPr>
          <w:rFonts w:hint="eastAsia" w:ascii="楷体_GB2312" w:eastAsia="楷体_GB2312" w:cs="楷体_GB2312"/>
          <w:b/>
          <w:bCs/>
          <w:kern w:val="0"/>
          <w:sz w:val="32"/>
          <w:szCs w:val="32"/>
          <w:shd w:val="clear" w:color="auto" w:fill="FFFFFF"/>
          <w:lang w:val="zh-CN"/>
        </w:rPr>
        <w:t>（一）部门预算项目绩效分析</w:t>
      </w:r>
      <w:bookmarkEnd w:id="92"/>
    </w:p>
    <w:p>
      <w:pPr>
        <w:pStyle w:val="16"/>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项目绩效目标完成情况：</w:t>
      </w:r>
      <w:r>
        <w:rPr>
          <w:rFonts w:hint="eastAsia" w:ascii="仿宋_GB2312" w:hAnsi="仿宋_GB2312" w:eastAsia="仿宋_GB2312" w:cs="仿宋_GB2312"/>
          <w:sz w:val="32"/>
          <w:szCs w:val="32"/>
          <w:lang w:val="en-US" w:eastAsia="zh-CN"/>
        </w:rPr>
        <w:t>我单位实施水利基础设施项目9个,其中农村饮水项目2个，河道治理类项目7个</w:t>
      </w:r>
      <w:r>
        <w:rPr>
          <w:rFonts w:hint="eastAsia"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项目总体推进情况较好。绩效目标是预算编制的前提和基础，按照“费随事定”的原则，202</w:t>
      </w:r>
      <w:r>
        <w:rPr>
          <w:rFonts w:hint="eastAsia"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年我单位项目支出按要求编制了绩效目标，从项目完成、项目效益、满意度。项目完成指标达100%，项目效益指标：通过项目建设，有效的提升我县基础设施建设，最大限度保障了人民群众的生命财产安全。服务对象满意度100%。</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outlineLvl w:val="2"/>
        <w:rPr>
          <w:rFonts w:ascii="楷体_GB2312" w:eastAsia="楷体_GB2312" w:cs="楷体_GB2312"/>
          <w:b/>
          <w:bCs/>
          <w:kern w:val="0"/>
          <w:sz w:val="32"/>
          <w:szCs w:val="32"/>
          <w:shd w:val="clear" w:color="auto" w:fill="FFFFFF"/>
          <w:lang w:val="zh-CN"/>
        </w:rPr>
      </w:pPr>
      <w:bookmarkStart w:id="93" w:name="_Toc19312"/>
      <w:r>
        <w:rPr>
          <w:rFonts w:hint="eastAsia" w:ascii="楷体_GB2312" w:eastAsia="楷体_GB2312" w:cs="楷体_GB2312"/>
          <w:b/>
          <w:bCs/>
          <w:kern w:val="0"/>
          <w:sz w:val="32"/>
          <w:szCs w:val="32"/>
          <w:shd w:val="clear" w:color="auto" w:fill="FFFFFF"/>
          <w:lang w:val="zh-CN"/>
        </w:rPr>
        <w:t>（二）部门整体履职绩效分析</w:t>
      </w:r>
      <w:bookmarkEnd w:id="93"/>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hint="eastAsia"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围绕部门整体绩效目标完成情况和部门履职情况进行绩效分析。</w:t>
      </w:r>
    </w:p>
    <w:p>
      <w:pPr>
        <w:pStyle w:val="14"/>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从整体情况来看，我单位严格按照年初预算进行部门整体支出，预算资金覆盖我单位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outlineLvl w:val="2"/>
        <w:rPr>
          <w:rFonts w:ascii="楷体_GB2312" w:eastAsia="楷体_GB2312" w:cs="楷体_GB2312"/>
          <w:b/>
          <w:bCs/>
          <w:kern w:val="0"/>
          <w:sz w:val="32"/>
          <w:szCs w:val="32"/>
          <w:shd w:val="clear" w:color="auto" w:fill="FFFFFF"/>
          <w:lang w:val="zh-CN"/>
        </w:rPr>
      </w:pPr>
      <w:bookmarkStart w:id="94" w:name="_Toc19494"/>
      <w:r>
        <w:rPr>
          <w:rFonts w:hint="eastAsia" w:ascii="楷体_GB2312" w:eastAsia="楷体_GB2312" w:cs="楷体_GB2312"/>
          <w:b/>
          <w:bCs/>
          <w:kern w:val="0"/>
          <w:sz w:val="32"/>
          <w:szCs w:val="32"/>
          <w:shd w:val="clear" w:color="auto" w:fill="FFFFFF"/>
          <w:lang w:val="zh-CN"/>
        </w:rPr>
        <w:t>（三）结果应用情况</w:t>
      </w:r>
      <w:bookmarkEnd w:id="94"/>
    </w:p>
    <w:p>
      <w:pPr>
        <w:pStyle w:val="16"/>
        <w:keepNext w:val="0"/>
        <w:keepLines w:val="0"/>
        <w:pageBreakBefore w:val="0"/>
        <w:kinsoku/>
        <w:wordWrap/>
        <w:overflowPunct/>
        <w:topLinePunct w:val="0"/>
        <w:autoSpaceDE/>
        <w:autoSpaceDN/>
        <w:bidi w:val="0"/>
        <w:spacing w:beforeAutospacing="0" w:after="0" w:afterAutospacing="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绩效目标是预算编制的前提和基础，按照“费随事定”的原则，202</w:t>
      </w:r>
      <w:r>
        <w:rPr>
          <w:rFonts w:hint="eastAsia"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年我单位项目支出按要求编制了绩效目标，从项目完成、项目效益、满意度。项目完成指标达</w:t>
      </w:r>
      <w:r>
        <w:rPr>
          <w:rFonts w:hint="eastAsia" w:eastAsia="仿宋_GB2312" w:cs="仿宋_GB2312"/>
          <w:kern w:val="2"/>
          <w:sz w:val="32"/>
          <w:szCs w:val="32"/>
          <w:lang w:val="en-US" w:eastAsia="zh-CN" w:bidi="ar-SA"/>
        </w:rPr>
        <w:t>95</w:t>
      </w:r>
      <w:r>
        <w:rPr>
          <w:rFonts w:hint="eastAsia" w:ascii="仿宋_GB2312" w:hAnsi="仿宋_GB2312" w:eastAsia="仿宋_GB2312" w:cs="仿宋_GB2312"/>
          <w:kern w:val="2"/>
          <w:sz w:val="32"/>
          <w:szCs w:val="32"/>
          <w:lang w:val="en-US" w:eastAsia="zh-CN" w:bidi="ar-SA"/>
        </w:rPr>
        <w:t>%，项目效益指标：通过项目建设，有效的提升我县基础设施建设，最大限度保障了人民群众的生命财产安全。服务对象满意度</w:t>
      </w:r>
      <w:r>
        <w:rPr>
          <w:rFonts w:hint="eastAsia" w:eastAsia="仿宋_GB2312" w:cs="仿宋_GB2312"/>
          <w:kern w:val="2"/>
          <w:sz w:val="32"/>
          <w:szCs w:val="32"/>
          <w:lang w:val="en-US" w:eastAsia="zh-CN" w:bidi="ar-SA"/>
        </w:rPr>
        <w:t>90</w:t>
      </w:r>
      <w:r>
        <w:rPr>
          <w:rFonts w:hint="eastAsia" w:ascii="仿宋_GB2312" w:hAnsi="仿宋_GB2312" w:eastAsia="仿宋_GB2312" w:cs="仿宋_GB2312"/>
          <w:kern w:val="2"/>
          <w:sz w:val="32"/>
          <w:szCs w:val="32"/>
          <w:lang w:val="en-US" w:eastAsia="zh-CN" w:bidi="ar-SA"/>
        </w:rPr>
        <w:t>%。</w:t>
      </w:r>
    </w:p>
    <w:p>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firstLine="643" w:firstLineChars="200"/>
        <w:contextualSpacing/>
        <w:jc w:val="left"/>
        <w:outlineLvl w:val="2"/>
        <w:rPr>
          <w:rFonts w:ascii="楷体_GB2312" w:eastAsia="楷体_GB2312" w:cs="楷体_GB2312"/>
          <w:b/>
          <w:bCs/>
          <w:kern w:val="0"/>
          <w:sz w:val="32"/>
          <w:szCs w:val="32"/>
          <w:shd w:val="clear" w:color="auto" w:fill="FFFFFF"/>
          <w:lang w:val="zh-CN"/>
        </w:rPr>
      </w:pPr>
      <w:bookmarkStart w:id="95" w:name="_Toc17111"/>
      <w:r>
        <w:rPr>
          <w:rFonts w:hint="eastAsia" w:ascii="楷体_GB2312" w:eastAsia="楷体_GB2312" w:cs="楷体_GB2312"/>
          <w:b/>
          <w:bCs/>
          <w:kern w:val="0"/>
          <w:sz w:val="32"/>
          <w:szCs w:val="32"/>
          <w:shd w:val="clear" w:color="auto" w:fill="FFFFFF"/>
          <w:lang w:val="zh-CN"/>
        </w:rPr>
        <w:t>自评质量</w:t>
      </w:r>
      <w:bookmarkEnd w:id="95"/>
    </w:p>
    <w:p>
      <w:pPr>
        <w:pStyle w:val="14"/>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0" w:firstLineChars="200"/>
        <w:rPr>
          <w:rFonts w:ascii="仿宋_GB2312" w:eastAsia="仿宋_GB2312" w:cs="仿宋_GB2312"/>
          <w:kern w:val="0"/>
          <w:sz w:val="32"/>
          <w:szCs w:val="32"/>
          <w:shd w:val="clear" w:color="auto" w:fill="FFFFFF"/>
        </w:rPr>
      </w:pPr>
      <w:r>
        <w:rPr>
          <w:rFonts w:hint="eastAsia" w:ascii="仿宋_GB2312" w:hAnsi="仿宋_GB2312" w:eastAsia="仿宋_GB2312" w:cs="仿宋_GB2312"/>
          <w:bCs/>
          <w:kern w:val="2"/>
          <w:sz w:val="32"/>
          <w:szCs w:val="32"/>
          <w:lang w:val="zh-CN" w:eastAsia="zh-CN" w:bidi="ar-SA"/>
        </w:rPr>
        <w:t>我单位整体评价良好。</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outlineLvl w:val="1"/>
        <w:rPr>
          <w:rFonts w:ascii="黑体" w:eastAsia="黑体" w:cs="宋体"/>
          <w:kern w:val="0"/>
          <w:sz w:val="32"/>
          <w:szCs w:val="32"/>
          <w:shd w:val="clear" w:color="auto" w:fill="FFFFFF"/>
        </w:rPr>
      </w:pPr>
      <w:bookmarkStart w:id="96" w:name="_Toc4089"/>
      <w:r>
        <w:rPr>
          <w:rFonts w:hint="eastAsia" w:ascii="黑体" w:eastAsia="黑体" w:cs="宋体"/>
          <w:kern w:val="0"/>
          <w:sz w:val="32"/>
          <w:szCs w:val="32"/>
          <w:shd w:val="clear" w:color="auto" w:fill="FFFFFF"/>
        </w:rPr>
        <w:t>四、评价结论及建议</w:t>
      </w:r>
      <w:bookmarkEnd w:id="96"/>
    </w:p>
    <w:p>
      <w:pPr>
        <w:pStyle w:val="14"/>
        <w:keepNext w:val="0"/>
        <w:keepLines w:val="0"/>
        <w:pageBreakBefore w:val="0"/>
        <w:widowControl/>
        <w:shd w:val="clear" w:color="auto" w:fill="FFFFFF"/>
        <w:kinsoku/>
        <w:wordWrap/>
        <w:overflowPunct/>
        <w:topLinePunct w:val="0"/>
        <w:autoSpaceDE/>
        <w:autoSpaceDN/>
        <w:bidi w:val="0"/>
        <w:spacing w:beforeAutospacing="0" w:afterAutospacing="0" w:line="560" w:lineRule="exact"/>
        <w:ind w:firstLine="643" w:firstLineChars="200"/>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（一）评价结论。</w:t>
      </w:r>
      <w:r>
        <w:rPr>
          <w:rFonts w:hint="eastAsia" w:ascii="仿宋_GB2312" w:hAnsi="仿宋_GB2312" w:eastAsia="仿宋_GB2312" w:cs="仿宋_GB2312"/>
          <w:bCs/>
          <w:kern w:val="2"/>
          <w:sz w:val="32"/>
          <w:szCs w:val="32"/>
          <w:lang w:val="zh-CN" w:eastAsia="zh-CN" w:bidi="ar-SA"/>
        </w:rPr>
        <w:t>在自评过程发现问题，查找原因，及时纠正偏差，为下一步工作夯实基础。我单位评价得分</w:t>
      </w:r>
      <w:r>
        <w:rPr>
          <w:rFonts w:hint="eastAsia" w:ascii="仿宋_GB2312" w:hAnsi="仿宋_GB2312" w:eastAsia="仿宋_GB2312" w:cs="仿宋_GB2312"/>
          <w:bCs/>
          <w:kern w:val="2"/>
          <w:sz w:val="32"/>
          <w:szCs w:val="32"/>
          <w:lang w:val="en-US" w:eastAsia="zh-CN" w:bidi="ar-SA"/>
        </w:rPr>
        <w:t>91</w:t>
      </w:r>
      <w:r>
        <w:rPr>
          <w:rFonts w:hint="eastAsia" w:ascii="仿宋_GB2312" w:hAnsi="仿宋_GB2312" w:eastAsia="仿宋_GB2312" w:cs="仿宋_GB2312"/>
          <w:bCs/>
          <w:kern w:val="2"/>
          <w:sz w:val="32"/>
          <w:szCs w:val="32"/>
          <w:lang w:val="zh-CN" w:eastAsia="zh-CN" w:bidi="ar-SA"/>
        </w:rPr>
        <w:t>分，整体评价良好。</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rPr>
          <w:rFonts w:ascii="楷体_GB2312" w:eastAsia="楷体_GB2312" w:cs="楷体_GB2312"/>
          <w:b/>
          <w:bCs/>
          <w:kern w:val="0"/>
          <w:sz w:val="32"/>
          <w:szCs w:val="32"/>
          <w:shd w:val="clear" w:color="auto" w:fill="FFFFFF"/>
          <w:lang w:val="zh-CN"/>
        </w:rPr>
      </w:pPr>
      <w:r>
        <w:rPr>
          <w:rFonts w:hint="eastAsia" w:ascii="楷体_GB2312" w:eastAsia="楷体_GB2312" w:cs="楷体_GB2312"/>
          <w:b/>
          <w:bCs/>
          <w:kern w:val="0"/>
          <w:sz w:val="32"/>
          <w:szCs w:val="32"/>
          <w:shd w:val="clear" w:color="auto" w:fill="FFFFFF"/>
          <w:lang w:val="zh-CN"/>
        </w:rPr>
        <w:t>（二）存在问题。</w:t>
      </w:r>
      <w:bookmarkStart w:id="97" w:name="_Toc24448"/>
      <w:r>
        <w:rPr>
          <w:rFonts w:hint="eastAsia" w:ascii="仿宋_GB2312" w:hAnsi="仿宋_GB2312" w:eastAsia="仿宋_GB2312" w:cs="仿宋_GB2312"/>
          <w:bCs/>
          <w:kern w:val="2"/>
          <w:sz w:val="32"/>
          <w:szCs w:val="32"/>
          <w:lang w:val="zh-CN" w:eastAsia="zh-CN" w:bidi="ar-SA"/>
        </w:rPr>
        <w:t>一是预算编制先见性不足，与实际支出存在偏差；二是</w:t>
      </w:r>
      <w:r>
        <w:rPr>
          <w:rFonts w:hint="eastAsia" w:ascii="仿宋_GB2312" w:hAnsi="仿宋_GB2312" w:eastAsia="仿宋_GB2312" w:cs="仿宋_GB2312"/>
          <w:bCs/>
          <w:kern w:val="2"/>
          <w:sz w:val="32"/>
          <w:szCs w:val="32"/>
          <w:lang w:val="en-US" w:eastAsia="zh-CN" w:bidi="ar-SA"/>
        </w:rPr>
        <w:t>内控制度建立的不够健全、完善、责任划分不够明确</w:t>
      </w:r>
      <w:r>
        <w:rPr>
          <w:rFonts w:hint="eastAsia" w:ascii="仿宋_GB2312" w:hAnsi="仿宋_GB2312" w:eastAsia="仿宋_GB2312" w:cs="仿宋_GB2312"/>
          <w:bCs/>
          <w:kern w:val="2"/>
          <w:sz w:val="32"/>
          <w:szCs w:val="32"/>
          <w:lang w:val="zh-CN" w:eastAsia="zh-CN" w:bidi="ar-SA"/>
        </w:rPr>
        <w:t>；三是绩效目标设立不够明确、细化和量化。虽然设立了项目资金绩效目标，但目标不够明确、细化和量化。</w:t>
      </w:r>
      <w:bookmarkEnd w:id="97"/>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outlineLvl w:val="2"/>
        <w:rPr>
          <w:rFonts w:ascii="楷体_GB2312" w:eastAsia="楷体_GB2312" w:cs="楷体_GB2312"/>
          <w:b/>
          <w:bCs/>
          <w:kern w:val="0"/>
          <w:sz w:val="32"/>
          <w:szCs w:val="32"/>
          <w:shd w:val="clear" w:color="auto" w:fill="FFFFFF"/>
          <w:lang w:val="zh-CN"/>
        </w:rPr>
      </w:pPr>
      <w:bookmarkStart w:id="98" w:name="_Toc480"/>
      <w:r>
        <w:rPr>
          <w:rFonts w:hint="eastAsia" w:ascii="楷体_GB2312" w:eastAsia="楷体_GB2312" w:cs="楷体_GB2312"/>
          <w:b/>
          <w:bCs/>
          <w:kern w:val="0"/>
          <w:sz w:val="32"/>
          <w:szCs w:val="32"/>
          <w:shd w:val="clear" w:color="auto" w:fill="FFFFFF"/>
          <w:lang w:val="zh-CN"/>
        </w:rPr>
        <w:t>（三）改进建议。</w:t>
      </w:r>
      <w:bookmarkEnd w:id="98"/>
    </w:p>
    <w:p>
      <w:pPr>
        <w:keepNext w:val="0"/>
        <w:keepLines w:val="0"/>
        <w:pageBreakBefore w:val="0"/>
        <w:kinsoku/>
        <w:wordWrap/>
        <w:overflowPunct/>
        <w:topLinePunct w:val="0"/>
        <w:autoSpaceDE/>
        <w:autoSpaceDN/>
        <w:bidi w:val="0"/>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一是认真做好预算的编制，细化预算编制，</w:t>
      </w:r>
      <w:r>
        <w:rPr>
          <w:rFonts w:hint="eastAsia" w:ascii="仿宋_GB2312" w:hAnsi="Times New Roman" w:eastAsia="仿宋_GB2312" w:cs="Times New Roman"/>
          <w:color w:val="000000"/>
          <w:sz w:val="32"/>
          <w:szCs w:val="32"/>
        </w:rPr>
        <w:t>二是进一步完善内部管理制度，提升管理效能，更好地履行职能</w:t>
      </w:r>
      <w:r>
        <w:rPr>
          <w:rFonts w:hint="eastAsia" w:ascii="仿宋_GB2312" w:hAnsi="Times New Roman" w:eastAsia="仿宋_GB2312" w:cs="Times New Roman"/>
          <w:color w:val="000000"/>
          <w:sz w:val="32"/>
          <w:szCs w:val="32"/>
          <w:lang w:eastAsia="zh-CN"/>
        </w:rPr>
        <w:t>职责，</w:t>
      </w:r>
      <w:r>
        <w:rPr>
          <w:rFonts w:hint="eastAsia" w:ascii="仿宋_GB2312" w:eastAsia="仿宋_GB2312"/>
          <w:color w:val="000000"/>
          <w:sz w:val="32"/>
          <w:szCs w:val="32"/>
          <w:lang w:eastAsia="zh-CN"/>
        </w:rPr>
        <w:t>三是</w:t>
      </w:r>
      <w:r>
        <w:rPr>
          <w:rFonts w:hint="eastAsia" w:ascii="仿宋_GB2312" w:eastAsia="仿宋_GB2312"/>
          <w:color w:val="000000"/>
          <w:sz w:val="32"/>
          <w:szCs w:val="32"/>
        </w:rPr>
        <w:t>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pStyle w:val="6"/>
        <w:keepNext w:val="0"/>
        <w:keepLines w:val="0"/>
        <w:pageBreakBefore w:val="0"/>
        <w:kinsoku/>
        <w:wordWrap/>
        <w:overflowPunct/>
        <w:topLinePunct w:val="0"/>
        <w:autoSpaceDE/>
        <w:autoSpaceDN/>
        <w:bidi w:val="0"/>
        <w:spacing w:before="93" w:line="560" w:lineRule="exact"/>
        <w:rPr>
          <w:rFonts w:cs="宋体"/>
          <w:sz w:val="32"/>
          <w:szCs w:val="32"/>
          <w:shd w:val="clear" w:color="auto" w:fill="FFFFFF"/>
          <w:lang w:val="zh-CN"/>
        </w:rPr>
      </w:pPr>
    </w:p>
    <w:p>
      <w:pPr>
        <w:pStyle w:val="6"/>
        <w:keepNext w:val="0"/>
        <w:keepLines w:val="0"/>
        <w:pageBreakBefore w:val="0"/>
        <w:kinsoku/>
        <w:wordWrap/>
        <w:overflowPunct/>
        <w:topLinePunct w:val="0"/>
        <w:autoSpaceDE/>
        <w:autoSpaceDN/>
        <w:bidi w:val="0"/>
        <w:spacing w:before="93" w:line="560" w:lineRule="exact"/>
        <w:rPr>
          <w:rFonts w:cs="宋体"/>
          <w:sz w:val="32"/>
          <w:szCs w:val="32"/>
          <w:shd w:val="clear" w:color="auto" w:fill="FFFFFF"/>
          <w:lang w:val="zh-CN"/>
        </w:rPr>
      </w:pPr>
    </w:p>
    <w:p>
      <w:pPr>
        <w:pStyle w:val="6"/>
        <w:keepNext w:val="0"/>
        <w:keepLines w:val="0"/>
        <w:pageBreakBefore w:val="0"/>
        <w:kinsoku/>
        <w:wordWrap/>
        <w:overflowPunct/>
        <w:topLinePunct w:val="0"/>
        <w:autoSpaceDE/>
        <w:autoSpaceDN/>
        <w:bidi w:val="0"/>
        <w:spacing w:before="93" w:line="560" w:lineRule="exact"/>
        <w:rPr>
          <w:rFonts w:cs="宋体"/>
          <w:sz w:val="32"/>
          <w:szCs w:val="32"/>
          <w:shd w:val="clear" w:color="auto" w:fill="FFFFFF"/>
          <w:lang w:val="zh-CN"/>
        </w:rPr>
      </w:pPr>
    </w:p>
    <w:p>
      <w:pPr>
        <w:pStyle w:val="6"/>
        <w:keepNext w:val="0"/>
        <w:keepLines w:val="0"/>
        <w:pageBreakBefore w:val="0"/>
        <w:kinsoku/>
        <w:wordWrap/>
        <w:overflowPunct/>
        <w:topLinePunct w:val="0"/>
        <w:autoSpaceDE/>
        <w:autoSpaceDN/>
        <w:bidi w:val="0"/>
        <w:spacing w:before="93" w:line="560" w:lineRule="exact"/>
        <w:rPr>
          <w:rFonts w:cs="宋体"/>
          <w:sz w:val="32"/>
          <w:szCs w:val="32"/>
          <w:shd w:val="clear" w:color="auto" w:fill="FFFFFF"/>
          <w:lang w:val="zh-CN"/>
        </w:rPr>
      </w:pPr>
    </w:p>
    <w:p>
      <w:pPr>
        <w:pStyle w:val="6"/>
        <w:keepNext w:val="0"/>
        <w:keepLines w:val="0"/>
        <w:pageBreakBefore w:val="0"/>
        <w:kinsoku/>
        <w:wordWrap/>
        <w:overflowPunct/>
        <w:topLinePunct w:val="0"/>
        <w:autoSpaceDE/>
        <w:autoSpaceDN/>
        <w:bidi w:val="0"/>
        <w:spacing w:before="93" w:line="560" w:lineRule="exact"/>
        <w:rPr>
          <w:rFonts w:cs="宋体"/>
          <w:sz w:val="32"/>
          <w:szCs w:val="32"/>
          <w:shd w:val="clear" w:color="auto" w:fill="FFFFFF"/>
          <w:lang w:val="zh-CN"/>
        </w:rPr>
      </w:pPr>
    </w:p>
    <w:p>
      <w:pPr>
        <w:pStyle w:val="6"/>
        <w:keepNext w:val="0"/>
        <w:keepLines w:val="0"/>
        <w:pageBreakBefore w:val="0"/>
        <w:kinsoku/>
        <w:wordWrap/>
        <w:overflowPunct/>
        <w:topLinePunct w:val="0"/>
        <w:autoSpaceDE/>
        <w:autoSpaceDN/>
        <w:bidi w:val="0"/>
        <w:spacing w:before="93" w:line="560" w:lineRule="exact"/>
        <w:rPr>
          <w:rFonts w:cs="宋体"/>
          <w:sz w:val="32"/>
          <w:szCs w:val="32"/>
          <w:shd w:val="clear" w:color="auto" w:fill="FFFFFF"/>
          <w:lang w:val="zh-CN"/>
        </w:rPr>
      </w:pPr>
    </w:p>
    <w:p>
      <w:pPr>
        <w:pStyle w:val="6"/>
        <w:keepNext w:val="0"/>
        <w:keepLines w:val="0"/>
        <w:pageBreakBefore w:val="0"/>
        <w:kinsoku/>
        <w:wordWrap/>
        <w:overflowPunct/>
        <w:topLinePunct w:val="0"/>
        <w:autoSpaceDE/>
        <w:autoSpaceDN/>
        <w:bidi w:val="0"/>
        <w:spacing w:before="93" w:line="560" w:lineRule="exact"/>
        <w:rPr>
          <w:rFonts w:cs="宋体"/>
          <w:sz w:val="32"/>
          <w:szCs w:val="32"/>
          <w:shd w:val="clear" w:color="auto" w:fill="FFFFFF"/>
          <w:lang w:val="zh-CN"/>
        </w:rPr>
      </w:pPr>
    </w:p>
    <w:p>
      <w:pPr>
        <w:pStyle w:val="6"/>
        <w:keepNext w:val="0"/>
        <w:keepLines w:val="0"/>
        <w:pageBreakBefore w:val="0"/>
        <w:kinsoku/>
        <w:wordWrap/>
        <w:overflowPunct/>
        <w:topLinePunct w:val="0"/>
        <w:autoSpaceDE/>
        <w:autoSpaceDN/>
        <w:bidi w:val="0"/>
        <w:spacing w:before="93" w:line="560" w:lineRule="exact"/>
        <w:rPr>
          <w:rFonts w:cs="宋体"/>
          <w:sz w:val="32"/>
          <w:szCs w:val="32"/>
          <w:shd w:val="clear" w:color="auto" w:fill="FFFFFF"/>
          <w:lang w:val="zh-CN"/>
        </w:rPr>
      </w:pPr>
    </w:p>
    <w:p>
      <w:pPr>
        <w:pStyle w:val="6"/>
        <w:keepNext w:val="0"/>
        <w:keepLines w:val="0"/>
        <w:pageBreakBefore w:val="0"/>
        <w:kinsoku/>
        <w:wordWrap/>
        <w:overflowPunct/>
        <w:topLinePunct w:val="0"/>
        <w:autoSpaceDE/>
        <w:autoSpaceDN/>
        <w:bidi w:val="0"/>
        <w:spacing w:before="93" w:line="560" w:lineRule="exact"/>
        <w:outlineLvl w:val="1"/>
        <w:rPr>
          <w:rFonts w:hint="eastAsia" w:ascii="黑体" w:hAnsi="黑体" w:eastAsia="黑体" w:cs="黑体"/>
          <w:sz w:val="32"/>
          <w:szCs w:val="32"/>
        </w:rPr>
      </w:pPr>
      <w:bookmarkStart w:id="99" w:name="_Toc6518"/>
      <w:r>
        <w:rPr>
          <w:rFonts w:hint="eastAsia" w:ascii="黑体" w:hAnsi="黑体" w:eastAsia="黑体" w:cs="黑体"/>
          <w:sz w:val="32"/>
          <w:szCs w:val="32"/>
          <w:shd w:val="clear" w:color="auto" w:fill="FFFFFF"/>
          <w:lang w:val="zh-CN"/>
        </w:rPr>
        <w:t>附件</w:t>
      </w:r>
      <w:r>
        <w:rPr>
          <w:rFonts w:hint="eastAsia" w:ascii="黑体" w:hAnsi="黑体" w:eastAsia="黑体" w:cs="黑体"/>
          <w:sz w:val="32"/>
          <w:szCs w:val="32"/>
          <w:shd w:val="clear" w:color="auto" w:fill="FFFFFF"/>
        </w:rPr>
        <w:t>2</w:t>
      </w:r>
      <w:bookmarkEnd w:id="99"/>
    </w:p>
    <w:p>
      <w:pPr>
        <w:pStyle w:val="31"/>
        <w:keepNext w:val="0"/>
        <w:keepLines w:val="0"/>
        <w:pageBreakBefore w:val="0"/>
        <w:kinsoku/>
        <w:wordWrap/>
        <w:overflowPunct/>
        <w:topLinePunct w:val="0"/>
        <w:autoSpaceDE/>
        <w:autoSpaceDN/>
        <w:bidi w:val="0"/>
        <w:spacing w:line="560" w:lineRule="exact"/>
        <w:jc w:val="center"/>
        <w:rPr>
          <w:rFonts w:hint="eastAsia" w:ascii="方正小标宋简体" w:eastAsia="方正小标宋简体" w:cs="方正小标宋简体"/>
          <w:color w:val="auto"/>
          <w:kern w:val="2"/>
          <w:sz w:val="44"/>
          <w:szCs w:val="44"/>
          <w:lang w:val="en-US" w:eastAsia="zh-CN"/>
        </w:rPr>
      </w:pPr>
      <w:r>
        <w:rPr>
          <w:rFonts w:hint="eastAsia" w:ascii="方正小标宋简体" w:eastAsia="方正小标宋简体" w:cs="方正小标宋简体"/>
          <w:color w:val="auto"/>
          <w:kern w:val="2"/>
          <w:sz w:val="44"/>
          <w:szCs w:val="44"/>
          <w:lang w:val="en-US"/>
        </w:rPr>
        <w:t>2023年</w:t>
      </w:r>
      <w:r>
        <w:rPr>
          <w:rFonts w:hint="eastAsia" w:ascii="方正小标宋简体" w:eastAsia="方正小标宋简体" w:cs="方正小标宋简体"/>
          <w:color w:val="auto"/>
          <w:kern w:val="2"/>
          <w:sz w:val="44"/>
          <w:szCs w:val="44"/>
          <w:lang w:val="en-US" w:eastAsia="zh-CN"/>
        </w:rPr>
        <w:t>红原县水务局山洪灾害</w:t>
      </w:r>
    </w:p>
    <w:p>
      <w:pPr>
        <w:pStyle w:val="31"/>
        <w:keepNext w:val="0"/>
        <w:keepLines w:val="0"/>
        <w:pageBreakBefore w:val="0"/>
        <w:kinsoku/>
        <w:wordWrap/>
        <w:overflowPunct/>
        <w:topLinePunct w:val="0"/>
        <w:autoSpaceDE/>
        <w:autoSpaceDN/>
        <w:bidi w:val="0"/>
        <w:spacing w:line="560" w:lineRule="exact"/>
        <w:jc w:val="center"/>
        <w:rPr>
          <w:rFonts w:hint="eastAsia" w:ascii="方正小标宋简体" w:eastAsia="方正小标宋简体" w:cs="方正小标宋简体"/>
          <w:color w:val="auto"/>
          <w:kern w:val="2"/>
          <w:sz w:val="32"/>
          <w:szCs w:val="32"/>
          <w:lang w:val="en-US"/>
        </w:rPr>
      </w:pPr>
      <w:r>
        <w:rPr>
          <w:rFonts w:hint="eastAsia" w:ascii="方正小标宋简体" w:eastAsia="方正小标宋简体" w:cs="方正小标宋简体"/>
          <w:color w:val="auto"/>
          <w:kern w:val="2"/>
          <w:sz w:val="44"/>
          <w:szCs w:val="44"/>
          <w:lang w:val="en-US"/>
        </w:rPr>
        <w:t>专项资金预算项目绩效自评报告</w:t>
      </w:r>
    </w:p>
    <w:p>
      <w:pPr>
        <w:keepNext w:val="0"/>
        <w:keepLines w:val="0"/>
        <w:pageBreakBefore w:val="0"/>
        <w:kinsoku/>
        <w:wordWrap/>
        <w:overflowPunct/>
        <w:topLinePunct w:val="0"/>
        <w:autoSpaceDE/>
        <w:autoSpaceDN/>
        <w:bidi w:val="0"/>
        <w:adjustRightInd w:val="0"/>
        <w:snapToGrid w:val="0"/>
        <w:spacing w:line="560" w:lineRule="exact"/>
        <w:ind w:firstLine="720"/>
        <w:outlineLvl w:val="1"/>
        <w:rPr>
          <w:rFonts w:ascii="黑体" w:eastAsia="黑体"/>
          <w:sz w:val="32"/>
          <w:szCs w:val="32"/>
          <w:lang w:val="zh-CN"/>
        </w:rPr>
      </w:pPr>
      <w:bookmarkStart w:id="100" w:name="_Toc24388"/>
      <w:r>
        <w:rPr>
          <w:rFonts w:hint="eastAsia" w:ascii="黑体" w:eastAsia="黑体"/>
          <w:sz w:val="32"/>
          <w:szCs w:val="32"/>
        </w:rPr>
        <w:t>一、</w:t>
      </w:r>
      <w:r>
        <w:rPr>
          <w:rFonts w:hint="eastAsia" w:ascii="黑体" w:eastAsia="黑体"/>
          <w:sz w:val="32"/>
          <w:szCs w:val="32"/>
          <w:lang w:val="zh-CN"/>
        </w:rPr>
        <w:t>项目概况</w:t>
      </w:r>
      <w:bookmarkEnd w:id="100"/>
    </w:p>
    <w:p>
      <w:pPr>
        <w:keepNext w:val="0"/>
        <w:keepLines w:val="0"/>
        <w:pageBreakBefore w:val="0"/>
        <w:kinsoku/>
        <w:wordWrap/>
        <w:overflowPunct/>
        <w:topLinePunct w:val="0"/>
        <w:autoSpaceDE/>
        <w:autoSpaceDN/>
        <w:bidi w:val="0"/>
        <w:adjustRightInd w:val="0"/>
        <w:snapToGrid w:val="0"/>
        <w:spacing w:line="560" w:lineRule="exact"/>
        <w:ind w:firstLine="720"/>
        <w:outlineLvl w:val="2"/>
        <w:rPr>
          <w:rFonts w:ascii="楷体_GB2312" w:eastAsia="楷体_GB2312"/>
          <w:b/>
          <w:sz w:val="32"/>
          <w:szCs w:val="32"/>
          <w:lang w:val="zh-CN"/>
        </w:rPr>
      </w:pPr>
      <w:bookmarkStart w:id="101" w:name="_Toc10967"/>
      <w:r>
        <w:rPr>
          <w:rFonts w:hint="eastAsia" w:ascii="楷体_GB2312" w:eastAsia="楷体_GB2312"/>
          <w:b/>
          <w:sz w:val="32"/>
          <w:szCs w:val="32"/>
          <w:lang w:val="zh-CN"/>
        </w:rPr>
        <w:t>（一）项目基本情况</w:t>
      </w:r>
      <w:bookmarkEnd w:id="101"/>
    </w:p>
    <w:p>
      <w:pPr>
        <w:keepNext w:val="0"/>
        <w:keepLines w:val="0"/>
        <w:pageBreakBefore w:val="0"/>
        <w:kinsoku/>
        <w:wordWrap/>
        <w:overflowPunct/>
        <w:topLinePunct w:val="0"/>
        <w:autoSpaceDE/>
        <w:autoSpaceDN/>
        <w:bidi w:val="0"/>
        <w:adjustRightInd w:val="0"/>
        <w:snapToGrid w:val="0"/>
        <w:spacing w:line="560" w:lineRule="exact"/>
        <w:ind w:firstLine="640" w:firstLineChars="200"/>
        <w:rPr>
          <w:rFonts w:hint="default" w:ascii="仿宋_GB2312" w:hAnsi="宋体" w:eastAsia="仿宋_GB2312"/>
          <w:sz w:val="32"/>
          <w:szCs w:val="32"/>
          <w:lang w:val="en-US" w:eastAsia="zh-CN"/>
        </w:rPr>
      </w:pPr>
      <w:r>
        <w:rPr>
          <w:rFonts w:hint="eastAsia" w:ascii="仿宋_GB2312" w:hAnsi="仿宋_GB2312" w:eastAsia="仿宋_GB2312" w:cs="仿宋_GB2312"/>
          <w:sz w:val="32"/>
          <w:szCs w:val="32"/>
          <w:lang w:val="en-US" w:eastAsia="zh-CN"/>
        </w:rPr>
        <w:t>为我县49处山洪危险区的监测责任人按照3600/年的标准，落实监测经费</w:t>
      </w:r>
      <w:r>
        <w:rPr>
          <w:rFonts w:hint="eastAsia" w:ascii="仿宋" w:hAnsi="仿宋" w:eastAsia="仿宋" w:cs="仿宋"/>
          <w:color w:val="000000"/>
          <w:sz w:val="32"/>
          <w:szCs w:val="32"/>
          <w:lang w:val="en-US" w:eastAsia="zh-CN"/>
        </w:rPr>
        <w:t xml:space="preserve">。 </w:t>
      </w:r>
      <w:r>
        <w:rPr>
          <w:rFonts w:hint="eastAsia" w:ascii="仿宋_GB2312" w:hAnsi="宋体" w:eastAsia="仿宋_GB2312"/>
          <w:sz w:val="32"/>
          <w:szCs w:val="32"/>
          <w:lang w:val="en-US" w:eastAsia="zh-CN"/>
        </w:rPr>
        <w:t>经费的落实有助对49处山洪灾害危险区的监测提供经费保障，提高监测人员积极性，确保人民群众生命财产安全。</w:t>
      </w:r>
      <w:r>
        <w:rPr>
          <w:rFonts w:hint="eastAsia" w:ascii="仿宋_GB2312" w:hAnsi="仿宋_GB2312" w:eastAsia="仿宋_GB2312" w:cs="仿宋_GB2312"/>
          <w:sz w:val="32"/>
          <w:szCs w:val="32"/>
          <w:lang w:val="en-US" w:eastAsia="zh-CN"/>
        </w:rPr>
        <w:t>为我县49处山洪危险区的监测责任人按照3600/年的标准，落实监测经费，有助于为山洪灾害危险区监测提供保障，确保人民群众生命财产安全。</w:t>
      </w:r>
    </w:p>
    <w:p>
      <w:pPr>
        <w:keepNext w:val="0"/>
        <w:keepLines w:val="0"/>
        <w:pageBreakBefore w:val="0"/>
        <w:kinsoku/>
        <w:wordWrap/>
        <w:overflowPunct/>
        <w:topLinePunct w:val="0"/>
        <w:autoSpaceDE/>
        <w:autoSpaceDN/>
        <w:bidi w:val="0"/>
        <w:adjustRightInd w:val="0"/>
        <w:snapToGrid w:val="0"/>
        <w:spacing w:line="560" w:lineRule="exact"/>
        <w:ind w:firstLine="640" w:firstLineChars="200"/>
        <w:outlineLvl w:val="2"/>
        <w:rPr>
          <w:rFonts w:ascii="楷体_GB2312" w:eastAsia="楷体_GB2312"/>
          <w:b/>
          <w:sz w:val="32"/>
          <w:szCs w:val="32"/>
          <w:lang w:val="zh-CN"/>
        </w:rPr>
      </w:pPr>
      <w:r>
        <w:rPr>
          <w:rFonts w:hint="eastAsia" w:ascii="仿宋" w:hAnsi="仿宋" w:eastAsia="仿宋" w:cs="仿宋"/>
          <w:color w:val="000000"/>
          <w:sz w:val="32"/>
          <w:szCs w:val="32"/>
          <w:lang w:val="en-US" w:eastAsia="zh-CN"/>
        </w:rPr>
        <w:t xml:space="preserve"> </w:t>
      </w:r>
      <w:bookmarkStart w:id="102" w:name="_Toc26904"/>
      <w:r>
        <w:rPr>
          <w:rFonts w:hint="eastAsia" w:ascii="楷体_GB2312" w:eastAsia="楷体_GB2312"/>
          <w:b/>
          <w:sz w:val="32"/>
          <w:szCs w:val="32"/>
          <w:lang w:val="zh-CN"/>
        </w:rPr>
        <w:t>（二）项目绩效目标</w:t>
      </w:r>
      <w:bookmarkEnd w:id="102"/>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1．项目主要内容。</w:t>
      </w:r>
      <w:r>
        <w:rPr>
          <w:rFonts w:hint="eastAsia" w:ascii="仿宋_GB2312" w:hAnsi="仿宋_GB2312" w:eastAsia="仿宋_GB2312" w:cs="仿宋_GB2312"/>
          <w:sz w:val="32"/>
          <w:szCs w:val="32"/>
          <w:lang w:val="en-US" w:eastAsia="zh-CN"/>
        </w:rPr>
        <w:t>为我县49处山洪危险区的监测责任人按照3600/年的标准，落实监测经费</w:t>
      </w:r>
      <w:r>
        <w:rPr>
          <w:rFonts w:hint="eastAsia" w:ascii="仿宋" w:hAnsi="仿宋" w:eastAsia="仿宋" w:cs="仿宋"/>
          <w:color w:val="000000"/>
          <w:sz w:val="32"/>
          <w:szCs w:val="32"/>
          <w:lang w:val="en-US" w:eastAsia="zh-CN"/>
        </w:rPr>
        <w:t xml:space="preserve">。  </w:t>
      </w:r>
    </w:p>
    <w:p>
      <w:pPr>
        <w:keepNext w:val="0"/>
        <w:keepLines w:val="0"/>
        <w:pageBreakBefore w:val="0"/>
        <w:kinsoku/>
        <w:wordWrap/>
        <w:overflowPunct/>
        <w:topLinePunct w:val="0"/>
        <w:autoSpaceDE/>
        <w:autoSpaceDN/>
        <w:bidi w:val="0"/>
        <w:adjustRightInd w:val="0"/>
        <w:snapToGrid w:val="0"/>
        <w:spacing w:line="560" w:lineRule="exact"/>
        <w:ind w:firstLine="640" w:firstLineChars="200"/>
        <w:rPr>
          <w:rFonts w:hint="default" w:ascii="仿宋_GB2312" w:hAnsi="宋体" w:eastAsia="仿宋_GB2312"/>
          <w:sz w:val="32"/>
          <w:szCs w:val="32"/>
          <w:lang w:val="en-US"/>
        </w:rPr>
      </w:pPr>
      <w:r>
        <w:rPr>
          <w:rFonts w:hint="eastAsia" w:ascii="仿宋_GB2312" w:eastAsia="仿宋_GB2312" w:cs="仿宋_GB2312"/>
          <w:kern w:val="0"/>
          <w:sz w:val="32"/>
          <w:szCs w:val="32"/>
          <w:shd w:val="clear" w:color="auto" w:fill="FFFFFF"/>
          <w:lang w:val="zh-CN"/>
        </w:rPr>
        <w:t>2．项目应实现的具体绩效目标，</w:t>
      </w:r>
      <w:r>
        <w:rPr>
          <w:rFonts w:hint="eastAsia" w:ascii="仿宋_GB2312" w:eastAsia="仿宋_GB2312" w:cs="仿宋_GB2312"/>
          <w:kern w:val="0"/>
          <w:sz w:val="32"/>
          <w:szCs w:val="32"/>
          <w:shd w:val="clear" w:color="auto" w:fill="FFFFFF"/>
        </w:rPr>
        <w:t>包括但不限于</w:t>
      </w:r>
      <w:r>
        <w:rPr>
          <w:rFonts w:hint="eastAsia" w:ascii="仿宋_GB2312" w:hAnsi="仿宋_GB2312" w:cs="仿宋_GB2312"/>
          <w:kern w:val="0"/>
          <w:sz w:val="32"/>
          <w:szCs w:val="32"/>
          <w:shd w:val="clear" w:color="auto" w:fill="FFFFFF"/>
        </w:rPr>
        <w:t>：</w:t>
      </w:r>
      <w:r>
        <w:rPr>
          <w:rFonts w:hint="eastAsia" w:ascii="仿宋_GB2312" w:hAnsi="仿宋_GB2312" w:eastAsia="仿宋_GB2312" w:cs="仿宋_GB2312"/>
          <w:sz w:val="32"/>
          <w:szCs w:val="32"/>
          <w:lang w:val="en-US" w:eastAsia="zh-CN"/>
        </w:rPr>
        <w:t>为我县49处山洪危险区的监测责任人按照3600/年的标准，落实监测经费</w:t>
      </w:r>
      <w:r>
        <w:rPr>
          <w:rFonts w:hint="eastAsia" w:ascii="仿宋" w:hAnsi="仿宋" w:eastAsia="仿宋" w:cs="仿宋"/>
          <w:color w:val="000000"/>
          <w:sz w:val="32"/>
          <w:szCs w:val="32"/>
          <w:lang w:val="en-US" w:eastAsia="zh-CN"/>
        </w:rPr>
        <w:t>。服务对象满意度≥95%；验收合格率≥100%。</w:t>
      </w:r>
      <w:r>
        <w:rPr>
          <w:rFonts w:hint="eastAsia" w:ascii="仿宋_GB2312" w:hAnsi="宋体" w:eastAsia="仿宋_GB2312"/>
          <w:sz w:val="32"/>
          <w:szCs w:val="32"/>
          <w:lang w:eastAsia="zh-CN"/>
        </w:rPr>
        <w:t>绩效目标和绩效指标量化可考核，与部门的长期规划目标、年度工作目标相一致。</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eastAsia="仿宋_GB2312" w:cs="仿宋_GB2312"/>
          <w:kern w:val="0"/>
          <w:sz w:val="32"/>
          <w:szCs w:val="32"/>
          <w:shd w:val="clear" w:color="auto" w:fill="FFFFFF"/>
          <w:lang w:val="zh-CN"/>
        </w:rPr>
        <w:t>3．分析评价申报内容是否与实际相符，申报目标是否合理可行。</w:t>
      </w:r>
      <w:r>
        <w:rPr>
          <w:rFonts w:hint="eastAsia" w:ascii="仿宋" w:hAnsi="仿宋" w:eastAsia="仿宋" w:cs="仿宋"/>
          <w:sz w:val="32"/>
          <w:szCs w:val="32"/>
        </w:rPr>
        <w:t>总投资</w:t>
      </w:r>
      <w:r>
        <w:rPr>
          <w:rFonts w:hint="eastAsia" w:ascii="仿宋_GB2312" w:eastAsia="仿宋_GB2312"/>
          <w:sz w:val="32"/>
          <w:szCs w:val="32"/>
          <w:lang w:val="en-US" w:eastAsia="zh-CN"/>
        </w:rPr>
        <w:t>17.64</w:t>
      </w:r>
      <w:r>
        <w:rPr>
          <w:rFonts w:hint="eastAsia" w:ascii="仿宋" w:hAnsi="仿宋" w:eastAsia="仿宋" w:cs="仿宋"/>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政策</w:t>
      </w:r>
      <w:r>
        <w:rPr>
          <w:rFonts w:hint="eastAsia" w:ascii="仿宋_GB2312" w:hAnsi="宋体" w:eastAsia="仿宋_GB2312"/>
          <w:sz w:val="32"/>
          <w:szCs w:val="32"/>
          <w:lang w:eastAsia="zh-CN"/>
        </w:rPr>
        <w:t>或</w:t>
      </w:r>
      <w:r>
        <w:rPr>
          <w:rFonts w:hint="eastAsia" w:ascii="仿宋_GB2312" w:hAnsi="宋体" w:eastAsia="仿宋_GB2312"/>
          <w:sz w:val="32"/>
          <w:szCs w:val="32"/>
        </w:rPr>
        <w:t>项目</w:t>
      </w:r>
      <w:r>
        <w:rPr>
          <w:rFonts w:hint="eastAsia" w:ascii="仿宋_GB2312" w:hAnsi="宋体" w:eastAsia="仿宋_GB2312"/>
          <w:sz w:val="32"/>
          <w:szCs w:val="32"/>
          <w:lang w:eastAsia="zh-CN"/>
        </w:rPr>
        <w:t>具有公共性，属于公共财政支持范围，筹资渠道符合法律法规规定，筹资结构合理，资金来源渠道明确，各渠道资金到位时间、条件能够落实。</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ascii="仿宋_GB2312" w:eastAsia="仿宋_GB2312" w:cs="仿宋_GB2312"/>
          <w:kern w:val="0"/>
          <w:sz w:val="32"/>
          <w:szCs w:val="32"/>
          <w:shd w:val="clear" w:color="auto" w:fill="FFFFFF"/>
          <w:lang w:val="zh-CN"/>
        </w:rPr>
      </w:pPr>
    </w:p>
    <w:p>
      <w:pPr>
        <w:keepNext w:val="0"/>
        <w:keepLines w:val="0"/>
        <w:pageBreakBefore w:val="0"/>
        <w:kinsoku/>
        <w:wordWrap/>
        <w:overflowPunct/>
        <w:topLinePunct w:val="0"/>
        <w:autoSpaceDE/>
        <w:autoSpaceDN/>
        <w:bidi w:val="0"/>
        <w:adjustRightInd w:val="0"/>
        <w:snapToGrid w:val="0"/>
        <w:spacing w:line="560" w:lineRule="exact"/>
        <w:ind w:firstLine="720"/>
        <w:outlineLvl w:val="2"/>
        <w:rPr>
          <w:rFonts w:ascii="楷体_GB2312" w:eastAsia="楷体_GB2312"/>
          <w:b/>
          <w:sz w:val="32"/>
          <w:szCs w:val="32"/>
          <w:lang w:val="zh-CN"/>
        </w:rPr>
      </w:pPr>
      <w:bookmarkStart w:id="103" w:name="_Toc9116"/>
      <w:r>
        <w:rPr>
          <w:rFonts w:hint="eastAsia" w:ascii="楷体_GB2312" w:eastAsia="楷体_GB2312"/>
          <w:b/>
          <w:sz w:val="32"/>
          <w:szCs w:val="32"/>
          <w:lang w:val="zh-CN"/>
        </w:rPr>
        <w:t>（三）项目自评步骤及方法</w:t>
      </w:r>
      <w:bookmarkEnd w:id="103"/>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rPr>
          <w:rFonts w:ascii="仿宋_GB2312" w:eastAsia="仿宋_GB2312" w:cs="仿宋_GB2312"/>
          <w:kern w:val="0"/>
          <w:sz w:val="32"/>
          <w:szCs w:val="32"/>
          <w:shd w:val="clear" w:color="auto" w:fill="FFFFFF"/>
          <w:lang w:val="zh-CN"/>
        </w:rPr>
      </w:pPr>
      <w:r>
        <w:rPr>
          <w:rFonts w:hint="eastAsia" w:ascii="仿宋_GB2312" w:eastAsia="仿宋_GB2312" w:cs="仿宋_GB2312"/>
          <w:kern w:val="0"/>
          <w:sz w:val="32"/>
          <w:szCs w:val="32"/>
          <w:shd w:val="clear" w:color="auto" w:fill="FFFFFF"/>
          <w:lang w:val="zh-CN"/>
        </w:rPr>
        <w:t>说明项目绩效自评采用的组织实施步骤及方法。</w:t>
      </w:r>
    </w:p>
    <w:p>
      <w:pPr>
        <w:keepNext w:val="0"/>
        <w:keepLines w:val="0"/>
        <w:pageBreakBefore w:val="0"/>
        <w:kinsoku/>
        <w:wordWrap/>
        <w:overflowPunct/>
        <w:topLinePunct w:val="0"/>
        <w:autoSpaceDE/>
        <w:autoSpaceDN/>
        <w:bidi w:val="0"/>
        <w:adjustRightInd w:val="0"/>
        <w:snapToGrid w:val="0"/>
        <w:spacing w:line="560" w:lineRule="exact"/>
        <w:ind w:firstLine="720"/>
        <w:outlineLvl w:val="1"/>
        <w:rPr>
          <w:rFonts w:ascii="黑体" w:eastAsia="黑体"/>
          <w:sz w:val="32"/>
          <w:szCs w:val="32"/>
        </w:rPr>
      </w:pPr>
      <w:bookmarkStart w:id="104" w:name="_Toc19371"/>
      <w:r>
        <w:rPr>
          <w:rFonts w:hint="eastAsia" w:ascii="黑体" w:eastAsia="黑体"/>
          <w:sz w:val="32"/>
          <w:szCs w:val="32"/>
        </w:rPr>
        <w:t>二、项目资金申报及使用情况</w:t>
      </w:r>
      <w:bookmarkEnd w:id="104"/>
    </w:p>
    <w:p>
      <w:pPr>
        <w:keepNext w:val="0"/>
        <w:keepLines w:val="0"/>
        <w:pageBreakBefore w:val="0"/>
        <w:kinsoku/>
        <w:wordWrap/>
        <w:overflowPunct/>
        <w:topLinePunct w:val="0"/>
        <w:autoSpaceDE/>
        <w:autoSpaceDN/>
        <w:bidi w:val="0"/>
        <w:adjustRightInd w:val="0"/>
        <w:snapToGrid w:val="0"/>
        <w:spacing w:line="560" w:lineRule="exact"/>
        <w:ind w:firstLine="720"/>
        <w:outlineLvl w:val="2"/>
        <w:rPr>
          <w:rFonts w:ascii="楷体_GB2312" w:eastAsia="楷体_GB2312"/>
          <w:b/>
          <w:sz w:val="32"/>
          <w:szCs w:val="32"/>
          <w:lang w:val="zh-CN"/>
        </w:rPr>
      </w:pPr>
      <w:bookmarkStart w:id="105" w:name="_Toc26206"/>
      <w:r>
        <w:rPr>
          <w:rFonts w:hint="eastAsia" w:ascii="楷体_GB2312" w:eastAsia="楷体_GB2312"/>
          <w:b/>
          <w:sz w:val="32"/>
          <w:szCs w:val="32"/>
          <w:lang w:val="zh-CN"/>
        </w:rPr>
        <w:t>（一）项目资金申报及批复情况</w:t>
      </w:r>
      <w:bookmarkEnd w:id="105"/>
    </w:p>
    <w:p>
      <w:pPr>
        <w:keepNext w:val="0"/>
        <w:keepLines w:val="0"/>
        <w:pageBreakBefore w:val="0"/>
        <w:kinsoku/>
        <w:wordWrap/>
        <w:overflowPunct/>
        <w:topLinePunct w:val="0"/>
        <w:autoSpaceDE/>
        <w:autoSpaceDN/>
        <w:bidi w:val="0"/>
        <w:adjustRightInd w:val="0"/>
        <w:snapToGrid w:val="0"/>
        <w:spacing w:line="56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一是通过实地查看和村民大会的召开讨论，群定好项目的具体内容；二是询问专业人员确定项目资金的预算及编制实施方案并上报相关部门</w:t>
      </w:r>
      <w:r>
        <w:rPr>
          <w:rFonts w:hint="eastAsia" w:ascii="仿宋_GB2312" w:hAnsi="宋体" w:eastAsia="仿宋_GB2312"/>
          <w:color w:val="000000" w:themeColor="text1"/>
          <w:sz w:val="32"/>
          <w:szCs w:val="32"/>
          <w:lang w:val="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560" w:lineRule="exact"/>
        <w:ind w:firstLine="720"/>
        <w:outlineLvl w:val="2"/>
        <w:rPr>
          <w:rFonts w:ascii="仿宋_GB2312" w:hAnsi="仿宋_GB2312"/>
          <w:sz w:val="32"/>
          <w:szCs w:val="32"/>
          <w:lang w:val="zh-CN"/>
        </w:rPr>
      </w:pPr>
      <w:bookmarkStart w:id="106" w:name="_Toc20628"/>
      <w:r>
        <w:rPr>
          <w:rFonts w:hint="eastAsia" w:ascii="楷体_GB2312" w:eastAsia="楷体_GB2312"/>
          <w:b/>
          <w:sz w:val="32"/>
          <w:szCs w:val="32"/>
          <w:lang w:val="zh-CN"/>
        </w:rPr>
        <w:t>（二）资金计划、到位及使用情况</w:t>
      </w:r>
      <w:bookmarkEnd w:id="106"/>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 w:hAnsi="仿宋" w:eastAsia="仿宋" w:cs="仿宋"/>
          <w:sz w:val="32"/>
          <w:szCs w:val="32"/>
        </w:rPr>
        <w:t>总投资</w:t>
      </w:r>
      <w:r>
        <w:rPr>
          <w:rFonts w:hint="eastAsia" w:ascii="仿宋_GB2312" w:eastAsia="仿宋_GB2312"/>
          <w:sz w:val="32"/>
          <w:szCs w:val="32"/>
          <w:lang w:val="en-US" w:eastAsia="zh-CN"/>
        </w:rPr>
        <w:t>17.64</w:t>
      </w:r>
      <w:r>
        <w:rPr>
          <w:rFonts w:hint="eastAsia" w:ascii="仿宋" w:hAnsi="仿宋" w:eastAsia="仿宋" w:cs="仿宋"/>
          <w:sz w:val="32"/>
          <w:szCs w:val="32"/>
        </w:rPr>
        <w:t>万元</w:t>
      </w:r>
      <w:r>
        <w:rPr>
          <w:rFonts w:hint="eastAsia" w:ascii="仿宋_GB2312" w:hAnsi="宋体" w:eastAsia="仿宋_GB2312"/>
          <w:sz w:val="32"/>
          <w:szCs w:val="32"/>
          <w:lang w:eastAsia="zh-CN"/>
        </w:rPr>
        <w:t>，</w:t>
      </w:r>
      <w:r>
        <w:rPr>
          <w:rFonts w:hint="eastAsia" w:ascii="仿宋_GB2312" w:hAnsi="宋体" w:eastAsia="仿宋_GB2312"/>
          <w:sz w:val="32"/>
          <w:szCs w:val="32"/>
        </w:rPr>
        <w:t>政策</w:t>
      </w:r>
      <w:r>
        <w:rPr>
          <w:rFonts w:hint="eastAsia" w:ascii="仿宋_GB2312" w:hAnsi="宋体" w:eastAsia="仿宋_GB2312"/>
          <w:sz w:val="32"/>
          <w:szCs w:val="32"/>
          <w:lang w:eastAsia="zh-CN"/>
        </w:rPr>
        <w:t>或</w:t>
      </w:r>
      <w:r>
        <w:rPr>
          <w:rFonts w:hint="eastAsia" w:ascii="仿宋_GB2312" w:hAnsi="宋体" w:eastAsia="仿宋_GB2312"/>
          <w:sz w:val="32"/>
          <w:szCs w:val="32"/>
        </w:rPr>
        <w:t>项目</w:t>
      </w:r>
      <w:r>
        <w:rPr>
          <w:rFonts w:hint="eastAsia" w:ascii="仿宋_GB2312" w:hAnsi="宋体" w:eastAsia="仿宋_GB2312"/>
          <w:sz w:val="32"/>
          <w:szCs w:val="32"/>
          <w:lang w:eastAsia="zh-CN"/>
        </w:rPr>
        <w:t>具有公共性，属于公共财政支持范围，筹资渠道符合法律法规规定，筹资结构合理，资金来源渠道明确，各渠道资金到位时间、条件能够落实。</w:t>
      </w:r>
      <w:r>
        <w:rPr>
          <w:rFonts w:hint="eastAsia" w:ascii="仿宋_GB2312" w:hAnsi="仿宋_GB2312" w:eastAsia="仿宋_GB2312" w:cs="仿宋_GB2312"/>
          <w:sz w:val="32"/>
          <w:szCs w:val="32"/>
          <w:lang w:val="en-US" w:eastAsia="zh-CN"/>
        </w:rPr>
        <w:t>为我县49处山洪危险区的监测责任人按照3600/年的标准，落实监测经费，有助于为山洪灾害危险区监测提供保障，确保人民群众生命财产安全。</w:t>
      </w:r>
    </w:p>
    <w:p>
      <w:pPr>
        <w:keepNext w:val="0"/>
        <w:keepLines w:val="0"/>
        <w:pageBreakBefore w:val="0"/>
        <w:kinsoku/>
        <w:wordWrap/>
        <w:overflowPunct/>
        <w:topLinePunct w:val="0"/>
        <w:autoSpaceDE/>
        <w:autoSpaceDN/>
        <w:bidi w:val="0"/>
        <w:adjustRightInd w:val="0"/>
        <w:snapToGrid w:val="0"/>
        <w:spacing w:line="560" w:lineRule="exact"/>
        <w:ind w:firstLine="720"/>
        <w:outlineLvl w:val="2"/>
        <w:rPr>
          <w:rFonts w:ascii="楷体_GB2312" w:eastAsia="楷体_GB2312"/>
          <w:b/>
          <w:sz w:val="32"/>
          <w:szCs w:val="32"/>
          <w:lang w:val="zh-CN"/>
        </w:rPr>
      </w:pPr>
      <w:bookmarkStart w:id="107" w:name="_Toc18994"/>
      <w:r>
        <w:rPr>
          <w:rFonts w:hint="eastAsia" w:ascii="楷体_GB2312" w:eastAsia="楷体_GB2312"/>
          <w:b/>
          <w:sz w:val="32"/>
          <w:szCs w:val="32"/>
          <w:lang w:val="zh-CN"/>
        </w:rPr>
        <w:t>（三）项目财务管理情况</w:t>
      </w:r>
      <w:bookmarkEnd w:id="107"/>
    </w:p>
    <w:p>
      <w:pPr>
        <w:keepNext w:val="0"/>
        <w:keepLines w:val="0"/>
        <w:pageBreakBefore w:val="0"/>
        <w:kinsoku/>
        <w:wordWrap/>
        <w:overflowPunct/>
        <w:topLinePunct w:val="0"/>
        <w:autoSpaceDE/>
        <w:autoSpaceDN/>
        <w:bidi w:val="0"/>
        <w:adjustRightInd w:val="0"/>
        <w:snapToGrid w:val="0"/>
        <w:spacing w:line="560" w:lineRule="exact"/>
        <w:ind w:firstLine="720"/>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一是项目资金的使用进行透明化管理，资金的来源及使用途径均已公示公告；二是严格按照合同、方案、项目进度拨付资金。</w:t>
      </w:r>
    </w:p>
    <w:p>
      <w:pPr>
        <w:keepNext w:val="0"/>
        <w:keepLines w:val="0"/>
        <w:pageBreakBefore w:val="0"/>
        <w:kinsoku/>
        <w:wordWrap/>
        <w:overflowPunct/>
        <w:topLinePunct w:val="0"/>
        <w:autoSpaceDE/>
        <w:autoSpaceDN/>
        <w:bidi w:val="0"/>
        <w:adjustRightInd w:val="0"/>
        <w:snapToGrid w:val="0"/>
        <w:spacing w:line="56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结合项目组织实施管理办法，重点围绕以下内容进行分析评价，并对自评中发现的问题分析说明。</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firstLine="720"/>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108" w:name="_Toc16136"/>
      <w:r>
        <w:rPr>
          <w:rFonts w:hint="eastAsia" w:ascii="楷体_GB2312" w:hAnsi="宋体" w:eastAsia="楷体_GB2312"/>
          <w:b/>
          <w:color w:val="000000" w:themeColor="text1"/>
          <w:sz w:val="32"/>
          <w:szCs w:val="32"/>
          <w:lang w:val="zh-CN"/>
          <w14:textFill>
            <w14:solidFill>
              <w14:schemeClr w14:val="tx1"/>
            </w14:solidFill>
          </w14:textFill>
        </w:rPr>
        <w:t>项目组织架构及实施流程</w:t>
      </w:r>
      <w:bookmarkEnd w:id="108"/>
    </w:p>
    <w:p>
      <w:pPr>
        <w:keepNext w:val="0"/>
        <w:keepLines w:val="0"/>
        <w:pageBreakBefore w:val="0"/>
        <w:kinsoku/>
        <w:wordWrap/>
        <w:overflowPunct/>
        <w:topLinePunct w:val="0"/>
        <w:autoSpaceDE/>
        <w:autoSpaceDN/>
        <w:bidi w:val="0"/>
        <w:adjustRightInd w:val="0"/>
        <w:snapToGrid w:val="0"/>
        <w:spacing w:line="560" w:lineRule="exact"/>
        <w:ind w:firstLine="720"/>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项目成立了项目理事会，主要负责对项目的推进和项目监管。制定了一套切实可行的管理制度并与理事会成员的组成进行了为期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left="0" w:leftChars="0" w:firstLine="720" w:firstLineChars="0"/>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109" w:name="_Toc23588"/>
      <w:r>
        <w:rPr>
          <w:rFonts w:hint="eastAsia" w:ascii="楷体_GB2312" w:hAnsi="宋体" w:eastAsia="楷体_GB2312"/>
          <w:b/>
          <w:color w:val="000000" w:themeColor="text1"/>
          <w:sz w:val="32"/>
          <w:szCs w:val="32"/>
          <w:lang w:val="zh-CN"/>
          <w14:textFill>
            <w14:solidFill>
              <w14:schemeClr w14:val="tx1"/>
            </w14:solidFill>
          </w14:textFill>
        </w:rPr>
        <w:t>项目管理情况。</w:t>
      </w:r>
      <w:bookmarkEnd w:id="109"/>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一是项目资金的使用进行透明化管理，资金的来源及使用途径均已公示公告，并成立了项目资金监管小组做到项目资金用到实处；二是严格按照合同、方案、项目进度拨付资金。</w:t>
      </w:r>
    </w:p>
    <w:p>
      <w:pPr>
        <w:keepNext w:val="0"/>
        <w:keepLines w:val="0"/>
        <w:pageBreakBefore w:val="0"/>
        <w:numPr>
          <w:ilvl w:val="0"/>
          <w:numId w:val="5"/>
        </w:numPr>
        <w:kinsoku/>
        <w:wordWrap/>
        <w:overflowPunct/>
        <w:topLinePunct w:val="0"/>
        <w:autoSpaceDE/>
        <w:autoSpaceDN/>
        <w:bidi w:val="0"/>
        <w:adjustRightInd w:val="0"/>
        <w:snapToGrid w:val="0"/>
        <w:spacing w:line="560" w:lineRule="exact"/>
        <w:ind w:left="0" w:leftChars="0" w:firstLine="720" w:firstLineChars="0"/>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110" w:name="_Toc28646"/>
      <w:r>
        <w:rPr>
          <w:rFonts w:hint="eastAsia" w:ascii="楷体_GB2312" w:hAnsi="宋体" w:eastAsia="楷体_GB2312"/>
          <w:b/>
          <w:color w:val="000000" w:themeColor="text1"/>
          <w:sz w:val="32"/>
          <w:szCs w:val="32"/>
          <w:lang w:val="zh-CN"/>
          <w14:textFill>
            <w14:solidFill>
              <w14:schemeClr w14:val="tx1"/>
            </w14:solidFill>
          </w14:textFill>
        </w:rPr>
        <w:t>项目监管情况。</w:t>
      </w:r>
      <w:bookmarkEnd w:id="110"/>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keepNext w:val="0"/>
        <w:keepLines w:val="0"/>
        <w:pageBreakBefore w:val="0"/>
        <w:kinsoku/>
        <w:wordWrap/>
        <w:overflowPunct/>
        <w:topLinePunct w:val="0"/>
        <w:autoSpaceDE/>
        <w:autoSpaceDN/>
        <w:bidi w:val="0"/>
        <w:adjustRightInd w:val="0"/>
        <w:snapToGrid w:val="0"/>
        <w:spacing w:line="560" w:lineRule="exact"/>
        <w:ind w:firstLine="720"/>
        <w:outlineLvl w:val="1"/>
        <w:rPr>
          <w:rFonts w:ascii="仿宋_GB2312" w:hAnsi="宋体" w:eastAsia="仿宋_GB2312"/>
          <w:color w:val="000000" w:themeColor="text1"/>
          <w:sz w:val="32"/>
          <w:szCs w:val="32"/>
          <w:lang w:val="zh-CN"/>
          <w14:textFill>
            <w14:solidFill>
              <w14:schemeClr w14:val="tx1"/>
            </w14:solidFill>
          </w14:textFill>
        </w:rPr>
      </w:pPr>
      <w:bookmarkStart w:id="111" w:name="_Toc6950"/>
      <w:bookmarkStart w:id="112" w:name="_Toc6548"/>
      <w:r>
        <w:rPr>
          <w:rFonts w:hint="eastAsia" w:ascii="黑体" w:hAnsi="宋体" w:eastAsia="黑体"/>
          <w:color w:val="000000" w:themeColor="text1"/>
          <w:sz w:val="32"/>
          <w:szCs w:val="32"/>
          <w14:textFill>
            <w14:solidFill>
              <w14:schemeClr w14:val="tx1"/>
            </w14:solidFill>
          </w14:textFill>
        </w:rPr>
        <w:t>四、项目绩效情况</w:t>
      </w:r>
      <w:bookmarkEnd w:id="111"/>
      <w:bookmarkEnd w:id="112"/>
      <w:r>
        <w:rPr>
          <w:rFonts w:hint="eastAsia" w:ascii="仿宋_GB2312" w:hAnsi="宋体" w:eastAsia="仿宋_GB2312"/>
          <w:color w:val="000000" w:themeColor="text1"/>
          <w:sz w:val="32"/>
          <w:szCs w:val="32"/>
          <w:lang w:val="zh-CN"/>
          <w14:textFill>
            <w14:solidFill>
              <w14:schemeClr w14:val="tx1"/>
            </w14:solidFill>
          </w14:textFill>
        </w:rPr>
        <w:tab/>
      </w:r>
    </w:p>
    <w:p>
      <w:pPr>
        <w:keepNext w:val="0"/>
        <w:keepLines w:val="0"/>
        <w:pageBreakBefore w:val="0"/>
        <w:kinsoku/>
        <w:wordWrap/>
        <w:overflowPunct/>
        <w:topLinePunct w:val="0"/>
        <w:autoSpaceDE/>
        <w:autoSpaceDN/>
        <w:bidi w:val="0"/>
        <w:adjustRightInd w:val="0"/>
        <w:snapToGrid w:val="0"/>
        <w:spacing w:line="560" w:lineRule="exact"/>
        <w:ind w:firstLine="720"/>
        <w:outlineLvl w:val="2"/>
        <w:rPr>
          <w:rFonts w:ascii="楷体_GB2312" w:hAnsi="宋体" w:eastAsia="楷体_GB2312"/>
          <w:b/>
          <w:color w:val="000000" w:themeColor="text1"/>
          <w:sz w:val="32"/>
          <w:szCs w:val="32"/>
          <w:lang w:val="zh-CN"/>
          <w14:textFill>
            <w14:solidFill>
              <w14:schemeClr w14:val="tx1"/>
            </w14:solidFill>
          </w14:textFill>
        </w:rPr>
      </w:pPr>
      <w:bookmarkStart w:id="113" w:name="_Toc15131"/>
      <w:r>
        <w:rPr>
          <w:rFonts w:hint="eastAsia" w:ascii="楷体_GB2312" w:hAnsi="宋体" w:eastAsia="楷体_GB2312"/>
          <w:b/>
          <w:color w:val="000000" w:themeColor="text1"/>
          <w:sz w:val="32"/>
          <w:szCs w:val="32"/>
          <w:lang w:val="zh-CN"/>
          <w14:textFill>
            <w14:solidFill>
              <w14:schemeClr w14:val="tx1"/>
            </w14:solidFill>
          </w14:textFill>
        </w:rPr>
        <w:t>（一）项目完成情况。</w:t>
      </w:r>
      <w:bookmarkEnd w:id="113"/>
    </w:p>
    <w:p>
      <w:pPr>
        <w:keepNext w:val="0"/>
        <w:keepLines w:val="0"/>
        <w:pageBreakBefore w:val="0"/>
        <w:kinsoku/>
        <w:wordWrap/>
        <w:overflowPunct/>
        <w:topLinePunct w:val="0"/>
        <w:autoSpaceDE/>
        <w:autoSpaceDN/>
        <w:bidi w:val="0"/>
        <w:adjustRightInd w:val="0"/>
        <w:snapToGrid w:val="0"/>
        <w:spacing w:line="560" w:lineRule="exact"/>
        <w:ind w:firstLine="720"/>
        <w:rPr>
          <w:rFonts w:hint="eastAsia" w:ascii="仿宋_GB2312" w:hAnsi="宋体" w:eastAsia="仿宋_GB2312"/>
          <w:sz w:val="32"/>
          <w:szCs w:val="32"/>
          <w:lang w:eastAsia="zh-CN"/>
        </w:rPr>
      </w:pPr>
      <w:r>
        <w:rPr>
          <w:rFonts w:hint="eastAsia" w:ascii="仿宋_GB2312" w:hAnsi="仿宋_GB2312" w:eastAsia="仿宋_GB2312" w:cs="仿宋_GB2312"/>
          <w:sz w:val="32"/>
          <w:szCs w:val="32"/>
          <w:lang w:val="en-US" w:eastAsia="zh-CN"/>
        </w:rPr>
        <w:t>为我县49处山洪危险区的监测责任人按照3600/年的标准，落实监测经费</w:t>
      </w:r>
      <w:r>
        <w:rPr>
          <w:rFonts w:hint="eastAsia" w:ascii="仿宋" w:hAnsi="仿宋" w:eastAsia="仿宋" w:cs="仿宋"/>
          <w:color w:val="000000"/>
          <w:sz w:val="32"/>
          <w:szCs w:val="32"/>
          <w:lang w:val="en-US" w:eastAsia="zh-CN"/>
        </w:rPr>
        <w:t>。服务对象满意度≥95%；验收合格率≥100%。</w:t>
      </w:r>
      <w:r>
        <w:rPr>
          <w:rFonts w:hint="eastAsia" w:ascii="仿宋_GB2312" w:hAnsi="宋体" w:eastAsia="仿宋_GB2312"/>
          <w:sz w:val="32"/>
          <w:szCs w:val="32"/>
          <w:lang w:eastAsia="zh-CN"/>
        </w:rPr>
        <w:t>绩效目标和绩效指标量化可考核，与部门的长期规划目标、年度工作目标相一致。</w:t>
      </w:r>
    </w:p>
    <w:p>
      <w:pPr>
        <w:keepNext w:val="0"/>
        <w:keepLines w:val="0"/>
        <w:pageBreakBefore w:val="0"/>
        <w:kinsoku/>
        <w:wordWrap/>
        <w:overflowPunct/>
        <w:topLinePunct w:val="0"/>
        <w:autoSpaceDE/>
        <w:autoSpaceDN/>
        <w:bidi w:val="0"/>
        <w:adjustRightInd w:val="0"/>
        <w:snapToGrid w:val="0"/>
        <w:spacing w:line="560" w:lineRule="exact"/>
        <w:ind w:firstLine="720"/>
        <w:outlineLvl w:val="2"/>
        <w:rPr>
          <w:rFonts w:ascii="楷体_GB2312" w:hAnsi="宋体" w:eastAsia="楷体_GB2312"/>
          <w:b/>
          <w:color w:val="000000" w:themeColor="text1"/>
          <w:sz w:val="32"/>
          <w:szCs w:val="32"/>
          <w:lang w:val="zh-CN"/>
          <w14:textFill>
            <w14:solidFill>
              <w14:schemeClr w14:val="tx1"/>
            </w14:solidFill>
          </w14:textFill>
        </w:rPr>
      </w:pPr>
      <w:bookmarkStart w:id="114" w:name="_Toc21119"/>
      <w:r>
        <w:rPr>
          <w:rFonts w:hint="eastAsia" w:ascii="楷体_GB2312" w:hAnsi="宋体" w:eastAsia="楷体_GB2312"/>
          <w:b/>
          <w:color w:val="000000" w:themeColor="text1"/>
          <w:sz w:val="32"/>
          <w:szCs w:val="32"/>
          <w:lang w:val="zh-CN"/>
          <w14:textFill>
            <w14:solidFill>
              <w14:schemeClr w14:val="tx1"/>
            </w14:solidFill>
          </w14:textFill>
        </w:rPr>
        <w:t>（二）项目效益情况。</w:t>
      </w:r>
      <w:bookmarkEnd w:id="114"/>
    </w:p>
    <w:p>
      <w:pPr>
        <w:keepNext w:val="0"/>
        <w:keepLines w:val="0"/>
        <w:pageBreakBefore w:val="0"/>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lang w:val="en-US" w:eastAsia="zh-CN"/>
        </w:rPr>
      </w:pPr>
      <w:bookmarkStart w:id="115" w:name="_Toc30806"/>
      <w:r>
        <w:rPr>
          <w:rFonts w:hint="eastAsia" w:ascii="仿宋_GB2312" w:hAnsi="宋体" w:eastAsia="仿宋_GB2312"/>
          <w:sz w:val="32"/>
          <w:szCs w:val="32"/>
          <w:lang w:val="en-US" w:eastAsia="zh-CN"/>
        </w:rPr>
        <w:t>经费的落实有助对49处山洪灾害危险区的监测提供经费保障，提高监测人员积极性，确保人民群众生命财产安全。</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eastAsia="zh-CN"/>
        </w:rPr>
        <w:t>有进一步实施的必要，</w:t>
      </w:r>
      <w:r>
        <w:rPr>
          <w:rFonts w:hint="eastAsia" w:ascii="仿宋_GB2312" w:hAnsi="宋体" w:eastAsia="仿宋_GB2312"/>
          <w:sz w:val="32"/>
          <w:szCs w:val="32"/>
          <w:lang w:val="en-US" w:eastAsia="zh-CN"/>
        </w:rPr>
        <w:t>在</w:t>
      </w:r>
      <w:r>
        <w:rPr>
          <w:rFonts w:hint="eastAsia" w:ascii="仿宋_GB2312" w:hAnsi="宋体" w:eastAsia="仿宋_GB2312"/>
          <w:sz w:val="32"/>
          <w:szCs w:val="32"/>
          <w:lang w:eastAsia="zh-CN"/>
        </w:rPr>
        <w:t>财力支持、组织管理机构、运行机制和预期产出及效果四个方面</w:t>
      </w:r>
      <w:r>
        <w:rPr>
          <w:rFonts w:hint="eastAsia" w:ascii="仿宋_GB2312" w:hAnsi="宋体" w:eastAsia="仿宋_GB2312"/>
          <w:sz w:val="32"/>
          <w:szCs w:val="32"/>
          <w:lang w:val="en-US" w:eastAsia="zh-CN"/>
        </w:rPr>
        <w:t>具有</w:t>
      </w:r>
      <w:r>
        <w:rPr>
          <w:rFonts w:hint="eastAsia" w:ascii="仿宋_GB2312" w:hAnsi="宋体" w:eastAsia="仿宋_GB2312"/>
          <w:sz w:val="32"/>
          <w:szCs w:val="32"/>
          <w:lang w:eastAsia="zh-CN"/>
        </w:rPr>
        <w:t>可持续</w:t>
      </w:r>
      <w:r>
        <w:rPr>
          <w:rFonts w:hint="eastAsia" w:ascii="仿宋_GB2312" w:hAnsi="宋体" w:eastAsia="仿宋_GB2312"/>
          <w:sz w:val="32"/>
          <w:szCs w:val="32"/>
          <w:lang w:val="en-US" w:eastAsia="zh-CN"/>
        </w:rPr>
        <w:t>性，红原县2022年山洪危险区监测补助项目不仅具有显著的综合效益，而且具有巨大的社会效益。对于落实山洪灾害危险区监测具有积极作用，具有重大的意义。</w:t>
      </w:r>
    </w:p>
    <w:p>
      <w:pPr>
        <w:pStyle w:val="2"/>
        <w:keepNext w:val="0"/>
        <w:keepLines w:val="0"/>
        <w:pageBreakBefore w:val="0"/>
        <w:kinsoku/>
        <w:wordWrap/>
        <w:overflowPunct/>
        <w:topLinePunct w:val="0"/>
        <w:autoSpaceDE/>
        <w:autoSpaceDN/>
        <w:bidi w:val="0"/>
        <w:spacing w:line="560" w:lineRule="exact"/>
        <w:rPr>
          <w:rFonts w:hint="eastAsia"/>
          <w:lang w:val="en-US" w:eastAsia="zh-CN"/>
        </w:rPr>
      </w:pPr>
    </w:p>
    <w:p>
      <w:pPr>
        <w:keepNext w:val="0"/>
        <w:keepLines w:val="0"/>
        <w:pageBreakBefore w:val="0"/>
        <w:kinsoku/>
        <w:wordWrap/>
        <w:overflowPunct/>
        <w:topLinePunct w:val="0"/>
        <w:autoSpaceDE/>
        <w:autoSpaceDN/>
        <w:bidi w:val="0"/>
        <w:adjustRightInd w:val="0"/>
        <w:snapToGrid w:val="0"/>
        <w:spacing w:line="560" w:lineRule="exact"/>
        <w:ind w:firstLine="720"/>
        <w:outlineLvl w:val="1"/>
        <w:rPr>
          <w:rFonts w:ascii="黑体" w:hAnsi="宋体" w:eastAsia="黑体"/>
          <w:color w:val="000000" w:themeColor="text1"/>
          <w:sz w:val="32"/>
          <w:szCs w:val="32"/>
          <w14:textFill>
            <w14:solidFill>
              <w14:schemeClr w14:val="tx1"/>
            </w14:solidFill>
          </w14:textFill>
        </w:rPr>
      </w:pPr>
      <w:bookmarkStart w:id="116" w:name="_Toc20824"/>
      <w:r>
        <w:rPr>
          <w:rFonts w:hint="eastAsia" w:ascii="黑体" w:hAnsi="宋体" w:eastAsia="黑体"/>
          <w:color w:val="000000" w:themeColor="text1"/>
          <w:sz w:val="32"/>
          <w:szCs w:val="32"/>
          <w14:textFill>
            <w14:solidFill>
              <w14:schemeClr w14:val="tx1"/>
            </w14:solidFill>
          </w14:textFill>
        </w:rPr>
        <w:t>五、评价结论及建议</w:t>
      </w:r>
      <w:bookmarkEnd w:id="115"/>
      <w:bookmarkEnd w:id="116"/>
    </w:p>
    <w:p>
      <w:pPr>
        <w:keepNext w:val="0"/>
        <w:keepLines w:val="0"/>
        <w:pageBreakBefore w:val="0"/>
        <w:kinsoku/>
        <w:wordWrap/>
        <w:overflowPunct/>
        <w:topLinePunct w:val="0"/>
        <w:autoSpaceDE/>
        <w:autoSpaceDN/>
        <w:bidi w:val="0"/>
        <w:adjustRightInd w:val="0"/>
        <w:snapToGrid w:val="0"/>
        <w:spacing w:line="560" w:lineRule="exact"/>
        <w:ind w:firstLine="720"/>
        <w:outlineLvl w:val="2"/>
        <w:rPr>
          <w:rFonts w:ascii="楷体_GB2312" w:hAnsi="宋体" w:eastAsia="楷体_GB2312"/>
          <w:b/>
          <w:color w:val="000000" w:themeColor="text1"/>
          <w:sz w:val="32"/>
          <w:szCs w:val="32"/>
          <w:lang w:val="zh-CN"/>
          <w14:textFill>
            <w14:solidFill>
              <w14:schemeClr w14:val="tx1"/>
            </w14:solidFill>
          </w14:textFill>
        </w:rPr>
      </w:pPr>
      <w:bookmarkStart w:id="117" w:name="_Toc6898"/>
      <w:r>
        <w:rPr>
          <w:rFonts w:hint="eastAsia" w:ascii="楷体_GB2312" w:hAnsi="宋体" w:eastAsia="楷体_GB2312"/>
          <w:b/>
          <w:color w:val="000000" w:themeColor="text1"/>
          <w:sz w:val="32"/>
          <w:szCs w:val="32"/>
          <w:lang w:val="zh-CN"/>
          <w14:textFill>
            <w14:solidFill>
              <w14:schemeClr w14:val="tx1"/>
            </w14:solidFill>
          </w14:textFill>
        </w:rPr>
        <w:t>（一）评价结论</w:t>
      </w:r>
      <w:bookmarkEnd w:id="117"/>
    </w:p>
    <w:p>
      <w:pPr>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评</w:t>
      </w:r>
      <w:r>
        <w:rPr>
          <w:rFonts w:hint="eastAsia" w:ascii="仿宋_GB2312" w:hAnsi="仿宋_GB2312" w:eastAsia="仿宋_GB2312" w:cs="仿宋_GB2312"/>
          <w:bCs/>
          <w:sz w:val="32"/>
          <w:szCs w:val="32"/>
          <w:lang w:eastAsia="zh-CN"/>
        </w:rPr>
        <w:t>估总</w:t>
      </w:r>
      <w:r>
        <w:rPr>
          <w:rFonts w:hint="eastAsia" w:ascii="仿宋_GB2312" w:hAnsi="仿宋_GB2312" w:eastAsia="仿宋_GB2312" w:cs="仿宋_GB2312"/>
          <w:bCs/>
          <w:sz w:val="32"/>
          <w:szCs w:val="32"/>
        </w:rPr>
        <w:t>得分</w:t>
      </w:r>
      <w:r>
        <w:rPr>
          <w:rFonts w:hint="eastAsia" w:ascii="仿宋_GB2312" w:hAnsi="仿宋_GB2312" w:eastAsia="仿宋_GB2312" w:cs="仿宋_GB2312"/>
          <w:bCs/>
          <w:sz w:val="32"/>
          <w:szCs w:val="32"/>
          <w:lang w:val="en-US" w:eastAsia="zh-CN"/>
        </w:rPr>
        <w:t>大于85分</w:t>
      </w:r>
      <w:r>
        <w:rPr>
          <w:rFonts w:hint="eastAsia" w:ascii="仿宋_GB2312" w:hAnsi="仿宋_GB2312" w:eastAsia="仿宋_GB2312" w:cs="仿宋_GB2312"/>
          <w:bCs/>
          <w:sz w:val="32"/>
          <w:szCs w:val="32"/>
          <w:lang w:eastAsia="zh-CN"/>
        </w:rPr>
        <w:t>、评估等级</w:t>
      </w:r>
      <w:r>
        <w:rPr>
          <w:rFonts w:hint="eastAsia" w:ascii="仿宋_GB2312" w:hAnsi="仿宋_GB2312" w:eastAsia="仿宋_GB2312" w:cs="仿宋_GB2312"/>
          <w:bCs/>
          <w:sz w:val="32"/>
          <w:szCs w:val="32"/>
          <w:lang w:val="en-US" w:eastAsia="zh-CN"/>
        </w:rPr>
        <w:t>为好、预期产出和效果能满足需求、经过广泛的民意调查讨论分析论证，</w:t>
      </w:r>
      <w:r>
        <w:rPr>
          <w:rFonts w:hint="eastAsia" w:ascii="仿宋_GB2312" w:hAnsi="宋体" w:eastAsia="仿宋_GB2312"/>
          <w:sz w:val="32"/>
          <w:szCs w:val="32"/>
          <w:lang w:val="en-US" w:eastAsia="zh-CN"/>
        </w:rPr>
        <w:t>红原县2022年山洪危险区监测补助项目</w:t>
      </w:r>
      <w:r>
        <w:rPr>
          <w:rFonts w:hint="eastAsia" w:ascii="仿宋_GB2312" w:hAnsi="仿宋_GB2312" w:eastAsia="仿宋_GB2312" w:cs="仿宋_GB2312"/>
          <w:bCs/>
          <w:sz w:val="32"/>
          <w:szCs w:val="32"/>
          <w:lang w:val="en-US" w:eastAsia="zh-CN"/>
        </w:rPr>
        <w:t>建设征地补偿和移民安置工作可能引起的社会稳定风险等级为“低”，评估结论为“可以实施”。</w:t>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118" w:name="_Toc27684"/>
      <w:r>
        <w:rPr>
          <w:rFonts w:hint="eastAsia" w:ascii="楷体_GB2312" w:hAnsi="宋体" w:eastAsia="楷体_GB2312"/>
          <w:b/>
          <w:color w:val="000000" w:themeColor="text1"/>
          <w:sz w:val="32"/>
          <w:szCs w:val="32"/>
          <w:lang w:val="zh-CN"/>
          <w14:textFill>
            <w14:solidFill>
              <w14:schemeClr w14:val="tx1"/>
            </w14:solidFill>
          </w14:textFill>
        </w:rPr>
        <w:t>（</w:t>
      </w:r>
      <w:r>
        <w:rPr>
          <w:rFonts w:hint="eastAsia" w:ascii="楷体_GB2312" w:hAnsi="宋体" w:eastAsia="楷体_GB2312"/>
          <w:b/>
          <w:color w:val="000000" w:themeColor="text1"/>
          <w:sz w:val="32"/>
          <w:szCs w:val="32"/>
          <w:lang w:val="en-US" w:eastAsia="zh-CN"/>
          <w14:textFill>
            <w14:solidFill>
              <w14:schemeClr w14:val="tx1"/>
            </w14:solidFill>
          </w14:textFill>
        </w:rPr>
        <w:t>二</w:t>
      </w:r>
      <w:r>
        <w:rPr>
          <w:rFonts w:hint="eastAsia" w:ascii="楷体_GB2312" w:hAnsi="宋体" w:eastAsia="楷体_GB2312"/>
          <w:b/>
          <w:color w:val="000000" w:themeColor="text1"/>
          <w:sz w:val="32"/>
          <w:szCs w:val="32"/>
          <w:lang w:val="zh-CN"/>
          <w14:textFill>
            <w14:solidFill>
              <w14:schemeClr w14:val="tx1"/>
            </w14:solidFill>
          </w14:textFill>
        </w:rPr>
        <w:t>）存在的问题</w:t>
      </w:r>
      <w:bookmarkEnd w:id="118"/>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无</w:t>
      </w:r>
      <w:r>
        <w:rPr>
          <w:rFonts w:hint="eastAsia" w:ascii="仿宋_GB2312" w:hAnsi="宋体" w:eastAsia="仿宋_GB2312"/>
          <w:color w:val="000000" w:themeColor="text1"/>
          <w:sz w:val="32"/>
          <w:szCs w:val="32"/>
          <w:lang w:val="zh-CN"/>
          <w14:textFill>
            <w14:solidFill>
              <w14:schemeClr w14:val="tx1"/>
            </w14:solidFill>
          </w14:textFill>
        </w:rPr>
        <w:tab/>
      </w:r>
    </w:p>
    <w:p>
      <w:pPr>
        <w:keepNext w:val="0"/>
        <w:keepLines w:val="0"/>
        <w:pageBreakBefore w:val="0"/>
        <w:numPr>
          <w:ilvl w:val="0"/>
          <w:numId w:val="0"/>
        </w:numPr>
        <w:kinsoku/>
        <w:wordWrap/>
        <w:overflowPunct/>
        <w:topLinePunct w:val="0"/>
        <w:autoSpaceDE/>
        <w:autoSpaceDN/>
        <w:bidi w:val="0"/>
        <w:adjustRightInd w:val="0"/>
        <w:snapToGrid w:val="0"/>
        <w:spacing w:line="560" w:lineRule="exact"/>
        <w:ind w:firstLine="643" w:firstLineChars="200"/>
        <w:outlineLvl w:val="2"/>
        <w:rPr>
          <w:rFonts w:hint="eastAsia" w:ascii="楷体_GB2312" w:hAnsi="宋体" w:eastAsia="楷体_GB2312"/>
          <w:b/>
          <w:color w:val="000000" w:themeColor="text1"/>
          <w:sz w:val="32"/>
          <w:szCs w:val="32"/>
          <w:lang w:val="zh-CN"/>
          <w14:textFill>
            <w14:solidFill>
              <w14:schemeClr w14:val="tx1"/>
            </w14:solidFill>
          </w14:textFill>
        </w:rPr>
      </w:pPr>
      <w:bookmarkStart w:id="119" w:name="_Toc11581"/>
      <w:r>
        <w:rPr>
          <w:rFonts w:hint="eastAsia" w:ascii="楷体_GB2312" w:hAnsi="宋体" w:eastAsia="楷体_GB2312"/>
          <w:b/>
          <w:color w:val="000000" w:themeColor="text1"/>
          <w:sz w:val="32"/>
          <w:szCs w:val="32"/>
          <w:lang w:val="zh-CN"/>
          <w14:textFill>
            <w14:solidFill>
              <w14:schemeClr w14:val="tx1"/>
            </w14:solidFill>
          </w14:textFill>
        </w:rPr>
        <w:t>（</w:t>
      </w:r>
      <w:r>
        <w:rPr>
          <w:rFonts w:hint="eastAsia" w:ascii="楷体_GB2312" w:hAnsi="宋体" w:eastAsia="楷体_GB2312"/>
          <w:b/>
          <w:color w:val="000000" w:themeColor="text1"/>
          <w:sz w:val="32"/>
          <w:szCs w:val="32"/>
          <w:lang w:val="en-US" w:eastAsia="zh-CN"/>
          <w14:textFill>
            <w14:solidFill>
              <w14:schemeClr w14:val="tx1"/>
            </w14:solidFill>
          </w14:textFill>
        </w:rPr>
        <w:t>三</w:t>
      </w:r>
      <w:r>
        <w:rPr>
          <w:rFonts w:hint="eastAsia" w:ascii="楷体_GB2312" w:hAnsi="宋体" w:eastAsia="楷体_GB2312"/>
          <w:b/>
          <w:color w:val="000000" w:themeColor="text1"/>
          <w:sz w:val="32"/>
          <w:szCs w:val="32"/>
          <w:lang w:val="zh-CN"/>
          <w14:textFill>
            <w14:solidFill>
              <w14:schemeClr w14:val="tx1"/>
            </w14:solidFill>
          </w14:textFill>
        </w:rPr>
        <w:t>）相关建议</w:t>
      </w:r>
      <w:bookmarkEnd w:id="119"/>
    </w:p>
    <w:p>
      <w:pPr>
        <w:pStyle w:val="2"/>
        <w:keepNext w:val="0"/>
        <w:keepLines w:val="0"/>
        <w:pageBreakBefore w:val="0"/>
        <w:numPr>
          <w:ilvl w:val="0"/>
          <w:numId w:val="0"/>
        </w:numPr>
        <w:kinsoku/>
        <w:wordWrap/>
        <w:overflowPunct/>
        <w:topLinePunct w:val="0"/>
        <w:autoSpaceDE/>
        <w:autoSpaceDN/>
        <w:bidi w:val="0"/>
        <w:spacing w:line="560" w:lineRule="exact"/>
        <w:ind w:leftChars="100" w:firstLine="640" w:firstLineChars="200"/>
        <w:rPr>
          <w:rFonts w:hint="eastAsia" w:eastAsia="宋体"/>
          <w:lang w:val="en-US" w:eastAsia="zh-CN"/>
        </w:rPr>
      </w:pPr>
      <w:r>
        <w:rPr>
          <w:rFonts w:hint="eastAsia" w:ascii="仿宋_GB2312" w:hAnsi="仿宋_GB2312" w:eastAsia="仿宋_GB2312" w:cs="仿宋_GB2312"/>
          <w:sz w:val="32"/>
          <w:szCs w:val="32"/>
          <w:lang w:val="en-US" w:eastAsia="zh-CN"/>
        </w:rPr>
        <w:t>无</w:t>
      </w:r>
    </w:p>
    <w:p>
      <w:pPr>
        <w:keepNext w:val="0"/>
        <w:keepLines w:val="0"/>
        <w:pageBreakBefore w:val="0"/>
        <w:kinsoku/>
        <w:wordWrap/>
        <w:overflowPunct/>
        <w:topLinePunct w:val="0"/>
        <w:autoSpaceDE/>
        <w:autoSpaceDN/>
        <w:bidi w:val="0"/>
        <w:spacing w:line="560" w:lineRule="exact"/>
        <w:rPr>
          <w:rStyle w:val="21"/>
          <w:rFonts w:ascii="黑体" w:eastAsia="黑体"/>
          <w:b w:val="0"/>
        </w:rPr>
      </w:pPr>
    </w:p>
    <w:p>
      <w:pPr>
        <w:keepNext w:val="0"/>
        <w:keepLines w:val="0"/>
        <w:pageBreakBefore w:val="0"/>
        <w:widowControl/>
        <w:kinsoku/>
        <w:wordWrap/>
        <w:overflowPunct/>
        <w:topLinePunct w:val="0"/>
        <w:autoSpaceDE/>
        <w:autoSpaceDN/>
        <w:bidi w:val="0"/>
        <w:spacing w:line="560" w:lineRule="exact"/>
        <w:jc w:val="left"/>
        <w:rPr>
          <w:rStyle w:val="21"/>
          <w:rFonts w:ascii="黑体" w:eastAsia="黑体"/>
          <w:b w:val="0"/>
        </w:rPr>
      </w:pPr>
      <w:r>
        <w:rPr>
          <w:rStyle w:val="21"/>
          <w:rFonts w:ascii="黑体" w:eastAsia="黑体"/>
          <w:b w:val="0"/>
        </w:rPr>
        <w:br w:type="page"/>
      </w:r>
    </w:p>
    <w:p>
      <w:pPr>
        <w:spacing w:line="600" w:lineRule="exact"/>
        <w:jc w:val="center"/>
        <w:outlineLvl w:val="0"/>
        <w:rPr>
          <w:rFonts w:ascii="仿宋" w:eastAsia="仿宋"/>
        </w:rPr>
      </w:pPr>
      <w:bookmarkStart w:id="120" w:name="_Toc20435"/>
      <w:bookmarkStart w:id="121" w:name="_Toc15396618"/>
      <w:r>
        <w:rPr>
          <w:rFonts w:hint="eastAsia" w:ascii="黑体" w:eastAsia="黑体"/>
          <w:sz w:val="44"/>
          <w:szCs w:val="44"/>
        </w:rPr>
        <w:t>第</w:t>
      </w:r>
      <w:r>
        <w:rPr>
          <w:rStyle w:val="21"/>
          <w:rFonts w:hint="eastAsia" w:ascii="黑体" w:eastAsia="黑体"/>
          <w:b w:val="0"/>
        </w:rPr>
        <w:t>五部分 附表</w:t>
      </w:r>
      <w:bookmarkEnd w:id="84"/>
      <w:bookmarkEnd w:id="120"/>
      <w:bookmarkEnd w:id="121"/>
      <w:bookmarkStart w:id="122" w:name="_Toc15396619"/>
    </w:p>
    <w:p>
      <w:pPr>
        <w:bidi w:val="0"/>
        <w:ind w:firstLine="640" w:firstLineChars="200"/>
        <w:rPr>
          <w:rFonts w:hint="eastAsia" w:ascii="仿宋_GB2312" w:hAnsi="仿宋_GB2312" w:eastAsia="仿宋_GB2312" w:cs="仿宋_GB2312"/>
          <w:sz w:val="32"/>
          <w:szCs w:val="32"/>
        </w:rPr>
      </w:pPr>
      <w:bookmarkStart w:id="123" w:name="_Toc27299"/>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一、收入支出决算总表</w:t>
      </w:r>
      <w:bookmarkEnd w:id="122"/>
      <w:bookmarkEnd w:id="123"/>
    </w:p>
    <w:p>
      <w:pPr>
        <w:bidi w:val="0"/>
        <w:ind w:firstLine="640" w:firstLineChars="200"/>
        <w:rPr>
          <w:rFonts w:hint="eastAsia" w:ascii="仿宋_GB2312" w:hAnsi="仿宋_GB2312" w:eastAsia="仿宋_GB2312" w:cs="仿宋_GB2312"/>
          <w:sz w:val="32"/>
          <w:szCs w:val="32"/>
        </w:rPr>
      </w:pPr>
      <w:bookmarkStart w:id="124" w:name="_Toc15396620"/>
      <w:bookmarkStart w:id="125" w:name="_Toc13804"/>
      <w:r>
        <w:rPr>
          <w:rFonts w:hint="eastAsia" w:ascii="仿宋_GB2312" w:hAnsi="仿宋_GB2312" w:eastAsia="仿宋_GB2312" w:cs="仿宋_GB2312"/>
          <w:sz w:val="32"/>
          <w:szCs w:val="32"/>
        </w:rPr>
        <w:t>二、收入决算表</w:t>
      </w:r>
      <w:bookmarkEnd w:id="124"/>
      <w:bookmarkEnd w:id="125"/>
    </w:p>
    <w:p>
      <w:pPr>
        <w:bidi w:val="0"/>
        <w:ind w:firstLine="640" w:firstLineChars="200"/>
        <w:rPr>
          <w:rFonts w:hint="eastAsia" w:ascii="仿宋_GB2312" w:hAnsi="仿宋_GB2312" w:eastAsia="仿宋_GB2312" w:cs="仿宋_GB2312"/>
          <w:sz w:val="32"/>
          <w:szCs w:val="32"/>
        </w:rPr>
      </w:pPr>
      <w:bookmarkStart w:id="126" w:name="_Toc15396621"/>
      <w:bookmarkStart w:id="127" w:name="_Toc22165"/>
      <w:r>
        <w:rPr>
          <w:rFonts w:hint="eastAsia" w:ascii="仿宋_GB2312" w:hAnsi="仿宋_GB2312" w:eastAsia="仿宋_GB2312" w:cs="仿宋_GB2312"/>
          <w:sz w:val="32"/>
          <w:szCs w:val="32"/>
        </w:rPr>
        <w:t>三、支出决算表</w:t>
      </w:r>
      <w:bookmarkEnd w:id="126"/>
      <w:bookmarkEnd w:id="127"/>
    </w:p>
    <w:p>
      <w:pPr>
        <w:bidi w:val="0"/>
        <w:ind w:firstLine="640" w:firstLineChars="200"/>
        <w:rPr>
          <w:rFonts w:hint="eastAsia" w:ascii="仿宋_GB2312" w:hAnsi="仿宋_GB2312" w:eastAsia="仿宋_GB2312" w:cs="仿宋_GB2312"/>
          <w:sz w:val="32"/>
          <w:szCs w:val="32"/>
        </w:rPr>
      </w:pPr>
      <w:bookmarkStart w:id="128" w:name="_Toc15396622"/>
      <w:bookmarkStart w:id="129" w:name="_Toc11263"/>
      <w:r>
        <w:rPr>
          <w:rFonts w:hint="eastAsia" w:ascii="仿宋_GB2312" w:hAnsi="仿宋_GB2312" w:eastAsia="仿宋_GB2312" w:cs="仿宋_GB2312"/>
          <w:sz w:val="32"/>
          <w:szCs w:val="32"/>
        </w:rPr>
        <w:t>四、财政拨款收入支出决算总表</w:t>
      </w:r>
      <w:bookmarkEnd w:id="128"/>
      <w:bookmarkEnd w:id="129"/>
    </w:p>
    <w:p>
      <w:pPr>
        <w:bidi w:val="0"/>
        <w:ind w:firstLine="640" w:firstLineChars="200"/>
        <w:rPr>
          <w:rFonts w:hint="eastAsia" w:ascii="仿宋_GB2312" w:hAnsi="仿宋_GB2312" w:eastAsia="仿宋_GB2312" w:cs="仿宋_GB2312"/>
          <w:sz w:val="32"/>
          <w:szCs w:val="32"/>
        </w:rPr>
      </w:pPr>
      <w:bookmarkStart w:id="130" w:name="_Toc15396623"/>
      <w:bookmarkStart w:id="131" w:name="_Toc2236"/>
      <w:r>
        <w:rPr>
          <w:rFonts w:hint="eastAsia" w:ascii="仿宋_GB2312" w:hAnsi="仿宋_GB2312" w:eastAsia="仿宋_GB2312" w:cs="仿宋_GB2312"/>
          <w:sz w:val="32"/>
          <w:szCs w:val="32"/>
        </w:rPr>
        <w:t>五、财政拨款支出决算明细表</w:t>
      </w:r>
      <w:bookmarkEnd w:id="130"/>
      <w:bookmarkEnd w:id="131"/>
      <w:bookmarkStart w:id="132" w:name="_Toc15396624"/>
    </w:p>
    <w:p>
      <w:pPr>
        <w:bidi w:val="0"/>
        <w:ind w:firstLine="640" w:firstLineChars="200"/>
        <w:rPr>
          <w:rFonts w:hint="eastAsia" w:ascii="仿宋_GB2312" w:hAnsi="仿宋_GB2312" w:eastAsia="仿宋_GB2312" w:cs="仿宋_GB2312"/>
          <w:sz w:val="32"/>
          <w:szCs w:val="32"/>
        </w:rPr>
      </w:pPr>
      <w:bookmarkStart w:id="133" w:name="_Toc4612"/>
      <w:r>
        <w:rPr>
          <w:rFonts w:hint="eastAsia" w:ascii="仿宋_GB2312" w:hAnsi="仿宋_GB2312" w:eastAsia="仿宋_GB2312" w:cs="仿宋_GB2312"/>
          <w:sz w:val="32"/>
          <w:szCs w:val="32"/>
        </w:rPr>
        <w:t>六、一般公共预算财政拨款支出决算表</w:t>
      </w:r>
      <w:bookmarkEnd w:id="132"/>
      <w:bookmarkEnd w:id="133"/>
    </w:p>
    <w:p>
      <w:pPr>
        <w:bidi w:val="0"/>
        <w:ind w:firstLine="640" w:firstLineChars="200"/>
        <w:rPr>
          <w:rFonts w:hint="eastAsia" w:ascii="仿宋_GB2312" w:hAnsi="仿宋_GB2312" w:eastAsia="仿宋_GB2312" w:cs="仿宋_GB2312"/>
          <w:sz w:val="32"/>
          <w:szCs w:val="32"/>
        </w:rPr>
      </w:pPr>
      <w:bookmarkStart w:id="134" w:name="_Toc15396625"/>
      <w:bookmarkStart w:id="135" w:name="_Toc13406"/>
      <w:r>
        <w:rPr>
          <w:rFonts w:hint="eastAsia" w:ascii="仿宋_GB2312" w:hAnsi="仿宋_GB2312" w:eastAsia="仿宋_GB2312" w:cs="仿宋_GB2312"/>
          <w:sz w:val="32"/>
          <w:szCs w:val="32"/>
        </w:rPr>
        <w:t>七、一般公共预算财政拨款支出决算明细表</w:t>
      </w:r>
      <w:bookmarkEnd w:id="134"/>
      <w:bookmarkEnd w:id="135"/>
    </w:p>
    <w:p>
      <w:pPr>
        <w:bidi w:val="0"/>
        <w:ind w:firstLine="640" w:firstLineChars="200"/>
        <w:rPr>
          <w:rFonts w:hint="eastAsia" w:ascii="仿宋_GB2312" w:hAnsi="仿宋_GB2312" w:eastAsia="仿宋_GB2312" w:cs="仿宋_GB2312"/>
          <w:sz w:val="32"/>
          <w:szCs w:val="32"/>
        </w:rPr>
      </w:pPr>
      <w:bookmarkStart w:id="136" w:name="_Toc15396626"/>
      <w:bookmarkStart w:id="137" w:name="_Toc31916"/>
      <w:r>
        <w:rPr>
          <w:rFonts w:hint="eastAsia" w:ascii="仿宋_GB2312" w:hAnsi="仿宋_GB2312" w:eastAsia="仿宋_GB2312" w:cs="仿宋_GB2312"/>
          <w:sz w:val="32"/>
          <w:szCs w:val="32"/>
        </w:rPr>
        <w:t>八、一般公共预算财政拨款基本支出决算表</w:t>
      </w:r>
      <w:bookmarkEnd w:id="136"/>
      <w:bookmarkEnd w:id="137"/>
    </w:p>
    <w:p>
      <w:pPr>
        <w:bidi w:val="0"/>
        <w:ind w:firstLine="640" w:firstLineChars="200"/>
        <w:rPr>
          <w:rFonts w:hint="eastAsia" w:ascii="仿宋_GB2312" w:hAnsi="仿宋_GB2312" w:eastAsia="仿宋_GB2312" w:cs="仿宋_GB2312"/>
          <w:sz w:val="32"/>
          <w:szCs w:val="32"/>
        </w:rPr>
      </w:pPr>
      <w:bookmarkStart w:id="138" w:name="_Toc15396627"/>
      <w:bookmarkStart w:id="139" w:name="_Toc6114"/>
      <w:r>
        <w:rPr>
          <w:rFonts w:hint="eastAsia" w:ascii="仿宋_GB2312" w:hAnsi="仿宋_GB2312" w:eastAsia="仿宋_GB2312" w:cs="仿宋_GB2312"/>
          <w:sz w:val="32"/>
          <w:szCs w:val="32"/>
        </w:rPr>
        <w:t>九、一般公共预算财政拨款项目支出决算表</w:t>
      </w:r>
      <w:bookmarkEnd w:id="138"/>
      <w:bookmarkEnd w:id="139"/>
    </w:p>
    <w:p>
      <w:pPr>
        <w:bidi w:val="0"/>
        <w:ind w:firstLine="640" w:firstLineChars="200"/>
        <w:rPr>
          <w:rFonts w:hint="eastAsia" w:ascii="仿宋_GB2312" w:hAnsi="仿宋_GB2312" w:eastAsia="仿宋_GB2312" w:cs="仿宋_GB2312"/>
          <w:sz w:val="32"/>
          <w:szCs w:val="32"/>
        </w:rPr>
      </w:pPr>
      <w:bookmarkStart w:id="140" w:name="_Toc15396628"/>
      <w:bookmarkStart w:id="141" w:name="_Toc9041"/>
      <w:r>
        <w:rPr>
          <w:rFonts w:hint="eastAsia" w:ascii="仿宋_GB2312" w:hAnsi="仿宋_GB2312" w:eastAsia="仿宋_GB2312" w:cs="仿宋_GB2312"/>
          <w:sz w:val="32"/>
          <w:szCs w:val="32"/>
        </w:rPr>
        <w:t>十、</w:t>
      </w:r>
      <w:bookmarkEnd w:id="140"/>
      <w:r>
        <w:rPr>
          <w:rFonts w:hint="eastAsia" w:ascii="仿宋_GB2312" w:hAnsi="仿宋_GB2312" w:eastAsia="仿宋_GB2312" w:cs="仿宋_GB2312"/>
          <w:sz w:val="32"/>
          <w:szCs w:val="32"/>
        </w:rPr>
        <w:t>政府性基金预算财政拨款收入支出决算表</w:t>
      </w:r>
      <w:bookmarkEnd w:id="141"/>
    </w:p>
    <w:p>
      <w:pPr>
        <w:bidi w:val="0"/>
        <w:ind w:firstLine="640" w:firstLineChars="200"/>
        <w:rPr>
          <w:rFonts w:hint="eastAsia" w:ascii="仿宋_GB2312" w:hAnsi="仿宋_GB2312" w:eastAsia="仿宋_GB2312" w:cs="仿宋_GB2312"/>
          <w:sz w:val="32"/>
          <w:szCs w:val="32"/>
        </w:rPr>
      </w:pPr>
      <w:bookmarkStart w:id="142" w:name="_Toc15396629"/>
      <w:bookmarkStart w:id="143" w:name="_Toc32127"/>
      <w:r>
        <w:rPr>
          <w:rFonts w:hint="eastAsia" w:ascii="仿宋_GB2312" w:hAnsi="仿宋_GB2312" w:eastAsia="仿宋_GB2312" w:cs="仿宋_GB2312"/>
          <w:sz w:val="32"/>
          <w:szCs w:val="32"/>
        </w:rPr>
        <w:t>十一、</w:t>
      </w:r>
      <w:bookmarkEnd w:id="142"/>
      <w:r>
        <w:rPr>
          <w:rFonts w:hint="eastAsia" w:ascii="仿宋_GB2312" w:hAnsi="仿宋_GB2312" w:eastAsia="仿宋_GB2312" w:cs="仿宋_GB2312"/>
          <w:sz w:val="32"/>
          <w:szCs w:val="32"/>
        </w:rPr>
        <w:t>国有资本经营预算财政拨款收入支出决算表</w:t>
      </w:r>
      <w:bookmarkEnd w:id="143"/>
    </w:p>
    <w:p>
      <w:pPr>
        <w:bidi w:val="0"/>
        <w:ind w:firstLine="640" w:firstLineChars="200"/>
        <w:rPr>
          <w:rFonts w:hint="eastAsia" w:ascii="仿宋_GB2312" w:hAnsi="仿宋_GB2312" w:eastAsia="仿宋_GB2312" w:cs="仿宋_GB2312"/>
          <w:sz w:val="32"/>
          <w:szCs w:val="32"/>
        </w:rPr>
      </w:pPr>
      <w:bookmarkStart w:id="144" w:name="_Toc15396630"/>
      <w:bookmarkStart w:id="145" w:name="_Toc32369"/>
      <w:r>
        <w:rPr>
          <w:rFonts w:hint="eastAsia" w:ascii="仿宋_GB2312" w:hAnsi="仿宋_GB2312" w:eastAsia="仿宋_GB2312" w:cs="仿宋_GB2312"/>
          <w:sz w:val="32"/>
          <w:szCs w:val="32"/>
        </w:rPr>
        <w:t>十二、</w:t>
      </w:r>
      <w:bookmarkEnd w:id="144"/>
      <w:r>
        <w:rPr>
          <w:rFonts w:hint="eastAsia" w:ascii="仿宋_GB2312" w:hAnsi="仿宋_GB2312" w:eastAsia="仿宋_GB2312" w:cs="仿宋_GB2312"/>
          <w:sz w:val="32"/>
          <w:szCs w:val="32"/>
        </w:rPr>
        <w:t>国有资本经营预算财政拨款支出决算表</w:t>
      </w:r>
      <w:bookmarkEnd w:id="145"/>
    </w:p>
    <w:p>
      <w:pPr>
        <w:bidi w:val="0"/>
        <w:ind w:firstLine="640" w:firstLineChars="200"/>
        <w:rPr>
          <w:rFonts w:hint="eastAsia" w:ascii="仿宋_GB2312" w:hAnsi="仿宋_GB2312" w:eastAsia="仿宋_GB2312" w:cs="仿宋_GB2312"/>
          <w:sz w:val="32"/>
          <w:szCs w:val="32"/>
        </w:rPr>
      </w:pPr>
      <w:bookmarkStart w:id="146" w:name="_Toc15396631"/>
      <w:bookmarkStart w:id="147" w:name="_Toc32348"/>
      <w:r>
        <w:rPr>
          <w:rFonts w:hint="eastAsia" w:ascii="仿宋_GB2312" w:hAnsi="仿宋_GB2312" w:eastAsia="仿宋_GB2312" w:cs="仿宋_GB2312"/>
          <w:sz w:val="32"/>
          <w:szCs w:val="32"/>
        </w:rPr>
        <w:t>十三、</w:t>
      </w:r>
      <w:bookmarkEnd w:id="146"/>
      <w:r>
        <w:rPr>
          <w:rFonts w:hint="eastAsia" w:ascii="仿宋_GB2312" w:hAnsi="仿宋_GB2312" w:eastAsia="仿宋_GB2312" w:cs="仿宋_GB2312"/>
          <w:sz w:val="32"/>
          <w:szCs w:val="32"/>
        </w:rPr>
        <w:t>财政拨款“三公”经费支出决算表</w:t>
      </w:r>
      <w:bookmarkEnd w:id="147"/>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1616354"/>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BEF323"/>
    <w:multiLevelType w:val="singleLevel"/>
    <w:tmpl w:val="DEBEF323"/>
    <w:lvl w:ilvl="0" w:tentative="0">
      <w:start w:val="4"/>
      <w:numFmt w:val="chineseCounting"/>
      <w:suff w:val="nothing"/>
      <w:lvlText w:val="（%1）"/>
      <w:lvlJc w:val="left"/>
      <w:pPr>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2">
    <w:nsid w:val="FFF674BC"/>
    <w:multiLevelType w:val="singleLevel"/>
    <w:tmpl w:val="FFF674BC"/>
    <w:lvl w:ilvl="0" w:tentative="0">
      <w:start w:val="1"/>
      <w:numFmt w:val="chineseCounting"/>
      <w:suff w:val="nothing"/>
      <w:lvlText w:val="%1、"/>
      <w:lvlJc w:val="left"/>
      <w:pPr>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B25997A"/>
    <w:multiLevelType w:val="singleLevel"/>
    <w:tmpl w:val="6B25997A"/>
    <w:lvl w:ilvl="0" w:tentative="0">
      <w:start w:val="1"/>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mMzIxNzdmNmE1NTIxZWYwODY5MTg1YWU1NGMxMDUifQ=="/>
  </w:docVars>
  <w:rsids>
    <w:rsidRoot w:val="005346C9"/>
    <w:rsid w:val="002C1B69"/>
    <w:rsid w:val="005346C9"/>
    <w:rsid w:val="007C6D18"/>
    <w:rsid w:val="016F11F8"/>
    <w:rsid w:val="036D70E8"/>
    <w:rsid w:val="046A5A40"/>
    <w:rsid w:val="04A90E76"/>
    <w:rsid w:val="064047AA"/>
    <w:rsid w:val="07A803B2"/>
    <w:rsid w:val="0957480A"/>
    <w:rsid w:val="0AD34210"/>
    <w:rsid w:val="0B004285"/>
    <w:rsid w:val="0C7221E3"/>
    <w:rsid w:val="0D2E120D"/>
    <w:rsid w:val="0E7E5F4F"/>
    <w:rsid w:val="10E52230"/>
    <w:rsid w:val="13436A7F"/>
    <w:rsid w:val="148104C1"/>
    <w:rsid w:val="15A02574"/>
    <w:rsid w:val="16D272B6"/>
    <w:rsid w:val="180619AD"/>
    <w:rsid w:val="1A512B25"/>
    <w:rsid w:val="1C11517D"/>
    <w:rsid w:val="1E9D3E7F"/>
    <w:rsid w:val="1F042FC2"/>
    <w:rsid w:val="204C7104"/>
    <w:rsid w:val="20F05841"/>
    <w:rsid w:val="219B279C"/>
    <w:rsid w:val="226F3FC6"/>
    <w:rsid w:val="251A10BA"/>
    <w:rsid w:val="25CB2C2D"/>
    <w:rsid w:val="268E4E71"/>
    <w:rsid w:val="269E0E6A"/>
    <w:rsid w:val="26FD76AF"/>
    <w:rsid w:val="273718C5"/>
    <w:rsid w:val="27C77D4E"/>
    <w:rsid w:val="28935B81"/>
    <w:rsid w:val="299F78B6"/>
    <w:rsid w:val="29AD598E"/>
    <w:rsid w:val="2AB81091"/>
    <w:rsid w:val="2BA80E93"/>
    <w:rsid w:val="2EA9088F"/>
    <w:rsid w:val="2F36490C"/>
    <w:rsid w:val="2FA15A0A"/>
    <w:rsid w:val="325E1C4F"/>
    <w:rsid w:val="3352232E"/>
    <w:rsid w:val="345E2ECC"/>
    <w:rsid w:val="34B42EEF"/>
    <w:rsid w:val="35445F1A"/>
    <w:rsid w:val="358832DD"/>
    <w:rsid w:val="35E43AE9"/>
    <w:rsid w:val="365722B8"/>
    <w:rsid w:val="39315BD9"/>
    <w:rsid w:val="3C1B6ADE"/>
    <w:rsid w:val="3CE55188"/>
    <w:rsid w:val="3D0C0967"/>
    <w:rsid w:val="3E1968AC"/>
    <w:rsid w:val="3F170A05"/>
    <w:rsid w:val="3F8400B0"/>
    <w:rsid w:val="40F17229"/>
    <w:rsid w:val="43B54D0B"/>
    <w:rsid w:val="447B6BEC"/>
    <w:rsid w:val="44941C1E"/>
    <w:rsid w:val="454407C6"/>
    <w:rsid w:val="46162856"/>
    <w:rsid w:val="470842DE"/>
    <w:rsid w:val="483302E8"/>
    <w:rsid w:val="4AB66F59"/>
    <w:rsid w:val="4AE10386"/>
    <w:rsid w:val="4C6F06C1"/>
    <w:rsid w:val="4D2259C1"/>
    <w:rsid w:val="4DD61249"/>
    <w:rsid w:val="4F2217B6"/>
    <w:rsid w:val="502B6EFE"/>
    <w:rsid w:val="50F64DCF"/>
    <w:rsid w:val="51956D25"/>
    <w:rsid w:val="521B67AA"/>
    <w:rsid w:val="55DA0838"/>
    <w:rsid w:val="584558E8"/>
    <w:rsid w:val="588A52A4"/>
    <w:rsid w:val="58DA1A62"/>
    <w:rsid w:val="59D50814"/>
    <w:rsid w:val="5C2760E8"/>
    <w:rsid w:val="5D7B118F"/>
    <w:rsid w:val="61A26750"/>
    <w:rsid w:val="67753429"/>
    <w:rsid w:val="68BF2482"/>
    <w:rsid w:val="68E76FBD"/>
    <w:rsid w:val="6EAF7C43"/>
    <w:rsid w:val="6F222784"/>
    <w:rsid w:val="726B7E8C"/>
    <w:rsid w:val="72765F2F"/>
    <w:rsid w:val="73933C9D"/>
    <w:rsid w:val="75792F45"/>
    <w:rsid w:val="75B16645"/>
    <w:rsid w:val="78574485"/>
    <w:rsid w:val="78B178CE"/>
    <w:rsid w:val="79720255"/>
    <w:rsid w:val="7C30686F"/>
    <w:rsid w:val="7C99146B"/>
    <w:rsid w:val="7D191342"/>
    <w:rsid w:val="7D4D5E56"/>
    <w:rsid w:val="7FB940E2"/>
    <w:rsid w:val="7FD86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22"/>
    <w:qFormat/>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6">
    <w:name w:val="Body Text"/>
    <w:basedOn w:val="1"/>
    <w:qFormat/>
    <w:uiPriority w:val="0"/>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hAnsi="仿宋_GB2312"/>
      <w:szCs w:val="32"/>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paragraph" w:styleId="14">
    <w:name w:val="Normal (Web)"/>
    <w:basedOn w:val="1"/>
    <w:next w:val="9"/>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5">
    <w:name w:val="Body Text First Indent"/>
    <w:basedOn w:val="6"/>
    <w:qFormat/>
    <w:uiPriority w:val="0"/>
    <w:pPr>
      <w:ind w:firstLine="420" w:firstLineChars="100"/>
    </w:pPr>
  </w:style>
  <w:style w:type="paragraph" w:styleId="16">
    <w:name w:val="Body Text First Indent 2"/>
    <w:basedOn w:val="7"/>
    <w:qFormat/>
    <w:uiPriority w:val="0"/>
    <w:pPr>
      <w:ind w:firstLine="200" w:firstLineChars="200"/>
    </w:pPr>
  </w:style>
  <w:style w:type="character" w:styleId="19">
    <w:name w:val="Strong"/>
    <w:basedOn w:val="18"/>
    <w:qFormat/>
    <w:uiPriority w:val="0"/>
    <w:rPr>
      <w:b/>
    </w:rPr>
  </w:style>
  <w:style w:type="character" w:styleId="20">
    <w:name w:val="Hyperlink"/>
    <w:basedOn w:val="18"/>
    <w:qFormat/>
    <w:uiPriority w:val="0"/>
    <w:rPr>
      <w:color w:val="0000FF"/>
      <w:u w:val="single"/>
    </w:rPr>
  </w:style>
  <w:style w:type="character" w:customStyle="1" w:styleId="21">
    <w:name w:val="标题 1 Char"/>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22">
    <w:name w:val="标题 2 Char"/>
    <w:basedOn w:val="18"/>
    <w:link w:val="4"/>
    <w:qFormat/>
    <w:uiPriority w:val="0"/>
    <w:rPr>
      <w:rFonts w:ascii="Cambria" w:hAnsi="Cambria" w:eastAsia="宋体" w:cs="Times New Roman"/>
      <w:b/>
      <w:bCs/>
      <w:kern w:val="2"/>
      <w:sz w:val="32"/>
      <w:szCs w:val="32"/>
      <w:lang w:val="en-US" w:eastAsia="zh-CN" w:bidi="ar-SA"/>
    </w:rPr>
  </w:style>
  <w:style w:type="paragraph" w:customStyle="1" w:styleId="23">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4">
    <w:name w:val="Header Char"/>
    <w:basedOn w:val="18"/>
    <w:qFormat/>
    <w:uiPriority w:val="0"/>
    <w:rPr>
      <w:rFonts w:ascii="Times New Roman" w:hAnsi="Times New Roman"/>
      <w:sz w:val="18"/>
      <w:szCs w:val="18"/>
    </w:rPr>
  </w:style>
  <w:style w:type="character" w:customStyle="1" w:styleId="25">
    <w:name w:val="Footer Char"/>
    <w:basedOn w:val="18"/>
    <w:qFormat/>
    <w:uiPriority w:val="0"/>
    <w:rPr>
      <w:rFonts w:ascii="Times New Roman" w:hAnsi="Times New Roman"/>
      <w:sz w:val="18"/>
      <w:szCs w:val="18"/>
    </w:rPr>
  </w:style>
  <w:style w:type="character" w:customStyle="1" w:styleId="26">
    <w:name w:val="Body Text Char"/>
    <w:basedOn w:val="18"/>
    <w:qFormat/>
    <w:uiPriority w:val="0"/>
    <w:rPr>
      <w:rFonts w:ascii="Times New Roman" w:hAnsi="Times New Roman"/>
      <w:szCs w:val="24"/>
    </w:rPr>
  </w:style>
  <w:style w:type="paragraph" w:customStyle="1" w:styleId="2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8">
    <w:name w:val="List Paragraph"/>
    <w:basedOn w:val="1"/>
    <w:qFormat/>
    <w:uiPriority w:val="0"/>
    <w:pPr>
      <w:ind w:firstLine="200" w:firstLineChars="200"/>
    </w:pPr>
  </w:style>
  <w:style w:type="paragraph" w:customStyle="1" w:styleId="29">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0">
    <w:name w:val="TOC 标题2"/>
    <w:basedOn w:val="3"/>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31">
    <w:name w:val="四号正文"/>
    <w:basedOn w:val="1"/>
    <w:qFormat/>
    <w:uiPriority w:val="0"/>
    <w:pPr>
      <w:spacing w:line="360" w:lineRule="auto"/>
    </w:pPr>
    <w:rPr>
      <w:rFonts w:ascii="??" w:hAnsi="??"/>
      <w:color w:val="000000"/>
      <w:kern w:val="0"/>
      <w:sz w:val="28"/>
      <w:szCs w:val="21"/>
      <w:lang w:val="zh-CN"/>
    </w:rPr>
  </w:style>
  <w:style w:type="character" w:customStyle="1" w:styleId="32">
    <w:name w:val="font31"/>
    <w:basedOn w:val="18"/>
    <w:qFormat/>
    <w:uiPriority w:val="0"/>
    <w:rPr>
      <w:rFonts w:hint="eastAsia" w:ascii="方正小标宋简体" w:hAnsi="方正小标宋简体" w:eastAsia="方正小标宋简体" w:cs="方正小标宋简体"/>
      <w:color w:val="000000"/>
      <w:sz w:val="36"/>
      <w:szCs w:val="36"/>
      <w:u w:val="none"/>
    </w:rPr>
  </w:style>
  <w:style w:type="character" w:customStyle="1" w:styleId="33">
    <w:name w:val="font21"/>
    <w:basedOn w:val="18"/>
    <w:qFormat/>
    <w:uiPriority w:val="0"/>
    <w:rPr>
      <w:rFonts w:hint="eastAsia" w:ascii="方正小标宋简体" w:hAnsi="方正小标宋简体" w:eastAsia="方正小标宋简体" w:cs="方正小标宋简体"/>
      <w:color w:val="000000"/>
      <w:sz w:val="44"/>
      <w:szCs w:val="44"/>
      <w:u w:val="none"/>
    </w:rPr>
  </w:style>
  <w:style w:type="character" w:customStyle="1" w:styleId="34">
    <w:name w:val="font01"/>
    <w:basedOn w:val="18"/>
    <w:qFormat/>
    <w:uiPriority w:val="0"/>
    <w:rPr>
      <w:rFonts w:hint="eastAsia" w:ascii="宋体" w:hAnsi="宋体" w:eastAsia="宋体" w:cs="宋体"/>
      <w:color w:val="000000"/>
      <w:sz w:val="28"/>
      <w:szCs w:val="28"/>
      <w:u w:val="none"/>
    </w:rPr>
  </w:style>
  <w:style w:type="character" w:customStyle="1" w:styleId="35">
    <w:name w:val="font41"/>
    <w:basedOn w:val="18"/>
    <w:qFormat/>
    <w:uiPriority w:val="0"/>
    <w:rPr>
      <w:rFonts w:hint="eastAsia" w:ascii="方正小标宋简体" w:hAnsi="方正小标宋简体" w:eastAsia="方正小标宋简体" w:cs="方正小标宋简体"/>
      <w:color w:val="000000"/>
      <w:sz w:val="36"/>
      <w:szCs w:val="36"/>
      <w:u w:val="none"/>
    </w:rPr>
  </w:style>
  <w:style w:type="paragraph" w:customStyle="1" w:styleId="36">
    <w:name w:val="WPSOffice手动目录 1"/>
    <w:qFormat/>
    <w:uiPriority w:val="0"/>
    <w:pPr>
      <w:ind w:leftChars="0"/>
    </w:pPr>
    <w:rPr>
      <w:rFonts w:ascii="Times New Roman" w:hAnsi="Times New Roman" w:eastAsia="宋体" w:cs="Times New Roman"/>
      <w:sz w:val="20"/>
      <w:szCs w:val="20"/>
    </w:rPr>
  </w:style>
  <w:style w:type="paragraph" w:customStyle="1" w:styleId="37">
    <w:name w:val="WPSOffice手动目录 2"/>
    <w:qFormat/>
    <w:uiPriority w:val="0"/>
    <w:pPr>
      <w:ind w:leftChars="200"/>
    </w:pPr>
    <w:rPr>
      <w:rFonts w:ascii="Times New Roman" w:hAnsi="Times New Roman" w:eastAsia="宋体" w:cs="Times New Roman"/>
      <w:sz w:val="20"/>
      <w:szCs w:val="20"/>
    </w:rPr>
  </w:style>
  <w:style w:type="paragraph" w:customStyle="1" w:styleId="3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oleObject" Target="file:///E:\&#22270;&#2036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48512711577522"/>
          <c:y val="0.358685401465991"/>
          <c:w val="0.847425"/>
          <c:h val="0.464092429309821"/>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4281.68</c:v>
                </c:pt>
                <c:pt idx="1">
                  <c:v>4281.68</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15991.35</c:v>
                </c:pt>
                <c:pt idx="1">
                  <c:v>15991.35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16221222"/>
        <c:axId val="345822582"/>
      </c:barChart>
      <c:catAx>
        <c:axId val="9162212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822582"/>
        <c:crosses val="autoZero"/>
        <c:auto val="1"/>
        <c:lblAlgn val="ctr"/>
        <c:lblOffset val="100"/>
        <c:noMultiLvlLbl val="0"/>
      </c:catAx>
      <c:valAx>
        <c:axId val="3458225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22122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583717105263158"/>
          <c:y val="0.00711406212947593"/>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一般公共预算财政拨款收入</c:v>
                </c:pt>
                <c:pt idx="1">
                  <c:v>政府性基金预算财政拨款收入</c:v>
                </c:pt>
                <c:pt idx="2">
                  <c:v>其他收入</c:v>
                </c:pt>
              </c:strCache>
            </c:strRef>
          </c:cat>
          <c:val>
            <c:numRef>
              <c:f>Sheet1!$B$2:$B$4</c:f>
              <c:numCache>
                <c:formatCode>General</c:formatCode>
                <c:ptCount val="3"/>
                <c:pt idx="0">
                  <c:v>15969.11</c:v>
                </c:pt>
                <c:pt idx="1">
                  <c:v>10.05</c:v>
                </c:pt>
                <c:pt idx="2">
                  <c:v>12.2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0493421052631579"/>
          <c:y val="0.8487076120464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488.49</c:v>
                </c:pt>
                <c:pt idx="1">
                  <c:v>15502.86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48512711577522"/>
          <c:y val="0.395381793974576"/>
          <c:w val="0.847425"/>
          <c:h val="0.464092429309821"/>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4281.68</c:v>
                </c:pt>
                <c:pt idx="1">
                  <c:v>4281.68</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15979.15</c:v>
                </c:pt>
                <c:pt idx="1">
                  <c:v>15979.15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16221222"/>
        <c:axId val="345822582"/>
      </c:barChart>
      <c:catAx>
        <c:axId val="9162212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822582"/>
        <c:crosses val="autoZero"/>
        <c:auto val="1"/>
        <c:lblAlgn val="ctr"/>
        <c:lblOffset val="100"/>
        <c:noMultiLvlLbl val="0"/>
      </c:catAx>
      <c:valAx>
        <c:axId val="3458225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22122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manualLayout>
          <c:layoutTarget val="inner"/>
          <c:xMode val="edge"/>
          <c:yMode val="edge"/>
          <c:x val="0.148512711577522"/>
          <c:y val="0.395381793974576"/>
          <c:w val="0.847425"/>
          <c:h val="0.464092429309821"/>
        </c:manualLayout>
      </c:layout>
      <c:barChart>
        <c:barDir val="col"/>
        <c:grouping val="clustered"/>
        <c:varyColors val="0"/>
        <c:ser>
          <c:idx val="0"/>
          <c:order val="0"/>
          <c:tx>
            <c:strRef>
              <c:f>Sheet1!$B$1</c:f>
              <c:strCache>
                <c:ptCount val="1"/>
                <c:pt idx="0">
                  <c:v>2021</c:v>
                </c:pt>
              </c:strCache>
            </c:strRef>
          </c:tx>
          <c:spPr>
            <a:solidFill>
              <a:schemeClr val="accent1"/>
            </a:solidFill>
            <a:ln>
              <a:noFill/>
            </a:ln>
            <a:effectLst/>
          </c:spPr>
          <c:invertIfNegative val="0"/>
          <c:dLbls>
            <c:delete val="1"/>
          </c:dLbls>
          <c:cat>
            <c:strRef>
              <c:f>Sheet1!$A$2:$A$3</c:f>
              <c:strCache>
                <c:ptCount val="2"/>
                <c:pt idx="0">
                  <c:v>一般公共预算财政拨款支出</c:v>
                </c:pt>
                <c:pt idx="1">
                  <c:v>本年支出</c:v>
                </c:pt>
              </c:strCache>
            </c:strRef>
          </c:cat>
          <c:val>
            <c:numRef>
              <c:f>Sheet1!$B$2:$B$3</c:f>
              <c:numCache>
                <c:formatCode>General</c:formatCode>
                <c:ptCount val="2"/>
                <c:pt idx="0">
                  <c:v>4084.68</c:v>
                </c:pt>
                <c:pt idx="1">
                  <c:v>4281.68</c:v>
                </c:pt>
              </c:numCache>
            </c:numRef>
          </c:val>
        </c:ser>
        <c:ser>
          <c:idx val="1"/>
          <c:order val="1"/>
          <c:tx>
            <c:strRef>
              <c:f>Sheet1!$C$1</c:f>
              <c:strCache>
                <c:ptCount val="1"/>
                <c:pt idx="0">
                  <c:v>2022</c:v>
                </c:pt>
              </c:strCache>
            </c:strRef>
          </c:tx>
          <c:spPr>
            <a:solidFill>
              <a:schemeClr val="accent2"/>
            </a:solidFill>
            <a:ln>
              <a:noFill/>
            </a:ln>
            <a:effectLst/>
          </c:spPr>
          <c:invertIfNegative val="0"/>
          <c:dLbls>
            <c:delete val="1"/>
          </c:dLbls>
          <c:cat>
            <c:strRef>
              <c:f>Sheet1!$A$2:$A$3</c:f>
              <c:strCache>
                <c:ptCount val="2"/>
                <c:pt idx="0">
                  <c:v>一般公共预算财政拨款支出</c:v>
                </c:pt>
                <c:pt idx="1">
                  <c:v>本年支出</c:v>
                </c:pt>
              </c:strCache>
            </c:strRef>
          </c:cat>
          <c:val>
            <c:numRef>
              <c:f>Sheet1!$C$2:$C$3</c:f>
              <c:numCache>
                <c:formatCode>General</c:formatCode>
                <c:ptCount val="2"/>
                <c:pt idx="0">
                  <c:v>15979.15</c:v>
                </c:pt>
                <c:pt idx="1">
                  <c:v>15991.35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一般公共预算财政拨款支出</c:v>
                </c:pt>
                <c:pt idx="1">
                  <c:v>本年支出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16221222"/>
        <c:axId val="345822582"/>
      </c:barChart>
      <c:catAx>
        <c:axId val="91622122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5822582"/>
        <c:crosses val="autoZero"/>
        <c:auto val="1"/>
        <c:lblAlgn val="ctr"/>
        <c:lblOffset val="100"/>
        <c:noMultiLvlLbl val="0"/>
      </c:catAx>
      <c:valAx>
        <c:axId val="3458225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622122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社会保障和就业（类）</c:v>
                </c:pt>
                <c:pt idx="1">
                  <c:v>卫生健康（类）</c:v>
                </c:pt>
                <c:pt idx="2">
                  <c:v>农林水（类）</c:v>
                </c:pt>
                <c:pt idx="3">
                  <c:v>自然资源海洋气象（类）</c:v>
                </c:pt>
              </c:strCache>
            </c:strRef>
          </c:cat>
          <c:val>
            <c:numRef>
              <c:f>Sheet1!$B$2:$B$5</c:f>
              <c:numCache>
                <c:formatCode>General</c:formatCode>
                <c:ptCount val="4"/>
                <c:pt idx="0">
                  <c:v>56.59</c:v>
                </c:pt>
                <c:pt idx="1">
                  <c:v>28.4</c:v>
                </c:pt>
                <c:pt idx="2">
                  <c:v>6382.91</c:v>
                </c:pt>
                <c:pt idx="3">
                  <c:v>9398.62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037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'[图例.xlsx]图7  三公经费'!$B$1</c:f>
              <c:strCache>
                <c:ptCount val="1"/>
                <c:pt idx="0">
                  <c:v>金额</c:v>
                </c:pt>
              </c:strCache>
            </c:strRef>
          </c:tx>
          <c:explosion val="0"/>
          <c:dPt>
            <c:idx val="0"/>
            <c:bubble3D val="0"/>
          </c:dPt>
          <c:dPt>
            <c:idx val="1"/>
            <c:bubble3D val="0"/>
          </c:dPt>
          <c:dPt>
            <c:idx val="2"/>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三公经费结构图（万元）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15:layout>
                    <c:manualLayout>
                      <c:w val="0.324444444444444"/>
                      <c:h val="0.125"/>
                    </c:manualLayout>
                  </c15:layout>
                </c:ext>
              </c:extLst>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'[图例.xlsx]图7  三公经费'!$A$2:$A$4</c:f>
              <c:strCache>
                <c:ptCount val="3"/>
                <c:pt idx="0">
                  <c:v>因公出国（境）经费支出</c:v>
                </c:pt>
                <c:pt idx="1">
                  <c:v>公务用车购置及运行维护费支出</c:v>
                </c:pt>
                <c:pt idx="2">
                  <c:v>公务接待费支出</c:v>
                </c:pt>
              </c:strCache>
            </c:strRef>
          </c:cat>
          <c:val>
            <c:numRef>
              <c:f>'[图例.xlsx]图7  三公经费'!$B$2:$B$4</c:f>
              <c:numCache>
                <c:formatCode>General</c:formatCode>
                <c:ptCount val="3"/>
                <c:pt idx="0">
                  <c:v>0</c:v>
                </c:pt>
                <c:pt idx="1">
                  <c:v>8.46</c:v>
                </c:pt>
                <c:pt idx="2">
                  <c:v>0</c:v>
                </c:pt>
              </c:numCache>
            </c:numRef>
          </c:val>
        </c:ser>
        <c:dLbls>
          <c:showLegendKey val="0"/>
          <c:showVal val="1"/>
          <c:showCatName val="0"/>
          <c:showSerName val="0"/>
          <c:showPercent val="0"/>
          <c:showBubbleSize val="0"/>
          <c:showLeaderLines val="1"/>
        </c:dLbls>
        <c:firstSliceAng val="0"/>
      </c:pieChart>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1226</Words>
  <Characters>6991</Characters>
  <Lines>58</Lines>
  <Paragraphs>16</Paragraphs>
  <TotalTime>0</TotalTime>
  <ScaleCrop>false</ScaleCrop>
  <LinksUpToDate>false</LinksUpToDate>
  <CharactersWithSpaces>8201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彩云易散琉璃脆</cp:lastModifiedBy>
  <cp:lastPrinted>2023-07-31T02:35:00Z</cp:lastPrinted>
  <dcterms:modified xsi:type="dcterms:W3CDTF">2023-11-01T02:39:04Z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7DDA6BCE17F242EB985D27DE88341824_12</vt:lpwstr>
  </property>
</Properties>
</file>