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hd w:val="clear" w:color="auto" w:fill="FFFFFF"/>
        <w:jc w:val="center"/>
      </w:pPr>
      <w:r>
        <w:rPr>
          <w:sz w:val="42"/>
          <w:szCs w:val="42"/>
        </w:rPr>
        <w:t>202</w:t>
      </w:r>
      <w:r>
        <w:rPr>
          <w:rFonts w:hint="eastAsia"/>
          <w:sz w:val="42"/>
          <w:szCs w:val="42"/>
          <w:lang w:val="en-US" w:eastAsia="zh-CN"/>
        </w:rPr>
        <w:t>2</w:t>
      </w:r>
      <w:r>
        <w:rPr>
          <w:sz w:val="42"/>
          <w:szCs w:val="42"/>
        </w:rPr>
        <w:t>年度</w:t>
      </w:r>
    </w:p>
    <w:p>
      <w:pPr>
        <w:pStyle w:val="11"/>
        <w:shd w:val="clear" w:color="auto" w:fill="FFFFFF"/>
        <w:jc w:val="center"/>
      </w:pPr>
      <w:r>
        <w:rPr>
          <w:sz w:val="42"/>
          <w:szCs w:val="42"/>
        </w:rPr>
        <w:t>阿坝州红原县</w:t>
      </w:r>
      <w:r>
        <w:rPr>
          <w:rFonts w:hint="eastAsia"/>
          <w:sz w:val="42"/>
          <w:szCs w:val="42"/>
          <w:lang w:eastAsia="zh-CN"/>
        </w:rPr>
        <w:t>住房和城乡建设局</w:t>
      </w:r>
      <w:r>
        <w:rPr>
          <w:sz w:val="42"/>
          <w:szCs w:val="42"/>
        </w:rPr>
        <w:t>部门决算</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已经保密审查、内容审定，同意对外公开</w:t>
      </w:r>
    </w:p>
    <w:p>
      <w:pPr>
        <w:pStyle w:val="11"/>
        <w:shd w:val="clear" w:color="auto" w:fill="FFFFFF"/>
      </w:pPr>
      <w:r>
        <w:t> </w:t>
      </w:r>
    </w:p>
    <w:p>
      <w:pPr>
        <w:pStyle w:val="11"/>
        <w:shd w:val="clear" w:color="auto" w:fill="FFFFFF"/>
      </w:pPr>
      <w:r>
        <w:t> </w:t>
      </w:r>
    </w:p>
    <w:p>
      <w:pPr>
        <w:pStyle w:val="11"/>
        <w:shd w:val="clear" w:color="auto" w:fill="FFFFFF"/>
        <w:jc w:val="center"/>
      </w:pPr>
      <w:r>
        <w:t> </w:t>
      </w:r>
    </w:p>
    <w:p>
      <w:pPr>
        <w:pStyle w:val="11"/>
        <w:shd w:val="clear" w:color="auto" w:fill="FFFFFF"/>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rPr>
          <w:rFonts w:hint="eastAsia" w:eastAsia="宋体"/>
          <w:lang w:eastAsia="zh-CN"/>
        </w:rPr>
      </w:pPr>
    </w:p>
    <w:p>
      <w:pPr>
        <w:pStyle w:val="11"/>
        <w:shd w:val="clear" w:color="auto" w:fill="FFFFFF"/>
        <w:jc w:val="center"/>
      </w:pPr>
      <w:r>
        <w:t>目录</w:t>
      </w:r>
    </w:p>
    <w:p>
      <w:pPr>
        <w:pStyle w:val="11"/>
        <w:shd w:val="clear" w:color="auto" w:fill="FFFFFF"/>
        <w:jc w:val="center"/>
      </w:pPr>
      <w:r>
        <w:t> </w:t>
      </w:r>
    </w:p>
    <w:p>
      <w:pPr>
        <w:pStyle w:val="11"/>
        <w:shd w:val="clear" w:color="auto" w:fill="FFFFFF"/>
        <w:jc w:val="center"/>
      </w:pPr>
      <w:r>
        <w:t>公开时间：202</w:t>
      </w:r>
      <w:r>
        <w:rPr>
          <w:rFonts w:hint="eastAsia"/>
          <w:lang w:val="en-US" w:eastAsia="zh-CN"/>
        </w:rPr>
        <w:t>3</w:t>
      </w:r>
      <w:r>
        <w:t>年</w:t>
      </w:r>
      <w:r>
        <w:rPr>
          <w:rFonts w:hint="eastAsia"/>
          <w:lang w:val="en-US" w:eastAsia="zh-CN"/>
        </w:rPr>
        <w:t>11</w:t>
      </w:r>
      <w:r>
        <w:t>月</w:t>
      </w:r>
      <w:r>
        <w:rPr>
          <w:rFonts w:hint="eastAsia"/>
          <w:lang w:val="en-US" w:eastAsia="zh-CN"/>
        </w:rPr>
        <w:t>1</w:t>
      </w:r>
      <w:r>
        <w:t>日</w:t>
      </w:r>
    </w:p>
    <w:p>
      <w:pPr>
        <w:pStyle w:val="11"/>
        <w:shd w:val="clear" w:color="auto" w:fill="FFFFFF"/>
        <w:jc w:val="center"/>
      </w:pPr>
    </w:p>
    <w:p>
      <w:pPr>
        <w:pStyle w:val="11"/>
        <w:shd w:val="clear" w:color="auto" w:fill="FFFFFF"/>
      </w:pPr>
      <w:r>
        <w:t> </w:t>
      </w:r>
    </w:p>
    <w:p>
      <w:pPr>
        <w:pStyle w:val="11"/>
        <w:shd w:val="clear" w:color="auto" w:fill="FFFFFF"/>
      </w:pPr>
      <w:r>
        <w:t>第一部分 部门概况</w:t>
      </w:r>
    </w:p>
    <w:p>
      <w:pPr>
        <w:pStyle w:val="11"/>
        <w:shd w:val="clear" w:color="auto" w:fill="FFFFFF"/>
        <w:ind w:left="420"/>
      </w:pPr>
      <w:r>
        <w:t>一、基本职能及主要工作</w:t>
      </w:r>
    </w:p>
    <w:p>
      <w:pPr>
        <w:pStyle w:val="11"/>
        <w:shd w:val="clear" w:color="auto" w:fill="FFFFFF"/>
        <w:ind w:left="420"/>
      </w:pPr>
      <w:r>
        <w:t>二、机构设置</w:t>
      </w:r>
    </w:p>
    <w:p>
      <w:pPr>
        <w:pStyle w:val="11"/>
        <w:shd w:val="clear" w:color="auto" w:fill="FFFFFF"/>
      </w:pPr>
      <w:r>
        <w:t>第二部分 2021年度部门决算情况说明</w:t>
      </w:r>
    </w:p>
    <w:p>
      <w:pPr>
        <w:pStyle w:val="11"/>
        <w:shd w:val="clear" w:color="auto" w:fill="FFFFFF"/>
        <w:ind w:left="420"/>
      </w:pPr>
      <w:r>
        <w:t>一、收入支出决算总体情况说明</w:t>
      </w:r>
    </w:p>
    <w:p>
      <w:pPr>
        <w:pStyle w:val="11"/>
        <w:shd w:val="clear" w:color="auto" w:fill="FFFFFF"/>
        <w:ind w:left="420"/>
      </w:pPr>
      <w:r>
        <w:t>二、收入决算情况说明</w:t>
      </w:r>
    </w:p>
    <w:p>
      <w:pPr>
        <w:pStyle w:val="11"/>
        <w:shd w:val="clear" w:color="auto" w:fill="FFFFFF"/>
        <w:ind w:left="420"/>
      </w:pPr>
      <w:r>
        <w:t>三、支出决算情况说明</w:t>
      </w:r>
    </w:p>
    <w:p>
      <w:pPr>
        <w:pStyle w:val="11"/>
        <w:shd w:val="clear" w:color="auto" w:fill="FFFFFF"/>
        <w:ind w:left="420"/>
      </w:pPr>
      <w:r>
        <w:t>四、财政拨款收入支出决算总体情况说明</w:t>
      </w:r>
    </w:p>
    <w:p>
      <w:pPr>
        <w:pStyle w:val="11"/>
        <w:shd w:val="clear" w:color="auto" w:fill="FFFFFF"/>
        <w:ind w:left="420"/>
      </w:pPr>
      <w:r>
        <w:t>五、一般公共预算财政拨款支出决算情况说明</w:t>
      </w:r>
    </w:p>
    <w:p>
      <w:pPr>
        <w:pStyle w:val="11"/>
        <w:shd w:val="clear" w:color="auto" w:fill="FFFFFF"/>
        <w:ind w:left="420"/>
      </w:pPr>
      <w:r>
        <w:t>六、一般公共预算财政拨款基本支出决算情况说明</w:t>
      </w:r>
    </w:p>
    <w:p>
      <w:pPr>
        <w:pStyle w:val="11"/>
        <w:shd w:val="clear" w:color="auto" w:fill="FFFFFF"/>
        <w:ind w:left="420"/>
      </w:pPr>
      <w:r>
        <w:t>七、“三公”经费财政拨款支出决算情况说明</w:t>
      </w:r>
    </w:p>
    <w:p>
      <w:pPr>
        <w:pStyle w:val="11"/>
        <w:shd w:val="clear" w:color="auto" w:fill="FFFFFF"/>
        <w:ind w:left="420"/>
      </w:pPr>
      <w:r>
        <w:t>八、政府性基金预算支出决算情况说明</w:t>
      </w:r>
    </w:p>
    <w:p>
      <w:pPr>
        <w:pStyle w:val="11"/>
        <w:shd w:val="clear" w:color="auto" w:fill="FFFFFF"/>
      </w:pPr>
      <w:r>
        <w:t>九、国有资本经营预算支出决算情况说明</w:t>
      </w:r>
    </w:p>
    <w:p>
      <w:pPr>
        <w:pStyle w:val="11"/>
        <w:shd w:val="clear" w:color="auto" w:fill="FFFFFF"/>
      </w:pPr>
      <w:r>
        <w:t>十、其他重要事项的情况说明 </w:t>
      </w:r>
    </w:p>
    <w:p>
      <w:pPr>
        <w:pStyle w:val="11"/>
        <w:shd w:val="clear" w:color="auto" w:fill="FFFFFF"/>
      </w:pPr>
      <w:r>
        <w:t>第三部分 名词解释</w:t>
      </w:r>
    </w:p>
    <w:p>
      <w:pPr>
        <w:pStyle w:val="11"/>
        <w:shd w:val="clear" w:color="auto" w:fill="FFFFFF"/>
      </w:pPr>
      <w:r>
        <w:t xml:space="preserve">第四部分 </w:t>
      </w:r>
      <w:bookmarkStart w:id="4" w:name="_GoBack"/>
      <w:bookmarkEnd w:id="4"/>
      <w:r>
        <w:t xml:space="preserve"> 附表</w:t>
      </w:r>
    </w:p>
    <w:p>
      <w:pPr>
        <w:pStyle w:val="11"/>
        <w:shd w:val="clear" w:color="auto" w:fill="FFFFFF"/>
        <w:ind w:left="420"/>
      </w:pPr>
      <w:r>
        <w:t>一、收入支出决算总表</w:t>
      </w:r>
    </w:p>
    <w:p>
      <w:pPr>
        <w:pStyle w:val="11"/>
        <w:shd w:val="clear" w:color="auto" w:fill="FFFFFF"/>
        <w:ind w:left="420"/>
      </w:pPr>
      <w:r>
        <w:t>二、收入决算表</w:t>
      </w:r>
    </w:p>
    <w:p>
      <w:pPr>
        <w:pStyle w:val="11"/>
        <w:shd w:val="clear" w:color="auto" w:fill="FFFFFF"/>
        <w:ind w:left="420"/>
      </w:pPr>
      <w:r>
        <w:t>三、支出决算表</w:t>
      </w:r>
    </w:p>
    <w:p>
      <w:pPr>
        <w:pStyle w:val="11"/>
        <w:shd w:val="clear" w:color="auto" w:fill="FFFFFF"/>
        <w:ind w:left="420"/>
      </w:pPr>
      <w:r>
        <w:t>四、财政拨款收入支出决算总表</w:t>
      </w:r>
    </w:p>
    <w:p>
      <w:pPr>
        <w:pStyle w:val="11"/>
        <w:shd w:val="clear" w:color="auto" w:fill="FFFFFF"/>
        <w:ind w:left="420"/>
      </w:pPr>
      <w:r>
        <w:t>五、财政拨款支出决算明细表</w:t>
      </w:r>
    </w:p>
    <w:p>
      <w:pPr>
        <w:pStyle w:val="11"/>
        <w:shd w:val="clear" w:color="auto" w:fill="FFFFFF"/>
        <w:ind w:left="420"/>
      </w:pPr>
      <w:r>
        <w:t>六、一般公共预算财政拨款支出决算表</w:t>
      </w:r>
    </w:p>
    <w:p>
      <w:pPr>
        <w:pStyle w:val="11"/>
        <w:shd w:val="clear" w:color="auto" w:fill="FFFFFF"/>
        <w:ind w:left="420"/>
      </w:pPr>
      <w:r>
        <w:t>七、一般公共预算财政拨款支出决算明细表</w:t>
      </w:r>
    </w:p>
    <w:p>
      <w:pPr>
        <w:pStyle w:val="11"/>
        <w:shd w:val="clear" w:color="auto" w:fill="FFFFFF"/>
        <w:ind w:left="420"/>
      </w:pPr>
      <w:r>
        <w:t>八、一般公共预算财政拨款基本支出决算表</w:t>
      </w:r>
    </w:p>
    <w:p>
      <w:pPr>
        <w:pStyle w:val="11"/>
        <w:shd w:val="clear" w:color="auto" w:fill="FFFFFF"/>
        <w:ind w:left="420"/>
      </w:pPr>
      <w:r>
        <w:t>九、一般公共预算财政拨款项目支出决算表</w:t>
      </w:r>
    </w:p>
    <w:p>
      <w:pPr>
        <w:pStyle w:val="11"/>
        <w:shd w:val="clear" w:color="auto" w:fill="FFFFFF"/>
        <w:ind w:left="420"/>
      </w:pPr>
      <w:r>
        <w:t>十、一般公共预算财政拨款“三公”经费支出决算表</w:t>
      </w:r>
    </w:p>
    <w:p>
      <w:pPr>
        <w:pStyle w:val="11"/>
        <w:shd w:val="clear" w:color="auto" w:fill="FFFFFF"/>
        <w:ind w:left="420"/>
      </w:pPr>
      <w:r>
        <w:t>十一、政府性基金预算财政拨款收入支出决算表</w:t>
      </w:r>
    </w:p>
    <w:p>
      <w:pPr>
        <w:pStyle w:val="11"/>
        <w:shd w:val="clear" w:color="auto" w:fill="FFFFFF"/>
        <w:ind w:left="420"/>
      </w:pPr>
      <w:r>
        <w:t>十二、政府性基金预算财政拨款“三公”经费支出决算表</w:t>
      </w:r>
    </w:p>
    <w:p>
      <w:pPr>
        <w:pStyle w:val="11"/>
        <w:shd w:val="clear" w:color="auto" w:fill="FFFFFF"/>
        <w:ind w:left="420"/>
      </w:pPr>
      <w:r>
        <w:t>十三、国有资本经营预算财政拨款收入支出决算表</w:t>
      </w:r>
    </w:p>
    <w:p>
      <w:pPr>
        <w:pStyle w:val="11"/>
        <w:shd w:val="clear" w:color="auto" w:fill="FFFFFF"/>
        <w:ind w:left="420"/>
      </w:pPr>
      <w:r>
        <w:t>十四、国有资本经营预算财政拨款支出决算表</w:t>
      </w:r>
    </w:p>
    <w:p>
      <w:pPr>
        <w:pStyle w:val="11"/>
        <w:shd w:val="clear" w:color="auto" w:fill="FFFFFF"/>
      </w:pPr>
      <w:r>
        <w:t>(注：请部门根据实际注明页码)</w:t>
      </w:r>
    </w:p>
    <w:p>
      <w:pPr>
        <w:pStyle w:val="11"/>
        <w:shd w:val="clear" w:color="auto" w:fill="FFFFFF"/>
      </w:pPr>
      <w:r>
        <w:t> </w:t>
      </w:r>
    </w:p>
    <w:p>
      <w:pPr>
        <w:pStyle w:val="11"/>
        <w:shd w:val="clear" w:color="auto" w:fill="FFFFFF"/>
      </w:pPr>
      <w:r>
        <w:t> </w:t>
      </w:r>
    </w:p>
    <w:p>
      <w:pPr>
        <w:pStyle w:val="3"/>
        <w:shd w:val="clear" w:color="auto" w:fill="FFFFFF"/>
        <w:jc w:val="center"/>
      </w:pPr>
      <w:r>
        <w:t>第一部分 部门概况</w:t>
      </w:r>
    </w:p>
    <w:p>
      <w:pPr>
        <w:pStyle w:val="11"/>
        <w:shd w:val="clear" w:color="auto" w:fill="FFFFFF"/>
      </w:pPr>
      <w:r>
        <w:t> </w:t>
      </w:r>
    </w:p>
    <w:p>
      <w:pPr>
        <w:pStyle w:val="4"/>
        <w:shd w:val="clear" w:color="auto" w:fill="FFFFFF"/>
      </w:pPr>
      <w:r>
        <w:t>一、基本职能及主要工作</w:t>
      </w:r>
    </w:p>
    <w:p>
      <w:pPr>
        <w:pStyle w:val="11"/>
        <w:shd w:val="clear" w:color="auto" w:fill="FFFFFF"/>
        <w:rPr>
          <w:b/>
          <w:bCs/>
        </w:rPr>
      </w:pPr>
      <w:r>
        <w:rPr>
          <w:rFonts w:hint="eastAsia" w:ascii="仿宋_GB2312" w:hAnsi="仿宋_GB2312" w:eastAsia="仿宋_GB2312" w:cs="仿宋_GB2312"/>
          <w:b/>
          <w:bCs/>
          <w:sz w:val="32"/>
          <w:szCs w:val="32"/>
          <w:lang w:val="en-US" w:eastAsia="zh-CN" w:bidi="ar-SA"/>
        </w:rPr>
        <w:t>（一）主要职能</w:t>
      </w:r>
      <w:r>
        <w:rPr>
          <w:b/>
          <w:bCs/>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1、贯彻执行国家、省、州有关住房和城乡建设、城市管理、市政园林工作的方针政策和法律、法规、规章，实施有关相对集中行政处罚权的地方性法规、规章和政策。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2、负责住房保障工作，拟订全县住房保障发展规划和年度规划并组织实施；会同有关部门加强住房保障资金的管理，推进住房改革与发展。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3、负责房地产市场监督管理工作，拟订房地产业的行业发展规划、发展计划和房地产市场监督管理措施，并监督执行。</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4、负责建筑市场监督管理工作，指导全县建筑活动，核发《建设工程施工许可证》，指导监督建设工程标准定额的实施。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5、负责建设工程质量安全监督管理和竣工验收备案管理，组织或参与工程质量安全事故的调查处理。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6、指导农村住房建设及危房改造和村镇人居生态环境的改善工作。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7、负责县政府交办的建设工程的组织实施工作。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8、负责推进行业科学发展和建筑节能工作，推广应用新技术、新材料、新工艺。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9、负责房地产市场和建筑市场动态巡查工作，协助有关部门查处房地产市场和建筑市场违法案件。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10、指导城市建设档案管理。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11、行使市容环境卫生管理、城市规划管理、城市绿化管理、市政管理、城市燃气管理、供水管理、户外广告设施设置管理方面的法律、法规、规章规定的行政处罚权；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12、负责市政设施、园林绿化、环境卫生、城市照明、城市燃气和户外广告设施的行业管理，承担安全监督管理责任；指导协调市容市貌和环境卫生工作，组织协调专项治理等重大活动。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13、拟订城市维护费和专项经费的年度计划及资金划拨计划，并对使用情况实施监督。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14、组织实施市政、环卫、照明等城市基础设施的建设和维修改造，负责全县地下管线的综合协调工作。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15、承办县政府和上级部门交办的其他事项。</w:t>
      </w:r>
    </w:p>
    <w:p>
      <w:pPr>
        <w:pStyle w:val="11"/>
        <w:shd w:val="clear" w:color="auto" w:fill="FFFFFF"/>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（二）2022年重点工作完成情况。</w:t>
      </w:r>
    </w:p>
    <w:p>
      <w:pPr>
        <w:pStyle w:val="8"/>
        <w:keepNext w:val="0"/>
        <w:keepLines w:val="0"/>
        <w:widowControl w:val="0"/>
        <w:suppressLineNumbers w:val="0"/>
        <w:autoSpaceDE w:val="0"/>
        <w:autoSpaceDN/>
        <w:spacing w:line="576" w:lineRule="exact"/>
        <w:ind w:left="0" w:firstLine="643" w:firstLineChars="200"/>
        <w:rPr>
          <w:rFonts w:hint="eastAsia" w:ascii="楷体_GB2312" w:eastAsia="楷体_GB2312" w:cs="楷体_GB2312"/>
          <w:b/>
          <w:kern w:val="2"/>
          <w:sz w:val="32"/>
          <w:szCs w:val="32"/>
        </w:rPr>
      </w:pPr>
      <w:r>
        <w:rPr>
          <w:rFonts w:hint="eastAsia" w:ascii="楷体_GB2312" w:eastAsia="楷体_GB2312" w:cs="楷体_GB2312"/>
          <w:b/>
          <w:kern w:val="2"/>
          <w:sz w:val="32"/>
          <w:szCs w:val="32"/>
        </w:rPr>
        <w:t>（一）突出重点，重点建设项目稳步落实。</w:t>
      </w:r>
    </w:p>
    <w:p>
      <w:pPr>
        <w:keepNext w:val="0"/>
        <w:keepLines w:val="0"/>
        <w:widowControl w:val="0"/>
        <w:suppressLineNumbers w:val="0"/>
        <w:autoSpaceDE w:val="0"/>
        <w:autoSpaceDN/>
        <w:spacing w:line="576" w:lineRule="exact"/>
        <w:ind w:left="0"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今年我局共有建设项目29个，总投资37780万元，500万元以上建设项目17个，总投资35819.4万元；500万元至100万元建设项目4个，总投资1420万元；100万元以下建设项目8个，总投资540.6万元</w:t>
      </w:r>
      <w:r>
        <w:rPr>
          <w:rFonts w:hint="eastAsia" w:ascii="宋体" w:hAnsi="宋体" w:eastAsia="宋体" w:cs="宋体"/>
          <w:kern w:val="0"/>
          <w:sz w:val="32"/>
          <w:szCs w:val="32"/>
        </w:rPr>
        <w:t>。</w:t>
      </w:r>
      <w:r>
        <w:rPr>
          <w:rFonts w:hint="eastAsia" w:ascii="仿宋_GB2312" w:eastAsia="仿宋_GB2312" w:cs="仿宋_GB2312"/>
          <w:kern w:val="0"/>
          <w:sz w:val="32"/>
          <w:szCs w:val="32"/>
        </w:rPr>
        <w:t>目前已完工项目13个，正在实施建设项目12个，正在开展前期工作项目4个。</w:t>
      </w:r>
    </w:p>
    <w:p>
      <w:pPr>
        <w:keepNext w:val="0"/>
        <w:keepLines w:val="0"/>
        <w:widowControl w:val="0"/>
        <w:suppressLineNumbers w:val="0"/>
        <w:autoSpaceDE w:val="0"/>
        <w:autoSpaceDN/>
        <w:spacing w:line="576" w:lineRule="exact"/>
        <w:ind w:left="0"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州重点项目目两个，其中红原县城市供暖二期工程，已完成能源站主体结构建造、供暖管网铺设、林业小区和吉祥站及菜市场换热站浇筑、供暖一级和二级管网分别完成铺设安装90%，完成总投资额3000万元，目前正在进行安装调试设备、热力管网铺设、砌墙装修、平整场地等工作；红原县黄河流域生活垃圾无害化技术处理工程建设项目已完成A线挡墙承台和抗滑桩施工、综合用房主体混凝土浇筑、钢结构制作、钢柱及横梁安装、预处理车间屋面主体珩架；边坡及挡墙土方开挖成型已完成95%，钢梁安装完成70%，混凝土挡墙施工完成60%，综合处理车间设备正在运输，完成总工程量78%，完成总投资额3100万元。</w:t>
      </w:r>
    </w:p>
    <w:p>
      <w:pPr>
        <w:pStyle w:val="8"/>
        <w:keepNext w:val="0"/>
        <w:keepLines w:val="0"/>
        <w:widowControl w:val="0"/>
        <w:suppressLineNumbers w:val="0"/>
        <w:autoSpaceDE w:val="0"/>
        <w:autoSpaceDN/>
        <w:spacing w:line="576" w:lineRule="exact"/>
        <w:ind w:left="0" w:firstLine="643" w:firstLineChars="200"/>
        <w:rPr>
          <w:rFonts w:hint="eastAsia" w:ascii="楷体_GB2312" w:eastAsia="楷体_GB2312" w:cs="楷体_GB2312"/>
          <w:b/>
          <w:kern w:val="2"/>
          <w:sz w:val="32"/>
          <w:szCs w:val="32"/>
        </w:rPr>
      </w:pPr>
      <w:r>
        <w:rPr>
          <w:rFonts w:hint="eastAsia" w:ascii="楷体_GB2312" w:eastAsia="楷体_GB2312" w:cs="楷体_GB2312"/>
          <w:b/>
          <w:kern w:val="2"/>
          <w:sz w:val="32"/>
          <w:szCs w:val="32"/>
        </w:rPr>
        <w:t>（二）狠抓落实，安全生产防线持续筑牢。</w:t>
      </w:r>
    </w:p>
    <w:p>
      <w:pPr>
        <w:pStyle w:val="8"/>
        <w:keepNext w:val="0"/>
        <w:keepLines w:val="0"/>
        <w:widowControl w:val="0"/>
        <w:suppressLineNumbers w:val="0"/>
        <w:autoSpaceDE w:val="0"/>
        <w:autoSpaceDN/>
        <w:spacing w:line="576" w:lineRule="exact"/>
        <w:ind w:left="0" w:firstLine="640" w:firstLineChars="200"/>
        <w:jc w:val="both"/>
        <w:rPr>
          <w:rFonts w:hint="eastAsia" w:ascii="仿宋_GB2312" w:hAnsi="Times New Roman" w:eastAsia="仿宋_GB2312" w:cs="Times New Roman"/>
          <w:kern w:val="2"/>
          <w:sz w:val="32"/>
          <w:szCs w:val="32"/>
        </w:rPr>
      </w:pPr>
      <w:r>
        <w:rPr>
          <w:rFonts w:hint="eastAsia" w:ascii="仿宋_GB2312" w:eastAsia="仿宋_GB2312" w:cs="仿宋_GB2312"/>
          <w:kern w:val="2"/>
          <w:sz w:val="32"/>
          <w:szCs w:val="32"/>
        </w:rPr>
        <w:t>我局坚持“安全第一、预防为主、综合治理”的方针，将安全生产检查作为安全生产工作的首要任务，严格按照“全覆盖、严执法、重实效”的要求，全面排查安全隐患、查处安全漏洞、落实整改措施、完善管理制度，2022年，全县受监工程24个，全县建筑工程报建项目质量监督报监率100%和工程质量合格率为100%，无质量安全责任事故发生；共检查在建工程项目187次，建设工地受检率为100%，查出质量安全隐患共计90余处，停工整改3处，填写监督记录180份，下发整改通知书7份，行政处罚1个项目，限期拆除并罚款20万元整，查出隐患已整改完毕。</w:t>
      </w:r>
    </w:p>
    <w:p>
      <w:pPr>
        <w:keepNext w:val="0"/>
        <w:keepLines w:val="0"/>
        <w:widowControl w:val="0"/>
        <w:suppressLineNumbers w:val="0"/>
        <w:autoSpaceDE w:val="0"/>
        <w:autoSpaceDN/>
        <w:spacing w:line="576" w:lineRule="exact"/>
        <w:ind w:left="0" w:firstLine="643" w:firstLineChars="200"/>
        <w:jc w:val="both"/>
        <w:rPr>
          <w:rFonts w:hint="eastAsia" w:ascii="楷体_GB2312" w:eastAsia="楷体_GB2312" w:cs="楷体_GB2312"/>
          <w:b/>
          <w:kern w:val="2"/>
          <w:sz w:val="32"/>
          <w:szCs w:val="32"/>
        </w:rPr>
      </w:pPr>
      <w:r>
        <w:rPr>
          <w:rFonts w:hint="eastAsia" w:ascii="楷体_GB2312" w:eastAsia="楷体_GB2312" w:cs="楷体_GB2312"/>
          <w:b/>
          <w:kern w:val="2"/>
          <w:sz w:val="32"/>
          <w:szCs w:val="32"/>
        </w:rPr>
        <w:t>(三）加强监管，建筑领域行为全面规范。</w:t>
      </w:r>
    </w:p>
    <w:p>
      <w:pPr>
        <w:keepNext w:val="0"/>
        <w:keepLines w:val="0"/>
        <w:widowControl w:val="0"/>
        <w:suppressLineNumbers w:val="0"/>
        <w:autoSpaceDE w:val="0"/>
        <w:autoSpaceDN/>
        <w:spacing w:line="576" w:lineRule="exact"/>
        <w:ind w:left="0"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首先是按照《阿坝州促进建筑业高质量发展的实施意见》相关要求，常态化开展建筑市场行为监督执法检查，规范施工许可管理制度，持续推进“最多跑一次”行政审批改革，提高办事效率和群众满意度，做好本县建筑企业服务管理工作；其次是持续开展建筑领域“扫黑除恶”专项行动，切实保障了建筑领域健康有序发展；最后是不断规范我县建筑市场，加强对建筑材料的管理及应用，并对商砼及各相关建筑节能材料进行推广。</w:t>
      </w:r>
    </w:p>
    <w:p>
      <w:pPr>
        <w:keepNext w:val="0"/>
        <w:keepLines w:val="0"/>
        <w:widowControl w:val="0"/>
        <w:suppressLineNumbers w:val="0"/>
        <w:autoSpaceDE w:val="0"/>
        <w:autoSpaceDN/>
        <w:spacing w:line="576" w:lineRule="exact"/>
        <w:ind w:left="0" w:firstLine="643" w:firstLineChars="200"/>
        <w:jc w:val="both"/>
        <w:rPr>
          <w:rFonts w:hint="eastAsia" w:ascii="楷体_GB2312" w:eastAsia="楷体_GB2312" w:cs="楷体_GB2312"/>
          <w:b/>
          <w:color w:val="FF0000"/>
          <w:kern w:val="2"/>
          <w:sz w:val="32"/>
          <w:szCs w:val="32"/>
        </w:rPr>
      </w:pPr>
      <w:r>
        <w:rPr>
          <w:rFonts w:hint="eastAsia" w:ascii="楷体_GB2312" w:eastAsia="楷体_GB2312" w:cs="楷体_GB2312"/>
          <w:b/>
          <w:kern w:val="2"/>
          <w:sz w:val="32"/>
          <w:szCs w:val="32"/>
        </w:rPr>
        <w:t>（四）强化重点，住建保障体系不断完善。</w:t>
      </w:r>
    </w:p>
    <w:p>
      <w:pPr>
        <w:pStyle w:val="8"/>
        <w:keepNext w:val="0"/>
        <w:keepLines w:val="0"/>
        <w:widowControl w:val="0"/>
        <w:suppressLineNumbers w:val="0"/>
        <w:autoSpaceDE w:val="0"/>
        <w:autoSpaceDN/>
        <w:spacing w:line="576" w:lineRule="exact"/>
        <w:ind w:left="0" w:leftChars="0" w:firstLine="643" w:firstLineChars="200"/>
        <w:rPr>
          <w:rFonts w:hint="eastAsia" w:ascii="仿宋_GB2312" w:hAnsi="Times New Roman" w:eastAsia="仿宋_GB2312" w:cs="Times New Roman"/>
          <w:kern w:val="2"/>
          <w:sz w:val="32"/>
          <w:szCs w:val="32"/>
        </w:rPr>
      </w:pPr>
      <w:r>
        <w:rPr>
          <w:rFonts w:hint="eastAsia" w:ascii="楷体_GB2312" w:eastAsia="楷体_GB2312" w:cs="楷体_GB2312"/>
          <w:b/>
          <w:kern w:val="2"/>
          <w:sz w:val="32"/>
          <w:szCs w:val="32"/>
        </w:rPr>
        <w:t>一是全面完成全国第一次自然灾害风险普查工作。</w:t>
      </w:r>
      <w:r>
        <w:rPr>
          <w:rFonts w:hint="eastAsia" w:ascii="仿宋_GB2312" w:hAnsi="Times New Roman" w:eastAsia="仿宋_GB2312" w:cs="仿宋_GB2312"/>
          <w:kern w:val="2"/>
          <w:sz w:val="32"/>
          <w:szCs w:val="32"/>
        </w:rPr>
        <w:t>全国第一次自然灾害风险普查工作共涉及10个乡镇，房屋调查共计31411栋，总面积381.20万平方米，调查完成率100%；其中城镇房屋3819栋，面积167.74万平方米（住宅1576栋，面积59.65万平方米，城镇非住宅2243栋，面积108.09万平方米），调查完成率100%；农村房屋27592栋，面积</w:t>
      </w:r>
      <w:r>
        <w:rPr>
          <w:rFonts w:hint="eastAsia" w:ascii="仿宋_GB2312" w:hAnsi="Times New Roman" w:eastAsia="仿宋_GB2312" w:cs="Times New Roman"/>
          <w:kern w:val="2"/>
          <w:sz w:val="32"/>
          <w:szCs w:val="32"/>
        </w:rPr>
        <w:t xml:space="preserve"> </w:t>
      </w:r>
      <w:r>
        <w:rPr>
          <w:rFonts w:hint="eastAsia" w:ascii="仿宋_GB2312" w:hAnsi="Times New Roman" w:eastAsia="仿宋_GB2312" w:cs="仿宋_GB2312"/>
          <w:kern w:val="2"/>
          <w:sz w:val="32"/>
          <w:szCs w:val="32"/>
        </w:rPr>
        <w:t>213.47万平方米（住宅22508栋，面积119.97万平方米，农村非住宅5084栋，面积93. 50万平方米），调查完成率100%；全县已完成调查建筑总数31411栋，未调查建筑0栋,调查完成率100%；完成全县17.36公里的市政道路、7座市政桥梁、2座自来水厂和34.66公里供水管线的普查，调查完成率100%；已通过州级验收。</w:t>
      </w:r>
    </w:p>
    <w:p>
      <w:pPr>
        <w:pStyle w:val="8"/>
        <w:keepNext w:val="0"/>
        <w:keepLines w:val="0"/>
        <w:widowControl w:val="0"/>
        <w:suppressLineNumbers w:val="0"/>
        <w:autoSpaceDE w:val="0"/>
        <w:autoSpaceDN/>
        <w:spacing w:line="576" w:lineRule="exact"/>
        <w:ind w:left="0" w:leftChars="0" w:firstLine="643" w:firstLineChars="200"/>
        <w:rPr>
          <w:rFonts w:hint="eastAsia" w:ascii="仿宋_GB2312" w:hAnsi="Times New Roman" w:eastAsia="仿宋_GB2312" w:cs="Times New Roman"/>
          <w:kern w:val="2"/>
          <w:sz w:val="32"/>
          <w:szCs w:val="32"/>
        </w:rPr>
      </w:pPr>
      <w:r>
        <w:rPr>
          <w:rFonts w:hint="eastAsia" w:ascii="楷体_GB2312" w:eastAsia="楷体_GB2312" w:cs="楷体_GB2312"/>
          <w:b/>
          <w:kern w:val="2"/>
          <w:sz w:val="32"/>
          <w:szCs w:val="32"/>
        </w:rPr>
        <w:t>二是全面落实自建房排查工作。</w:t>
      </w:r>
      <w:r>
        <w:rPr>
          <w:rFonts w:hint="eastAsia" w:ascii="仿宋_GB2312" w:hAnsi="Times New Roman" w:eastAsia="仿宋_GB2312" w:cs="仿宋_GB2312"/>
          <w:kern w:val="2"/>
          <w:sz w:val="32"/>
          <w:szCs w:val="32"/>
        </w:rPr>
        <w:t>通过开展自建房安全隐患排查整治工作，对全县23880栋自建房建立住房安全风险排查动态监测和巡查机制，截止目前，已排查自建房10363栋，其中经营性自建房1145栋，经营性自建房排查完成率100%，初判发现隐患40栋，已全部采取封控警示措施进行管理。</w:t>
      </w:r>
    </w:p>
    <w:p>
      <w:pPr>
        <w:keepNext w:val="0"/>
        <w:keepLines w:val="0"/>
        <w:widowControl w:val="0"/>
        <w:suppressLineNumbers w:val="0"/>
        <w:autoSpaceDE w:val="0"/>
        <w:autoSpaceDN/>
        <w:spacing w:line="576" w:lineRule="exact"/>
        <w:ind w:left="0" w:firstLine="643" w:firstLineChars="200"/>
        <w:rPr>
          <w:rFonts w:hint="eastAsia" w:ascii="仿宋_GB2312" w:eastAsia="仿宋_GB2312" w:cs="仿宋_GB2312"/>
          <w:b/>
          <w:kern w:val="2"/>
          <w:sz w:val="32"/>
          <w:szCs w:val="32"/>
        </w:rPr>
      </w:pPr>
      <w:r>
        <w:rPr>
          <w:rFonts w:hint="eastAsia" w:ascii="仿宋_GB2312" w:eastAsia="仿宋_GB2312" w:cs="仿宋_GB2312"/>
          <w:b/>
          <w:kern w:val="2"/>
          <w:sz w:val="32"/>
          <w:szCs w:val="32"/>
        </w:rPr>
        <w:t>三是全面启动灾后农房恢复建设工作。</w:t>
      </w:r>
      <w:r>
        <w:rPr>
          <w:rFonts w:hint="eastAsia" w:ascii="仿宋_GB2312" w:eastAsia="仿宋_GB2312" w:cs="仿宋_GB2312"/>
          <w:kern w:val="2"/>
          <w:sz w:val="32"/>
          <w:szCs w:val="32"/>
        </w:rPr>
        <w:t>“马尔康6.0级震群地震”导致我县江茸乡、查尔玛2个乡镇、5个村，造成房屋770户受损、经济损失731.55万元，其中造成农房688户受损、经济损失582万元；我县于6月16日组织具有专业鉴定资质的房屋鉴定公司对江茸乡和查尔玛乡受损房屋进行了安全性鉴定，共鉴定农房688户并完成了鉴定报告的编制工作，截至目前，1户重度损坏农房重建</w:t>
      </w:r>
      <w:r>
        <w:rPr>
          <w:rFonts w:hint="eastAsia" w:ascii="仿宋_GB2312" w:eastAsia="仿宋_GB2312" w:cs="仿宋_GB2312"/>
          <w:kern w:val="0"/>
          <w:sz w:val="32"/>
          <w:szCs w:val="32"/>
        </w:rPr>
        <w:t>已完成，待竣工验收；</w:t>
      </w:r>
      <w:r>
        <w:rPr>
          <w:rFonts w:hint="eastAsia" w:ascii="仿宋_GB2312" w:eastAsia="仿宋_GB2312" w:cs="仿宋_GB2312"/>
          <w:kern w:val="2"/>
          <w:sz w:val="32"/>
          <w:szCs w:val="32"/>
        </w:rPr>
        <w:t>687户一般损坏农房将在</w:t>
      </w:r>
      <w:r>
        <w:rPr>
          <w:rFonts w:hint="eastAsia" w:ascii="仿宋_GB2312" w:eastAsia="仿宋_GB2312" w:cs="仿宋_GB2312"/>
          <w:kern w:val="0"/>
          <w:sz w:val="32"/>
          <w:szCs w:val="32"/>
        </w:rPr>
        <w:t>10月底前完成所有维修加固工作，</w:t>
      </w:r>
      <w:r>
        <w:rPr>
          <w:rFonts w:hint="eastAsia" w:ascii="仿宋_GB2312" w:hAnsi="宋体" w:eastAsia="仿宋_GB2312" w:cs="仿宋_GB2312"/>
          <w:kern w:val="0"/>
          <w:sz w:val="32"/>
          <w:szCs w:val="32"/>
        </w:rPr>
        <w:t>恢复房屋居住性能。</w:t>
      </w:r>
    </w:p>
    <w:p>
      <w:pPr>
        <w:pStyle w:val="8"/>
        <w:keepNext w:val="0"/>
        <w:keepLines w:val="0"/>
        <w:widowControl w:val="0"/>
        <w:suppressLineNumbers w:val="0"/>
        <w:autoSpaceDE w:val="0"/>
        <w:autoSpaceDN/>
        <w:spacing w:line="576" w:lineRule="exact"/>
        <w:rPr>
          <w:rFonts w:hint="eastAsia" w:ascii="仿宋_GB2312" w:hAnsi="Times New Roman" w:eastAsia="仿宋_GB2312" w:cs="Times New Roman"/>
          <w:kern w:val="2"/>
          <w:sz w:val="32"/>
          <w:szCs w:val="32"/>
        </w:rPr>
      </w:pPr>
      <w:r>
        <w:rPr>
          <w:rFonts w:hint="eastAsia" w:ascii="仿宋_GB2312" w:eastAsia="仿宋_GB2312" w:cs="仿宋_GB2312"/>
          <w:b/>
          <w:kern w:val="2"/>
          <w:sz w:val="32"/>
          <w:szCs w:val="32"/>
        </w:rPr>
        <w:t>四是全面推进低收入群体住房安全保障工作。</w:t>
      </w:r>
      <w:r>
        <w:rPr>
          <w:rFonts w:hint="eastAsia" w:ascii="仿宋_GB2312" w:hAnsi="Times New Roman" w:eastAsia="仿宋_GB2312" w:cs="仿宋_GB2312"/>
          <w:kern w:val="2"/>
          <w:sz w:val="32"/>
          <w:szCs w:val="32"/>
        </w:rPr>
        <w:t>健全完善动态监测机制，加强与各部门数据互通和协调，将符合条件的低收入群体纳入危房加固改造实施对象，对不满足抗震7度的房屋实施抗震加固改造，按照省、州任务要求，我县本年度有1户危房改造、10户抗震加固改造任务，目前已完成摸底调查，将逐步实施加固改造工作。</w:t>
      </w:r>
    </w:p>
    <w:p>
      <w:pPr>
        <w:pStyle w:val="8"/>
        <w:keepNext w:val="0"/>
        <w:keepLines w:val="0"/>
        <w:widowControl w:val="0"/>
        <w:suppressLineNumbers w:val="0"/>
        <w:autoSpaceDE w:val="0"/>
        <w:autoSpaceDN/>
        <w:spacing w:line="576" w:lineRule="exact"/>
        <w:rPr>
          <w:rFonts w:hint="eastAsia" w:ascii="仿宋_GB2312" w:hAnsi="Times New Roman" w:eastAsia="仿宋_GB2312" w:cs="Times New Roman"/>
          <w:kern w:val="2"/>
          <w:sz w:val="32"/>
          <w:szCs w:val="32"/>
        </w:rPr>
      </w:pPr>
      <w:r>
        <w:rPr>
          <w:rFonts w:hint="eastAsia" w:ascii="仿宋_GB2312" w:eastAsia="仿宋_GB2312" w:cs="仿宋_GB2312"/>
          <w:b/>
          <w:kern w:val="2"/>
          <w:sz w:val="32"/>
          <w:szCs w:val="32"/>
        </w:rPr>
        <w:t>五是全面开展干部职工周转宿舍管理工作。</w:t>
      </w:r>
      <w:r>
        <w:rPr>
          <w:rFonts w:hint="eastAsia" w:ascii="仿宋_GB2312" w:hAnsi="Times New Roman" w:eastAsia="仿宋_GB2312" w:cs="仿宋_GB2312"/>
          <w:kern w:val="2"/>
          <w:sz w:val="32"/>
          <w:szCs w:val="32"/>
        </w:rPr>
        <w:t>为了提升管理水平，加强服务意识，发挥公房和廉租房住有所居的作用，本年度已对全县380户公房、228户廉租房进行了逐户核实，建立了正确、完整的入住台账并收齐了住户联系方式，进一步完善了管理办法；针对公房出现的问题积极组织人员按照《红原县干部职工周转宿舍管理办法》开展定期查勘和维修养护工作。</w:t>
      </w:r>
    </w:p>
    <w:p>
      <w:pPr>
        <w:pStyle w:val="8"/>
        <w:keepNext w:val="0"/>
        <w:keepLines w:val="0"/>
        <w:widowControl w:val="0"/>
        <w:suppressLineNumbers w:val="0"/>
        <w:autoSpaceDE w:val="0"/>
        <w:autoSpaceDN/>
        <w:spacing w:line="576" w:lineRule="exact"/>
        <w:ind w:left="0" w:leftChars="0" w:firstLine="643" w:firstLineChars="200"/>
        <w:rPr>
          <w:rFonts w:hint="eastAsia" w:ascii="仿宋_GB2312" w:eastAsia="仿宋_GB2312" w:cs="仿宋_GB2312"/>
          <w:b/>
          <w:kern w:val="2"/>
          <w:sz w:val="32"/>
          <w:szCs w:val="32"/>
        </w:rPr>
      </w:pPr>
      <w:r>
        <w:rPr>
          <w:rFonts w:hint="eastAsia" w:ascii="仿宋_GB2312" w:eastAsia="仿宋_GB2312" w:cs="仿宋_GB2312"/>
          <w:b/>
          <w:kern w:val="2"/>
          <w:sz w:val="32"/>
          <w:szCs w:val="32"/>
        </w:rPr>
        <w:t>六是全面做好建筑业市场管理工作。</w:t>
      </w:r>
      <w:r>
        <w:rPr>
          <w:rFonts w:hint="eastAsia" w:ascii="仿宋_GB2312" w:eastAsia="仿宋_GB2312" w:cs="仿宋_GB2312"/>
          <w:kern w:val="2"/>
          <w:sz w:val="32"/>
          <w:szCs w:val="32"/>
        </w:rPr>
        <w:t>我县2022年累计完成建筑业产值1290万元，</w:t>
      </w:r>
      <w:r>
        <w:rPr>
          <w:rFonts w:hint="eastAsia" w:ascii="仿宋_GB2312" w:eastAsia="仿宋_GB2312" w:cs="仿宋_GB2312"/>
          <w:b w:val="0"/>
          <w:kern w:val="2"/>
          <w:sz w:val="32"/>
          <w:szCs w:val="32"/>
        </w:rPr>
        <w:t>其中，</w:t>
      </w:r>
      <w:r>
        <w:rPr>
          <w:rFonts w:hint="eastAsia" w:ascii="仿宋_GB2312" w:eastAsia="仿宋_GB2312" w:cs="仿宋_GB2312"/>
          <w:kern w:val="2"/>
          <w:sz w:val="32"/>
          <w:szCs w:val="32"/>
        </w:rPr>
        <w:t>2022年度跨年项目完成建筑业产值763.65万元，涉及2个项目；2022年新开工建设项目建筑业产值完成526.36万元，具体为四川省全过程工程管理有限公司完成产值345.62万元，涉及4个项目，四川隆达建筑工程有限责任公司完成建筑业产值106.02万元涉及3个项目，四川豪屹建筑工程有限责任公司完成建筑业产值74.73万元，涉及2个项目距离州级建筑业产业目标任务1400万元还差110万元。</w:t>
      </w:r>
    </w:p>
    <w:p>
      <w:pPr>
        <w:keepNext w:val="0"/>
        <w:keepLines w:val="0"/>
        <w:widowControl w:val="0"/>
        <w:suppressLineNumbers w:val="0"/>
        <w:autoSpaceDE w:val="0"/>
        <w:autoSpaceDN/>
        <w:spacing w:line="576" w:lineRule="exact"/>
        <w:ind w:left="0" w:firstLine="643" w:firstLineChars="200"/>
        <w:jc w:val="both"/>
        <w:rPr>
          <w:rFonts w:hint="eastAsia" w:ascii="楷体_GB2312" w:eastAsia="楷体_GB2312" w:cs="楷体_GB2312"/>
          <w:b/>
          <w:kern w:val="2"/>
          <w:sz w:val="32"/>
          <w:szCs w:val="32"/>
        </w:rPr>
      </w:pPr>
      <w:r>
        <w:rPr>
          <w:rFonts w:hint="eastAsia" w:ascii="楷体_GB2312" w:eastAsia="楷体_GB2312" w:cs="楷体_GB2312"/>
          <w:b/>
          <w:kern w:val="2"/>
          <w:sz w:val="32"/>
          <w:szCs w:val="32"/>
        </w:rPr>
        <w:t>（五）加快发展，城市基础设施明显改善。</w:t>
      </w:r>
    </w:p>
    <w:p>
      <w:pPr>
        <w:keepNext w:val="0"/>
        <w:keepLines w:val="0"/>
        <w:widowControl w:val="0"/>
        <w:suppressLineNumbers w:val="0"/>
        <w:autoSpaceDE w:val="0"/>
        <w:autoSpaceDN/>
        <w:spacing w:line="576" w:lineRule="exact"/>
        <w:ind w:left="0" w:firstLine="640" w:firstLineChars="200"/>
        <w:jc w:val="both"/>
        <w:rPr>
          <w:rFonts w:hint="eastAsia" w:ascii="宋体" w:hAnsi="宋体" w:eastAsia="宋体" w:cs="宋体"/>
          <w:kern w:val="0"/>
          <w:sz w:val="24"/>
          <w:szCs w:val="24"/>
        </w:rPr>
      </w:pPr>
      <w:r>
        <w:rPr>
          <w:rFonts w:hint="eastAsia" w:ascii="仿宋_GB2312" w:hAnsi="Times New Roman" w:eastAsia="仿宋_GB2312" w:cs="仿宋_GB2312"/>
          <w:kern w:val="2"/>
          <w:sz w:val="32"/>
          <w:szCs w:val="32"/>
        </w:rPr>
        <w:t>为提高红原县总体形象和管理水平，实现市政公用设施精细化管理，搞好市政基础设施管理和维护工作，我局严格按照小事不隔夜，大事不隔天原则，做到了井盖雨篦子维修不过天，路灯、路面维修不过周；2022年我局对路灯、河道灯、绿化彩带灯维修更换共计200余处，对城区主干道、小区吸污150车，维修及更换市政井盖90座，路面补沥青560平方米，人行道修补300平方米，河道护栏更换20米，路沿石修补300米。红原县主城区路面平整度、排水畅通度、路灯亮灯率全部达到95%以上。</w:t>
      </w:r>
    </w:p>
    <w:p>
      <w:pPr>
        <w:keepNext w:val="0"/>
        <w:keepLines w:val="0"/>
        <w:widowControl w:val="0"/>
        <w:suppressLineNumbers w:val="0"/>
        <w:autoSpaceDE w:val="0"/>
        <w:autoSpaceDN/>
        <w:spacing w:line="576" w:lineRule="exact"/>
        <w:ind w:left="0" w:firstLine="643" w:firstLineChars="200"/>
        <w:jc w:val="both"/>
        <w:rPr>
          <w:rFonts w:hint="eastAsia" w:ascii="楷体_GB2312" w:eastAsia="楷体_GB2312" w:cs="楷体_GB2312"/>
          <w:b/>
          <w:color w:val="FF0000"/>
          <w:kern w:val="2"/>
          <w:sz w:val="32"/>
          <w:szCs w:val="32"/>
        </w:rPr>
      </w:pPr>
      <w:r>
        <w:rPr>
          <w:rFonts w:hint="eastAsia" w:ascii="楷体_GB2312" w:eastAsia="楷体_GB2312" w:cs="楷体_GB2312"/>
          <w:b/>
          <w:kern w:val="2"/>
          <w:sz w:val="32"/>
          <w:szCs w:val="32"/>
        </w:rPr>
        <w:t>（六）多措并举，城乡人居环境明显改善。</w:t>
      </w:r>
    </w:p>
    <w:p>
      <w:pPr>
        <w:pStyle w:val="8"/>
        <w:keepNext w:val="0"/>
        <w:keepLines w:val="0"/>
        <w:widowControl w:val="0"/>
        <w:suppressLineNumbers w:val="0"/>
        <w:autoSpaceDE w:val="0"/>
        <w:autoSpaceDN/>
        <w:spacing w:line="576" w:lineRule="exact"/>
        <w:ind w:left="0" w:firstLine="643" w:firstLineChars="200"/>
        <w:rPr>
          <w:rFonts w:hint="eastAsia" w:ascii="仿宋_GB2312" w:hAnsi="Times New Roman" w:eastAsia="仿宋_GB2312" w:cs="Times New Roman"/>
          <w:kern w:val="2"/>
          <w:sz w:val="32"/>
          <w:szCs w:val="32"/>
        </w:rPr>
      </w:pPr>
      <w:r>
        <w:rPr>
          <w:rFonts w:hint="eastAsia" w:ascii="楷体_GB2312" w:eastAsia="楷体_GB2312" w:cs="楷体_GB2312"/>
          <w:b/>
          <w:kern w:val="2"/>
          <w:sz w:val="32"/>
          <w:szCs w:val="32"/>
        </w:rPr>
        <w:t>1.狠抓督查落实。一是实行全面</w:t>
      </w:r>
      <w:r>
        <w:rPr>
          <w:rFonts w:hint="eastAsia" w:ascii="仿宋_GB2312" w:hAnsi="Times New Roman" w:eastAsia="仿宋_GB2312" w:cs="仿宋_GB2312"/>
          <w:b/>
          <w:kern w:val="2"/>
          <w:sz w:val="32"/>
          <w:szCs w:val="32"/>
        </w:rPr>
        <w:t>监督，</w:t>
      </w:r>
      <w:r>
        <w:rPr>
          <w:rFonts w:hint="eastAsia" w:ascii="仿宋_GB2312" w:hAnsi="Times New Roman" w:eastAsia="仿宋_GB2312" w:cs="仿宋_GB2312"/>
          <w:kern w:val="2"/>
          <w:sz w:val="32"/>
          <w:szCs w:val="32"/>
        </w:rPr>
        <w:t>健全监管考评机制，细化工作执行方案，对城区清扫保洁、全域垃圾处置、占道停车管理、市政道路应急维护、污水处理、自来水、供暖各项工作市场化运营维护工作实施分片区、全时段监管，不断加大对环卫和市政外包公司监管力度；</w:t>
      </w:r>
      <w:r>
        <w:rPr>
          <w:rFonts w:hint="eastAsia" w:ascii="仿宋_GB2312" w:hAnsi="Times New Roman" w:eastAsia="仿宋_GB2312" w:cs="仿宋_GB2312"/>
          <w:b/>
          <w:kern w:val="2"/>
          <w:sz w:val="32"/>
          <w:szCs w:val="32"/>
        </w:rPr>
        <w:t>二是严格考核问效，</w:t>
      </w:r>
      <w:r>
        <w:rPr>
          <w:rFonts w:hint="eastAsia" w:ascii="仿宋_GB2312" w:hAnsi="Times New Roman" w:eastAsia="仿宋_GB2312" w:cs="仿宋_GB2312"/>
          <w:kern w:val="2"/>
          <w:sz w:val="32"/>
          <w:szCs w:val="32"/>
        </w:rPr>
        <w:t>按照《红原县城乡环境综合治理工作考核问责办法》，严格执行周巡查、月检查、季考评等制度，多方共同督促落实整改，对全县环境治理情况开展检查20余次，形成检查通报9份；</w:t>
      </w:r>
      <w:r>
        <w:rPr>
          <w:rFonts w:hint="eastAsia" w:ascii="仿宋_GB2312" w:hAnsi="Times New Roman" w:eastAsia="仿宋_GB2312" w:cs="仿宋_GB2312"/>
          <w:b/>
          <w:kern w:val="2"/>
          <w:sz w:val="32"/>
          <w:szCs w:val="32"/>
        </w:rPr>
        <w:t>三是加强执法曝光，</w:t>
      </w:r>
      <w:r>
        <w:rPr>
          <w:rFonts w:hint="eastAsia" w:ascii="仿宋_GB2312" w:hAnsi="Times New Roman" w:eastAsia="仿宋_GB2312" w:cs="仿宋_GB2312"/>
          <w:kern w:val="2"/>
          <w:sz w:val="32"/>
          <w:szCs w:val="32"/>
        </w:rPr>
        <w:t>对全县在建工地和久马高速各标段进行安全文明施工、环境治理专项检查，采取下发限期整改通知书、行政处罚以及召开环境卫生问题整治交办会等方式，</w:t>
      </w:r>
      <w:r>
        <w:rPr>
          <w:rFonts w:hint="eastAsia" w:ascii="仿宋_GB2312" w:eastAsia="仿宋_GB2312" w:cs="仿宋_GB2312"/>
          <w:b w:val="0"/>
          <w:kern w:val="2"/>
          <w:sz w:val="32"/>
          <w:szCs w:val="32"/>
        </w:rPr>
        <w:t>教育</w:t>
      </w:r>
      <w:r>
        <w:rPr>
          <w:rFonts w:hint="eastAsia" w:ascii="仿宋_GB2312" w:eastAsia="仿宋_GB2312" w:cs="仿宋_GB2312"/>
          <w:kern w:val="2"/>
          <w:sz w:val="32"/>
          <w:szCs w:val="32"/>
        </w:rPr>
        <w:t>处罚乱扔垃圾、乱倒建筑垃圾、带泥上路等不文明行为17起、罚款41630元。</w:t>
      </w:r>
      <w:r>
        <w:rPr>
          <w:rFonts w:hint="eastAsia" w:ascii="仿宋_GB2312" w:hAnsi="Times New Roman" w:eastAsia="仿宋_GB2312" w:cs="仿宋_GB2312"/>
          <w:kern w:val="2"/>
          <w:sz w:val="32"/>
          <w:szCs w:val="32"/>
        </w:rPr>
        <w:t>不断引导施工单位、干部群众提升环境保护治理和文明行为意识，全面提升环境整治工作质量。</w:t>
      </w:r>
    </w:p>
    <w:p>
      <w:pPr>
        <w:pStyle w:val="8"/>
        <w:keepNext w:val="0"/>
        <w:keepLines w:val="0"/>
        <w:widowControl w:val="0"/>
        <w:suppressLineNumbers w:val="0"/>
        <w:autoSpaceDE w:val="0"/>
        <w:autoSpaceDN/>
        <w:spacing w:line="576" w:lineRule="exact"/>
        <w:ind w:left="0" w:leftChars="0" w:firstLine="643" w:firstLineChars="200"/>
        <w:rPr>
          <w:rFonts w:hint="eastAsia" w:ascii="仿宋_GB2312" w:eastAsia="仿宋_GB2312" w:cs="仿宋_GB2312"/>
          <w:kern w:val="2"/>
          <w:sz w:val="32"/>
          <w:szCs w:val="32"/>
        </w:rPr>
      </w:pPr>
      <w:r>
        <w:rPr>
          <w:rFonts w:hint="eastAsia" w:ascii="楷体_GB2312" w:eastAsia="楷体_GB2312" w:cs="楷体_GB2312"/>
          <w:b/>
          <w:kern w:val="2"/>
          <w:sz w:val="32"/>
          <w:szCs w:val="32"/>
        </w:rPr>
        <w:t>2.突出氛围营造。一是</w:t>
      </w:r>
      <w:r>
        <w:rPr>
          <w:rFonts w:hint="eastAsia" w:ascii="仿宋_GB2312" w:hAnsi="Times New Roman" w:eastAsia="仿宋_GB2312" w:cs="仿宋_GB2312"/>
          <w:b/>
          <w:kern w:val="2"/>
          <w:sz w:val="32"/>
          <w:szCs w:val="32"/>
        </w:rPr>
        <w:t>开展媒体宣传</w:t>
      </w:r>
      <w:r>
        <w:rPr>
          <w:rFonts w:hint="eastAsia" w:ascii="楷体_GB2312" w:eastAsia="楷体_GB2312" w:cs="楷体_GB2312"/>
          <w:b/>
          <w:kern w:val="2"/>
          <w:sz w:val="32"/>
          <w:szCs w:val="32"/>
        </w:rPr>
        <w:t>，</w:t>
      </w:r>
      <w:r>
        <w:rPr>
          <w:rFonts w:hint="eastAsia" w:ascii="仿宋_GB2312" w:hAnsi="Times New Roman" w:eastAsia="仿宋_GB2312" w:cs="仿宋_GB2312"/>
          <w:kern w:val="2"/>
          <w:sz w:val="32"/>
          <w:szCs w:val="32"/>
        </w:rPr>
        <w:t>充分利用传统和现代媒体开展宣传教育，累计在阿坝日报、阿坝新闻、微红原等线上平台宣传城乡环境综合治理信息30余条，推送环境治理、文明城市创建倡议书，不断提高群众环保意识；</w:t>
      </w:r>
      <w:r>
        <w:rPr>
          <w:rFonts w:hint="eastAsia" w:ascii="仿宋_GB2312" w:hAnsi="Times New Roman" w:eastAsia="仿宋_GB2312" w:cs="仿宋_GB2312"/>
          <w:b/>
          <w:kern w:val="2"/>
          <w:sz w:val="32"/>
          <w:szCs w:val="32"/>
        </w:rPr>
        <w:t>二是实施视觉宣传，</w:t>
      </w:r>
      <w:r>
        <w:rPr>
          <w:rFonts w:hint="eastAsia" w:ascii="仿宋_GB2312" w:hAnsi="Times New Roman" w:eastAsia="仿宋_GB2312" w:cs="仿宋_GB2312"/>
          <w:kern w:val="2"/>
          <w:sz w:val="32"/>
          <w:szCs w:val="32"/>
        </w:rPr>
        <w:t>在公路沿线LED显示屏不间断宣传全域环境整治，在公里桩上安装“爱护环境勿向车外扔垃圾”宣传牌10处，公路沿线安装果屑箱及宣传牌106幅。</w:t>
      </w:r>
      <w:r>
        <w:rPr>
          <w:rFonts w:hint="eastAsia" w:ascii="仿宋_GB2312" w:eastAsia="仿宋_GB2312" w:cs="仿宋_GB2312"/>
          <w:kern w:val="2"/>
          <w:sz w:val="32"/>
          <w:szCs w:val="32"/>
        </w:rPr>
        <w:t>按照全域旅游示范区创建工作要求，按照垃圾四分法，已在旅游沿线、观景台及景区等处设置了28组简易垃圾分类箱并张贴了相关标识。</w:t>
      </w:r>
    </w:p>
    <w:p>
      <w:pPr>
        <w:pStyle w:val="4"/>
        <w:shd w:val="clear" w:color="auto" w:fill="FFFFFF"/>
      </w:pPr>
      <w:r>
        <w:t>二、机构设置</w:t>
      </w:r>
    </w:p>
    <w:p>
      <w:pPr>
        <w:pStyle w:val="4"/>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bidi="ar-SA"/>
        </w:rPr>
        <w:t>红原县住房和城乡建设局下属二级单位1个，其中行政单位0个，参照公务员法管理的事业单位1个，其他事业单位0个。</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纳入红原县住房和城乡建设局202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年度部门决算编制范围的二级预算单位包括：</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Toc15378449"/>
      <w:bookmarkStart w:id="1" w:name="_Toc15377202"/>
      <w:bookmarkStart w:id="2" w:name="_Toc15306276"/>
      <w:bookmarkStart w:id="3" w:name="_Toc15377433"/>
      <w:r>
        <w:rPr>
          <w:rFonts w:hint="eastAsia" w:ascii="仿宋_GB2312" w:hAnsi="仿宋_GB2312" w:eastAsia="仿宋_GB2312" w:cs="仿宋_GB2312"/>
          <w:sz w:val="32"/>
          <w:szCs w:val="32"/>
        </w:rPr>
        <w:t>红原县</w:t>
      </w:r>
      <w:bookmarkEnd w:id="0"/>
      <w:bookmarkEnd w:id="1"/>
      <w:bookmarkEnd w:id="2"/>
      <w:bookmarkEnd w:id="3"/>
      <w:r>
        <w:rPr>
          <w:rFonts w:hint="eastAsia" w:ascii="仿宋_GB2312" w:hAnsi="仿宋_GB2312" w:eastAsia="仿宋_GB2312" w:cs="仿宋_GB2312"/>
          <w:sz w:val="32"/>
          <w:szCs w:val="32"/>
        </w:rPr>
        <w:t>城乡公共服务管理局</w:t>
      </w:r>
    </w:p>
    <w:p>
      <w:pPr>
        <w:pStyle w:val="11"/>
        <w:shd w:val="clear" w:color="auto" w:fill="FFFFFF"/>
      </w:pPr>
      <w:r>
        <w:t> </w:t>
      </w:r>
    </w:p>
    <w:p>
      <w:pPr>
        <w:pStyle w:val="3"/>
        <w:shd w:val="clear" w:color="auto" w:fill="FFFFFF"/>
        <w:jc w:val="center"/>
      </w:pPr>
      <w:r>
        <w:t>第二部分 202</w:t>
      </w:r>
      <w:r>
        <w:rPr>
          <w:rFonts w:hint="eastAsia"/>
          <w:lang w:val="en-US" w:eastAsia="zh-CN"/>
        </w:rPr>
        <w:t>2</w:t>
      </w:r>
      <w:r>
        <w:t>年度部门决算情况说明</w:t>
      </w:r>
    </w:p>
    <w:p>
      <w:pPr>
        <w:pStyle w:val="11"/>
        <w:shd w:val="clear" w:color="auto" w:fill="FFFFFF"/>
      </w:pPr>
      <w:r>
        <w:t> </w:t>
      </w:r>
    </w:p>
    <w:p>
      <w:pPr>
        <w:numPr>
          <w:ilvl w:val="0"/>
          <w:numId w:val="1"/>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收入支出决算总体情况说明</w:t>
      </w:r>
    </w:p>
    <w:p>
      <w:pPr>
        <w:pStyle w:val="11"/>
        <w:shd w:val="clear" w:color="auto" w:fill="FFFFFF"/>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年度收、支总计</w:t>
      </w:r>
      <w:r>
        <w:rPr>
          <w:rFonts w:hint="eastAsia" w:ascii="仿宋_GB2312" w:hAnsi="仿宋" w:eastAsia="仿宋_GB2312" w:cs="仿宋_GB2312"/>
          <w:kern w:val="0"/>
          <w:sz w:val="32"/>
          <w:szCs w:val="32"/>
          <w:shd w:val="clear" w:fill="FFFFFF"/>
        </w:rPr>
        <w:t>37,566.70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年相比，收、支总计各增加</w:t>
      </w:r>
      <w:r>
        <w:rPr>
          <w:rFonts w:hint="eastAsia" w:ascii="仿宋_GB2312" w:hAnsi="仿宋" w:eastAsia="仿宋_GB2312" w:cs="仿宋_GB2312"/>
          <w:kern w:val="0"/>
          <w:sz w:val="32"/>
          <w:szCs w:val="32"/>
          <w:shd w:val="clear" w:fill="FFFFFF"/>
        </w:rPr>
        <w:t>608.27</w:t>
      </w:r>
      <w:r>
        <w:rPr>
          <w:rFonts w:hint="eastAsia" w:ascii="仿宋_GB2312" w:hAnsi="仿宋_GB2312" w:eastAsia="仿宋_GB2312" w:cs="仿宋_GB2312"/>
          <w:sz w:val="32"/>
          <w:szCs w:val="32"/>
        </w:rPr>
        <w:t>万元，增长4.</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0%。主要变动原因是</w:t>
      </w:r>
      <w:r>
        <w:rPr>
          <w:rFonts w:hint="eastAsia" w:ascii="仿宋_GB2312" w:hAnsi="仿宋_GB2312" w:eastAsia="仿宋_GB2312" w:cs="仿宋_GB2312"/>
          <w:sz w:val="32"/>
          <w:szCs w:val="32"/>
          <w:lang w:val="en-US" w:eastAsia="zh-CN"/>
        </w:rPr>
        <w:t>2021年无财政返还金额。</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-43815</wp:posOffset>
            </wp:positionH>
            <wp:positionV relativeFrom="paragraph">
              <wp:posOffset>66675</wp:posOffset>
            </wp:positionV>
            <wp:extent cx="5001260" cy="2877820"/>
            <wp:effectExtent l="4445" t="4445" r="23495" b="13335"/>
            <wp:wrapSquare wrapText="bothSides"/>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numPr>
          <w:ilvl w:val="0"/>
          <w:numId w:val="2"/>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收入决算情况说明</w:t>
      </w:r>
    </w:p>
    <w:p>
      <w:pPr>
        <w:pStyle w:val="19"/>
        <w:keepNext w:val="0"/>
        <w:keepLines w:val="0"/>
        <w:widowControl/>
        <w:suppressLineNumbers w:val="0"/>
        <w:shd w:val="clear" w:fill="FFFFFF"/>
        <w:autoSpaceDE w:val="0"/>
        <w:autoSpaceDN/>
        <w:spacing w:before="0" w:beforeAutospacing="0" w:after="0" w:afterAutospacing="0" w:line="560" w:lineRule="exact"/>
        <w:ind w:left="0" w:firstLine="640" w:firstLineChars="200"/>
        <w:jc w:val="left"/>
        <w:rPr>
          <w:rFonts w:hint="eastAsia" w:ascii="仿宋_GB2312" w:hAnsi="仿宋" w:eastAsia="仿宋_GB2312" w:cs="宋体"/>
          <w:kern w:val="0"/>
          <w:sz w:val="32"/>
          <w:szCs w:val="32"/>
          <w:shd w:val="clear" w:fill="FFFFFF"/>
        </w:rPr>
      </w:pPr>
      <w:r>
        <w:rPr>
          <w:rFonts w:hint="eastAsia" w:ascii="仿宋_GB2312" w:hAnsi="仿宋" w:eastAsia="仿宋_GB2312" w:cs="仿宋_GB2312"/>
          <w:kern w:val="0"/>
          <w:sz w:val="32"/>
          <w:szCs w:val="32"/>
          <w:shd w:val="clear" w:fill="FFFFFF"/>
        </w:rPr>
        <w:t>本单位本年度收入全年预算数为26,071.37万元，收入决算数为26,071.37万元，预算完成度为100.00%，上年度预算完成度为100.00%。 本年度支出全年预算数为26,071.37万元，支出决算数为26,071.37万元，预算完成度为100.00%，上年度预算完成度为100.00%。</w:t>
      </w:r>
    </w:p>
    <w:p>
      <w:pPr>
        <w:numPr>
          <w:ilvl w:val="0"/>
          <w:numId w:val="3"/>
        </w:numPr>
        <w:shd w:val="clear" w:color="auto" w:fill="FFFFFF"/>
        <w:spacing w:before="100" w:beforeAutospacing="1" w:after="100" w:afterAutospacing="1"/>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支出决算情况说明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年本年支出合计26071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37万元，其中：基本支出858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34万元，占</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%；项目支出25213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03万元，占9</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rPr>
        <w:t>%。</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276225</wp:posOffset>
            </wp:positionH>
            <wp:positionV relativeFrom="paragraph">
              <wp:posOffset>49530</wp:posOffset>
            </wp:positionV>
            <wp:extent cx="4529455" cy="2442210"/>
            <wp:effectExtent l="4445" t="4445" r="19050" b="10795"/>
            <wp:wrapSquare wrapText="bothSides"/>
            <wp:docPr id="51" name="图表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b/>
          <w:bCs/>
          <w:sz w:val="32"/>
          <w:szCs w:val="32"/>
        </w:rPr>
      </w:pPr>
    </w:p>
    <w:p>
      <w:pPr>
        <w:pStyle w:val="11"/>
        <w:numPr>
          <w:ilvl w:val="0"/>
          <w:numId w:val="4"/>
        </w:numPr>
        <w:shd w:val="clear" w:color="auto" w:fill="FFFFFF"/>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财政拨款收入支出决算总体情况说明</w:t>
      </w:r>
      <w:r>
        <w:rPr>
          <w:rFonts w:hint="eastAsia" w:ascii="仿宋_GB2312" w:hAnsi="仿宋_GB2312" w:eastAsia="仿宋_GB2312" w:cs="仿宋_GB2312"/>
          <w:sz w:val="32"/>
          <w:szCs w:val="32"/>
          <w:lang w:val="en-US" w:eastAsia="zh-CN"/>
        </w:rPr>
        <w:t xml:space="preserve">      </w:t>
      </w:r>
    </w:p>
    <w:p>
      <w:pPr>
        <w:pStyle w:val="11"/>
        <w:numPr>
          <w:ilvl w:val="0"/>
          <w:numId w:val="0"/>
        </w:numPr>
        <w:shd w:val="clear" w:color="auto" w:fill="FFFFFF"/>
        <w:ind w:left="320" w:hanging="320" w:hanging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年财政拨款收、支总计26071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37万元。与202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年财政拨款收、支总计13231.13年相比，财政拨款收、支总计各增加</w:t>
      </w:r>
      <w:r>
        <w:rPr>
          <w:rFonts w:hint="eastAsia" w:ascii="仿宋_GB2312" w:hAnsi="仿宋_GB2312" w:eastAsia="仿宋_GB2312" w:cs="仿宋_GB2312"/>
          <w:sz w:val="32"/>
          <w:szCs w:val="32"/>
          <w:lang w:val="en-US" w:eastAsia="zh-CN"/>
        </w:rPr>
        <w:t>12840.24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97.04</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项目较</w:t>
      </w:r>
      <w:r>
        <w:rPr>
          <w:rFonts w:hint="eastAsia" w:ascii="仿宋_GB2312" w:hAnsi="仿宋_GB2312" w:eastAsia="仿宋_GB2312" w:cs="仿宋_GB2312"/>
          <w:sz w:val="32"/>
          <w:szCs w:val="32"/>
          <w:lang w:val="en-US" w:eastAsia="zh-CN"/>
        </w:rPr>
        <w:t>2021年增加较多。</w:t>
      </w:r>
    </w:p>
    <w:p>
      <w:pPr>
        <w:pStyle w:val="11"/>
        <w:numPr>
          <w:ilvl w:val="0"/>
          <w:numId w:val="0"/>
        </w:numPr>
        <w:shd w:val="clear" w:color="auto" w:fill="FFFFFF"/>
        <w:spacing w:before="100" w:beforeAutospacing="1" w:after="100" w:afterAutospacing="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124460</wp:posOffset>
            </wp:positionH>
            <wp:positionV relativeFrom="paragraph">
              <wp:posOffset>349885</wp:posOffset>
            </wp:positionV>
            <wp:extent cx="4501515" cy="2319020"/>
            <wp:effectExtent l="4445" t="4445" r="8890" b="19685"/>
            <wp:wrapSquare wrapText="bothSides"/>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11"/>
        <w:numPr>
          <w:ilvl w:val="0"/>
          <w:numId w:val="0"/>
        </w:numPr>
        <w:shd w:val="clear" w:color="auto" w:fill="FFFFFF"/>
        <w:spacing w:before="100" w:beforeAutospacing="1" w:after="100" w:afterAutospacing="1"/>
        <w:rPr>
          <w:rFonts w:hint="eastAsia" w:ascii="仿宋_GB2312" w:hAnsi="仿宋_GB2312" w:eastAsia="仿宋_GB2312" w:cs="仿宋_GB2312"/>
          <w:sz w:val="32"/>
          <w:szCs w:val="32"/>
          <w:lang w:val="en-US" w:eastAsia="zh-CN"/>
        </w:rPr>
      </w:pPr>
    </w:p>
    <w:p>
      <w:pPr>
        <w:pStyle w:val="11"/>
        <w:numPr>
          <w:ilvl w:val="0"/>
          <w:numId w:val="0"/>
        </w:numPr>
        <w:shd w:val="clear" w:color="auto" w:fill="FFFFFF"/>
        <w:rPr>
          <w:rFonts w:hint="default" w:ascii="仿宋_GB2312" w:hAnsi="仿宋_GB2312" w:eastAsia="仿宋_GB2312" w:cs="仿宋_GB2312"/>
          <w:sz w:val="32"/>
          <w:szCs w:val="32"/>
          <w:lang w:val="en-US" w:eastAsia="zh-CN"/>
        </w:rPr>
      </w:pP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Style w:val="14"/>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t>般公共预算财政拨款支出决算情况说明</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（一）一般公共预算财政拨款支出决算总体情况</w:t>
      </w:r>
    </w:p>
    <w:p>
      <w:pPr>
        <w:pStyle w:val="11"/>
        <w:shd w:val="clear" w:color="auto" w:fill="FFFFFF"/>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年一般公共预算财政拨款支出26071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37万元，占本年支出合计的100.00%。与202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年相比，一般公共预算财政拨款支出增加</w:t>
      </w:r>
      <w:r>
        <w:rPr>
          <w:rFonts w:hint="eastAsia" w:ascii="仿宋_GB2312" w:hAnsi="仿宋_GB2312" w:eastAsia="仿宋_GB2312" w:cs="仿宋_GB2312"/>
          <w:sz w:val="32"/>
          <w:szCs w:val="32"/>
          <w:lang w:val="en-US" w:eastAsia="zh-CN"/>
        </w:rPr>
        <w:t>12840.24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97.03</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项目支出增加。</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-15875</wp:posOffset>
            </wp:positionH>
            <wp:positionV relativeFrom="paragraph">
              <wp:posOffset>76835</wp:posOffset>
            </wp:positionV>
            <wp:extent cx="5029835" cy="3042920"/>
            <wp:effectExtent l="4445" t="4445" r="13970" b="19685"/>
            <wp:wrapSquare wrapText="bothSides"/>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z w:val="32"/>
          <w:szCs w:val="32"/>
        </w:rPr>
        <w:t> </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（二）一般公共预算财政拨款支出决算结构情况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年一般公共预算财政拨款支出2068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37万元，主要用于以下方面:</w:t>
      </w:r>
      <w:r>
        <w:rPr>
          <w:rStyle w:val="14"/>
          <w:rFonts w:hint="eastAsia" w:ascii="仿宋_GB2312" w:hAnsi="仿宋_GB2312" w:eastAsia="仿宋_GB2312" w:cs="仿宋_GB2312"/>
          <w:sz w:val="32"/>
          <w:szCs w:val="32"/>
          <w:lang w:eastAsia="zh-CN"/>
        </w:rPr>
        <w:t>住房保障</w:t>
      </w:r>
      <w:r>
        <w:rPr>
          <w:rStyle w:val="14"/>
          <w:rFonts w:hint="eastAsia" w:ascii="仿宋_GB2312" w:hAnsi="仿宋_GB2312" w:eastAsia="仿宋_GB2312" w:cs="仿宋_GB2312"/>
          <w:sz w:val="32"/>
          <w:szCs w:val="32"/>
        </w:rPr>
        <w:t>（类）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513.81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24.85</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节能环保</w:t>
      </w:r>
      <w:r>
        <w:rPr>
          <w:rStyle w:val="14"/>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城乡社区</w:t>
      </w:r>
      <w:r>
        <w:rPr>
          <w:rStyle w:val="14"/>
          <w:rFonts w:hint="eastAsia" w:ascii="仿宋_GB2312" w:hAnsi="仿宋_GB2312" w:eastAsia="仿宋_GB2312" w:cs="仿宋_GB2312"/>
          <w:sz w:val="32"/>
          <w:szCs w:val="32"/>
        </w:rPr>
        <w:t>（类）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1898.21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91.78</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其他</w:t>
      </w:r>
      <w:r>
        <w:rPr>
          <w:rStyle w:val="14"/>
          <w:rFonts w:hint="eastAsia" w:ascii="仿宋_GB2312" w:hAnsi="仿宋_GB2312" w:eastAsia="仿宋_GB2312" w:cs="仿宋_GB2312"/>
          <w:sz w:val="32"/>
          <w:szCs w:val="32"/>
        </w:rPr>
        <w:t>（类）支出</w:t>
      </w:r>
      <w:r>
        <w:rPr>
          <w:rStyle w:val="14"/>
          <w:rFonts w:hint="eastAsia" w:ascii="仿宋_GB2312" w:hAnsi="仿宋_GB2312" w:eastAsia="仿宋_GB2312" w:cs="仿宋_GB2312"/>
          <w:sz w:val="32"/>
          <w:szCs w:val="32"/>
          <w:lang w:val="en-US" w:eastAsia="zh-CN"/>
        </w:rPr>
        <w:t>0</w:t>
      </w:r>
      <w:r>
        <w:rPr>
          <w:rStyle w:val="14"/>
          <w:rFonts w:hint="eastAsia" w:ascii="仿宋_GB2312" w:hAnsi="仿宋_GB2312" w:eastAsia="仿宋_GB2312" w:cs="仿宋_GB2312"/>
          <w:sz w:val="32"/>
          <w:szCs w:val="32"/>
        </w:rPr>
        <w:t>万元，占</w:t>
      </w:r>
      <w:r>
        <w:rPr>
          <w:rStyle w:val="14"/>
          <w:rFonts w:hint="eastAsia" w:ascii="仿宋_GB2312" w:hAnsi="仿宋_GB2312" w:eastAsia="仿宋_GB2312" w:cs="仿宋_GB2312"/>
          <w:sz w:val="32"/>
          <w:szCs w:val="32"/>
          <w:lang w:val="en-US" w:eastAsia="zh-CN"/>
        </w:rPr>
        <w:t>0</w:t>
      </w:r>
      <w:r>
        <w:rPr>
          <w:rStyle w:val="14"/>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84.89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农林水支出（类）</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452755</wp:posOffset>
            </wp:positionH>
            <wp:positionV relativeFrom="paragraph">
              <wp:posOffset>110490</wp:posOffset>
            </wp:positionV>
            <wp:extent cx="4505325" cy="2396490"/>
            <wp:effectExtent l="4445" t="4445" r="5080" b="18415"/>
            <wp:wrapSquare wrapText="bothSides"/>
            <wp:docPr id="54" name="图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仿宋_GB2312" w:eastAsia="仿宋_GB2312" w:cs="仿宋_GB2312"/>
          <w:sz w:val="32"/>
          <w:szCs w:val="32"/>
        </w:rPr>
        <w:t> </w:t>
      </w: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（三）一般公共预算财政拨款支出决算具体情况</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202</w:t>
      </w:r>
      <w:r>
        <w:rPr>
          <w:rStyle w:val="14"/>
          <w:rFonts w:hint="eastAsia" w:ascii="仿宋_GB2312" w:hAnsi="仿宋_GB2312" w:eastAsia="仿宋_GB2312" w:cs="仿宋_GB2312"/>
          <w:sz w:val="32"/>
          <w:szCs w:val="32"/>
          <w:lang w:val="en-US" w:eastAsia="zh-CN"/>
        </w:rPr>
        <w:t>2</w:t>
      </w:r>
      <w:r>
        <w:rPr>
          <w:rStyle w:val="14"/>
          <w:rFonts w:hint="eastAsia" w:ascii="仿宋_GB2312" w:hAnsi="仿宋_GB2312" w:eastAsia="仿宋_GB2312" w:cs="仿宋_GB2312"/>
          <w:sz w:val="32"/>
          <w:szCs w:val="32"/>
        </w:rPr>
        <w:t>年一般公共预算支出决算数为</w:t>
      </w:r>
      <w:r>
        <w:rPr>
          <w:rFonts w:hint="eastAsia" w:ascii="仿宋_GB2312" w:hAnsi="仿宋_GB2312" w:eastAsia="仿宋_GB2312" w:cs="仿宋_GB2312"/>
          <w:sz w:val="32"/>
          <w:szCs w:val="32"/>
        </w:rPr>
        <w:t>2068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37，</w:t>
      </w:r>
      <w:r>
        <w:rPr>
          <w:rStyle w:val="14"/>
          <w:rFonts w:hint="eastAsia" w:ascii="仿宋_GB2312" w:hAnsi="仿宋_GB2312" w:eastAsia="仿宋_GB2312" w:cs="仿宋_GB2312"/>
          <w:sz w:val="32"/>
          <w:szCs w:val="32"/>
        </w:rPr>
        <w:t>完成预算100.00%。其中：</w:t>
      </w:r>
      <w:r>
        <w:rPr>
          <w:rFonts w:hint="eastAsia" w:ascii="仿宋_GB2312" w:hAnsi="仿宋_GB2312" w:eastAsia="仿宋_GB2312" w:cs="仿宋_GB2312"/>
          <w:sz w:val="32"/>
          <w:szCs w:val="32"/>
        </w:rPr>
        <w:t xml:space="preserve"> 1.社会保障和就业208: 支出决算为104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09万元，其中机关事业单位基本养老保险缴费支出2080505，支出决算为6</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万元，机关事业单位职业年金缴费支出2080506，支出决算为35</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2.卫生健康2</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:支出决算为56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其中公共卫生</w:t>
      </w:r>
      <w:r>
        <w:rPr>
          <w:rFonts w:hint="eastAsia" w:ascii="仿宋_GB2312" w:hAnsi="仿宋_GB2312" w:eastAsia="仿宋_GB2312" w:cs="仿宋_GB2312"/>
          <w:sz w:val="32"/>
          <w:szCs w:val="32"/>
          <w:lang w:val="en-US" w:eastAsia="zh-CN"/>
        </w:rPr>
        <w:t>21004：支出决算为12.33万元；</w:t>
      </w:r>
      <w:r>
        <w:rPr>
          <w:rFonts w:hint="eastAsia" w:ascii="仿宋_GB2312" w:hAnsi="仿宋_GB2312" w:eastAsia="仿宋_GB2312" w:cs="仿宋_GB2312"/>
          <w:sz w:val="32"/>
          <w:szCs w:val="32"/>
        </w:rPr>
        <w:t>其中重大公共卫生服务2</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0409：支出决算为</w:t>
      </w:r>
      <w:r>
        <w:rPr>
          <w:rFonts w:hint="eastAsia" w:ascii="仿宋_GB2312" w:hAnsi="仿宋_GB2312" w:eastAsia="仿宋_GB2312" w:cs="仿宋_GB2312"/>
          <w:sz w:val="32"/>
          <w:szCs w:val="32"/>
          <w:lang w:val="en-US" w:eastAsia="zh-CN"/>
        </w:rPr>
        <w:t>12.33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3.行政事业单位医疗21011：支出决算为43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万元，其中行政单位医疗2101101，支出决算为11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万元，其中事业单位医疗2101102，支出决算为18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万元，其中公务员医疗补助2101103，支出决算为8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万元，其中其他行政事业单位医疗支出2101199，支出决算为5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52万元，完成预算100%，决算数等于预算数。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4.污染防治21103：支出决算为98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万元，其中水体2110302，支出决算为988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万元，其中其他污染防治支出2110399，支出决算为</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5.自然生态保护21104：支出决算为336万元，其中生态保护2110401，支出决算为336万元，完成预算100%，决算数等于预算数。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6.城乡社区管理事务21201：支出决算为667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万元，其中行政运行2120101支出决算为298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万元，其中城管执法2120104，支出决算为369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22万元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default" w:eastAsia="仿宋_GB2312"/>
          <w:lang w:val="en-US" w:eastAsia="zh-CN"/>
        </w:rPr>
      </w:pP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7、城乡社区规划与管理21202：支出决算为447.46万元，其中城乡社区规划与管理2120201：支出决算为447.46万元，</w:t>
      </w:r>
      <w:r>
        <w:rPr>
          <w:rFonts w:hint="eastAsia" w:ascii="仿宋_GB2312" w:hAnsi="仿宋_GB2312" w:eastAsia="仿宋_GB2312" w:cs="仿宋_GB2312"/>
          <w:sz w:val="32"/>
          <w:szCs w:val="32"/>
        </w:rPr>
        <w:t>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.城乡社区公共设施21203：支出决算为1036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88万元，其中其他城乡社区公共设施支出2120399，支出决算为1036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88万元，完成预算100%，决算数等于预算数。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.城乡社区环境卫生21205：支出决算为2070.89万元，其中城乡社区环境卫生2120501，支出决算为2070.89万元，完成预算100%，决算数等于预算数。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.其他城乡社区支出21299：支出决算为175.29万元，其中其他城乡社区支出21299</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，支出决算为175.29万元，完成预算100%，决算数等于预算数。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.扶贫21305 ：支出决算为11893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万元，其中其他农业农村支出213</w:t>
      </w:r>
      <w:r>
        <w:rPr>
          <w:rFonts w:hint="eastAsia" w:ascii="仿宋_GB2312" w:hAnsi="仿宋_GB2312" w:eastAsia="仿宋_GB2312" w:cs="仿宋_GB2312"/>
          <w:sz w:val="32"/>
          <w:szCs w:val="32"/>
          <w:lang w:val="en-US" w:eastAsia="zh-CN"/>
        </w:rPr>
        <w:t>0501：</w:t>
      </w:r>
      <w:r>
        <w:rPr>
          <w:rFonts w:hint="eastAsia" w:ascii="仿宋_GB2312" w:hAnsi="仿宋_GB2312" w:eastAsia="仿宋_GB2312" w:cs="仿宋_GB2312"/>
          <w:sz w:val="32"/>
          <w:szCs w:val="32"/>
        </w:rPr>
        <w:t>支出决算为11893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成预算100%，决算数等于预算数。</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住房保障支出221，支出决算为1443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保障性安居工程支出</w:t>
      </w:r>
      <w:r>
        <w:rPr>
          <w:rFonts w:hint="eastAsia" w:ascii="仿宋_GB2312" w:hAnsi="仿宋_GB2312" w:eastAsia="仿宋_GB2312" w:cs="仿宋_GB2312"/>
          <w:sz w:val="32"/>
          <w:szCs w:val="32"/>
          <w:lang w:val="en-US" w:eastAsia="zh-CN"/>
        </w:rPr>
        <w:t>22101：</w:t>
      </w:r>
      <w:r>
        <w:rPr>
          <w:rFonts w:hint="eastAsia" w:ascii="仿宋_GB2312" w:hAnsi="仿宋_GB2312" w:eastAsia="仿宋_GB2312" w:cs="仿宋_GB2312"/>
          <w:sz w:val="32"/>
          <w:szCs w:val="32"/>
        </w:rPr>
        <w:t>支出决算为329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其中住房公积金2210201，支出决算为57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69万元，完成预算100%，决算数等于预算数。</w:t>
      </w:r>
    </w:p>
    <w:p>
      <w:pPr>
        <w:pStyle w:val="11"/>
        <w:shd w:val="clear" w:color="auto" w:fill="FFFFFF"/>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13.其他支出229，支出决算为27.69万元，其中其他支出2299999，支出决算为27.69万元</w:t>
      </w:r>
      <w:r>
        <w:rPr>
          <w:rFonts w:hint="eastAsia" w:ascii="仿宋_GB2312" w:hAnsi="仿宋_GB2312" w:eastAsia="仿宋_GB2312" w:cs="仿宋_GB2312"/>
          <w:sz w:val="32"/>
          <w:szCs w:val="32"/>
        </w:rPr>
        <w:t>，完成预算100%，决算数等于预算数。</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Style w:val="14"/>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t>般公共预算财政拨款基本支出决算情况说明   </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年一般公共预算财政拨款基本支出858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34万元，其中：</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人员经费798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公用经费59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11"/>
        <w:shd w:val="clear" w:color="auto" w:fill="FFFFFF"/>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七、“三公”经费财政拨款支出决算情况说明</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（一）“三公”经费财政拨款支出决算总体情况说明</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2021年“三公”经费财政拨款支出决算为5.82万元，完成预算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%，决算数与预算数持平。</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（二）“三公”经费财政拨款支出决算具体情况说明</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2021年“三公”经费财政拨款支出决算中，因公出国公务用车购置及运行维护费支出决算</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万元，占8</w:t>
      </w:r>
      <w:r>
        <w:rPr>
          <w:rFonts w:hint="eastAsia" w:ascii="仿宋_GB2312" w:hAnsi="仿宋_GB2312" w:eastAsia="仿宋_GB2312" w:cs="仿宋_GB2312"/>
          <w:sz w:val="32"/>
          <w:szCs w:val="32"/>
          <w:lang w:val="en-US" w:eastAsia="zh-CN"/>
        </w:rPr>
        <w:t>7.74</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0.52</w:t>
      </w:r>
      <w:r>
        <w:rPr>
          <w:rFonts w:hint="eastAsia" w:ascii="仿宋_GB2312" w:hAnsi="仿宋_GB2312" w:eastAsia="仿宋_GB2312" w:cs="仿宋_GB2312"/>
          <w:sz w:val="32"/>
          <w:szCs w:val="32"/>
        </w:rPr>
        <w:t>万元，占1</w:t>
      </w:r>
      <w:r>
        <w:rPr>
          <w:rFonts w:hint="eastAsia" w:ascii="仿宋_GB2312" w:hAnsi="仿宋_GB2312" w:eastAsia="仿宋_GB2312" w:cs="仿宋_GB2312"/>
          <w:sz w:val="32"/>
          <w:szCs w:val="32"/>
          <w:lang w:val="en-US" w:eastAsia="zh-CN"/>
        </w:rPr>
        <w:t>5.26</w:t>
      </w:r>
      <w:r>
        <w:rPr>
          <w:rFonts w:hint="eastAsia" w:ascii="仿宋_GB2312" w:hAnsi="仿宋_GB2312" w:eastAsia="仿宋_GB2312" w:cs="仿宋_GB2312"/>
          <w:sz w:val="32"/>
          <w:szCs w:val="32"/>
        </w:rPr>
        <w:t>%。具体情况如下：</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4384" behindDoc="0" locked="0" layoutInCell="1" allowOverlap="1">
            <wp:simplePos x="0" y="0"/>
            <wp:positionH relativeFrom="column">
              <wp:posOffset>528320</wp:posOffset>
            </wp:positionH>
            <wp:positionV relativeFrom="paragraph">
              <wp:posOffset>390525</wp:posOffset>
            </wp:positionV>
            <wp:extent cx="4475480" cy="2994660"/>
            <wp:effectExtent l="4445" t="4445" r="15875" b="10795"/>
            <wp:wrapSquare wrapText="bothSides"/>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ind w:left="643" w:hanging="643" w:hangingChars="200"/>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1.因公出国（境）经费支出</w:t>
      </w:r>
      <w:r>
        <w:rPr>
          <w:rFonts w:hint="eastAsia" w:ascii="仿宋_GB2312" w:hAnsi="仿宋_GB2312" w:eastAsia="仿宋_GB2312" w:cs="仿宋_GB2312"/>
          <w:sz w:val="32"/>
          <w:szCs w:val="32"/>
        </w:rPr>
        <w:t>0.00万元，</w:t>
      </w:r>
      <w:r>
        <w:rPr>
          <w:rStyle w:val="14"/>
          <w:rFonts w:hint="eastAsia" w:ascii="仿宋_GB2312" w:hAnsi="仿宋_GB2312" w:eastAsia="仿宋_GB2312" w:cs="仿宋_GB2312"/>
          <w:sz w:val="32"/>
          <w:szCs w:val="32"/>
        </w:rPr>
        <w:t>完成预算0.00%。</w:t>
      </w:r>
      <w:r>
        <w:rPr>
          <w:rFonts w:hint="eastAsia" w:ascii="仿宋_GB2312" w:hAnsi="仿宋_GB2312" w:eastAsia="仿宋_GB2312" w:cs="仿宋_GB2312"/>
          <w:sz w:val="32"/>
          <w:szCs w:val="32"/>
        </w:rPr>
        <w:t>全年安排因公出国（境）团组0次，出国（境）0人。</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2.公务用车购置及运行维护费支出</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万元,</w:t>
      </w:r>
      <w:r>
        <w:rPr>
          <w:rStyle w:val="14"/>
          <w:rFonts w:hint="eastAsia" w:ascii="仿宋_GB2312" w:hAnsi="仿宋_GB2312" w:eastAsia="仿宋_GB2312" w:cs="仿宋_GB2312"/>
          <w:sz w:val="32"/>
          <w:szCs w:val="32"/>
        </w:rPr>
        <w:t>完成预算</w:t>
      </w:r>
      <w:r>
        <w:rPr>
          <w:rStyle w:val="14"/>
          <w:rFonts w:hint="eastAsia" w:ascii="仿宋_GB2312" w:hAnsi="仿宋_GB2312" w:eastAsia="仿宋_GB2312" w:cs="仿宋_GB2312"/>
          <w:sz w:val="32"/>
          <w:szCs w:val="32"/>
          <w:lang w:val="en-US" w:eastAsia="zh-CN"/>
        </w:rPr>
        <w:t>100</w:t>
      </w:r>
      <w:r>
        <w:rPr>
          <w:rStyle w:val="14"/>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公务用车购置及运行维护费支出决算比202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年增加-</w:t>
      </w:r>
      <w:r>
        <w:rPr>
          <w:rFonts w:hint="eastAsia" w:ascii="仿宋_GB2312" w:hAnsi="仿宋_GB2312" w:eastAsia="仿宋_GB2312" w:cs="仿宋_GB2312"/>
          <w:sz w:val="32"/>
          <w:szCs w:val="32"/>
          <w:lang w:val="en-US" w:eastAsia="zh-CN"/>
        </w:rPr>
        <w:t>1.88</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50.54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维修次数较上年度有所减少</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r>
        <w:rPr>
          <w:rStyle w:val="14"/>
          <w:rFonts w:hint="eastAsia" w:ascii="仿宋_GB2312" w:hAnsi="仿宋_GB2312" w:eastAsia="仿宋_GB2312" w:cs="仿宋_GB2312"/>
          <w:sz w:val="32"/>
          <w:szCs w:val="32"/>
        </w:rPr>
        <w:t>公务用车购置支出</w:t>
      </w:r>
      <w:r>
        <w:rPr>
          <w:rFonts w:hint="eastAsia" w:ascii="仿宋_GB2312" w:hAnsi="仿宋_GB2312" w:eastAsia="仿宋_GB2312" w:cs="仿宋_GB2312"/>
          <w:sz w:val="32"/>
          <w:szCs w:val="32"/>
        </w:rPr>
        <w:t>0.00万元。截至2021年12月底，单位共有公务用车 5辆，其中：主要领导干部用车0辆、机要通信用车0辆、应急保障用车5辆、执法执勤用车0辆、特种专业技术用车0 辆、离退休干部用车0辆、其他用车0辆。</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公务用车运行维护费支出</w:t>
      </w:r>
      <w:r>
        <w:rPr>
          <w:rFonts w:hint="eastAsia" w:ascii="仿宋_GB2312" w:hAnsi="仿宋_GB2312" w:eastAsia="仿宋_GB2312" w:cs="仿宋_GB2312"/>
          <w:sz w:val="32"/>
          <w:szCs w:val="32"/>
          <w:lang w:val="en-US" w:eastAsia="zh-CN"/>
        </w:rPr>
        <w:t>3.72</w:t>
      </w:r>
      <w:r>
        <w:rPr>
          <w:rFonts w:hint="eastAsia" w:ascii="仿宋_GB2312" w:hAnsi="仿宋_GB2312" w:eastAsia="仿宋_GB2312" w:cs="仿宋_GB2312"/>
          <w:sz w:val="32"/>
          <w:szCs w:val="32"/>
        </w:rPr>
        <w:t>万元。主要用于车辆日常维修维护，等所需的公务用车燃料费、维修费、过路过桥费、保险费等支出。</w:t>
      </w:r>
    </w:p>
    <w:p>
      <w:pPr>
        <w:pStyle w:val="11"/>
        <w:shd w:val="clear" w:color="auto" w:fill="FFFFFF"/>
        <w:rPr>
          <w:rFonts w:hint="eastAsia" w:ascii="仿宋_GB2312" w:hAnsi="仿宋_GB2312" w:eastAsia="仿宋_GB2312" w:cs="仿宋_GB2312"/>
          <w:sz w:val="32"/>
          <w:szCs w:val="32"/>
          <w:lang w:eastAsia="zh-CN"/>
        </w:rPr>
      </w:pPr>
      <w:r>
        <w:rPr>
          <w:rStyle w:val="14"/>
          <w:rFonts w:hint="eastAsia" w:ascii="仿宋_GB2312" w:hAnsi="仿宋_GB2312" w:eastAsia="仿宋_GB2312" w:cs="仿宋_GB2312"/>
          <w:sz w:val="32"/>
          <w:szCs w:val="32"/>
        </w:rPr>
        <w:t>3.公务接待费支出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w:t>
      </w:r>
      <w:r>
        <w:rPr>
          <w:rStyle w:val="14"/>
          <w:rFonts w:hint="eastAsia" w:ascii="仿宋_GB2312" w:hAnsi="仿宋_GB2312" w:eastAsia="仿宋_GB2312" w:cs="仿宋_GB2312"/>
          <w:sz w:val="32"/>
          <w:szCs w:val="32"/>
        </w:rPr>
        <w:t>完成预算100%。</w:t>
      </w:r>
      <w:r>
        <w:rPr>
          <w:rFonts w:hint="eastAsia" w:ascii="仿宋_GB2312" w:hAnsi="仿宋_GB2312" w:eastAsia="仿宋_GB2312" w:cs="仿宋_GB2312"/>
          <w:sz w:val="32"/>
          <w:szCs w:val="32"/>
        </w:rPr>
        <w:t>公务接待费支出决算比202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-26.93</w:t>
      </w:r>
      <w:r>
        <w:rPr>
          <w:rFonts w:hint="eastAsia" w:ascii="仿宋_GB2312" w:hAnsi="仿宋_GB2312" w:eastAsia="仿宋_GB2312" w:cs="仿宋_GB2312"/>
          <w:sz w:val="32"/>
          <w:szCs w:val="32"/>
        </w:rPr>
        <w:t>%。主要原因是公务接待次数以及人次较20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年有所</w:t>
      </w:r>
      <w:r>
        <w:rPr>
          <w:rFonts w:hint="eastAsia" w:ascii="仿宋_GB2312" w:hAnsi="仿宋_GB2312" w:eastAsia="仿宋_GB2312" w:cs="仿宋_GB2312"/>
          <w:sz w:val="32"/>
          <w:szCs w:val="32"/>
          <w:lang w:eastAsia="zh-CN"/>
        </w:rPr>
        <w:t>减少。</w:t>
      </w:r>
    </w:p>
    <w:p>
      <w:pPr>
        <w:pStyle w:val="11"/>
        <w:shd w:val="clear" w:color="auto" w:fill="FFFFFF"/>
        <w:rPr>
          <w:rFonts w:hint="eastAsia" w:ascii="仿宋_GB2312" w:hAnsi="仿宋_GB2312" w:eastAsia="仿宋_GB2312" w:cs="仿宋_GB2312"/>
          <w:sz w:val="32"/>
          <w:szCs w:val="32"/>
          <w:lang w:eastAsia="zh-CN"/>
        </w:rPr>
      </w:pPr>
      <w:r>
        <w:rPr>
          <w:rStyle w:val="14"/>
          <w:rFonts w:hint="eastAsia" w:ascii="仿宋_GB2312" w:hAnsi="仿宋_GB2312" w:eastAsia="仿宋_GB2312" w:cs="仿宋_GB2312"/>
          <w:color w:val="000000" w:themeColor="text1"/>
          <w:sz w:val="32"/>
          <w:szCs w:val="32"/>
          <w14:textFill>
            <w14:solidFill>
              <w14:schemeClr w14:val="tx1"/>
            </w14:solidFill>
          </w14:textFill>
        </w:rPr>
        <w:t>国内公务接待支出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万元，主要用于国内公务接待</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包括陪同人员），共计支出0.</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Style w:val="11"/>
        <w:shd w:val="clear" w:color="auto" w:fill="FFFFFF"/>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八、政府性基金预算支出决算情况说明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年政府性基金预算财政拨款支出0.00万元。</w:t>
      </w:r>
    </w:p>
    <w:p>
      <w:pPr>
        <w:numPr>
          <w:ilvl w:val="0"/>
          <w:numId w:val="5"/>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国有资本经营预算支出决算情况说明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年国有资本经营预算财政拨款支出0.00万元。</w:t>
      </w:r>
    </w:p>
    <w:p>
      <w:pPr>
        <w:numPr>
          <w:ilvl w:val="0"/>
          <w:numId w:val="6"/>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其他重要事项的情况说明</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一</w:t>
      </w:r>
      <w:r>
        <w:rPr>
          <w:rStyle w:val="14"/>
          <w:rFonts w:hint="eastAsia" w:ascii="仿宋_GB2312" w:hAnsi="仿宋_GB2312" w:eastAsia="仿宋_GB2312" w:cs="仿宋_GB2312"/>
          <w:sz w:val="32"/>
          <w:szCs w:val="32"/>
        </w:rPr>
        <w:t>）国有资产占有使用情况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红原县住房和城乡建设局</w:t>
      </w:r>
      <w:r>
        <w:rPr>
          <w:rFonts w:hint="eastAsia" w:ascii="仿宋_GB2312" w:hAnsi="仿宋_GB2312" w:eastAsia="仿宋_GB2312" w:cs="仿宋_GB2312"/>
          <w:sz w:val="32"/>
          <w:szCs w:val="32"/>
        </w:rPr>
        <w:t>共有车辆5辆，其中：主要领导干部用车0辆、机要通信用车0辆、应急保障用车5辆、其他用车0辆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单价50万元以上通用设备0台（套），单价100万元以上专用设备0台（套）。</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二</w:t>
      </w:r>
      <w:r>
        <w:rPr>
          <w:rStyle w:val="14"/>
          <w:rFonts w:hint="eastAsia" w:ascii="仿宋_GB2312" w:hAnsi="仿宋_GB2312" w:eastAsia="仿宋_GB2312" w:cs="仿宋_GB2312"/>
          <w:sz w:val="32"/>
          <w:szCs w:val="32"/>
        </w:rPr>
        <w:t>）预算绩效管理情况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年度预算编制阶段，组织对202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年农村危房改造和抗震加固改造等</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个项目开展了绩效自评。</w:t>
      </w:r>
    </w:p>
    <w:p>
      <w:pPr>
        <w:pStyle w:val="11"/>
        <w:shd w:val="clear" w:color="auto" w:fill="FFFFFF"/>
        <w:jc w:val="center"/>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第三部分 名词解释</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9.社会保障和就业2080506：指反应机关事业单位养老保险、职业年金等缴费支出。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10.医疗卫生与计划生育2101101：指反应行政单位医疗方面的支出。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11.节能环保2110401：指反应用于生态保护区、生态示范区、生态省管理及能力建设日常管护、宣教、试点示范等支出，生态修复支出，资源开发生态监管等支出。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12.城乡社区2121399：指反映行政单位的基本支出或未单独设置项级科目的其他项目支出。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13.农林水2139999：指反映用于农村（包括国有农场、国有林场）扶贫开发等方面的支出。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14.住房保障2210103：指反映用于保障性住房方面的支出或反映行政事业单位按人力资源和社会保障部、财政部规定的基本工资和津贴补贴以及规定比例为职工缴纳的住房公积金。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15.一般公共服务支出2019999：指行政单位未单独设置项级科目的其他项目支出。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16.基本支出：指为保障机构正常运转、完成日常工作任务而发生的人员支出和公用支出。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20.基本支出：指为保障机构正常运转、完成日常工作任务而发生的人员支出和公用支出。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22.经营支出：指事业单位在专业业务活动及其辅助活动之外开展非独立核算经营活动发生的支出。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shd w:val="clear" w:color="auto" w:fill="FFFFFF"/>
        <w:jc w:val="center"/>
      </w:pPr>
      <w:r>
        <w:rPr>
          <w:rStyle w:val="14"/>
          <w:sz w:val="39"/>
          <w:szCs w:val="39"/>
        </w:rPr>
        <w:t>第</w:t>
      </w:r>
      <w:r>
        <w:rPr>
          <w:rStyle w:val="14"/>
          <w:rFonts w:hint="eastAsia"/>
          <w:sz w:val="39"/>
          <w:szCs w:val="39"/>
          <w:lang w:eastAsia="zh-CN"/>
        </w:rPr>
        <w:t>四</w:t>
      </w:r>
      <w:r>
        <w:rPr>
          <w:rStyle w:val="14"/>
          <w:sz w:val="39"/>
          <w:szCs w:val="39"/>
        </w:rPr>
        <w:t>部分 附表</w:t>
      </w:r>
    </w:p>
    <w:p>
      <w:pPr>
        <w:pStyle w:val="4"/>
        <w:shd w:val="clear" w:color="auto" w:fill="FFFFFF"/>
      </w:pPr>
      <w:r>
        <w:t>一、收入支出决算总表</w:t>
      </w:r>
    </w:p>
    <w:p>
      <w:pPr>
        <w:pStyle w:val="4"/>
        <w:shd w:val="clear" w:color="auto" w:fill="FFFFFF"/>
      </w:pPr>
      <w:r>
        <w:t>二、收入决算表</w:t>
      </w:r>
    </w:p>
    <w:p>
      <w:pPr>
        <w:pStyle w:val="4"/>
        <w:shd w:val="clear" w:color="auto" w:fill="FFFFFF"/>
      </w:pPr>
      <w:r>
        <w:t>三、支出决算表</w:t>
      </w:r>
    </w:p>
    <w:p>
      <w:pPr>
        <w:pStyle w:val="4"/>
        <w:shd w:val="clear" w:color="auto" w:fill="FFFFFF"/>
      </w:pPr>
      <w:r>
        <w:t>四、财政拨款收入支出决算总表</w:t>
      </w:r>
    </w:p>
    <w:p>
      <w:pPr>
        <w:pStyle w:val="4"/>
        <w:shd w:val="clear" w:color="auto" w:fill="FFFFFF"/>
      </w:pPr>
      <w:r>
        <w:t>五、财政拨款支出决算明细表</w:t>
      </w:r>
    </w:p>
    <w:p>
      <w:pPr>
        <w:pStyle w:val="4"/>
        <w:shd w:val="clear" w:color="auto" w:fill="FFFFFF"/>
      </w:pPr>
      <w:r>
        <w:t>六、一般公共预算财政拨款支出决算表</w:t>
      </w:r>
    </w:p>
    <w:p>
      <w:pPr>
        <w:pStyle w:val="4"/>
        <w:shd w:val="clear" w:color="auto" w:fill="FFFFFF"/>
      </w:pPr>
      <w:r>
        <w:t>七、一般公共预算财政拨款支出决算明细表</w:t>
      </w:r>
    </w:p>
    <w:p>
      <w:pPr>
        <w:pStyle w:val="4"/>
        <w:shd w:val="clear" w:color="auto" w:fill="FFFFFF"/>
      </w:pPr>
      <w:r>
        <w:t>八、一般公共预算财政拨款基本支出决算表</w:t>
      </w:r>
    </w:p>
    <w:p>
      <w:pPr>
        <w:pStyle w:val="4"/>
        <w:shd w:val="clear" w:color="auto" w:fill="FFFFFF"/>
      </w:pPr>
      <w:r>
        <w:t>九、一般公共预算财政拨款项目支出决算表</w:t>
      </w:r>
    </w:p>
    <w:p>
      <w:pPr>
        <w:pStyle w:val="4"/>
        <w:shd w:val="clear" w:color="auto" w:fill="FFFFFF"/>
      </w:pPr>
      <w:r>
        <w:t>十、一般公共预算财政拨款“三公”经费支出决算表</w:t>
      </w:r>
    </w:p>
    <w:p>
      <w:pPr>
        <w:pStyle w:val="4"/>
        <w:shd w:val="clear" w:color="auto" w:fill="FFFFFF"/>
      </w:pPr>
      <w:r>
        <w:t>十一、政府性基金预算财政拨款收入支出决算表</w:t>
      </w:r>
    </w:p>
    <w:p>
      <w:pPr>
        <w:pStyle w:val="4"/>
        <w:shd w:val="clear" w:color="auto" w:fill="FFFFFF"/>
      </w:pPr>
      <w:r>
        <w:t>十二、政府性基金预算财政拨款“三公”经费支出决算表</w:t>
      </w:r>
    </w:p>
    <w:p>
      <w:pPr>
        <w:pStyle w:val="4"/>
        <w:shd w:val="clear" w:color="auto" w:fill="FFFFFF"/>
      </w:pPr>
      <w:r>
        <w:t>十三、国有资本经营预算财政拨款收入支出决算表</w:t>
      </w:r>
    </w:p>
    <w:p>
      <w:pPr>
        <w:pStyle w:val="4"/>
        <w:shd w:val="clear" w:color="auto" w:fill="FFFFFF"/>
      </w:pPr>
      <w:r>
        <w:t>十四、国有资本经营预算财政拨款支出决算表</w:t>
      </w:r>
    </w:p>
    <w:p>
      <w:pPr>
        <w:pStyle w:val="11"/>
        <w:shd w:val="clear" w:color="auto" w:fill="FFFFFF"/>
        <w:rPr>
          <w:rFonts w:ascii="宋体" w:hAnsi="宋体" w:eastAsia="宋体" w:cs="宋体"/>
          <w:b/>
          <w:bCs/>
          <w:sz w:val="36"/>
          <w:szCs w:val="36"/>
          <w:lang w:val="en-US" w:eastAsia="zh-CN" w:bidi="ar-SA"/>
        </w:rPr>
      </w:pPr>
      <w:r>
        <w:rPr>
          <w:rFonts w:ascii="宋体" w:hAnsi="宋体" w:eastAsia="宋体" w:cs="宋体"/>
          <w:b/>
          <w:bCs/>
          <w:sz w:val="36"/>
          <w:szCs w:val="36"/>
          <w:lang w:val="en-US" w:eastAsia="zh-CN" w:bidi="ar-SA"/>
        </w:rPr>
        <w:t>十四、国有资本经营预算财政拨款支出决算表</w:t>
      </w:r>
    </w:p>
    <w:sectPr>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A2F1"/>
    <w:multiLevelType w:val="singleLevel"/>
    <w:tmpl w:val="0222A2F1"/>
    <w:lvl w:ilvl="0" w:tentative="0">
      <w:start w:val="4"/>
      <w:numFmt w:val="chineseCounting"/>
      <w:suff w:val="nothing"/>
      <w:lvlText w:val="%1、"/>
      <w:lvlJc w:val="left"/>
      <w:rPr>
        <w:rFonts w:hint="eastAsia"/>
      </w:rPr>
    </w:lvl>
  </w:abstractNum>
  <w:abstractNum w:abstractNumId="1">
    <w:nsid w:val="038D5C14"/>
    <w:multiLevelType w:val="multilevel"/>
    <w:tmpl w:val="038D5C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1BC087B"/>
    <w:multiLevelType w:val="multilevel"/>
    <w:tmpl w:val="11BC08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9AA5B54"/>
    <w:multiLevelType w:val="multilevel"/>
    <w:tmpl w:val="39AA5B5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E950864"/>
    <w:multiLevelType w:val="multilevel"/>
    <w:tmpl w:val="3E9508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4E0E283E"/>
    <w:multiLevelType w:val="multilevel"/>
    <w:tmpl w:val="4E0E283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mM2FlN2EwOTAzMjM0MzIyMTMyZGY4NDZhZmE1MDQifQ=="/>
  </w:docVars>
  <w:rsids>
    <w:rsidRoot w:val="00E809C0"/>
    <w:rsid w:val="0082142C"/>
    <w:rsid w:val="00E809C0"/>
    <w:rsid w:val="00F1191B"/>
    <w:rsid w:val="01483505"/>
    <w:rsid w:val="01875DDB"/>
    <w:rsid w:val="039556DF"/>
    <w:rsid w:val="04242C6A"/>
    <w:rsid w:val="072A7934"/>
    <w:rsid w:val="08AA4C4F"/>
    <w:rsid w:val="091B5B83"/>
    <w:rsid w:val="092D370C"/>
    <w:rsid w:val="09B30D57"/>
    <w:rsid w:val="0A310FDA"/>
    <w:rsid w:val="0B261C02"/>
    <w:rsid w:val="0B493230"/>
    <w:rsid w:val="0CF743E2"/>
    <w:rsid w:val="0D2B61B4"/>
    <w:rsid w:val="0DB10A78"/>
    <w:rsid w:val="0DEE2D3E"/>
    <w:rsid w:val="0E236E8B"/>
    <w:rsid w:val="0F546F6A"/>
    <w:rsid w:val="103C5FE2"/>
    <w:rsid w:val="13456A27"/>
    <w:rsid w:val="13C27285"/>
    <w:rsid w:val="140D6214"/>
    <w:rsid w:val="1560771A"/>
    <w:rsid w:val="15A70D3A"/>
    <w:rsid w:val="16FA54BC"/>
    <w:rsid w:val="1783211A"/>
    <w:rsid w:val="178B0334"/>
    <w:rsid w:val="18A93A14"/>
    <w:rsid w:val="18B73D67"/>
    <w:rsid w:val="19314B52"/>
    <w:rsid w:val="1AD02149"/>
    <w:rsid w:val="1B514C3C"/>
    <w:rsid w:val="1D9C27B6"/>
    <w:rsid w:val="1FBC0EEE"/>
    <w:rsid w:val="1FEA7809"/>
    <w:rsid w:val="207462A2"/>
    <w:rsid w:val="20896A9A"/>
    <w:rsid w:val="208C6B12"/>
    <w:rsid w:val="20D97ED6"/>
    <w:rsid w:val="22993768"/>
    <w:rsid w:val="22D56B65"/>
    <w:rsid w:val="23684126"/>
    <w:rsid w:val="237044C9"/>
    <w:rsid w:val="237A7F73"/>
    <w:rsid w:val="250F7E9F"/>
    <w:rsid w:val="26FE003E"/>
    <w:rsid w:val="2785555C"/>
    <w:rsid w:val="2B367DA6"/>
    <w:rsid w:val="2E026666"/>
    <w:rsid w:val="30354AD0"/>
    <w:rsid w:val="316E28F2"/>
    <w:rsid w:val="32024E86"/>
    <w:rsid w:val="33C85C5B"/>
    <w:rsid w:val="33F20F2A"/>
    <w:rsid w:val="34333DF1"/>
    <w:rsid w:val="35AB1391"/>
    <w:rsid w:val="35DE3514"/>
    <w:rsid w:val="36BD5820"/>
    <w:rsid w:val="39015CA8"/>
    <w:rsid w:val="39672C2B"/>
    <w:rsid w:val="399A1E48"/>
    <w:rsid w:val="3A384C9A"/>
    <w:rsid w:val="3CEF24BF"/>
    <w:rsid w:val="3D4E29E8"/>
    <w:rsid w:val="3D4E6265"/>
    <w:rsid w:val="3DC157B0"/>
    <w:rsid w:val="3E025B80"/>
    <w:rsid w:val="40196395"/>
    <w:rsid w:val="411B514D"/>
    <w:rsid w:val="418A09F4"/>
    <w:rsid w:val="419B49AF"/>
    <w:rsid w:val="41B617E9"/>
    <w:rsid w:val="42552DB0"/>
    <w:rsid w:val="449C3299"/>
    <w:rsid w:val="45B918A8"/>
    <w:rsid w:val="463673DA"/>
    <w:rsid w:val="464508D5"/>
    <w:rsid w:val="46E51F06"/>
    <w:rsid w:val="47613FA5"/>
    <w:rsid w:val="47653A95"/>
    <w:rsid w:val="48166B3E"/>
    <w:rsid w:val="481B6200"/>
    <w:rsid w:val="485D4FC6"/>
    <w:rsid w:val="4A6D60A3"/>
    <w:rsid w:val="4BCB40E3"/>
    <w:rsid w:val="4D4D3536"/>
    <w:rsid w:val="4DEF1265"/>
    <w:rsid w:val="4E402B66"/>
    <w:rsid w:val="4E880069"/>
    <w:rsid w:val="501F246A"/>
    <w:rsid w:val="50204561"/>
    <w:rsid w:val="528C4CCE"/>
    <w:rsid w:val="52C21540"/>
    <w:rsid w:val="533C41C5"/>
    <w:rsid w:val="54A56347"/>
    <w:rsid w:val="54ED6E78"/>
    <w:rsid w:val="563546B0"/>
    <w:rsid w:val="56505229"/>
    <w:rsid w:val="567E54E5"/>
    <w:rsid w:val="57792C45"/>
    <w:rsid w:val="5A647BDD"/>
    <w:rsid w:val="5AAF1AAA"/>
    <w:rsid w:val="5ADE798F"/>
    <w:rsid w:val="5C074CC3"/>
    <w:rsid w:val="5CE2128D"/>
    <w:rsid w:val="5D7B1CC1"/>
    <w:rsid w:val="5E354CE4"/>
    <w:rsid w:val="6057458C"/>
    <w:rsid w:val="6280757E"/>
    <w:rsid w:val="62E06EE1"/>
    <w:rsid w:val="646C358C"/>
    <w:rsid w:val="64872E45"/>
    <w:rsid w:val="64FE564E"/>
    <w:rsid w:val="65812FCF"/>
    <w:rsid w:val="665B1DD8"/>
    <w:rsid w:val="66BF0846"/>
    <w:rsid w:val="6706304F"/>
    <w:rsid w:val="671723D7"/>
    <w:rsid w:val="6737716A"/>
    <w:rsid w:val="67DA328C"/>
    <w:rsid w:val="67E36959"/>
    <w:rsid w:val="68FE6FA2"/>
    <w:rsid w:val="6C2152D1"/>
    <w:rsid w:val="6C375151"/>
    <w:rsid w:val="6CBA7B30"/>
    <w:rsid w:val="6D85712C"/>
    <w:rsid w:val="6E7052CF"/>
    <w:rsid w:val="6F1413F5"/>
    <w:rsid w:val="6F6A5072"/>
    <w:rsid w:val="70F32156"/>
    <w:rsid w:val="72BD5C84"/>
    <w:rsid w:val="72E70F53"/>
    <w:rsid w:val="73643AA3"/>
    <w:rsid w:val="770216DF"/>
    <w:rsid w:val="77B43F2A"/>
    <w:rsid w:val="78847910"/>
    <w:rsid w:val="78D67AA0"/>
    <w:rsid w:val="790E7239"/>
    <w:rsid w:val="79183C14"/>
    <w:rsid w:val="79406FE8"/>
    <w:rsid w:val="7B117C09"/>
    <w:rsid w:val="7BEB1AB4"/>
    <w:rsid w:val="7D846007"/>
    <w:rsid w:val="7E434FB0"/>
    <w:rsid w:val="7E527BC8"/>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15"/>
    <w:qFormat/>
    <w:uiPriority w:val="9"/>
    <w:pPr>
      <w:spacing w:before="100" w:beforeAutospacing="1" w:after="100" w:afterAutospacing="1"/>
      <w:outlineLvl w:val="0"/>
    </w:pPr>
    <w:rPr>
      <w:b/>
      <w:bCs/>
      <w:kern w:val="36"/>
      <w:sz w:val="48"/>
      <w:szCs w:val="48"/>
    </w:rPr>
  </w:style>
  <w:style w:type="paragraph" w:styleId="4">
    <w:name w:val="heading 2"/>
    <w:basedOn w:val="1"/>
    <w:next w:val="1"/>
    <w:link w:val="16"/>
    <w:qFormat/>
    <w:uiPriority w:val="9"/>
    <w:pPr>
      <w:spacing w:before="100" w:beforeAutospacing="1" w:after="100" w:afterAutospacing="1"/>
      <w:outlineLvl w:val="1"/>
    </w:pPr>
    <w:rPr>
      <w:b/>
      <w:bCs/>
      <w:sz w:val="36"/>
      <w:szCs w:val="36"/>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Salutation"/>
    <w:basedOn w:val="1"/>
    <w:next w:val="1"/>
    <w:qFormat/>
    <w:uiPriority w:val="0"/>
    <w:pPr>
      <w:jc w:val="both"/>
      <w:textAlignment w:val="baseline"/>
    </w:pPr>
  </w:style>
  <w:style w:type="paragraph" w:styleId="6">
    <w:name w:val="Body Text"/>
    <w:basedOn w:val="1"/>
    <w:qFormat/>
    <w:uiPriority w:val="99"/>
    <w:pPr>
      <w:widowControl w:val="0"/>
      <w:spacing w:beforeLines="30"/>
      <w:jc w:val="both"/>
    </w:pPr>
    <w:rPr>
      <w:rFonts w:ascii="仿宋_GB2312" w:hAnsi="Times New Roman" w:eastAsia="仿宋_GB2312" w:cs="Times New Roman"/>
      <w:sz w:val="30"/>
    </w:rPr>
  </w:style>
  <w:style w:type="paragraph" w:styleId="7">
    <w:name w:val="Body Text Indent"/>
    <w:basedOn w:val="1"/>
    <w:next w:val="8"/>
    <w:qFormat/>
    <w:uiPriority w:val="0"/>
    <w:pPr>
      <w:widowControl w:val="0"/>
      <w:spacing w:line="560" w:lineRule="atLeast"/>
      <w:ind w:firstLine="640" w:firstLineChars="200"/>
      <w:jc w:val="both"/>
    </w:pPr>
    <w:rPr>
      <w:rFonts w:ascii="仿宋_GB2312" w:hAnsi="Times New Roman" w:eastAsia="仿宋_GB2312" w:cs="Times New Roman"/>
      <w:kern w:val="2"/>
      <w:sz w:val="32"/>
      <w:szCs w:val="24"/>
      <w:lang w:val="en-US" w:eastAsia="zh-CN" w:bidi="ar-SA"/>
    </w:rPr>
  </w:style>
  <w:style w:type="paragraph" w:styleId="8">
    <w:name w:val="Body Text First Indent 2"/>
    <w:basedOn w:val="7"/>
    <w:next w:val="1"/>
    <w:qFormat/>
    <w:uiPriority w:val="0"/>
    <w:pPr>
      <w:widowControl w:val="0"/>
      <w:spacing w:line="560" w:lineRule="atLeast"/>
      <w:ind w:firstLine="420" w:firstLineChars="200"/>
      <w:jc w:val="both"/>
    </w:pPr>
    <w:rPr>
      <w:rFonts w:ascii="仿宋_GB2312" w:hAnsi="Times New Roman" w:eastAsia="仿宋_GB2312" w:cs="Times New Roman"/>
      <w:kern w:val="2"/>
      <w:sz w:val="32"/>
      <w:szCs w:val="24"/>
      <w:lang w:val="en-US" w:eastAsia="zh-CN" w:bidi="ar-SA"/>
    </w:rPr>
  </w:style>
  <w:style w:type="paragraph" w:styleId="9">
    <w:name w:val="footer"/>
    <w:basedOn w:val="1"/>
    <w:unhideWhenUsed/>
    <w:qFormat/>
    <w:uiPriority w:val="99"/>
    <w:pPr>
      <w:tabs>
        <w:tab w:val="center" w:pos="4153"/>
        <w:tab w:val="right" w:pos="8306"/>
      </w:tabs>
      <w:snapToGrid w:val="0"/>
      <w:jc w:val="left"/>
    </w:pPr>
    <w:rPr>
      <w:sz w:val="18"/>
      <w:szCs w:val="18"/>
      <w:lang w:val="zh-CN" w:eastAsia="zh-CN"/>
    </w:rPr>
  </w:style>
  <w:style w:type="paragraph" w:styleId="10">
    <w:name w:val="table of figures"/>
    <w:basedOn w:val="1"/>
    <w:next w:val="1"/>
    <w:unhideWhenUsed/>
    <w:qFormat/>
    <w:uiPriority w:val="99"/>
    <w:pPr>
      <w:ind w:leftChars="200" w:hanging="200" w:hangingChars="200"/>
    </w:pPr>
  </w:style>
  <w:style w:type="paragraph" w:styleId="11">
    <w:name w:val="Normal (Web)"/>
    <w:basedOn w:val="1"/>
    <w:unhideWhenUsed/>
    <w:qFormat/>
    <w:uiPriority w:val="99"/>
    <w:pPr>
      <w:spacing w:before="100" w:beforeAutospacing="1" w:after="100" w:afterAutospacing="1"/>
    </w:pPr>
  </w:style>
  <w:style w:type="character" w:styleId="14">
    <w:name w:val="Strong"/>
    <w:basedOn w:val="13"/>
    <w:qFormat/>
    <w:uiPriority w:val="22"/>
    <w:rPr>
      <w:b/>
      <w:bCs/>
    </w:rPr>
  </w:style>
  <w:style w:type="character" w:customStyle="1" w:styleId="15">
    <w:name w:val="标题 1 Char"/>
    <w:basedOn w:val="13"/>
    <w:link w:val="3"/>
    <w:qFormat/>
    <w:uiPriority w:val="9"/>
    <w:rPr>
      <w:rFonts w:ascii="宋体" w:hAnsi="宋体" w:eastAsia="宋体" w:cs="宋体"/>
      <w:b/>
      <w:bCs/>
      <w:kern w:val="44"/>
      <w:sz w:val="44"/>
      <w:szCs w:val="44"/>
    </w:rPr>
  </w:style>
  <w:style w:type="character" w:customStyle="1" w:styleId="16">
    <w:name w:val="标题 2 Char"/>
    <w:basedOn w:val="13"/>
    <w:link w:val="4"/>
    <w:semiHidden/>
    <w:qFormat/>
    <w:uiPriority w:val="9"/>
    <w:rPr>
      <w:rFonts w:asciiTheme="majorHAnsi" w:hAnsiTheme="majorHAnsi" w:eastAsiaTheme="majorEastAsia" w:cstheme="majorBidi"/>
      <w:b/>
      <w:bCs/>
      <w:sz w:val="32"/>
      <w:szCs w:val="32"/>
    </w:rPr>
  </w:style>
  <w:style w:type="paragraph" w:customStyle="1" w:styleId="17">
    <w:name w:val="p0"/>
    <w:basedOn w:val="1"/>
    <w:qFormat/>
    <w:uiPriority w:val="0"/>
    <w:pPr>
      <w:widowControl/>
      <w:spacing w:line="365" w:lineRule="atLeast"/>
      <w:ind w:left="1"/>
    </w:pPr>
    <w:rPr>
      <w:kern w:val="0"/>
      <w:sz w:val="20"/>
      <w:szCs w:val="20"/>
    </w:rPr>
  </w:style>
  <w:style w:type="paragraph" w:customStyle="1" w:styleId="18">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19">
    <w:name w:val="普通(网站) Char Char"/>
    <w:basedOn w:val="1"/>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收支总计对比图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13231.13</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37566.7</c:v>
                </c:pt>
              </c:numCache>
            </c:numRef>
          </c:val>
        </c:ser>
        <c:dLbls>
          <c:showLegendKey val="0"/>
          <c:showVal val="0"/>
          <c:showCatName val="0"/>
          <c:showSerName val="0"/>
          <c:showPercent val="0"/>
          <c:showBubbleSize val="0"/>
        </c:dLbls>
        <c:gapWidth val="219"/>
        <c:overlap val="-27"/>
        <c:axId val="777945126"/>
        <c:axId val="726580040"/>
      </c:barChart>
      <c:catAx>
        <c:axId val="777945126"/>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6580040"/>
        <c:crosses val="autoZero"/>
        <c:auto val="1"/>
        <c:lblAlgn val="ctr"/>
        <c:lblOffset val="100"/>
        <c:noMultiLvlLbl val="0"/>
      </c:catAx>
      <c:valAx>
        <c:axId val="726580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945126"/>
        <c:crosses val="autoZero"/>
        <c:crossBetween val="between"/>
      </c:valAx>
      <c:spPr>
        <a:noFill/>
        <a:ln>
          <a:noFill/>
        </a:ln>
        <a:effectLst/>
      </c:spPr>
    </c:plotArea>
    <c:legend>
      <c:legendPos val="b"/>
      <c:layout>
        <c:manualLayout>
          <c:xMode val="edge"/>
          <c:yMode val="edge"/>
          <c:x val="0.396076688674454"/>
          <c:y val="0.887529912257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支出对比图      单位：万元</a:t>
            </a:r>
          </a:p>
        </c:rich>
      </c:tx>
      <c:layout>
        <c:manualLayout>
          <c:xMode val="edge"/>
          <c:yMode val="edge"/>
          <c:x val="0.356747897097995"/>
          <c:y val="0.0371942500414164"/>
        </c:manualLayout>
      </c:layout>
      <c:overlay val="0"/>
      <c:spPr>
        <a:noFill/>
        <a:ln>
          <a:noFill/>
        </a:ln>
        <a:effectLst/>
      </c:spPr>
    </c:title>
    <c:autoTitleDeleted val="0"/>
    <c:plotArea>
      <c:layout/>
      <c:pieChart>
        <c:varyColors val="1"/>
        <c:ser>
          <c:idx val="0"/>
          <c:order val="0"/>
          <c:tx>
            <c:strRef>
              <c:f>Sheet1!$B$1</c:f>
              <c:strCache>
                <c:ptCount val="1"/>
                <c:pt idx="0">
                  <c:v>支出对比图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858.34</c:v>
                </c:pt>
                <c:pt idx="1" c:formatCode="#,##0.00">
                  <c:v>25213.03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财政拨款收、支对比图          单位：万元</a:t>
            </a:r>
          </a:p>
        </c:rich>
      </c:tx>
      <c:layout>
        <c:manualLayout>
          <c:xMode val="edge"/>
          <c:yMode val="edge"/>
          <c:x val="0.10625814863103"/>
          <c:y val="0.0298466593647317"/>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收支总计对比图</c:v>
                </c:pt>
              </c:strCache>
            </c:strRef>
          </c:tx>
          <c:spPr>
            <a:solidFill>
              <a:schemeClr val="accent1"/>
            </a:solidFill>
            <a:ln>
              <a:noFill/>
            </a:ln>
            <a:effectLst/>
          </c:spPr>
          <c:invertIfNegative val="0"/>
          <c:dPt>
            <c:idx val="1"/>
            <c:invertIfNegative val="0"/>
            <c:bubble3D val="0"/>
            <c:spPr>
              <a:solidFill>
                <a:srgbClr val="C00000"/>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2022年财政拨款收、支总计</c:v>
                </c:pt>
                <c:pt idx="1">
                  <c:v>2021年相比，财政拨款收、支总计</c:v>
                </c:pt>
              </c:strCache>
            </c:strRef>
          </c:cat>
          <c:val>
            <c:numRef>
              <c:f>Sheet1!$B$2:$B$3</c:f>
              <c:numCache>
                <c:formatCode>#,##0.00</c:formatCode>
                <c:ptCount val="2"/>
                <c:pt idx="0">
                  <c:v>26071.37</c:v>
                </c:pt>
                <c:pt idx="1" c:formatCode="General">
                  <c:v>13231.13</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2022年财政拨款收、支总计</c:v>
                </c:pt>
                <c:pt idx="1">
                  <c:v>2021年相比，财政拨款收、支总计</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2022年财政拨款收、支总计</c:v>
                </c:pt>
                <c:pt idx="1">
                  <c:v>2021年相比，财政拨款收、支总计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5362656"/>
        <c:axId val="712434907"/>
      </c:barChart>
      <c:catAx>
        <c:axId val="353626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2434907"/>
        <c:crosses val="autoZero"/>
        <c:auto val="1"/>
        <c:lblAlgn val="ctr"/>
        <c:lblOffset val="100"/>
        <c:noMultiLvlLbl val="0"/>
      </c:catAx>
      <c:valAx>
        <c:axId val="7124349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36265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一般公共预算对比图       单位：万元     </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一般公共预算财政拨款支出对比表</c:v>
                </c:pt>
              </c:strCache>
            </c:strRef>
          </c:tx>
          <c:spPr>
            <a:solidFill>
              <a:schemeClr val="accent1"/>
            </a:solidFill>
            <a:ln>
              <a:noFill/>
            </a:ln>
            <a:effectLst/>
          </c:spPr>
          <c:invertIfNegative val="0"/>
          <c:dPt>
            <c:idx val="0"/>
            <c:invertIfNegative val="0"/>
            <c:bubble3D val="0"/>
            <c:spPr>
              <a:solidFill>
                <a:schemeClr val="accent1"/>
              </a:solidFill>
              <a:ln>
                <a:noFill/>
              </a:ln>
              <a:effectLst/>
            </c:spPr>
          </c:dPt>
          <c:dPt>
            <c:idx val="1"/>
            <c:invertIfNegative val="0"/>
            <c:bubble3D val="0"/>
            <c:spPr>
              <a:gradFill>
                <a:gsLst>
                  <a:gs pos="0">
                    <a:srgbClr val="A73737"/>
                  </a:gs>
                  <a:gs pos="75000">
                    <a:srgbClr val="872C2C">
                      <a:lumMod val="95000"/>
                      <a:lumOff val="5000"/>
                    </a:srgbClr>
                  </a:gs>
                </a:gsLst>
                <a:lin scaled="1"/>
              </a:gradFill>
              <a:ln>
                <a:solidFill>
                  <a:srgbClr val="0000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2022年一般公共预算财政拨款支出</c:v>
                </c:pt>
                <c:pt idx="1">
                  <c:v>2021年一般公共预算财政拨款支出</c:v>
                </c:pt>
              </c:strCache>
            </c:strRef>
          </c:cat>
          <c:val>
            <c:numRef>
              <c:f>Sheet1!$B$2:$B$3</c:f>
              <c:numCache>
                <c:formatCode>#,##0.00</c:formatCode>
                <c:ptCount val="2"/>
                <c:pt idx="0">
                  <c:v>26071.37</c:v>
                </c:pt>
                <c:pt idx="1" c:formatCode="General">
                  <c:v>13231.13</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2022年一般公共预算财政拨款支出</c:v>
                </c:pt>
                <c:pt idx="1">
                  <c:v>2021年一般公共预算财政拨款支出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2022年一般公共预算财政拨款支出</c:v>
                </c:pt>
                <c:pt idx="1">
                  <c:v>2021年一般公共预算财政拨款支出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6259973"/>
        <c:axId val="144060691"/>
      </c:barChart>
      <c:catAx>
        <c:axId val="1062599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060691"/>
        <c:crosses val="autoZero"/>
        <c:auto val="1"/>
        <c:lblAlgn val="ctr"/>
        <c:lblOffset val="100"/>
        <c:noMultiLvlLbl val="0"/>
      </c:catAx>
      <c:valAx>
        <c:axId val="1440606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259973"/>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一般公共预算财政拨款支出对比图     单位：万元</a:t>
            </a:r>
          </a:p>
        </c:rich>
      </c:tx>
      <c:layout>
        <c:manualLayout>
          <c:xMode val="edge"/>
          <c:yMode val="edge"/>
          <c:x val="0.0907681465821001"/>
          <c:y val="0.0148383677795442"/>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00923264233610141"/>
                  <c:y val="-0.02914494588938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34958540034576"/>
                  <c:y val="0.0003584975258441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69934067114711"/>
                  <c:y val="0.04346852040671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9724445689143"/>
                  <c:y val="-0.2721813706714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84477640167145"/>
                  <c:y val="-0.00444207791002094"/>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920828258221681"/>
                      <c:h val="0.049237552820136"/>
                    </c:manualLayout>
                  </c15:layout>
                </c:ext>
              </c:extLst>
            </c:dLbl>
            <c:dLbl>
              <c:idx val="5"/>
              <c:layout>
                <c:manualLayout>
                  <c:x val="-0.0724342709693841"/>
                  <c:y val="-0.0015858207340302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社会保障和就业（类）支出</c:v>
                </c:pt>
                <c:pt idx="1">
                  <c:v>卫生健康支出（类）</c:v>
                </c:pt>
                <c:pt idx="2">
                  <c:v>节能环保支出（类）</c:v>
                </c:pt>
                <c:pt idx="3">
                  <c:v>城乡社区支出（类）</c:v>
                </c:pt>
                <c:pt idx="4">
                  <c:v>农林水支出（类）</c:v>
                </c:pt>
                <c:pt idx="5">
                  <c:v>住房保障支出（类）</c:v>
                </c:pt>
                <c:pt idx="6">
                  <c:v>其他</c:v>
                </c:pt>
              </c:strCache>
            </c:strRef>
          </c:cat>
          <c:val>
            <c:numRef>
              <c:f>Sheet1!$B$2:$B$8</c:f>
              <c:numCache>
                <c:formatCode>General</c:formatCode>
                <c:ptCount val="7"/>
                <c:pt idx="0">
                  <c:v>84.89</c:v>
                </c:pt>
                <c:pt idx="1">
                  <c:v>33.9</c:v>
                </c:pt>
                <c:pt idx="2" c:formatCode="#,##0.00">
                  <c:v>0</c:v>
                </c:pt>
                <c:pt idx="3" c:formatCode="#,##0.00">
                  <c:v>1898.21</c:v>
                </c:pt>
                <c:pt idx="4" c:formatCode="#,##0.00">
                  <c:v>0</c:v>
                </c:pt>
                <c:pt idx="5">
                  <c:v>513.81</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22375141884222"/>
          <c:y val="0.0159033078880407"/>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51075"/>
          <c:y val="0.1731"/>
          <c:w val="0.5016"/>
          <c:h val="0.6688"/>
        </c:manualLayout>
      </c:layout>
      <c:pieChart>
        <c:varyColors val="1"/>
        <c:ser>
          <c:idx val="0"/>
          <c:order val="0"/>
          <c:tx>
            <c:strRef>
              <c:f>Sheet1!$B$1</c:f>
              <c:strCache>
                <c:ptCount val="1"/>
                <c:pt idx="0">
                  <c:v> 2022年“三公”经费财政拨款支出决算对比图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44622991662367"/>
                  <c:y val="-0.07621283716128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3.72</a:t>
                    </a:r>
                    <a:r>
                      <a:t>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355"/>
                      <c:h val="0.0926666666666667"/>
                    </c:manualLayout>
                  </c15:layout>
                </c:ext>
              </c:extLst>
            </c:dLbl>
            <c:dLbl>
              <c:idx val="1"/>
              <c:layout>
                <c:manualLayout>
                  <c:x val="-0.0843697397029949"/>
                  <c:y val="-0.0087871628302994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0.52</a:t>
                    </a:r>
                    <a:r>
                      <a:t>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4375"/>
                      <c:h val="0.065333333333333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公务用车购置及运行维护费支出决算</c:v>
                </c:pt>
                <c:pt idx="1">
                  <c:v>公务接待费支出决算</c:v>
                </c:pt>
              </c:strCache>
            </c:strRef>
          </c:cat>
          <c:val>
            <c:numRef>
              <c:f>Sheet1!$B$2:$B$3</c:f>
              <c:numCache>
                <c:formatCode>General</c:formatCode>
                <c:ptCount val="2"/>
                <c:pt idx="0">
                  <c:v>3.72</c:v>
                </c:pt>
                <c:pt idx="1">
                  <c:v>0.52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17647</Words>
  <Characters>19617</Characters>
  <Lines>60</Lines>
  <Paragraphs>17</Paragraphs>
  <TotalTime>15</TotalTime>
  <ScaleCrop>false</ScaleCrop>
  <LinksUpToDate>false</LinksUpToDate>
  <CharactersWithSpaces>19864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2022-12-06T07:24:00Z</dcterms:created>
  <dc:creator>xtzj</dc:creator>
  <cp:lastModifiedBy>Administrator</cp:lastModifiedBy>
  <dcterms:modified xsi:type="dcterms:W3CDTF">2023-11-01T04:40:02Z</dcterms:modified>
  <dc:title>2021年部门决算公开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C46E424820F446F3BDF5E0EB3F1BB1C6</vt:lpwstr>
  </property>
</Properties>
</file>