
<file path=[Content_Types].xml><?xml version="1.0" encoding="utf-8"?>
<Types xmlns="http://schemas.openxmlformats.org/package/2006/content-types">
  <Default Extension="xlsx" ContentType="application/vnd.openxmlformats-officedocument.spreadsheetml.sheet"/>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snapToGrid/>
        <w:spacing w:before="100" w:beforeAutospacing="1" w:after="100" w:afterAutospacing="1"/>
        <w:jc w:val="center"/>
        <w:rPr>
          <w:rFonts w:ascii="宋体" w:hAnsi="宋体" w:eastAsia="宋体" w:cs="宋体"/>
          <w:sz w:val="18"/>
          <w:szCs w:val="18"/>
        </w:rPr>
      </w:pPr>
      <w:r>
        <w:rPr>
          <w:rFonts w:hint="eastAsia" w:ascii="宋体" w:hAnsi="宋体" w:eastAsia="宋体" w:cs="宋体"/>
          <w:sz w:val="42"/>
          <w:szCs w:val="42"/>
        </w:rPr>
        <w:t>2022年度</w:t>
      </w:r>
    </w:p>
    <w:p>
      <w:pPr>
        <w:shd w:val="clear" w:color="auto" w:fill="FFFFFF"/>
        <w:adjustRightInd/>
        <w:snapToGrid/>
        <w:spacing w:before="100" w:beforeAutospacing="1" w:after="100" w:afterAutospacing="1"/>
        <w:jc w:val="center"/>
        <w:rPr>
          <w:rFonts w:ascii="宋体" w:hAnsi="宋体" w:eastAsia="宋体" w:cs="宋体"/>
          <w:sz w:val="18"/>
          <w:szCs w:val="18"/>
        </w:rPr>
      </w:pPr>
      <w:r>
        <w:rPr>
          <w:rFonts w:hint="eastAsia" w:ascii="宋体" w:hAnsi="宋体" w:eastAsia="宋体" w:cs="宋体"/>
          <w:sz w:val="42"/>
          <w:szCs w:val="42"/>
        </w:rPr>
        <w:t>阿坝州红原县审计局（汇总）单位决算</w:t>
      </w: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jc w:val="center"/>
        <w:rPr>
          <w:rFonts w:ascii="宋体" w:hAnsi="宋体" w:eastAsia="宋体" w:cs="宋体"/>
          <w:sz w:val="42"/>
          <w:szCs w:val="42"/>
        </w:rPr>
      </w:pPr>
    </w:p>
    <w:p>
      <w:pPr>
        <w:shd w:val="clear" w:color="auto" w:fill="FFFFFF"/>
        <w:adjustRightInd/>
        <w:snapToGrid/>
        <w:spacing w:before="100" w:beforeAutospacing="1" w:after="100" w:afterAutospacing="1"/>
        <w:rPr>
          <w:rFonts w:ascii="宋体" w:hAnsi="宋体" w:eastAsia="宋体" w:cs="宋体"/>
          <w:sz w:val="18"/>
          <w:szCs w:val="18"/>
        </w:rPr>
      </w:pPr>
    </w:p>
    <w:p>
      <w:pPr>
        <w:pStyle w:val="2"/>
        <w:rPr>
          <w:rFonts w:ascii="宋体" w:hAnsi="宋体" w:eastAsia="宋体" w:cs="宋体"/>
          <w:sz w:val="18"/>
          <w:szCs w:val="18"/>
        </w:rPr>
      </w:pPr>
    </w:p>
    <w:p/>
    <w:p>
      <w:pPr>
        <w:shd w:val="clear" w:color="auto" w:fill="FFFFFF"/>
        <w:adjustRightInd/>
        <w:snapToGrid/>
        <w:spacing w:before="100" w:beforeAutospacing="1" w:after="100" w:afterAutospacing="1"/>
        <w:rPr>
          <w:rFonts w:ascii="宋体" w:hAnsi="宋体" w:eastAsia="宋体" w:cs="宋体"/>
          <w:sz w:val="18"/>
          <w:szCs w:val="18"/>
        </w:rPr>
      </w:pPr>
    </w:p>
    <w:p>
      <w:pPr>
        <w:shd w:val="clear" w:color="auto" w:fill="FFFFFF"/>
        <w:adjustRightInd/>
        <w:snapToGrid/>
        <w:spacing w:before="100" w:beforeAutospacing="1" w:after="100" w:afterAutospacing="1"/>
        <w:jc w:val="center"/>
        <w:rPr>
          <w:rFonts w:ascii="宋体" w:hAnsi="宋体" w:eastAsia="宋体" w:cs="宋体"/>
          <w:sz w:val="32"/>
          <w:szCs w:val="32"/>
        </w:rPr>
      </w:pPr>
      <w:r>
        <w:rPr>
          <w:rFonts w:hint="eastAsia" w:ascii="宋体" w:hAnsi="宋体" w:eastAsia="宋体" w:cs="宋体"/>
          <w:sz w:val="32"/>
          <w:szCs w:val="32"/>
        </w:rPr>
        <w:t>已经保密审查、内容审定，同意对外公开</w:t>
      </w:r>
    </w:p>
    <w:p>
      <w:pPr>
        <w:shd w:val="clear" w:color="auto" w:fill="FFFFFF"/>
        <w:adjustRightInd/>
        <w:snapToGrid/>
        <w:spacing w:before="100" w:beforeAutospacing="1" w:after="100" w:afterAutospacing="1"/>
        <w:jc w:val="center"/>
        <w:rPr>
          <w:rFonts w:ascii="宋体" w:hAnsi="宋体" w:eastAsia="宋体" w:cs="宋体"/>
          <w:sz w:val="18"/>
          <w:szCs w:val="18"/>
        </w:rPr>
      </w:pPr>
    </w:p>
    <w:p>
      <w:pPr>
        <w:shd w:val="clear" w:color="auto" w:fill="FFFFFF"/>
        <w:adjustRightInd/>
        <w:snapToGrid/>
        <w:spacing w:before="100" w:beforeAutospacing="1" w:after="100" w:afterAutospacing="1"/>
        <w:jc w:val="center"/>
        <w:rPr>
          <w:rFonts w:ascii="宋体" w:hAnsi="宋体" w:eastAsia="宋体" w:cs="宋体"/>
          <w:sz w:val="32"/>
          <w:szCs w:val="32"/>
        </w:rPr>
      </w:pPr>
      <w:r>
        <w:rPr>
          <w:rFonts w:hint="eastAsia" w:ascii="宋体" w:hAnsi="宋体" w:eastAsia="宋体" w:cs="宋体"/>
          <w:sz w:val="32"/>
          <w:szCs w:val="32"/>
        </w:rPr>
        <w:t>目录</w:t>
      </w:r>
    </w:p>
    <w:p>
      <w:pPr>
        <w:shd w:val="clear" w:color="auto" w:fill="FFFFFF"/>
        <w:adjustRightInd/>
        <w:snapToGrid/>
        <w:spacing w:before="100" w:beforeAutospacing="1" w:after="100" w:afterAutospacing="1"/>
        <w:jc w:val="center"/>
        <w:rPr>
          <w:rFonts w:ascii="宋体" w:hAnsi="宋体" w:eastAsia="宋体" w:cs="宋体"/>
          <w:sz w:val="32"/>
          <w:szCs w:val="32"/>
        </w:rPr>
      </w:pPr>
      <w:r>
        <w:rPr>
          <w:rFonts w:hint="eastAsia" w:ascii="宋体" w:hAnsi="宋体" w:eastAsia="宋体" w:cs="宋体"/>
          <w:sz w:val="32"/>
          <w:szCs w:val="32"/>
        </w:rPr>
        <w:t>公开时间：2023年10月19日</w:t>
      </w:r>
    </w:p>
    <w:p>
      <w:pPr>
        <w:shd w:val="clear" w:color="auto" w:fill="FFFFFF"/>
        <w:adjustRightInd/>
        <w:snapToGrid/>
        <w:spacing w:before="100" w:beforeAutospacing="1" w:after="100" w:afterAutospacing="1"/>
        <w:rPr>
          <w:rFonts w:ascii="宋体" w:hAnsi="宋体" w:eastAsia="宋体" w:cs="宋体"/>
          <w:sz w:val="32"/>
          <w:szCs w:val="32"/>
        </w:rPr>
      </w:pPr>
      <w:r>
        <w:rPr>
          <w:rFonts w:hint="eastAsia" w:ascii="宋体" w:hAnsi="宋体" w:eastAsia="宋体" w:cs="宋体"/>
          <w:sz w:val="32"/>
          <w:szCs w:val="32"/>
        </w:rPr>
        <w:t>第一部分 单位概况</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一、基本职能及机构设置</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二、2022年重点工作完成情况</w:t>
      </w:r>
    </w:p>
    <w:p>
      <w:pPr>
        <w:shd w:val="clear" w:color="auto" w:fill="FFFFFF"/>
        <w:adjustRightInd/>
        <w:snapToGrid/>
        <w:spacing w:before="100" w:beforeAutospacing="1" w:after="100" w:afterAutospacing="1"/>
        <w:rPr>
          <w:rFonts w:ascii="宋体" w:hAnsi="宋体" w:eastAsia="宋体" w:cs="宋体"/>
          <w:sz w:val="32"/>
          <w:szCs w:val="32"/>
        </w:rPr>
      </w:pPr>
      <w:r>
        <w:rPr>
          <w:rFonts w:hint="eastAsia" w:ascii="宋体" w:hAnsi="宋体" w:eastAsia="宋体" w:cs="宋体"/>
          <w:sz w:val="32"/>
          <w:szCs w:val="32"/>
        </w:rPr>
        <w:t>第二部分 2022年度单位决算情况说明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一、收入支出决算总体情况说明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二、收入决算情况说明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三、支出决算情况说明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四、财政拨款收入支出决算总体情况说明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五、一般公共预算财政拨款支出决算情况说明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六、一般公共预算财政拨款基本支出决算情况说明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七、“三公”经费财政拨款支出决算情况说明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八、政府性基金预算支出决算情况说明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九、国有资本经营预算支出决算情况说明</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十、其他重要事项的情况说明</w:t>
      </w:r>
    </w:p>
    <w:p>
      <w:pPr>
        <w:shd w:val="clear" w:color="auto" w:fill="FFFFFF"/>
        <w:adjustRightInd/>
        <w:snapToGrid/>
        <w:spacing w:before="100" w:beforeAutospacing="1" w:after="100" w:afterAutospacing="1"/>
        <w:rPr>
          <w:rFonts w:ascii="宋体" w:hAnsi="宋体" w:eastAsia="宋体" w:cs="宋体"/>
          <w:sz w:val="32"/>
          <w:szCs w:val="32"/>
        </w:rPr>
      </w:pPr>
      <w:r>
        <w:rPr>
          <w:rFonts w:hint="eastAsia" w:ascii="宋体" w:hAnsi="宋体" w:eastAsia="宋体" w:cs="宋体"/>
          <w:sz w:val="32"/>
          <w:szCs w:val="32"/>
        </w:rPr>
        <w:t>第三部分 名词解释</w:t>
      </w:r>
    </w:p>
    <w:p>
      <w:pPr>
        <w:shd w:val="clear" w:color="auto" w:fill="FFFFFF"/>
        <w:adjustRightInd/>
        <w:snapToGrid/>
        <w:spacing w:before="100" w:beforeAutospacing="1" w:after="100" w:afterAutospacing="1"/>
        <w:rPr>
          <w:rFonts w:ascii="宋体" w:hAnsi="宋体" w:eastAsia="宋体" w:cs="宋体"/>
          <w:sz w:val="32"/>
          <w:szCs w:val="32"/>
        </w:rPr>
      </w:pPr>
      <w:r>
        <w:rPr>
          <w:rFonts w:hint="eastAsia" w:ascii="宋体" w:hAnsi="宋体" w:eastAsia="宋体" w:cs="宋体"/>
          <w:sz w:val="32"/>
          <w:szCs w:val="32"/>
        </w:rPr>
        <w:t>第四部分 附件</w:t>
      </w:r>
    </w:p>
    <w:p>
      <w:pPr>
        <w:shd w:val="clear" w:color="auto" w:fill="FFFFFF"/>
        <w:adjustRightInd/>
        <w:snapToGrid/>
        <w:spacing w:before="100" w:beforeAutospacing="1" w:after="100" w:afterAutospacing="1"/>
        <w:rPr>
          <w:rFonts w:ascii="宋体" w:hAnsi="宋体" w:eastAsia="宋体" w:cs="宋体"/>
          <w:sz w:val="32"/>
          <w:szCs w:val="32"/>
        </w:rPr>
      </w:pPr>
      <w:r>
        <w:rPr>
          <w:rFonts w:hint="eastAsia" w:ascii="宋体" w:hAnsi="宋体" w:eastAsia="宋体" w:cs="宋体"/>
          <w:sz w:val="32"/>
          <w:szCs w:val="32"/>
        </w:rPr>
        <w:t>第五部分 附表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一、收入支出决算总表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二、收入决算表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三、支出决算表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四、财政拨款收入支出决算总表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五、财政拨款支出决算明细表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六、一般公共预算财政拨款支出决算表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七、一般公共预算财政拨款支出决算明细表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八、一般公共预算财政拨款基本支出决算表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九、一般公共预算财政拨款项目支出决算表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十、一般公共预算财政拨款“三公”经费支出决算表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十一、政府性基金预算财政拨款收入支出决算表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十二、政府性基金预算财政拨款“三公”经费支出决算表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十三、国有资本经营预算财政拨款收入支出决算表</w:t>
      </w:r>
    </w:p>
    <w:p>
      <w:pPr>
        <w:shd w:val="clear" w:color="auto" w:fill="FFFFFF"/>
        <w:adjustRightInd/>
        <w:snapToGrid/>
        <w:spacing w:before="100" w:beforeAutospacing="1" w:after="100" w:afterAutospacing="1"/>
        <w:ind w:left="420"/>
        <w:rPr>
          <w:rFonts w:ascii="宋体" w:hAnsi="宋体" w:eastAsia="宋体" w:cs="宋体"/>
          <w:sz w:val="32"/>
          <w:szCs w:val="32"/>
        </w:rPr>
      </w:pPr>
      <w:r>
        <w:rPr>
          <w:rFonts w:hint="eastAsia" w:ascii="宋体" w:hAnsi="宋体" w:eastAsia="宋体" w:cs="宋体"/>
          <w:sz w:val="32"/>
          <w:szCs w:val="32"/>
        </w:rPr>
        <w:t>十四、国有资本经营预算财政拨款支出决算表</w:t>
      </w:r>
    </w:p>
    <w:p>
      <w:pPr>
        <w:shd w:val="clear" w:color="auto" w:fill="FFFFFF"/>
        <w:adjustRightInd/>
        <w:snapToGrid/>
        <w:spacing w:before="100" w:beforeAutospacing="1" w:after="100" w:afterAutospacing="1"/>
        <w:rPr>
          <w:rFonts w:ascii="宋体" w:hAnsi="宋体" w:eastAsia="宋体" w:cs="宋体"/>
          <w:sz w:val="32"/>
          <w:szCs w:val="32"/>
        </w:rPr>
      </w:pPr>
      <w:r>
        <w:rPr>
          <w:rFonts w:hint="eastAsia" w:ascii="宋体" w:hAnsi="宋体" w:eastAsia="宋体" w:cs="宋体"/>
          <w:sz w:val="32"/>
          <w:szCs w:val="32"/>
        </w:rPr>
        <w:t>(注：请单位根据实际注明页码)</w:t>
      </w:r>
    </w:p>
    <w:p>
      <w:pPr>
        <w:shd w:val="clear" w:color="auto" w:fill="FFFFFF"/>
        <w:adjustRightInd/>
        <w:snapToGrid/>
        <w:spacing w:before="100" w:beforeAutospacing="1" w:after="100" w:afterAutospacing="1"/>
        <w:jc w:val="center"/>
        <w:outlineLvl w:val="0"/>
        <w:rPr>
          <w:rFonts w:ascii="宋体" w:hAnsi="宋体" w:eastAsia="宋体" w:cs="宋体"/>
          <w:b/>
          <w:bCs/>
          <w:kern w:val="36"/>
          <w:sz w:val="48"/>
          <w:szCs w:val="48"/>
        </w:rPr>
      </w:pPr>
    </w:p>
    <w:p>
      <w:pPr>
        <w:shd w:val="clear" w:color="auto" w:fill="FFFFFF"/>
        <w:adjustRightInd/>
        <w:snapToGrid/>
        <w:spacing w:before="100" w:beforeAutospacing="1" w:after="100" w:afterAutospacing="1"/>
        <w:jc w:val="center"/>
        <w:outlineLvl w:val="0"/>
        <w:rPr>
          <w:rFonts w:ascii="宋体" w:hAnsi="宋体" w:eastAsia="宋体" w:cs="宋体"/>
          <w:b/>
          <w:bCs/>
          <w:kern w:val="36"/>
          <w:sz w:val="48"/>
          <w:szCs w:val="48"/>
        </w:rPr>
      </w:pPr>
    </w:p>
    <w:p>
      <w:pPr>
        <w:shd w:val="clear" w:color="auto" w:fill="FFFFFF"/>
        <w:adjustRightInd/>
        <w:snapToGrid/>
        <w:spacing w:before="100" w:beforeAutospacing="1" w:after="100" w:afterAutospacing="1"/>
        <w:jc w:val="center"/>
        <w:outlineLvl w:val="0"/>
        <w:rPr>
          <w:rFonts w:ascii="宋体" w:hAnsi="宋体" w:eastAsia="宋体" w:cs="宋体"/>
          <w:b/>
          <w:bCs/>
          <w:kern w:val="36"/>
          <w:sz w:val="48"/>
          <w:szCs w:val="48"/>
        </w:rPr>
      </w:pPr>
    </w:p>
    <w:p>
      <w:pPr>
        <w:shd w:val="clear" w:color="auto" w:fill="FFFFFF"/>
        <w:adjustRightInd/>
        <w:snapToGrid/>
        <w:spacing w:before="100" w:beforeAutospacing="1" w:after="100" w:afterAutospacing="1"/>
        <w:jc w:val="center"/>
        <w:outlineLvl w:val="0"/>
        <w:rPr>
          <w:rFonts w:ascii="宋体" w:hAnsi="宋体" w:eastAsia="宋体" w:cs="宋体"/>
          <w:b/>
          <w:bCs/>
          <w:kern w:val="36"/>
          <w:sz w:val="48"/>
          <w:szCs w:val="48"/>
        </w:rPr>
      </w:pPr>
    </w:p>
    <w:p>
      <w:pPr>
        <w:shd w:val="clear" w:color="auto" w:fill="FFFFFF"/>
        <w:adjustRightInd/>
        <w:snapToGrid/>
        <w:spacing w:before="100" w:beforeAutospacing="1" w:after="100" w:afterAutospacing="1" w:line="360" w:lineRule="auto"/>
        <w:jc w:val="center"/>
        <w:outlineLvl w:val="0"/>
        <w:rPr>
          <w:rFonts w:ascii="宋体" w:hAnsi="宋体" w:eastAsia="宋体" w:cs="宋体"/>
          <w:b/>
          <w:bCs/>
          <w:kern w:val="36"/>
          <w:sz w:val="48"/>
          <w:szCs w:val="48"/>
        </w:rPr>
      </w:pPr>
      <w:r>
        <w:rPr>
          <w:rFonts w:hint="eastAsia" w:ascii="宋体" w:hAnsi="宋体" w:eastAsia="宋体" w:cs="宋体"/>
          <w:b/>
          <w:bCs/>
          <w:kern w:val="36"/>
          <w:sz w:val="48"/>
          <w:szCs w:val="48"/>
        </w:rPr>
        <w:t>第一部分 单位概况</w:t>
      </w:r>
    </w:p>
    <w:p>
      <w:pPr>
        <w:pStyle w:val="17"/>
        <w:shd w:val="clear" w:color="auto" w:fill="FFFFFF"/>
        <w:adjustRightInd/>
        <w:snapToGrid/>
        <w:spacing w:before="100" w:beforeAutospacing="1" w:after="100" w:afterAutospacing="1" w:line="360" w:lineRule="auto"/>
        <w:ind w:firstLine="643"/>
        <w:outlineLvl w:val="1"/>
        <w:rPr>
          <w:rFonts w:ascii="宋体" w:hAnsi="宋体" w:eastAsia="宋体" w:cs="宋体"/>
          <w:b/>
          <w:bCs/>
          <w:sz w:val="32"/>
          <w:szCs w:val="32"/>
        </w:rPr>
      </w:pPr>
      <w:r>
        <w:rPr>
          <w:rFonts w:hint="eastAsia" w:ascii="宋体" w:hAnsi="宋体" w:eastAsia="宋体" w:cs="宋体"/>
          <w:b/>
          <w:bCs/>
          <w:sz w:val="32"/>
          <w:szCs w:val="32"/>
        </w:rPr>
        <w:t>一、基本职能及机构设置</w:t>
      </w:r>
    </w:p>
    <w:p>
      <w:pPr>
        <w:shd w:val="clear" w:color="auto" w:fill="FFFFFF"/>
        <w:adjustRightInd/>
        <w:snapToGrid/>
        <w:spacing w:before="100" w:beforeAutospacing="1" w:after="100" w:afterAutospacing="1" w:line="360" w:lineRule="auto"/>
        <w:ind w:firstLine="643" w:firstLineChars="200"/>
        <w:outlineLvl w:val="1"/>
        <w:rPr>
          <w:rFonts w:ascii="宋体" w:hAnsi="宋体" w:eastAsia="宋体" w:cs="宋体"/>
          <w:b/>
          <w:bCs/>
          <w:sz w:val="32"/>
          <w:szCs w:val="32"/>
        </w:rPr>
      </w:pPr>
      <w:r>
        <w:rPr>
          <w:rFonts w:hint="eastAsia" w:ascii="宋体" w:hAnsi="宋体" w:eastAsia="宋体" w:cs="宋体"/>
          <w:b/>
          <w:bCs/>
          <w:sz w:val="32"/>
          <w:szCs w:val="32"/>
        </w:rPr>
        <w:t>（一）主要职能</w:t>
      </w:r>
    </w:p>
    <w:p>
      <w:pPr>
        <w:spacing w:line="360" w:lineRule="auto"/>
        <w:ind w:firstLine="440" w:firstLineChars="200"/>
        <w:jc w:val="both"/>
        <w:rPr>
          <w:rFonts w:ascii="仿宋" w:hAnsi="仿宋" w:eastAsia="仿宋"/>
          <w:bCs/>
          <w:color w:val="000000"/>
          <w:sz w:val="32"/>
          <w:szCs w:val="32"/>
        </w:rPr>
      </w:pPr>
      <w:r>
        <w:rPr>
          <w:rFonts w:hint="eastAsia" w:ascii="仿宋_GB2312"/>
          <w:b/>
          <w:bCs/>
        </w:rPr>
        <w:t xml:space="preserve"> </w:t>
      </w:r>
      <w:r>
        <w:rPr>
          <w:rFonts w:hint="eastAsia" w:ascii="仿宋" w:hAnsi="仿宋" w:eastAsia="仿宋"/>
          <w:bCs/>
          <w:color w:val="000000"/>
          <w:sz w:val="32"/>
          <w:szCs w:val="32"/>
        </w:rPr>
        <w:t xml:space="preserve"> 1.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有关重大政策措施贯彻落实情况进行跟踪审计。对审计、专项审计调查和核查社会审计机构相关审计报告的结果承担责任,并负有督促被审计单位整改的责任。</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2.贯彻执行国家和省、州、县有关审计工作的方针政策和法律法规。起草审计规范性文件草案。对直接审计、调查和核查的事项依法进行审计评价,做出审计决定或提出审计建议。</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3.向县委审计委员会提出年度预算执行和其他财政支出情况审计报告。向县政府和州审计局提出年度预算执行及其他财政收支情况的审计结果报告。受县政府委托向县人大常委会提出预算执行和其他财政收支情况的审计工作报告、审计查出问题整改情况报告。向县委、县政府报告对其他事项的审计和专项审计调查情况及结果。依法向社会公布审计结果。向县有关部门通报审计情况和审计结果。</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 xml:space="preserve"> 4.直接审计下列事项,出具审计报告,在法定职权范围内做出审计决定,包括国家和省、州、县有关重大政策措施贯彻落实情况。县级预算执行和其他财政收支,县级各部门预算执行情况、决算草案和其他财政收支。使用县级财政资金的事业单位和社会团体的财务收支。县政府投资和以政府投资为主的建设项目的预算执行情况和决算。重大公共工程项目的资金管理使用和建设运营情况。自然资源管理、污染防治和生态保护与修复情况。国有企业和地方金融机构、国有资本占控股或主导地位的企业和金融机构境内外资产、负债和损益,县政府及有关部门驻外非经营性机构的财务收支。有关社会保障基金、社会捐赠资金、安全生产和职业健康财政资金及其他基金、资金的财务收支。国际组织和外国政府援助、贷款项目。法律法规规定的其他事项。</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5.按规定对县管党政主要领导干部及其他单位主要负责人实施经济责任审计和自然资源资产离任审计。</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6.组织实施对国家财经法律法规、规章、政策和宏观调控措施执行情况、财政预算管理及国有资产管理使用等与县级财政收支有关的特定事项进行专项审计调查。</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7.依法检查审计决定执行情况,督促整改审计查出的问题,依法办理被审计单位对审计决定提请行政复议、行政诉讼或县政府裁决中的有关事项,协助配合有关部门查处相关重大案件。</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8.指导和监督内部审计工作,核查社会审计机构对依法属于审计监督对象的单位出具的相关审计报告。</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9.组织开展审计领域内的交流与合作,指导和组织开展信息技术在审计领域的应用。</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10.完成县委、县政府交办的其他任务</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11.职能转变。优化审计工作机制坚持科技强审,完善业务流程,改进工作方式,加强与有关部门的沟通协调,充分调动内部审计和社会审计力量,增强监督合力。</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（二）机构设置</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红原县审计局本级是独立核算、独立编报预算的单位。内设办公室、审计一室、审计二室、法规复核股等职能股室，下设审计中心事业机构。</w:t>
      </w:r>
    </w:p>
    <w:p>
      <w:pPr>
        <w:shd w:val="clear" w:color="auto" w:fill="FFFFFF"/>
        <w:adjustRightInd/>
        <w:snapToGrid/>
        <w:spacing w:before="100" w:beforeAutospacing="1" w:after="100" w:afterAutospacing="1" w:line="360" w:lineRule="auto"/>
        <w:ind w:firstLine="542" w:firstLineChars="150"/>
        <w:outlineLvl w:val="1"/>
        <w:rPr>
          <w:rFonts w:ascii="宋体" w:hAnsi="宋体" w:eastAsia="宋体" w:cs="宋体"/>
          <w:b/>
          <w:bCs/>
          <w:sz w:val="36"/>
          <w:szCs w:val="36"/>
        </w:rPr>
      </w:pPr>
      <w:r>
        <w:rPr>
          <w:rFonts w:hint="eastAsia" w:ascii="宋体" w:hAnsi="宋体" w:eastAsia="宋体" w:cs="宋体"/>
          <w:b/>
          <w:bCs/>
          <w:sz w:val="36"/>
          <w:szCs w:val="36"/>
        </w:rPr>
        <w:t>二、2022年重点工作完成情况</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一年来，县审计局紧紧围绕 “一条政治红线、一条工作主线”工作要求，始终以清晰的政治头脑和政治本色，围绕全县工作中心，科学谋划审计工作，积极开展审计监督，依法履行职能职责。截止目前，完成了拟定的各项工作任务。</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1.深化财政预算执行及（草案）编制审计。按照“集中分析、分散核查、统一指挥、统筹整合”的实施方式，</w:t>
      </w:r>
      <w:r>
        <w:rPr>
          <w:rFonts w:ascii="仿宋" w:hAnsi="仿宋" w:eastAsia="仿宋"/>
          <w:bCs/>
          <w:color w:val="000000"/>
          <w:sz w:val="32"/>
          <w:szCs w:val="32"/>
        </w:rPr>
        <w:t>对财政存量资金清理、财政暂付款清理消化、地方政府债券资金的分配、拨付和使用</w:t>
      </w:r>
      <w:r>
        <w:rPr>
          <w:rFonts w:hint="eastAsia" w:ascii="仿宋" w:hAnsi="仿宋" w:eastAsia="仿宋"/>
          <w:bCs/>
          <w:color w:val="000000"/>
          <w:sz w:val="32"/>
          <w:szCs w:val="32"/>
        </w:rPr>
        <w:t>等</w:t>
      </w:r>
      <w:r>
        <w:rPr>
          <w:rFonts w:ascii="仿宋" w:hAnsi="仿宋" w:eastAsia="仿宋"/>
          <w:bCs/>
          <w:color w:val="000000"/>
          <w:sz w:val="32"/>
          <w:szCs w:val="32"/>
        </w:rPr>
        <w:t>进行</w:t>
      </w:r>
      <w:r>
        <w:rPr>
          <w:rFonts w:hint="eastAsia" w:ascii="仿宋" w:hAnsi="仿宋" w:eastAsia="仿宋"/>
          <w:bCs/>
          <w:color w:val="000000"/>
          <w:sz w:val="32"/>
          <w:szCs w:val="32"/>
        </w:rPr>
        <w:t>了</w:t>
      </w:r>
      <w:r>
        <w:rPr>
          <w:rFonts w:ascii="仿宋" w:hAnsi="仿宋" w:eastAsia="仿宋"/>
          <w:bCs/>
          <w:color w:val="000000"/>
          <w:sz w:val="32"/>
          <w:szCs w:val="32"/>
        </w:rPr>
        <w:t>专项审计</w:t>
      </w:r>
      <w:r>
        <w:rPr>
          <w:rFonts w:hint="eastAsia" w:ascii="仿宋" w:hAnsi="仿宋" w:eastAsia="仿宋"/>
          <w:bCs/>
          <w:color w:val="000000"/>
          <w:sz w:val="32"/>
          <w:szCs w:val="32"/>
        </w:rPr>
        <w:t>。</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2.强化部门预算审计。以促进严肃财经纪律，深化预算管理制度改革，强化预算约束和绩效管理为目标，重点关注预算执行和决算编制的总体情况，检查财政专项资金分配管理和绩效情况，资金资产管理、政府采购和经营性成本支出的规范性，一般性支出和“三公”经费压缩、存量资金清理盘活、年底突击花钱等情况，对县人社局和县供销社部门预算进行了审计。</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3.加强重大政策落实情况跟踪审计。围绕“六稳”“六保”要求，坚持问题、目标、结果导向，聚焦重要性程度高、资金量大、涉及面广、落实难度大的具体项目和政策措施，重点揭示政策不落实、项目不落地及政策措施不适应、不衔接、不配套等问题对中央直达资金进行了重点审计，确保了中央、省委、州委、县委决策部署落地落实。</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4.深化林草资源生态保护修复专项审计调查。以促进加快建设国家生态建设示范区为目标，重点关注全县落实林草资源保护制度、完成林草保护修复目标、重大生态保护项目建设、专项资金使用效益等情况，评价林草资源保护与修复治理的实际成效，揭示工程造林、草原保护修复、林草防火等方面的突出问题，开展了川西及攀西地区林草资源保护与生态修复专项审计调查。</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5.深化内部审计统计调查。重点聚焦全县各乡镇、县级党政机关、企事业单位内部审计机构设置、内部审计人员配备、内部审计项目实施、审计查处问题金额、审计发现问题及整改情况、审计结果运用和处理情况等内容，对全县154个单位（其中：企业1个、机关57个、事业单位89个、社会团体7个）开展内部审计统计相关工作开展了审计调查。</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6.加强领导干部自然资源资产离任（任中）审计。围绕贯彻落实绿色发展理念，促进领导干部认真履行自然资源资产管理和生态环境保护责任，今年10月初派出审计组对麦洼乡党政领导干部贯彻执行中央生态文明建设方针政策和决策部署、遵守自然资源资产管理和生态环境保护法律法规、相关目标任务完成、相关资金征管使用和项目建设运行等情况开展了审计监督。</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7.深化县级部门（单位）党政主要领导领导干部经济责任审计。以促进科学发展和领导干部履职尽责、担当作为、廉洁用权、干净干事为目标，重点关注贯彻执行党和国家经济政策及决策部署、部门重要发展规划和政策措施制定及执行效果、重大经济事项决策及执行情况、国企国资改革、财政财务管理和经济风险防范、民生保障和改善、生态文明建设、落实党风廉政建设责任和遵守廉洁从政规定等情况，对县人力资源和社会保障局原党组书记、局长刘光琪同志开展了离任经济责任审计。</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8.深化藏传佛教寺庙财税监管审计。围绕全面贯彻落实中央治藏方略，推进藏传佛教寺庙财务监督长效机制建设，重点关注寺庙财务收支、寺庙经营实体等情况，开展了审计监督，促进了寺庙财务规范化管理。</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9.深化审计查出问题整改情况专项审计。以推动被审计单位认真落实整改责任，确保审计整改落地落实为目标，重点关注审计整改主体责任落实情况，整改方案制定情况，整改任务清单建立情况，未完成整改事项的后续推进措施以及已整改事项认定等情况，开展了专项审计，促进了审计查出问题整改到位。</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10. 不断加强党建引领工作，全面提升审计机关党的建设水平。一是提高政治意识，狠抓思想政治建设。始终牢牢把握审计机关首先是政治机关的政治自觉，深入贯彻习近平总书记对审计工作的重要指示批示精神，忠诚拥护“两个确立”，坚决做到“两个维护”。常态化开展党组理论学习中心组、“三会一课”、专题民主生活会、主题党日活动等党内各项学习活动，进一步提升政治理论素养。二是加强廉政建设，营造风清气正的审计监督环境。始终按照“围绕审计抓廉政，抓好廉政促审计”的工作思路，认真贯彻落实中央、省、州、县有关廉政工作安排部署，围绕县廉政工作重心和目标任务，严格落实“一岗双责”责任制；严格执行“三重一大”决策制度；加强会前学法，定期召开局党组会研究、讨论、决定局重大事项；定期开展谈心谈话，认真履行党风廉政建设的主体责任和监督责任，进一步强化廉政建设责任主体意识，全面推动廉政工作和审计业务同部署、同安排、同推进，确保了审计机关廉政工作不出纰漏、廉政建设不留死角，全力构建廉洁从政、廉洁从审的审计机关良好形象。</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11.扎实开展“两联一进”群众工作。围绕全县“两联一进”全覆盖群众工作重点，按照我局“两联一进”工作计划，定不定期深入基层一线，通过实地走访、电话访谈等形式对联系群众的生产生活情况、联系僧侣的学习情况、困难诉求等情况进行了深入的摸底，同时加大对相关优惠政策的宣传以及普法工作，为联系群众、联系僧侣送去米面油等慰问品，拉近与联系群众的干群关系，促进“两联一进”群众工作各项决策部署全面落地落实。</w:t>
      </w:r>
    </w:p>
    <w:p>
      <w:pPr>
        <w:spacing w:line="360" w:lineRule="auto"/>
        <w:ind w:firstLine="640" w:firstLineChars="200"/>
        <w:jc w:val="both"/>
        <w:rPr>
          <w:rFonts w:ascii="仿宋" w:hAnsi="仿宋" w:eastAsia="仿宋"/>
          <w:bCs/>
          <w:color w:val="000000"/>
          <w:sz w:val="32"/>
          <w:szCs w:val="32"/>
        </w:rPr>
      </w:pPr>
      <w:r>
        <w:rPr>
          <w:rFonts w:hint="eastAsia" w:ascii="仿宋" w:hAnsi="仿宋" w:eastAsia="仿宋"/>
          <w:bCs/>
          <w:color w:val="000000"/>
          <w:sz w:val="32"/>
          <w:szCs w:val="32"/>
        </w:rPr>
        <w:t>1</w:t>
      </w:r>
      <w:r>
        <w:rPr>
          <w:rFonts w:ascii="仿宋" w:hAnsi="仿宋" w:eastAsia="仿宋"/>
          <w:bCs/>
          <w:color w:val="000000"/>
          <w:sz w:val="32"/>
          <w:szCs w:val="32"/>
        </w:rPr>
        <w:t>2.</w:t>
      </w:r>
      <w:r>
        <w:rPr>
          <w:rFonts w:hint="eastAsia" w:ascii="仿宋" w:hAnsi="仿宋" w:eastAsia="仿宋"/>
          <w:bCs/>
          <w:color w:val="000000"/>
          <w:sz w:val="32"/>
          <w:szCs w:val="32"/>
        </w:rPr>
        <w:t xml:space="preserve"> 积极配合完成其他各项任务。按照相关工作要求，认真做好疫情防控、法治政府建设、民族团结进步示范创建等各项工作。</w:t>
      </w:r>
    </w:p>
    <w:p>
      <w:pPr>
        <w:shd w:val="clear" w:color="auto" w:fill="FFFFFF"/>
        <w:adjustRightInd/>
        <w:snapToGrid/>
        <w:spacing w:before="100" w:beforeAutospacing="1" w:after="100" w:afterAutospacing="1" w:line="360" w:lineRule="auto"/>
        <w:jc w:val="center"/>
        <w:outlineLvl w:val="0"/>
        <w:rPr>
          <w:rFonts w:ascii="宋体" w:hAnsi="宋体" w:eastAsia="宋体" w:cs="宋体"/>
          <w:b/>
          <w:bCs/>
          <w:kern w:val="36"/>
          <w:sz w:val="48"/>
          <w:szCs w:val="48"/>
        </w:rPr>
      </w:pPr>
      <w:r>
        <w:rPr>
          <w:rFonts w:hint="eastAsia" w:ascii="宋体" w:hAnsi="宋体" w:eastAsia="宋体" w:cs="宋体"/>
          <w:b/>
          <w:bCs/>
          <w:kern w:val="36"/>
          <w:sz w:val="48"/>
          <w:szCs w:val="48"/>
        </w:rPr>
        <w:t>第二部分 2022年度单位决算情况说明</w:t>
      </w:r>
    </w:p>
    <w:p>
      <w:pPr>
        <w:pStyle w:val="17"/>
        <w:numPr>
          <w:ilvl w:val="0"/>
          <w:numId w:val="1"/>
        </w:numPr>
        <w:shd w:val="clear" w:color="auto" w:fill="FFFFFF"/>
        <w:adjustRightInd/>
        <w:snapToGrid/>
        <w:spacing w:before="100" w:beforeAutospacing="1" w:after="100" w:afterAutospacing="1" w:line="360" w:lineRule="auto"/>
        <w:ind w:firstLineChars="0"/>
        <w:rPr>
          <w:rFonts w:ascii="宋体" w:hAnsi="宋体" w:eastAsia="宋体" w:cs="宋体"/>
          <w:b/>
          <w:sz w:val="32"/>
          <w:szCs w:val="32"/>
        </w:rPr>
      </w:pPr>
      <w:r>
        <w:rPr>
          <w:rFonts w:hint="eastAsia" w:ascii="宋体" w:hAnsi="宋体" w:eastAsia="宋体" w:cs="宋体"/>
          <w:b/>
          <w:sz w:val="32"/>
          <w:szCs w:val="32"/>
        </w:rPr>
        <w:t>收入支出决算总体情况说明</w:t>
      </w:r>
    </w:p>
    <w:p>
      <w:pPr>
        <w:shd w:val="clear" w:color="auto" w:fill="FFFFFF"/>
        <w:adjustRightInd/>
        <w:snapToGrid/>
        <w:spacing w:before="100" w:beforeAutospacing="1" w:after="100" w:afterAutospacing="1" w:line="360" w:lineRule="auto"/>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2022年度收、支总计344.77万元。与2021年331.66万元相比，收、支总计各增加13.11万元，增长3.95%。</w:t>
      </w:r>
      <w:r>
        <w:rPr>
          <w:rFonts w:hint="eastAsia" w:ascii="仿宋" w:hAnsi="仿宋" w:eastAsia="仿宋"/>
          <w:bCs/>
          <w:color w:val="000000"/>
          <w:sz w:val="32"/>
          <w:szCs w:val="32"/>
        </w:rPr>
        <w:t>主要变动原因是人员增加，经费增加。</w:t>
      </w:r>
    </w:p>
    <w:p>
      <w:pPr>
        <w:pStyle w:val="2"/>
        <w:rPr>
          <w:rFonts w:hint="eastAsia" w:eastAsia="仿宋"/>
          <w:lang w:eastAsia="zh-CN"/>
        </w:rPr>
      </w:pPr>
      <w:r>
        <w:rPr>
          <w:rFonts w:hint="eastAsia" w:ascii="仿宋" w:hAnsi="仿宋" w:eastAsia="仿宋" w:cs="仿宋"/>
          <w:sz w:val="32"/>
          <w:szCs w:val="32"/>
        </w:rPr>
        <w:drawing>
          <wp:inline distT="0" distB="0" distL="0" distR="0">
            <wp:extent cx="5274310" cy="3076575"/>
            <wp:effectExtent l="5080" t="4445" r="1651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hd w:val="clear" w:color="auto" w:fill="FFFFFF"/>
        <w:adjustRightInd/>
        <w:snapToGrid/>
        <w:spacing w:before="100" w:beforeAutospacing="1" w:after="100" w:afterAutospacing="1" w:line="360" w:lineRule="auto"/>
        <w:rPr>
          <w:rFonts w:ascii="仿宋" w:hAnsi="仿宋" w:eastAsia="仿宋"/>
          <w:bCs/>
          <w:color w:val="000000"/>
          <w:sz w:val="32"/>
          <w:szCs w:val="32"/>
        </w:rPr>
      </w:pPr>
      <w:r>
        <w:rPr>
          <w:rFonts w:hint="eastAsia" w:ascii="仿宋" w:hAnsi="仿宋" w:eastAsia="仿宋"/>
          <w:bCs/>
          <w:color w:val="000000"/>
          <w:sz w:val="32"/>
          <w:szCs w:val="32"/>
        </w:rPr>
        <w:t>（图1：收、支决算总计变动情况图）（柱状图）</w:t>
      </w:r>
    </w:p>
    <w:p>
      <w:pPr>
        <w:pStyle w:val="17"/>
        <w:numPr>
          <w:ilvl w:val="0"/>
          <w:numId w:val="1"/>
        </w:numPr>
        <w:shd w:val="clear" w:color="auto" w:fill="FFFFFF"/>
        <w:adjustRightInd/>
        <w:snapToGrid/>
        <w:spacing w:before="100" w:beforeAutospacing="1" w:after="100" w:afterAutospacing="1" w:line="360" w:lineRule="auto"/>
        <w:ind w:firstLineChars="0"/>
        <w:rPr>
          <w:rFonts w:ascii="仿宋" w:hAnsi="仿宋" w:eastAsia="仿宋"/>
          <w:bCs/>
          <w:color w:val="000000"/>
          <w:sz w:val="32"/>
          <w:szCs w:val="32"/>
        </w:rPr>
      </w:pPr>
      <w:r>
        <w:rPr>
          <w:rFonts w:hint="eastAsia" w:ascii="仿宋" w:hAnsi="仿宋" w:eastAsia="仿宋"/>
          <w:bCs/>
          <w:color w:val="000000"/>
          <w:sz w:val="32"/>
          <w:szCs w:val="32"/>
        </w:rPr>
        <w:t>收入决算情况说明</w:t>
      </w:r>
    </w:p>
    <w:p>
      <w:pPr>
        <w:shd w:val="clear" w:color="auto" w:fill="FFFFFF"/>
        <w:adjustRightInd/>
        <w:snapToGrid/>
        <w:spacing w:before="100" w:beforeAutospacing="1" w:after="100" w:afterAutospacing="1" w:line="360" w:lineRule="auto"/>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2022年本年收入合计344.77万元，其中：一般公共预算财政拨款收入343.22万元，占 99.55%；政府性基金预算财政拨款收入0.00万元，占0.00%；国有资本经营预算财政拨款收入0.00万元，占0.00%；上级补助收入0.00万元，占0.00%；事业收入0.00万元，占0.00%；经营收入0.00万元，占0.00%；附属单位上缴收入0.00万元，占 0.00%；其他收入1.55万元，占0.45%。</w:t>
      </w:r>
    </w:p>
    <w:p>
      <w:pPr>
        <w:shd w:val="clear" w:color="auto" w:fill="FFFFFF"/>
        <w:adjustRightInd/>
        <w:snapToGrid/>
        <w:spacing w:before="100" w:beforeAutospacing="1" w:after="100" w:afterAutospacing="1" w:line="360" w:lineRule="auto"/>
        <w:ind w:firstLine="640" w:firstLineChars="200"/>
        <w:jc w:val="both"/>
        <w:rPr>
          <w:rFonts w:ascii="仿宋" w:hAnsi="仿宋" w:eastAsia="仿宋"/>
          <w:bCs/>
          <w:color w:val="000000"/>
          <w:sz w:val="32"/>
          <w:szCs w:val="32"/>
        </w:rPr>
      </w:pPr>
      <w:r>
        <w:rPr>
          <w:rFonts w:hint="eastAsia" w:ascii="仿宋" w:hAnsi="仿宋" w:eastAsia="仿宋" w:cs="仿宋"/>
          <w:sz w:val="32"/>
          <w:szCs w:val="32"/>
        </w:rPr>
        <w:drawing>
          <wp:inline distT="0" distB="0" distL="0" distR="0">
            <wp:extent cx="5274310" cy="3076575"/>
            <wp:effectExtent l="5080" t="4445" r="16510"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hd w:val="clear" w:color="auto" w:fill="FFFFFF"/>
        <w:adjustRightInd/>
        <w:snapToGrid/>
        <w:spacing w:before="100" w:beforeAutospacing="1" w:after="100" w:afterAutospacing="1" w:line="360" w:lineRule="auto"/>
        <w:rPr>
          <w:rFonts w:ascii="宋体" w:hAnsi="宋体" w:eastAsia="宋体" w:cs="宋体"/>
          <w:sz w:val="18"/>
          <w:szCs w:val="18"/>
        </w:rPr>
      </w:pPr>
      <w:r>
        <w:rPr>
          <w:rFonts w:hint="eastAsia" w:ascii="宋体" w:hAnsi="宋体" w:eastAsia="宋体" w:cs="宋体"/>
          <w:sz w:val="18"/>
          <w:szCs w:val="18"/>
        </w:rPr>
        <w:t>（图2：收入决算结构图）（饼状图）</w:t>
      </w:r>
    </w:p>
    <w:p>
      <w:pPr>
        <w:shd w:val="clear" w:color="auto" w:fill="FFFFFF"/>
        <w:adjustRightInd/>
        <w:snapToGrid/>
        <w:spacing w:before="100" w:beforeAutospacing="1" w:after="100" w:afterAutospacing="1" w:line="360" w:lineRule="auto"/>
        <w:ind w:left="720"/>
        <w:rPr>
          <w:rFonts w:ascii="宋体" w:hAnsi="宋体" w:eastAsia="宋体" w:cs="宋体"/>
          <w:sz w:val="32"/>
          <w:szCs w:val="32"/>
        </w:rPr>
      </w:pPr>
      <w:r>
        <w:rPr>
          <w:rFonts w:hint="eastAsia" w:ascii="宋体" w:hAnsi="宋体" w:eastAsia="宋体" w:cs="宋体"/>
          <w:sz w:val="32"/>
          <w:szCs w:val="32"/>
        </w:rPr>
        <w:t>三、支出决算情况说明</w:t>
      </w:r>
    </w:p>
    <w:p>
      <w:pPr>
        <w:shd w:val="clear" w:color="auto" w:fill="FFFFFF"/>
        <w:adjustRightInd/>
        <w:snapToGrid/>
        <w:spacing w:before="100" w:beforeAutospacing="1" w:after="100" w:afterAutospacing="1" w:line="360" w:lineRule="auto"/>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2022年本年支出合计344.77万元，其中：基本支出326.93万元，占94.83%；项目支出17.84万元，占5.13%；上缴上级支出0.00万元，占0.00%；经营支出0.00万元，占0.00%；对附属单位补助支出0.00万元，占0.00%。</w:t>
      </w:r>
    </w:p>
    <w:p>
      <w:pPr>
        <w:shd w:val="clear" w:color="auto" w:fill="FFFFFF"/>
        <w:adjustRightInd/>
        <w:snapToGrid/>
        <w:spacing w:before="100" w:beforeAutospacing="1" w:after="100" w:afterAutospacing="1"/>
        <w:ind w:firstLine="640" w:firstLineChars="200"/>
      </w:pPr>
      <w:r>
        <w:rPr>
          <w:rFonts w:hint="eastAsia" w:ascii="仿宋" w:hAnsi="仿宋" w:eastAsia="仿宋" w:cs="仿宋"/>
          <w:sz w:val="32"/>
          <w:szCs w:val="32"/>
        </w:rPr>
        <w:drawing>
          <wp:inline distT="0" distB="0" distL="0" distR="0">
            <wp:extent cx="5274310" cy="3076575"/>
            <wp:effectExtent l="5080" t="4445" r="16510"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hd w:val="clear" w:color="auto" w:fill="FFFFFF"/>
        <w:adjustRightInd/>
        <w:snapToGrid/>
        <w:spacing w:before="100" w:beforeAutospacing="1" w:after="100" w:afterAutospacing="1" w:line="360" w:lineRule="auto"/>
        <w:rPr>
          <w:rFonts w:ascii="宋体" w:hAnsi="宋体" w:eastAsia="宋体" w:cs="宋体"/>
          <w:sz w:val="18"/>
          <w:szCs w:val="18"/>
        </w:rPr>
      </w:pPr>
      <w:r>
        <w:rPr>
          <w:rFonts w:hint="eastAsia" w:ascii="宋体" w:hAnsi="宋体" w:eastAsia="宋体" w:cs="宋体"/>
          <w:sz w:val="18"/>
          <w:szCs w:val="18"/>
        </w:rPr>
        <w:t>（图3：支出决算结构图）（饼状图）</w:t>
      </w:r>
    </w:p>
    <w:p>
      <w:pPr>
        <w:shd w:val="clear" w:color="auto" w:fill="FFFFFF"/>
        <w:adjustRightInd/>
        <w:snapToGrid/>
        <w:spacing w:before="100" w:beforeAutospacing="1" w:after="100" w:afterAutospacing="1" w:line="360" w:lineRule="auto"/>
        <w:ind w:firstLine="800" w:firstLineChars="250"/>
        <w:rPr>
          <w:rFonts w:ascii="宋体" w:hAnsi="宋体" w:eastAsia="宋体" w:cs="宋体"/>
          <w:sz w:val="32"/>
          <w:szCs w:val="32"/>
        </w:rPr>
      </w:pPr>
      <w:r>
        <w:rPr>
          <w:rFonts w:hint="eastAsia" w:ascii="宋体" w:hAnsi="宋体" w:eastAsia="宋体" w:cs="宋体"/>
          <w:sz w:val="32"/>
          <w:szCs w:val="32"/>
        </w:rPr>
        <w:t>四、财政拨款收入支出决算总体情况说明</w:t>
      </w:r>
    </w:p>
    <w:p>
      <w:pPr>
        <w:shd w:val="clear" w:color="auto" w:fill="FFFFFF"/>
        <w:adjustRightInd/>
        <w:snapToGrid/>
        <w:spacing w:before="100" w:beforeAutospacing="1" w:after="100" w:afterAutospacing="1" w:line="360" w:lineRule="auto"/>
        <w:ind w:firstLine="800" w:firstLineChars="250"/>
        <w:rPr>
          <w:rFonts w:hint="eastAsia" w:ascii="仿宋" w:hAnsi="仿宋" w:eastAsia="仿宋"/>
          <w:bCs/>
          <w:color w:val="000000"/>
          <w:sz w:val="32"/>
          <w:szCs w:val="32"/>
        </w:rPr>
      </w:pPr>
      <w:r>
        <w:rPr>
          <w:rFonts w:hint="eastAsia" w:ascii="仿宋" w:hAnsi="仿宋" w:eastAsia="仿宋"/>
          <w:bCs/>
          <w:color w:val="000000"/>
          <w:sz w:val="32"/>
          <w:szCs w:val="32"/>
        </w:rPr>
        <w:t>2022年财政拨款收、支总计343.22万元。与2021年326万元相比，财政拨款收、支总计各增加17.22万元，增长</w:t>
      </w:r>
      <w:r>
        <w:rPr>
          <w:rFonts w:hint="eastAsia" w:ascii="仿宋" w:hAnsi="仿宋" w:eastAsia="仿宋"/>
          <w:bCs/>
          <w:color w:val="000000" w:themeColor="text1"/>
          <w:sz w:val="32"/>
          <w:szCs w:val="32"/>
          <w14:textFill>
            <w14:solidFill>
              <w14:schemeClr w14:val="tx1"/>
            </w14:solidFill>
          </w14:textFill>
        </w:rPr>
        <w:t>5.28%</w:t>
      </w:r>
      <w:r>
        <w:rPr>
          <w:rFonts w:hint="eastAsia" w:ascii="仿宋" w:hAnsi="仿宋" w:eastAsia="仿宋"/>
          <w:bCs/>
          <w:color w:val="000000"/>
          <w:sz w:val="32"/>
          <w:szCs w:val="32"/>
        </w:rPr>
        <w:t>。主要变动原因是人员增加，经费增加。</w:t>
      </w:r>
    </w:p>
    <w:p>
      <w:pPr>
        <w:pStyle w:val="2"/>
      </w:pPr>
      <w:r>
        <w:rPr>
          <w:rFonts w:hint="eastAsia" w:ascii="仿宋" w:hAnsi="仿宋" w:eastAsia="仿宋" w:cs="仿宋"/>
          <w:sz w:val="32"/>
          <w:szCs w:val="32"/>
        </w:rPr>
        <w:drawing>
          <wp:inline distT="0" distB="0" distL="0" distR="0">
            <wp:extent cx="5274310" cy="3076575"/>
            <wp:effectExtent l="5080" t="4445" r="1651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hd w:val="clear" w:color="auto" w:fill="FFFFFF"/>
        <w:adjustRightInd/>
        <w:snapToGrid/>
        <w:spacing w:before="100" w:beforeAutospacing="1" w:after="100" w:afterAutospacing="1" w:line="360" w:lineRule="auto"/>
        <w:rPr>
          <w:rFonts w:ascii="宋体" w:hAnsi="宋体" w:eastAsia="宋体" w:cs="宋体"/>
          <w:sz w:val="18"/>
          <w:szCs w:val="18"/>
        </w:rPr>
      </w:pPr>
      <w:r>
        <w:rPr>
          <w:rFonts w:hint="eastAsia" w:ascii="宋体" w:hAnsi="宋体" w:eastAsia="宋体" w:cs="宋体"/>
          <w:sz w:val="18"/>
          <w:szCs w:val="18"/>
        </w:rPr>
        <w:t>（图4：财政拨款收、支决算总计变动情况）（柱状图）</w:t>
      </w:r>
    </w:p>
    <w:p>
      <w:pPr>
        <w:shd w:val="clear" w:color="auto" w:fill="FFFFFF"/>
        <w:adjustRightInd/>
        <w:snapToGrid/>
        <w:spacing w:before="100" w:beforeAutospacing="1" w:after="100" w:afterAutospacing="1" w:line="360" w:lineRule="auto"/>
        <w:ind w:firstLine="800" w:firstLineChars="250"/>
        <w:rPr>
          <w:rFonts w:ascii="宋体" w:hAnsi="宋体" w:eastAsia="宋体" w:cs="宋体"/>
          <w:sz w:val="32"/>
          <w:szCs w:val="32"/>
        </w:rPr>
      </w:pPr>
      <w:r>
        <w:rPr>
          <w:rFonts w:hint="eastAsia" w:ascii="宋体" w:hAnsi="宋体" w:eastAsia="宋体" w:cs="宋体"/>
          <w:sz w:val="32"/>
          <w:szCs w:val="32"/>
        </w:rPr>
        <w:t>五、</w:t>
      </w:r>
      <w:r>
        <w:rPr>
          <w:rFonts w:hint="eastAsia" w:ascii="宋体" w:hAnsi="宋体" w:eastAsia="宋体" w:cs="宋体"/>
          <w:b/>
          <w:bCs/>
          <w:sz w:val="32"/>
          <w:szCs w:val="32"/>
        </w:rPr>
        <w:t>一</w:t>
      </w:r>
      <w:r>
        <w:rPr>
          <w:rFonts w:hint="eastAsia" w:ascii="宋体" w:hAnsi="宋体" w:eastAsia="宋体" w:cs="宋体"/>
          <w:sz w:val="32"/>
          <w:szCs w:val="32"/>
        </w:rPr>
        <w:t>般公共预算财政拨款支出决算情况说明</w:t>
      </w:r>
    </w:p>
    <w:p>
      <w:pPr>
        <w:shd w:val="clear" w:color="auto" w:fill="FFFFFF"/>
        <w:adjustRightInd/>
        <w:snapToGrid/>
        <w:spacing w:before="100" w:beforeAutospacing="1" w:after="100" w:afterAutospacing="1" w:line="360" w:lineRule="auto"/>
        <w:ind w:firstLine="643" w:firstLineChars="200"/>
        <w:rPr>
          <w:rFonts w:ascii="宋体" w:hAnsi="宋体" w:eastAsia="宋体" w:cs="宋体"/>
          <w:sz w:val="32"/>
          <w:szCs w:val="32"/>
        </w:rPr>
      </w:pPr>
      <w:r>
        <w:rPr>
          <w:rFonts w:hint="eastAsia" w:ascii="宋体" w:hAnsi="宋体" w:eastAsia="宋体" w:cs="宋体"/>
          <w:b/>
          <w:bCs/>
          <w:sz w:val="32"/>
          <w:szCs w:val="32"/>
        </w:rPr>
        <w:t>（一）一般公共预算财政拨款支出决算总体情况</w:t>
      </w:r>
    </w:p>
    <w:p>
      <w:pPr>
        <w:shd w:val="clear" w:color="auto" w:fill="FFFFFF"/>
        <w:adjustRightInd/>
        <w:snapToGrid/>
        <w:spacing w:before="100" w:beforeAutospacing="1" w:after="100" w:afterAutospacing="1" w:line="360" w:lineRule="auto"/>
        <w:ind w:firstLine="800" w:firstLineChars="250"/>
        <w:rPr>
          <w:rFonts w:hint="eastAsia" w:ascii="仿宋" w:hAnsi="仿宋" w:eastAsia="仿宋"/>
          <w:bCs/>
          <w:color w:val="000000"/>
          <w:sz w:val="32"/>
          <w:szCs w:val="32"/>
          <w:lang w:eastAsia="zh-CN"/>
        </w:rPr>
      </w:pPr>
      <w:r>
        <w:rPr>
          <w:rFonts w:hint="eastAsia" w:ascii="仿宋" w:hAnsi="仿宋" w:eastAsia="仿宋"/>
          <w:bCs/>
          <w:color w:val="000000"/>
          <w:sz w:val="32"/>
          <w:szCs w:val="32"/>
        </w:rPr>
        <w:t>2022年一般公共预算财政拨款支出</w:t>
      </w:r>
      <w:r>
        <w:rPr>
          <w:rFonts w:hint="eastAsia" w:ascii="仿宋" w:hAnsi="仿宋" w:eastAsia="仿宋"/>
          <w:bCs/>
          <w:color w:val="000000"/>
          <w:sz w:val="32"/>
          <w:szCs w:val="32"/>
          <w:lang w:val="en-US" w:eastAsia="zh-CN"/>
        </w:rPr>
        <w:t>343.22</w:t>
      </w:r>
      <w:r>
        <w:rPr>
          <w:rFonts w:hint="eastAsia" w:ascii="仿宋" w:hAnsi="仿宋" w:eastAsia="仿宋"/>
          <w:bCs/>
          <w:color w:val="000000"/>
          <w:sz w:val="32"/>
          <w:szCs w:val="32"/>
        </w:rPr>
        <w:t>万元，占本年支出合计的</w:t>
      </w:r>
      <w:r>
        <w:rPr>
          <w:rFonts w:hint="eastAsia" w:ascii="仿宋" w:hAnsi="仿宋" w:eastAsia="仿宋"/>
          <w:bCs/>
          <w:color w:val="000000"/>
          <w:sz w:val="32"/>
          <w:szCs w:val="32"/>
          <w:lang w:val="en-US" w:eastAsia="zh-CN"/>
        </w:rPr>
        <w:t>99.55</w:t>
      </w:r>
      <w:r>
        <w:rPr>
          <w:rFonts w:hint="eastAsia" w:ascii="仿宋" w:hAnsi="仿宋" w:eastAsia="仿宋"/>
          <w:bCs/>
          <w:color w:val="000000"/>
          <w:sz w:val="32"/>
          <w:szCs w:val="32"/>
        </w:rPr>
        <w:t>%。与2021年</w:t>
      </w:r>
      <w:r>
        <w:rPr>
          <w:rFonts w:hint="eastAsia" w:ascii="仿宋" w:hAnsi="仿宋" w:eastAsia="仿宋"/>
          <w:bCs/>
          <w:color w:val="000000"/>
          <w:sz w:val="32"/>
          <w:szCs w:val="32"/>
          <w:lang w:val="en-US" w:eastAsia="zh-CN"/>
        </w:rPr>
        <w:t>326</w:t>
      </w:r>
      <w:r>
        <w:rPr>
          <w:rFonts w:hint="eastAsia" w:ascii="仿宋" w:hAnsi="仿宋" w:eastAsia="仿宋"/>
          <w:bCs/>
          <w:color w:val="000000"/>
          <w:sz w:val="32"/>
          <w:szCs w:val="32"/>
        </w:rPr>
        <w:t>万元相比，一般公共预算财政拨款支出增加</w:t>
      </w:r>
      <w:r>
        <w:rPr>
          <w:rFonts w:hint="eastAsia" w:ascii="仿宋" w:hAnsi="仿宋" w:eastAsia="仿宋"/>
          <w:bCs/>
          <w:color w:val="000000"/>
          <w:sz w:val="32"/>
          <w:szCs w:val="32"/>
          <w:lang w:val="en-US" w:eastAsia="zh-CN"/>
        </w:rPr>
        <w:t>17.22</w:t>
      </w:r>
      <w:r>
        <w:rPr>
          <w:rFonts w:hint="eastAsia" w:ascii="仿宋" w:hAnsi="仿宋" w:eastAsia="仿宋"/>
          <w:bCs/>
          <w:color w:val="000000"/>
          <w:sz w:val="32"/>
          <w:szCs w:val="32"/>
        </w:rPr>
        <w:t>万元，增长</w:t>
      </w:r>
      <w:r>
        <w:rPr>
          <w:rFonts w:hint="eastAsia" w:ascii="仿宋" w:hAnsi="仿宋" w:eastAsia="仿宋"/>
          <w:bCs/>
          <w:color w:val="000000"/>
          <w:sz w:val="32"/>
          <w:szCs w:val="32"/>
          <w:lang w:val="en-US" w:eastAsia="zh-CN"/>
        </w:rPr>
        <w:t>5.28</w:t>
      </w:r>
      <w:r>
        <w:rPr>
          <w:rFonts w:hint="eastAsia" w:ascii="仿宋" w:hAnsi="仿宋" w:eastAsia="仿宋"/>
          <w:bCs/>
          <w:color w:val="000000"/>
          <w:sz w:val="32"/>
          <w:szCs w:val="32"/>
        </w:rPr>
        <w:t>%。主要变动原因是</w:t>
      </w:r>
      <w:r>
        <w:rPr>
          <w:rFonts w:hint="eastAsia" w:ascii="仿宋" w:hAnsi="仿宋" w:eastAsia="仿宋"/>
          <w:bCs/>
          <w:color w:val="000000"/>
          <w:sz w:val="32"/>
          <w:szCs w:val="32"/>
          <w:lang w:eastAsia="zh-CN"/>
        </w:rPr>
        <w:t>人员增加经费增加。</w:t>
      </w:r>
    </w:p>
    <w:p>
      <w:pPr>
        <w:pStyle w:val="2"/>
        <w:rPr>
          <w:rFonts w:hint="eastAsia"/>
          <w:lang w:eastAsia="zh-CN"/>
        </w:rPr>
      </w:pPr>
      <w:r>
        <w:rPr>
          <w:rFonts w:hint="eastAsia"/>
          <w:lang w:eastAsia="zh-CN"/>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0" w:name="_GoBack"/>
      <w:bookmarkEnd w:id="0"/>
    </w:p>
    <w:p>
      <w:pPr>
        <w:shd w:val="clear" w:color="auto" w:fill="FFFFFF"/>
        <w:adjustRightInd/>
        <w:snapToGrid/>
        <w:spacing w:before="100" w:beforeAutospacing="1" w:after="100" w:afterAutospacing="1" w:line="360" w:lineRule="auto"/>
        <w:rPr>
          <w:rFonts w:ascii="宋体" w:hAnsi="宋体" w:eastAsia="宋体" w:cs="宋体"/>
          <w:sz w:val="32"/>
          <w:szCs w:val="32"/>
        </w:rPr>
      </w:pPr>
      <w:r>
        <w:rPr>
          <w:rFonts w:hint="eastAsia" w:ascii="宋体" w:hAnsi="宋体" w:eastAsia="宋体" w:cs="宋体"/>
          <w:sz w:val="32"/>
          <w:szCs w:val="32"/>
        </w:rPr>
        <w:t>（图5：一般公共预算财政拨款支出决算变动情况）（柱状图）</w:t>
      </w:r>
    </w:p>
    <w:p>
      <w:pPr>
        <w:shd w:val="clear" w:color="auto" w:fill="FFFFFF"/>
        <w:adjustRightInd/>
        <w:snapToGrid/>
        <w:spacing w:before="100" w:beforeAutospacing="1" w:after="100" w:afterAutospacing="1" w:line="360" w:lineRule="auto"/>
        <w:ind w:firstLine="643" w:firstLineChars="200"/>
        <w:rPr>
          <w:rFonts w:ascii="宋体" w:hAnsi="宋体" w:eastAsia="宋体" w:cs="宋体"/>
          <w:sz w:val="32"/>
          <w:szCs w:val="32"/>
        </w:rPr>
      </w:pPr>
      <w:r>
        <w:rPr>
          <w:rFonts w:hint="eastAsia" w:ascii="宋体" w:hAnsi="宋体" w:eastAsia="宋体" w:cs="宋体"/>
          <w:b/>
          <w:bCs/>
          <w:sz w:val="32"/>
          <w:szCs w:val="32"/>
        </w:rPr>
        <w:t>（二）一般公共预算财政拨款支出决算结构情况</w:t>
      </w:r>
    </w:p>
    <w:p>
      <w:pPr>
        <w:shd w:val="clear" w:color="auto" w:fill="FFFFFF"/>
        <w:adjustRightInd/>
        <w:snapToGrid/>
        <w:spacing w:before="100" w:beforeAutospacing="1" w:after="100" w:afterAutospacing="1" w:line="360" w:lineRule="auto"/>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年一般公共预算财政拨款支出</w:t>
      </w:r>
      <w:r>
        <w:rPr>
          <w:rFonts w:hint="eastAsia" w:ascii="仿宋" w:hAnsi="仿宋" w:eastAsia="仿宋"/>
          <w:bCs/>
          <w:color w:val="000000"/>
          <w:sz w:val="32"/>
          <w:szCs w:val="32"/>
          <w:lang w:val="en-US" w:eastAsia="zh-CN"/>
        </w:rPr>
        <w:t>343.22</w:t>
      </w:r>
      <w:r>
        <w:rPr>
          <w:rFonts w:hint="eastAsia" w:ascii="仿宋" w:hAnsi="仿宋" w:eastAsia="仿宋"/>
          <w:bCs/>
          <w:color w:val="000000"/>
          <w:sz w:val="32"/>
          <w:szCs w:val="32"/>
        </w:rPr>
        <w:t>万元，主要用于以下方面:一般公共服务（类）支出</w:t>
      </w:r>
      <w:r>
        <w:rPr>
          <w:rFonts w:hint="eastAsia" w:ascii="仿宋" w:hAnsi="仿宋" w:eastAsia="仿宋"/>
          <w:bCs/>
          <w:color w:val="000000"/>
          <w:sz w:val="32"/>
          <w:szCs w:val="32"/>
          <w:lang w:val="en-US" w:eastAsia="zh-CN"/>
        </w:rPr>
        <w:t>266.63</w:t>
      </w:r>
      <w:r>
        <w:rPr>
          <w:rFonts w:hint="eastAsia" w:ascii="仿宋" w:hAnsi="仿宋" w:eastAsia="仿宋"/>
          <w:bCs/>
          <w:color w:val="000000"/>
          <w:sz w:val="32"/>
          <w:szCs w:val="32"/>
        </w:rPr>
        <w:t>万元，占</w:t>
      </w:r>
      <w:r>
        <w:rPr>
          <w:rFonts w:hint="eastAsia" w:ascii="仿宋" w:hAnsi="仿宋" w:eastAsia="仿宋"/>
          <w:bCs/>
          <w:color w:val="000000"/>
          <w:sz w:val="32"/>
          <w:szCs w:val="32"/>
          <w:lang w:val="en-US" w:eastAsia="zh-CN"/>
        </w:rPr>
        <w:t>77.69</w:t>
      </w:r>
      <w:r>
        <w:rPr>
          <w:rFonts w:hint="eastAsia" w:ascii="仿宋" w:hAnsi="仿宋" w:eastAsia="仿宋"/>
          <w:bCs/>
          <w:color w:val="000000"/>
          <w:sz w:val="32"/>
          <w:szCs w:val="32"/>
        </w:rPr>
        <w:t>%；教育支出（类）0.00万元，占0.00%；科学技术（类）支出0.00万元，占0.00%；文化旅游体育与传媒（类）支出0.00万元，占0.00%；社会保障和就业（类）支出</w:t>
      </w:r>
      <w:r>
        <w:rPr>
          <w:rFonts w:hint="eastAsia" w:ascii="仿宋" w:hAnsi="仿宋" w:eastAsia="仿宋"/>
          <w:bCs/>
          <w:color w:val="000000"/>
          <w:sz w:val="32"/>
          <w:szCs w:val="32"/>
          <w:lang w:val="en-US" w:eastAsia="zh-CN"/>
        </w:rPr>
        <w:t>39.61</w:t>
      </w:r>
      <w:r>
        <w:rPr>
          <w:rFonts w:hint="eastAsia" w:ascii="仿宋" w:hAnsi="仿宋" w:eastAsia="仿宋"/>
          <w:bCs/>
          <w:color w:val="000000"/>
          <w:sz w:val="32"/>
          <w:szCs w:val="32"/>
        </w:rPr>
        <w:t>万元，占</w:t>
      </w:r>
      <w:r>
        <w:rPr>
          <w:rFonts w:hint="eastAsia" w:ascii="仿宋" w:hAnsi="仿宋" w:eastAsia="仿宋"/>
          <w:bCs/>
          <w:color w:val="000000"/>
          <w:sz w:val="32"/>
          <w:szCs w:val="32"/>
          <w:lang w:val="en-US" w:eastAsia="zh-CN"/>
        </w:rPr>
        <w:t>11.54</w:t>
      </w:r>
      <w:r>
        <w:rPr>
          <w:rFonts w:hint="eastAsia" w:ascii="仿宋" w:hAnsi="仿宋" w:eastAsia="仿宋"/>
          <w:bCs/>
          <w:color w:val="000000"/>
          <w:sz w:val="32"/>
          <w:szCs w:val="32"/>
        </w:rPr>
        <w:t>%；卫生健康支出</w:t>
      </w:r>
      <w:r>
        <w:rPr>
          <w:rFonts w:hint="eastAsia" w:ascii="仿宋" w:hAnsi="仿宋" w:eastAsia="仿宋"/>
          <w:bCs/>
          <w:color w:val="000000"/>
          <w:sz w:val="32"/>
          <w:szCs w:val="32"/>
          <w:lang w:val="en-US" w:eastAsia="zh-CN"/>
        </w:rPr>
        <w:t>15.29</w:t>
      </w:r>
      <w:r>
        <w:rPr>
          <w:rFonts w:hint="eastAsia" w:ascii="仿宋" w:hAnsi="仿宋" w:eastAsia="仿宋"/>
          <w:bCs/>
          <w:color w:val="000000"/>
          <w:sz w:val="32"/>
          <w:szCs w:val="32"/>
        </w:rPr>
        <w:t>万元，占</w:t>
      </w:r>
      <w:r>
        <w:rPr>
          <w:rFonts w:hint="eastAsia" w:ascii="仿宋" w:hAnsi="仿宋" w:eastAsia="仿宋"/>
          <w:bCs/>
          <w:color w:val="000000"/>
          <w:sz w:val="32"/>
          <w:szCs w:val="32"/>
          <w:lang w:val="en-US" w:eastAsia="zh-CN"/>
        </w:rPr>
        <w:t>4.45</w:t>
      </w:r>
      <w:r>
        <w:rPr>
          <w:rFonts w:hint="eastAsia" w:ascii="仿宋" w:hAnsi="仿宋" w:eastAsia="仿宋"/>
          <w:bCs/>
          <w:color w:val="000000"/>
          <w:sz w:val="32"/>
          <w:szCs w:val="32"/>
        </w:rPr>
        <w:t>%；住房保障支出</w:t>
      </w:r>
      <w:r>
        <w:rPr>
          <w:rFonts w:hint="eastAsia" w:ascii="仿宋" w:hAnsi="仿宋" w:eastAsia="仿宋"/>
          <w:bCs/>
          <w:color w:val="000000"/>
          <w:sz w:val="32"/>
          <w:szCs w:val="32"/>
          <w:lang w:val="en-US" w:eastAsia="zh-CN"/>
        </w:rPr>
        <w:t>21.69</w:t>
      </w:r>
      <w:r>
        <w:rPr>
          <w:rFonts w:hint="eastAsia" w:ascii="仿宋" w:hAnsi="仿宋" w:eastAsia="仿宋"/>
          <w:bCs/>
          <w:color w:val="000000"/>
          <w:sz w:val="32"/>
          <w:szCs w:val="32"/>
        </w:rPr>
        <w:t>万元，占</w:t>
      </w:r>
      <w:r>
        <w:rPr>
          <w:rFonts w:hint="eastAsia" w:ascii="仿宋" w:hAnsi="仿宋" w:eastAsia="仿宋"/>
          <w:bCs/>
          <w:color w:val="000000"/>
          <w:sz w:val="32"/>
          <w:szCs w:val="32"/>
          <w:lang w:val="en-US" w:eastAsia="zh-CN"/>
        </w:rPr>
        <w:t>6.32</w:t>
      </w:r>
      <w:r>
        <w:rPr>
          <w:rFonts w:hint="eastAsia" w:ascii="仿宋" w:hAnsi="仿宋" w:eastAsia="仿宋"/>
          <w:bCs/>
          <w:color w:val="000000"/>
          <w:sz w:val="32"/>
          <w:szCs w:val="32"/>
        </w:rPr>
        <w:t>%；。</w:t>
      </w:r>
    </w:p>
    <w:p>
      <w:pPr>
        <w:shd w:val="clear" w:color="auto" w:fill="FFFFFF"/>
        <w:adjustRightInd/>
        <w:snapToGrid/>
        <w:spacing w:before="100" w:beforeAutospacing="1" w:after="100" w:afterAutospacing="1" w:line="360" w:lineRule="auto"/>
        <w:rPr>
          <w:rFonts w:ascii="宋体" w:hAnsi="宋体" w:eastAsia="宋体" w:cs="宋体"/>
          <w:sz w:val="18"/>
          <w:szCs w:val="18"/>
        </w:rPr>
      </w:pPr>
      <w:r>
        <w:rPr>
          <w:rFonts w:hint="eastAsia" w:ascii="仿宋" w:hAnsi="仿宋" w:eastAsia="仿宋" w:cs="仿宋"/>
          <w:sz w:val="32"/>
          <w:szCs w:val="32"/>
        </w:rPr>
        <w:drawing>
          <wp:inline distT="0" distB="0" distL="0" distR="0">
            <wp:extent cx="5274310" cy="3076575"/>
            <wp:effectExtent l="5080" t="4445" r="16510"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ascii="宋体" w:hAnsi="宋体" w:eastAsia="宋体" w:cs="宋体"/>
          <w:sz w:val="18"/>
          <w:szCs w:val="18"/>
        </w:rPr>
        <w:t>（图6：一般公共预算财政拨款支出决算结构）（饼状图）</w:t>
      </w:r>
    </w:p>
    <w:p>
      <w:pPr>
        <w:shd w:val="clear" w:color="auto" w:fill="FFFFFF"/>
        <w:adjustRightInd/>
        <w:snapToGrid/>
        <w:spacing w:before="100" w:beforeAutospacing="1" w:after="100" w:afterAutospacing="1" w:line="360" w:lineRule="auto"/>
        <w:ind w:firstLine="482" w:firstLineChars="150"/>
        <w:rPr>
          <w:rFonts w:ascii="宋体" w:hAnsi="宋体" w:eastAsia="宋体" w:cs="宋体"/>
          <w:sz w:val="32"/>
          <w:szCs w:val="32"/>
        </w:rPr>
      </w:pPr>
      <w:r>
        <w:rPr>
          <w:rFonts w:hint="eastAsia" w:ascii="宋体" w:hAnsi="宋体" w:eastAsia="宋体" w:cs="宋体"/>
          <w:b/>
          <w:bCs/>
          <w:sz w:val="32"/>
          <w:szCs w:val="32"/>
        </w:rPr>
        <w:t>（三）一般公共预算财政拨款支出决算具体情况</w:t>
      </w:r>
    </w:p>
    <w:p>
      <w:pPr>
        <w:shd w:val="clear" w:color="auto" w:fill="FFFFFF"/>
        <w:adjustRightInd/>
        <w:snapToGrid/>
        <w:spacing w:before="100" w:beforeAutospacing="1" w:after="100" w:afterAutospacing="1" w:line="360" w:lineRule="auto"/>
        <w:ind w:firstLine="643" w:firstLineChars="200"/>
        <w:rPr>
          <w:rFonts w:ascii="宋体" w:hAnsi="宋体" w:eastAsia="宋体" w:cs="宋体"/>
          <w:sz w:val="32"/>
          <w:szCs w:val="32"/>
        </w:rPr>
      </w:pPr>
      <w:r>
        <w:rPr>
          <w:rFonts w:hint="eastAsia" w:ascii="宋体" w:hAnsi="宋体" w:eastAsia="宋体" w:cs="宋体"/>
          <w:b/>
          <w:bCs/>
          <w:sz w:val="32"/>
          <w:szCs w:val="32"/>
        </w:rPr>
        <w:t>202</w:t>
      </w:r>
      <w:r>
        <w:rPr>
          <w:rFonts w:hint="eastAsia" w:ascii="宋体" w:hAnsi="宋体" w:eastAsia="宋体" w:cs="宋体"/>
          <w:b/>
          <w:bCs/>
          <w:sz w:val="32"/>
          <w:szCs w:val="32"/>
          <w:lang w:val="en-US" w:eastAsia="zh-CN"/>
        </w:rPr>
        <w:t>2</w:t>
      </w:r>
      <w:r>
        <w:rPr>
          <w:rFonts w:hint="eastAsia" w:ascii="宋体" w:hAnsi="宋体" w:eastAsia="宋体" w:cs="宋体"/>
          <w:b/>
          <w:bCs/>
          <w:sz w:val="32"/>
          <w:szCs w:val="32"/>
        </w:rPr>
        <w:t>年一般公共预算支出决算数为</w:t>
      </w:r>
      <w:r>
        <w:rPr>
          <w:rFonts w:hint="eastAsia" w:ascii="宋体" w:hAnsi="宋体" w:eastAsia="宋体" w:cs="宋体"/>
          <w:sz w:val="32"/>
          <w:szCs w:val="32"/>
          <w:lang w:val="en-US" w:eastAsia="zh-CN"/>
        </w:rPr>
        <w:t>343.22万元</w:t>
      </w:r>
      <w:r>
        <w:rPr>
          <w:rFonts w:hint="eastAsia" w:ascii="宋体" w:hAnsi="宋体" w:eastAsia="宋体" w:cs="宋体"/>
          <w:sz w:val="32"/>
          <w:szCs w:val="32"/>
        </w:rPr>
        <w:t>，</w:t>
      </w:r>
      <w:r>
        <w:rPr>
          <w:rFonts w:hint="eastAsia" w:ascii="宋体" w:hAnsi="宋体" w:eastAsia="宋体" w:cs="宋体"/>
          <w:b/>
          <w:bCs/>
          <w:sz w:val="32"/>
          <w:szCs w:val="32"/>
        </w:rPr>
        <w:t>完成预算</w:t>
      </w:r>
      <w:r>
        <w:rPr>
          <w:rFonts w:hint="eastAsia" w:ascii="宋体" w:hAnsi="宋体" w:eastAsia="宋体" w:cs="宋体"/>
          <w:sz w:val="32"/>
          <w:szCs w:val="32"/>
        </w:rPr>
        <w:t>100.00%</w:t>
      </w:r>
      <w:r>
        <w:rPr>
          <w:rFonts w:hint="eastAsia" w:ascii="宋体" w:hAnsi="宋体" w:eastAsia="宋体" w:cs="宋体"/>
          <w:b/>
          <w:bCs/>
          <w:sz w:val="32"/>
          <w:szCs w:val="32"/>
        </w:rPr>
        <w:t>。其中：</w:t>
      </w:r>
    </w:p>
    <w:p>
      <w:pPr>
        <w:shd w:val="clear" w:color="auto" w:fill="FFFFFF"/>
        <w:adjustRightInd/>
        <w:snapToGrid/>
        <w:spacing w:before="100" w:beforeAutospacing="1" w:after="100" w:afterAutospacing="1" w:line="360" w:lineRule="auto"/>
        <w:ind w:firstLine="640" w:firstLineChars="200"/>
        <w:jc w:val="both"/>
        <w:rPr>
          <w:rFonts w:hint="eastAsia" w:ascii="仿宋" w:hAnsi="仿宋" w:eastAsia="仿宋" w:cs="仿宋"/>
          <w:sz w:val="32"/>
          <w:szCs w:val="32"/>
        </w:rPr>
      </w:pPr>
      <w:r>
        <w:rPr>
          <w:rFonts w:hint="eastAsia" w:ascii="仿宋" w:hAnsi="仿宋" w:eastAsia="仿宋" w:cs="仿宋"/>
          <w:bCs/>
          <w:sz w:val="32"/>
          <w:szCs w:val="32"/>
        </w:rPr>
        <w:t>1.一般公共服务：2010801行政运行支出决算为</w:t>
      </w:r>
      <w:r>
        <w:rPr>
          <w:rFonts w:hint="eastAsia" w:ascii="仿宋" w:hAnsi="仿宋" w:eastAsia="仿宋" w:cs="仿宋"/>
          <w:bCs/>
          <w:sz w:val="32"/>
          <w:szCs w:val="32"/>
          <w:lang w:val="en-US" w:eastAsia="zh-CN"/>
        </w:rPr>
        <w:t>143.21</w:t>
      </w:r>
      <w:r>
        <w:rPr>
          <w:rFonts w:hint="eastAsia" w:ascii="仿宋" w:hAnsi="仿宋" w:eastAsia="仿宋" w:cs="仿宋"/>
          <w:bCs/>
          <w:sz w:val="32"/>
          <w:szCs w:val="32"/>
        </w:rPr>
        <w:t>万元，</w:t>
      </w:r>
      <w:r>
        <w:rPr>
          <w:rFonts w:hint="eastAsia" w:ascii="仿宋" w:hAnsi="仿宋" w:eastAsia="仿宋" w:cs="仿宋"/>
          <w:bCs/>
          <w:sz w:val="32"/>
          <w:szCs w:val="32"/>
          <w:lang w:val="en-US" w:eastAsia="zh-CN"/>
        </w:rPr>
        <w:t>2010802一般行政管理事务6万元。</w:t>
      </w:r>
      <w:r>
        <w:rPr>
          <w:rFonts w:hint="eastAsia" w:ascii="仿宋" w:hAnsi="仿宋" w:eastAsia="仿宋" w:cs="仿宋"/>
          <w:bCs/>
          <w:sz w:val="32"/>
          <w:szCs w:val="32"/>
        </w:rPr>
        <w:t>2010804审计业务</w:t>
      </w:r>
      <w:r>
        <w:rPr>
          <w:rFonts w:hint="eastAsia" w:ascii="仿宋" w:hAnsi="仿宋" w:eastAsia="仿宋" w:cs="仿宋"/>
          <w:bCs/>
          <w:sz w:val="32"/>
          <w:szCs w:val="32"/>
          <w:lang w:val="en-US" w:eastAsia="zh-CN"/>
        </w:rPr>
        <w:t>10.29</w:t>
      </w:r>
      <w:r>
        <w:rPr>
          <w:rFonts w:hint="eastAsia" w:ascii="仿宋" w:hAnsi="仿宋" w:eastAsia="仿宋" w:cs="仿宋"/>
          <w:bCs/>
          <w:sz w:val="32"/>
          <w:szCs w:val="32"/>
        </w:rPr>
        <w:t>万元，2010804事业运行</w:t>
      </w:r>
      <w:r>
        <w:rPr>
          <w:rFonts w:hint="eastAsia" w:ascii="仿宋" w:hAnsi="仿宋" w:eastAsia="仿宋" w:cs="仿宋"/>
          <w:bCs/>
          <w:sz w:val="32"/>
          <w:szCs w:val="32"/>
          <w:lang w:val="en-US" w:eastAsia="zh-CN"/>
        </w:rPr>
        <w:t>107.12</w:t>
      </w:r>
      <w:r>
        <w:rPr>
          <w:rFonts w:hint="eastAsia" w:ascii="仿宋" w:hAnsi="仿宋" w:eastAsia="仿宋" w:cs="仿宋"/>
          <w:bCs/>
          <w:sz w:val="32"/>
          <w:szCs w:val="32"/>
        </w:rPr>
        <w:t>万元</w:t>
      </w:r>
      <w:r>
        <w:rPr>
          <w:rFonts w:hint="eastAsia" w:ascii="仿宋" w:hAnsi="仿宋" w:eastAsia="仿宋" w:cs="仿宋"/>
          <w:bCs/>
          <w:sz w:val="32"/>
          <w:szCs w:val="32"/>
          <w:lang w:eastAsia="zh-CN"/>
        </w:rPr>
        <w:t>。支出决算数为</w:t>
      </w:r>
      <w:r>
        <w:rPr>
          <w:rFonts w:hint="eastAsia" w:ascii="仿宋" w:hAnsi="仿宋" w:eastAsia="仿宋" w:cs="仿宋"/>
          <w:bCs/>
          <w:sz w:val="32"/>
          <w:szCs w:val="32"/>
          <w:lang w:val="en-US" w:eastAsia="zh-CN"/>
        </w:rPr>
        <w:t>266.62万元，</w:t>
      </w:r>
      <w:r>
        <w:rPr>
          <w:rFonts w:hint="eastAsia" w:ascii="仿宋" w:hAnsi="仿宋" w:eastAsia="仿宋" w:cs="仿宋"/>
          <w:bCs/>
          <w:sz w:val="32"/>
          <w:szCs w:val="32"/>
        </w:rPr>
        <w:t>完成预算100%，决算数等于预算数。</w:t>
      </w:r>
    </w:p>
    <w:p>
      <w:pPr>
        <w:shd w:val="clear" w:color="auto" w:fill="FFFFFF"/>
        <w:adjustRightInd/>
        <w:snapToGrid/>
        <w:spacing w:before="100" w:beforeAutospacing="1" w:after="100" w:afterAutospacing="1" w:line="360" w:lineRule="auto"/>
        <w:ind w:firstLine="640" w:firstLineChars="200"/>
        <w:jc w:val="both"/>
        <w:rPr>
          <w:rFonts w:hint="eastAsia" w:ascii="仿宋" w:hAnsi="仿宋" w:eastAsia="仿宋" w:cs="仿宋"/>
          <w:sz w:val="32"/>
          <w:szCs w:val="32"/>
        </w:rPr>
      </w:pPr>
      <w:r>
        <w:rPr>
          <w:rFonts w:hint="eastAsia" w:ascii="仿宋" w:hAnsi="仿宋" w:eastAsia="仿宋" w:cs="仿宋"/>
          <w:bCs/>
          <w:sz w:val="32"/>
          <w:szCs w:val="32"/>
        </w:rPr>
        <w:t>2.社会保障和就业：2080805</w:t>
      </w:r>
      <w:r>
        <w:rPr>
          <w:rFonts w:hint="eastAsia" w:ascii="仿宋" w:hAnsi="仿宋" w:eastAsia="仿宋" w:cs="仿宋"/>
          <w:sz w:val="32"/>
          <w:szCs w:val="32"/>
        </w:rPr>
        <w:t>机关事业单位基本养老保险缴费支出</w:t>
      </w:r>
      <w:r>
        <w:rPr>
          <w:rFonts w:hint="eastAsia" w:ascii="仿宋" w:hAnsi="仿宋" w:eastAsia="仿宋" w:cs="仿宋"/>
          <w:sz w:val="32"/>
          <w:szCs w:val="32"/>
          <w:lang w:val="en-US" w:eastAsia="zh-CN"/>
        </w:rPr>
        <w:t>26.11</w:t>
      </w:r>
      <w:r>
        <w:rPr>
          <w:rFonts w:hint="eastAsia" w:ascii="仿宋" w:hAnsi="仿宋" w:eastAsia="仿宋" w:cs="仿宋"/>
          <w:bCs/>
          <w:sz w:val="32"/>
          <w:szCs w:val="32"/>
        </w:rPr>
        <w:t>万元、2080806</w:t>
      </w:r>
      <w:r>
        <w:rPr>
          <w:rFonts w:hint="eastAsia" w:ascii="仿宋" w:hAnsi="仿宋" w:eastAsia="仿宋" w:cs="仿宋"/>
          <w:sz w:val="32"/>
          <w:szCs w:val="32"/>
        </w:rPr>
        <w:t>机关事业单位职业年金缴费支出</w:t>
      </w:r>
      <w:r>
        <w:rPr>
          <w:rFonts w:hint="eastAsia" w:ascii="仿宋" w:hAnsi="仿宋" w:eastAsia="仿宋" w:cs="仿宋"/>
          <w:sz w:val="32"/>
          <w:szCs w:val="32"/>
          <w:lang w:val="en-US" w:eastAsia="zh-CN"/>
        </w:rPr>
        <w:t>13.5</w:t>
      </w:r>
      <w:r>
        <w:rPr>
          <w:rFonts w:hint="eastAsia" w:ascii="仿宋" w:hAnsi="仿宋" w:eastAsia="仿宋" w:cs="仿宋"/>
          <w:bCs/>
          <w:sz w:val="32"/>
          <w:szCs w:val="32"/>
        </w:rPr>
        <w:t>万元。支出决算为</w:t>
      </w:r>
      <w:r>
        <w:rPr>
          <w:rFonts w:hint="eastAsia" w:ascii="仿宋" w:hAnsi="仿宋" w:eastAsia="仿宋" w:cs="仿宋"/>
          <w:bCs/>
          <w:sz w:val="32"/>
          <w:szCs w:val="32"/>
          <w:lang w:val="en-US" w:eastAsia="zh-CN"/>
        </w:rPr>
        <w:t>39.61</w:t>
      </w:r>
      <w:r>
        <w:rPr>
          <w:rFonts w:hint="eastAsia" w:ascii="仿宋" w:hAnsi="仿宋" w:eastAsia="仿宋" w:cs="仿宋"/>
          <w:bCs/>
          <w:sz w:val="32"/>
          <w:szCs w:val="32"/>
        </w:rPr>
        <w:t>万元，完成预算100%，决算数等于预算数。</w:t>
      </w:r>
    </w:p>
    <w:p>
      <w:pPr>
        <w:shd w:val="clear" w:color="auto" w:fill="FFFFFF"/>
        <w:adjustRightInd/>
        <w:snapToGrid/>
        <w:spacing w:before="100" w:beforeAutospacing="1" w:after="100" w:afterAutospacing="1" w:line="360" w:lineRule="auto"/>
        <w:ind w:firstLine="800" w:firstLineChars="250"/>
        <w:jc w:val="both"/>
        <w:rPr>
          <w:rFonts w:hint="eastAsia" w:ascii="仿宋" w:hAnsi="仿宋" w:eastAsia="仿宋" w:cs="仿宋"/>
          <w:bCs/>
          <w:sz w:val="32"/>
          <w:szCs w:val="32"/>
        </w:rPr>
      </w:pPr>
      <w:r>
        <w:rPr>
          <w:rFonts w:hint="eastAsia" w:ascii="仿宋" w:hAnsi="仿宋" w:eastAsia="仿宋" w:cs="仿宋"/>
          <w:bCs/>
          <w:sz w:val="32"/>
          <w:szCs w:val="32"/>
        </w:rPr>
        <w:t>3.卫生健康:2101101行政单位医疗</w:t>
      </w:r>
      <w:r>
        <w:rPr>
          <w:rFonts w:hint="eastAsia" w:ascii="仿宋" w:hAnsi="仿宋" w:eastAsia="仿宋" w:cs="仿宋"/>
          <w:bCs/>
          <w:sz w:val="32"/>
          <w:szCs w:val="32"/>
          <w:lang w:val="en-US" w:eastAsia="zh-CN"/>
        </w:rPr>
        <w:t>6.93</w:t>
      </w:r>
      <w:r>
        <w:rPr>
          <w:rFonts w:hint="eastAsia" w:ascii="仿宋" w:hAnsi="仿宋" w:eastAsia="仿宋" w:cs="仿宋"/>
          <w:bCs/>
          <w:sz w:val="32"/>
          <w:szCs w:val="32"/>
        </w:rPr>
        <w:t>万元、2101103公务员医疗补助</w:t>
      </w:r>
      <w:r>
        <w:rPr>
          <w:rFonts w:hint="eastAsia" w:ascii="仿宋" w:hAnsi="仿宋" w:eastAsia="仿宋" w:cs="仿宋"/>
          <w:bCs/>
          <w:sz w:val="32"/>
          <w:szCs w:val="32"/>
          <w:lang w:val="en-US" w:eastAsia="zh-CN"/>
        </w:rPr>
        <w:t>2.4</w:t>
      </w:r>
      <w:r>
        <w:rPr>
          <w:rFonts w:hint="eastAsia" w:ascii="仿宋" w:hAnsi="仿宋" w:eastAsia="仿宋" w:cs="仿宋"/>
          <w:bCs/>
          <w:sz w:val="32"/>
          <w:szCs w:val="32"/>
        </w:rPr>
        <w:t>万元。2001102事业单位医疗</w:t>
      </w:r>
      <w:r>
        <w:rPr>
          <w:rFonts w:hint="eastAsia" w:ascii="仿宋" w:hAnsi="仿宋" w:eastAsia="仿宋" w:cs="仿宋"/>
          <w:bCs/>
          <w:sz w:val="32"/>
          <w:szCs w:val="32"/>
          <w:lang w:val="en-US" w:eastAsia="zh-CN"/>
        </w:rPr>
        <w:t>4.67</w:t>
      </w:r>
      <w:r>
        <w:rPr>
          <w:rFonts w:hint="eastAsia" w:ascii="仿宋" w:hAnsi="仿宋" w:eastAsia="仿宋" w:cs="仿宋"/>
          <w:bCs/>
          <w:sz w:val="32"/>
          <w:szCs w:val="32"/>
        </w:rPr>
        <w:t>万元，2101199 其他行政事业单位医疗支出</w:t>
      </w:r>
      <w:r>
        <w:rPr>
          <w:rFonts w:hint="eastAsia" w:ascii="仿宋" w:hAnsi="仿宋" w:eastAsia="仿宋" w:cs="仿宋"/>
          <w:bCs/>
          <w:sz w:val="32"/>
          <w:szCs w:val="32"/>
          <w:lang w:val="en-US" w:eastAsia="zh-CN"/>
        </w:rPr>
        <w:t>1.29.</w:t>
      </w:r>
      <w:r>
        <w:rPr>
          <w:rFonts w:hint="eastAsia" w:ascii="仿宋" w:hAnsi="仿宋" w:eastAsia="仿宋" w:cs="仿宋"/>
          <w:bCs/>
          <w:sz w:val="32"/>
          <w:szCs w:val="32"/>
        </w:rPr>
        <w:t>支出决算为</w:t>
      </w:r>
      <w:r>
        <w:rPr>
          <w:rFonts w:hint="eastAsia" w:ascii="仿宋" w:hAnsi="仿宋" w:eastAsia="仿宋" w:cs="仿宋"/>
          <w:bCs/>
          <w:sz w:val="32"/>
          <w:szCs w:val="32"/>
          <w:lang w:val="en-US" w:eastAsia="zh-CN"/>
        </w:rPr>
        <w:t>15.29</w:t>
      </w:r>
      <w:r>
        <w:rPr>
          <w:rFonts w:hint="eastAsia" w:ascii="仿宋" w:hAnsi="仿宋" w:eastAsia="仿宋" w:cs="仿宋"/>
          <w:bCs/>
          <w:sz w:val="32"/>
          <w:szCs w:val="32"/>
        </w:rPr>
        <w:t>万元，完成预算100%，决算数等于预算数。</w:t>
      </w:r>
    </w:p>
    <w:p>
      <w:pPr>
        <w:shd w:val="clear" w:color="auto" w:fill="FFFFFF"/>
        <w:adjustRightInd/>
        <w:snapToGrid/>
        <w:spacing w:before="100" w:beforeAutospacing="1" w:after="100" w:afterAutospacing="1" w:line="36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4.住房保障：2210201住房公积金支出决算为</w:t>
      </w:r>
      <w:r>
        <w:rPr>
          <w:rFonts w:hint="eastAsia" w:ascii="仿宋" w:hAnsi="仿宋" w:eastAsia="仿宋" w:cs="仿宋"/>
          <w:bCs/>
          <w:sz w:val="32"/>
          <w:szCs w:val="32"/>
          <w:lang w:val="en-US" w:eastAsia="zh-CN"/>
        </w:rPr>
        <w:t>21.69</w:t>
      </w:r>
      <w:r>
        <w:rPr>
          <w:rFonts w:hint="eastAsia" w:ascii="仿宋" w:hAnsi="仿宋" w:eastAsia="仿宋" w:cs="仿宋"/>
          <w:bCs/>
          <w:sz w:val="32"/>
          <w:szCs w:val="32"/>
        </w:rPr>
        <w:t xml:space="preserve">万元，完成预算100%，决算数等于预算数。 </w:t>
      </w:r>
    </w:p>
    <w:p>
      <w:pPr>
        <w:shd w:val="clear" w:color="auto" w:fill="FFFFFF"/>
        <w:adjustRightInd/>
        <w:snapToGrid/>
        <w:spacing w:before="100" w:beforeAutospacing="1" w:after="100" w:afterAutospacing="1" w:line="360" w:lineRule="auto"/>
        <w:rPr>
          <w:rFonts w:ascii="宋体" w:hAnsi="宋体" w:eastAsia="宋体" w:cs="宋体"/>
          <w:sz w:val="32"/>
          <w:szCs w:val="32"/>
        </w:rPr>
      </w:pPr>
      <w:r>
        <w:rPr>
          <w:rFonts w:hint="eastAsia" w:ascii="宋体" w:hAnsi="宋体" w:eastAsia="宋体" w:cs="宋体"/>
          <w:sz w:val="32"/>
          <w:szCs w:val="32"/>
        </w:rPr>
        <w:t>六</w:t>
      </w:r>
      <w:r>
        <w:rPr>
          <w:rFonts w:hint="eastAsia" w:ascii="宋体" w:hAnsi="宋体" w:eastAsia="宋体" w:cs="宋体"/>
          <w:b/>
          <w:bCs/>
          <w:sz w:val="32"/>
          <w:szCs w:val="32"/>
        </w:rPr>
        <w:t>、一</w:t>
      </w:r>
      <w:r>
        <w:rPr>
          <w:rFonts w:hint="eastAsia" w:ascii="宋体" w:hAnsi="宋体" w:eastAsia="宋体" w:cs="宋体"/>
          <w:sz w:val="32"/>
          <w:szCs w:val="32"/>
        </w:rPr>
        <w:t xml:space="preserve">般公共预算财政拨款基本支出决算情况说明 </w:t>
      </w:r>
    </w:p>
    <w:p>
      <w:pPr>
        <w:shd w:val="clear" w:color="auto" w:fill="FFFFFF"/>
        <w:adjustRightInd/>
        <w:snapToGrid/>
        <w:spacing w:before="100" w:beforeAutospacing="1" w:after="100" w:afterAutospacing="1"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年一般公共预算财政拨款基本支出</w:t>
      </w:r>
      <w:r>
        <w:rPr>
          <w:rFonts w:hint="eastAsia" w:ascii="仿宋" w:hAnsi="仿宋" w:eastAsia="仿宋" w:cs="仿宋"/>
          <w:sz w:val="32"/>
          <w:szCs w:val="32"/>
          <w:lang w:val="en-US" w:eastAsia="zh-CN"/>
        </w:rPr>
        <w:t>326.92</w:t>
      </w:r>
      <w:r>
        <w:rPr>
          <w:rFonts w:hint="eastAsia" w:ascii="仿宋" w:hAnsi="仿宋" w:eastAsia="仿宋" w:cs="仿宋"/>
          <w:sz w:val="32"/>
          <w:szCs w:val="32"/>
        </w:rPr>
        <w:t>万元，其中：</w:t>
      </w:r>
    </w:p>
    <w:p>
      <w:pPr>
        <w:shd w:val="clear" w:color="auto" w:fill="FFFFFF"/>
        <w:adjustRightInd/>
        <w:snapToGrid/>
        <w:spacing w:before="100" w:beforeAutospacing="1" w:after="100" w:afterAutospacing="1"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306.98</w:t>
      </w:r>
      <w:r>
        <w:rPr>
          <w:rFonts w:hint="eastAsia" w:ascii="仿宋" w:hAnsi="仿宋" w:eastAsia="仿宋" w:cs="仿宋"/>
          <w:sz w:val="32"/>
          <w:szCs w:val="32"/>
        </w:rPr>
        <w:t>万元，主要包括：基本工资</w:t>
      </w:r>
      <w:r>
        <w:rPr>
          <w:rFonts w:hint="eastAsia" w:ascii="仿宋" w:hAnsi="仿宋" w:eastAsia="仿宋" w:cs="仿宋"/>
          <w:sz w:val="32"/>
          <w:szCs w:val="32"/>
          <w:lang w:val="en-US" w:eastAsia="zh-CN"/>
        </w:rPr>
        <w:t>55.08万元</w:t>
      </w:r>
      <w:r>
        <w:rPr>
          <w:rFonts w:hint="eastAsia" w:ascii="仿宋" w:hAnsi="仿宋" w:eastAsia="仿宋" w:cs="仿宋"/>
          <w:sz w:val="32"/>
          <w:szCs w:val="32"/>
        </w:rPr>
        <w:t>、津贴补贴</w:t>
      </w:r>
      <w:r>
        <w:rPr>
          <w:rFonts w:hint="eastAsia" w:ascii="仿宋" w:hAnsi="仿宋" w:eastAsia="仿宋" w:cs="仿宋"/>
          <w:sz w:val="32"/>
          <w:szCs w:val="32"/>
          <w:lang w:val="en-US" w:eastAsia="zh-CN"/>
        </w:rPr>
        <w:t>133.71万元</w:t>
      </w:r>
      <w:r>
        <w:rPr>
          <w:rFonts w:hint="eastAsia" w:ascii="仿宋" w:hAnsi="仿宋" w:eastAsia="仿宋" w:cs="仿宋"/>
          <w:sz w:val="32"/>
          <w:szCs w:val="32"/>
        </w:rPr>
        <w:t>、奖金</w:t>
      </w:r>
      <w:r>
        <w:rPr>
          <w:rFonts w:hint="eastAsia" w:ascii="仿宋" w:hAnsi="仿宋" w:eastAsia="仿宋" w:cs="仿宋"/>
          <w:sz w:val="32"/>
          <w:szCs w:val="32"/>
          <w:lang w:val="en-US" w:eastAsia="zh-CN"/>
        </w:rPr>
        <w:t>4.48</w:t>
      </w:r>
      <w:r>
        <w:rPr>
          <w:rFonts w:hint="eastAsia" w:ascii="仿宋" w:hAnsi="仿宋" w:eastAsia="仿宋" w:cs="仿宋"/>
          <w:sz w:val="32"/>
          <w:szCs w:val="32"/>
        </w:rPr>
        <w:t>、绩效工资</w:t>
      </w:r>
      <w:r>
        <w:rPr>
          <w:rFonts w:hint="eastAsia" w:ascii="仿宋" w:hAnsi="仿宋" w:eastAsia="仿宋" w:cs="仿宋"/>
          <w:sz w:val="32"/>
          <w:szCs w:val="32"/>
          <w:lang w:val="en-US" w:eastAsia="zh-CN"/>
        </w:rPr>
        <w:t>27.44</w:t>
      </w:r>
      <w:r>
        <w:rPr>
          <w:rFonts w:hint="eastAsia" w:ascii="仿宋" w:hAnsi="仿宋" w:eastAsia="仿宋" w:cs="仿宋"/>
          <w:sz w:val="32"/>
          <w:szCs w:val="32"/>
        </w:rPr>
        <w:t>、机关事业单位基本养老保险缴费</w:t>
      </w:r>
      <w:r>
        <w:rPr>
          <w:rFonts w:hint="eastAsia" w:ascii="仿宋" w:hAnsi="仿宋" w:eastAsia="仿宋" w:cs="仿宋"/>
          <w:sz w:val="32"/>
          <w:szCs w:val="32"/>
          <w:lang w:val="en-US" w:eastAsia="zh-CN"/>
        </w:rPr>
        <w:t>26.11</w:t>
      </w:r>
      <w:r>
        <w:rPr>
          <w:rFonts w:hint="eastAsia" w:ascii="仿宋" w:hAnsi="仿宋" w:eastAsia="仿宋" w:cs="仿宋"/>
          <w:sz w:val="32"/>
          <w:szCs w:val="32"/>
        </w:rPr>
        <w:t>、职业年金缴费</w:t>
      </w:r>
      <w:r>
        <w:rPr>
          <w:rFonts w:hint="eastAsia" w:ascii="仿宋" w:hAnsi="仿宋" w:eastAsia="仿宋" w:cs="仿宋"/>
          <w:sz w:val="32"/>
          <w:szCs w:val="32"/>
          <w:lang w:val="en-US" w:eastAsia="zh-CN"/>
        </w:rPr>
        <w:t>13.5万元</w:t>
      </w:r>
      <w:r>
        <w:rPr>
          <w:rFonts w:hint="eastAsia" w:ascii="仿宋" w:hAnsi="仿宋" w:eastAsia="仿宋" w:cs="仿宋"/>
          <w:sz w:val="32"/>
          <w:szCs w:val="32"/>
        </w:rPr>
        <w:t>、</w:t>
      </w:r>
      <w:r>
        <w:rPr>
          <w:rFonts w:hint="eastAsia" w:ascii="仿宋" w:hAnsi="仿宋" w:eastAsia="仿宋" w:cs="仿宋"/>
          <w:sz w:val="32"/>
          <w:szCs w:val="32"/>
          <w:lang w:eastAsia="zh-CN"/>
        </w:rPr>
        <w:t>职工基本医疗保险</w:t>
      </w:r>
      <w:r>
        <w:rPr>
          <w:rFonts w:hint="eastAsia" w:ascii="仿宋" w:hAnsi="仿宋" w:eastAsia="仿宋" w:cs="仿宋"/>
          <w:sz w:val="32"/>
          <w:szCs w:val="32"/>
          <w:lang w:val="en-US" w:eastAsia="zh-CN"/>
        </w:rPr>
        <w:t>11.6万元、公务员医疗补助3.69万元、</w:t>
      </w:r>
      <w:r>
        <w:rPr>
          <w:rFonts w:hint="eastAsia" w:ascii="仿宋" w:hAnsi="仿宋" w:eastAsia="仿宋" w:cs="仿宋"/>
          <w:sz w:val="32"/>
          <w:szCs w:val="32"/>
        </w:rPr>
        <w:t>其他社会保障缴费</w:t>
      </w:r>
      <w:r>
        <w:rPr>
          <w:rFonts w:hint="eastAsia" w:ascii="仿宋" w:hAnsi="仿宋" w:eastAsia="仿宋" w:cs="仿宋"/>
          <w:sz w:val="32"/>
          <w:szCs w:val="32"/>
          <w:lang w:val="en-US" w:eastAsia="zh-CN"/>
        </w:rPr>
        <w:t>2.99万元</w:t>
      </w:r>
      <w:r>
        <w:rPr>
          <w:rFonts w:hint="eastAsia" w:ascii="仿宋" w:hAnsi="仿宋" w:eastAsia="仿宋" w:cs="仿宋"/>
          <w:sz w:val="32"/>
          <w:szCs w:val="32"/>
        </w:rPr>
        <w:t>、生活补助</w:t>
      </w:r>
      <w:r>
        <w:rPr>
          <w:rFonts w:hint="eastAsia" w:ascii="仿宋" w:hAnsi="仿宋" w:eastAsia="仿宋" w:cs="仿宋"/>
          <w:sz w:val="32"/>
          <w:szCs w:val="32"/>
          <w:lang w:val="en-US" w:eastAsia="zh-CN"/>
        </w:rPr>
        <w:t>6万元</w:t>
      </w:r>
      <w:r>
        <w:rPr>
          <w:rFonts w:hint="eastAsia" w:ascii="仿宋" w:hAnsi="仿宋" w:eastAsia="仿宋" w:cs="仿宋"/>
          <w:sz w:val="32"/>
          <w:szCs w:val="32"/>
        </w:rPr>
        <w:t>、</w:t>
      </w:r>
      <w:r>
        <w:rPr>
          <w:rFonts w:hint="eastAsia" w:ascii="仿宋" w:hAnsi="仿宋" w:eastAsia="仿宋" w:cs="仿宋"/>
          <w:sz w:val="32"/>
          <w:szCs w:val="32"/>
          <w:lang w:eastAsia="zh-CN"/>
        </w:rPr>
        <w:t>医疗费补助</w:t>
      </w:r>
      <w:r>
        <w:rPr>
          <w:rFonts w:hint="eastAsia" w:ascii="仿宋" w:hAnsi="仿宋" w:eastAsia="仿宋" w:cs="仿宋"/>
          <w:sz w:val="32"/>
          <w:szCs w:val="32"/>
          <w:lang w:val="en-US" w:eastAsia="zh-CN"/>
        </w:rPr>
        <w:t>0.68万元、</w:t>
      </w:r>
      <w:r>
        <w:rPr>
          <w:rFonts w:hint="eastAsia" w:ascii="仿宋" w:hAnsi="仿宋" w:eastAsia="仿宋" w:cs="仿宋"/>
          <w:sz w:val="32"/>
          <w:szCs w:val="32"/>
        </w:rPr>
        <w:t>奖励金</w:t>
      </w:r>
      <w:r>
        <w:rPr>
          <w:rFonts w:hint="eastAsia" w:ascii="仿宋" w:hAnsi="仿宋" w:eastAsia="仿宋" w:cs="仿宋"/>
          <w:sz w:val="32"/>
          <w:szCs w:val="32"/>
          <w:lang w:val="en-US" w:eastAsia="zh-CN"/>
        </w:rPr>
        <w:t>0.01万元</w:t>
      </w:r>
      <w:r>
        <w:rPr>
          <w:rFonts w:hint="eastAsia" w:ascii="仿宋" w:hAnsi="仿宋" w:eastAsia="仿宋" w:cs="仿宋"/>
          <w:sz w:val="32"/>
          <w:szCs w:val="32"/>
        </w:rPr>
        <w:t>、住房公积金</w:t>
      </w:r>
      <w:r>
        <w:rPr>
          <w:rFonts w:hint="eastAsia" w:ascii="仿宋" w:hAnsi="仿宋" w:eastAsia="仿宋" w:cs="仿宋"/>
          <w:sz w:val="32"/>
          <w:szCs w:val="32"/>
          <w:lang w:val="en-US" w:eastAsia="zh-CN"/>
        </w:rPr>
        <w:t>21.69万元</w:t>
      </w:r>
      <w:r>
        <w:rPr>
          <w:rFonts w:hint="eastAsia" w:ascii="仿宋" w:hAnsi="仿宋" w:eastAsia="仿宋" w:cs="仿宋"/>
          <w:sz w:val="32"/>
          <w:szCs w:val="32"/>
        </w:rPr>
        <w:t>。</w:t>
      </w:r>
    </w:p>
    <w:p>
      <w:pPr>
        <w:shd w:val="clear" w:color="auto" w:fill="FFFFFF"/>
        <w:adjustRightInd/>
        <w:snapToGrid/>
        <w:spacing w:before="100" w:beforeAutospacing="1" w:after="100" w:afterAutospacing="1" w:line="360" w:lineRule="auto"/>
        <w:rPr>
          <w:rFonts w:hint="eastAsia" w:ascii="仿宋" w:hAnsi="仿宋" w:eastAsia="仿宋" w:cs="仿宋"/>
          <w:sz w:val="32"/>
          <w:szCs w:val="32"/>
        </w:rPr>
      </w:pPr>
      <w:r>
        <w:rPr>
          <w:rFonts w:hint="eastAsia" w:ascii="仿宋" w:hAnsi="仿宋" w:eastAsia="仿宋" w:cs="仿宋"/>
          <w:sz w:val="32"/>
          <w:szCs w:val="32"/>
        </w:rPr>
        <w:t>　　公用经费</w:t>
      </w:r>
      <w:r>
        <w:rPr>
          <w:rFonts w:hint="eastAsia" w:ascii="仿宋" w:hAnsi="仿宋" w:eastAsia="仿宋" w:cs="仿宋"/>
          <w:sz w:val="32"/>
          <w:szCs w:val="32"/>
          <w:lang w:val="en-US" w:eastAsia="zh-CN"/>
        </w:rPr>
        <w:t>19.94</w:t>
      </w:r>
      <w:r>
        <w:rPr>
          <w:rFonts w:hint="eastAsia" w:ascii="仿宋" w:hAnsi="仿宋" w:eastAsia="仿宋" w:cs="仿宋"/>
          <w:sz w:val="32"/>
          <w:szCs w:val="32"/>
        </w:rPr>
        <w:t>万元，主要包括：办公费</w:t>
      </w:r>
      <w:r>
        <w:rPr>
          <w:rFonts w:hint="eastAsia" w:ascii="仿宋" w:hAnsi="仿宋" w:eastAsia="仿宋" w:cs="仿宋"/>
          <w:sz w:val="32"/>
          <w:szCs w:val="32"/>
          <w:lang w:val="en-US" w:eastAsia="zh-CN"/>
        </w:rPr>
        <w:t>9.11万元</w:t>
      </w:r>
      <w:r>
        <w:rPr>
          <w:rFonts w:hint="eastAsia" w:ascii="仿宋" w:hAnsi="仿宋" w:eastAsia="仿宋" w:cs="仿宋"/>
          <w:sz w:val="32"/>
          <w:szCs w:val="32"/>
        </w:rPr>
        <w:t>、印刷费</w:t>
      </w:r>
      <w:r>
        <w:rPr>
          <w:rFonts w:hint="eastAsia" w:ascii="仿宋" w:hAnsi="仿宋" w:eastAsia="仿宋" w:cs="仿宋"/>
          <w:sz w:val="32"/>
          <w:szCs w:val="32"/>
          <w:lang w:val="en-US" w:eastAsia="zh-CN"/>
        </w:rPr>
        <w:t>1.21万元</w:t>
      </w:r>
      <w:r>
        <w:rPr>
          <w:rFonts w:hint="eastAsia" w:ascii="仿宋" w:hAnsi="仿宋" w:eastAsia="仿宋" w:cs="仿宋"/>
          <w:sz w:val="32"/>
          <w:szCs w:val="32"/>
        </w:rPr>
        <w:t>、电费</w:t>
      </w:r>
      <w:r>
        <w:rPr>
          <w:rFonts w:hint="eastAsia" w:ascii="仿宋" w:hAnsi="仿宋" w:eastAsia="仿宋" w:cs="仿宋"/>
          <w:sz w:val="32"/>
          <w:szCs w:val="32"/>
          <w:lang w:val="en-US" w:eastAsia="zh-CN"/>
        </w:rPr>
        <w:t>1.7万元</w:t>
      </w:r>
      <w:r>
        <w:rPr>
          <w:rFonts w:hint="eastAsia" w:ascii="仿宋" w:hAnsi="仿宋" w:eastAsia="仿宋" w:cs="仿宋"/>
          <w:sz w:val="32"/>
          <w:szCs w:val="32"/>
        </w:rPr>
        <w:t>、差旅费</w:t>
      </w:r>
      <w:r>
        <w:rPr>
          <w:rFonts w:hint="eastAsia" w:ascii="仿宋" w:hAnsi="仿宋" w:eastAsia="仿宋" w:cs="仿宋"/>
          <w:sz w:val="32"/>
          <w:szCs w:val="32"/>
          <w:lang w:val="en-US" w:eastAsia="zh-CN"/>
        </w:rPr>
        <w:t>1.79万元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0.16万元</w:t>
      </w:r>
      <w:r>
        <w:rPr>
          <w:rFonts w:hint="eastAsia" w:ascii="仿宋" w:hAnsi="仿宋" w:eastAsia="仿宋" w:cs="仿宋"/>
          <w:sz w:val="32"/>
          <w:szCs w:val="32"/>
        </w:rPr>
        <w:t>、工会经费</w:t>
      </w:r>
      <w:r>
        <w:rPr>
          <w:rFonts w:hint="eastAsia" w:ascii="仿宋" w:hAnsi="仿宋" w:eastAsia="仿宋" w:cs="仿宋"/>
          <w:sz w:val="32"/>
          <w:szCs w:val="32"/>
          <w:lang w:val="en-US" w:eastAsia="zh-CN"/>
        </w:rPr>
        <w:t>1.5万元</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4.46万元</w:t>
      </w:r>
      <w:r>
        <w:rPr>
          <w:rFonts w:hint="eastAsia" w:ascii="仿宋" w:hAnsi="仿宋" w:eastAsia="仿宋" w:cs="仿宋"/>
          <w:sz w:val="32"/>
          <w:szCs w:val="32"/>
        </w:rPr>
        <w:t>。</w:t>
      </w:r>
    </w:p>
    <w:p>
      <w:pPr>
        <w:shd w:val="clear" w:color="auto" w:fill="FFFFFF"/>
        <w:adjustRightInd/>
        <w:snapToGrid/>
        <w:spacing w:before="100" w:beforeAutospacing="1" w:after="100" w:afterAutospacing="1" w:line="360" w:lineRule="auto"/>
        <w:rPr>
          <w:rFonts w:ascii="宋体" w:hAnsi="宋体" w:eastAsia="宋体" w:cs="宋体"/>
          <w:sz w:val="18"/>
          <w:szCs w:val="18"/>
        </w:rPr>
      </w:pPr>
      <w:r>
        <w:rPr>
          <w:rFonts w:hint="eastAsia" w:ascii="宋体" w:hAnsi="宋体" w:eastAsia="宋体" w:cs="宋体"/>
          <w:b/>
          <w:bCs/>
          <w:sz w:val="18"/>
        </w:rPr>
        <w:t>（注：数据来源于财决07表和财决08-1表，仅罗列本单位实际支出涉及的经济分类科目。）</w:t>
      </w:r>
    </w:p>
    <w:p>
      <w:pPr>
        <w:shd w:val="clear" w:color="auto" w:fill="FFFFFF"/>
        <w:adjustRightInd/>
        <w:snapToGrid/>
        <w:spacing w:before="100" w:beforeAutospacing="1" w:after="100" w:afterAutospacing="1" w:line="360" w:lineRule="auto"/>
        <w:ind w:firstLine="630" w:firstLineChars="196"/>
        <w:rPr>
          <w:rFonts w:hint="eastAsia" w:ascii="仿宋" w:hAnsi="仿宋" w:eastAsia="仿宋" w:cs="仿宋"/>
          <w:b/>
          <w:bCs/>
          <w:sz w:val="32"/>
          <w:szCs w:val="32"/>
        </w:rPr>
      </w:pPr>
      <w:r>
        <w:rPr>
          <w:rFonts w:hint="eastAsia" w:ascii="仿宋" w:hAnsi="仿宋" w:eastAsia="仿宋" w:cs="仿宋"/>
          <w:b/>
          <w:bCs/>
          <w:sz w:val="32"/>
          <w:szCs w:val="32"/>
        </w:rPr>
        <w:t>七、“三公”经费财政拨款支出决算情况说明</w:t>
      </w:r>
    </w:p>
    <w:p>
      <w:pPr>
        <w:shd w:val="clear" w:color="auto" w:fill="FFFFFF"/>
        <w:adjustRightInd/>
        <w:snapToGrid/>
        <w:spacing w:before="100" w:beforeAutospacing="1" w:after="100" w:afterAutospacing="1" w:line="360" w:lineRule="auto"/>
        <w:ind w:firstLine="472" w:firstLineChars="147"/>
        <w:rPr>
          <w:rFonts w:hint="eastAsia" w:ascii="仿宋" w:hAnsi="仿宋" w:eastAsia="仿宋" w:cs="仿宋"/>
          <w:sz w:val="32"/>
          <w:szCs w:val="32"/>
        </w:rPr>
      </w:pPr>
      <w:r>
        <w:rPr>
          <w:rFonts w:hint="eastAsia" w:ascii="仿宋" w:hAnsi="仿宋" w:eastAsia="仿宋" w:cs="仿宋"/>
          <w:b/>
          <w:bCs/>
          <w:sz w:val="32"/>
          <w:szCs w:val="32"/>
        </w:rPr>
        <w:t>（一）“三公”经费财政拨款支出决算总体情况说明</w:t>
      </w:r>
    </w:p>
    <w:p>
      <w:pPr>
        <w:shd w:val="clear" w:color="auto" w:fill="FFFFFF"/>
        <w:adjustRightInd/>
        <w:snapToGrid/>
        <w:spacing w:before="100" w:beforeAutospacing="1" w:after="100" w:afterAutospacing="1"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年“三公”经费财政拨款支出决算为</w:t>
      </w:r>
      <w:r>
        <w:rPr>
          <w:rFonts w:hint="eastAsia" w:ascii="仿宋" w:hAnsi="仿宋" w:eastAsia="仿宋" w:cs="仿宋"/>
          <w:sz w:val="32"/>
          <w:szCs w:val="32"/>
          <w:lang w:val="en-US" w:eastAsia="zh-CN"/>
        </w:rPr>
        <w:t>4.62</w:t>
      </w:r>
      <w:r>
        <w:rPr>
          <w:rFonts w:hint="eastAsia" w:ascii="仿宋" w:hAnsi="仿宋" w:eastAsia="仿宋" w:cs="仿宋"/>
          <w:sz w:val="32"/>
          <w:szCs w:val="32"/>
        </w:rPr>
        <w:t>万元，完成预算0.00%，决算数与预算数持平。</w:t>
      </w:r>
    </w:p>
    <w:p>
      <w:pPr>
        <w:shd w:val="clear" w:color="auto" w:fill="FFFFFF"/>
        <w:adjustRightInd/>
        <w:snapToGrid/>
        <w:spacing w:before="100" w:beforeAutospacing="1" w:after="100" w:afterAutospacing="1" w:line="360" w:lineRule="auto"/>
        <w:ind w:firstLine="630" w:firstLineChars="196"/>
        <w:rPr>
          <w:rFonts w:hint="eastAsia" w:ascii="仿宋" w:hAnsi="仿宋" w:eastAsia="仿宋" w:cs="仿宋"/>
          <w:sz w:val="32"/>
          <w:szCs w:val="32"/>
        </w:rPr>
      </w:pPr>
      <w:r>
        <w:rPr>
          <w:rFonts w:hint="eastAsia" w:ascii="仿宋" w:hAnsi="仿宋" w:eastAsia="仿宋" w:cs="仿宋"/>
          <w:b/>
          <w:bCs/>
          <w:sz w:val="32"/>
          <w:szCs w:val="32"/>
        </w:rPr>
        <w:t>（二）“三公”经费财政拨款支出决算具体情况说明</w:t>
      </w:r>
    </w:p>
    <w:p>
      <w:pPr>
        <w:shd w:val="clear" w:color="auto" w:fill="FFFFFF"/>
        <w:adjustRightInd/>
        <w:snapToGrid/>
        <w:spacing w:before="100" w:beforeAutospacing="1" w:after="100" w:afterAutospacing="1" w:line="360" w:lineRule="auto"/>
        <w:ind w:firstLine="960" w:firstLineChars="3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年“三公”经费财政拨款支出决算中，因公出国（境）费支出决算0.00万元，占0.00%；公务用车购置及运行维护费支出决算</w:t>
      </w:r>
      <w:r>
        <w:rPr>
          <w:rFonts w:hint="eastAsia" w:ascii="仿宋" w:hAnsi="仿宋" w:eastAsia="仿宋" w:cs="仿宋"/>
          <w:sz w:val="32"/>
          <w:szCs w:val="32"/>
          <w:lang w:val="en-US" w:eastAsia="zh-CN"/>
        </w:rPr>
        <w:t>4.46</w:t>
      </w:r>
      <w:r>
        <w:rPr>
          <w:rFonts w:hint="eastAsia" w:ascii="仿宋" w:hAnsi="仿宋" w:eastAsia="仿宋" w:cs="仿宋"/>
          <w:sz w:val="32"/>
          <w:szCs w:val="32"/>
        </w:rPr>
        <w:t>万元，占</w:t>
      </w:r>
      <w:r>
        <w:rPr>
          <w:rFonts w:hint="eastAsia" w:ascii="仿宋" w:hAnsi="仿宋" w:eastAsia="仿宋" w:cs="仿宋"/>
          <w:sz w:val="32"/>
          <w:szCs w:val="32"/>
          <w:lang w:val="en-US" w:eastAsia="zh-CN"/>
        </w:rPr>
        <w:t>96.54</w:t>
      </w:r>
      <w:r>
        <w:rPr>
          <w:rFonts w:hint="eastAsia" w:ascii="仿宋" w:hAnsi="仿宋" w:eastAsia="仿宋" w:cs="仿宋"/>
          <w:sz w:val="32"/>
          <w:szCs w:val="32"/>
        </w:rPr>
        <w:t>%；公务接待费支出决算</w:t>
      </w:r>
      <w:r>
        <w:rPr>
          <w:rFonts w:hint="eastAsia" w:ascii="仿宋" w:hAnsi="仿宋" w:eastAsia="仿宋" w:cs="仿宋"/>
          <w:sz w:val="32"/>
          <w:szCs w:val="32"/>
          <w:lang w:val="en-US" w:eastAsia="zh-CN"/>
        </w:rPr>
        <w:t>0.16</w:t>
      </w:r>
      <w:r>
        <w:rPr>
          <w:rFonts w:hint="eastAsia" w:ascii="仿宋" w:hAnsi="仿宋" w:eastAsia="仿宋" w:cs="仿宋"/>
          <w:sz w:val="32"/>
          <w:szCs w:val="32"/>
        </w:rPr>
        <w:t>万元，占</w:t>
      </w:r>
      <w:r>
        <w:rPr>
          <w:rFonts w:hint="eastAsia" w:ascii="仿宋" w:hAnsi="仿宋" w:eastAsia="仿宋" w:cs="仿宋"/>
          <w:sz w:val="32"/>
          <w:szCs w:val="32"/>
          <w:lang w:val="en-US" w:eastAsia="zh-CN"/>
        </w:rPr>
        <w:t>3.46</w:t>
      </w:r>
      <w:r>
        <w:rPr>
          <w:rFonts w:hint="eastAsia" w:ascii="仿宋" w:hAnsi="仿宋" w:eastAsia="仿宋" w:cs="仿宋"/>
          <w:sz w:val="32"/>
          <w:szCs w:val="32"/>
        </w:rPr>
        <w:t>%。具体情况如下：</w:t>
      </w:r>
    </w:p>
    <w:p>
      <w:pPr>
        <w:shd w:val="clear" w:color="auto" w:fill="FFFFFF"/>
        <w:adjustRightInd/>
        <w:snapToGrid/>
        <w:spacing w:before="100" w:beforeAutospacing="1" w:after="100" w:afterAutospacing="1" w:line="360" w:lineRule="auto"/>
        <w:ind w:firstLine="960" w:firstLineChars="30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74310" cy="3076575"/>
            <wp:effectExtent l="5080" t="4445" r="16510"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hd w:val="clear" w:color="auto" w:fill="FFFFFF"/>
        <w:adjustRightInd/>
        <w:snapToGrid/>
        <w:spacing w:before="100" w:beforeAutospacing="1" w:after="100" w:afterAutospacing="1" w:line="360" w:lineRule="auto"/>
        <w:rPr>
          <w:rFonts w:hint="eastAsia" w:ascii="仿宋" w:hAnsi="仿宋" w:eastAsia="仿宋" w:cs="仿宋"/>
          <w:sz w:val="32"/>
          <w:szCs w:val="32"/>
        </w:rPr>
      </w:pPr>
      <w:r>
        <w:rPr>
          <w:rFonts w:hint="eastAsia" w:ascii="仿宋" w:hAnsi="仿宋" w:eastAsia="仿宋" w:cs="仿宋"/>
          <w:sz w:val="32"/>
          <w:szCs w:val="32"/>
        </w:rPr>
        <w:t>（图7：“三公”经费财政拨款支出结构）（饼状图）</w:t>
      </w:r>
    </w:p>
    <w:p>
      <w:pPr>
        <w:shd w:val="clear" w:color="auto" w:fill="FFFFFF"/>
        <w:adjustRightInd/>
        <w:snapToGrid/>
        <w:spacing w:before="100" w:beforeAutospacing="1" w:after="100" w:afterAutospacing="1" w:line="360" w:lineRule="auto"/>
        <w:ind w:firstLine="630" w:firstLineChars="196"/>
        <w:rPr>
          <w:rFonts w:hint="eastAsia" w:ascii="仿宋" w:hAnsi="仿宋" w:eastAsia="仿宋" w:cs="仿宋"/>
          <w:sz w:val="32"/>
          <w:szCs w:val="32"/>
        </w:rPr>
      </w:pPr>
      <w:r>
        <w:rPr>
          <w:rFonts w:hint="eastAsia" w:ascii="仿宋" w:hAnsi="仿宋" w:eastAsia="仿宋" w:cs="仿宋"/>
          <w:b/>
          <w:bCs/>
          <w:sz w:val="32"/>
          <w:szCs w:val="32"/>
        </w:rPr>
        <w:t>1.因公出国（境）经费支出</w:t>
      </w:r>
      <w:r>
        <w:rPr>
          <w:rFonts w:hint="eastAsia" w:ascii="仿宋" w:hAnsi="仿宋" w:eastAsia="仿宋" w:cs="仿宋"/>
          <w:sz w:val="32"/>
          <w:szCs w:val="32"/>
        </w:rPr>
        <w:t>0.00万元，</w:t>
      </w:r>
      <w:r>
        <w:rPr>
          <w:rFonts w:hint="eastAsia" w:ascii="仿宋" w:hAnsi="仿宋" w:eastAsia="仿宋" w:cs="仿宋"/>
          <w:b/>
          <w:bCs/>
          <w:sz w:val="32"/>
          <w:szCs w:val="32"/>
        </w:rPr>
        <w:t>完成预算0.00%。</w:t>
      </w:r>
      <w:r>
        <w:rPr>
          <w:rFonts w:hint="eastAsia" w:ascii="仿宋" w:hAnsi="仿宋" w:eastAsia="仿宋" w:cs="仿宋"/>
          <w:sz w:val="32"/>
          <w:szCs w:val="32"/>
        </w:rPr>
        <w:t>全年安排因公出国（境）团组0次，出国（境）0人。因公出国（境）支出决算比202</w:t>
      </w:r>
      <w:r>
        <w:rPr>
          <w:rFonts w:hint="eastAsia" w:ascii="仿宋" w:hAnsi="仿宋" w:eastAsia="仿宋" w:cs="仿宋"/>
          <w:sz w:val="32"/>
          <w:szCs w:val="32"/>
          <w:lang w:val="en-US" w:eastAsia="zh-CN"/>
        </w:rPr>
        <w:t>1</w:t>
      </w:r>
      <w:r>
        <w:rPr>
          <w:rFonts w:hint="eastAsia" w:ascii="仿宋" w:hAnsi="仿宋" w:eastAsia="仿宋" w:cs="仿宋"/>
          <w:sz w:val="32"/>
          <w:szCs w:val="32"/>
        </w:rPr>
        <w:t>年增加0.00万元，增长0.00%。</w:t>
      </w:r>
    </w:p>
    <w:p>
      <w:pPr>
        <w:shd w:val="clear" w:color="auto" w:fill="FFFFFF"/>
        <w:adjustRightInd/>
        <w:snapToGrid/>
        <w:spacing w:before="100" w:beforeAutospacing="1" w:after="100" w:afterAutospacing="1" w:line="360" w:lineRule="auto"/>
        <w:ind w:firstLine="630" w:firstLineChars="196"/>
        <w:rPr>
          <w:rFonts w:hint="eastAsia" w:ascii="仿宋" w:hAnsi="仿宋" w:eastAsia="仿宋" w:cs="仿宋"/>
          <w:sz w:val="32"/>
          <w:szCs w:val="32"/>
        </w:rPr>
      </w:pPr>
      <w:r>
        <w:rPr>
          <w:rFonts w:hint="eastAsia" w:ascii="仿宋" w:hAnsi="仿宋" w:eastAsia="仿宋" w:cs="仿宋"/>
          <w:b/>
          <w:bCs/>
          <w:sz w:val="32"/>
          <w:szCs w:val="32"/>
        </w:rPr>
        <w:t>2.公务用车购置及运行维护费支出</w:t>
      </w:r>
      <w:r>
        <w:rPr>
          <w:rFonts w:hint="eastAsia" w:ascii="仿宋" w:hAnsi="仿宋" w:eastAsia="仿宋" w:cs="仿宋"/>
          <w:sz w:val="32"/>
          <w:szCs w:val="32"/>
          <w:lang w:val="en-US" w:eastAsia="zh-CN"/>
        </w:rPr>
        <w:t>4.46</w:t>
      </w:r>
      <w:r>
        <w:rPr>
          <w:rFonts w:hint="eastAsia" w:ascii="仿宋" w:hAnsi="仿宋" w:eastAsia="仿宋" w:cs="仿宋"/>
          <w:sz w:val="32"/>
          <w:szCs w:val="32"/>
        </w:rPr>
        <w:t>万元,</w:t>
      </w:r>
      <w:r>
        <w:rPr>
          <w:rFonts w:hint="eastAsia" w:ascii="仿宋" w:hAnsi="仿宋" w:eastAsia="仿宋" w:cs="仿宋"/>
          <w:b/>
          <w:bCs/>
          <w:sz w:val="32"/>
          <w:szCs w:val="32"/>
        </w:rPr>
        <w:t>完成预算0.00%。</w:t>
      </w:r>
      <w:r>
        <w:rPr>
          <w:rFonts w:hint="eastAsia" w:ascii="仿宋" w:hAnsi="仿宋" w:eastAsia="仿宋" w:cs="仿宋"/>
          <w:sz w:val="32"/>
          <w:szCs w:val="32"/>
        </w:rPr>
        <w:t>公务用车购置及运行维护费支出决算比202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1.39万元，</w:t>
      </w:r>
      <w:r>
        <w:rPr>
          <w:rFonts w:hint="eastAsia" w:ascii="仿宋" w:hAnsi="仿宋" w:eastAsia="仿宋" w:cs="仿宋"/>
          <w:sz w:val="32"/>
          <w:szCs w:val="32"/>
        </w:rPr>
        <w:t>增加</w:t>
      </w:r>
      <w:r>
        <w:rPr>
          <w:rFonts w:hint="eastAsia" w:ascii="仿宋" w:hAnsi="仿宋" w:eastAsia="仿宋" w:cs="仿宋"/>
          <w:sz w:val="32"/>
          <w:szCs w:val="32"/>
          <w:lang w:eastAsia="zh-CN"/>
        </w:rPr>
        <w:t>了</w:t>
      </w:r>
      <w:r>
        <w:rPr>
          <w:rFonts w:hint="eastAsia" w:ascii="仿宋" w:hAnsi="仿宋" w:eastAsia="仿宋" w:cs="仿宋"/>
          <w:sz w:val="32"/>
          <w:szCs w:val="32"/>
          <w:lang w:val="en-US" w:eastAsia="zh-CN"/>
        </w:rPr>
        <w:t>3.07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220.86</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2021年度</w:t>
      </w:r>
      <w:r>
        <w:rPr>
          <w:rFonts w:hint="eastAsia" w:ascii="仿宋" w:hAnsi="仿宋" w:eastAsia="仿宋" w:cs="仿宋"/>
          <w:bCs/>
          <w:sz w:val="32"/>
          <w:szCs w:val="32"/>
          <w:lang w:eastAsia="zh-CN"/>
        </w:rPr>
        <w:t>没有修车，下乡审计次数增加</w:t>
      </w:r>
      <w:r>
        <w:rPr>
          <w:rFonts w:hint="eastAsia" w:ascii="仿宋" w:hAnsi="仿宋" w:eastAsia="仿宋" w:cs="仿宋"/>
          <w:sz w:val="32"/>
          <w:szCs w:val="32"/>
        </w:rPr>
        <w:t>。</w:t>
      </w:r>
    </w:p>
    <w:p>
      <w:pPr>
        <w:shd w:val="clear" w:color="auto" w:fill="FFFFFF"/>
        <w:adjustRightInd/>
        <w:snapToGrid/>
        <w:spacing w:before="100" w:beforeAutospacing="1" w:after="100" w:afterAutospacing="1" w:line="360" w:lineRule="auto"/>
        <w:ind w:firstLine="800" w:firstLineChars="250"/>
        <w:rPr>
          <w:rFonts w:hint="eastAsia" w:ascii="仿宋" w:hAnsi="仿宋" w:eastAsia="仿宋" w:cs="仿宋"/>
          <w:sz w:val="32"/>
          <w:szCs w:val="32"/>
        </w:rPr>
      </w:pPr>
      <w:r>
        <w:rPr>
          <w:rFonts w:hint="eastAsia" w:ascii="仿宋" w:hAnsi="仿宋" w:eastAsia="仿宋" w:cs="仿宋"/>
          <w:sz w:val="32"/>
          <w:szCs w:val="32"/>
        </w:rPr>
        <w:t>其中：</w:t>
      </w:r>
      <w:r>
        <w:rPr>
          <w:rFonts w:hint="eastAsia" w:ascii="仿宋" w:hAnsi="仿宋" w:eastAsia="仿宋" w:cs="仿宋"/>
          <w:b/>
          <w:bCs/>
          <w:sz w:val="32"/>
          <w:szCs w:val="32"/>
        </w:rPr>
        <w:t>公务用车购置支出</w:t>
      </w:r>
      <w:r>
        <w:rPr>
          <w:rFonts w:hint="eastAsia" w:ascii="仿宋" w:hAnsi="仿宋" w:eastAsia="仿宋" w:cs="仿宋"/>
          <w:sz w:val="32"/>
          <w:szCs w:val="32"/>
        </w:rPr>
        <w:t>0.00万元。全年按规定更新购置公务用车0辆。截至202</w:t>
      </w:r>
      <w:r>
        <w:rPr>
          <w:rFonts w:hint="eastAsia" w:ascii="仿宋" w:hAnsi="仿宋" w:eastAsia="仿宋" w:cs="仿宋"/>
          <w:sz w:val="32"/>
          <w:szCs w:val="32"/>
          <w:lang w:val="en-US" w:eastAsia="zh-CN"/>
        </w:rPr>
        <w:t>2</w:t>
      </w:r>
      <w:r>
        <w:rPr>
          <w:rFonts w:hint="eastAsia" w:ascii="仿宋" w:hAnsi="仿宋" w:eastAsia="仿宋" w:cs="仿宋"/>
          <w:sz w:val="32"/>
          <w:szCs w:val="32"/>
        </w:rPr>
        <w:t>年12月底，单位共有公务用车1辆，其中：越野车1辆。</w:t>
      </w:r>
    </w:p>
    <w:p>
      <w:pPr>
        <w:shd w:val="clear" w:color="auto" w:fill="FFFFFF"/>
        <w:adjustRightInd/>
        <w:snapToGrid/>
        <w:spacing w:before="100" w:beforeAutospacing="1" w:after="100" w:afterAutospacing="1" w:line="360" w:lineRule="auto"/>
        <w:ind w:firstLine="630" w:firstLineChars="196"/>
        <w:rPr>
          <w:rFonts w:hint="eastAsia" w:ascii="仿宋" w:hAnsi="仿宋" w:eastAsia="仿宋" w:cs="仿宋"/>
          <w:sz w:val="32"/>
          <w:szCs w:val="32"/>
        </w:rPr>
      </w:pPr>
      <w:r>
        <w:rPr>
          <w:rFonts w:hint="eastAsia" w:ascii="仿宋" w:hAnsi="仿宋" w:eastAsia="仿宋" w:cs="仿宋"/>
          <w:b/>
          <w:bCs/>
          <w:sz w:val="32"/>
          <w:szCs w:val="32"/>
        </w:rPr>
        <w:t>公务用车运行维护费支出</w:t>
      </w:r>
      <w:r>
        <w:rPr>
          <w:rFonts w:hint="eastAsia" w:ascii="仿宋" w:hAnsi="仿宋" w:eastAsia="仿宋" w:cs="仿宋"/>
          <w:b/>
          <w:bCs/>
          <w:sz w:val="32"/>
          <w:szCs w:val="32"/>
          <w:lang w:val="en-US" w:eastAsia="zh-CN"/>
        </w:rPr>
        <w:t>4.46</w:t>
      </w:r>
      <w:r>
        <w:rPr>
          <w:rFonts w:hint="eastAsia" w:ascii="仿宋" w:hAnsi="仿宋" w:eastAsia="仿宋" w:cs="仿宋"/>
          <w:sz w:val="32"/>
          <w:szCs w:val="32"/>
        </w:rPr>
        <w:t>万元。主要用于下乡审计、出县等所需的公务用车燃料费、维修费、过路过桥费、保险费等支出。</w:t>
      </w:r>
    </w:p>
    <w:p>
      <w:pPr>
        <w:shd w:val="clear" w:color="auto" w:fill="FFFFFF"/>
        <w:adjustRightInd/>
        <w:snapToGrid/>
        <w:spacing w:before="100" w:beforeAutospacing="1" w:after="100" w:afterAutospacing="1" w:line="360" w:lineRule="auto"/>
        <w:ind w:firstLine="790" w:firstLineChars="246"/>
        <w:rPr>
          <w:rFonts w:hint="eastAsia" w:ascii="仿宋" w:hAnsi="仿宋" w:eastAsia="仿宋" w:cs="仿宋"/>
          <w:sz w:val="32"/>
          <w:szCs w:val="32"/>
        </w:rPr>
      </w:pPr>
      <w:r>
        <w:rPr>
          <w:rFonts w:hint="eastAsia" w:ascii="仿宋" w:hAnsi="仿宋" w:eastAsia="仿宋" w:cs="仿宋"/>
          <w:b/>
          <w:bCs/>
          <w:sz w:val="32"/>
          <w:szCs w:val="32"/>
        </w:rPr>
        <w:t>3.公务接待费支出</w:t>
      </w:r>
      <w:r>
        <w:rPr>
          <w:rFonts w:hint="eastAsia" w:ascii="仿宋" w:hAnsi="仿宋" w:eastAsia="仿宋" w:cs="仿宋"/>
          <w:sz w:val="32"/>
          <w:szCs w:val="32"/>
          <w:lang w:val="en-US" w:eastAsia="zh-CN"/>
        </w:rPr>
        <w:t>0.16</w:t>
      </w:r>
      <w:r>
        <w:rPr>
          <w:rFonts w:hint="eastAsia" w:ascii="仿宋" w:hAnsi="仿宋" w:eastAsia="仿宋" w:cs="仿宋"/>
          <w:sz w:val="32"/>
          <w:szCs w:val="32"/>
        </w:rPr>
        <w:t>万元，</w:t>
      </w:r>
      <w:r>
        <w:rPr>
          <w:rFonts w:hint="eastAsia" w:ascii="仿宋" w:hAnsi="仿宋" w:eastAsia="仿宋" w:cs="仿宋"/>
          <w:b/>
          <w:bCs/>
          <w:sz w:val="32"/>
          <w:szCs w:val="32"/>
        </w:rPr>
        <w:t>完成预算100%。</w:t>
      </w:r>
      <w:r>
        <w:rPr>
          <w:rFonts w:hint="eastAsia" w:ascii="仿宋" w:hAnsi="仿宋" w:eastAsia="仿宋" w:cs="仿宋"/>
          <w:sz w:val="32"/>
          <w:szCs w:val="32"/>
        </w:rPr>
        <w:t>公务接待费支出决算比202</w:t>
      </w:r>
      <w:r>
        <w:rPr>
          <w:rFonts w:hint="eastAsia" w:ascii="仿宋" w:hAnsi="仿宋" w:eastAsia="仿宋" w:cs="仿宋"/>
          <w:sz w:val="32"/>
          <w:szCs w:val="32"/>
          <w:lang w:val="en-US" w:eastAsia="zh-CN"/>
        </w:rPr>
        <w:t>1年的0.23万元</w:t>
      </w:r>
      <w:r>
        <w:rPr>
          <w:rFonts w:hint="eastAsia" w:ascii="仿宋" w:hAnsi="仿宋" w:eastAsia="仿宋" w:cs="仿宋"/>
          <w:sz w:val="32"/>
          <w:szCs w:val="32"/>
        </w:rPr>
        <w:t>增加</w:t>
      </w:r>
      <w:r>
        <w:rPr>
          <w:rFonts w:hint="eastAsia" w:ascii="仿宋" w:hAnsi="仿宋" w:eastAsia="仿宋" w:cs="仿宋"/>
          <w:sz w:val="32"/>
          <w:szCs w:val="32"/>
          <w:lang w:eastAsia="zh-CN"/>
        </w:rPr>
        <w:t>了</w:t>
      </w:r>
      <w:r>
        <w:rPr>
          <w:rFonts w:hint="eastAsia" w:ascii="仿宋" w:hAnsi="仿宋" w:eastAsia="仿宋" w:cs="仿宋"/>
          <w:sz w:val="32"/>
          <w:szCs w:val="32"/>
          <w:lang w:val="en-US" w:eastAsia="zh-CN"/>
        </w:rPr>
        <w:t>-</w:t>
      </w:r>
      <w:r>
        <w:rPr>
          <w:rFonts w:hint="eastAsia" w:ascii="仿宋" w:hAnsi="仿宋" w:eastAsia="仿宋" w:cs="仿宋"/>
          <w:sz w:val="32"/>
          <w:szCs w:val="32"/>
        </w:rPr>
        <w:t>0.0</w:t>
      </w:r>
      <w:r>
        <w:rPr>
          <w:rFonts w:hint="eastAsia" w:ascii="仿宋" w:hAnsi="仿宋" w:eastAsia="仿宋" w:cs="仿宋"/>
          <w:sz w:val="32"/>
          <w:szCs w:val="32"/>
          <w:lang w:val="en-US" w:eastAsia="zh-CN"/>
        </w:rPr>
        <w:t>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30.43</w:t>
      </w:r>
      <w:r>
        <w:rPr>
          <w:rFonts w:hint="eastAsia" w:ascii="仿宋" w:hAnsi="仿宋" w:eastAsia="仿宋" w:cs="仿宋"/>
          <w:sz w:val="32"/>
          <w:szCs w:val="32"/>
        </w:rPr>
        <w:t>%。主要原因是</w:t>
      </w:r>
      <w:r>
        <w:rPr>
          <w:rFonts w:hint="eastAsia" w:ascii="仿宋" w:hAnsi="仿宋" w:eastAsia="仿宋" w:cs="仿宋"/>
          <w:bCs/>
          <w:sz w:val="32"/>
          <w:szCs w:val="32"/>
        </w:rPr>
        <w:t>接待人次</w:t>
      </w:r>
      <w:r>
        <w:rPr>
          <w:rFonts w:hint="eastAsia" w:ascii="仿宋" w:hAnsi="仿宋" w:eastAsia="仿宋" w:cs="仿宋"/>
          <w:bCs/>
          <w:sz w:val="32"/>
          <w:szCs w:val="32"/>
          <w:lang w:eastAsia="zh-CN"/>
        </w:rPr>
        <w:t>减少</w:t>
      </w:r>
      <w:r>
        <w:rPr>
          <w:rFonts w:hint="eastAsia" w:ascii="仿宋" w:hAnsi="仿宋" w:eastAsia="仿宋" w:cs="仿宋"/>
          <w:sz w:val="32"/>
          <w:szCs w:val="32"/>
        </w:rPr>
        <w:t>。</w:t>
      </w:r>
    </w:p>
    <w:p>
      <w:pPr>
        <w:shd w:val="clear" w:color="auto" w:fill="FFFFFF"/>
        <w:adjustRightInd/>
        <w:snapToGrid/>
        <w:spacing w:before="100" w:beforeAutospacing="1" w:after="100" w:afterAutospacing="1" w:line="360" w:lineRule="auto"/>
        <w:ind w:firstLine="626" w:firstLineChars="195"/>
        <w:rPr>
          <w:rFonts w:hint="eastAsia" w:ascii="仿宋" w:hAnsi="仿宋" w:eastAsia="仿宋" w:cs="仿宋"/>
          <w:sz w:val="32"/>
          <w:szCs w:val="32"/>
        </w:rPr>
      </w:pPr>
      <w:r>
        <w:rPr>
          <w:rFonts w:hint="eastAsia" w:ascii="仿宋" w:hAnsi="仿宋" w:eastAsia="仿宋" w:cs="仿宋"/>
          <w:b/>
          <w:bCs/>
          <w:sz w:val="32"/>
          <w:szCs w:val="32"/>
        </w:rPr>
        <w:t>国内公务接待支出</w:t>
      </w:r>
      <w:r>
        <w:rPr>
          <w:rFonts w:hint="eastAsia" w:ascii="仿宋" w:hAnsi="仿宋" w:eastAsia="仿宋" w:cs="仿宋"/>
          <w:sz w:val="32"/>
          <w:szCs w:val="32"/>
          <w:lang w:val="en-US" w:eastAsia="zh-CN"/>
        </w:rPr>
        <w:t>0.16</w:t>
      </w:r>
      <w:r>
        <w:rPr>
          <w:rFonts w:hint="eastAsia" w:ascii="仿宋" w:hAnsi="仿宋" w:eastAsia="仿宋" w:cs="仿宋"/>
          <w:sz w:val="32"/>
          <w:szCs w:val="32"/>
        </w:rPr>
        <w:t>万元，主要用于执行公务、开展业务活动开支用餐费。国内公务接待</w:t>
      </w:r>
      <w:r>
        <w:rPr>
          <w:rFonts w:hint="eastAsia" w:ascii="仿宋" w:hAnsi="仿宋" w:eastAsia="仿宋" w:cs="仿宋"/>
          <w:sz w:val="32"/>
          <w:szCs w:val="32"/>
          <w:lang w:val="en-US" w:eastAsia="zh-CN"/>
        </w:rPr>
        <w:t>3</w:t>
      </w:r>
      <w:r>
        <w:rPr>
          <w:rFonts w:hint="eastAsia" w:ascii="仿宋" w:hAnsi="仿宋" w:eastAsia="仿宋" w:cs="仿宋"/>
          <w:sz w:val="32"/>
          <w:szCs w:val="32"/>
        </w:rPr>
        <w:t>批次，</w:t>
      </w:r>
      <w:r>
        <w:rPr>
          <w:rFonts w:hint="eastAsia" w:ascii="仿宋" w:hAnsi="仿宋" w:eastAsia="仿宋" w:cs="仿宋"/>
          <w:sz w:val="32"/>
          <w:szCs w:val="32"/>
          <w:lang w:val="en-US" w:eastAsia="zh-CN"/>
        </w:rPr>
        <w:t>25</w:t>
      </w:r>
      <w:r>
        <w:rPr>
          <w:rFonts w:hint="eastAsia" w:ascii="仿宋" w:hAnsi="仿宋" w:eastAsia="仿宋" w:cs="仿宋"/>
          <w:sz w:val="32"/>
          <w:szCs w:val="32"/>
        </w:rPr>
        <w:t>人次（不包括陪同人员），共计支出</w:t>
      </w:r>
      <w:r>
        <w:rPr>
          <w:rFonts w:hint="eastAsia" w:ascii="仿宋" w:hAnsi="仿宋" w:eastAsia="仿宋" w:cs="仿宋"/>
          <w:sz w:val="32"/>
          <w:szCs w:val="32"/>
          <w:lang w:val="en-US" w:eastAsia="zh-CN"/>
        </w:rPr>
        <w:t>0.16</w:t>
      </w:r>
      <w:r>
        <w:rPr>
          <w:rFonts w:hint="eastAsia" w:ascii="仿宋" w:hAnsi="仿宋" w:eastAsia="仿宋" w:cs="仿宋"/>
          <w:sz w:val="32"/>
          <w:szCs w:val="32"/>
        </w:rPr>
        <w:t>万元。</w:t>
      </w:r>
    </w:p>
    <w:p>
      <w:pPr>
        <w:shd w:val="clear" w:color="auto" w:fill="FFFFFF"/>
        <w:adjustRightInd/>
        <w:snapToGrid/>
        <w:spacing w:before="100" w:beforeAutospacing="1" w:after="100" w:afterAutospacing="1" w:line="360" w:lineRule="auto"/>
        <w:ind w:firstLine="630" w:firstLineChars="196"/>
        <w:rPr>
          <w:rFonts w:hint="eastAsia" w:ascii="仿宋" w:hAnsi="仿宋" w:eastAsia="仿宋" w:cs="仿宋"/>
          <w:sz w:val="32"/>
          <w:szCs w:val="32"/>
        </w:rPr>
      </w:pPr>
      <w:r>
        <w:rPr>
          <w:rFonts w:hint="eastAsia" w:ascii="仿宋" w:hAnsi="仿宋" w:eastAsia="仿宋" w:cs="仿宋"/>
          <w:b/>
          <w:bCs/>
          <w:sz w:val="32"/>
          <w:szCs w:val="32"/>
        </w:rPr>
        <w:t>外事接待支出</w:t>
      </w:r>
      <w:r>
        <w:rPr>
          <w:rFonts w:hint="eastAsia" w:ascii="仿宋" w:hAnsi="仿宋" w:eastAsia="仿宋" w:cs="仿宋"/>
          <w:sz w:val="32"/>
          <w:szCs w:val="32"/>
        </w:rPr>
        <w:t>0.00万元，外事接待0批次，0人，共计支出0.00万元。</w:t>
      </w:r>
    </w:p>
    <w:p>
      <w:pPr>
        <w:shd w:val="clear" w:color="auto" w:fill="FFFFFF"/>
        <w:adjustRightInd/>
        <w:snapToGrid/>
        <w:spacing w:before="100" w:beforeAutospacing="1" w:after="100" w:afterAutospacing="1" w:line="360" w:lineRule="auto"/>
        <w:ind w:firstLine="624" w:firstLineChars="195"/>
        <w:rPr>
          <w:rFonts w:hint="eastAsia" w:ascii="仿宋" w:hAnsi="仿宋" w:eastAsia="仿宋" w:cs="仿宋"/>
          <w:sz w:val="32"/>
          <w:szCs w:val="32"/>
        </w:rPr>
      </w:pPr>
      <w:r>
        <w:rPr>
          <w:rFonts w:hint="eastAsia" w:ascii="仿宋" w:hAnsi="仿宋" w:eastAsia="仿宋" w:cs="仿宋"/>
          <w:sz w:val="32"/>
          <w:szCs w:val="32"/>
        </w:rPr>
        <w:t>八、政府性基金预算支出决算情况说明</w:t>
      </w:r>
    </w:p>
    <w:p>
      <w:pPr>
        <w:shd w:val="clear" w:color="auto" w:fill="FFFFFF"/>
        <w:adjustRightInd/>
        <w:snapToGrid/>
        <w:spacing w:before="100" w:beforeAutospacing="1" w:after="100" w:afterAutospacing="1" w:line="360" w:lineRule="auto"/>
        <w:ind w:firstLine="624" w:firstLineChars="195"/>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年政府性基金预算财政拨款支出0.00万元。</w:t>
      </w:r>
    </w:p>
    <w:p>
      <w:pPr>
        <w:shd w:val="clear" w:color="auto" w:fill="FFFFFF"/>
        <w:adjustRightInd/>
        <w:snapToGrid/>
        <w:spacing w:before="100" w:beforeAutospacing="1" w:after="100" w:afterAutospacing="1" w:line="360" w:lineRule="auto"/>
        <w:ind w:firstLine="624" w:firstLineChars="195"/>
        <w:rPr>
          <w:rFonts w:hint="eastAsia" w:ascii="仿宋" w:hAnsi="仿宋" w:eastAsia="仿宋" w:cs="仿宋"/>
          <w:sz w:val="32"/>
          <w:szCs w:val="32"/>
        </w:rPr>
      </w:pPr>
      <w:r>
        <w:rPr>
          <w:rFonts w:hint="eastAsia" w:ascii="仿宋" w:hAnsi="仿宋" w:eastAsia="仿宋" w:cs="仿宋"/>
          <w:sz w:val="32"/>
          <w:szCs w:val="32"/>
        </w:rPr>
        <w:t>国有资本经营预算支出决算情况说明</w:t>
      </w:r>
    </w:p>
    <w:p>
      <w:pPr>
        <w:shd w:val="clear" w:color="auto" w:fill="FFFFFF"/>
        <w:adjustRightInd/>
        <w:snapToGrid/>
        <w:spacing w:before="100" w:beforeAutospacing="1" w:after="100" w:afterAutospacing="1" w:line="360" w:lineRule="auto"/>
        <w:ind w:firstLine="624" w:firstLineChars="195"/>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年国有资本经营预算财政拨款支出0.00万元。</w:t>
      </w:r>
    </w:p>
    <w:p>
      <w:pPr>
        <w:shd w:val="clear" w:color="auto" w:fill="FFFFFF"/>
        <w:adjustRightInd/>
        <w:snapToGrid/>
        <w:spacing w:before="100" w:beforeAutospacing="1" w:after="100" w:afterAutospacing="1" w:line="360" w:lineRule="auto"/>
        <w:ind w:firstLine="624" w:firstLineChars="195"/>
        <w:rPr>
          <w:rFonts w:hint="eastAsia" w:ascii="仿宋" w:hAnsi="仿宋" w:eastAsia="仿宋" w:cs="仿宋"/>
          <w:sz w:val="32"/>
          <w:szCs w:val="32"/>
        </w:rPr>
      </w:pPr>
      <w:r>
        <w:rPr>
          <w:rFonts w:hint="eastAsia" w:ascii="仿宋" w:hAnsi="仿宋" w:eastAsia="仿宋" w:cs="仿宋"/>
          <w:sz w:val="32"/>
          <w:szCs w:val="32"/>
        </w:rPr>
        <w:t>其他重要事项的情况说明</w:t>
      </w:r>
    </w:p>
    <w:p>
      <w:pPr>
        <w:shd w:val="clear" w:color="auto" w:fill="FFFFFF"/>
        <w:adjustRightInd/>
        <w:snapToGrid/>
        <w:spacing w:before="100" w:beforeAutospacing="1" w:after="100" w:afterAutospacing="1" w:line="360" w:lineRule="auto"/>
        <w:ind w:firstLine="482" w:firstLineChars="150"/>
        <w:rPr>
          <w:rFonts w:ascii="宋体" w:hAnsi="宋体" w:eastAsia="宋体" w:cs="宋体"/>
          <w:sz w:val="32"/>
          <w:szCs w:val="32"/>
        </w:rPr>
      </w:pPr>
      <w:r>
        <w:rPr>
          <w:rFonts w:hint="eastAsia" w:ascii="宋体" w:hAnsi="宋体" w:eastAsia="宋体" w:cs="宋体"/>
          <w:b/>
          <w:bCs/>
          <w:sz w:val="32"/>
          <w:szCs w:val="32"/>
        </w:rPr>
        <w:t>（一）机关运行经费支出情况</w:t>
      </w:r>
    </w:p>
    <w:p>
      <w:pPr>
        <w:shd w:val="clear" w:color="auto" w:fill="FFFFFF"/>
        <w:adjustRightInd/>
        <w:snapToGrid/>
        <w:spacing w:before="100" w:beforeAutospacing="1" w:after="100" w:afterAutospacing="1" w:line="360" w:lineRule="auto"/>
        <w:ind w:firstLine="640" w:firstLineChars="200"/>
        <w:jc w:val="left"/>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年，阿坝州红原县审计局运行经费支出</w:t>
      </w:r>
      <w:r>
        <w:rPr>
          <w:rFonts w:hint="eastAsia" w:ascii="仿宋" w:hAnsi="仿宋" w:eastAsia="仿宋" w:cs="仿宋"/>
          <w:sz w:val="32"/>
          <w:szCs w:val="32"/>
          <w:lang w:val="en-US" w:eastAsia="zh-CN"/>
        </w:rPr>
        <w:t>19.94</w:t>
      </w:r>
      <w:r>
        <w:rPr>
          <w:rFonts w:hint="eastAsia" w:ascii="仿宋" w:hAnsi="仿宋" w:eastAsia="仿宋" w:cs="仿宋"/>
          <w:sz w:val="32"/>
          <w:szCs w:val="32"/>
        </w:rPr>
        <w:t>万元，比202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14.27万元</w:t>
      </w:r>
      <w:r>
        <w:rPr>
          <w:rFonts w:hint="eastAsia" w:ascii="仿宋" w:hAnsi="仿宋" w:eastAsia="仿宋" w:cs="仿宋"/>
          <w:sz w:val="32"/>
          <w:szCs w:val="32"/>
        </w:rPr>
        <w:t>增加</w:t>
      </w:r>
      <w:r>
        <w:rPr>
          <w:rFonts w:hint="eastAsia" w:ascii="仿宋" w:hAnsi="仿宋" w:eastAsia="仿宋" w:cs="仿宋"/>
          <w:sz w:val="32"/>
          <w:szCs w:val="32"/>
          <w:lang w:eastAsia="zh-CN"/>
        </w:rPr>
        <w:t>了</w:t>
      </w:r>
      <w:r>
        <w:rPr>
          <w:rFonts w:hint="eastAsia" w:ascii="仿宋" w:hAnsi="仿宋" w:eastAsia="仿宋" w:cs="仿宋"/>
          <w:sz w:val="32"/>
          <w:szCs w:val="32"/>
          <w:lang w:val="en-US" w:eastAsia="zh-CN"/>
        </w:rPr>
        <w:t>5.67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39.73</w:t>
      </w:r>
      <w:r>
        <w:rPr>
          <w:rFonts w:hint="eastAsia" w:ascii="仿宋" w:hAnsi="仿宋" w:eastAsia="仿宋" w:cs="仿宋"/>
          <w:sz w:val="32"/>
          <w:szCs w:val="32"/>
        </w:rPr>
        <w:t>%。主要原因是费用增加。</w:t>
      </w:r>
    </w:p>
    <w:p>
      <w:pPr>
        <w:shd w:val="clear" w:color="auto" w:fill="FFFFFF"/>
        <w:adjustRightInd/>
        <w:snapToGrid/>
        <w:spacing w:before="100" w:beforeAutospacing="1" w:after="100" w:afterAutospacing="1" w:line="360" w:lineRule="auto"/>
        <w:ind w:firstLine="321" w:firstLineChars="100"/>
        <w:rPr>
          <w:rFonts w:hint="eastAsia" w:ascii="仿宋" w:hAnsi="仿宋" w:eastAsia="仿宋" w:cs="仿宋"/>
          <w:sz w:val="32"/>
          <w:szCs w:val="32"/>
        </w:rPr>
      </w:pPr>
      <w:r>
        <w:rPr>
          <w:rFonts w:hint="eastAsia" w:ascii="仿宋" w:hAnsi="仿宋" w:eastAsia="仿宋" w:cs="仿宋"/>
          <w:b/>
          <w:bCs/>
          <w:sz w:val="32"/>
          <w:szCs w:val="32"/>
        </w:rPr>
        <w:t>（二）政府采购支出情况</w:t>
      </w:r>
    </w:p>
    <w:p>
      <w:pPr>
        <w:shd w:val="clear" w:color="auto" w:fill="FFFFFF"/>
        <w:adjustRightInd/>
        <w:snapToGrid/>
        <w:spacing w:before="100" w:beforeAutospacing="1" w:after="100" w:afterAutospacing="1"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阿坝州红原县审计局政府采购支出总额0.00万元，其中：政府采购货物支出0.00万元、政府采购工程支出0.00万元、政府采购服务支出0.00万元。（具体工作）。授予中小企业合同金额0.00万元，占政府采购支出总额的0.00%，其中：授予小微企业合同金额0.00万元，占政府采购支出总额的0.00%。</w:t>
      </w:r>
    </w:p>
    <w:p>
      <w:pPr>
        <w:shd w:val="clear" w:color="auto" w:fill="FFFFFF"/>
        <w:adjustRightInd/>
        <w:snapToGrid/>
        <w:spacing w:before="100" w:beforeAutospacing="1" w:after="100" w:afterAutospacing="1" w:line="360" w:lineRule="auto"/>
        <w:ind w:firstLine="630" w:firstLineChars="196"/>
        <w:rPr>
          <w:rFonts w:hint="eastAsia" w:ascii="仿宋" w:hAnsi="仿宋" w:eastAsia="仿宋" w:cs="仿宋"/>
          <w:sz w:val="32"/>
          <w:szCs w:val="32"/>
        </w:rPr>
      </w:pPr>
      <w:r>
        <w:rPr>
          <w:rFonts w:hint="eastAsia" w:ascii="仿宋" w:hAnsi="仿宋" w:eastAsia="仿宋" w:cs="仿宋"/>
          <w:b/>
          <w:bCs/>
          <w:sz w:val="32"/>
          <w:szCs w:val="32"/>
        </w:rPr>
        <w:t>（三）国有资产占有使用情况</w:t>
      </w:r>
    </w:p>
    <w:p>
      <w:pPr>
        <w:shd w:val="clear" w:color="auto" w:fill="FFFFFF"/>
        <w:adjustRightInd/>
        <w:snapToGrid/>
        <w:spacing w:before="100" w:beforeAutospacing="1" w:after="100" w:afterAutospacing="1" w:line="360" w:lineRule="auto"/>
        <w:ind w:firstLine="800" w:firstLineChars="250"/>
        <w:rPr>
          <w:rFonts w:hint="eastAsia" w:ascii="仿宋" w:hAnsi="仿宋" w:eastAsia="仿宋" w:cs="仿宋"/>
          <w:sz w:val="32"/>
          <w:szCs w:val="32"/>
        </w:rPr>
      </w:pPr>
      <w:r>
        <w:rPr>
          <w:rFonts w:hint="eastAsia" w:ascii="仿宋" w:hAnsi="仿宋" w:eastAsia="仿宋" w:cs="仿宋"/>
          <w:sz w:val="32"/>
          <w:szCs w:val="32"/>
        </w:rPr>
        <w:t>截至202</w:t>
      </w:r>
      <w:r>
        <w:rPr>
          <w:rFonts w:hint="eastAsia" w:ascii="仿宋" w:hAnsi="仿宋" w:eastAsia="仿宋" w:cs="仿宋"/>
          <w:sz w:val="32"/>
          <w:szCs w:val="32"/>
          <w:lang w:val="en-US" w:eastAsia="zh-CN"/>
        </w:rPr>
        <w:t>2</w:t>
      </w:r>
      <w:r>
        <w:rPr>
          <w:rFonts w:hint="eastAsia" w:ascii="仿宋" w:hAnsi="仿宋" w:eastAsia="仿宋" w:cs="仿宋"/>
          <w:sz w:val="32"/>
          <w:szCs w:val="32"/>
        </w:rPr>
        <w:t>年12月31日，阿坝州红原县审计局共有车辆1辆，其中：应急保障用车1辆，单价50万元以上通用设备0台（套），单价100万元以上专用设备0台（套）。</w:t>
      </w:r>
    </w:p>
    <w:p>
      <w:pPr>
        <w:shd w:val="clear" w:color="auto" w:fill="FFFFFF"/>
        <w:adjustRightInd/>
        <w:snapToGrid/>
        <w:spacing w:before="100" w:beforeAutospacing="1" w:after="100" w:afterAutospacing="1" w:line="360" w:lineRule="auto"/>
        <w:ind w:firstLine="643" w:firstLineChars="200"/>
        <w:rPr>
          <w:rFonts w:ascii="宋体" w:hAnsi="宋体" w:eastAsia="宋体" w:cs="宋体"/>
          <w:sz w:val="32"/>
          <w:szCs w:val="32"/>
        </w:rPr>
      </w:pPr>
      <w:r>
        <w:rPr>
          <w:rFonts w:hint="eastAsia" w:ascii="宋体" w:hAnsi="宋体" w:eastAsia="宋体" w:cs="宋体"/>
          <w:b/>
          <w:bCs/>
          <w:sz w:val="32"/>
          <w:szCs w:val="32"/>
        </w:rPr>
        <w:t>（四）预算绩效管理情况</w:t>
      </w:r>
    </w:p>
    <w:p>
      <w:pPr>
        <w:shd w:val="clear" w:color="auto" w:fill="FFFFFF"/>
        <w:adjustRightInd/>
        <w:snapToGrid/>
        <w:spacing w:before="100" w:beforeAutospacing="1" w:after="100" w:afterAutospacing="1" w:line="360" w:lineRule="auto"/>
        <w:ind w:firstLine="960" w:firstLineChars="300"/>
        <w:rPr>
          <w:rFonts w:hint="eastAsia" w:ascii="仿宋" w:hAnsi="仿宋" w:eastAsia="仿宋" w:cs="仿宋"/>
          <w:sz w:val="18"/>
          <w:szCs w:val="18"/>
        </w:rPr>
      </w:pPr>
      <w:r>
        <w:rPr>
          <w:rFonts w:hint="eastAsia" w:ascii="仿宋" w:hAnsi="仿宋" w:eastAsia="仿宋" w:cs="仿宋"/>
          <w:sz w:val="32"/>
          <w:szCs w:val="32"/>
        </w:rPr>
        <w:t>根据预算绩效管理要求，本部门在202</w:t>
      </w:r>
      <w:r>
        <w:rPr>
          <w:rFonts w:hint="eastAsia" w:ascii="仿宋" w:hAnsi="仿宋" w:eastAsia="仿宋" w:cs="仿宋"/>
          <w:sz w:val="32"/>
          <w:szCs w:val="32"/>
          <w:lang w:val="en-US" w:eastAsia="zh-CN"/>
        </w:rPr>
        <w:t>2</w:t>
      </w:r>
      <w:r>
        <w:rPr>
          <w:rFonts w:hint="eastAsia" w:ascii="仿宋" w:hAnsi="仿宋" w:eastAsia="仿宋" w:cs="仿宋"/>
          <w:sz w:val="32"/>
          <w:szCs w:val="32"/>
        </w:rPr>
        <w:t>年度预算编制阶段，组织对审计外勤经费项目开展了预算事前绩效评估，对审计外勤经费项目编制了绩效目标，预算执行过程中，选取审计外勤经费项目开展绩效监控，年终执行完毕后，对审计外勤经费项目开展了绩效自评。同时，本部门对202</w:t>
      </w:r>
      <w:r>
        <w:rPr>
          <w:rFonts w:hint="eastAsia" w:ascii="仿宋" w:hAnsi="仿宋" w:eastAsia="仿宋" w:cs="仿宋"/>
          <w:sz w:val="32"/>
          <w:szCs w:val="32"/>
          <w:lang w:val="en-US" w:eastAsia="zh-CN"/>
        </w:rPr>
        <w:t>2</w:t>
      </w:r>
      <w:r>
        <w:rPr>
          <w:rFonts w:hint="eastAsia" w:ascii="仿宋" w:hAnsi="仿宋" w:eastAsia="仿宋" w:cs="仿宋"/>
          <w:sz w:val="32"/>
          <w:szCs w:val="32"/>
        </w:rPr>
        <w:t>年部门整体开展绩效自评，《202</w:t>
      </w:r>
      <w:r>
        <w:rPr>
          <w:rFonts w:hint="eastAsia" w:ascii="仿宋" w:hAnsi="仿宋" w:eastAsia="仿宋" w:cs="仿宋"/>
          <w:sz w:val="32"/>
          <w:szCs w:val="32"/>
          <w:lang w:val="en-US" w:eastAsia="zh-CN"/>
        </w:rPr>
        <w:t>2</w:t>
      </w:r>
      <w:r>
        <w:rPr>
          <w:rFonts w:hint="eastAsia" w:ascii="仿宋" w:hAnsi="仿宋" w:eastAsia="仿宋" w:cs="仿宋"/>
          <w:sz w:val="32"/>
          <w:szCs w:val="32"/>
        </w:rPr>
        <w:t>年审计局部门整体绩效评价报告》见附件（第四部分）。</w:t>
      </w:r>
    </w:p>
    <w:p>
      <w:pPr>
        <w:shd w:val="clear" w:color="auto" w:fill="FFFFFF"/>
        <w:adjustRightInd/>
        <w:snapToGrid/>
        <w:spacing w:before="100" w:beforeAutospacing="1" w:after="100" w:afterAutospacing="1" w:line="360" w:lineRule="auto"/>
        <w:rPr>
          <w:rFonts w:ascii="宋体" w:hAnsi="宋体" w:eastAsia="宋体" w:cs="宋体"/>
          <w:sz w:val="18"/>
          <w:szCs w:val="18"/>
        </w:rPr>
      </w:pPr>
      <w:r>
        <w:rPr>
          <w:rFonts w:hint="eastAsia" w:ascii="宋体" w:hAnsi="宋体" w:eastAsia="宋体" w:cs="宋体"/>
          <w:b/>
          <w:bCs/>
          <w:sz w:val="18"/>
        </w:rPr>
        <w:t>（注：单位2021年特定目标类部门预算项目绩效目标自评表为本部门2021年部门整体支出绩效评价报告中涉及本单位的附表）</w:t>
      </w:r>
    </w:p>
    <w:p>
      <w:pPr>
        <w:shd w:val="clear" w:color="auto" w:fill="FFFFFF"/>
        <w:adjustRightInd/>
        <w:snapToGrid/>
        <w:spacing w:before="100" w:beforeAutospacing="1" w:after="100" w:afterAutospacing="1" w:line="360" w:lineRule="auto"/>
        <w:jc w:val="center"/>
        <w:rPr>
          <w:rFonts w:hint="eastAsia" w:ascii="仿宋" w:hAnsi="仿宋" w:eastAsia="仿宋" w:cs="仿宋"/>
          <w:sz w:val="18"/>
          <w:szCs w:val="18"/>
        </w:rPr>
      </w:pPr>
      <w:r>
        <w:rPr>
          <w:rFonts w:hint="eastAsia" w:ascii="仿宋" w:hAnsi="仿宋" w:eastAsia="仿宋" w:cs="仿宋"/>
          <w:b/>
          <w:bCs/>
          <w:sz w:val="39"/>
        </w:rPr>
        <w:t>第三部分 名词解释</w:t>
      </w:r>
    </w:p>
    <w:p>
      <w:pPr>
        <w:pStyle w:val="8"/>
        <w:shd w:val="clear" w:color="auto" w:fill="FFFFFF"/>
        <w:spacing w:before="108"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1.财政拨款收入：指单位从同级财政部门取得的财政预算资金。</w:t>
      </w:r>
    </w:p>
    <w:p>
      <w:pPr>
        <w:pStyle w:val="8"/>
        <w:shd w:val="clear" w:color="auto" w:fill="FFFFFF"/>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2.事业收入：指事业单位开展专业业务活动及辅助活动取得的收入。如…（二级预算单位事业收入情况）等。</w:t>
      </w:r>
    </w:p>
    <w:p>
      <w:pPr>
        <w:pStyle w:val="8"/>
        <w:shd w:val="clear" w:color="auto" w:fill="FFFFFF"/>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3.经营收入：指事业单位在专业业务活动及其辅助活动之外开展非独立核算经营活动取得的收入。如…（二级预算单位经营收入情况）等。</w:t>
      </w:r>
    </w:p>
    <w:p>
      <w:pPr>
        <w:pStyle w:val="8"/>
        <w:shd w:val="clear" w:color="auto" w:fill="FFFFFF"/>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4.其他收入：指单位取得的除上述收入以外的各项收入。主要是…（收入类型）等。</w:t>
      </w:r>
    </w:p>
    <w:p>
      <w:pPr>
        <w:pStyle w:val="8"/>
        <w:shd w:val="clear" w:color="auto" w:fill="FFFFFF"/>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5.使用非财政拨款结余：指事业单位使用以前年度积累的非财政拨款结余弥补当年收支差额的金额。</w:t>
      </w:r>
    </w:p>
    <w:p>
      <w:pPr>
        <w:pStyle w:val="8"/>
        <w:shd w:val="clear" w:color="auto" w:fill="FFFFFF"/>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6.年初结转和结余：指以前年度尚未完成、结转到本年按有关规定继续使用的资金。</w:t>
      </w:r>
    </w:p>
    <w:p>
      <w:pPr>
        <w:pStyle w:val="8"/>
        <w:shd w:val="clear" w:color="auto" w:fill="FFFFFF"/>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7.结余分配：指事业单位按照会计制度规定缴纳的所得税、提取的专用结余以及转入非财政拨款结余的金额等。</w:t>
      </w:r>
    </w:p>
    <w:p>
      <w:pPr>
        <w:pStyle w:val="8"/>
        <w:shd w:val="clear" w:color="auto" w:fill="FFFFFF"/>
        <w:spacing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8.年末结转和结余：指单位按有关规定结转到下年或以后年度继续使用的资金。</w:t>
      </w:r>
    </w:p>
    <w:p>
      <w:pPr>
        <w:pStyle w:val="18"/>
        <w:spacing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9.一般公共服务支出201：指行政单位未单独设置项级科目的其他项目支出。</w:t>
      </w:r>
    </w:p>
    <w:p>
      <w:pPr>
        <w:pStyle w:val="18"/>
        <w:spacing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10.社会保障和就业208：指反应机关事业单位养老保险、职业年金等缴费支出。</w:t>
      </w:r>
    </w:p>
    <w:p>
      <w:pPr>
        <w:pStyle w:val="18"/>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11.医疗卫生与计划生育210：指反应行政单位医疗方面的支出。</w:t>
      </w:r>
    </w:p>
    <w:p>
      <w:pPr>
        <w:pStyle w:val="18"/>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12.住房保障支出221：指指反映用于保障性住房方面的支出或反映行政事业单位按人力资源和社会保障部、财政部规定的基本工资和津贴补贴以及规定比例为职工缴纳的住房公积金。</w:t>
      </w:r>
    </w:p>
    <w:p>
      <w:pPr>
        <w:pStyle w:val="8"/>
        <w:shd w:val="clear" w:color="auto" w:fill="FFFFFF"/>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13.基本支出：指为保障机构正常运转、完成日常工作任务而发生的人员支出和公用支出。</w:t>
      </w:r>
    </w:p>
    <w:p>
      <w:pPr>
        <w:pStyle w:val="8"/>
        <w:shd w:val="clear" w:color="auto" w:fill="FFFFFF"/>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14.项目支出：指在基本支出之外为完成特定行政任务和事业发展目标所发生的支出。</w:t>
      </w:r>
    </w:p>
    <w:p>
      <w:pPr>
        <w:pStyle w:val="8"/>
        <w:shd w:val="clear" w:color="auto" w:fill="FFFFFF"/>
        <w:spacing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15.经营支出：指事业单位在专业业务活动及其辅助活动之外开展非独立核算经营活动发生的支出。</w:t>
      </w:r>
    </w:p>
    <w:p>
      <w:pPr>
        <w:pStyle w:val="8"/>
        <w:shd w:val="clear" w:color="auto" w:fill="FFFFFF"/>
        <w:spacing w:before="108" w:line="360" w:lineRule="auto"/>
        <w:ind w:firstLine="480" w:firstLineChars="150"/>
        <w:jc w:val="both"/>
        <w:rPr>
          <w:rFonts w:hint="eastAsia" w:ascii="仿宋" w:hAnsi="仿宋" w:eastAsia="仿宋" w:cs="仿宋"/>
          <w:sz w:val="32"/>
          <w:szCs w:val="32"/>
        </w:rPr>
      </w:pPr>
      <w:r>
        <w:rPr>
          <w:rFonts w:hint="eastAsia" w:ascii="仿宋" w:hAnsi="仿宋" w:eastAsia="仿宋" w:cs="仿宋"/>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hd w:val="clear" w:color="auto" w:fill="FFFFFF"/>
        <w:adjustRightInd/>
        <w:snapToGrid/>
        <w:spacing w:before="100" w:beforeAutospacing="1" w:after="100" w:afterAutospacing="1" w:line="360" w:lineRule="auto"/>
        <w:ind w:firstLine="640" w:firstLineChars="200"/>
        <w:rPr>
          <w:rFonts w:hint="eastAsia" w:ascii="仿宋" w:hAnsi="仿宋" w:eastAsia="仿宋" w:cs="仿宋"/>
          <w:sz w:val="18"/>
          <w:szCs w:val="18"/>
        </w:rPr>
      </w:pPr>
      <w:r>
        <w:rPr>
          <w:rFonts w:hint="eastAsia" w:ascii="仿宋" w:hAnsi="仿宋" w:eastAsia="仿宋" w:cs="仿宋"/>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60" w:lineRule="exact"/>
        <w:jc w:val="center"/>
        <w:outlineLvl w:val="0"/>
        <w:rPr>
          <w:rFonts w:hint="eastAsia" w:ascii="方正小标宋简体" w:hAnsi="宋体" w:eastAsia="方正小标宋简体"/>
          <w:sz w:val="44"/>
          <w:szCs w:val="44"/>
        </w:rPr>
      </w:pPr>
    </w:p>
    <w:p>
      <w:pPr>
        <w:widowControl/>
        <w:spacing w:line="560" w:lineRule="exact"/>
        <w:jc w:val="center"/>
        <w:outlineLvl w:val="0"/>
        <w:rPr>
          <w:rFonts w:hint="eastAsia" w:ascii="方正小标宋简体" w:hAnsi="宋体" w:eastAsia="方正小标宋简体"/>
          <w:sz w:val="44"/>
          <w:szCs w:val="44"/>
        </w:rPr>
      </w:pPr>
    </w:p>
    <w:p>
      <w:pPr>
        <w:widowControl/>
        <w:spacing w:line="560" w:lineRule="exact"/>
        <w:jc w:val="center"/>
        <w:outlineLvl w:val="0"/>
        <w:rPr>
          <w:rFonts w:hint="eastAsia" w:ascii="方正小标宋简体" w:hAnsi="宋体" w:eastAsia="方正小标宋简体"/>
          <w:sz w:val="44"/>
          <w:szCs w:val="44"/>
        </w:rPr>
      </w:pPr>
    </w:p>
    <w:p>
      <w:pPr>
        <w:widowControl/>
        <w:spacing w:line="560" w:lineRule="exact"/>
        <w:jc w:val="center"/>
        <w:outlineLvl w:val="0"/>
        <w:rPr>
          <w:rFonts w:hint="eastAsia" w:ascii="方正小标宋简体" w:hAnsi="宋体" w:eastAsia="方正小标宋简体"/>
          <w:sz w:val="44"/>
          <w:szCs w:val="44"/>
        </w:rPr>
      </w:pPr>
    </w:p>
    <w:p>
      <w:pPr>
        <w:widowControl/>
        <w:spacing w:line="560" w:lineRule="exact"/>
        <w:jc w:val="center"/>
        <w:outlineLvl w:val="0"/>
        <w:rPr>
          <w:rFonts w:hint="eastAsia" w:ascii="方正小标宋简体" w:hAnsi="宋体" w:eastAsia="方正小标宋简体"/>
          <w:sz w:val="44"/>
          <w:szCs w:val="44"/>
        </w:rPr>
      </w:pPr>
    </w:p>
    <w:p>
      <w:pPr>
        <w:widowControl/>
        <w:spacing w:line="560" w:lineRule="exact"/>
        <w:jc w:val="both"/>
        <w:outlineLvl w:val="0"/>
        <w:rPr>
          <w:rFonts w:hint="eastAsia" w:ascii="方正小标宋简体" w:hAnsi="宋体" w:eastAsia="方正小标宋简体"/>
          <w:sz w:val="44"/>
          <w:szCs w:val="44"/>
        </w:rPr>
      </w:pPr>
    </w:p>
    <w:p>
      <w:pPr>
        <w:shd w:val="clear" w:color="auto" w:fill="FFFFFF"/>
        <w:adjustRightInd/>
        <w:snapToGrid/>
        <w:spacing w:before="100" w:beforeAutospacing="1" w:after="100" w:afterAutospacing="1"/>
        <w:jc w:val="center"/>
        <w:rPr>
          <w:rFonts w:hint="eastAsia" w:ascii="仿宋" w:hAnsi="仿宋" w:eastAsia="仿宋" w:cs="仿宋"/>
          <w:b/>
          <w:bCs/>
          <w:sz w:val="18"/>
          <w:szCs w:val="18"/>
        </w:rPr>
      </w:pPr>
      <w:r>
        <w:rPr>
          <w:rFonts w:hint="eastAsia" w:ascii="仿宋" w:hAnsi="仿宋" w:eastAsia="仿宋" w:cs="仿宋"/>
          <w:b/>
          <w:bCs/>
          <w:sz w:val="39"/>
        </w:rPr>
        <w:t>第四部分 附件</w:t>
      </w:r>
    </w:p>
    <w:p>
      <w:pPr>
        <w:widowControl/>
        <w:spacing w:line="560" w:lineRule="exact"/>
        <w:jc w:val="center"/>
        <w:outlineLvl w:val="0"/>
        <w:rPr>
          <w:rFonts w:hint="eastAsia" w:ascii="方正小标宋简体" w:hAnsi="宋体" w:eastAsia="方正小标宋简体"/>
          <w:sz w:val="44"/>
          <w:szCs w:val="44"/>
        </w:rPr>
      </w:pPr>
    </w:p>
    <w:p>
      <w:pPr>
        <w:widowControl/>
        <w:spacing w:line="560" w:lineRule="exact"/>
        <w:jc w:val="center"/>
        <w:outlineLvl w:val="0"/>
        <w:rPr>
          <w:rFonts w:ascii="方正小标宋简体" w:hAnsi="宋体" w:eastAsia="方正小标宋简体"/>
          <w:sz w:val="44"/>
          <w:szCs w:val="44"/>
        </w:rPr>
      </w:pPr>
      <w:r>
        <w:rPr>
          <w:rFonts w:hint="eastAsia" w:ascii="方正小标宋简体" w:hAnsi="宋体" w:eastAsia="方正小标宋简体"/>
          <w:sz w:val="44"/>
          <w:szCs w:val="44"/>
        </w:rPr>
        <w:t>红原县审计局</w:t>
      </w:r>
    </w:p>
    <w:p>
      <w:pPr>
        <w:widowControl/>
        <w:spacing w:line="560" w:lineRule="exact"/>
        <w:jc w:val="center"/>
        <w:outlineLvl w:val="0"/>
        <w:rPr>
          <w:rFonts w:ascii="方正小标宋简体" w:hAnsi="宋体" w:eastAsia="方正小标宋简体"/>
          <w:sz w:val="44"/>
          <w:szCs w:val="44"/>
        </w:rPr>
      </w:pPr>
      <w:r>
        <w:rPr>
          <w:rFonts w:ascii="方正小标宋简体" w:hAnsi="宋体" w:eastAsia="方正小标宋简体"/>
          <w:sz w:val="44"/>
          <w:szCs w:val="44"/>
        </w:rPr>
        <w:t>20</w:t>
      </w:r>
      <w:r>
        <w:rPr>
          <w:rFonts w:hint="eastAsia" w:ascii="方正小标宋简体" w:hAnsi="宋体" w:eastAsia="方正小标宋简体"/>
          <w:sz w:val="44"/>
          <w:szCs w:val="44"/>
        </w:rPr>
        <w:t>2</w:t>
      </w:r>
      <w:r>
        <w:rPr>
          <w:rFonts w:hint="eastAsia" w:ascii="方正小标宋简体" w:hAnsi="宋体" w:eastAsia="方正小标宋简体"/>
          <w:sz w:val="44"/>
          <w:szCs w:val="44"/>
          <w:lang w:val="en-US" w:eastAsia="zh-CN"/>
        </w:rPr>
        <w:t>2</w:t>
      </w:r>
      <w:r>
        <w:rPr>
          <w:rFonts w:hint="eastAsia" w:ascii="方正小标宋简体" w:hAnsi="宋体" w:eastAsia="方正小标宋简体"/>
          <w:sz w:val="44"/>
          <w:szCs w:val="44"/>
        </w:rPr>
        <w:t>年部门整体支出绩效报告</w:t>
      </w:r>
    </w:p>
    <w:p>
      <w:pPr>
        <w:widowControl/>
        <w:adjustRightInd w:val="0"/>
        <w:snapToGrid w:val="0"/>
        <w:spacing w:line="560" w:lineRule="exact"/>
        <w:ind w:firstLine="720"/>
        <w:jc w:val="left"/>
        <w:outlineLvl w:val="0"/>
        <w:rPr>
          <w:rFonts w:ascii="黑体" w:hAnsi="宋体" w:eastAsia="黑体" w:cs="宋体"/>
          <w:color w:val="000000"/>
          <w:kern w:val="0"/>
        </w:rPr>
      </w:pP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rPr>
        <w:t>一、</w:t>
      </w:r>
      <w:r>
        <w:rPr>
          <w:rFonts w:hint="eastAsia" w:ascii="仿宋" w:hAnsi="仿宋" w:eastAsia="仿宋"/>
          <w:b/>
          <w:bCs w:val="0"/>
          <w:color w:val="000000"/>
          <w:sz w:val="32"/>
          <w:szCs w:val="32"/>
          <w:lang w:val="zh-CN"/>
        </w:rPr>
        <w:t>部门（单位）概况</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（一）机构组成。</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本部门内设机构</w:t>
      </w:r>
      <w:r>
        <w:rPr>
          <w:rFonts w:hint="eastAsia" w:ascii="仿宋" w:hAnsi="仿宋" w:eastAsia="仿宋"/>
          <w:bCs/>
          <w:color w:val="000000"/>
          <w:sz w:val="32"/>
          <w:szCs w:val="32"/>
        </w:rPr>
        <w:t>5</w:t>
      </w:r>
      <w:r>
        <w:rPr>
          <w:rFonts w:hint="eastAsia" w:ascii="仿宋" w:hAnsi="仿宋" w:eastAsia="仿宋"/>
          <w:bCs/>
          <w:color w:val="000000"/>
          <w:sz w:val="32"/>
          <w:szCs w:val="32"/>
          <w:lang w:val="zh-CN"/>
        </w:rPr>
        <w:t>个，为办公室、</w:t>
      </w:r>
      <w:r>
        <w:rPr>
          <w:rFonts w:hint="eastAsia" w:ascii="仿宋" w:hAnsi="仿宋" w:eastAsia="仿宋"/>
          <w:bCs/>
          <w:color w:val="000000"/>
          <w:sz w:val="32"/>
          <w:szCs w:val="32"/>
        </w:rPr>
        <w:t>审计一室、审计二室、法规复核股、投资审计中心</w:t>
      </w:r>
      <w:r>
        <w:rPr>
          <w:rFonts w:hint="eastAsia" w:ascii="仿宋" w:hAnsi="仿宋" w:eastAsia="仿宋"/>
          <w:bCs/>
          <w:color w:val="000000"/>
          <w:sz w:val="32"/>
          <w:szCs w:val="32"/>
          <w:lang w:val="zh-CN"/>
        </w:rPr>
        <w:t>。</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w:t>
      </w:r>
      <w:r>
        <w:rPr>
          <w:rFonts w:hint="eastAsia" w:ascii="仿宋" w:hAnsi="仿宋" w:eastAsia="仿宋"/>
          <w:b/>
          <w:bCs w:val="0"/>
          <w:color w:val="000000"/>
          <w:sz w:val="32"/>
          <w:szCs w:val="32"/>
        </w:rPr>
        <w:t>二</w:t>
      </w:r>
      <w:r>
        <w:rPr>
          <w:rFonts w:hint="eastAsia" w:ascii="仿宋" w:hAnsi="仿宋" w:eastAsia="仿宋"/>
          <w:b/>
          <w:bCs w:val="0"/>
          <w:color w:val="000000"/>
          <w:sz w:val="32"/>
          <w:szCs w:val="32"/>
          <w:lang w:val="zh-CN"/>
        </w:rPr>
        <w:t>）机构职能。</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 xml:space="preserve"> 1.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有关重大政策措施贯彻落实情况进行跟踪审计。对审计、专项审计调查和核查社会审计机构相关审计报告的结果承担责任,并负有督促被审计单位整改的责任。</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2.贯彻执行国家和省、州、县有关审计工作的方针政策和法律法规。起草审计规范性文件草案。对直接审计、调查和核查的事项依法进行审计评价,做出审计决定或提出审计建议。</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3.向县委审计委员会提出年度预算执行和其他财政支出情况审计报告。向县政府和州审计局提出年度预算执行及其他财政收支情况的审计结果报告。受县政府委托向县人大常委会提出预算执行和其他财政收支情况的审计工作报告、审计查出问题整改情况报告。向县委、县政府报告对其他事项的审计和专项审计调查情况及结果。依法向社会公布审计结果。向县有关部门通报审计情况和审计结果。</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4.直接审计下列事项,出具审计报告,在法定职权范围内做出审计决定,包括国家和省、州、县有关重大政策措施贯彻落实情况。县级预算执行和其他财政收支,县级各部门预算执行情况、决算草案和其他财政收支。使用县级财政资金的事业单位和社会团体的财务收支。县政府投资和以政府投资为主的建设项目的预算执行情况和决算。重大公共工程项目的资金管理使用和建设运营情况。自然资源管理、污染防治和生态保护与修复情况。国有企业和地方金融机构、国有资本占控股或主导地位的企业和金融机构境内外资产、负债和损益,县政府及有关部门驻外非经营性机构的财务收支。有关社会保障基金、社会捐赠资金、安全生产和职业健康财政资金及其他基金、资金的财务收支。国际组织和外国政府援助、贷款项目。法律法规规定的其他事项。</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5.按规定对县管党政主要领导干部及其他单位主要负责人实施经济责任审计和自然资源资产离任审计。</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 xml:space="preserve"> 6.组织实施对国家财经法律法规、规章、政策和宏观调控措施执行情况、财政预算管理及国有资产管理使用等与县级财政收支有关的特定事项进行专项审计调查。</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 xml:space="preserve"> 7.依法检查审计决定执行情况,督促整改审计查出的问题,依法办理被审计单位对审计决定提请行政复议、行政诉讼或县政府裁决中的有关事项,协助配合有关部门查处相关重大案件。</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8.指导和监督内部审计工作,核查社会审计机构对依法属于审计监督对象的单位出具的相关审计报告。</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9.组织开展审计领域内的交流与合作,指导和组织开展信息技术在审计领域的应用。</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10.完成县委、县政府交办的其他任务</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11.职能转变。优化审计工作机制坚持科技强审,完善业务流程,改进工作方式,加强与有关部门的沟通协调,充分调动内部审计和社会审计力量,增强监督合力。</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en-US" w:eastAsia="zh-CN"/>
        </w:rPr>
        <w:t>(三)</w:t>
      </w:r>
      <w:r>
        <w:rPr>
          <w:rFonts w:hint="eastAsia" w:ascii="仿宋" w:hAnsi="仿宋" w:eastAsia="仿宋"/>
          <w:b/>
          <w:bCs w:val="0"/>
          <w:color w:val="000000"/>
          <w:sz w:val="32"/>
          <w:szCs w:val="32"/>
          <w:lang w:val="zh-CN"/>
        </w:rPr>
        <w:t>人员概况。</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rPr>
        <w:t>截止202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年底我单位共有编制16个，其中公务员编制7个，行政工勤编制1个，事业编制8个。在职14人，其中公务员7人，行政工勤0个，事业7人。</w:t>
      </w:r>
    </w:p>
    <w:p>
      <w:pPr>
        <w:spacing w:line="560" w:lineRule="exact"/>
        <w:ind w:firstLine="643" w:firstLineChars="200"/>
        <w:jc w:val="both"/>
        <w:rPr>
          <w:rFonts w:hint="eastAsia" w:ascii="仿宋" w:hAnsi="仿宋" w:eastAsia="仿宋"/>
          <w:b/>
          <w:bCs w:val="0"/>
          <w:color w:val="000000"/>
          <w:sz w:val="32"/>
          <w:szCs w:val="32"/>
        </w:rPr>
      </w:pPr>
      <w:r>
        <w:rPr>
          <w:rFonts w:hint="eastAsia" w:ascii="仿宋" w:hAnsi="仿宋" w:eastAsia="仿宋"/>
          <w:b/>
          <w:bCs w:val="0"/>
          <w:color w:val="000000"/>
          <w:sz w:val="32"/>
          <w:szCs w:val="32"/>
        </w:rPr>
        <w:t>二、部门财政资金收支情况</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（一）部门财政资金收入情况。</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年度单位收入合计</w:t>
      </w:r>
      <w:r>
        <w:rPr>
          <w:rFonts w:hint="eastAsia" w:ascii="仿宋" w:hAnsi="仿宋" w:eastAsia="仿宋"/>
          <w:bCs/>
          <w:color w:val="000000"/>
          <w:sz w:val="32"/>
          <w:szCs w:val="32"/>
          <w:lang w:val="en-US" w:eastAsia="zh-CN"/>
        </w:rPr>
        <w:t>343.22</w:t>
      </w:r>
      <w:r>
        <w:rPr>
          <w:rFonts w:hint="eastAsia" w:ascii="仿宋" w:hAnsi="仿宋" w:eastAsia="仿宋"/>
          <w:bCs/>
          <w:color w:val="000000"/>
          <w:sz w:val="32"/>
          <w:szCs w:val="32"/>
        </w:rPr>
        <w:t>万元，支出合计</w:t>
      </w:r>
      <w:r>
        <w:rPr>
          <w:rFonts w:hint="eastAsia" w:ascii="仿宋" w:hAnsi="仿宋" w:eastAsia="仿宋"/>
          <w:bCs/>
          <w:color w:val="000000"/>
          <w:sz w:val="32"/>
          <w:szCs w:val="32"/>
          <w:lang w:val="en-US" w:eastAsia="zh-CN"/>
        </w:rPr>
        <w:t>343.22</w:t>
      </w:r>
      <w:r>
        <w:rPr>
          <w:rFonts w:hint="eastAsia" w:ascii="仿宋" w:hAnsi="仿宋" w:eastAsia="仿宋"/>
          <w:bCs/>
          <w:color w:val="000000"/>
          <w:sz w:val="32"/>
          <w:szCs w:val="32"/>
        </w:rPr>
        <w:t>万元（其中：基本支出</w:t>
      </w:r>
      <w:r>
        <w:rPr>
          <w:rFonts w:hint="eastAsia" w:ascii="仿宋" w:hAnsi="仿宋" w:eastAsia="仿宋"/>
          <w:bCs/>
          <w:color w:val="000000"/>
          <w:sz w:val="32"/>
          <w:szCs w:val="32"/>
          <w:lang w:val="en-US" w:eastAsia="zh-CN"/>
        </w:rPr>
        <w:t>326.93</w:t>
      </w:r>
      <w:r>
        <w:rPr>
          <w:rFonts w:hint="eastAsia" w:ascii="仿宋" w:hAnsi="仿宋" w:eastAsia="仿宋"/>
          <w:bCs/>
          <w:color w:val="000000"/>
          <w:sz w:val="32"/>
          <w:szCs w:val="32"/>
        </w:rPr>
        <w:t>万元；项目支出</w:t>
      </w:r>
      <w:r>
        <w:rPr>
          <w:rFonts w:hint="eastAsia" w:ascii="仿宋" w:hAnsi="仿宋" w:eastAsia="仿宋"/>
          <w:bCs/>
          <w:color w:val="000000"/>
          <w:sz w:val="32"/>
          <w:szCs w:val="32"/>
          <w:lang w:val="en-US" w:eastAsia="zh-CN"/>
        </w:rPr>
        <w:t>16.29</w:t>
      </w:r>
      <w:r>
        <w:rPr>
          <w:rFonts w:hint="eastAsia" w:ascii="仿宋" w:hAnsi="仿宋" w:eastAsia="仿宋"/>
          <w:bCs/>
          <w:color w:val="000000"/>
          <w:sz w:val="32"/>
          <w:szCs w:val="32"/>
        </w:rPr>
        <w:t>万元），202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lang w:val="zh-CN"/>
        </w:rPr>
        <w:t>年收入年初预算安排</w:t>
      </w:r>
      <w:r>
        <w:rPr>
          <w:rFonts w:hint="eastAsia" w:ascii="仿宋" w:hAnsi="仿宋" w:eastAsia="仿宋"/>
          <w:bCs/>
          <w:color w:val="000000"/>
          <w:sz w:val="32"/>
          <w:szCs w:val="32"/>
          <w:lang w:val="en-US" w:eastAsia="zh-CN"/>
        </w:rPr>
        <w:t>226.85</w:t>
      </w:r>
      <w:r>
        <w:rPr>
          <w:rFonts w:hint="eastAsia" w:ascii="仿宋" w:hAnsi="仿宋" w:eastAsia="仿宋"/>
          <w:bCs/>
          <w:color w:val="000000"/>
          <w:sz w:val="32"/>
          <w:szCs w:val="32"/>
        </w:rPr>
        <w:t>万</w:t>
      </w:r>
      <w:r>
        <w:rPr>
          <w:rFonts w:hint="eastAsia" w:ascii="仿宋" w:hAnsi="仿宋" w:eastAsia="仿宋"/>
          <w:bCs/>
          <w:color w:val="000000"/>
          <w:sz w:val="32"/>
          <w:szCs w:val="32"/>
          <w:lang w:val="zh-CN"/>
        </w:rPr>
        <w:t>元，</w:t>
      </w:r>
      <w:r>
        <w:rPr>
          <w:rFonts w:hint="eastAsia" w:ascii="仿宋" w:hAnsi="仿宋" w:eastAsia="仿宋"/>
          <w:bCs/>
          <w:color w:val="000000"/>
          <w:sz w:val="32"/>
          <w:szCs w:val="32"/>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lang w:val="zh-CN"/>
        </w:rPr>
        <w:t>年支出预算安排</w:t>
      </w:r>
      <w:r>
        <w:rPr>
          <w:rFonts w:hint="eastAsia" w:ascii="仿宋" w:hAnsi="仿宋" w:eastAsia="仿宋"/>
          <w:bCs/>
          <w:color w:val="000000"/>
          <w:sz w:val="32"/>
          <w:szCs w:val="32"/>
          <w:lang w:val="en-US" w:eastAsia="zh-CN"/>
        </w:rPr>
        <w:t>226.85</w:t>
      </w:r>
      <w:r>
        <w:rPr>
          <w:rFonts w:hint="eastAsia" w:ascii="仿宋" w:hAnsi="仿宋" w:eastAsia="仿宋"/>
          <w:bCs/>
          <w:color w:val="000000"/>
          <w:sz w:val="32"/>
          <w:szCs w:val="32"/>
        </w:rPr>
        <w:t>万</w:t>
      </w:r>
      <w:r>
        <w:rPr>
          <w:rFonts w:hint="eastAsia" w:ascii="仿宋" w:hAnsi="仿宋" w:eastAsia="仿宋"/>
          <w:bCs/>
          <w:color w:val="000000"/>
          <w:sz w:val="32"/>
          <w:szCs w:val="32"/>
          <w:lang w:val="zh-CN"/>
        </w:rPr>
        <w:t>元。</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rPr>
        <w:t>（二）</w:t>
      </w:r>
      <w:r>
        <w:rPr>
          <w:rFonts w:hint="eastAsia" w:ascii="仿宋" w:hAnsi="仿宋" w:eastAsia="仿宋"/>
          <w:b/>
          <w:bCs w:val="0"/>
          <w:color w:val="000000"/>
          <w:sz w:val="32"/>
          <w:szCs w:val="32"/>
          <w:lang w:val="zh-CN"/>
        </w:rPr>
        <w:t>部门财政资金支出情况。</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lang w:val="zh-CN"/>
        </w:rPr>
        <w:t>年度单位收入合计</w:t>
      </w:r>
      <w:r>
        <w:rPr>
          <w:rFonts w:hint="eastAsia" w:ascii="仿宋" w:hAnsi="仿宋" w:eastAsia="仿宋"/>
          <w:bCs/>
          <w:color w:val="000000"/>
          <w:sz w:val="32"/>
          <w:szCs w:val="32"/>
          <w:lang w:val="en-US" w:eastAsia="zh-CN"/>
        </w:rPr>
        <w:t>343.22</w:t>
      </w:r>
      <w:r>
        <w:rPr>
          <w:rFonts w:hint="eastAsia" w:ascii="仿宋" w:hAnsi="仿宋" w:eastAsia="仿宋"/>
          <w:bCs/>
          <w:color w:val="000000"/>
          <w:sz w:val="32"/>
          <w:szCs w:val="32"/>
        </w:rPr>
        <w:t>万</w:t>
      </w:r>
      <w:r>
        <w:rPr>
          <w:rFonts w:hint="eastAsia" w:ascii="仿宋" w:hAnsi="仿宋" w:eastAsia="仿宋"/>
          <w:bCs/>
          <w:color w:val="000000"/>
          <w:sz w:val="32"/>
          <w:szCs w:val="32"/>
          <w:lang w:val="zh-CN"/>
        </w:rPr>
        <w:t>元，支出合计</w:t>
      </w:r>
      <w:r>
        <w:rPr>
          <w:rFonts w:hint="eastAsia" w:ascii="仿宋" w:hAnsi="仿宋" w:eastAsia="仿宋"/>
          <w:bCs/>
          <w:color w:val="000000"/>
          <w:sz w:val="32"/>
          <w:szCs w:val="32"/>
          <w:lang w:val="en-US" w:eastAsia="zh-CN"/>
        </w:rPr>
        <w:t>343.22</w:t>
      </w:r>
      <w:r>
        <w:rPr>
          <w:rFonts w:hint="eastAsia" w:ascii="仿宋" w:hAnsi="仿宋" w:eastAsia="仿宋"/>
          <w:bCs/>
          <w:color w:val="000000"/>
          <w:sz w:val="32"/>
          <w:szCs w:val="32"/>
        </w:rPr>
        <w:t>万元</w:t>
      </w:r>
      <w:r>
        <w:rPr>
          <w:rFonts w:hint="eastAsia" w:ascii="仿宋" w:hAnsi="仿宋" w:eastAsia="仿宋"/>
          <w:bCs/>
          <w:color w:val="000000"/>
          <w:sz w:val="32"/>
          <w:szCs w:val="32"/>
          <w:lang w:val="zh-CN"/>
        </w:rPr>
        <w:t>（其中基本支出为</w:t>
      </w:r>
      <w:r>
        <w:rPr>
          <w:rFonts w:hint="eastAsia" w:ascii="仿宋" w:hAnsi="仿宋" w:eastAsia="仿宋"/>
          <w:bCs/>
          <w:color w:val="000000"/>
          <w:sz w:val="32"/>
          <w:szCs w:val="32"/>
          <w:lang w:val="en-US" w:eastAsia="zh-CN"/>
        </w:rPr>
        <w:t>326.93</w:t>
      </w:r>
      <w:r>
        <w:rPr>
          <w:rFonts w:hint="eastAsia" w:ascii="仿宋" w:hAnsi="仿宋" w:eastAsia="仿宋"/>
          <w:bCs/>
          <w:color w:val="000000"/>
          <w:sz w:val="32"/>
          <w:szCs w:val="32"/>
        </w:rPr>
        <w:t>万元</w:t>
      </w:r>
      <w:r>
        <w:rPr>
          <w:rFonts w:hint="eastAsia" w:ascii="仿宋" w:hAnsi="仿宋" w:eastAsia="仿宋"/>
          <w:bCs/>
          <w:color w:val="000000"/>
          <w:sz w:val="32"/>
          <w:szCs w:val="32"/>
          <w:lang w:val="zh-CN"/>
        </w:rPr>
        <w:t>，项目支出为</w:t>
      </w:r>
      <w:r>
        <w:rPr>
          <w:rFonts w:hint="eastAsia" w:ascii="仿宋" w:hAnsi="仿宋" w:eastAsia="仿宋"/>
          <w:bCs/>
          <w:color w:val="000000"/>
          <w:sz w:val="32"/>
          <w:szCs w:val="32"/>
          <w:lang w:val="en-US" w:eastAsia="zh-CN"/>
        </w:rPr>
        <w:t>16.29</w:t>
      </w:r>
      <w:r>
        <w:rPr>
          <w:rFonts w:hint="eastAsia" w:ascii="仿宋" w:hAnsi="仿宋" w:eastAsia="仿宋"/>
          <w:bCs/>
          <w:color w:val="000000"/>
          <w:sz w:val="32"/>
          <w:szCs w:val="32"/>
        </w:rPr>
        <w:t>万</w:t>
      </w:r>
      <w:r>
        <w:rPr>
          <w:rFonts w:hint="eastAsia" w:ascii="仿宋" w:hAnsi="仿宋" w:eastAsia="仿宋"/>
          <w:bCs/>
          <w:color w:val="000000"/>
          <w:sz w:val="32"/>
          <w:szCs w:val="32"/>
          <w:lang w:val="zh-CN"/>
        </w:rPr>
        <w:t>元）</w:t>
      </w:r>
      <w:r>
        <w:rPr>
          <w:rFonts w:hint="eastAsia" w:ascii="仿宋" w:hAnsi="仿宋" w:eastAsia="仿宋"/>
          <w:bCs/>
          <w:color w:val="000000"/>
          <w:sz w:val="32"/>
          <w:szCs w:val="32"/>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lang w:val="zh-CN"/>
        </w:rPr>
        <w:t>年收入年初预算安排</w:t>
      </w:r>
      <w:r>
        <w:rPr>
          <w:rFonts w:hint="eastAsia" w:ascii="仿宋" w:hAnsi="仿宋" w:eastAsia="仿宋"/>
          <w:bCs/>
          <w:color w:val="000000"/>
          <w:sz w:val="32"/>
          <w:szCs w:val="32"/>
          <w:lang w:val="en-US" w:eastAsia="zh-CN"/>
        </w:rPr>
        <w:t>226.85</w:t>
      </w:r>
      <w:r>
        <w:rPr>
          <w:rFonts w:hint="eastAsia" w:ascii="仿宋" w:hAnsi="仿宋" w:eastAsia="仿宋"/>
          <w:bCs/>
          <w:color w:val="000000"/>
          <w:sz w:val="32"/>
          <w:szCs w:val="32"/>
          <w:lang w:val="zh-CN"/>
        </w:rPr>
        <w:t>元，</w:t>
      </w:r>
      <w:r>
        <w:rPr>
          <w:rFonts w:hint="eastAsia" w:ascii="仿宋" w:hAnsi="仿宋" w:eastAsia="仿宋"/>
          <w:bCs/>
          <w:color w:val="000000"/>
          <w:sz w:val="32"/>
          <w:szCs w:val="32"/>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年支出预算</w:t>
      </w:r>
      <w:r>
        <w:rPr>
          <w:rFonts w:hint="eastAsia" w:ascii="仿宋" w:hAnsi="仿宋" w:eastAsia="仿宋"/>
          <w:bCs/>
          <w:color w:val="000000"/>
          <w:sz w:val="32"/>
          <w:szCs w:val="32"/>
          <w:lang w:val="zh-CN"/>
        </w:rPr>
        <w:t>安排</w:t>
      </w:r>
      <w:r>
        <w:rPr>
          <w:rFonts w:hint="eastAsia" w:ascii="仿宋" w:hAnsi="仿宋" w:eastAsia="仿宋"/>
          <w:bCs/>
          <w:color w:val="000000"/>
          <w:sz w:val="32"/>
          <w:szCs w:val="32"/>
          <w:lang w:val="en-US" w:eastAsia="zh-CN"/>
        </w:rPr>
        <w:t>226.85</w:t>
      </w:r>
      <w:r>
        <w:rPr>
          <w:rFonts w:hint="eastAsia" w:ascii="仿宋" w:hAnsi="仿宋" w:eastAsia="仿宋"/>
          <w:bCs/>
          <w:color w:val="000000"/>
          <w:sz w:val="32"/>
          <w:szCs w:val="32"/>
        </w:rPr>
        <w:t>万</w:t>
      </w:r>
      <w:r>
        <w:rPr>
          <w:rFonts w:hint="eastAsia" w:ascii="仿宋" w:hAnsi="仿宋" w:eastAsia="仿宋"/>
          <w:bCs/>
          <w:color w:val="000000"/>
          <w:sz w:val="32"/>
          <w:szCs w:val="32"/>
          <w:lang w:val="zh-CN"/>
        </w:rPr>
        <w:t>元。</w:t>
      </w:r>
    </w:p>
    <w:p>
      <w:pPr>
        <w:spacing w:line="560" w:lineRule="exact"/>
        <w:ind w:firstLine="643" w:firstLineChars="200"/>
        <w:jc w:val="both"/>
        <w:rPr>
          <w:rFonts w:hint="eastAsia" w:ascii="仿宋" w:hAnsi="仿宋" w:eastAsia="仿宋"/>
          <w:b/>
          <w:bCs w:val="0"/>
          <w:color w:val="000000"/>
          <w:sz w:val="32"/>
          <w:szCs w:val="32"/>
        </w:rPr>
      </w:pPr>
      <w:r>
        <w:rPr>
          <w:rFonts w:hint="eastAsia" w:ascii="仿宋" w:hAnsi="仿宋" w:eastAsia="仿宋"/>
          <w:b/>
          <w:bCs w:val="0"/>
          <w:color w:val="000000"/>
          <w:sz w:val="32"/>
          <w:szCs w:val="32"/>
        </w:rPr>
        <w:t>三、部门整体预算绩效管理情况</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（一）预算编制情况。</w:t>
      </w:r>
    </w:p>
    <w:p>
      <w:pPr>
        <w:spacing w:line="560" w:lineRule="exact"/>
        <w:ind w:firstLine="640" w:firstLineChars="200"/>
        <w:jc w:val="both"/>
        <w:rPr>
          <w:rFonts w:hint="eastAsia" w:ascii="仿宋" w:hAnsi="仿宋" w:eastAsia="仿宋"/>
          <w:bCs/>
          <w:color w:val="000000"/>
          <w:sz w:val="32"/>
          <w:szCs w:val="32"/>
        </w:rPr>
      </w:pPr>
      <w:r>
        <w:rPr>
          <w:rFonts w:hint="eastAsia" w:ascii="仿宋" w:hAnsi="仿宋" w:eastAsia="仿宋"/>
          <w:bCs/>
          <w:color w:val="000000"/>
          <w:sz w:val="32"/>
          <w:szCs w:val="32"/>
          <w:lang w:val="zh-CN"/>
        </w:rPr>
        <w:t>我单位严格执行新的《预算法》，切实按照中央八项规定、省委九项规定，坚决执行财经和财务规章制度，合法依规编制预算。根据项目实际情况填报目标绩效。</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（二）执行管理情况。</w:t>
      </w:r>
      <w:r>
        <w:rPr>
          <w:rFonts w:hint="eastAsia" w:ascii="仿宋" w:hAnsi="仿宋" w:eastAsia="仿宋"/>
          <w:b/>
          <w:bCs w:val="0"/>
          <w:color w:val="000000"/>
          <w:sz w:val="32"/>
          <w:szCs w:val="32"/>
          <w:lang w:val="zh-CN"/>
        </w:rPr>
        <w:tab/>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20</w:t>
      </w:r>
      <w:r>
        <w:rPr>
          <w:rFonts w:hint="eastAsia" w:ascii="仿宋" w:hAnsi="仿宋" w:eastAsia="仿宋"/>
          <w:bCs/>
          <w:color w:val="000000"/>
          <w:sz w:val="32"/>
          <w:szCs w:val="32"/>
        </w:rPr>
        <w:t>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lang w:val="zh-CN"/>
        </w:rPr>
        <w:t>年度“三公”经费财政拨款支出决算中，因公出国（境）费支出决算0万元；公务用车购置及运行维护费支出决算</w:t>
      </w:r>
      <w:r>
        <w:rPr>
          <w:rFonts w:hint="eastAsia" w:ascii="仿宋" w:hAnsi="仿宋" w:eastAsia="仿宋"/>
          <w:bCs/>
          <w:color w:val="000000"/>
          <w:sz w:val="32"/>
          <w:szCs w:val="32"/>
          <w:lang w:val="en-US" w:eastAsia="zh-CN"/>
        </w:rPr>
        <w:t>4.46</w:t>
      </w:r>
      <w:r>
        <w:rPr>
          <w:rFonts w:hint="eastAsia" w:ascii="仿宋" w:hAnsi="仿宋" w:eastAsia="仿宋"/>
          <w:bCs/>
          <w:color w:val="000000"/>
          <w:sz w:val="32"/>
          <w:szCs w:val="32"/>
          <w:lang w:val="zh-CN"/>
        </w:rPr>
        <w:t>万元，占</w:t>
      </w:r>
      <w:r>
        <w:rPr>
          <w:rFonts w:hint="eastAsia" w:ascii="仿宋" w:hAnsi="仿宋" w:eastAsia="仿宋"/>
          <w:bCs/>
          <w:color w:val="000000"/>
          <w:sz w:val="32"/>
          <w:szCs w:val="32"/>
          <w:lang w:val="en-US" w:eastAsia="zh-CN"/>
        </w:rPr>
        <w:t>96.5</w:t>
      </w:r>
      <w:r>
        <w:rPr>
          <w:rFonts w:hint="eastAsia" w:ascii="仿宋" w:hAnsi="仿宋" w:eastAsia="仿宋"/>
          <w:bCs/>
          <w:color w:val="000000"/>
          <w:sz w:val="32"/>
          <w:szCs w:val="32"/>
          <w:lang w:val="zh-CN"/>
        </w:rPr>
        <w:t>%；公务接待费支出决算</w:t>
      </w:r>
      <w:r>
        <w:rPr>
          <w:rFonts w:hint="eastAsia" w:ascii="仿宋" w:hAnsi="仿宋" w:eastAsia="仿宋"/>
          <w:bCs/>
          <w:color w:val="000000"/>
          <w:sz w:val="32"/>
          <w:szCs w:val="32"/>
          <w:lang w:val="en-US" w:eastAsia="zh-CN"/>
        </w:rPr>
        <w:t>0.16</w:t>
      </w:r>
      <w:r>
        <w:rPr>
          <w:rFonts w:hint="eastAsia" w:ascii="仿宋" w:hAnsi="仿宋" w:eastAsia="仿宋"/>
          <w:bCs/>
          <w:color w:val="000000"/>
          <w:sz w:val="32"/>
          <w:szCs w:val="32"/>
          <w:lang w:val="zh-CN"/>
        </w:rPr>
        <w:t>万元，占</w:t>
      </w:r>
      <w:r>
        <w:rPr>
          <w:rFonts w:hint="eastAsia" w:ascii="仿宋" w:hAnsi="仿宋" w:eastAsia="仿宋"/>
          <w:bCs/>
          <w:color w:val="000000"/>
          <w:sz w:val="32"/>
          <w:szCs w:val="32"/>
          <w:lang w:val="en-US" w:eastAsia="zh-CN"/>
        </w:rPr>
        <w:t>3.5</w:t>
      </w:r>
      <w:r>
        <w:rPr>
          <w:rFonts w:hint="eastAsia" w:ascii="仿宋" w:hAnsi="仿宋" w:eastAsia="仿宋"/>
          <w:bCs/>
          <w:color w:val="000000"/>
          <w:sz w:val="32"/>
          <w:szCs w:val="32"/>
          <w:lang w:val="zh-CN"/>
        </w:rPr>
        <w:t>%。</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lang w:val="zh-CN"/>
        </w:rPr>
        <w:t>年度“三公”经费财政拨款预算中，因公出国（境）费支出决算0万元；公务用车购置及运行维护费支出预算</w:t>
      </w:r>
      <w:r>
        <w:rPr>
          <w:rFonts w:hint="eastAsia" w:ascii="仿宋" w:hAnsi="仿宋" w:eastAsia="仿宋"/>
          <w:bCs/>
          <w:color w:val="000000"/>
          <w:sz w:val="32"/>
          <w:szCs w:val="32"/>
          <w:lang w:val="en-US" w:eastAsia="zh-CN"/>
        </w:rPr>
        <w:t>4.46</w:t>
      </w:r>
      <w:r>
        <w:rPr>
          <w:rFonts w:hint="eastAsia" w:ascii="仿宋" w:hAnsi="仿宋" w:eastAsia="仿宋"/>
          <w:bCs/>
          <w:color w:val="000000"/>
          <w:sz w:val="32"/>
          <w:szCs w:val="32"/>
          <w:lang w:val="zh-CN"/>
        </w:rPr>
        <w:t>万元，占</w:t>
      </w:r>
      <w:r>
        <w:rPr>
          <w:rFonts w:hint="eastAsia" w:ascii="仿宋" w:hAnsi="仿宋" w:eastAsia="仿宋"/>
          <w:bCs/>
          <w:color w:val="000000"/>
          <w:sz w:val="32"/>
          <w:szCs w:val="32"/>
          <w:lang w:val="en-US" w:eastAsia="zh-CN"/>
        </w:rPr>
        <w:t>96.5</w:t>
      </w:r>
      <w:r>
        <w:rPr>
          <w:rFonts w:hint="eastAsia" w:ascii="仿宋" w:hAnsi="仿宋" w:eastAsia="仿宋"/>
          <w:bCs/>
          <w:color w:val="000000"/>
          <w:sz w:val="32"/>
          <w:szCs w:val="32"/>
          <w:lang w:val="zh-CN"/>
        </w:rPr>
        <w:t>%；公务接待费支出预算</w:t>
      </w:r>
      <w:r>
        <w:rPr>
          <w:rFonts w:hint="eastAsia" w:ascii="仿宋" w:hAnsi="仿宋" w:eastAsia="仿宋"/>
          <w:bCs/>
          <w:color w:val="000000"/>
          <w:sz w:val="32"/>
          <w:szCs w:val="32"/>
          <w:lang w:val="en-US" w:eastAsia="zh-CN"/>
        </w:rPr>
        <w:t>0.16</w:t>
      </w:r>
      <w:r>
        <w:rPr>
          <w:rFonts w:hint="eastAsia" w:ascii="仿宋" w:hAnsi="仿宋" w:eastAsia="仿宋"/>
          <w:bCs/>
          <w:color w:val="000000"/>
          <w:sz w:val="32"/>
          <w:szCs w:val="32"/>
          <w:lang w:val="zh-CN"/>
        </w:rPr>
        <w:t>万元，占</w:t>
      </w:r>
      <w:r>
        <w:rPr>
          <w:rFonts w:hint="eastAsia" w:ascii="仿宋" w:hAnsi="仿宋" w:eastAsia="仿宋"/>
          <w:bCs/>
          <w:color w:val="000000"/>
          <w:sz w:val="32"/>
          <w:szCs w:val="32"/>
          <w:lang w:val="en-US" w:eastAsia="zh-CN"/>
        </w:rPr>
        <w:t>3.5</w:t>
      </w:r>
      <w:r>
        <w:rPr>
          <w:rFonts w:hint="eastAsia" w:ascii="仿宋" w:hAnsi="仿宋" w:eastAsia="仿宋"/>
          <w:bCs/>
          <w:color w:val="000000"/>
          <w:sz w:val="32"/>
          <w:szCs w:val="32"/>
          <w:lang w:val="zh-CN"/>
        </w:rPr>
        <w:t>%。</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（三）综合管理情况。</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20</w:t>
      </w:r>
      <w:r>
        <w:rPr>
          <w:rFonts w:hint="eastAsia" w:ascii="仿宋" w:hAnsi="仿宋" w:eastAsia="仿宋"/>
          <w:bCs/>
          <w:color w:val="000000"/>
          <w:sz w:val="32"/>
          <w:szCs w:val="32"/>
        </w:rPr>
        <w:t>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lang w:val="zh-CN"/>
        </w:rPr>
        <w:t>年我单位严格执行新的《预算法》，切实按照中央八项规定、省委九项规定，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并按相关规定及时进行预算公开。</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（四）整体绩效。</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20</w:t>
      </w:r>
      <w:r>
        <w:rPr>
          <w:rFonts w:hint="eastAsia" w:ascii="仿宋" w:hAnsi="仿宋" w:eastAsia="仿宋"/>
          <w:bCs/>
          <w:color w:val="000000"/>
          <w:sz w:val="32"/>
          <w:szCs w:val="32"/>
        </w:rPr>
        <w:t>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lang w:val="zh-CN"/>
        </w:rPr>
        <w:t>年度我单位年初根据工作规划和重点工作规划，围绕全面建成小康社会的发展蓝图，积极履行职责，强化本单位预算管理，较好地完成了年初工作目标。财政预算安排在很大程度上保障了本单位基本支出及公用经费支出的正常工作运转。预算安排的项目支出也是非常必要的。财政预算安排大大提财政资金的使用效率，财政资金的安全性得到了有效保障，我们在执行预算过程中是严格按照财政各项制度规定来办理，单位在项目资金的使用上也是安全的。通过加强预算收支管理，不断建立健全内部管理制度，梳理内部管理流程。部门整体预算支出管理情况得到提升，主要体现在以下几方面：一是本年预算配置控制较好。财政供养人员控制在预算编制以内，编制内在职人员控制率为100%；“三公经费”控制在年初预算以内；二是预算执行情况控制较好。支出总额控制在年初预算总额以内，本年部门预算完成率达到了100%，未进行预算相关事项的调整，预算控制良好。三是预算管理较为理想。由于严格执行财政相关法律、法规的规定，我单位的预算管理工作取得了较好的成绩，全年人员经费支出、日常用公用经费支出的控制率均达到了100%。</w:t>
      </w:r>
    </w:p>
    <w:p>
      <w:pPr>
        <w:spacing w:line="560" w:lineRule="exact"/>
        <w:ind w:firstLine="643" w:firstLineChars="200"/>
        <w:jc w:val="both"/>
        <w:rPr>
          <w:rFonts w:hint="eastAsia" w:ascii="仿宋" w:hAnsi="仿宋" w:eastAsia="仿宋"/>
          <w:b/>
          <w:bCs w:val="0"/>
          <w:color w:val="000000"/>
          <w:sz w:val="32"/>
          <w:szCs w:val="32"/>
        </w:rPr>
      </w:pPr>
      <w:r>
        <w:rPr>
          <w:rFonts w:hint="eastAsia" w:ascii="仿宋" w:hAnsi="仿宋" w:eastAsia="仿宋"/>
          <w:b/>
          <w:bCs w:val="0"/>
          <w:color w:val="000000"/>
          <w:sz w:val="32"/>
          <w:szCs w:val="32"/>
        </w:rPr>
        <w:t>四、评价结论及建议</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（一）评价结论。</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20</w:t>
      </w:r>
      <w:r>
        <w:rPr>
          <w:rFonts w:hint="eastAsia" w:ascii="仿宋" w:hAnsi="仿宋" w:eastAsia="仿宋"/>
          <w:bCs/>
          <w:color w:val="000000"/>
          <w:sz w:val="32"/>
          <w:szCs w:val="32"/>
        </w:rPr>
        <w:t>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lang w:val="zh-CN"/>
        </w:rPr>
        <w:t>年结合我局职能职责以及相关预算安排，较好地完成了年初工作目标。</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w:t>
      </w:r>
      <w:r>
        <w:rPr>
          <w:rFonts w:hint="eastAsia" w:ascii="仿宋" w:hAnsi="仿宋" w:eastAsia="仿宋"/>
          <w:b/>
          <w:bCs w:val="0"/>
          <w:color w:val="000000"/>
          <w:sz w:val="32"/>
          <w:szCs w:val="32"/>
        </w:rPr>
        <w:t>二</w:t>
      </w:r>
      <w:r>
        <w:rPr>
          <w:rFonts w:hint="eastAsia" w:ascii="仿宋" w:hAnsi="仿宋" w:eastAsia="仿宋"/>
          <w:b/>
          <w:bCs w:val="0"/>
          <w:color w:val="000000"/>
          <w:sz w:val="32"/>
          <w:szCs w:val="32"/>
          <w:lang w:val="zh-CN"/>
        </w:rPr>
        <w:t>）存在问题。</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1、预算编制欠严谨</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预算编制欠全面，项目有临时追加不够完整、细化。</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2、预算执行存在偏差</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在实际经费列支中，未严格按照预算科目进行列支，部分基本支出挤占了项目支出。</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3、会计核算欠规范</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经费支出核算过程中，部分存在部分大额办公支出无明细、发票内容填写不规范等现象。</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（三）改进建议。</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1、科学合理编制预算，严格执行预算</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spacing w:line="560" w:lineRule="exact"/>
        <w:ind w:firstLine="643" w:firstLineChars="200"/>
        <w:jc w:val="both"/>
        <w:rPr>
          <w:rFonts w:hint="eastAsia" w:ascii="仿宋" w:hAnsi="仿宋" w:eastAsia="仿宋"/>
          <w:b/>
          <w:bCs w:val="0"/>
          <w:color w:val="000000"/>
          <w:sz w:val="32"/>
          <w:szCs w:val="32"/>
          <w:lang w:val="zh-CN"/>
        </w:rPr>
      </w:pPr>
      <w:r>
        <w:rPr>
          <w:rFonts w:hint="eastAsia" w:ascii="仿宋" w:hAnsi="仿宋" w:eastAsia="仿宋"/>
          <w:b/>
          <w:bCs w:val="0"/>
          <w:color w:val="000000"/>
          <w:sz w:val="32"/>
          <w:szCs w:val="32"/>
          <w:lang w:val="zh-CN"/>
        </w:rPr>
        <w:t>2、规范账务处理，提高财务信息质量</w:t>
      </w:r>
    </w:p>
    <w:p>
      <w:pPr>
        <w:spacing w:line="560" w:lineRule="exact"/>
        <w:ind w:firstLine="640" w:firstLineChars="200"/>
        <w:jc w:val="both"/>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严格按照《会计法》、《行政单位会计制度》、《行政单位财务规则》等规定，结合实际情况，科学设置支出科目，规范财务核算，完整披露相关信息。</w:t>
      </w:r>
    </w:p>
    <w:p>
      <w:pPr>
        <w:bidi w:val="0"/>
        <w:jc w:val="left"/>
        <w:rPr>
          <w:rFonts w:hint="eastAsia"/>
          <w:lang w:val="zh-CN" w:eastAsia="zh-CN"/>
        </w:rPr>
      </w:pPr>
    </w:p>
    <w:p>
      <w:pPr>
        <w:spacing w:line="560" w:lineRule="exact"/>
        <w:ind w:left="6078" w:leftChars="290" w:hanging="5440" w:hangingChars="1700"/>
        <w:jc w:val="both"/>
        <w:rPr>
          <w:rFonts w:hint="eastAsia" w:ascii="仿宋" w:hAnsi="仿宋" w:eastAsia="仿宋"/>
          <w:bCs/>
          <w:color w:val="000000"/>
          <w:sz w:val="32"/>
          <w:szCs w:val="32"/>
          <w:lang w:val="zh-CN"/>
        </w:rPr>
      </w:pPr>
      <w:r>
        <w:rPr>
          <w:rFonts w:hint="eastAsia" w:ascii="仿宋" w:hAnsi="仿宋" w:eastAsia="仿宋"/>
          <w:bCs/>
          <w:color w:val="000000"/>
          <w:sz w:val="32"/>
          <w:szCs w:val="32"/>
        </w:rPr>
        <w:t xml:space="preserve">                            </w:t>
      </w:r>
      <w:r>
        <w:rPr>
          <w:rFonts w:hint="eastAsia" w:ascii="仿宋" w:hAnsi="仿宋" w:eastAsia="仿宋"/>
          <w:bCs/>
          <w:color w:val="000000"/>
          <w:sz w:val="32"/>
          <w:szCs w:val="32"/>
          <w:lang w:val="en-US" w:eastAsia="zh-CN"/>
        </w:rPr>
        <w:t xml:space="preserve">                      </w:t>
      </w:r>
      <w:r>
        <w:rPr>
          <w:rFonts w:hint="eastAsia" w:ascii="仿宋" w:hAnsi="仿宋" w:eastAsia="仿宋"/>
          <w:bCs/>
          <w:color w:val="000000"/>
          <w:sz w:val="32"/>
          <w:szCs w:val="32"/>
          <w:lang w:val="zh-CN"/>
        </w:rPr>
        <w:t>红原县审计局</w:t>
      </w:r>
    </w:p>
    <w:p>
      <w:pPr>
        <w:spacing w:line="560" w:lineRule="exact"/>
        <w:ind w:firstLine="5760" w:firstLineChars="1800"/>
        <w:jc w:val="both"/>
        <w:rPr>
          <w:rFonts w:hint="eastAsia" w:ascii="仿宋_GB2312" w:hAnsi="仿宋_GB2312" w:cs="仿宋_GB2312"/>
          <w:color w:val="000000"/>
          <w:kern w:val="0"/>
          <w:lang w:val="zh-CN"/>
        </w:rPr>
      </w:pPr>
      <w:r>
        <w:rPr>
          <w:rFonts w:hint="eastAsia" w:ascii="仿宋" w:hAnsi="仿宋" w:eastAsia="仿宋"/>
          <w:bCs/>
          <w:color w:val="000000"/>
          <w:sz w:val="32"/>
          <w:szCs w:val="32"/>
          <w:lang w:val="zh-CN"/>
        </w:rPr>
        <w:t>202</w:t>
      </w: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lang w:val="zh-CN"/>
        </w:rPr>
        <w:t>年</w:t>
      </w: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lang w:val="zh-CN"/>
        </w:rPr>
        <w:t>月</w:t>
      </w: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lang w:val="zh-CN"/>
        </w:rPr>
        <w:t>日</w:t>
      </w:r>
    </w:p>
    <w:p>
      <w:pPr>
        <w:pStyle w:val="2"/>
        <w:ind w:left="0" w:leftChars="0" w:firstLine="0" w:firstLineChars="0"/>
        <w:rPr>
          <w:lang w:val="zh-CN"/>
        </w:rPr>
      </w:pPr>
    </w:p>
    <w:p>
      <w:pPr>
        <w:shd w:val="clear" w:color="auto" w:fill="FFFFFF"/>
        <w:adjustRightInd/>
        <w:snapToGrid/>
        <w:spacing w:before="100" w:beforeAutospacing="1" w:after="100" w:afterAutospacing="1"/>
        <w:jc w:val="center"/>
        <w:rPr>
          <w:rFonts w:ascii="宋体" w:hAnsi="宋体" w:eastAsia="宋体" w:cs="宋体"/>
          <w:sz w:val="18"/>
          <w:szCs w:val="18"/>
        </w:rPr>
      </w:pPr>
      <w:r>
        <w:rPr>
          <w:rFonts w:hint="eastAsia" w:ascii="宋体" w:hAnsi="宋体" w:eastAsia="宋体" w:cs="宋体"/>
          <w:b/>
          <w:bCs/>
          <w:sz w:val="39"/>
        </w:rPr>
        <w:t>第五部分 附表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一、收入支出决算总表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二、收入决算表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三、支出决算表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四、财政拨款收入支出决算总表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五、财政拨款支出决算明细表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六、一般公共预算财政拨款支出决算表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七、一般公共预算财政拨款支出决算明细表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八、一般公共预算财政拨款基本支出决算表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九、一般公共预算财政拨款项目支出决算表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十、一般公共预算财政拨款“三公”经费支出决算表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十一、政府性基金预算财政拨款收入支出决算表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十二、政府性基金预算财政拨款“三公”经费支出决算表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十三、国有资本经营预算财政拨款收入支出决算表</w:t>
      </w:r>
    </w:p>
    <w:p>
      <w:pPr>
        <w:shd w:val="clear" w:color="auto" w:fill="FFFFFF"/>
        <w:adjustRightInd/>
        <w:snapToGrid/>
        <w:spacing w:before="100" w:beforeAutospacing="1" w:after="100" w:afterAutospacing="1"/>
        <w:outlineLvl w:val="1"/>
        <w:rPr>
          <w:rFonts w:ascii="宋体" w:hAnsi="宋体" w:eastAsia="宋体" w:cs="宋体"/>
          <w:b/>
          <w:bCs/>
          <w:sz w:val="36"/>
          <w:szCs w:val="36"/>
        </w:rPr>
      </w:pPr>
      <w:r>
        <w:rPr>
          <w:rFonts w:hint="eastAsia" w:ascii="宋体" w:hAnsi="宋体" w:eastAsia="宋体" w:cs="宋体"/>
          <w:b/>
          <w:bCs/>
          <w:sz w:val="36"/>
          <w:szCs w:val="36"/>
        </w:rPr>
        <w:t>十四、国有资本经营预算财政拨款支出决算表</w:t>
      </w:r>
    </w:p>
    <w:p>
      <w:pPr>
        <w:spacing w:line="220" w:lineRule="atLeast"/>
      </w:pPr>
    </w:p>
    <w:p>
      <w:pPr>
        <w:spacing w:line="220" w:lineRule="atLeast"/>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612CEA"/>
    <w:multiLevelType w:val="multilevel"/>
    <w:tmpl w:val="51612CEA"/>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2"/>
  </w:compat>
  <w:docVars>
    <w:docVar w:name="commondata" w:val="eyJoZGlkIjoiM2NkMDVlYmMxMWUzNGJlZThkOGVlZTUzNmRjMDIyZGEifQ=="/>
  </w:docVars>
  <w:rsids>
    <w:rsidRoot w:val="00D31D50"/>
    <w:rsid w:val="00192B26"/>
    <w:rsid w:val="001A1003"/>
    <w:rsid w:val="00200369"/>
    <w:rsid w:val="00233EFB"/>
    <w:rsid w:val="00236883"/>
    <w:rsid w:val="00254A14"/>
    <w:rsid w:val="002A698D"/>
    <w:rsid w:val="002E7C10"/>
    <w:rsid w:val="00310D89"/>
    <w:rsid w:val="00323B43"/>
    <w:rsid w:val="00340352"/>
    <w:rsid w:val="003D37D8"/>
    <w:rsid w:val="00426133"/>
    <w:rsid w:val="004358AB"/>
    <w:rsid w:val="00633A15"/>
    <w:rsid w:val="006403FC"/>
    <w:rsid w:val="0067062A"/>
    <w:rsid w:val="006755CC"/>
    <w:rsid w:val="006A7BC2"/>
    <w:rsid w:val="006F25E2"/>
    <w:rsid w:val="007332CD"/>
    <w:rsid w:val="008B7726"/>
    <w:rsid w:val="009013FD"/>
    <w:rsid w:val="009130C5"/>
    <w:rsid w:val="009433D4"/>
    <w:rsid w:val="009B5B29"/>
    <w:rsid w:val="009C0F82"/>
    <w:rsid w:val="009E0740"/>
    <w:rsid w:val="00B500C1"/>
    <w:rsid w:val="00B73837"/>
    <w:rsid w:val="00B82DA2"/>
    <w:rsid w:val="00C40DE7"/>
    <w:rsid w:val="00D31D50"/>
    <w:rsid w:val="00D46A09"/>
    <w:rsid w:val="014632E9"/>
    <w:rsid w:val="0A93759F"/>
    <w:rsid w:val="0D2D5812"/>
    <w:rsid w:val="0EA93052"/>
    <w:rsid w:val="114F1B46"/>
    <w:rsid w:val="166167A3"/>
    <w:rsid w:val="18117C51"/>
    <w:rsid w:val="1B75356E"/>
    <w:rsid w:val="1B9273FE"/>
    <w:rsid w:val="212C3E51"/>
    <w:rsid w:val="22AE0FC2"/>
    <w:rsid w:val="25635DEF"/>
    <w:rsid w:val="269E134D"/>
    <w:rsid w:val="2A8A56CE"/>
    <w:rsid w:val="2AB303AA"/>
    <w:rsid w:val="30AD6A75"/>
    <w:rsid w:val="31927FA1"/>
    <w:rsid w:val="32024E86"/>
    <w:rsid w:val="327B48CA"/>
    <w:rsid w:val="33C8486B"/>
    <w:rsid w:val="37782F78"/>
    <w:rsid w:val="3B485932"/>
    <w:rsid w:val="3FA7706D"/>
    <w:rsid w:val="414C3A28"/>
    <w:rsid w:val="437077FC"/>
    <w:rsid w:val="46326F64"/>
    <w:rsid w:val="49A32653"/>
    <w:rsid w:val="4E402B66"/>
    <w:rsid w:val="53EC554F"/>
    <w:rsid w:val="5A9D7231"/>
    <w:rsid w:val="5D192F00"/>
    <w:rsid w:val="5DFE5C52"/>
    <w:rsid w:val="60D83984"/>
    <w:rsid w:val="616A73E8"/>
    <w:rsid w:val="641C79F0"/>
    <w:rsid w:val="65FE7137"/>
    <w:rsid w:val="67ED7463"/>
    <w:rsid w:val="683056D1"/>
    <w:rsid w:val="690E575F"/>
    <w:rsid w:val="69112CDD"/>
    <w:rsid w:val="6D350F65"/>
    <w:rsid w:val="72181581"/>
    <w:rsid w:val="73647201"/>
    <w:rsid w:val="76F2657E"/>
    <w:rsid w:val="7AB83858"/>
    <w:rsid w:val="7D9156FB"/>
    <w:rsid w:val="7DE26869"/>
    <w:rsid w:val="7F473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13"/>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paragraph" w:styleId="4">
    <w:name w:val="heading 2"/>
    <w:basedOn w:val="1"/>
    <w:next w:val="1"/>
    <w:link w:val="14"/>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5">
    <w:name w:val="Body Text"/>
    <w:basedOn w:val="1"/>
    <w:link w:val="12"/>
    <w:unhideWhenUsed/>
    <w:uiPriority w:val="99"/>
    <w:pPr>
      <w:widowControl w:val="0"/>
      <w:adjustRightInd/>
      <w:snapToGrid/>
      <w:spacing w:beforeLines="30" w:after="0"/>
      <w:jc w:val="both"/>
    </w:pPr>
    <w:rPr>
      <w:rFonts w:ascii="Times New Roman" w:hAnsi="Times New Roman" w:eastAsia="宋体" w:cs="Times New Roman"/>
      <w:sz w:val="30"/>
      <w:szCs w:val="24"/>
    </w:rPr>
  </w:style>
  <w:style w:type="paragraph" w:styleId="6">
    <w:name w:val="footer"/>
    <w:basedOn w:val="1"/>
    <w:link w:val="16"/>
    <w:semiHidden/>
    <w:unhideWhenUsed/>
    <w:uiPriority w:val="99"/>
    <w:pPr>
      <w:tabs>
        <w:tab w:val="center" w:pos="4153"/>
        <w:tab w:val="right" w:pos="8306"/>
      </w:tabs>
    </w:pPr>
    <w:rPr>
      <w:sz w:val="18"/>
      <w:szCs w:val="18"/>
    </w:rPr>
  </w:style>
  <w:style w:type="paragraph" w:styleId="7">
    <w:name w:val="header"/>
    <w:basedOn w:val="1"/>
    <w:link w:val="15"/>
    <w:semiHidden/>
    <w:unhideWhenUsed/>
    <w:uiPriority w:val="99"/>
    <w:pPr>
      <w:pBdr>
        <w:bottom w:val="single" w:color="auto" w:sz="6" w:space="1"/>
      </w:pBdr>
      <w:tabs>
        <w:tab w:val="center" w:pos="4153"/>
        <w:tab w:val="right" w:pos="8306"/>
      </w:tabs>
      <w:jc w:val="center"/>
    </w:pPr>
    <w:rPr>
      <w:sz w:val="18"/>
      <w:szCs w:val="18"/>
    </w:rPr>
  </w:style>
  <w:style w:type="paragraph" w:styleId="8">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character" w:styleId="11">
    <w:name w:val="Strong"/>
    <w:basedOn w:val="10"/>
    <w:qFormat/>
    <w:uiPriority w:val="22"/>
    <w:rPr>
      <w:b/>
      <w:bCs/>
    </w:rPr>
  </w:style>
  <w:style w:type="character" w:customStyle="1" w:styleId="12">
    <w:name w:val="正文文本 Char"/>
    <w:basedOn w:val="10"/>
    <w:link w:val="5"/>
    <w:qFormat/>
    <w:uiPriority w:val="99"/>
    <w:rPr>
      <w:rFonts w:ascii="Times New Roman" w:hAnsi="Times New Roman" w:eastAsia="宋体" w:cs="Times New Roman"/>
      <w:sz w:val="30"/>
      <w:szCs w:val="24"/>
    </w:rPr>
  </w:style>
  <w:style w:type="character" w:customStyle="1" w:styleId="13">
    <w:name w:val="标题 1 Char"/>
    <w:basedOn w:val="10"/>
    <w:link w:val="3"/>
    <w:qFormat/>
    <w:uiPriority w:val="9"/>
    <w:rPr>
      <w:rFonts w:ascii="宋体" w:hAnsi="宋体" w:eastAsia="宋体" w:cs="宋体"/>
      <w:b/>
      <w:bCs/>
      <w:kern w:val="36"/>
      <w:sz w:val="48"/>
      <w:szCs w:val="48"/>
    </w:rPr>
  </w:style>
  <w:style w:type="character" w:customStyle="1" w:styleId="14">
    <w:name w:val="标题 2 Char"/>
    <w:basedOn w:val="10"/>
    <w:link w:val="4"/>
    <w:qFormat/>
    <w:uiPriority w:val="9"/>
    <w:rPr>
      <w:rFonts w:ascii="宋体" w:hAnsi="宋体" w:eastAsia="宋体" w:cs="宋体"/>
      <w:b/>
      <w:bCs/>
      <w:sz w:val="36"/>
      <w:szCs w:val="36"/>
    </w:rPr>
  </w:style>
  <w:style w:type="character" w:customStyle="1" w:styleId="15">
    <w:name w:val="页眉 Char"/>
    <w:basedOn w:val="10"/>
    <w:link w:val="7"/>
    <w:semiHidden/>
    <w:qFormat/>
    <w:uiPriority w:val="99"/>
    <w:rPr>
      <w:rFonts w:ascii="Tahoma" w:hAnsi="Tahoma"/>
      <w:sz w:val="18"/>
      <w:szCs w:val="18"/>
    </w:rPr>
  </w:style>
  <w:style w:type="character" w:customStyle="1" w:styleId="16">
    <w:name w:val="页脚 Char"/>
    <w:basedOn w:val="10"/>
    <w:link w:val="6"/>
    <w:semiHidden/>
    <w:qFormat/>
    <w:uiPriority w:val="99"/>
    <w:rPr>
      <w:rFonts w:ascii="Tahoma" w:hAnsi="Tahoma"/>
      <w:sz w:val="18"/>
      <w:szCs w:val="18"/>
    </w:rPr>
  </w:style>
  <w:style w:type="paragraph" w:styleId="17">
    <w:name w:val="List Paragraph"/>
    <w:basedOn w:val="1"/>
    <w:qFormat/>
    <w:uiPriority w:val="34"/>
    <w:pPr>
      <w:ind w:firstLine="420" w:firstLineChars="200"/>
    </w:pPr>
  </w:style>
  <w:style w:type="paragraph" w:customStyle="1" w:styleId="18">
    <w:name w:val="Default"/>
    <w:semiHidden/>
    <w:qFormat/>
    <w:uiPriority w:val="99"/>
    <w:pPr>
      <w:widowControl w:val="0"/>
      <w:autoSpaceDE w:val="0"/>
      <w:autoSpaceDN w:val="0"/>
      <w:adjustRightInd w:val="0"/>
      <w:spacing w:after="0" w:line="240" w:lineRule="auto"/>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30869251143752"/>
          <c:y val="0.0456140350877193"/>
          <c:w val="0.80074644835059"/>
          <c:h val="0.845820433436532"/>
        </c:manualLayout>
      </c:layout>
      <c:barChart>
        <c:barDir val="col"/>
        <c:grouping val="clustered"/>
        <c:varyColors val="0"/>
        <c:ser>
          <c:idx val="0"/>
          <c:order val="0"/>
          <c:tx>
            <c:strRef>
              <c:f>Sheet1!$B$1</c:f>
              <c:strCache>
                <c:ptCount val="1"/>
                <c:pt idx="0">
                  <c:v>收入</c:v>
                </c:pt>
              </c:strCache>
            </c:strRef>
          </c:tx>
          <c:invertIfNegative val="0"/>
          <c:dLbls>
            <c:delete val="1"/>
          </c:dLbls>
          <c:cat>
            <c:strRef>
              <c:f>Sheet1!$A$2:$A$3</c:f>
              <c:strCache>
                <c:ptCount val="2"/>
                <c:pt idx="0">
                  <c:v>2022年</c:v>
                </c:pt>
                <c:pt idx="1">
                  <c:v>2021年</c:v>
                </c:pt>
              </c:strCache>
            </c:strRef>
          </c:cat>
          <c:val>
            <c:numRef>
              <c:f>Sheet1!$B$2:$B$3</c:f>
              <c:numCache>
                <c:formatCode>General</c:formatCode>
                <c:ptCount val="2"/>
                <c:pt idx="0">
                  <c:v>344.77</c:v>
                </c:pt>
                <c:pt idx="1">
                  <c:v>331.66</c:v>
                </c:pt>
              </c:numCache>
            </c:numRef>
          </c:val>
        </c:ser>
        <c:ser>
          <c:idx val="1"/>
          <c:order val="1"/>
          <c:tx>
            <c:strRef>
              <c:f>Sheet1!$C$1</c:f>
              <c:strCache>
                <c:ptCount val="1"/>
                <c:pt idx="0">
                  <c:v>支出</c:v>
                </c:pt>
              </c:strCache>
            </c:strRef>
          </c:tx>
          <c:invertIfNegative val="0"/>
          <c:dLbls>
            <c:delete val="1"/>
          </c:dLbls>
          <c:cat>
            <c:strRef>
              <c:f>Sheet1!$A$2:$A$3</c:f>
              <c:strCache>
                <c:ptCount val="2"/>
                <c:pt idx="0">
                  <c:v>2022年</c:v>
                </c:pt>
                <c:pt idx="1">
                  <c:v>2021年</c:v>
                </c:pt>
              </c:strCache>
            </c:strRef>
          </c:cat>
          <c:val>
            <c:numRef>
              <c:f>Sheet1!$C$2:$C$3</c:f>
              <c:numCache>
                <c:formatCode>General</c:formatCode>
                <c:ptCount val="2"/>
                <c:pt idx="0">
                  <c:v>344.77</c:v>
                </c:pt>
                <c:pt idx="1">
                  <c:v>331.66</c:v>
                </c:pt>
              </c:numCache>
            </c:numRef>
          </c:val>
        </c:ser>
        <c:dLbls>
          <c:showLegendKey val="0"/>
          <c:showVal val="0"/>
          <c:showCatName val="0"/>
          <c:showSerName val="0"/>
          <c:showPercent val="0"/>
          <c:showBubbleSize val="0"/>
        </c:dLbls>
        <c:gapWidth val="150"/>
        <c:axId val="56776192"/>
        <c:axId val="56777728"/>
      </c:barChart>
      <c:catAx>
        <c:axId val="5677619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777728"/>
        <c:crosses val="autoZero"/>
        <c:auto val="1"/>
        <c:lblAlgn val="ctr"/>
        <c:lblOffset val="100"/>
        <c:noMultiLvlLbl val="0"/>
      </c:catAx>
      <c:valAx>
        <c:axId val="567777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7761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收入决算情况</c:v>
                </c:pt>
              </c:strCache>
            </c:strRef>
          </c:tx>
          <c:explosion val="0"/>
          <c:dPt>
            <c:idx val="0"/>
            <c:bubble3D val="0"/>
          </c:dPt>
          <c:dPt>
            <c:idx val="1"/>
            <c:bubble3D val="0"/>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326</c:v>
                </c:pt>
                <c:pt idx="1">
                  <c:v>5.66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本年支出</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Sheet1!$B$2:$B$3</c:f>
              <c:numCache>
                <c:formatCode>General</c:formatCode>
                <c:ptCount val="2"/>
                <c:pt idx="0">
                  <c:v>313.79</c:v>
                </c:pt>
                <c:pt idx="1">
                  <c:v>17.87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delete val="1"/>
          </c:dLbls>
          <c:cat>
            <c:strRef>
              <c:f>Sheet1!$A$2:$A$3</c:f>
              <c:strCache>
                <c:ptCount val="2"/>
                <c:pt idx="0">
                  <c:v>2022年</c:v>
                </c:pt>
                <c:pt idx="1">
                  <c:v>2021年</c:v>
                </c:pt>
              </c:strCache>
            </c:strRef>
          </c:cat>
          <c:val>
            <c:numRef>
              <c:f>Sheet1!$B$2:$B$3</c:f>
              <c:numCache>
                <c:formatCode>General</c:formatCode>
                <c:ptCount val="2"/>
                <c:pt idx="0">
                  <c:v>343.22</c:v>
                </c:pt>
                <c:pt idx="1">
                  <c:v>326</c:v>
                </c:pt>
              </c:numCache>
            </c:numRef>
          </c:val>
        </c:ser>
        <c:ser>
          <c:idx val="1"/>
          <c:order val="1"/>
          <c:tx>
            <c:strRef>
              <c:f>Sheet1!$C$1</c:f>
              <c:strCache>
                <c:ptCount val="1"/>
                <c:pt idx="0">
                  <c:v>支出</c:v>
                </c:pt>
              </c:strCache>
            </c:strRef>
          </c:tx>
          <c:invertIfNegative val="0"/>
          <c:dLbls>
            <c:delete val="1"/>
          </c:dLbls>
          <c:cat>
            <c:strRef>
              <c:f>Sheet1!$A$2:$A$3</c:f>
              <c:strCache>
                <c:ptCount val="2"/>
                <c:pt idx="0">
                  <c:v>2022年</c:v>
                </c:pt>
                <c:pt idx="1">
                  <c:v>2021年</c:v>
                </c:pt>
              </c:strCache>
            </c:strRef>
          </c:cat>
          <c:val>
            <c:numRef>
              <c:f>Sheet1!$C$2:$C$3</c:f>
              <c:numCache>
                <c:formatCode>General</c:formatCode>
                <c:ptCount val="2"/>
                <c:pt idx="0">
                  <c:v>343.22</c:v>
                </c:pt>
                <c:pt idx="1">
                  <c:v>326</c:v>
                </c:pt>
              </c:numCache>
            </c:numRef>
          </c:val>
        </c:ser>
        <c:dLbls>
          <c:showLegendKey val="0"/>
          <c:showVal val="0"/>
          <c:showCatName val="0"/>
          <c:showSerName val="0"/>
          <c:showPercent val="0"/>
          <c:showBubbleSize val="0"/>
        </c:dLbls>
        <c:gapWidth val="150"/>
        <c:axId val="75522048"/>
        <c:axId val="75523584"/>
      </c:barChart>
      <c:catAx>
        <c:axId val="7552204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5523584"/>
        <c:crosses val="autoZero"/>
        <c:auto val="1"/>
        <c:lblAlgn val="ctr"/>
        <c:lblOffset val="100"/>
        <c:noMultiLvlLbl val="0"/>
      </c:catAx>
      <c:valAx>
        <c:axId val="755235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55220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343.22</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326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48152643"/>
        <c:axId val="533158783"/>
      </c:barChart>
      <c:catAx>
        <c:axId val="54815264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3158783"/>
        <c:crosses val="autoZero"/>
        <c:auto val="1"/>
        <c:lblAlgn val="ctr"/>
        <c:lblOffset val="100"/>
        <c:noMultiLvlLbl val="0"/>
      </c:catAx>
      <c:valAx>
        <c:axId val="53315878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815264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一般公共财政预算拨款支出</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一般公共服务支出</c:v>
                </c:pt>
                <c:pt idx="1">
                  <c:v>社会保障和就业</c:v>
                </c:pt>
                <c:pt idx="2">
                  <c:v>卫生健康支出</c:v>
                </c:pt>
                <c:pt idx="3">
                  <c:v>住房保障支出</c:v>
                </c:pt>
              </c:strCache>
            </c:strRef>
          </c:cat>
          <c:val>
            <c:numRef>
              <c:f>Sheet1!$B$2:$B$5</c:f>
              <c:numCache>
                <c:formatCode>General</c:formatCode>
                <c:ptCount val="4"/>
                <c:pt idx="0">
                  <c:v>256.36</c:v>
                </c:pt>
                <c:pt idx="1">
                  <c:v>33.67</c:v>
                </c:pt>
                <c:pt idx="2">
                  <c:v>14.48</c:v>
                </c:pt>
                <c:pt idx="3">
                  <c:v>21.49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“三公”经费决算情况</c:v>
                </c:pt>
              </c:strCache>
            </c:strRef>
          </c:tx>
          <c:explosion val="0"/>
          <c:dPt>
            <c:idx val="0"/>
            <c:bubble3D val="0"/>
          </c:dPt>
          <c:dPt>
            <c:idx val="1"/>
            <c:bubble3D val="0"/>
          </c:dPt>
          <c:dLbls>
            <c:delete val="1"/>
          </c:dLbls>
          <c:cat>
            <c:strRef>
              <c:f>Sheet1!$A$2:$A$3</c:f>
              <c:strCache>
                <c:ptCount val="2"/>
                <c:pt idx="0">
                  <c:v>公务用车运行维护费</c:v>
                </c:pt>
                <c:pt idx="1">
                  <c:v>公务接待费</c:v>
                </c:pt>
              </c:strCache>
            </c:strRef>
          </c:cat>
          <c:val>
            <c:numRef>
              <c:f>Sheet1!$B$2:$B$3</c:f>
              <c:numCache>
                <c:formatCode>General</c:formatCode>
                <c:ptCount val="2"/>
                <c:pt idx="0">
                  <c:v>1.39</c:v>
                </c:pt>
                <c:pt idx="1">
                  <c:v>0.23</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1485</Words>
  <Characters>8468</Characters>
  <Lines>70</Lines>
  <Paragraphs>19</Paragraphs>
  <TotalTime>3</TotalTime>
  <ScaleCrop>false</ScaleCrop>
  <LinksUpToDate>false</LinksUpToDate>
  <CharactersWithSpaces>9934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2023-11-03T03:00:12Z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F29157FC911B4E4CB0D6EFA455B52CB1_12</vt:lpwstr>
  </property>
</Properties>
</file>