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eastAsia="方正小标宋简体"/>
          <w:sz w:val="72"/>
          <w:szCs w:val="72"/>
        </w:rPr>
      </w:pPr>
      <w:bookmarkStart w:id="0" w:name="_Toc15306267"/>
    </w:p>
    <w:p>
      <w:pPr>
        <w:spacing w:line="600" w:lineRule="exact"/>
        <w:jc w:val="center"/>
        <w:outlineLvl w:val="0"/>
        <w:rPr>
          <w:rFonts w:ascii="方正小标宋简体" w:eastAsia="方正小标宋简体"/>
          <w:sz w:val="72"/>
          <w:szCs w:val="72"/>
        </w:rPr>
      </w:pPr>
    </w:p>
    <w:p>
      <w:pPr>
        <w:spacing w:line="600" w:lineRule="exact"/>
        <w:jc w:val="center"/>
        <w:outlineLvl w:val="0"/>
        <w:rPr>
          <w:rFonts w:ascii="方正小标宋简体" w:eastAsia="方正小标宋简体"/>
          <w:sz w:val="72"/>
          <w:szCs w:val="72"/>
        </w:rPr>
      </w:pPr>
    </w:p>
    <w:p>
      <w:pPr>
        <w:spacing w:line="600" w:lineRule="exact"/>
        <w:jc w:val="center"/>
        <w:outlineLvl w:val="0"/>
        <w:rPr>
          <w:rFonts w:ascii="方正小标宋简体" w:eastAsia="方正小标宋简体"/>
          <w:sz w:val="72"/>
          <w:szCs w:val="72"/>
        </w:rPr>
      </w:pPr>
    </w:p>
    <w:p>
      <w:pPr>
        <w:adjustRightInd w:val="0"/>
        <w:snapToGrid w:val="0"/>
        <w:spacing w:line="360" w:lineRule="auto"/>
        <w:jc w:val="center"/>
        <w:outlineLvl w:val="0"/>
        <w:rPr>
          <w:rFonts w:ascii="方正小标宋简体" w:eastAsia="方正小标宋简体" w:cs="方正小标宋简体"/>
          <w:sz w:val="72"/>
          <w:szCs w:val="72"/>
        </w:rPr>
      </w:pPr>
      <w:bookmarkStart w:id="1" w:name="_Toc15377425"/>
      <w:bookmarkStart w:id="2" w:name="_Toc15377193"/>
      <w:bookmarkStart w:id="3" w:name="_Toc15378441"/>
      <w:bookmarkStart w:id="4" w:name="_Toc15396597"/>
      <w:bookmarkStart w:id="5" w:name="_Toc15396475"/>
      <w:r>
        <w:rPr>
          <w:rFonts w:hint="eastAsia" w:ascii="方正小标宋简体" w:eastAsia="方正小标宋简体" w:cs="方正小标宋简体"/>
          <w:sz w:val="72"/>
          <w:szCs w:val="72"/>
        </w:rPr>
        <w:t>202</w:t>
      </w:r>
      <w:r>
        <w:rPr>
          <w:rFonts w:hint="eastAsia" w:ascii="方正小标宋简体" w:eastAsia="方正小标宋简体" w:cs="方正小标宋简体"/>
          <w:sz w:val="72"/>
          <w:szCs w:val="72"/>
          <w:lang w:val="en-US" w:eastAsia="zh-CN"/>
        </w:rPr>
        <w:t>2</w:t>
      </w:r>
      <w:r>
        <w:rPr>
          <w:rFonts w:hint="eastAsia" w:ascii="方正小标宋简体" w:eastAsia="方正小标宋简体" w:cs="方正小标宋简体"/>
          <w:sz w:val="72"/>
          <w:szCs w:val="72"/>
        </w:rPr>
        <w:t>年度</w:t>
      </w:r>
      <w:bookmarkEnd w:id="1"/>
      <w:bookmarkEnd w:id="2"/>
      <w:bookmarkEnd w:id="3"/>
      <w:bookmarkEnd w:id="4"/>
      <w:bookmarkEnd w:id="5"/>
    </w:p>
    <w:p>
      <w:pPr>
        <w:pStyle w:val="31"/>
        <w:keepNext w:val="0"/>
        <w:keepLines w:val="0"/>
        <w:widowControl/>
        <w:suppressLineNumbers w:val="0"/>
        <w:spacing w:before="0" w:beforeAutospacing="0"/>
        <w:ind w:left="0"/>
        <w:jc w:val="center"/>
        <w:rPr>
          <w:rFonts w:hint="eastAsia" w:ascii="方正小标宋简体" w:eastAsia="方正小标宋简体" w:cs="方正小标宋简体"/>
          <w:sz w:val="72"/>
          <w:szCs w:val="72"/>
        </w:rPr>
      </w:pPr>
      <w:bookmarkStart w:id="6" w:name="_Toc15377426"/>
      <w:bookmarkStart w:id="7" w:name="_Toc15377194"/>
      <w:bookmarkStart w:id="8" w:name="_Toc15378442"/>
      <w:bookmarkStart w:id="9" w:name="_Toc15396598"/>
      <w:bookmarkStart w:id="10" w:name="_Toc15396476"/>
      <w:r>
        <w:rPr>
          <w:rFonts w:ascii="方正小标宋简体" w:eastAsia="方正小标宋简体" w:cs="方正小标宋简体"/>
          <w:sz w:val="72"/>
          <w:szCs w:val="72"/>
        </w:rPr>
        <w:t>阿坝州</w:t>
      </w:r>
      <w:bookmarkEnd w:id="0"/>
      <w:bookmarkStart w:id="11" w:name="_Toc15306268"/>
      <w:r>
        <w:rPr>
          <w:rFonts w:hint="eastAsia" w:ascii="方正小标宋简体" w:eastAsia="方正小标宋简体" w:cs="方正小标宋简体"/>
          <w:sz w:val="72"/>
          <w:szCs w:val="72"/>
        </w:rPr>
        <w:t>红原县人民医院</w:t>
      </w:r>
    </w:p>
    <w:p>
      <w:pPr>
        <w:pStyle w:val="31"/>
        <w:keepNext w:val="0"/>
        <w:keepLines w:val="0"/>
        <w:widowControl/>
        <w:suppressLineNumbers w:val="0"/>
        <w:spacing w:before="0" w:beforeAutospacing="0"/>
        <w:ind w:left="0"/>
        <w:jc w:val="center"/>
        <w:rPr>
          <w:rFonts w:hint="default" w:ascii="方正小标宋简体" w:eastAsia="方正小标宋简体" w:cs="方正小标宋简体"/>
          <w:sz w:val="72"/>
          <w:szCs w:val="72"/>
          <w:lang w:val="en-US" w:eastAsia="zh-CN"/>
        </w:rPr>
      </w:pPr>
      <w:r>
        <w:rPr>
          <w:rFonts w:hint="eastAsia" w:ascii="方正小标宋简体" w:eastAsia="方正小标宋简体" w:cs="方正小标宋简体"/>
          <w:sz w:val="72"/>
          <w:szCs w:val="72"/>
          <w:lang w:val="en-US" w:eastAsia="zh-CN"/>
        </w:rPr>
        <w:t>单位</w:t>
      </w:r>
      <w:r>
        <w:rPr>
          <w:rFonts w:hint="eastAsia" w:ascii="方正小标宋简体" w:eastAsia="方正小标宋简体" w:cs="方正小标宋简体"/>
          <w:sz w:val="72"/>
          <w:szCs w:val="72"/>
        </w:rPr>
        <w:t>决算公开</w:t>
      </w:r>
      <w:r>
        <w:rPr>
          <w:rFonts w:hint="eastAsia" w:ascii="方正小标宋简体" w:eastAsia="方正小标宋简体" w:cs="方正小标宋简体"/>
          <w:sz w:val="72"/>
          <w:szCs w:val="72"/>
          <w:lang w:val="en-US" w:eastAsia="zh-CN"/>
        </w:rPr>
        <w:t>编制说明</w:t>
      </w:r>
    </w:p>
    <w:bookmarkEnd w:id="6"/>
    <w:bookmarkEnd w:id="7"/>
    <w:bookmarkEnd w:id="8"/>
    <w:bookmarkEnd w:id="9"/>
    <w:bookmarkEnd w:id="10"/>
    <w:bookmarkEnd w:id="11"/>
    <w:p>
      <w:pPr>
        <w:pStyle w:val="8"/>
        <w:spacing w:before="93"/>
      </w:pPr>
    </w:p>
    <w:p>
      <w:pPr>
        <w:pStyle w:val="8"/>
        <w:spacing w:before="93"/>
      </w:pPr>
    </w:p>
    <w:p>
      <w:pPr>
        <w:pStyle w:val="8"/>
        <w:spacing w:before="93"/>
      </w:pPr>
    </w:p>
    <w:p>
      <w:pPr>
        <w:pStyle w:val="8"/>
        <w:spacing w:before="93"/>
      </w:pPr>
    </w:p>
    <w:p>
      <w:pPr>
        <w:pStyle w:val="8"/>
        <w:spacing w:before="93"/>
      </w:pPr>
    </w:p>
    <w:p>
      <w:pPr>
        <w:pStyle w:val="8"/>
        <w:spacing w:before="93"/>
      </w:pPr>
    </w:p>
    <w:p>
      <w:pPr>
        <w:pStyle w:val="8"/>
        <w:spacing w:before="93"/>
      </w:pPr>
    </w:p>
    <w:p>
      <w:pPr>
        <w:pStyle w:val="8"/>
        <w:spacing w:before="93"/>
        <w:jc w:val="center"/>
        <w:rPr>
          <w:rFonts w:hint="eastAsia"/>
        </w:rPr>
      </w:pPr>
      <w:bookmarkStart w:id="12" w:name="_Hlk113547609"/>
      <w:r>
        <w:rPr>
          <w:rFonts w:hint="eastAsia" w:cs="仿宋_GB2312"/>
          <w:sz w:val="32"/>
          <w:szCs w:val="32"/>
        </w:rPr>
        <w:t>已经保密审查、内容审定，同意对外公开</w:t>
      </w:r>
      <w:bookmarkEnd w:id="12"/>
    </w:p>
    <w:p>
      <w:pPr>
        <w:widowControl/>
        <w:jc w:val="center"/>
        <w:rPr>
          <w:rFonts w:hint="eastAsia" w:ascii="黑体" w:eastAsia="黑体"/>
          <w:sz w:val="48"/>
          <w:szCs w:val="48"/>
        </w:rPr>
        <w:sectPr>
          <w:footerReference r:id="rId5" w:type="first"/>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pPr>
    </w:p>
    <w:p>
      <w:pPr>
        <w:widowControl/>
        <w:jc w:val="center"/>
        <w:rPr>
          <w:rFonts w:ascii="黑体" w:eastAsia="黑体"/>
          <w:sz w:val="48"/>
          <w:szCs w:val="48"/>
        </w:rPr>
      </w:pPr>
      <w:r>
        <w:rPr>
          <w:rFonts w:hint="eastAsia" w:ascii="黑体" w:eastAsia="黑体"/>
          <w:sz w:val="48"/>
          <w:szCs w:val="48"/>
        </w:rPr>
        <w:t>目录</w:t>
      </w:r>
    </w:p>
    <w:p>
      <w:pPr>
        <w:widowControl/>
        <w:jc w:val="center"/>
        <w:rPr>
          <w:rFonts w:ascii="黑体" w:eastAsia="黑体" w:cs="Arial"/>
          <w:sz w:val="28"/>
          <w:szCs w:val="28"/>
        </w:rPr>
      </w:pPr>
    </w:p>
    <w:p>
      <w:pPr>
        <w:pStyle w:val="15"/>
      </w:pPr>
      <w:r>
        <w:rPr>
          <w:rFonts w:hint="eastAsia"/>
        </w:rPr>
        <w:t>公开时间：202</w:t>
      </w:r>
      <w:r>
        <w:rPr>
          <w:rFonts w:hint="eastAsia"/>
          <w:lang w:val="en-US" w:eastAsia="zh-CN"/>
        </w:rPr>
        <w:t>3</w:t>
      </w:r>
      <w:r>
        <w:rPr>
          <w:rFonts w:hint="eastAsia"/>
        </w:rPr>
        <w:t>年</w:t>
      </w:r>
      <w:r>
        <w:rPr>
          <w:rFonts w:hint="eastAsia"/>
          <w:lang w:val="en-US" w:eastAsia="zh-CN"/>
        </w:rPr>
        <w:t>11</w:t>
      </w:r>
      <w:r>
        <w:rPr>
          <w:rFonts w:hint="eastAsia"/>
        </w:rPr>
        <w:t>月</w:t>
      </w:r>
      <w:r>
        <w:rPr>
          <w:rFonts w:hint="eastAsia"/>
          <w:lang w:val="en-US" w:eastAsia="zh-CN"/>
        </w:rPr>
        <w:t>3</w:t>
      </w:r>
      <w:r>
        <w:rPr>
          <w:rFonts w:hint="eastAsia"/>
        </w:rPr>
        <w:t>日</w:t>
      </w:r>
    </w:p>
    <w:p/>
    <w:p>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第一部分 单位概况</w:t>
      </w:r>
      <w:r>
        <w:rPr>
          <w:rFonts w:hint="eastAsia" w:ascii="仿宋" w:hAnsi="仿宋" w:eastAsia="仿宋" w:cs="仿宋"/>
          <w:sz w:val="24"/>
          <w:szCs w:val="24"/>
          <w:lang w:val="en-US" w:eastAsia="zh-CN"/>
        </w:rPr>
        <w:t>.....................................</w:t>
      </w:r>
      <w:r>
        <w:rPr>
          <w:rFonts w:hint="eastAsia" w:ascii="仿宋" w:hAnsi="仿宋" w:eastAsia="仿宋" w:cs="仿宋"/>
          <w:kern w:val="0"/>
          <w:sz w:val="24"/>
          <w:szCs w:val="24"/>
          <w:shd w:val="clear" w:color="auto" w:fill="FFFFFF"/>
          <w:lang w:val="en-US" w:eastAsia="zh-CN" w:bidi="ar"/>
        </w:rPr>
        <w:t>...4</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一、</w:t>
      </w:r>
      <w:r>
        <w:rPr>
          <w:rFonts w:hint="eastAsia" w:ascii="仿宋" w:hAnsi="仿宋" w:eastAsia="仿宋" w:cs="仿宋"/>
          <w:sz w:val="24"/>
          <w:szCs w:val="24"/>
          <w:lang w:val="en-US" w:eastAsia="zh-CN"/>
        </w:rPr>
        <w:t>机构设置情况</w:t>
      </w:r>
      <w:r>
        <w:rPr>
          <w:rFonts w:hint="eastAsia" w:ascii="仿宋" w:hAnsi="仿宋" w:eastAsia="仿宋" w:cs="仿宋"/>
          <w:kern w:val="0"/>
          <w:sz w:val="24"/>
          <w:szCs w:val="24"/>
          <w:shd w:val="clear" w:color="auto" w:fill="FFFFFF"/>
          <w:lang w:val="en-US" w:eastAsia="zh-CN" w:bidi="ar"/>
        </w:rPr>
        <w:t>......................................4</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二、职能简介</w:t>
      </w:r>
      <w:r>
        <w:rPr>
          <w:rFonts w:hint="eastAsia" w:ascii="仿宋" w:hAnsi="仿宋" w:eastAsia="仿宋" w:cs="仿宋"/>
          <w:kern w:val="0"/>
          <w:sz w:val="24"/>
          <w:szCs w:val="24"/>
          <w:shd w:val="clear" w:color="auto" w:fill="FFFFFF"/>
          <w:lang w:val="en-US" w:eastAsia="zh-CN" w:bidi="ar"/>
        </w:rPr>
        <w:t>..........................................4</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lang w:val="en-US" w:eastAsia="zh-CN"/>
        </w:rPr>
        <w:t>三</w:t>
      </w: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年重点工作完成情况</w:t>
      </w:r>
      <w:r>
        <w:rPr>
          <w:rFonts w:hint="eastAsia" w:ascii="仿宋" w:hAnsi="仿宋" w:eastAsia="仿宋" w:cs="仿宋"/>
          <w:kern w:val="0"/>
          <w:sz w:val="24"/>
          <w:szCs w:val="24"/>
          <w:shd w:val="clear" w:color="auto" w:fill="FFFFFF"/>
          <w:lang w:val="en-US" w:eastAsia="zh-CN" w:bidi="ar"/>
        </w:rPr>
        <w:t>...........................4</w:t>
      </w:r>
    </w:p>
    <w:p>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仿宋" w:hAnsi="仿宋" w:eastAsia="仿宋" w:cs="仿宋"/>
          <w:sz w:val="24"/>
          <w:szCs w:val="24"/>
          <w:lang w:val="en-US"/>
        </w:rPr>
      </w:pPr>
      <w:r>
        <w:rPr>
          <w:rFonts w:hint="eastAsia" w:ascii="仿宋" w:hAnsi="仿宋" w:eastAsia="仿宋" w:cs="仿宋"/>
          <w:sz w:val="24"/>
          <w:szCs w:val="24"/>
        </w:rPr>
        <w:t>第二部分 2021年度单位决算情况说明</w:t>
      </w:r>
      <w:r>
        <w:rPr>
          <w:rFonts w:hint="eastAsia" w:ascii="仿宋" w:hAnsi="仿宋" w:eastAsia="仿宋" w:cs="仿宋"/>
          <w:kern w:val="0"/>
          <w:sz w:val="24"/>
          <w:szCs w:val="24"/>
          <w:shd w:val="clear" w:color="auto" w:fill="FFFFFF"/>
          <w:lang w:val="en-US" w:eastAsia="zh-CN" w:bidi="ar"/>
        </w:rPr>
        <w:t>........................8</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一、收入支出决算总体情况说明</w:t>
      </w:r>
      <w:r>
        <w:rPr>
          <w:rFonts w:hint="eastAsia" w:ascii="仿宋" w:hAnsi="仿宋" w:eastAsia="仿宋" w:cs="仿宋"/>
          <w:kern w:val="0"/>
          <w:sz w:val="24"/>
          <w:szCs w:val="24"/>
          <w:shd w:val="clear" w:color="auto" w:fill="FFFFFF"/>
          <w:lang w:val="en-US" w:eastAsia="zh-CN" w:bidi="ar"/>
        </w:rPr>
        <w:t>..........................8</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二、收入决算情况说明</w:t>
      </w:r>
      <w:r>
        <w:rPr>
          <w:rFonts w:hint="eastAsia" w:ascii="仿宋" w:hAnsi="仿宋" w:eastAsia="仿宋" w:cs="仿宋"/>
          <w:kern w:val="0"/>
          <w:sz w:val="24"/>
          <w:szCs w:val="24"/>
          <w:shd w:val="clear" w:color="auto" w:fill="FFFFFF"/>
          <w:lang w:val="en-US" w:eastAsia="zh-CN" w:bidi="ar"/>
        </w:rPr>
        <w:t>..................................9</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三、支出决算情况说明</w:t>
      </w:r>
      <w:r>
        <w:rPr>
          <w:rFonts w:hint="eastAsia" w:ascii="仿宋" w:hAnsi="仿宋" w:eastAsia="仿宋" w:cs="仿宋"/>
          <w:kern w:val="0"/>
          <w:sz w:val="24"/>
          <w:szCs w:val="24"/>
          <w:shd w:val="clear" w:color="auto" w:fill="FFFFFF"/>
          <w:lang w:val="en-US" w:eastAsia="zh-CN" w:bidi="ar"/>
        </w:rPr>
        <w:t>..................................9</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四、财政拨款收入支出决算总体情况说明</w:t>
      </w:r>
      <w:r>
        <w:rPr>
          <w:rFonts w:hint="eastAsia" w:ascii="仿宋" w:hAnsi="仿宋" w:eastAsia="仿宋" w:cs="仿宋"/>
          <w:kern w:val="0"/>
          <w:sz w:val="24"/>
          <w:szCs w:val="24"/>
          <w:shd w:val="clear" w:color="auto" w:fill="FFFFFF"/>
          <w:lang w:val="en-US" w:eastAsia="zh-CN" w:bidi="ar"/>
        </w:rPr>
        <w:t>..................10</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五、一般公共预算财政拨款支出决算情况说明</w:t>
      </w:r>
      <w:r>
        <w:rPr>
          <w:rFonts w:hint="eastAsia" w:ascii="仿宋" w:hAnsi="仿宋" w:eastAsia="仿宋" w:cs="仿宋"/>
          <w:kern w:val="0"/>
          <w:sz w:val="24"/>
          <w:szCs w:val="24"/>
          <w:shd w:val="clear" w:color="auto" w:fill="FFFFFF"/>
          <w:lang w:val="en-US" w:eastAsia="zh-CN" w:bidi="ar"/>
        </w:rPr>
        <w:t>..............10</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六、一般公共预算财政拨款基本支出决算情况说明</w:t>
      </w:r>
      <w:r>
        <w:rPr>
          <w:rFonts w:hint="eastAsia" w:ascii="仿宋" w:hAnsi="仿宋" w:eastAsia="仿宋" w:cs="仿宋"/>
          <w:kern w:val="0"/>
          <w:sz w:val="24"/>
          <w:szCs w:val="24"/>
          <w:shd w:val="clear" w:color="auto" w:fill="FFFFFF"/>
          <w:lang w:val="en-US" w:eastAsia="zh-CN" w:bidi="ar"/>
        </w:rPr>
        <w:t>..........12</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七、“三公”经费财政拨款支出决算情况说明</w:t>
      </w:r>
      <w:r>
        <w:rPr>
          <w:rFonts w:hint="eastAsia" w:ascii="仿宋" w:hAnsi="仿宋" w:eastAsia="仿宋" w:cs="仿宋"/>
          <w:kern w:val="0"/>
          <w:sz w:val="24"/>
          <w:szCs w:val="24"/>
          <w:shd w:val="clear" w:color="auto" w:fill="FFFFFF"/>
          <w:lang w:val="en-US" w:eastAsia="zh-CN" w:bidi="ar"/>
        </w:rPr>
        <w:t>..............13</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八、政府性基金预算支出决算情况说明</w:t>
      </w:r>
      <w:r>
        <w:rPr>
          <w:rFonts w:hint="eastAsia" w:ascii="仿宋" w:hAnsi="仿宋" w:eastAsia="仿宋" w:cs="仿宋"/>
          <w:kern w:val="0"/>
          <w:sz w:val="24"/>
          <w:szCs w:val="24"/>
          <w:shd w:val="clear" w:color="auto" w:fill="FFFFFF"/>
          <w:lang w:val="en-US" w:eastAsia="zh-CN" w:bidi="ar"/>
        </w:rPr>
        <w:t>....................14</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九、国有资本经营预算支出决算情况说明</w:t>
      </w:r>
      <w:r>
        <w:rPr>
          <w:rFonts w:hint="eastAsia" w:ascii="仿宋" w:hAnsi="仿宋" w:eastAsia="仿宋" w:cs="仿宋"/>
          <w:kern w:val="0"/>
          <w:sz w:val="24"/>
          <w:szCs w:val="24"/>
          <w:shd w:val="clear" w:color="auto" w:fill="FFFFFF"/>
          <w:lang w:val="en-US" w:eastAsia="zh-CN" w:bidi="ar"/>
        </w:rPr>
        <w:t>..................14</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sz w:val="24"/>
          <w:szCs w:val="24"/>
          <w:lang w:val="en-US"/>
        </w:rPr>
      </w:pPr>
      <w:r>
        <w:rPr>
          <w:rFonts w:hint="eastAsia" w:ascii="仿宋" w:hAnsi="仿宋" w:eastAsia="仿宋" w:cs="仿宋"/>
          <w:sz w:val="24"/>
          <w:szCs w:val="24"/>
        </w:rPr>
        <w:t>十、其他重要事项的情况说明</w:t>
      </w:r>
      <w:r>
        <w:rPr>
          <w:rFonts w:hint="eastAsia" w:ascii="仿宋" w:hAnsi="仿宋" w:eastAsia="仿宋" w:cs="仿宋"/>
          <w:kern w:val="0"/>
          <w:sz w:val="24"/>
          <w:szCs w:val="24"/>
          <w:shd w:val="clear" w:color="auto" w:fill="FFFFFF"/>
          <w:lang w:val="en-US" w:eastAsia="zh-CN" w:bidi="ar"/>
        </w:rPr>
        <w:t>............................14</w:t>
      </w:r>
    </w:p>
    <w:p>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仿宋" w:hAnsi="仿宋" w:eastAsia="仿宋" w:cs="仿宋"/>
          <w:sz w:val="24"/>
          <w:szCs w:val="24"/>
          <w:lang w:val="en-US"/>
        </w:rPr>
      </w:pPr>
      <w:r>
        <w:rPr>
          <w:rFonts w:hint="eastAsia" w:ascii="仿宋" w:hAnsi="仿宋" w:eastAsia="仿宋" w:cs="仿宋"/>
          <w:sz w:val="24"/>
          <w:szCs w:val="24"/>
        </w:rPr>
        <w:t>第三部分 名词解释</w:t>
      </w:r>
      <w:r>
        <w:rPr>
          <w:rFonts w:hint="eastAsia" w:ascii="仿宋" w:hAnsi="仿宋" w:eastAsia="仿宋" w:cs="仿宋"/>
          <w:kern w:val="0"/>
          <w:sz w:val="24"/>
          <w:szCs w:val="24"/>
          <w:shd w:val="clear" w:color="auto" w:fill="FFFFFF"/>
          <w:lang w:val="en-US" w:eastAsia="zh-CN" w:bidi="ar"/>
        </w:rPr>
        <w:t>..............................</w:t>
      </w:r>
      <w:r>
        <w:rPr>
          <w:rFonts w:hint="eastAsia" w:hAnsi="仿宋" w:cs="仿宋"/>
          <w:kern w:val="0"/>
          <w:sz w:val="24"/>
          <w:szCs w:val="24"/>
          <w:shd w:val="clear" w:color="auto" w:fill="FFFFFF"/>
          <w:lang w:val="en-US" w:eastAsia="zh-CN" w:bidi="ar"/>
        </w:rPr>
        <w:t>..........</w:t>
      </w:r>
      <w:r>
        <w:rPr>
          <w:rFonts w:hint="eastAsia" w:ascii="仿宋" w:hAnsi="仿宋" w:eastAsia="仿宋" w:cs="仿宋"/>
          <w:kern w:val="0"/>
          <w:sz w:val="24"/>
          <w:szCs w:val="24"/>
          <w:shd w:val="clear" w:color="auto" w:fill="FFFFFF"/>
          <w:lang w:val="en-US" w:eastAsia="zh-CN" w:bidi="ar"/>
        </w:rPr>
        <w:t>16</w:t>
      </w:r>
    </w:p>
    <w:p>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第四部分 附件</w:t>
      </w:r>
      <w:r>
        <w:rPr>
          <w:rFonts w:hint="eastAsia" w:ascii="仿宋" w:hAnsi="仿宋" w:eastAsia="仿宋" w:cs="仿宋"/>
          <w:kern w:val="0"/>
          <w:sz w:val="24"/>
          <w:szCs w:val="24"/>
          <w:shd w:val="clear" w:color="auto" w:fill="FFFFFF"/>
          <w:lang w:val="en-US" w:eastAsia="zh-CN" w:bidi="ar"/>
        </w:rPr>
        <w:t>.................................</w:t>
      </w:r>
      <w:r>
        <w:rPr>
          <w:rFonts w:hint="eastAsia" w:hAnsi="仿宋" w:cs="仿宋"/>
          <w:kern w:val="0"/>
          <w:sz w:val="24"/>
          <w:szCs w:val="24"/>
          <w:shd w:val="clear" w:color="auto" w:fill="FFFFFF"/>
          <w:lang w:val="en-US" w:eastAsia="zh-CN" w:bidi="ar"/>
        </w:rPr>
        <w:t>............</w:t>
      </w:r>
      <w:r>
        <w:rPr>
          <w:rFonts w:hint="eastAsia" w:ascii="仿宋" w:hAnsi="仿宋" w:eastAsia="仿宋" w:cs="仿宋"/>
          <w:kern w:val="0"/>
          <w:sz w:val="24"/>
          <w:szCs w:val="24"/>
          <w:shd w:val="clear" w:color="auto" w:fill="FFFFFF"/>
          <w:lang w:val="en-US" w:eastAsia="zh-CN" w:bidi="ar"/>
        </w:rPr>
        <w:t>19</w:t>
      </w:r>
    </w:p>
    <w:p>
      <w:pPr>
        <w:pStyle w:val="15"/>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仿宋" w:hAnsi="仿宋" w:eastAsia="仿宋" w:cs="仿宋"/>
          <w:sz w:val="24"/>
          <w:szCs w:val="24"/>
          <w:lang w:val="en-US"/>
        </w:rPr>
      </w:pPr>
      <w:r>
        <w:rPr>
          <w:rFonts w:hint="eastAsia" w:ascii="仿宋" w:hAnsi="仿宋" w:eastAsia="仿宋" w:cs="仿宋"/>
          <w:sz w:val="24"/>
          <w:szCs w:val="24"/>
        </w:rPr>
        <w:t>第五部分 附表</w:t>
      </w:r>
      <w:r>
        <w:rPr>
          <w:rFonts w:hint="eastAsia" w:ascii="仿宋" w:hAnsi="仿宋" w:eastAsia="仿宋" w:cs="仿宋"/>
          <w:kern w:val="0"/>
          <w:sz w:val="24"/>
          <w:szCs w:val="24"/>
          <w:shd w:val="clear" w:color="auto" w:fill="FFFFFF"/>
          <w:lang w:val="en-US" w:eastAsia="zh-CN" w:bidi="ar"/>
        </w:rPr>
        <w:t>.................................</w:t>
      </w:r>
      <w:r>
        <w:rPr>
          <w:rFonts w:hint="eastAsia" w:hAnsi="仿宋" w:cs="仿宋"/>
          <w:kern w:val="0"/>
          <w:sz w:val="24"/>
          <w:szCs w:val="24"/>
          <w:shd w:val="clear" w:color="auto" w:fill="FFFFFF"/>
          <w:lang w:val="en-US" w:eastAsia="zh-CN" w:bidi="ar"/>
        </w:rPr>
        <w:t>............</w:t>
      </w:r>
      <w:r>
        <w:rPr>
          <w:rFonts w:hint="eastAsia" w:ascii="仿宋" w:hAnsi="仿宋" w:eastAsia="仿宋" w:cs="仿宋"/>
          <w:kern w:val="0"/>
          <w:sz w:val="24"/>
          <w:szCs w:val="24"/>
          <w:shd w:val="clear" w:color="auto" w:fill="FFFFFF"/>
          <w:lang w:val="en-US" w:eastAsia="zh-CN" w:bidi="ar"/>
        </w:rPr>
        <w:t>24</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一、收入支出决算总表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二、收入决算表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三、支出决算表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四、财政拨款收入支出决算总表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五、财政拨款支出决算明细表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六、一般公共预算财政拨款支出决算表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七、一般公共预算财政拨款支出决算明细表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八、一般公共预算财政拨款基本支出决算表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九、一般公共预算财政拨款项目支出决算表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十、政府性基金预算财政拨款收入支出决算表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rPr>
        <w:t>、国有资本经营预算财政拨款收入支出决算表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eastAsia" w:ascii="仿宋" w:hAnsi="仿宋" w:eastAsia="仿宋" w:cs="仿宋"/>
          <w:kern w:val="0"/>
          <w:sz w:val="24"/>
          <w:szCs w:val="24"/>
          <w:shd w:val="clear" w:color="auto" w:fill="FFFFFF"/>
          <w:lang w:val="en-US" w:eastAsia="zh-CN" w:bidi="ar"/>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rPr>
        <w:t>、国有资本经营预算财政拨款支出决算表</w:t>
      </w:r>
      <w:r>
        <w:rPr>
          <w:rFonts w:hint="eastAsia" w:ascii="仿宋" w:hAnsi="仿宋" w:eastAsia="仿宋" w:cs="仿宋"/>
          <w:kern w:val="0"/>
          <w:sz w:val="24"/>
          <w:szCs w:val="24"/>
          <w:shd w:val="clear" w:color="auto" w:fill="FFFFFF"/>
          <w:lang w:val="en-US" w:eastAsia="zh-CN" w:bidi="ar"/>
        </w:rPr>
        <w:t>...........25</w:t>
      </w:r>
    </w:p>
    <w:p>
      <w:pPr>
        <w:pStyle w:val="16"/>
        <w:keepNext w:val="0"/>
        <w:keepLines w:val="0"/>
        <w:pageBreakBefore w:val="0"/>
        <w:kinsoku/>
        <w:wordWrap/>
        <w:overflowPunct/>
        <w:topLinePunct w:val="0"/>
        <w:autoSpaceDE/>
        <w:autoSpaceDN/>
        <w:bidi w:val="0"/>
        <w:adjustRightInd w:val="0"/>
        <w:snapToGrid w:val="0"/>
        <w:spacing w:line="560" w:lineRule="exact"/>
        <w:ind w:left="420"/>
        <w:jc w:val="left"/>
        <w:textAlignment w:val="auto"/>
        <w:rPr>
          <w:rFonts w:hint="default" w:ascii="仿宋" w:hAnsi="仿宋" w:eastAsia="仿宋" w:cs="仿宋"/>
          <w:sz w:val="24"/>
          <w:szCs w:val="24"/>
          <w:lang w:val="en-US"/>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rPr>
        <w:t>、</w:t>
      </w:r>
      <w:r>
        <w:rPr>
          <w:rFonts w:hint="default" w:ascii="仿宋" w:hAnsi="仿宋" w:eastAsia="仿宋" w:cs="仿宋"/>
          <w:sz w:val="24"/>
          <w:szCs w:val="24"/>
          <w:lang w:val="en-US"/>
        </w:rPr>
        <w:t>财政拨款“三公”经费支出决算表</w:t>
      </w:r>
      <w:r>
        <w:rPr>
          <w:rFonts w:hint="eastAsia" w:ascii="仿宋" w:hAnsi="仿宋" w:eastAsia="仿宋" w:cs="仿宋"/>
          <w:kern w:val="0"/>
          <w:sz w:val="24"/>
          <w:szCs w:val="24"/>
          <w:shd w:val="clear" w:color="auto" w:fill="FFFFFF"/>
          <w:lang w:val="en-US" w:eastAsia="zh-CN" w:bidi="ar"/>
        </w:rPr>
        <w:t>...............25</w:t>
      </w:r>
    </w:p>
    <w:p>
      <w:pPr>
        <w:keepNext w:val="0"/>
        <w:keepLines w:val="0"/>
        <w:pageBreakBefore w:val="0"/>
        <w:widowControl/>
        <w:kinsoku/>
        <w:wordWrap/>
        <w:overflowPunct/>
        <w:topLinePunct w:val="0"/>
        <w:autoSpaceDE/>
        <w:autoSpaceDN/>
        <w:bidi w:val="0"/>
        <w:spacing w:line="560" w:lineRule="exact"/>
        <w:jc w:val="left"/>
        <w:textAlignment w:val="auto"/>
        <w:rPr>
          <w:rFonts w:hint="eastAsia" w:ascii="仿宋" w:hAnsi="仿宋" w:eastAsia="仿宋" w:cs="仿宋"/>
          <w:bCs/>
          <w:kern w:val="44"/>
          <w:sz w:val="24"/>
          <w:szCs w:val="24"/>
        </w:rPr>
      </w:pPr>
      <w:bookmarkStart w:id="13" w:name="_Toc15396599"/>
      <w:bookmarkStart w:id="14" w:name="_Toc15377196"/>
      <w:r>
        <w:rPr>
          <w:rFonts w:hint="eastAsia" w:ascii="仿宋" w:hAnsi="仿宋" w:eastAsia="仿宋" w:cs="仿宋"/>
          <w:b/>
          <w:sz w:val="24"/>
          <w:szCs w:val="24"/>
        </w:rPr>
        <w:br w:type="page"/>
      </w:r>
    </w:p>
    <w:p>
      <w:pPr>
        <w:pStyle w:val="4"/>
        <w:jc w:val="center"/>
        <w:rPr>
          <w:rStyle w:val="22"/>
          <w:rFonts w:ascii="黑体" w:eastAsia="黑体"/>
          <w:b/>
          <w:bCs w:val="0"/>
        </w:rPr>
      </w:pPr>
      <w:r>
        <w:rPr>
          <w:rFonts w:hint="eastAsia" w:ascii="黑体" w:eastAsia="黑体"/>
          <w:b w:val="0"/>
        </w:rPr>
        <w:t>第一部分 单位</w:t>
      </w:r>
      <w:r>
        <w:rPr>
          <w:rStyle w:val="22"/>
          <w:rFonts w:hint="eastAsia" w:ascii="黑体" w:eastAsia="黑体"/>
          <w:b w:val="0"/>
          <w:bCs w:val="0"/>
        </w:rPr>
        <w:t>概况</w:t>
      </w:r>
      <w:bookmarkEnd w:id="13"/>
      <w:bookmarkEnd w:id="14"/>
    </w:p>
    <w:p>
      <w:pPr>
        <w:widowControl/>
        <w:jc w:val="left"/>
        <w:rPr>
          <w:rFonts w:hint="eastAsia" w:ascii="黑体" w:hAnsi="Times New Roman" w:eastAsia="黑体" w:cs="Times New Roman"/>
          <w:b w:val="0"/>
          <w:bCs w:val="0"/>
          <w:kern w:val="2"/>
          <w:sz w:val="32"/>
          <w:szCs w:val="32"/>
          <w:lang w:val="en-US" w:eastAsia="zh-CN" w:bidi="ar-SA"/>
        </w:rPr>
      </w:pPr>
      <w:r>
        <w:rPr>
          <w:rFonts w:hint="eastAsia" w:ascii="黑体" w:hAnsi="Times New Roman" w:eastAsia="黑体" w:cs="Times New Roman"/>
          <w:b w:val="0"/>
          <w:bCs w:val="0"/>
          <w:kern w:val="2"/>
          <w:sz w:val="32"/>
          <w:szCs w:val="32"/>
          <w:lang w:val="en-US" w:eastAsia="zh-CN" w:bidi="ar-SA"/>
        </w:rPr>
        <w:t>一、机构设置情况</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（一）设临床科室12个：内科、外科、妇产科、儿科、急诊科、五官科、口腔科、麻醉科、中医康复科、皮肤科、疼痛科、精神科等科室。</w:t>
      </w:r>
      <w:r>
        <w:rPr>
          <w:rFonts w:hint="eastAsia" w:ascii="仿宋_GB2312" w:hAnsi="Times New Roman" w:eastAsia="仿宋_GB2312" w:cs="Times New Roman"/>
          <w:kern w:val="2"/>
          <w:sz w:val="32"/>
          <w:szCs w:val="32"/>
          <w:lang w:val="en-US" w:eastAsia="zh-CN" w:bidi="ar-SA"/>
        </w:rPr>
        <w:br w:type="textWrapping"/>
      </w:r>
      <w:r>
        <w:rPr>
          <w:rFonts w:hint="eastAsia" w:ascii="仿宋_GB2312" w:hAnsi="Times New Roman" w:eastAsia="仿宋_GB2312" w:cs="Times New Roman"/>
          <w:kern w:val="2"/>
          <w:sz w:val="32"/>
          <w:szCs w:val="32"/>
          <w:lang w:val="en-US" w:eastAsia="zh-CN" w:bidi="ar-SA"/>
        </w:rPr>
        <w:t xml:space="preserve">   （二）设医疗辅助科室8个：药剂科、医学检验科（输血科）、医学影像科、手术室、消毒供应室、超声科、心电图室、体检科等医技科室。  </w:t>
      </w:r>
    </w:p>
    <w:p>
      <w:pPr>
        <w:pStyle w:val="10"/>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Times New Roman" w:eastAsia="仿宋_GB2312" w:cs="Times New Roman"/>
          <w:kern w:val="2"/>
          <w:sz w:val="32"/>
          <w:szCs w:val="32"/>
          <w:lang w:val="en-US" w:eastAsia="zh-CN" w:bidi="ar-SA"/>
        </w:rPr>
        <w:t>（三）设职能科室8个：院感科、党政办公室、医务科、护理部、信息科、病案统计科、财务科、后勤保障科。 </w:t>
      </w:r>
      <w:r>
        <w:rPr>
          <w:rFonts w:hint="eastAsia" w:ascii="仿宋_GB2312" w:hAnsi="仿宋_GB2312" w:eastAsia="仿宋_GB2312" w:cs="仿宋_GB2312"/>
          <w:color w:val="000000"/>
          <w:kern w:val="0"/>
          <w:sz w:val="32"/>
          <w:szCs w:val="32"/>
          <w:lang w:val="en-US" w:eastAsia="zh-CN" w:bidi="ar-SA"/>
        </w:rPr>
        <w:t> </w:t>
      </w:r>
    </w:p>
    <w:p>
      <w:pPr>
        <w:pStyle w:val="5"/>
        <w:numPr>
          <w:ilvl w:val="0"/>
          <w:numId w:val="0"/>
        </w:numPr>
        <w:rPr>
          <w:rFonts w:hint="eastAsia"/>
          <w:lang w:val="en-US" w:eastAsia="zh-CN"/>
        </w:rPr>
      </w:pPr>
      <w:bookmarkStart w:id="15" w:name="_Toc15377197"/>
      <w:bookmarkStart w:id="16" w:name="_Toc15396600"/>
      <w:r>
        <w:rPr>
          <w:rFonts w:hint="eastAsia" w:ascii="黑体" w:hAnsi="Times New Roman" w:eastAsia="黑体" w:cs="Times New Roman"/>
          <w:b w:val="0"/>
          <w:bCs w:val="0"/>
          <w:kern w:val="2"/>
          <w:sz w:val="32"/>
          <w:szCs w:val="32"/>
          <w:lang w:val="en-US" w:eastAsia="zh-CN" w:bidi="ar-SA"/>
        </w:rPr>
        <w:t>二、职能简介</w:t>
      </w:r>
    </w:p>
    <w:p>
      <w:pPr>
        <w:keepNext w:val="0"/>
        <w:keepLines w:val="0"/>
        <w:pageBreakBefore w:val="0"/>
        <w:widowControl w:val="0"/>
        <w:suppressLineNumbers w:val="0"/>
        <w:kinsoku/>
        <w:wordWrap/>
        <w:overflowPunct/>
        <w:topLinePunct w:val="0"/>
        <w:autoSpaceDE/>
        <w:autoSpaceDN/>
        <w:bidi w:val="0"/>
        <w:adjustRightInd/>
        <w:snapToGrid/>
        <w:spacing w:afterAutospacing="0" w:line="560" w:lineRule="exact"/>
        <w:ind w:firstLine="640" w:firstLineChars="200"/>
        <w:jc w:val="both"/>
        <w:textAlignment w:val="auto"/>
        <w:rPr>
          <w:rFonts w:hint="eastAsia"/>
          <w:lang w:val="en-US" w:eastAsia="zh-CN"/>
        </w:rPr>
      </w:pPr>
      <w:r>
        <w:rPr>
          <w:rFonts w:hint="eastAsia" w:ascii="仿宋" w:eastAsia="仿宋"/>
          <w:sz w:val="32"/>
          <w:szCs w:val="32"/>
          <w:lang w:val="en-US" w:eastAsia="zh-CN"/>
        </w:rPr>
        <w:t xml:space="preserve"> </w:t>
      </w:r>
      <w:r>
        <w:rPr>
          <w:rFonts w:hint="eastAsia" w:ascii="仿宋_GB2312" w:hAnsi="仿宋_GB2312" w:eastAsia="仿宋_GB2312" w:cs="仿宋_GB2312"/>
          <w:color w:val="000000"/>
          <w:kern w:val="0"/>
          <w:sz w:val="32"/>
          <w:szCs w:val="32"/>
        </w:rPr>
        <w:t>承担县内常见病、多发病的诊治任务，承担急危重症抢救和复杂疑难病症诊治任务;承担120急救和各类突发事故的现场抢救及院内急救;接受下级医疗卫生机构的转诊，指导乡(镇)卫生院做好医疗、康复、预防保健等业务技术工作;贯彻执行传染病预防诊治和管理工作,开展健康教育，进行防病指导;承担基层医疗卫生机构卫生技术人员的进修和培训。</w:t>
      </w:r>
    </w:p>
    <w:p>
      <w:pPr>
        <w:pStyle w:val="5"/>
        <w:numPr>
          <w:ilvl w:val="0"/>
          <w:numId w:val="0"/>
        </w:numPr>
        <w:rPr>
          <w:rFonts w:hint="eastAsia" w:ascii="黑体" w:hAnsi="Times New Roman" w:eastAsia="黑体" w:cs="Times New Roman"/>
          <w:b w:val="0"/>
          <w:bCs w:val="0"/>
          <w:kern w:val="2"/>
          <w:sz w:val="32"/>
          <w:szCs w:val="32"/>
          <w:lang w:val="en-US" w:eastAsia="zh-CN" w:bidi="ar-SA"/>
        </w:rPr>
      </w:pPr>
      <w:r>
        <w:rPr>
          <w:rFonts w:hint="eastAsia" w:ascii="黑体" w:hAnsi="Times New Roman" w:eastAsia="黑体" w:cs="Times New Roman"/>
          <w:b w:val="0"/>
          <w:bCs w:val="0"/>
          <w:kern w:val="2"/>
          <w:sz w:val="32"/>
          <w:szCs w:val="32"/>
          <w:lang w:val="en-US" w:eastAsia="zh-CN" w:bidi="ar-SA"/>
        </w:rPr>
        <w:t>三、2022年重点工作</w:t>
      </w:r>
      <w:bookmarkEnd w:id="15"/>
      <w:bookmarkEnd w:id="16"/>
      <w:r>
        <w:rPr>
          <w:rFonts w:hint="eastAsia" w:ascii="黑体" w:hAnsi="Times New Roman" w:eastAsia="黑体" w:cs="Times New Roman"/>
          <w:b w:val="0"/>
          <w:bCs w:val="0"/>
          <w:kern w:val="2"/>
          <w:sz w:val="32"/>
          <w:szCs w:val="32"/>
          <w:lang w:val="en-US" w:eastAsia="zh-CN" w:bidi="ar-SA"/>
        </w:rPr>
        <w:t>完成情况</w:t>
      </w:r>
    </w:p>
    <w:p>
      <w:pPr>
        <w:keepNext w:val="0"/>
        <w:keepLines w:val="0"/>
        <w:pageBreakBefore w:val="0"/>
        <w:widowControl w:val="0"/>
        <w:suppressLineNumbers w:val="0"/>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lang w:val="en-US" w:eastAsia="zh-CN"/>
        </w:rPr>
        <w:t>（一</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巩固成果，脱贫奔康。长期以来，在县委县政府的坚强领导下，医院脱贫攻坚工作有力、有序稳步推进，上下一心，携手并进,脱贫奔康。</w:t>
      </w:r>
      <w:r>
        <w:rPr>
          <w:rFonts w:hint="default" w:ascii="仿宋_GB2312" w:hAnsi="仿宋_GB2312" w:eastAsia="仿宋_GB2312" w:cs="仿宋_GB2312"/>
          <w:color w:val="000000"/>
          <w:kern w:val="0"/>
          <w:sz w:val="32"/>
          <w:szCs w:val="32"/>
          <w:lang w:val="en-US" w:eastAsia="zh-CN"/>
        </w:rPr>
        <w:t>对持贫困人的患者，在我院就诊住院实行“先诊疗后付费</w:t>
      </w:r>
      <w:r>
        <w:rPr>
          <w:rFonts w:hint="eastAsia" w:ascii="仿宋_GB2312" w:hAnsi="仿宋_GB2312" w:eastAsia="仿宋_GB2312" w:cs="仿宋_GB2312"/>
          <w:color w:val="000000"/>
          <w:kern w:val="0"/>
          <w:sz w:val="32"/>
          <w:szCs w:val="32"/>
          <w:lang w:val="en-US" w:eastAsia="zh-CN"/>
        </w:rPr>
        <w:t>”、</w:t>
      </w:r>
      <w:r>
        <w:rPr>
          <w:rFonts w:hint="default" w:ascii="仿宋_GB2312" w:hAnsi="仿宋_GB2312" w:eastAsia="仿宋_GB2312" w:cs="仿宋_GB2312"/>
          <w:color w:val="000000"/>
          <w:kern w:val="0"/>
          <w:sz w:val="32"/>
          <w:szCs w:val="32"/>
          <w:lang w:val="en-US" w:eastAsia="zh-CN"/>
        </w:rPr>
        <w:t>“一站式”结算服务，门诊享受“</w:t>
      </w:r>
      <w:r>
        <w:rPr>
          <w:rFonts w:hint="eastAsia" w:ascii="仿宋_GB2312" w:hAnsi="仿宋_GB2312" w:eastAsia="仿宋_GB2312" w:cs="仿宋_GB2312"/>
          <w:color w:val="000000"/>
          <w:kern w:val="0"/>
          <w:sz w:val="32"/>
          <w:szCs w:val="32"/>
          <w:lang w:val="en-US" w:eastAsia="zh-CN"/>
        </w:rPr>
        <w:t>十免四补助</w:t>
      </w:r>
      <w:r>
        <w:rPr>
          <w:rFonts w:hint="default" w:ascii="仿宋_GB2312" w:hAnsi="仿宋_GB2312" w:eastAsia="仿宋_GB2312" w:cs="仿宋_GB2312"/>
          <w:color w:val="000000"/>
          <w:kern w:val="0"/>
          <w:sz w:val="32"/>
          <w:szCs w:val="32"/>
          <w:lang w:val="en-US" w:eastAsia="zh-CN"/>
        </w:rPr>
        <w:t>”惠民政策</w:t>
      </w:r>
      <w:r>
        <w:rPr>
          <w:rFonts w:hint="eastAsia" w:ascii="仿宋_GB2312" w:hAnsi="仿宋_GB2312" w:eastAsia="仿宋_GB2312" w:cs="仿宋_GB2312"/>
          <w:color w:val="000000"/>
          <w:kern w:val="0"/>
          <w:sz w:val="32"/>
          <w:szCs w:val="32"/>
          <w:lang w:val="en-US" w:eastAsia="zh-CN"/>
        </w:rPr>
        <w:t>。</w:t>
      </w:r>
      <w:r>
        <w:rPr>
          <w:rFonts w:hint="default" w:ascii="仿宋_GB2312" w:hAnsi="仿宋_GB2312" w:eastAsia="仿宋_GB2312" w:cs="仿宋_GB2312"/>
          <w:color w:val="000000"/>
          <w:kern w:val="0"/>
          <w:sz w:val="32"/>
          <w:szCs w:val="32"/>
          <w:lang w:val="en-US" w:eastAsia="zh-CN"/>
        </w:rPr>
        <w:t>截止</w:t>
      </w:r>
      <w:r>
        <w:rPr>
          <w:rFonts w:hint="eastAsia" w:ascii="仿宋_GB2312" w:hAnsi="仿宋_GB2312" w:eastAsia="仿宋_GB2312" w:cs="仿宋_GB2312"/>
          <w:color w:val="000000"/>
          <w:kern w:val="0"/>
          <w:sz w:val="32"/>
          <w:szCs w:val="32"/>
          <w:lang w:val="en-US" w:eastAsia="zh-CN"/>
        </w:rPr>
        <w:t>10月16日，其次就是全县贫困人口的医保报销及医疗救助的一站式服务。截止目前，共结算2184人次，总费用为7307534.2，医保共报销4083794.28其中报销建档立卡户308人，住院总费用为1142478.97，医保报销729321.57，卫生扶贫健康基金报销362706.74，病人自付%4，金额为39651.22。</w:t>
      </w:r>
    </w:p>
    <w:p>
      <w:pPr>
        <w:pStyle w:val="17"/>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right="0" w:rightChars="0" w:firstLine="643"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（二）为民服务，健康体检。</w:t>
      </w:r>
      <w:r>
        <w:rPr>
          <w:rFonts w:hint="eastAsia" w:ascii="仿宋_GB2312" w:hAnsi="仿宋_GB2312" w:eastAsia="仿宋_GB2312" w:cs="仿宋_GB2312"/>
          <w:color w:val="auto"/>
          <w:kern w:val="2"/>
          <w:sz w:val="32"/>
          <w:szCs w:val="32"/>
          <w:lang w:val="en-US" w:eastAsia="zh-CN" w:bidi="ar-SA"/>
        </w:rPr>
        <w:t>住院门诊人次约3400余人次，门诊约44000余人次。放射检查15493人次；检验102487人次；超声检查13339人次；手术272例。应对各种要求的体检项目制定体检方案，认真按要求作出体检结论，及时出体检报告，不拖延。全年共做各类体检约3900余人次。其中包括一般入职体检、事业单位新入职人员体检、民兵体检、从业人员体检、犯人体检、武警体检及学生体检等。</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（三</w:t>
      </w:r>
      <w:r>
        <w:rPr>
          <w:rFonts w:hint="eastAsia" w:ascii="仿宋_GB2312" w:hAnsi="仿宋_GB2312" w:eastAsia="仿宋_GB2312" w:cs="仿宋_GB2312"/>
          <w:b/>
          <w:bCs/>
          <w:color w:val="auto"/>
          <w:sz w:val="32"/>
          <w:szCs w:val="32"/>
        </w:rPr>
        <w:t>）人才培养情况及继续教育、远程会诊情况</w:t>
      </w:r>
      <w:r>
        <w:rPr>
          <w:rFonts w:hint="eastAsia" w:ascii="仿宋_GB2312" w:hAnsi="仿宋_GB2312" w:eastAsia="仿宋_GB2312" w:cs="仿宋_GB2312"/>
          <w:b/>
          <w:bCs/>
          <w:color w:val="auto"/>
          <w:sz w:val="32"/>
          <w:szCs w:val="32"/>
          <w:lang w:eastAsia="zh-CN"/>
        </w:rPr>
        <w:t>。</w:t>
      </w:r>
    </w:p>
    <w:p>
      <w:pPr>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 xml:space="preserve">    1</w:t>
      </w:r>
      <w:r>
        <w:rPr>
          <w:rFonts w:hint="eastAsia" w:ascii="仿宋_GB2312" w:hAnsi="仿宋_GB2312" w:eastAsia="仿宋_GB2312" w:cs="仿宋_GB2312"/>
          <w:color w:val="auto"/>
          <w:sz w:val="32"/>
          <w:szCs w:val="32"/>
          <w:lang w:val="en-US" w:eastAsia="zh-CN"/>
        </w:rPr>
        <w:t>派1名院领导班子和1名业务骨干在绵阳市进修学习；1名儿科医生到成都市妇女儿童医院进修。</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2.我院接受实习、</w:t>
      </w:r>
      <w:r>
        <w:rPr>
          <w:rFonts w:hint="eastAsia" w:ascii="仿宋_GB2312" w:hAnsi="仿宋_GB2312" w:eastAsia="仿宋_GB2312" w:cs="仿宋_GB2312"/>
          <w:color w:val="auto"/>
          <w:sz w:val="32"/>
          <w:szCs w:val="32"/>
          <w:lang w:eastAsia="zh-CN"/>
        </w:rPr>
        <w:t>见</w:t>
      </w:r>
      <w:r>
        <w:rPr>
          <w:rFonts w:hint="eastAsia" w:ascii="仿宋_GB2312" w:hAnsi="仿宋_GB2312" w:eastAsia="仿宋_GB2312" w:cs="仿宋_GB2312"/>
          <w:color w:val="auto"/>
          <w:sz w:val="32"/>
          <w:szCs w:val="32"/>
        </w:rPr>
        <w:t>习</w:t>
      </w:r>
      <w:r>
        <w:rPr>
          <w:rFonts w:hint="eastAsia" w:ascii="仿宋_GB2312" w:hAnsi="仿宋_GB2312" w:eastAsia="仿宋_GB2312" w:cs="仿宋_GB2312"/>
          <w:color w:val="auto"/>
          <w:sz w:val="32"/>
          <w:szCs w:val="32"/>
          <w:lang w:eastAsia="zh-CN"/>
        </w:rPr>
        <w:t>生</w:t>
      </w: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人。</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3.我院共派出</w:t>
      </w:r>
      <w:r>
        <w:rPr>
          <w:rFonts w:hint="eastAsia" w:ascii="仿宋_GB2312" w:hAnsi="仿宋_GB2312" w:eastAsia="仿宋_GB2312" w:cs="仿宋_GB2312"/>
          <w:color w:val="auto"/>
          <w:sz w:val="32"/>
          <w:szCs w:val="32"/>
          <w:lang w:val="en-US" w:eastAsia="zh-CN"/>
        </w:rPr>
        <w:t>68</w:t>
      </w:r>
      <w:r>
        <w:rPr>
          <w:rFonts w:hint="eastAsia" w:ascii="仿宋_GB2312" w:hAnsi="仿宋_GB2312" w:eastAsia="仿宋_GB2312" w:cs="仿宋_GB2312"/>
          <w:color w:val="auto"/>
          <w:sz w:val="32"/>
          <w:szCs w:val="32"/>
        </w:rPr>
        <w:t>批</w:t>
      </w:r>
      <w:r>
        <w:rPr>
          <w:rFonts w:hint="eastAsia" w:ascii="仿宋_GB2312" w:hAnsi="仿宋_GB2312" w:eastAsia="仿宋_GB2312" w:cs="仿宋_GB2312"/>
          <w:color w:val="auto"/>
          <w:sz w:val="32"/>
          <w:szCs w:val="32"/>
          <w:lang w:val="en-US" w:eastAsia="zh-CN"/>
        </w:rPr>
        <w:t>86</w:t>
      </w:r>
      <w:r>
        <w:rPr>
          <w:rFonts w:hint="eastAsia" w:ascii="仿宋_GB2312" w:hAnsi="仿宋_GB2312" w:eastAsia="仿宋_GB2312" w:cs="仿宋_GB2312"/>
          <w:color w:val="auto"/>
          <w:sz w:val="32"/>
          <w:szCs w:val="32"/>
        </w:rPr>
        <w:t>人次参加各种学术活动。</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4.组织全院专业技术人员进行的继教教育学习</w:t>
      </w:r>
      <w:r>
        <w:rPr>
          <w:rFonts w:hint="eastAsia" w:ascii="仿宋_GB2312" w:hAnsi="仿宋_GB2312" w:eastAsia="仿宋_GB2312" w:cs="仿宋_GB2312"/>
          <w:color w:val="auto"/>
          <w:sz w:val="32"/>
          <w:szCs w:val="32"/>
          <w:lang w:val="en-US" w:eastAsia="zh-CN"/>
        </w:rPr>
        <w:t>65</w:t>
      </w:r>
      <w:r>
        <w:rPr>
          <w:rFonts w:hint="eastAsia" w:ascii="仿宋_GB2312" w:hAnsi="仿宋_GB2312" w:eastAsia="仿宋_GB2312" w:cs="仿宋_GB2312"/>
          <w:color w:val="auto"/>
          <w:sz w:val="32"/>
          <w:szCs w:val="32"/>
        </w:rPr>
        <w:t>次，各科室组织科内继教教育学习每周2-3次，共计千余人次参加了继教教育学习。</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lang w:eastAsia="zh-CN"/>
        </w:rPr>
        <w:t>信息化建设。与</w:t>
      </w:r>
      <w:r>
        <w:rPr>
          <w:rFonts w:hint="eastAsia" w:ascii="仿宋_GB2312" w:hAnsi="仿宋_GB2312" w:eastAsia="仿宋_GB2312" w:cs="仿宋_GB2312"/>
          <w:color w:val="auto"/>
          <w:sz w:val="32"/>
          <w:szCs w:val="32"/>
        </w:rPr>
        <w:t>四川省人民医院</w:t>
      </w:r>
      <w:r>
        <w:rPr>
          <w:rFonts w:hint="eastAsia" w:ascii="仿宋_GB2312" w:hAnsi="仿宋_GB2312" w:eastAsia="仿宋_GB2312" w:cs="仿宋_GB2312"/>
          <w:color w:val="auto"/>
          <w:sz w:val="32"/>
          <w:szCs w:val="32"/>
          <w:lang w:eastAsia="zh-CN"/>
        </w:rPr>
        <w:t>、华西医院、绵阳市第三人民医院</w:t>
      </w:r>
      <w:r>
        <w:rPr>
          <w:rFonts w:hint="eastAsia" w:ascii="仿宋_GB2312" w:hAnsi="仿宋_GB2312" w:eastAsia="仿宋_GB2312" w:cs="仿宋_GB2312"/>
          <w:color w:val="auto"/>
          <w:sz w:val="32"/>
          <w:szCs w:val="32"/>
        </w:rPr>
        <w:t>的远程教学</w:t>
      </w:r>
      <w:r>
        <w:rPr>
          <w:rFonts w:hint="eastAsia" w:ascii="仿宋_GB2312" w:hAnsi="仿宋_GB2312" w:eastAsia="仿宋_GB2312" w:cs="仿宋_GB2312"/>
          <w:color w:val="auto"/>
          <w:sz w:val="32"/>
          <w:szCs w:val="32"/>
          <w:lang w:eastAsia="zh-CN"/>
        </w:rPr>
        <w:t>，包括</w:t>
      </w:r>
      <w:r>
        <w:rPr>
          <w:rFonts w:hint="eastAsia" w:ascii="仿宋_GB2312" w:hAnsi="仿宋_GB2312" w:eastAsia="仿宋_GB2312" w:cs="仿宋_GB2312"/>
          <w:color w:val="auto"/>
          <w:sz w:val="32"/>
          <w:szCs w:val="32"/>
        </w:rPr>
        <w:t>心内科、妇产科、护理方面远程教学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远程心电、动态血压等监测58</w:t>
      </w:r>
      <w:r>
        <w:rPr>
          <w:rFonts w:hint="eastAsia" w:ascii="仿宋_GB2312" w:hAnsi="仿宋_GB2312" w:eastAsia="仿宋_GB2312" w:cs="仿宋_GB2312"/>
          <w:color w:val="auto"/>
          <w:sz w:val="32"/>
          <w:szCs w:val="32"/>
        </w:rPr>
        <w:t>例。</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en-US" w:eastAsia="zh-CN"/>
        </w:rPr>
        <w:t>6.今年上级各级领导及团体到红原县指导工作和调研，在县委、县政府的安排下，我院还派出医疗保障和服务132次，出色地完成了县委、县政府交办雅克音乐季等各项医疗保障任务。</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（四）</w:t>
      </w:r>
      <w:r>
        <w:rPr>
          <w:rFonts w:hint="eastAsia" w:ascii="仿宋_GB2312" w:hAnsi="仿宋_GB2312" w:eastAsia="仿宋_GB2312" w:cs="仿宋_GB2312"/>
          <w:b/>
          <w:bCs/>
          <w:color w:val="auto"/>
          <w:sz w:val="32"/>
          <w:szCs w:val="32"/>
        </w:rPr>
        <w:t>对口支援</w:t>
      </w:r>
    </w:p>
    <w:p>
      <w:pPr>
        <w:pageBreakBefore w:val="0"/>
        <w:kinsoku/>
        <w:wordWrap/>
        <w:overflowPunct/>
        <w:topLinePunct w:val="0"/>
        <w:autoSpaceDE/>
        <w:autoSpaceDN/>
        <w:bidi w:val="0"/>
        <w:adjustRightInd/>
        <w:snapToGrid/>
        <w:spacing w:line="560" w:lineRule="exact"/>
        <w:ind w:firstLine="800" w:firstLineChars="250"/>
        <w:textAlignment w:val="auto"/>
        <w:rPr>
          <w:rFonts w:hint="eastAsia"/>
        </w:rPr>
      </w:pPr>
      <w:r>
        <w:rPr>
          <w:rFonts w:hint="eastAsia" w:ascii="仿宋_GB2312" w:hAnsi="仿宋_GB2312" w:eastAsia="仿宋_GB2312" w:cs="仿宋_GB2312"/>
          <w:color w:val="auto"/>
          <w:sz w:val="32"/>
          <w:szCs w:val="32"/>
        </w:rPr>
        <w:t>绵阳市</w:t>
      </w:r>
      <w:r>
        <w:rPr>
          <w:rFonts w:hint="eastAsia" w:ascii="仿宋_GB2312" w:hAnsi="仿宋_GB2312" w:eastAsia="仿宋_GB2312" w:cs="仿宋_GB2312"/>
          <w:color w:val="auto"/>
          <w:sz w:val="32"/>
          <w:szCs w:val="32"/>
          <w:lang w:eastAsia="zh-CN"/>
        </w:rPr>
        <w:t>、温州市</w:t>
      </w:r>
      <w:r>
        <w:rPr>
          <w:rFonts w:hint="eastAsia" w:ascii="仿宋_GB2312" w:hAnsi="仿宋_GB2312" w:eastAsia="仿宋_GB2312" w:cs="仿宋_GB2312"/>
          <w:color w:val="auto"/>
          <w:sz w:val="32"/>
          <w:szCs w:val="32"/>
        </w:rPr>
        <w:t>对口支援</w:t>
      </w:r>
      <w:r>
        <w:rPr>
          <w:rFonts w:hint="eastAsia" w:ascii="仿宋_GB2312" w:hAnsi="仿宋_GB2312" w:eastAsia="仿宋_GB2312" w:cs="仿宋_GB2312"/>
          <w:color w:val="auto"/>
          <w:sz w:val="32"/>
          <w:szCs w:val="32"/>
          <w:lang w:val="en-US" w:eastAsia="zh-CN"/>
        </w:rPr>
        <w:t>援藏人员及传帮带</w:t>
      </w:r>
      <w:r>
        <w:rPr>
          <w:rFonts w:hint="eastAsia" w:ascii="仿宋_GB2312" w:hAnsi="仿宋_GB2312" w:eastAsia="仿宋_GB2312" w:cs="仿宋_GB2312"/>
          <w:color w:val="auto"/>
          <w:sz w:val="32"/>
          <w:szCs w:val="32"/>
          <w:lang w:eastAsia="zh-CN"/>
        </w:rPr>
        <w:t>对共计</w:t>
      </w:r>
      <w:r>
        <w:rPr>
          <w:rFonts w:hint="eastAsia" w:ascii="仿宋_GB2312" w:hAnsi="仿宋_GB2312" w:eastAsia="仿宋_GB2312" w:cs="仿宋_GB2312"/>
          <w:color w:val="auto"/>
          <w:sz w:val="32"/>
          <w:szCs w:val="32"/>
          <w:lang w:val="en-US" w:eastAsia="zh-CN"/>
        </w:rPr>
        <w:t>13人进行为期2个月和1至2年的</w:t>
      </w:r>
      <w:r>
        <w:rPr>
          <w:rFonts w:hint="eastAsia" w:ascii="仿宋_GB2312" w:hAnsi="仿宋_GB2312" w:eastAsia="仿宋_GB2312" w:cs="仿宋_GB2312"/>
          <w:bCs/>
          <w:color w:val="auto"/>
          <w:sz w:val="32"/>
          <w:szCs w:val="32"/>
          <w:lang w:val="en-US" w:eastAsia="zh-CN"/>
        </w:rPr>
        <w:t>传帮带和组团式帮扶工作</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color w:val="auto"/>
          <w:sz w:val="32"/>
          <w:szCs w:val="32"/>
          <w:lang w:val="en-US" w:eastAsia="zh-CN"/>
        </w:rPr>
        <w:t>捐赠电脑、打印机等设备约合人民币5万余元。</w:t>
      </w:r>
      <w:r>
        <w:rPr>
          <w:rFonts w:hint="eastAsia" w:ascii="仿宋_GB2312" w:hAnsi="仿宋_GB2312" w:eastAsia="仿宋_GB2312" w:cs="仿宋_GB2312"/>
          <w:bCs/>
          <w:color w:val="auto"/>
          <w:sz w:val="32"/>
          <w:szCs w:val="32"/>
          <w:lang w:val="en-US" w:eastAsia="zh-CN"/>
        </w:rPr>
        <w:t>其中绵阳市第三人民医院领导班子带队多次到医院开展座谈交流</w:t>
      </w:r>
      <w:r>
        <w:rPr>
          <w:rFonts w:hint="eastAsia" w:ascii="仿宋_GB2312" w:hAnsi="仿宋_GB2312" w:eastAsia="仿宋_GB2312" w:cs="仿宋_GB2312"/>
          <w:color w:val="auto"/>
          <w:sz w:val="32"/>
          <w:szCs w:val="32"/>
        </w:rPr>
        <w:t>沟通</w:t>
      </w:r>
      <w:r>
        <w:rPr>
          <w:rFonts w:hint="eastAsia" w:ascii="仿宋_GB2312" w:hAnsi="仿宋_GB2312" w:eastAsia="仿宋_GB2312" w:cs="仿宋_GB2312"/>
          <w:color w:val="auto"/>
          <w:sz w:val="32"/>
          <w:szCs w:val="32"/>
          <w:lang w:val="en-US" w:eastAsia="zh-CN"/>
        </w:rPr>
        <w:t>和定点帮扶工作</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开展义诊巡诊2次，</w:t>
      </w:r>
      <w:r>
        <w:rPr>
          <w:rFonts w:hint="eastAsia" w:ascii="仿宋_GB2312" w:hAnsi="仿宋_GB2312" w:eastAsia="仿宋_GB2312" w:cs="仿宋_GB2312"/>
          <w:color w:val="auto"/>
          <w:sz w:val="32"/>
          <w:szCs w:val="32"/>
          <w:lang w:eastAsia="zh-CN"/>
        </w:rPr>
        <w:t>并根据我院需求，派出</w:t>
      </w:r>
      <w:r>
        <w:rPr>
          <w:rFonts w:hint="eastAsia" w:ascii="仿宋_GB2312" w:hAnsi="仿宋_GB2312" w:eastAsia="仿宋_GB2312" w:cs="仿宋_GB2312"/>
          <w:color w:val="auto"/>
          <w:sz w:val="32"/>
          <w:szCs w:val="32"/>
          <w:lang w:val="en-US" w:eastAsia="zh-CN"/>
        </w:rPr>
        <w:t>专家</w:t>
      </w:r>
      <w:r>
        <w:rPr>
          <w:rFonts w:hint="eastAsia" w:ascii="仿宋_GB2312" w:hAnsi="仿宋_GB2312" w:eastAsia="仿宋_GB2312" w:cs="仿宋_GB2312"/>
          <w:color w:val="auto"/>
          <w:sz w:val="32"/>
          <w:szCs w:val="32"/>
          <w:lang w:eastAsia="zh-CN"/>
        </w:rPr>
        <w:t>帮扶进行</w:t>
      </w:r>
      <w:r>
        <w:rPr>
          <w:rFonts w:hint="eastAsia" w:ascii="仿宋_GB2312" w:hAnsi="仿宋_GB2312" w:eastAsia="仿宋_GB2312" w:cs="仿宋_GB2312"/>
          <w:color w:val="auto"/>
          <w:sz w:val="32"/>
          <w:szCs w:val="32"/>
          <w:lang w:val="en-US" w:eastAsia="zh-CN"/>
        </w:rPr>
        <w:t>上门服务</w:t>
      </w:r>
      <w:r>
        <w:rPr>
          <w:rFonts w:hint="eastAsia" w:ascii="仿宋_GB2312" w:hAnsi="仿宋_GB2312" w:eastAsia="仿宋_GB2312" w:cs="仿宋_GB2312"/>
          <w:color w:val="auto"/>
          <w:sz w:val="32"/>
          <w:szCs w:val="32"/>
        </w:rPr>
        <w:t>，帮助科室</w:t>
      </w:r>
      <w:r>
        <w:rPr>
          <w:rFonts w:hint="eastAsia" w:ascii="仿宋_GB2312" w:hAnsi="仿宋_GB2312" w:eastAsia="仿宋_GB2312" w:cs="仿宋_GB2312"/>
          <w:color w:val="auto"/>
          <w:sz w:val="32"/>
          <w:szCs w:val="32"/>
          <w:lang w:val="en-US" w:eastAsia="zh-CN"/>
        </w:rPr>
        <w:t>健全</w:t>
      </w:r>
      <w:r>
        <w:rPr>
          <w:rFonts w:hint="eastAsia" w:ascii="仿宋_GB2312" w:hAnsi="仿宋_GB2312" w:eastAsia="仿宋_GB2312" w:cs="仿宋_GB2312"/>
          <w:color w:val="auto"/>
          <w:sz w:val="32"/>
          <w:szCs w:val="32"/>
        </w:rPr>
        <w:t>各项规章制度，规范医疗行为，开展临床指导及学术讲座培训</w:t>
      </w:r>
      <w:r>
        <w:rPr>
          <w:rFonts w:hint="eastAsia" w:ascii="仿宋_GB2312" w:hAnsi="仿宋_GB2312" w:eastAsia="仿宋_GB2312" w:cs="仿宋_GB2312"/>
          <w:color w:val="auto"/>
          <w:sz w:val="32"/>
          <w:szCs w:val="32"/>
          <w:lang w:val="en-US" w:eastAsia="zh-CN"/>
        </w:rPr>
        <w:t>达46次</w:t>
      </w:r>
      <w:r>
        <w:rPr>
          <w:rFonts w:hint="eastAsia" w:ascii="仿宋_GB2312" w:hAnsi="仿宋_GB2312" w:eastAsia="仿宋_GB2312" w:cs="仿宋_GB2312"/>
          <w:color w:val="auto"/>
          <w:sz w:val="32"/>
          <w:szCs w:val="32"/>
        </w:rPr>
        <w:t>，把三甲医院先进的诊疗技术及管理经验带到我院，并逐步取得实效，通过对口支援各位老师在日常工作中的“传、帮、带”，让我院年轻医生尽快成长。</w:t>
      </w:r>
    </w:p>
    <w:p>
      <w:pPr>
        <w:pageBreakBefore w:val="0"/>
        <w:kinsoku/>
        <w:wordWrap/>
        <w:overflowPunct/>
        <w:topLinePunct w:val="0"/>
        <w:autoSpaceDE/>
        <w:autoSpaceDN/>
        <w:bidi w:val="0"/>
        <w:adjustRightInd/>
        <w:snapToGrid/>
        <w:spacing w:line="56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我院</w:t>
      </w:r>
      <w:r>
        <w:rPr>
          <w:rFonts w:hint="eastAsia" w:ascii="仿宋_GB2312" w:hAnsi="仿宋_GB2312" w:eastAsia="仿宋_GB2312" w:cs="仿宋_GB2312"/>
          <w:bCs/>
          <w:color w:val="auto"/>
          <w:sz w:val="32"/>
          <w:szCs w:val="32"/>
          <w:lang w:eastAsia="zh-CN"/>
        </w:rPr>
        <w:t>上半年</w:t>
      </w:r>
      <w:r>
        <w:rPr>
          <w:rFonts w:hint="eastAsia" w:ascii="仿宋_GB2312" w:hAnsi="仿宋_GB2312" w:eastAsia="仿宋_GB2312" w:cs="仿宋_GB2312"/>
          <w:bCs/>
          <w:color w:val="auto"/>
          <w:sz w:val="32"/>
          <w:szCs w:val="32"/>
        </w:rPr>
        <w:t>安排</w:t>
      </w:r>
      <w:r>
        <w:rPr>
          <w:rFonts w:hint="eastAsia" w:ascii="仿宋_GB2312" w:hAnsi="仿宋_GB2312" w:eastAsia="仿宋_GB2312" w:cs="仿宋_GB2312"/>
          <w:bCs/>
          <w:color w:val="auto"/>
          <w:sz w:val="32"/>
          <w:szCs w:val="32"/>
          <w:lang w:val="en-US" w:eastAsia="zh-CN"/>
        </w:rPr>
        <w:t>班子成员和业务骨干2</w:t>
      </w:r>
      <w:r>
        <w:rPr>
          <w:rFonts w:hint="eastAsia" w:ascii="仿宋_GB2312" w:hAnsi="仿宋_GB2312" w:eastAsia="仿宋_GB2312" w:cs="仿宋_GB2312"/>
          <w:bCs/>
          <w:color w:val="auto"/>
          <w:sz w:val="32"/>
          <w:szCs w:val="32"/>
        </w:rPr>
        <w:t>人</w:t>
      </w:r>
      <w:r>
        <w:rPr>
          <w:rFonts w:hint="eastAsia" w:ascii="仿宋_GB2312" w:hAnsi="仿宋_GB2312" w:eastAsia="仿宋_GB2312" w:cs="仿宋_GB2312"/>
          <w:bCs/>
          <w:color w:val="auto"/>
          <w:sz w:val="32"/>
          <w:szCs w:val="32"/>
          <w:lang w:eastAsia="zh-CN"/>
        </w:rPr>
        <w:t>到绵阳市</w:t>
      </w:r>
      <w:r>
        <w:rPr>
          <w:rFonts w:hint="eastAsia" w:ascii="仿宋_GB2312" w:hAnsi="仿宋_GB2312" w:eastAsia="仿宋_GB2312" w:cs="仿宋_GB2312"/>
          <w:bCs/>
          <w:color w:val="auto"/>
          <w:sz w:val="32"/>
          <w:szCs w:val="32"/>
          <w:lang w:val="en-US" w:eastAsia="zh-CN"/>
        </w:rPr>
        <w:t>进修培训</w:t>
      </w:r>
      <w:r>
        <w:rPr>
          <w:rFonts w:hint="eastAsia" w:ascii="仿宋_GB2312" w:hAnsi="仿宋_GB2312" w:eastAsia="仿宋_GB2312" w:cs="仿宋_GB2312"/>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（五）提升医技软实力。</w:t>
      </w:r>
      <w:r>
        <w:rPr>
          <w:rFonts w:hint="eastAsia" w:ascii="仿宋_GB2312" w:hAnsi="仿宋_GB2312" w:eastAsia="仿宋_GB2312" w:cs="仿宋_GB2312"/>
          <w:sz w:val="32"/>
          <w:szCs w:val="32"/>
          <w:lang w:val="en-US" w:eastAsia="zh-CN"/>
        </w:rPr>
        <w:t>医疗人才队伍建设，从单一型向多元化转变。医疗服务能力建设，从规模扩张型向提质增效型转变。</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组团帮扶提实力。2021年1月，绵阳市第三人民医院红原分院正式挂牌，特派出肝胆脾胰外科副主任医师万祎同志担任我院执行副院长，组建“1+N”管理团队全方位托管我院。2022年5月绵阳市派绵阳市第三人民医院游仙区分院副院长邓江川同志担任我院院长，与盐亭县人民医院共计7人深化“组团式”帮扶工作。组建“院长+学科带头人+骨干管理队伍”的帮扶团队，改变“零星凑合”选派方式，采取“师傅带徒弟”“团队带团队”等方式，通过从管理、技术、人才、理念、品牌等方面把三级医院优质资源进行多维度移植，建立管理一体化、派驻专家常态化、人才培养系统化、诊疗技术同质化、诊疗服务网络化的医联体工作路径，先期完成了新生儿科、重症医学科专科联盟建设，探索形成了原医联体内“医院对医院”帮扶模式，实现了“科室对科室”精准帮扶，实现从患者“外流”严重到“回归”点赞，让牧区群众就地就能享受到有精度更有温度的医疗服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借智引力补短板。不断深化东西部协作和省内对口帮扶工作，2018年以来，118名援助医师“传帮带”165人本地医生，“手把手”带教帮扶，66名本地医生能独立开展1—2种新技术，填补了腹腔镜微创手术、无痛电子胃肠镜、CT增强技术、癌痛规范化诊治等多项项医疗服务短板。如，四川省绵阳市第三人医院肝胆外科副主任医师万祎通过“师带徒”，我院外科王建军医师能独立开展腹腔镜胆囊切除和阑尾切除术等。</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区域联盟强学科。探索建立医疗人才常态化帮扶机制，与浙江、绵阳等医院签订组团式帮扶协议，在专科建设、医疗人才队伍建设、柔性选派、紧密医联体等方面开展“一对一”帮扶工作。（如，绵阳市第三人民医院放射科李宏伟主治医师，结对帮扶县医院放射科主治医师罗文军，独立开展增强CT技术。）连续四年干部职工在家门口健康体检。</w:t>
      </w:r>
      <w:bookmarkStart w:id="17" w:name="_Hlk99910024"/>
    </w:p>
    <w:bookmarkEnd w:id="17"/>
    <w:p>
      <w:pPr>
        <w:pageBreakBefore w:val="0"/>
        <w:kinsoku/>
        <w:wordWrap/>
        <w:overflowPunct/>
        <w:topLinePunct w:val="0"/>
        <w:autoSpaceDE/>
        <w:autoSpaceDN/>
        <w:bidi w:val="0"/>
        <w:adjustRightInd/>
        <w:snapToGrid/>
        <w:spacing w:line="560" w:lineRule="exact"/>
        <w:textAlignment w:val="auto"/>
      </w:pPr>
    </w:p>
    <w:p>
      <w:pPr>
        <w:pStyle w:val="4"/>
        <w:pageBreakBefore w:val="0"/>
        <w:kinsoku/>
        <w:wordWrap/>
        <w:overflowPunct/>
        <w:topLinePunct w:val="0"/>
        <w:autoSpaceDE/>
        <w:autoSpaceDN/>
        <w:bidi w:val="0"/>
        <w:adjustRightInd/>
        <w:snapToGrid/>
        <w:spacing w:line="560" w:lineRule="exact"/>
        <w:ind w:right="440"/>
        <w:jc w:val="both"/>
        <w:textAlignment w:val="auto"/>
      </w:pPr>
      <w:bookmarkStart w:id="18" w:name="_Toc15377204"/>
      <w:bookmarkStart w:id="19" w:name="_Toc15396602"/>
      <w:r>
        <w:rPr>
          <w:rFonts w:hint="eastAsia" w:ascii="黑体" w:eastAsia="黑体"/>
          <w:b w:val="0"/>
          <w:lang w:val="en-US" w:eastAsia="zh-CN"/>
        </w:rPr>
        <w:t xml:space="preserve"> </w:t>
      </w:r>
      <w:r>
        <w:rPr>
          <w:rFonts w:hint="eastAsia" w:ascii="黑体" w:eastAsia="黑体"/>
          <w:b w:val="0"/>
        </w:rPr>
        <w:t>第二部分 202</w:t>
      </w:r>
      <w:r>
        <w:rPr>
          <w:rFonts w:hint="eastAsia" w:ascii="黑体" w:eastAsia="黑体"/>
          <w:b w:val="0"/>
          <w:lang w:val="en-US" w:eastAsia="zh-CN"/>
        </w:rPr>
        <w:t>2</w:t>
      </w:r>
      <w:r>
        <w:rPr>
          <w:rFonts w:hint="eastAsia" w:ascii="黑体" w:eastAsia="黑体"/>
          <w:b w:val="0"/>
        </w:rPr>
        <w:t>年度</w:t>
      </w:r>
      <w:r>
        <w:rPr>
          <w:rStyle w:val="22"/>
          <w:rFonts w:hint="eastAsia" w:ascii="黑体" w:eastAsia="黑体"/>
          <w:b w:val="0"/>
          <w:bCs/>
        </w:rPr>
        <w:t>单位决算情况说明</w:t>
      </w:r>
      <w:bookmarkEnd w:id="18"/>
      <w:bookmarkEnd w:id="19"/>
    </w:p>
    <w:p>
      <w:pPr>
        <w:pStyle w:val="28"/>
        <w:pageBreakBefore w:val="0"/>
        <w:numPr>
          <w:ilvl w:val="0"/>
          <w:numId w:val="1"/>
        </w:numPr>
        <w:kinsoku/>
        <w:wordWrap/>
        <w:overflowPunct/>
        <w:topLinePunct w:val="0"/>
        <w:autoSpaceDE/>
        <w:autoSpaceDN/>
        <w:bidi w:val="0"/>
        <w:adjustRightInd/>
        <w:snapToGrid/>
        <w:spacing w:line="560" w:lineRule="exact"/>
        <w:ind w:firstLineChars="0"/>
        <w:textAlignment w:val="auto"/>
        <w:outlineLvl w:val="1"/>
        <w:rPr>
          <w:rStyle w:val="23"/>
          <w:rFonts w:ascii="黑体" w:eastAsia="黑体"/>
          <w:b w:val="0"/>
        </w:rPr>
      </w:pPr>
      <w:bookmarkStart w:id="20" w:name="_Toc15377205"/>
      <w:bookmarkStart w:id="21" w:name="_Toc15396603"/>
      <w:r>
        <w:rPr>
          <w:rFonts w:hint="eastAsia" w:ascii="黑体" w:eastAsia="黑体"/>
          <w:sz w:val="32"/>
          <w:szCs w:val="32"/>
        </w:rPr>
        <w:t>收</w:t>
      </w:r>
      <w:r>
        <w:rPr>
          <w:rStyle w:val="23"/>
          <w:rFonts w:hint="eastAsia" w:ascii="黑体" w:eastAsia="黑体"/>
          <w:b w:val="0"/>
        </w:rPr>
        <w:t>入支出决算总体情况说明</w:t>
      </w:r>
      <w:bookmarkEnd w:id="20"/>
      <w:bookmarkEnd w:id="21"/>
    </w:p>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ind w:left="0" w:firstLine="640" w:firstLineChars="200"/>
        <w:jc w:val="both"/>
        <w:textAlignment w:val="auto"/>
        <w:rPr>
          <w:rFonts w:ascii="仿宋" w:eastAsia="仿宋"/>
          <w:sz w:val="32"/>
          <w:szCs w:val="32"/>
        </w:rPr>
      </w:pPr>
      <w:r>
        <w:rPr>
          <w:rFonts w:hint="eastAsia" w:ascii="仿宋" w:eastAsia="仿宋"/>
          <w:sz w:val="32"/>
          <w:szCs w:val="32"/>
        </w:rPr>
        <w:t>202</w:t>
      </w:r>
      <w:r>
        <w:rPr>
          <w:rFonts w:hint="eastAsia" w:ascii="仿宋" w:eastAsia="仿宋"/>
          <w:sz w:val="32"/>
          <w:szCs w:val="32"/>
          <w:lang w:val="en-US" w:eastAsia="zh-CN"/>
        </w:rPr>
        <w:t>2</w:t>
      </w:r>
      <w:r>
        <w:rPr>
          <w:rFonts w:hint="eastAsia" w:ascii="仿宋" w:eastAsia="仿宋"/>
          <w:sz w:val="32"/>
          <w:szCs w:val="32"/>
        </w:rPr>
        <w:t>年度收</w:t>
      </w:r>
      <w:r>
        <w:rPr>
          <w:rFonts w:hint="eastAsia" w:ascii="仿宋" w:eastAsia="仿宋"/>
          <w:sz w:val="32"/>
          <w:szCs w:val="32"/>
          <w:lang w:val="en-US" w:eastAsia="zh-CN"/>
        </w:rPr>
        <w:t>入2867.91</w:t>
      </w:r>
      <w:r>
        <w:rPr>
          <w:rFonts w:hint="eastAsia" w:ascii="仿宋" w:eastAsia="仿宋"/>
          <w:sz w:val="32"/>
          <w:szCs w:val="32"/>
        </w:rPr>
        <w:t>万元、支</w:t>
      </w:r>
      <w:r>
        <w:rPr>
          <w:rFonts w:hint="eastAsia" w:ascii="仿宋" w:eastAsia="仿宋"/>
          <w:sz w:val="32"/>
          <w:szCs w:val="32"/>
          <w:lang w:val="en-US" w:eastAsia="zh-CN"/>
        </w:rPr>
        <w:t>出3015.28</w:t>
      </w:r>
      <w:r>
        <w:rPr>
          <w:rFonts w:hint="eastAsia" w:ascii="仿宋" w:eastAsia="仿宋"/>
          <w:sz w:val="32"/>
          <w:szCs w:val="32"/>
        </w:rPr>
        <w:t>万元。与202</w:t>
      </w:r>
      <w:r>
        <w:rPr>
          <w:rFonts w:hint="eastAsia" w:ascii="仿宋" w:eastAsia="仿宋"/>
          <w:sz w:val="32"/>
          <w:szCs w:val="32"/>
          <w:lang w:val="en-US" w:eastAsia="zh-CN"/>
        </w:rPr>
        <w:t>1</w:t>
      </w:r>
      <w:r>
        <w:rPr>
          <w:rFonts w:hint="eastAsia" w:ascii="仿宋" w:eastAsia="仿宋"/>
          <w:sz w:val="32"/>
          <w:szCs w:val="32"/>
        </w:rPr>
        <w:t>年相比，</w:t>
      </w:r>
      <w:r>
        <w:rPr>
          <w:rFonts w:hint="eastAsia" w:ascii="仿宋" w:eastAsia="仿宋"/>
          <w:color w:val="auto"/>
          <w:sz w:val="32"/>
          <w:szCs w:val="32"/>
        </w:rPr>
        <w:t>收</w:t>
      </w:r>
      <w:r>
        <w:rPr>
          <w:rFonts w:hint="eastAsia" w:ascii="仿宋" w:eastAsia="仿宋"/>
          <w:color w:val="auto"/>
          <w:sz w:val="32"/>
          <w:szCs w:val="32"/>
          <w:lang w:val="en-US" w:eastAsia="zh-CN"/>
        </w:rPr>
        <w:t>入减少2585.99</w:t>
      </w:r>
      <w:r>
        <w:rPr>
          <w:rFonts w:hint="eastAsia" w:ascii="仿宋" w:eastAsia="仿宋"/>
          <w:color w:val="auto"/>
          <w:sz w:val="32"/>
          <w:szCs w:val="32"/>
        </w:rPr>
        <w:t>万元、支</w:t>
      </w:r>
      <w:r>
        <w:rPr>
          <w:rFonts w:hint="eastAsia" w:ascii="仿宋" w:eastAsia="仿宋"/>
          <w:color w:val="auto"/>
          <w:sz w:val="32"/>
          <w:szCs w:val="32"/>
          <w:lang w:val="en-US" w:eastAsia="zh-CN"/>
        </w:rPr>
        <w:t>出</w:t>
      </w:r>
      <w:r>
        <w:rPr>
          <w:rFonts w:hint="eastAsia" w:ascii="仿宋" w:eastAsia="仿宋"/>
          <w:color w:val="auto"/>
          <w:sz w:val="32"/>
          <w:szCs w:val="32"/>
        </w:rPr>
        <w:t>减少</w:t>
      </w:r>
      <w:r>
        <w:rPr>
          <w:rFonts w:hint="eastAsia" w:ascii="仿宋" w:eastAsia="仿宋"/>
          <w:color w:val="auto"/>
          <w:sz w:val="32"/>
          <w:szCs w:val="32"/>
          <w:lang w:val="en-US" w:eastAsia="zh-CN"/>
        </w:rPr>
        <w:t>2585.95</w:t>
      </w:r>
      <w:r>
        <w:rPr>
          <w:rFonts w:hint="eastAsia" w:ascii="仿宋" w:eastAsia="仿宋"/>
          <w:color w:val="auto"/>
          <w:sz w:val="32"/>
          <w:szCs w:val="32"/>
        </w:rPr>
        <w:t>万元，收</w:t>
      </w:r>
      <w:r>
        <w:rPr>
          <w:rFonts w:hint="eastAsia" w:ascii="仿宋" w:eastAsia="仿宋"/>
          <w:color w:val="auto"/>
          <w:sz w:val="32"/>
          <w:szCs w:val="32"/>
          <w:lang w:val="en-US" w:eastAsia="zh-CN"/>
        </w:rPr>
        <w:t>入</w:t>
      </w:r>
      <w:r>
        <w:rPr>
          <w:rFonts w:hint="eastAsia" w:ascii="仿宋" w:eastAsia="仿宋"/>
          <w:color w:val="auto"/>
          <w:sz w:val="32"/>
          <w:szCs w:val="32"/>
        </w:rPr>
        <w:t>下降</w:t>
      </w:r>
      <w:r>
        <w:rPr>
          <w:rFonts w:hint="eastAsia" w:ascii="仿宋" w:eastAsia="仿宋"/>
          <w:color w:val="auto"/>
          <w:sz w:val="32"/>
          <w:szCs w:val="32"/>
          <w:lang w:val="en-US" w:eastAsia="zh-CN"/>
        </w:rPr>
        <w:t>47</w:t>
      </w:r>
      <w:r>
        <w:rPr>
          <w:rFonts w:ascii="仿宋" w:eastAsia="仿宋"/>
          <w:color w:val="auto"/>
          <w:sz w:val="32"/>
          <w:szCs w:val="32"/>
        </w:rPr>
        <w:t>%</w:t>
      </w:r>
      <w:r>
        <w:rPr>
          <w:rFonts w:hint="eastAsia" w:ascii="仿宋" w:eastAsia="仿宋"/>
          <w:color w:val="auto"/>
          <w:sz w:val="32"/>
          <w:szCs w:val="32"/>
          <w:lang w:eastAsia="zh-CN"/>
        </w:rPr>
        <w:t>，</w:t>
      </w:r>
      <w:r>
        <w:rPr>
          <w:rFonts w:hint="eastAsia" w:ascii="仿宋" w:eastAsia="仿宋"/>
          <w:color w:val="auto"/>
          <w:sz w:val="32"/>
          <w:szCs w:val="32"/>
        </w:rPr>
        <w:t>支</w:t>
      </w:r>
      <w:r>
        <w:rPr>
          <w:rFonts w:hint="eastAsia" w:ascii="仿宋" w:eastAsia="仿宋"/>
          <w:color w:val="auto"/>
          <w:sz w:val="32"/>
          <w:szCs w:val="32"/>
          <w:lang w:val="en-US" w:eastAsia="zh-CN"/>
        </w:rPr>
        <w:t>出</w:t>
      </w:r>
      <w:r>
        <w:rPr>
          <w:rFonts w:hint="eastAsia" w:ascii="仿宋" w:eastAsia="仿宋"/>
          <w:color w:val="auto"/>
          <w:sz w:val="32"/>
          <w:szCs w:val="32"/>
        </w:rPr>
        <w:t>下降</w:t>
      </w:r>
      <w:r>
        <w:rPr>
          <w:rFonts w:hint="eastAsia" w:ascii="仿宋" w:eastAsia="仿宋"/>
          <w:color w:val="auto"/>
          <w:sz w:val="32"/>
          <w:szCs w:val="32"/>
          <w:lang w:val="en-US" w:eastAsia="zh-CN"/>
        </w:rPr>
        <w:t>46</w:t>
      </w:r>
      <w:r>
        <w:rPr>
          <w:rFonts w:ascii="仿宋" w:eastAsia="仿宋"/>
          <w:color w:val="auto"/>
          <w:sz w:val="32"/>
          <w:szCs w:val="32"/>
        </w:rPr>
        <w:t>%</w:t>
      </w:r>
      <w:r>
        <w:rPr>
          <w:rFonts w:hint="eastAsia" w:ascii="仿宋" w:eastAsia="仿宋"/>
          <w:color w:val="auto"/>
          <w:sz w:val="32"/>
          <w:szCs w:val="32"/>
        </w:rPr>
        <w:t>。</w:t>
      </w:r>
      <w:r>
        <w:rPr>
          <w:rFonts w:hint="eastAsia" w:ascii="仿宋" w:eastAsia="仿宋"/>
          <w:sz w:val="32"/>
          <w:szCs w:val="32"/>
          <w:lang w:val="en-US" w:eastAsia="zh-CN"/>
        </w:rPr>
        <w:t>主要变动原因是今年预算一体化新系统上线事业收入和事业支出未纳入决算数所以本年收入支出数变动较大。</w:t>
      </w:r>
    </w:p>
    <w:p>
      <w:pPr>
        <w:pStyle w:val="10"/>
      </w:pPr>
      <w:r>
        <w:drawing>
          <wp:inline distT="0" distB="0" distL="114300" distR="114300">
            <wp:extent cx="4874260" cy="2353310"/>
            <wp:effectExtent l="4445" t="5080" r="17145" b="2286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10"/>
        <w:ind w:left="0" w:leftChars="0" w:firstLine="0" w:firstLineChars="0"/>
      </w:pPr>
    </w:p>
    <w:p>
      <w:pPr>
        <w:pStyle w:val="28"/>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textAlignment w:val="auto"/>
        <w:outlineLvl w:val="1"/>
        <w:rPr>
          <w:rStyle w:val="23"/>
          <w:rFonts w:ascii="黑体" w:eastAsia="黑体"/>
          <w:b w:val="0"/>
        </w:rPr>
      </w:pPr>
      <w:bookmarkStart w:id="22" w:name="_Toc15396604"/>
      <w:bookmarkStart w:id="23" w:name="_Toc15377206"/>
      <w:r>
        <w:rPr>
          <w:rFonts w:hint="eastAsia" w:ascii="黑体" w:eastAsia="黑体"/>
          <w:sz w:val="32"/>
          <w:szCs w:val="32"/>
        </w:rPr>
        <w:t>收</w:t>
      </w:r>
      <w:r>
        <w:rPr>
          <w:rStyle w:val="23"/>
          <w:rFonts w:hint="eastAsia" w:ascii="黑体" w:eastAsia="黑体"/>
          <w:b w:val="0"/>
        </w:rPr>
        <w:t>入决算情况说明</w:t>
      </w:r>
      <w:bookmarkEnd w:id="22"/>
      <w:bookmarkEnd w:id="2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eastAsia="仿宋"/>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年本年收入合计</w:t>
      </w:r>
      <w:r>
        <w:rPr>
          <w:rFonts w:hint="eastAsia" w:ascii="仿宋" w:eastAsia="仿宋"/>
          <w:sz w:val="32"/>
          <w:szCs w:val="32"/>
          <w:lang w:val="en-US" w:eastAsia="zh-CN"/>
        </w:rPr>
        <w:t>2867.91</w:t>
      </w:r>
      <w:r>
        <w:rPr>
          <w:rFonts w:hint="eastAsia" w:ascii="仿宋" w:eastAsia="仿宋"/>
          <w:sz w:val="32"/>
          <w:szCs w:val="32"/>
        </w:rPr>
        <w:t>万元，其中：一般公共预算财政拨款收入</w:t>
      </w:r>
      <w:r>
        <w:rPr>
          <w:rFonts w:hint="eastAsia" w:ascii="仿宋" w:eastAsia="仿宋"/>
          <w:sz w:val="32"/>
          <w:szCs w:val="32"/>
          <w:lang w:val="en-US" w:eastAsia="zh-CN"/>
        </w:rPr>
        <w:t>2853.23</w:t>
      </w:r>
      <w:r>
        <w:rPr>
          <w:rFonts w:hint="eastAsia" w:ascii="仿宋" w:eastAsia="仿宋"/>
          <w:sz w:val="32"/>
          <w:szCs w:val="32"/>
        </w:rPr>
        <w:t>万元，占</w:t>
      </w:r>
      <w:r>
        <w:rPr>
          <w:rFonts w:hint="eastAsia" w:ascii="仿宋" w:eastAsia="仿宋"/>
          <w:sz w:val="32"/>
          <w:szCs w:val="32"/>
          <w:lang w:val="en-US" w:eastAsia="zh-CN"/>
        </w:rPr>
        <w:t>99.5</w:t>
      </w:r>
      <w:r>
        <w:rPr>
          <w:rFonts w:hint="eastAsia" w:ascii="仿宋" w:eastAsia="仿宋"/>
          <w:sz w:val="32"/>
          <w:szCs w:val="32"/>
        </w:rPr>
        <w:t>%；政府性基金预算财政拨款收入</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hint="eastAsia" w:ascii="仿宋" w:eastAsia="仿宋"/>
          <w:sz w:val="32"/>
          <w:szCs w:val="32"/>
        </w:rPr>
        <w:t>%；国有资本经营预算财政拨款收入</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hint="eastAsia" w:ascii="仿宋" w:eastAsia="仿宋"/>
          <w:sz w:val="32"/>
          <w:szCs w:val="32"/>
        </w:rPr>
        <w:t>%；上级补助收入</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hint="eastAsia" w:ascii="仿宋" w:eastAsia="仿宋"/>
          <w:sz w:val="32"/>
          <w:szCs w:val="32"/>
        </w:rPr>
        <w:t>%；事业收入</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hint="eastAsia" w:ascii="仿宋" w:eastAsia="仿宋"/>
          <w:sz w:val="32"/>
          <w:szCs w:val="32"/>
        </w:rPr>
        <w:t>%；经营收入</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hint="eastAsia" w:ascii="仿宋" w:eastAsia="仿宋"/>
          <w:sz w:val="32"/>
          <w:szCs w:val="32"/>
        </w:rPr>
        <w:t>%；附属单位上缴收入</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hint="eastAsia" w:ascii="仿宋" w:eastAsia="仿宋"/>
          <w:sz w:val="32"/>
          <w:szCs w:val="32"/>
        </w:rPr>
        <w:t>%；其他收入</w:t>
      </w:r>
      <w:r>
        <w:rPr>
          <w:rFonts w:hint="eastAsia" w:ascii="仿宋" w:eastAsia="仿宋"/>
          <w:sz w:val="32"/>
          <w:szCs w:val="32"/>
          <w:lang w:val="en-US" w:eastAsia="zh-CN"/>
        </w:rPr>
        <w:t>14.69</w:t>
      </w:r>
      <w:r>
        <w:rPr>
          <w:rFonts w:hint="eastAsia" w:ascii="仿宋" w:eastAsia="仿宋"/>
          <w:sz w:val="32"/>
          <w:szCs w:val="32"/>
        </w:rPr>
        <w:t>万元，占</w:t>
      </w:r>
      <w:r>
        <w:rPr>
          <w:rFonts w:hint="eastAsia" w:ascii="仿宋" w:eastAsia="仿宋"/>
          <w:sz w:val="32"/>
          <w:szCs w:val="32"/>
          <w:lang w:val="en-US" w:eastAsia="zh-CN"/>
        </w:rPr>
        <w:t>0.5</w:t>
      </w:r>
      <w:r>
        <w:rPr>
          <w:rFonts w:hint="eastAsia" w:ascii="仿宋" w:eastAsia="仿宋"/>
          <w:sz w:val="32"/>
          <w:szCs w:val="32"/>
        </w:rPr>
        <w:t>%。</w:t>
      </w:r>
    </w:p>
    <w:p>
      <w:pPr>
        <w:pStyle w:val="10"/>
        <w:rPr>
          <w:rFonts w:ascii="仿宋_GB2312" w:eastAsia="仿宋_GB2312"/>
          <w:sz w:val="32"/>
          <w:szCs w:val="32"/>
        </w:rPr>
      </w:pPr>
      <w:r>
        <w:drawing>
          <wp:inline distT="0" distB="0" distL="114300" distR="114300">
            <wp:extent cx="4549775" cy="2524125"/>
            <wp:effectExtent l="4445" t="4445" r="17780" b="508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28"/>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Chars="0"/>
        <w:textAlignment w:val="auto"/>
        <w:outlineLvl w:val="1"/>
        <w:rPr>
          <w:rStyle w:val="23"/>
          <w:rFonts w:ascii="黑体" w:eastAsia="黑体"/>
          <w:b w:val="0"/>
        </w:rPr>
      </w:pPr>
      <w:bookmarkStart w:id="24" w:name="_Toc15396605"/>
      <w:bookmarkStart w:id="25" w:name="_Toc15377207"/>
      <w:r>
        <w:rPr>
          <w:rFonts w:hint="eastAsia" w:ascii="黑体" w:eastAsia="黑体"/>
          <w:sz w:val="32"/>
          <w:szCs w:val="32"/>
        </w:rPr>
        <w:t>支</w:t>
      </w:r>
      <w:r>
        <w:rPr>
          <w:rStyle w:val="23"/>
          <w:rFonts w:hint="eastAsia" w:ascii="黑体" w:eastAsia="黑体"/>
          <w:b w:val="0"/>
        </w:rPr>
        <w:t>出决算情况说明</w:t>
      </w:r>
      <w:bookmarkEnd w:id="24"/>
      <w:bookmarkEnd w:id="2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仿宋" w:eastAsia="仿宋"/>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年本年支出合计</w:t>
      </w:r>
      <w:r>
        <w:rPr>
          <w:rFonts w:hint="eastAsia" w:ascii="仿宋" w:eastAsia="仿宋"/>
          <w:sz w:val="32"/>
          <w:szCs w:val="32"/>
          <w:lang w:val="en-US" w:eastAsia="zh-CN"/>
        </w:rPr>
        <w:t>3015.28</w:t>
      </w:r>
      <w:r>
        <w:rPr>
          <w:rFonts w:hint="eastAsia" w:ascii="仿宋" w:eastAsia="仿宋"/>
          <w:sz w:val="32"/>
          <w:szCs w:val="32"/>
        </w:rPr>
        <w:t>万元，其中：基本支出</w:t>
      </w:r>
      <w:r>
        <w:rPr>
          <w:rFonts w:hint="eastAsia" w:ascii="仿宋" w:eastAsia="仿宋"/>
          <w:sz w:val="32"/>
          <w:szCs w:val="32"/>
          <w:lang w:val="en-US" w:eastAsia="zh-CN"/>
        </w:rPr>
        <w:t>2416.74</w:t>
      </w:r>
      <w:r>
        <w:rPr>
          <w:rFonts w:hint="eastAsia" w:ascii="仿宋" w:eastAsia="仿宋"/>
          <w:sz w:val="32"/>
          <w:szCs w:val="32"/>
        </w:rPr>
        <w:t>万元，占</w:t>
      </w:r>
      <w:r>
        <w:rPr>
          <w:rFonts w:hint="eastAsia" w:ascii="仿宋" w:eastAsia="仿宋"/>
          <w:sz w:val="32"/>
          <w:szCs w:val="32"/>
          <w:lang w:val="en-US" w:eastAsia="zh-CN"/>
        </w:rPr>
        <w:t>80</w:t>
      </w:r>
      <w:r>
        <w:rPr>
          <w:rFonts w:ascii="仿宋" w:eastAsia="仿宋"/>
          <w:sz w:val="32"/>
          <w:szCs w:val="32"/>
        </w:rPr>
        <w:t>%</w:t>
      </w:r>
      <w:r>
        <w:rPr>
          <w:rFonts w:hint="eastAsia" w:ascii="仿宋" w:eastAsia="仿宋"/>
          <w:sz w:val="32"/>
          <w:szCs w:val="32"/>
        </w:rPr>
        <w:t>；项目支出</w:t>
      </w:r>
      <w:r>
        <w:rPr>
          <w:rFonts w:hint="eastAsia" w:ascii="仿宋" w:eastAsia="仿宋"/>
          <w:sz w:val="32"/>
          <w:szCs w:val="32"/>
          <w:lang w:val="en-US" w:eastAsia="zh-CN"/>
        </w:rPr>
        <w:t>598.54</w:t>
      </w:r>
      <w:r>
        <w:rPr>
          <w:rFonts w:hint="eastAsia" w:ascii="仿宋" w:eastAsia="仿宋"/>
          <w:sz w:val="32"/>
          <w:szCs w:val="32"/>
        </w:rPr>
        <w:t>万元，占</w:t>
      </w:r>
      <w:r>
        <w:rPr>
          <w:rFonts w:hint="eastAsia" w:ascii="仿宋" w:eastAsia="仿宋"/>
          <w:sz w:val="32"/>
          <w:szCs w:val="32"/>
          <w:lang w:val="en-US" w:eastAsia="zh-CN"/>
        </w:rPr>
        <w:t>20</w:t>
      </w:r>
      <w:r>
        <w:rPr>
          <w:rFonts w:ascii="仿宋" w:eastAsia="仿宋"/>
          <w:sz w:val="32"/>
          <w:szCs w:val="32"/>
        </w:rPr>
        <w:t>%</w:t>
      </w:r>
      <w:r>
        <w:rPr>
          <w:rFonts w:hint="eastAsia" w:ascii="仿宋" w:eastAsia="仿宋"/>
          <w:sz w:val="32"/>
          <w:szCs w:val="32"/>
        </w:rPr>
        <w:t>；上缴上级支出</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；经营支出</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；对附属单位补助支出</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w:t>
      </w:r>
    </w:p>
    <w:p>
      <w:pPr>
        <w:pStyle w:val="10"/>
      </w:pPr>
      <w:r>
        <w:drawing>
          <wp:inline distT="0" distB="0" distL="114300" distR="114300">
            <wp:extent cx="4826000" cy="2743200"/>
            <wp:effectExtent l="4445" t="4445" r="825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Style w:val="23"/>
          <w:rFonts w:ascii="黑体" w:eastAsia="黑体"/>
          <w:b w:val="0"/>
        </w:rPr>
      </w:pPr>
      <w:bookmarkStart w:id="26" w:name="_Toc15396606"/>
      <w:bookmarkStart w:id="27" w:name="_Toc15377208"/>
      <w:r>
        <w:rPr>
          <w:rFonts w:hint="eastAsia" w:ascii="黑体" w:eastAsia="黑体"/>
          <w:color w:val="auto"/>
          <w:sz w:val="32"/>
          <w:szCs w:val="32"/>
        </w:rPr>
        <w:t>四、</w:t>
      </w:r>
      <w:r>
        <w:rPr>
          <w:rFonts w:hint="eastAsia" w:ascii="黑体" w:eastAsia="黑体"/>
          <w:sz w:val="32"/>
          <w:szCs w:val="32"/>
        </w:rPr>
        <w:t>财</w:t>
      </w:r>
      <w:r>
        <w:rPr>
          <w:rStyle w:val="23"/>
          <w:rFonts w:hint="eastAsia" w:ascii="黑体" w:eastAsia="黑体"/>
          <w:b w:val="0"/>
        </w:rPr>
        <w:t>政拨款收入支出决算总体情况说明</w:t>
      </w:r>
      <w:bookmarkEnd w:id="26"/>
      <w:bookmarkEnd w:id="27"/>
    </w:p>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ind w:left="0" w:firstLine="640" w:firstLineChars="200"/>
        <w:jc w:val="both"/>
        <w:textAlignment w:val="auto"/>
        <w:rPr>
          <w:rFonts w:hint="eastAsia" w:ascii="仿宋" w:eastAsia="仿宋"/>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年财政拨款收</w:t>
      </w:r>
      <w:r>
        <w:rPr>
          <w:rFonts w:hint="eastAsia" w:ascii="仿宋" w:eastAsia="仿宋"/>
          <w:sz w:val="32"/>
          <w:szCs w:val="32"/>
          <w:lang w:val="en-US" w:eastAsia="zh-CN"/>
        </w:rPr>
        <w:t>入2853.23</w:t>
      </w:r>
      <w:r>
        <w:rPr>
          <w:rFonts w:hint="eastAsia" w:ascii="仿宋" w:eastAsia="仿宋"/>
          <w:sz w:val="32"/>
          <w:szCs w:val="32"/>
        </w:rPr>
        <w:t>万元、支</w:t>
      </w:r>
      <w:r>
        <w:rPr>
          <w:rFonts w:hint="eastAsia" w:ascii="仿宋" w:eastAsia="仿宋"/>
          <w:sz w:val="32"/>
          <w:szCs w:val="32"/>
          <w:lang w:val="en-US" w:eastAsia="zh-CN"/>
        </w:rPr>
        <w:t>出3000.59</w:t>
      </w:r>
      <w:r>
        <w:rPr>
          <w:rFonts w:hint="eastAsia" w:ascii="仿宋" w:eastAsia="仿宋"/>
          <w:sz w:val="32"/>
          <w:szCs w:val="32"/>
        </w:rPr>
        <w:t>万元。与</w:t>
      </w: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1</w:t>
      </w:r>
      <w:r>
        <w:rPr>
          <w:rFonts w:hint="eastAsia" w:ascii="仿宋" w:eastAsia="仿宋"/>
          <w:sz w:val="32"/>
          <w:szCs w:val="32"/>
        </w:rPr>
        <w:t>年相比，财政拨款收</w:t>
      </w:r>
      <w:r>
        <w:rPr>
          <w:rFonts w:hint="eastAsia" w:ascii="仿宋" w:eastAsia="仿宋"/>
          <w:sz w:val="32"/>
          <w:szCs w:val="32"/>
          <w:lang w:val="en-US" w:eastAsia="zh-CN"/>
        </w:rPr>
        <w:t>入减少80.5</w:t>
      </w:r>
      <w:r>
        <w:rPr>
          <w:rFonts w:hint="eastAsia" w:ascii="仿宋" w:eastAsia="仿宋"/>
          <w:sz w:val="32"/>
          <w:szCs w:val="32"/>
        </w:rPr>
        <w:t>万元、支</w:t>
      </w:r>
      <w:r>
        <w:rPr>
          <w:rFonts w:hint="eastAsia" w:ascii="仿宋" w:eastAsia="仿宋"/>
          <w:sz w:val="32"/>
          <w:szCs w:val="32"/>
          <w:lang w:val="en-US" w:eastAsia="zh-CN"/>
        </w:rPr>
        <w:t>出减少316.67</w:t>
      </w:r>
      <w:r>
        <w:rPr>
          <w:rFonts w:hint="eastAsia" w:ascii="仿宋" w:eastAsia="仿宋"/>
          <w:sz w:val="32"/>
          <w:szCs w:val="32"/>
        </w:rPr>
        <w:t>万元</w:t>
      </w:r>
      <w:r>
        <w:rPr>
          <w:rFonts w:hint="eastAsia" w:ascii="仿宋" w:eastAsia="仿宋"/>
          <w:sz w:val="32"/>
          <w:szCs w:val="32"/>
          <w:lang w:eastAsia="zh-CN"/>
        </w:rPr>
        <w:t>，</w:t>
      </w:r>
      <w:r>
        <w:rPr>
          <w:rFonts w:hint="eastAsia" w:ascii="仿宋" w:eastAsia="仿宋"/>
          <w:sz w:val="32"/>
          <w:szCs w:val="32"/>
          <w:lang w:val="en-US" w:eastAsia="zh-CN"/>
        </w:rPr>
        <w:t>收入</w:t>
      </w:r>
      <w:r>
        <w:rPr>
          <w:rFonts w:hint="eastAsia" w:ascii="仿宋" w:eastAsia="仿宋"/>
          <w:sz w:val="32"/>
          <w:szCs w:val="32"/>
        </w:rPr>
        <w:t>下降</w:t>
      </w:r>
      <w:r>
        <w:rPr>
          <w:rFonts w:hint="eastAsia" w:ascii="仿宋" w:eastAsia="仿宋"/>
          <w:sz w:val="32"/>
          <w:szCs w:val="32"/>
          <w:lang w:val="en-US" w:eastAsia="zh-CN"/>
        </w:rPr>
        <w:t>2.7</w:t>
      </w:r>
      <w:r>
        <w:rPr>
          <w:rFonts w:hint="eastAsia" w:ascii="仿宋" w:eastAsia="仿宋"/>
          <w:sz w:val="32"/>
          <w:szCs w:val="32"/>
        </w:rPr>
        <w:t>%</w:t>
      </w:r>
      <w:r>
        <w:rPr>
          <w:rFonts w:hint="eastAsia" w:ascii="仿宋" w:eastAsia="仿宋"/>
          <w:sz w:val="32"/>
          <w:szCs w:val="32"/>
          <w:lang w:val="en-US" w:eastAsia="zh-CN"/>
        </w:rPr>
        <w:t>支出</w:t>
      </w:r>
      <w:r>
        <w:rPr>
          <w:rFonts w:hint="eastAsia" w:ascii="仿宋" w:eastAsia="仿宋"/>
          <w:sz w:val="32"/>
          <w:szCs w:val="32"/>
        </w:rPr>
        <w:t>下降</w:t>
      </w:r>
      <w:r>
        <w:rPr>
          <w:rFonts w:hint="eastAsia" w:ascii="仿宋" w:eastAsia="仿宋"/>
          <w:sz w:val="32"/>
          <w:szCs w:val="32"/>
          <w:lang w:val="en-US" w:eastAsia="zh-CN"/>
        </w:rPr>
        <w:t>9.5</w:t>
      </w:r>
      <w:r>
        <w:rPr>
          <w:rFonts w:hint="eastAsia" w:ascii="仿宋" w:eastAsia="仿宋"/>
          <w:sz w:val="32"/>
          <w:szCs w:val="32"/>
        </w:rPr>
        <w:t>%。主要变动原因是今年财政项目收支</w:t>
      </w:r>
      <w:r>
        <w:rPr>
          <w:rFonts w:hint="eastAsia" w:ascii="仿宋" w:eastAsia="仿宋"/>
          <w:sz w:val="32"/>
          <w:szCs w:val="32"/>
          <w:lang w:val="en-US" w:eastAsia="zh-CN"/>
        </w:rPr>
        <w:t>减少</w:t>
      </w:r>
      <w:r>
        <w:rPr>
          <w:rFonts w:hint="eastAsia" w:ascii="仿宋" w:eastAsia="仿宋"/>
          <w:sz w:val="32"/>
          <w:szCs w:val="32"/>
        </w:rPr>
        <w:t>。</w:t>
      </w:r>
    </w:p>
    <w:p>
      <w:pPr>
        <w:pStyle w:val="10"/>
        <w:tabs>
          <w:tab w:val="left" w:pos="898"/>
        </w:tabs>
        <w:rPr>
          <w:rFonts w:hint="eastAsia" w:ascii="仿宋" w:eastAsia="仿宋"/>
          <w:sz w:val="32"/>
          <w:szCs w:val="32"/>
        </w:rPr>
      </w:pPr>
      <w:r>
        <w:drawing>
          <wp:inline distT="0" distB="0" distL="114300" distR="114300">
            <wp:extent cx="4826000" cy="2454275"/>
            <wp:effectExtent l="4445" t="4445" r="8255" b="17780"/>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outlineLvl w:val="1"/>
        <w:rPr>
          <w:rStyle w:val="23"/>
          <w:rFonts w:ascii="黑体" w:eastAsia="黑体"/>
          <w:b w:val="0"/>
        </w:rPr>
      </w:pPr>
      <w:bookmarkStart w:id="28" w:name="_Toc15396607"/>
      <w:bookmarkStart w:id="29" w:name="_Toc15377209"/>
      <w:r>
        <w:rPr>
          <w:rFonts w:hint="eastAsia" w:ascii="黑体" w:eastAsia="黑体"/>
          <w:sz w:val="32"/>
          <w:szCs w:val="32"/>
        </w:rPr>
        <w:t>五、</w:t>
      </w:r>
      <w:r>
        <w:rPr>
          <w:rFonts w:hint="eastAsia" w:ascii="黑体" w:eastAsia="黑体"/>
          <w:b/>
          <w:sz w:val="32"/>
          <w:szCs w:val="32"/>
        </w:rPr>
        <w:t>一</w:t>
      </w:r>
      <w:r>
        <w:rPr>
          <w:rStyle w:val="23"/>
          <w:rFonts w:hint="eastAsia" w:ascii="黑体" w:eastAsia="黑体"/>
          <w:b w:val="0"/>
        </w:rPr>
        <w:t>般公共预算财政拨款支出决算情况说明</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ascii="仿宋" w:eastAsia="仿宋"/>
          <w:b/>
          <w:sz w:val="32"/>
          <w:szCs w:val="32"/>
        </w:rPr>
      </w:pPr>
      <w:bookmarkStart w:id="30" w:name="_Toc15377210"/>
      <w:r>
        <w:rPr>
          <w:rFonts w:hint="eastAsia" w:ascii="仿宋" w:eastAsia="仿宋"/>
          <w:b/>
          <w:sz w:val="32"/>
          <w:szCs w:val="32"/>
        </w:rPr>
        <w:t>（一）一般公共预算财政拨款支出决算总体情况</w:t>
      </w:r>
      <w:bookmarkEnd w:id="30"/>
    </w:p>
    <w:p>
      <w:pPr>
        <w:pStyle w:val="31"/>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ind w:left="0" w:firstLine="640" w:firstLineChars="200"/>
        <w:jc w:val="both"/>
        <w:textAlignment w:val="auto"/>
        <w:rPr>
          <w:rFonts w:hint="eastAsia" w:ascii="仿宋" w:eastAsia="仿宋"/>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年一般公共预算财政拨款支出</w:t>
      </w:r>
      <w:r>
        <w:rPr>
          <w:rFonts w:hint="eastAsia" w:ascii="仿宋" w:eastAsia="仿宋"/>
          <w:sz w:val="32"/>
          <w:szCs w:val="32"/>
          <w:lang w:val="en-US" w:eastAsia="zh-CN"/>
        </w:rPr>
        <w:t>3000.59</w:t>
      </w:r>
      <w:r>
        <w:rPr>
          <w:rFonts w:hint="eastAsia" w:ascii="仿宋" w:eastAsia="仿宋"/>
          <w:sz w:val="32"/>
          <w:szCs w:val="32"/>
        </w:rPr>
        <w:t>万元，占本年支出合计的</w:t>
      </w:r>
      <w:r>
        <w:rPr>
          <w:rFonts w:hint="eastAsia" w:ascii="仿宋" w:eastAsia="仿宋"/>
          <w:sz w:val="32"/>
          <w:szCs w:val="32"/>
          <w:lang w:val="en-US" w:eastAsia="zh-CN"/>
        </w:rPr>
        <w:t>100</w:t>
      </w:r>
      <w:r>
        <w:rPr>
          <w:rFonts w:ascii="仿宋" w:eastAsia="仿宋"/>
          <w:sz w:val="32"/>
          <w:szCs w:val="32"/>
        </w:rPr>
        <w:t>%</w:t>
      </w:r>
      <w:r>
        <w:rPr>
          <w:rFonts w:hint="eastAsia" w:ascii="仿宋" w:eastAsia="仿宋"/>
          <w:sz w:val="32"/>
          <w:szCs w:val="32"/>
        </w:rPr>
        <w:t>。与</w:t>
      </w: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1</w:t>
      </w:r>
      <w:r>
        <w:rPr>
          <w:rFonts w:hint="eastAsia" w:ascii="仿宋" w:eastAsia="仿宋"/>
          <w:sz w:val="32"/>
          <w:szCs w:val="32"/>
        </w:rPr>
        <w:t>年相比，一般公共预算财政拨款支出减少</w:t>
      </w:r>
      <w:r>
        <w:rPr>
          <w:rFonts w:hint="eastAsia" w:ascii="仿宋" w:eastAsia="仿宋"/>
          <w:sz w:val="32"/>
          <w:szCs w:val="32"/>
          <w:lang w:val="en-US" w:eastAsia="zh-CN"/>
        </w:rPr>
        <w:t>316.67</w:t>
      </w:r>
      <w:r>
        <w:rPr>
          <w:rFonts w:hint="eastAsia" w:ascii="仿宋" w:eastAsia="仿宋"/>
          <w:sz w:val="32"/>
          <w:szCs w:val="32"/>
        </w:rPr>
        <w:t>万元，下降</w:t>
      </w:r>
      <w:r>
        <w:rPr>
          <w:rFonts w:hint="eastAsia" w:ascii="仿宋" w:eastAsia="仿宋"/>
          <w:sz w:val="32"/>
          <w:szCs w:val="32"/>
          <w:lang w:val="en-US" w:eastAsia="zh-CN"/>
        </w:rPr>
        <w:t>9.5</w:t>
      </w:r>
      <w:r>
        <w:rPr>
          <w:rFonts w:ascii="仿宋" w:eastAsia="仿宋"/>
          <w:sz w:val="32"/>
          <w:szCs w:val="32"/>
        </w:rPr>
        <w:t>%</w:t>
      </w:r>
      <w:r>
        <w:rPr>
          <w:rFonts w:hint="eastAsia" w:ascii="仿宋" w:eastAsia="仿宋"/>
          <w:sz w:val="32"/>
          <w:szCs w:val="32"/>
        </w:rPr>
        <w:t>。主要变动原因是</w:t>
      </w:r>
      <w:r>
        <w:rPr>
          <w:rFonts w:hint="eastAsia" w:ascii="仿宋_GB2312" w:hAnsi="仿宋_GB2312" w:eastAsia="仿宋_GB2312" w:cs="仿宋_GB2312"/>
          <w:kern w:val="0"/>
          <w:sz w:val="32"/>
          <w:szCs w:val="32"/>
          <w:shd w:val="clear" w:color="auto" w:fill="FFFFFF"/>
        </w:rPr>
        <w:t>今年财政项目收支</w:t>
      </w:r>
      <w:r>
        <w:rPr>
          <w:rFonts w:hint="eastAsia" w:ascii="仿宋_GB2312" w:hAnsi="仿宋_GB2312" w:eastAsia="仿宋_GB2312" w:cs="仿宋_GB2312"/>
          <w:kern w:val="0"/>
          <w:sz w:val="32"/>
          <w:szCs w:val="32"/>
          <w:shd w:val="clear" w:color="auto" w:fill="FFFFFF"/>
          <w:lang w:val="en-US" w:eastAsia="zh-CN"/>
        </w:rPr>
        <w:t>减少</w:t>
      </w:r>
      <w:r>
        <w:rPr>
          <w:rFonts w:hint="eastAsia" w:ascii="仿宋_GB2312" w:hAnsi="仿宋_GB2312" w:eastAsia="仿宋_GB2312" w:cs="仿宋_GB2312"/>
          <w:kern w:val="0"/>
          <w:sz w:val="32"/>
          <w:szCs w:val="32"/>
          <w:shd w:val="clear" w:color="auto" w:fill="FFFFFF"/>
        </w:rPr>
        <w:t>。</w:t>
      </w:r>
    </w:p>
    <w:p>
      <w:pPr>
        <w:pStyle w:val="10"/>
      </w:pPr>
      <w:r>
        <w:drawing>
          <wp:inline distT="0" distB="0" distL="114300" distR="114300">
            <wp:extent cx="3807460" cy="2172335"/>
            <wp:effectExtent l="5080" t="4445" r="16510" b="13970"/>
            <wp:docPr id="5"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2"/>
        <w:rPr>
          <w:rFonts w:ascii="仿宋" w:eastAsia="仿宋"/>
          <w:b/>
          <w:sz w:val="32"/>
          <w:szCs w:val="32"/>
        </w:rPr>
      </w:pPr>
      <w:bookmarkStart w:id="31" w:name="_Toc15377211"/>
      <w:r>
        <w:rPr>
          <w:rFonts w:hint="eastAsia" w:ascii="仿宋" w:eastAsia="仿宋"/>
          <w:b/>
          <w:sz w:val="32"/>
          <w:szCs w:val="32"/>
        </w:rPr>
        <w:t>（二）一般公共预算财政拨款支出决算结构情况</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eastAsia="仿宋"/>
          <w:color w:val="auto"/>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年一般公共预算财政拨款支出</w:t>
      </w:r>
      <w:r>
        <w:rPr>
          <w:rFonts w:hint="eastAsia" w:ascii="仿宋" w:eastAsia="仿宋"/>
          <w:sz w:val="32"/>
          <w:szCs w:val="32"/>
          <w:lang w:val="en-US" w:eastAsia="zh-CN"/>
        </w:rPr>
        <w:t>3000.59</w:t>
      </w:r>
      <w:r>
        <w:rPr>
          <w:rFonts w:hint="eastAsia" w:ascii="仿宋" w:eastAsia="仿宋"/>
          <w:sz w:val="32"/>
          <w:szCs w:val="32"/>
        </w:rPr>
        <w:t>万元，主要用于以下方面</w:t>
      </w:r>
      <w:r>
        <w:rPr>
          <w:rFonts w:ascii="仿宋" w:eastAsia="仿宋"/>
          <w:sz w:val="32"/>
          <w:szCs w:val="32"/>
        </w:rPr>
        <w:t>:</w:t>
      </w:r>
      <w:r>
        <w:rPr>
          <w:rFonts w:hint="eastAsia" w:ascii="仿宋" w:eastAsia="仿宋"/>
          <w:b/>
          <w:sz w:val="32"/>
          <w:szCs w:val="32"/>
        </w:rPr>
        <w:t>一般公共服务（类）</w:t>
      </w:r>
      <w:r>
        <w:rPr>
          <w:rFonts w:hint="eastAsia" w:ascii="仿宋" w:eastAsia="仿宋"/>
          <w:sz w:val="32"/>
          <w:szCs w:val="32"/>
        </w:rPr>
        <w:t>支出</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w:t>
      </w:r>
      <w:r>
        <w:rPr>
          <w:rFonts w:hint="eastAsia" w:ascii="仿宋" w:eastAsia="仿宋"/>
          <w:b/>
          <w:sz w:val="32"/>
          <w:szCs w:val="32"/>
        </w:rPr>
        <w:t>教育支出（类）</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w:t>
      </w:r>
      <w:r>
        <w:rPr>
          <w:rFonts w:hint="eastAsia" w:ascii="仿宋" w:eastAsia="仿宋"/>
          <w:b/>
          <w:sz w:val="32"/>
          <w:szCs w:val="32"/>
        </w:rPr>
        <w:t>科学技术（类）</w:t>
      </w:r>
      <w:r>
        <w:rPr>
          <w:rFonts w:hint="eastAsia" w:ascii="仿宋" w:eastAsia="仿宋"/>
          <w:sz w:val="32"/>
          <w:szCs w:val="32"/>
        </w:rPr>
        <w:t>支出</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w:t>
      </w:r>
      <w:r>
        <w:rPr>
          <w:rFonts w:hint="eastAsia" w:ascii="仿宋" w:eastAsia="仿宋"/>
          <w:b/>
          <w:bCs/>
          <w:sz w:val="32"/>
          <w:szCs w:val="32"/>
        </w:rPr>
        <w:t>文化旅游体育与传媒（类）支出</w:t>
      </w:r>
      <w:r>
        <w:rPr>
          <w:rFonts w:hint="eastAsia" w:ascii="仿宋" w:eastAsia="仿宋"/>
          <w:b/>
          <w:bCs/>
          <w:sz w:val="32"/>
          <w:szCs w:val="32"/>
          <w:lang w:val="en-US" w:eastAsia="zh-CN"/>
        </w:rPr>
        <w:t>0</w:t>
      </w:r>
      <w:r>
        <w:rPr>
          <w:rFonts w:hint="eastAsia" w:ascii="仿宋" w:eastAsia="仿宋"/>
          <w:b/>
          <w:bCs/>
          <w:sz w:val="32"/>
          <w:szCs w:val="32"/>
        </w:rPr>
        <w:t>万元，占</w:t>
      </w:r>
      <w:r>
        <w:rPr>
          <w:rFonts w:hint="eastAsia" w:ascii="仿宋" w:eastAsia="仿宋"/>
          <w:b/>
          <w:bCs/>
          <w:sz w:val="32"/>
          <w:szCs w:val="32"/>
          <w:lang w:val="en-US" w:eastAsia="zh-CN"/>
        </w:rPr>
        <w:t>0</w:t>
      </w:r>
      <w:r>
        <w:rPr>
          <w:rFonts w:ascii="仿宋" w:eastAsia="仿宋"/>
          <w:b/>
          <w:bCs/>
          <w:sz w:val="32"/>
          <w:szCs w:val="32"/>
        </w:rPr>
        <w:t>%</w:t>
      </w:r>
      <w:r>
        <w:rPr>
          <w:rFonts w:hint="eastAsia" w:ascii="仿宋" w:eastAsia="仿宋"/>
          <w:sz w:val="32"/>
          <w:szCs w:val="32"/>
        </w:rPr>
        <w:t>；</w:t>
      </w:r>
      <w:bookmarkStart w:id="32" w:name="OLE_LINK1"/>
      <w:r>
        <w:rPr>
          <w:rFonts w:hint="eastAsia" w:ascii="仿宋" w:eastAsia="仿宋"/>
          <w:b/>
          <w:sz w:val="32"/>
          <w:szCs w:val="32"/>
        </w:rPr>
        <w:t>社会保障和就业</w:t>
      </w:r>
      <w:bookmarkEnd w:id="32"/>
      <w:r>
        <w:rPr>
          <w:rFonts w:hint="eastAsia" w:ascii="仿宋" w:eastAsia="仿宋"/>
          <w:b/>
          <w:sz w:val="32"/>
          <w:szCs w:val="32"/>
        </w:rPr>
        <w:t>（类）</w:t>
      </w:r>
      <w:r>
        <w:rPr>
          <w:rFonts w:hint="eastAsia" w:ascii="仿宋" w:eastAsia="仿宋"/>
          <w:sz w:val="32"/>
          <w:szCs w:val="32"/>
        </w:rPr>
        <w:t>支出</w:t>
      </w:r>
      <w:r>
        <w:rPr>
          <w:rFonts w:hint="eastAsia" w:ascii="仿宋" w:eastAsia="仿宋"/>
          <w:sz w:val="32"/>
          <w:szCs w:val="32"/>
          <w:lang w:val="en-US" w:eastAsia="zh-CN"/>
        </w:rPr>
        <w:t>329</w:t>
      </w:r>
      <w:r>
        <w:rPr>
          <w:rFonts w:hint="eastAsia" w:ascii="仿宋" w:eastAsia="仿宋"/>
          <w:color w:val="auto"/>
          <w:sz w:val="32"/>
          <w:szCs w:val="32"/>
          <w:lang w:val="en-US" w:eastAsia="zh-CN"/>
        </w:rPr>
        <w:t>.61</w:t>
      </w:r>
      <w:r>
        <w:rPr>
          <w:rFonts w:hint="eastAsia" w:ascii="仿宋" w:eastAsia="仿宋"/>
          <w:color w:val="auto"/>
          <w:sz w:val="32"/>
          <w:szCs w:val="32"/>
        </w:rPr>
        <w:t>万元，占</w:t>
      </w:r>
      <w:r>
        <w:rPr>
          <w:rFonts w:hint="eastAsia" w:ascii="仿宋" w:eastAsia="仿宋"/>
          <w:color w:val="auto"/>
          <w:sz w:val="32"/>
          <w:szCs w:val="32"/>
          <w:lang w:val="en-US" w:eastAsia="zh-CN"/>
        </w:rPr>
        <w:t>11</w:t>
      </w:r>
      <w:r>
        <w:rPr>
          <w:rFonts w:ascii="仿宋" w:eastAsia="仿宋"/>
          <w:color w:val="auto"/>
          <w:sz w:val="32"/>
          <w:szCs w:val="32"/>
        </w:rPr>
        <w:t>%</w:t>
      </w:r>
      <w:r>
        <w:rPr>
          <w:rFonts w:hint="eastAsia" w:ascii="仿宋" w:eastAsia="仿宋"/>
          <w:color w:val="auto"/>
          <w:sz w:val="32"/>
          <w:szCs w:val="32"/>
        </w:rPr>
        <w:t>；</w:t>
      </w:r>
      <w:r>
        <w:rPr>
          <w:rFonts w:hint="eastAsia" w:ascii="仿宋" w:eastAsia="仿宋"/>
          <w:b/>
          <w:bCs/>
          <w:color w:val="auto"/>
          <w:sz w:val="32"/>
          <w:szCs w:val="32"/>
        </w:rPr>
        <w:t>卫生健康支出</w:t>
      </w:r>
      <w:r>
        <w:rPr>
          <w:rFonts w:hint="eastAsia" w:ascii="仿宋" w:eastAsia="仿宋"/>
          <w:color w:val="auto"/>
          <w:sz w:val="32"/>
          <w:szCs w:val="32"/>
          <w:lang w:val="en-US" w:eastAsia="zh-CN"/>
        </w:rPr>
        <w:t>2490.19</w:t>
      </w:r>
      <w:r>
        <w:rPr>
          <w:rFonts w:hint="eastAsia" w:ascii="仿宋" w:eastAsia="仿宋"/>
          <w:color w:val="auto"/>
          <w:sz w:val="32"/>
          <w:szCs w:val="32"/>
        </w:rPr>
        <w:t>万元，占</w:t>
      </w:r>
      <w:r>
        <w:rPr>
          <w:rFonts w:hint="eastAsia" w:ascii="仿宋" w:eastAsia="仿宋"/>
          <w:color w:val="auto"/>
          <w:sz w:val="32"/>
          <w:szCs w:val="32"/>
          <w:lang w:val="en-US" w:eastAsia="zh-CN"/>
        </w:rPr>
        <w:t>83</w:t>
      </w:r>
      <w:r>
        <w:rPr>
          <w:rFonts w:ascii="仿宋" w:eastAsia="仿宋"/>
          <w:color w:val="auto"/>
          <w:sz w:val="32"/>
          <w:szCs w:val="32"/>
        </w:rPr>
        <w:t>%</w:t>
      </w:r>
      <w:r>
        <w:rPr>
          <w:rFonts w:hint="eastAsia" w:ascii="仿宋" w:eastAsia="仿宋"/>
          <w:color w:val="auto"/>
          <w:sz w:val="32"/>
          <w:szCs w:val="32"/>
        </w:rPr>
        <w:t>；</w:t>
      </w:r>
      <w:r>
        <w:rPr>
          <w:rFonts w:hint="eastAsia" w:ascii="仿宋" w:eastAsia="仿宋"/>
          <w:b/>
          <w:bCs/>
          <w:color w:val="auto"/>
          <w:sz w:val="32"/>
          <w:szCs w:val="32"/>
        </w:rPr>
        <w:t>住房保障</w:t>
      </w:r>
      <w:r>
        <w:rPr>
          <w:rFonts w:hint="eastAsia" w:ascii="仿宋" w:eastAsia="仿宋"/>
          <w:b/>
          <w:color w:val="auto"/>
          <w:sz w:val="32"/>
          <w:szCs w:val="32"/>
        </w:rPr>
        <w:t>（类）</w:t>
      </w:r>
      <w:r>
        <w:rPr>
          <w:rFonts w:hint="eastAsia" w:ascii="仿宋" w:eastAsia="仿宋"/>
          <w:color w:val="auto"/>
          <w:sz w:val="32"/>
          <w:szCs w:val="32"/>
          <w:lang w:val="en-US" w:eastAsia="zh-CN"/>
        </w:rPr>
        <w:t>180.79</w:t>
      </w:r>
      <w:r>
        <w:rPr>
          <w:rFonts w:hint="eastAsia" w:ascii="仿宋" w:eastAsia="仿宋"/>
          <w:color w:val="auto"/>
          <w:sz w:val="32"/>
          <w:szCs w:val="32"/>
        </w:rPr>
        <w:t>万元，占</w:t>
      </w:r>
      <w:r>
        <w:rPr>
          <w:rFonts w:hint="eastAsia" w:ascii="仿宋" w:eastAsia="仿宋"/>
          <w:color w:val="auto"/>
          <w:sz w:val="32"/>
          <w:szCs w:val="32"/>
          <w:lang w:val="en-US" w:eastAsia="zh-CN"/>
        </w:rPr>
        <w:t>6</w:t>
      </w:r>
      <w:r>
        <w:rPr>
          <w:rFonts w:ascii="仿宋" w:eastAsia="仿宋"/>
          <w:color w:val="auto"/>
          <w:sz w:val="32"/>
          <w:szCs w:val="32"/>
        </w:rPr>
        <w:t>%</w:t>
      </w:r>
      <w:r>
        <w:rPr>
          <w:rFonts w:hint="eastAsia" w:ascii="仿宋" w:eastAsia="仿宋"/>
          <w:color w:val="auto"/>
          <w:sz w:val="32"/>
          <w:szCs w:val="32"/>
        </w:rPr>
        <w:t>。</w:t>
      </w:r>
    </w:p>
    <w:p>
      <w:pPr>
        <w:pStyle w:val="10"/>
      </w:pPr>
      <w:r>
        <w:drawing>
          <wp:inline distT="0" distB="0" distL="114300" distR="114300">
            <wp:extent cx="4826000" cy="2743200"/>
            <wp:effectExtent l="4445" t="4445" r="8255" b="1460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keepNext w:val="0"/>
        <w:keepLines w:val="0"/>
        <w:pageBreakBefore w:val="0"/>
        <w:kinsoku/>
        <w:wordWrap/>
        <w:overflowPunct/>
        <w:topLinePunct w:val="0"/>
        <w:bidi w:val="0"/>
        <w:snapToGrid/>
        <w:spacing w:line="560" w:lineRule="exact"/>
        <w:ind w:firstLine="643" w:firstLineChars="200"/>
        <w:textAlignment w:val="auto"/>
        <w:outlineLvl w:val="2"/>
        <w:rPr>
          <w:rFonts w:ascii="仿宋" w:eastAsia="仿宋"/>
          <w:b/>
          <w:sz w:val="32"/>
          <w:szCs w:val="32"/>
        </w:rPr>
      </w:pPr>
      <w:bookmarkStart w:id="33" w:name="_Toc15377212"/>
      <w:r>
        <w:rPr>
          <w:rFonts w:hint="eastAsia" w:ascii="仿宋" w:eastAsia="仿宋"/>
          <w:b/>
          <w:sz w:val="32"/>
          <w:szCs w:val="32"/>
        </w:rPr>
        <w:t>（三）一般公共预算财政拨款支出决算具体情况</w:t>
      </w:r>
      <w:bookmarkEnd w:id="33"/>
    </w:p>
    <w:p>
      <w:pPr>
        <w:keepNext w:val="0"/>
        <w:keepLines w:val="0"/>
        <w:pageBreakBefore w:val="0"/>
        <w:kinsoku/>
        <w:wordWrap/>
        <w:overflowPunct/>
        <w:topLinePunct w:val="0"/>
        <w:bidi w:val="0"/>
        <w:snapToGrid/>
        <w:spacing w:line="560" w:lineRule="exact"/>
        <w:ind w:firstLine="643" w:firstLineChars="200"/>
        <w:textAlignment w:val="auto"/>
        <w:outlineLvl w:val="2"/>
        <w:rPr>
          <w:rFonts w:ascii="仿宋" w:eastAsia="仿宋"/>
          <w:sz w:val="32"/>
          <w:szCs w:val="32"/>
        </w:rPr>
      </w:pPr>
      <w:bookmarkStart w:id="34" w:name="_Toc15378460"/>
      <w:bookmarkStart w:id="35" w:name="_Toc15377213"/>
      <w:bookmarkStart w:id="36" w:name="_Toc15377444"/>
      <w:r>
        <w:rPr>
          <w:rFonts w:hint="eastAsia" w:ascii="仿宋" w:eastAsia="仿宋"/>
          <w:b/>
          <w:sz w:val="32"/>
          <w:szCs w:val="32"/>
        </w:rPr>
        <w:t>202</w:t>
      </w:r>
      <w:r>
        <w:rPr>
          <w:rFonts w:hint="eastAsia" w:ascii="仿宋" w:eastAsia="仿宋"/>
          <w:b/>
          <w:sz w:val="32"/>
          <w:szCs w:val="32"/>
          <w:lang w:val="en-US" w:eastAsia="zh-CN"/>
        </w:rPr>
        <w:t>2</w:t>
      </w:r>
      <w:r>
        <w:rPr>
          <w:rFonts w:hint="eastAsia" w:ascii="仿宋" w:eastAsia="仿宋"/>
          <w:b/>
          <w:sz w:val="32"/>
          <w:szCs w:val="32"/>
        </w:rPr>
        <w:t>年一般公共预算支出决算数为</w:t>
      </w:r>
      <w:r>
        <w:rPr>
          <w:rFonts w:hint="eastAsia" w:ascii="仿宋" w:eastAsia="仿宋"/>
          <w:b/>
          <w:sz w:val="32"/>
          <w:szCs w:val="32"/>
          <w:lang w:val="en-US" w:eastAsia="zh-CN"/>
        </w:rPr>
        <w:t>3000.59</w:t>
      </w:r>
      <w:r>
        <w:rPr>
          <w:rFonts w:hint="eastAsia" w:ascii="仿宋" w:eastAsia="仿宋"/>
          <w:b/>
          <w:sz w:val="32"/>
          <w:szCs w:val="32"/>
        </w:rPr>
        <w:t>万元，</w:t>
      </w:r>
      <w:r>
        <w:rPr>
          <w:rStyle w:val="20"/>
          <w:rFonts w:hint="eastAsia" w:ascii="仿宋" w:eastAsia="仿宋"/>
          <w:bCs/>
          <w:sz w:val="32"/>
          <w:szCs w:val="32"/>
        </w:rPr>
        <w:t>完成预算</w:t>
      </w:r>
      <w:r>
        <w:rPr>
          <w:rStyle w:val="20"/>
          <w:rFonts w:hint="eastAsia" w:ascii="仿宋" w:eastAsia="仿宋"/>
          <w:bCs/>
          <w:sz w:val="32"/>
          <w:szCs w:val="32"/>
          <w:lang w:val="en-US" w:eastAsia="zh-CN"/>
        </w:rPr>
        <w:t>100</w:t>
      </w:r>
      <w:r>
        <w:rPr>
          <w:rStyle w:val="20"/>
          <w:rFonts w:ascii="仿宋" w:eastAsia="仿宋"/>
          <w:bCs/>
          <w:sz w:val="32"/>
          <w:szCs w:val="32"/>
        </w:rPr>
        <w:t>%</w:t>
      </w:r>
      <w:r>
        <w:rPr>
          <w:rStyle w:val="20"/>
          <w:rFonts w:hint="eastAsia" w:ascii="仿宋" w:eastAsia="仿宋"/>
          <w:bCs/>
          <w:sz w:val="32"/>
          <w:szCs w:val="32"/>
        </w:rPr>
        <w:t>。其中：</w:t>
      </w:r>
      <w:bookmarkEnd w:id="34"/>
      <w:bookmarkEnd w:id="35"/>
      <w:bookmarkEnd w:id="36"/>
    </w:p>
    <w:p>
      <w:pPr>
        <w:keepNext w:val="0"/>
        <w:keepLines w:val="0"/>
        <w:pageBreakBefore w:val="0"/>
        <w:kinsoku/>
        <w:wordWrap/>
        <w:overflowPunct/>
        <w:topLinePunct w:val="0"/>
        <w:bidi w:val="0"/>
        <w:snapToGrid/>
        <w:spacing w:line="560" w:lineRule="exact"/>
        <w:ind w:firstLine="643" w:firstLineChars="200"/>
        <w:textAlignment w:val="auto"/>
        <w:rPr>
          <w:rFonts w:ascii="仿宋" w:eastAsia="仿宋"/>
          <w:b/>
          <w:sz w:val="32"/>
          <w:szCs w:val="32"/>
        </w:rPr>
      </w:pPr>
      <w:r>
        <w:rPr>
          <w:rStyle w:val="20"/>
          <w:rFonts w:hint="eastAsia" w:ascii="仿宋" w:eastAsia="仿宋"/>
          <w:bCs/>
          <w:sz w:val="32"/>
          <w:szCs w:val="32"/>
          <w:lang w:val="en-US" w:eastAsia="zh-CN"/>
        </w:rPr>
        <w:t>1</w:t>
      </w:r>
      <w:r>
        <w:rPr>
          <w:rStyle w:val="20"/>
          <w:rFonts w:ascii="仿宋" w:eastAsia="仿宋"/>
          <w:bCs/>
          <w:sz w:val="32"/>
          <w:szCs w:val="32"/>
        </w:rPr>
        <w:t>.</w:t>
      </w:r>
      <w:r>
        <w:rPr>
          <w:rStyle w:val="20"/>
          <w:rFonts w:hint="eastAsia" w:ascii="仿宋" w:eastAsia="仿宋"/>
          <w:bCs/>
          <w:sz w:val="32"/>
          <w:szCs w:val="32"/>
        </w:rPr>
        <w:t>社会保障和就业</w:t>
      </w:r>
      <w:r>
        <w:rPr>
          <w:rStyle w:val="20"/>
          <w:rFonts w:ascii="仿宋" w:eastAsia="仿宋"/>
          <w:bCs/>
          <w:sz w:val="32"/>
          <w:szCs w:val="32"/>
        </w:rPr>
        <w:t>:</w:t>
      </w:r>
      <w:r>
        <w:rPr>
          <w:rStyle w:val="20"/>
          <w:rFonts w:ascii="仿宋" w:eastAsia="仿宋"/>
          <w:b w:val="0"/>
          <w:bCs/>
          <w:sz w:val="32"/>
          <w:szCs w:val="32"/>
        </w:rPr>
        <w:t xml:space="preserve"> </w:t>
      </w:r>
      <w:r>
        <w:rPr>
          <w:rStyle w:val="20"/>
          <w:rFonts w:hint="eastAsia" w:ascii="仿宋" w:eastAsia="仿宋"/>
          <w:b w:val="0"/>
          <w:bCs/>
          <w:sz w:val="32"/>
          <w:szCs w:val="32"/>
        </w:rPr>
        <w:t>支出决算为</w:t>
      </w:r>
      <w:r>
        <w:rPr>
          <w:rFonts w:hint="eastAsia" w:ascii="仿宋" w:eastAsia="仿宋"/>
          <w:sz w:val="32"/>
          <w:szCs w:val="32"/>
          <w:lang w:val="en-US" w:eastAsia="zh-CN"/>
        </w:rPr>
        <w:t>329</w:t>
      </w:r>
      <w:r>
        <w:rPr>
          <w:rFonts w:hint="eastAsia" w:ascii="仿宋" w:eastAsia="仿宋"/>
          <w:color w:val="auto"/>
          <w:sz w:val="32"/>
          <w:szCs w:val="32"/>
          <w:lang w:val="en-US" w:eastAsia="zh-CN"/>
        </w:rPr>
        <w:t>.61</w:t>
      </w:r>
      <w:r>
        <w:rPr>
          <w:rStyle w:val="20"/>
          <w:rFonts w:hint="eastAsia" w:ascii="仿宋" w:eastAsia="仿宋"/>
          <w:b w:val="0"/>
          <w:bCs/>
          <w:sz w:val="32"/>
          <w:szCs w:val="32"/>
        </w:rPr>
        <w:t>万元，完成预算</w:t>
      </w:r>
      <w:r>
        <w:rPr>
          <w:rStyle w:val="20"/>
          <w:rFonts w:hint="eastAsia" w:ascii="仿宋" w:eastAsia="仿宋"/>
          <w:b w:val="0"/>
          <w:bCs/>
          <w:sz w:val="32"/>
          <w:szCs w:val="32"/>
          <w:lang w:val="en-US" w:eastAsia="zh-CN"/>
        </w:rPr>
        <w:t>100</w:t>
      </w:r>
      <w:r>
        <w:rPr>
          <w:rStyle w:val="20"/>
          <w:rFonts w:ascii="仿宋" w:eastAsia="仿宋"/>
          <w:b w:val="0"/>
          <w:bCs/>
          <w:sz w:val="32"/>
          <w:szCs w:val="32"/>
        </w:rPr>
        <w:t>%</w:t>
      </w:r>
      <w:r>
        <w:rPr>
          <w:rStyle w:val="20"/>
          <w:rFonts w:hint="eastAsia" w:ascii="仿宋" w:eastAsia="仿宋"/>
          <w:b w:val="0"/>
          <w:bCs/>
          <w:sz w:val="32"/>
          <w:szCs w:val="32"/>
        </w:rPr>
        <w:t>。</w:t>
      </w:r>
    </w:p>
    <w:p>
      <w:pPr>
        <w:keepNext w:val="0"/>
        <w:keepLines w:val="0"/>
        <w:pageBreakBefore w:val="0"/>
        <w:kinsoku/>
        <w:wordWrap/>
        <w:overflowPunct/>
        <w:topLinePunct w:val="0"/>
        <w:bidi w:val="0"/>
        <w:snapToGrid/>
        <w:spacing w:line="560" w:lineRule="exact"/>
        <w:ind w:firstLine="643" w:firstLineChars="200"/>
        <w:textAlignment w:val="auto"/>
        <w:rPr>
          <w:rFonts w:hint="eastAsia" w:ascii="仿宋" w:eastAsia="仿宋"/>
          <w:b/>
          <w:sz w:val="32"/>
          <w:szCs w:val="32"/>
          <w:lang w:eastAsia="zh-CN"/>
        </w:rPr>
      </w:pPr>
      <w:r>
        <w:rPr>
          <w:rStyle w:val="20"/>
          <w:rFonts w:hint="eastAsia" w:ascii="仿宋" w:eastAsia="仿宋"/>
          <w:bCs/>
          <w:sz w:val="32"/>
          <w:szCs w:val="32"/>
          <w:lang w:val="en-US" w:eastAsia="zh-CN"/>
        </w:rPr>
        <w:t>2</w:t>
      </w:r>
      <w:r>
        <w:rPr>
          <w:rStyle w:val="20"/>
          <w:rFonts w:ascii="仿宋" w:eastAsia="仿宋"/>
          <w:bCs/>
          <w:sz w:val="32"/>
          <w:szCs w:val="32"/>
        </w:rPr>
        <w:t>.</w:t>
      </w:r>
      <w:r>
        <w:rPr>
          <w:rFonts w:hint="eastAsia" w:ascii="仿宋" w:eastAsia="仿宋"/>
          <w:b/>
          <w:bCs/>
          <w:sz w:val="32"/>
          <w:szCs w:val="32"/>
        </w:rPr>
        <w:t>卫生健康</w:t>
      </w:r>
      <w:r>
        <w:rPr>
          <w:rStyle w:val="20"/>
          <w:rFonts w:ascii="仿宋" w:eastAsia="仿宋"/>
          <w:bCs/>
          <w:sz w:val="32"/>
          <w:szCs w:val="32"/>
        </w:rPr>
        <w:t>:</w:t>
      </w:r>
      <w:r>
        <w:rPr>
          <w:rStyle w:val="20"/>
          <w:rFonts w:hint="eastAsia" w:ascii="仿宋" w:eastAsia="仿宋"/>
          <w:b w:val="0"/>
          <w:bCs/>
          <w:sz w:val="32"/>
          <w:szCs w:val="32"/>
        </w:rPr>
        <w:t>支出决算为</w:t>
      </w:r>
      <w:r>
        <w:rPr>
          <w:rFonts w:hint="eastAsia" w:ascii="仿宋" w:eastAsia="仿宋"/>
          <w:color w:val="auto"/>
          <w:sz w:val="32"/>
          <w:szCs w:val="32"/>
          <w:lang w:val="en-US" w:eastAsia="zh-CN"/>
        </w:rPr>
        <w:t>2490.19</w:t>
      </w:r>
      <w:r>
        <w:rPr>
          <w:rStyle w:val="20"/>
          <w:rFonts w:hint="eastAsia" w:ascii="仿宋" w:eastAsia="仿宋"/>
          <w:b w:val="0"/>
          <w:bCs/>
          <w:sz w:val="32"/>
          <w:szCs w:val="32"/>
        </w:rPr>
        <w:t>万元，完成预算</w:t>
      </w:r>
      <w:r>
        <w:rPr>
          <w:rStyle w:val="20"/>
          <w:rFonts w:hint="eastAsia" w:ascii="仿宋" w:eastAsia="仿宋"/>
          <w:b w:val="0"/>
          <w:bCs/>
          <w:sz w:val="32"/>
          <w:szCs w:val="32"/>
          <w:lang w:val="en-US" w:eastAsia="zh-CN"/>
        </w:rPr>
        <w:t>100</w:t>
      </w:r>
      <w:r>
        <w:rPr>
          <w:rStyle w:val="20"/>
          <w:rFonts w:ascii="仿宋" w:eastAsia="仿宋"/>
          <w:b w:val="0"/>
          <w:bCs/>
          <w:sz w:val="32"/>
          <w:szCs w:val="32"/>
        </w:rPr>
        <w:t>%</w:t>
      </w:r>
      <w:r>
        <w:rPr>
          <w:rStyle w:val="20"/>
          <w:rFonts w:hint="eastAsia" w:ascii="仿宋" w:eastAsia="仿宋"/>
          <w:b w:val="0"/>
          <w:bCs/>
          <w:sz w:val="32"/>
          <w:szCs w:val="32"/>
          <w:lang w:eastAsia="zh-CN"/>
        </w:rPr>
        <w:t>。</w:t>
      </w:r>
    </w:p>
    <w:p>
      <w:pPr>
        <w:keepNext w:val="0"/>
        <w:keepLines w:val="0"/>
        <w:pageBreakBefore w:val="0"/>
        <w:kinsoku/>
        <w:wordWrap/>
        <w:overflowPunct/>
        <w:topLinePunct w:val="0"/>
        <w:bidi w:val="0"/>
        <w:snapToGrid/>
        <w:spacing w:line="560" w:lineRule="exact"/>
        <w:ind w:firstLine="643" w:firstLineChars="200"/>
        <w:textAlignment w:val="auto"/>
        <w:rPr>
          <w:rFonts w:ascii="仿宋" w:eastAsia="仿宋"/>
          <w:b/>
          <w:sz w:val="32"/>
          <w:szCs w:val="32"/>
        </w:rPr>
      </w:pPr>
      <w:r>
        <w:rPr>
          <w:rStyle w:val="20"/>
          <w:rFonts w:hint="eastAsia" w:ascii="仿宋" w:eastAsia="仿宋"/>
          <w:bCs/>
          <w:sz w:val="32"/>
          <w:szCs w:val="32"/>
          <w:lang w:val="en-US" w:eastAsia="zh-CN"/>
        </w:rPr>
        <w:t>3</w:t>
      </w:r>
      <w:r>
        <w:rPr>
          <w:rStyle w:val="20"/>
          <w:rFonts w:ascii="仿宋" w:eastAsia="仿宋"/>
          <w:bCs/>
          <w:sz w:val="32"/>
          <w:szCs w:val="32"/>
        </w:rPr>
        <w:t>.</w:t>
      </w:r>
      <w:r>
        <w:rPr>
          <w:rStyle w:val="20"/>
          <w:rFonts w:hint="eastAsia" w:ascii="仿宋" w:eastAsia="仿宋"/>
          <w:bCs/>
          <w:sz w:val="32"/>
          <w:szCs w:val="32"/>
          <w:lang w:val="en-US" w:eastAsia="zh-CN"/>
        </w:rPr>
        <w:t>住房保障</w:t>
      </w:r>
      <w:r>
        <w:rPr>
          <w:rStyle w:val="20"/>
          <w:rFonts w:ascii="仿宋" w:eastAsia="仿宋"/>
          <w:bCs/>
          <w:sz w:val="32"/>
          <w:szCs w:val="32"/>
        </w:rPr>
        <w:t>:</w:t>
      </w:r>
      <w:r>
        <w:rPr>
          <w:rStyle w:val="20"/>
          <w:rFonts w:hint="eastAsia" w:ascii="仿宋" w:eastAsia="仿宋"/>
          <w:b w:val="0"/>
          <w:bCs/>
          <w:sz w:val="32"/>
          <w:szCs w:val="32"/>
        </w:rPr>
        <w:t>支出决算为</w:t>
      </w:r>
      <w:r>
        <w:rPr>
          <w:rFonts w:hint="eastAsia" w:ascii="仿宋" w:eastAsia="仿宋"/>
          <w:color w:val="auto"/>
          <w:sz w:val="32"/>
          <w:szCs w:val="32"/>
          <w:lang w:val="en-US" w:eastAsia="zh-CN"/>
        </w:rPr>
        <w:t>180.79</w:t>
      </w:r>
      <w:r>
        <w:rPr>
          <w:rStyle w:val="20"/>
          <w:rFonts w:hint="eastAsia" w:ascii="仿宋" w:eastAsia="仿宋"/>
          <w:b w:val="0"/>
          <w:bCs/>
          <w:sz w:val="32"/>
          <w:szCs w:val="32"/>
        </w:rPr>
        <w:t>万元，完成预算</w:t>
      </w:r>
      <w:r>
        <w:rPr>
          <w:rStyle w:val="20"/>
          <w:rFonts w:hint="eastAsia" w:ascii="仿宋" w:eastAsia="仿宋"/>
          <w:b w:val="0"/>
          <w:bCs/>
          <w:sz w:val="32"/>
          <w:szCs w:val="32"/>
          <w:lang w:val="en-US" w:eastAsia="zh-CN"/>
        </w:rPr>
        <w:t>100</w:t>
      </w:r>
      <w:r>
        <w:rPr>
          <w:rStyle w:val="20"/>
          <w:rFonts w:ascii="仿宋" w:eastAsia="仿宋"/>
          <w:b w:val="0"/>
          <w:bCs/>
          <w:sz w:val="32"/>
          <w:szCs w:val="32"/>
        </w:rPr>
        <w:t>%</w:t>
      </w:r>
      <w:r>
        <w:rPr>
          <w:rStyle w:val="20"/>
          <w:rFonts w:hint="eastAsia" w:ascii="仿宋" w:eastAsia="仿宋"/>
          <w:b w:val="0"/>
          <w:bCs/>
          <w:sz w:val="32"/>
          <w:szCs w:val="32"/>
        </w:rPr>
        <w:t>。</w:t>
      </w:r>
    </w:p>
    <w:p>
      <w:pPr>
        <w:keepNext w:val="0"/>
        <w:keepLines w:val="0"/>
        <w:pageBreakBefore w:val="0"/>
        <w:tabs>
          <w:tab w:val="right" w:pos="8306"/>
        </w:tabs>
        <w:kinsoku/>
        <w:wordWrap/>
        <w:overflowPunct/>
        <w:topLinePunct w:val="0"/>
        <w:bidi w:val="0"/>
        <w:snapToGrid/>
        <w:spacing w:line="560" w:lineRule="exact"/>
        <w:ind w:firstLine="640"/>
        <w:textAlignment w:val="auto"/>
        <w:outlineLvl w:val="1"/>
        <w:rPr>
          <w:rStyle w:val="23"/>
        </w:rPr>
      </w:pPr>
      <w:bookmarkStart w:id="37" w:name="_Toc15377214"/>
      <w:bookmarkStart w:id="38" w:name="_Toc15396608"/>
      <w:r>
        <w:rPr>
          <w:rFonts w:hint="eastAsia" w:ascii="黑体" w:eastAsia="黑体"/>
          <w:sz w:val="32"/>
          <w:szCs w:val="32"/>
        </w:rPr>
        <w:t>六</w:t>
      </w:r>
      <w:r>
        <w:rPr>
          <w:rFonts w:hint="eastAsia" w:ascii="黑体" w:eastAsia="黑体"/>
          <w:b/>
          <w:sz w:val="32"/>
          <w:szCs w:val="32"/>
        </w:rPr>
        <w:t>、一</w:t>
      </w:r>
      <w:r>
        <w:rPr>
          <w:rStyle w:val="23"/>
          <w:rFonts w:hint="eastAsia" w:ascii="黑体" w:eastAsia="黑体"/>
          <w:b w:val="0"/>
        </w:rPr>
        <w:t>般公共预算财政拨款基本支出决算情况说明</w:t>
      </w:r>
      <w:bookmarkEnd w:id="37"/>
      <w:bookmarkEnd w:id="38"/>
      <w:r>
        <w:rPr>
          <w:rStyle w:val="23"/>
          <w:rFonts w:ascii="黑体" w:eastAsia="黑体"/>
          <w:b w:val="0"/>
        </w:rPr>
        <w:tab/>
      </w:r>
    </w:p>
    <w:p>
      <w:pPr>
        <w:keepNext w:val="0"/>
        <w:keepLines w:val="0"/>
        <w:pageBreakBefore w:val="0"/>
        <w:kinsoku/>
        <w:wordWrap/>
        <w:overflowPunct/>
        <w:topLinePunct w:val="0"/>
        <w:bidi w:val="0"/>
        <w:snapToGrid/>
        <w:spacing w:line="560" w:lineRule="exact"/>
        <w:ind w:firstLine="645"/>
        <w:textAlignment w:val="auto"/>
        <w:rPr>
          <w:rFonts w:ascii="仿宋" w:eastAsia="仿宋"/>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年一般公共预算财政拨款基本支出</w:t>
      </w:r>
      <w:r>
        <w:rPr>
          <w:rFonts w:hint="eastAsia" w:ascii="仿宋" w:eastAsia="仿宋"/>
          <w:sz w:val="32"/>
          <w:szCs w:val="32"/>
          <w:lang w:val="en-US" w:eastAsia="zh-CN"/>
        </w:rPr>
        <w:t>2416.74</w:t>
      </w:r>
      <w:r>
        <w:rPr>
          <w:rFonts w:hint="eastAsia" w:ascii="仿宋" w:eastAsia="仿宋"/>
          <w:sz w:val="32"/>
          <w:szCs w:val="32"/>
        </w:rPr>
        <w:t>万元，其中：</w:t>
      </w:r>
    </w:p>
    <w:p>
      <w:pPr>
        <w:keepNext w:val="0"/>
        <w:keepLines w:val="0"/>
        <w:pageBreakBefore w:val="0"/>
        <w:kinsoku/>
        <w:wordWrap/>
        <w:overflowPunct/>
        <w:topLinePunct w:val="0"/>
        <w:bidi w:val="0"/>
        <w:snapToGrid/>
        <w:spacing w:line="560" w:lineRule="exact"/>
        <w:ind w:firstLine="645"/>
        <w:textAlignment w:val="auto"/>
        <w:rPr>
          <w:rFonts w:ascii="仿宋" w:eastAsia="仿宋"/>
          <w:b/>
          <w:sz w:val="32"/>
          <w:szCs w:val="32"/>
        </w:rPr>
      </w:pPr>
      <w:r>
        <w:rPr>
          <w:rFonts w:hint="eastAsia" w:ascii="仿宋" w:eastAsia="仿宋"/>
          <w:sz w:val="32"/>
          <w:szCs w:val="32"/>
        </w:rPr>
        <w:t>人员经费</w:t>
      </w:r>
      <w:r>
        <w:rPr>
          <w:rFonts w:hint="eastAsia" w:ascii="仿宋" w:eastAsia="仿宋"/>
          <w:sz w:val="32"/>
          <w:szCs w:val="32"/>
          <w:lang w:val="en-US" w:eastAsia="zh-CN"/>
        </w:rPr>
        <w:t>2390.37</w:t>
      </w:r>
      <w:r>
        <w:rPr>
          <w:rFonts w:hint="eastAsia" w:asci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eastAsia="仿宋"/>
          <w:sz w:val="32"/>
          <w:szCs w:val="32"/>
        </w:rPr>
        <w:br w:type="textWrapping"/>
      </w:r>
      <w:r>
        <w:rPr>
          <w:rFonts w:hint="eastAsia" w:ascii="仿宋" w:eastAsia="仿宋"/>
          <w:sz w:val="32"/>
          <w:szCs w:val="32"/>
        </w:rPr>
        <w:t>　　公用经费</w:t>
      </w:r>
      <w:r>
        <w:rPr>
          <w:rFonts w:hint="eastAsia" w:ascii="仿宋" w:eastAsia="仿宋"/>
          <w:sz w:val="32"/>
          <w:szCs w:val="32"/>
          <w:lang w:val="en-US" w:eastAsia="zh-CN"/>
        </w:rPr>
        <w:t>26.37</w:t>
      </w:r>
      <w:r>
        <w:rPr>
          <w:rFonts w:hint="eastAsia" w:asci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keepNext w:val="0"/>
        <w:keepLines w:val="0"/>
        <w:pageBreakBefore w:val="0"/>
        <w:kinsoku/>
        <w:wordWrap/>
        <w:overflowPunct/>
        <w:topLinePunct w:val="0"/>
        <w:bidi w:val="0"/>
        <w:snapToGrid/>
        <w:spacing w:line="560" w:lineRule="exact"/>
        <w:ind w:firstLine="640"/>
        <w:textAlignment w:val="auto"/>
        <w:outlineLvl w:val="1"/>
        <w:rPr>
          <w:rStyle w:val="23"/>
          <w:rFonts w:ascii="黑体" w:eastAsia="黑体"/>
          <w:b w:val="0"/>
        </w:rPr>
      </w:pPr>
      <w:bookmarkStart w:id="39" w:name="_Toc15377215"/>
      <w:bookmarkStart w:id="40" w:name="_Toc15396609"/>
      <w:r>
        <w:rPr>
          <w:rFonts w:hint="eastAsia" w:ascii="黑体" w:eastAsia="黑体"/>
          <w:sz w:val="32"/>
          <w:szCs w:val="32"/>
        </w:rPr>
        <w:t>七、</w:t>
      </w:r>
      <w:r>
        <w:rPr>
          <w:rStyle w:val="23"/>
          <w:rFonts w:hint="eastAsia" w:ascii="黑体" w:eastAsia="黑体"/>
        </w:rPr>
        <w:t>“</w:t>
      </w:r>
      <w:r>
        <w:rPr>
          <w:rStyle w:val="23"/>
          <w:rFonts w:hint="eastAsia" w:ascii="黑体" w:eastAsia="黑体"/>
          <w:b w:val="0"/>
        </w:rPr>
        <w:t>三公”经费财政拨款支出决算情况说明</w:t>
      </w:r>
      <w:bookmarkEnd w:id="39"/>
      <w:bookmarkEnd w:id="40"/>
    </w:p>
    <w:p>
      <w:pPr>
        <w:keepNext w:val="0"/>
        <w:keepLines w:val="0"/>
        <w:pageBreakBefore w:val="0"/>
        <w:kinsoku/>
        <w:wordWrap/>
        <w:overflowPunct/>
        <w:topLinePunct w:val="0"/>
        <w:bidi w:val="0"/>
        <w:snapToGrid/>
        <w:spacing w:line="560" w:lineRule="exact"/>
        <w:ind w:firstLine="640"/>
        <w:textAlignment w:val="auto"/>
        <w:outlineLvl w:val="2"/>
        <w:rPr>
          <w:rFonts w:ascii="仿宋" w:eastAsia="仿宋"/>
          <w:b/>
          <w:sz w:val="32"/>
          <w:szCs w:val="32"/>
        </w:rPr>
      </w:pPr>
      <w:bookmarkStart w:id="41" w:name="_Toc15377216"/>
      <w:r>
        <w:rPr>
          <w:rFonts w:hint="eastAsia" w:ascii="仿宋" w:eastAsia="仿宋"/>
          <w:b/>
          <w:sz w:val="32"/>
          <w:szCs w:val="32"/>
        </w:rPr>
        <w:t>（一）“三公”经费财政拨款支出决算总体情况说明</w:t>
      </w:r>
      <w:bookmarkEnd w:id="41"/>
    </w:p>
    <w:p>
      <w:pPr>
        <w:keepNext w:val="0"/>
        <w:keepLines w:val="0"/>
        <w:pageBreakBefore w:val="0"/>
        <w:kinsoku/>
        <w:wordWrap/>
        <w:overflowPunct/>
        <w:topLinePunct w:val="0"/>
        <w:bidi w:val="0"/>
        <w:snapToGrid/>
        <w:spacing w:line="560" w:lineRule="exact"/>
        <w:ind w:firstLine="640"/>
        <w:textAlignment w:val="auto"/>
        <w:rPr>
          <w:rFonts w:ascii="仿宋" w:eastAsia="仿宋"/>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年“三公”经费财政拨款支出决算为</w:t>
      </w:r>
      <w:r>
        <w:rPr>
          <w:rFonts w:hint="eastAsia" w:ascii="仿宋" w:eastAsia="仿宋"/>
          <w:sz w:val="32"/>
          <w:szCs w:val="32"/>
          <w:lang w:val="en-US" w:eastAsia="zh-CN"/>
        </w:rPr>
        <w:t>0</w:t>
      </w:r>
      <w:r>
        <w:rPr>
          <w:rFonts w:hint="eastAsia" w:ascii="仿宋" w:eastAsia="仿宋"/>
          <w:sz w:val="32"/>
          <w:szCs w:val="32"/>
        </w:rPr>
        <w:t>万元，完成预算</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，决算数与预算数持平的主要原因是</w:t>
      </w:r>
      <w:r>
        <w:rPr>
          <w:rFonts w:hint="eastAsia" w:ascii="仿宋" w:eastAsia="仿宋"/>
          <w:sz w:val="32"/>
          <w:szCs w:val="32"/>
          <w:lang w:val="en-US" w:eastAsia="zh-CN"/>
        </w:rPr>
        <w:t>我院无</w:t>
      </w:r>
      <w:r>
        <w:rPr>
          <w:rFonts w:hint="eastAsia" w:ascii="仿宋" w:eastAsia="仿宋"/>
          <w:sz w:val="32"/>
          <w:szCs w:val="32"/>
        </w:rPr>
        <w:t>“三公”经费财政拨款支出。</w:t>
      </w:r>
    </w:p>
    <w:p>
      <w:pPr>
        <w:keepNext w:val="0"/>
        <w:keepLines w:val="0"/>
        <w:pageBreakBefore w:val="0"/>
        <w:kinsoku/>
        <w:wordWrap/>
        <w:overflowPunct/>
        <w:topLinePunct w:val="0"/>
        <w:bidi w:val="0"/>
        <w:snapToGrid/>
        <w:spacing w:line="560" w:lineRule="exact"/>
        <w:ind w:firstLine="640"/>
        <w:textAlignment w:val="auto"/>
        <w:outlineLvl w:val="2"/>
        <w:rPr>
          <w:rFonts w:ascii="仿宋" w:eastAsia="仿宋"/>
          <w:b/>
          <w:sz w:val="32"/>
          <w:szCs w:val="32"/>
        </w:rPr>
      </w:pPr>
      <w:bookmarkStart w:id="42" w:name="_Toc15377217"/>
      <w:r>
        <w:rPr>
          <w:rFonts w:hint="eastAsia" w:ascii="仿宋" w:eastAsia="仿宋"/>
          <w:b/>
          <w:sz w:val="32"/>
          <w:szCs w:val="32"/>
        </w:rPr>
        <w:t>（二）“三公”经费财政拨款支出决算具体情况说明</w:t>
      </w:r>
      <w:bookmarkEnd w:id="42"/>
    </w:p>
    <w:p>
      <w:pPr>
        <w:keepNext w:val="0"/>
        <w:keepLines w:val="0"/>
        <w:pageBreakBefore w:val="0"/>
        <w:kinsoku/>
        <w:wordWrap/>
        <w:overflowPunct/>
        <w:topLinePunct w:val="0"/>
        <w:bidi w:val="0"/>
        <w:snapToGrid/>
        <w:spacing w:line="560" w:lineRule="exact"/>
        <w:ind w:firstLine="640"/>
        <w:textAlignment w:val="auto"/>
        <w:rPr>
          <w:rFonts w:ascii="仿宋" w:eastAsia="仿宋"/>
          <w:sz w:val="32"/>
          <w:szCs w:val="32"/>
        </w:rPr>
      </w:pPr>
      <w:r>
        <w:rPr>
          <w:rFonts w:ascii="仿宋" w:eastAsia="仿宋"/>
          <w:sz w:val="32"/>
          <w:szCs w:val="32"/>
        </w:rPr>
        <w:t>20</w:t>
      </w:r>
      <w:r>
        <w:rPr>
          <w:rFonts w:hint="eastAsia" w:ascii="仿宋" w:eastAsia="仿宋"/>
          <w:sz w:val="32"/>
          <w:szCs w:val="32"/>
        </w:rPr>
        <w:t>2</w:t>
      </w:r>
      <w:r>
        <w:rPr>
          <w:rFonts w:hint="eastAsia" w:ascii="仿宋" w:eastAsia="仿宋"/>
          <w:sz w:val="32"/>
          <w:szCs w:val="32"/>
          <w:lang w:val="en-US" w:eastAsia="zh-CN"/>
        </w:rPr>
        <w:t>2</w:t>
      </w:r>
      <w:r>
        <w:rPr>
          <w:rFonts w:hint="eastAsia" w:ascii="仿宋" w:eastAsia="仿宋"/>
          <w:sz w:val="32"/>
          <w:szCs w:val="32"/>
        </w:rPr>
        <w:t>年“三公”经费财政拨款支出决算中，因公出国（境）费支出决算</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；公务用车购置及运行维护费支出决算</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；公务接待费支出决算</w:t>
      </w:r>
      <w:r>
        <w:rPr>
          <w:rFonts w:hint="eastAsia" w:ascii="仿宋" w:eastAsia="仿宋"/>
          <w:sz w:val="32"/>
          <w:szCs w:val="32"/>
          <w:lang w:val="en-US" w:eastAsia="zh-CN"/>
        </w:rPr>
        <w:t>0</w:t>
      </w:r>
      <w:r>
        <w:rPr>
          <w:rFonts w:hint="eastAsia" w:ascii="仿宋" w:eastAsia="仿宋"/>
          <w:sz w:val="32"/>
          <w:szCs w:val="32"/>
        </w:rPr>
        <w:t>万元，占</w:t>
      </w:r>
      <w:r>
        <w:rPr>
          <w:rFonts w:hint="eastAsia" w:ascii="仿宋" w:eastAsia="仿宋"/>
          <w:sz w:val="32"/>
          <w:szCs w:val="32"/>
          <w:lang w:val="en-US" w:eastAsia="zh-CN"/>
        </w:rPr>
        <w:t>0</w:t>
      </w:r>
      <w:r>
        <w:rPr>
          <w:rFonts w:ascii="仿宋" w:eastAsia="仿宋"/>
          <w:sz w:val="32"/>
          <w:szCs w:val="32"/>
        </w:rPr>
        <w:t>%</w:t>
      </w:r>
      <w:r>
        <w:rPr>
          <w:rFonts w:hint="eastAsia" w:ascii="仿宋" w:eastAsia="仿宋"/>
          <w:sz w:val="32"/>
          <w:szCs w:val="32"/>
        </w:rPr>
        <w:t>。具体情况如下：</w:t>
      </w:r>
    </w:p>
    <w:p>
      <w:pPr>
        <w:keepNext w:val="0"/>
        <w:keepLines w:val="0"/>
        <w:pageBreakBefore w:val="0"/>
        <w:kinsoku/>
        <w:wordWrap/>
        <w:overflowPunct/>
        <w:topLinePunct w:val="0"/>
        <w:bidi w:val="0"/>
        <w:snapToGrid/>
        <w:spacing w:line="560" w:lineRule="exact"/>
        <w:ind w:firstLine="640"/>
        <w:textAlignment w:val="auto"/>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0"/>
          <w:rFonts w:hint="eastAsia" w:ascii="仿宋" w:eastAsia="仿宋"/>
          <w:b w:val="0"/>
          <w:bCs/>
          <w:sz w:val="32"/>
          <w:szCs w:val="32"/>
        </w:rPr>
        <w:t>完成预算</w:t>
      </w:r>
      <w:r>
        <w:rPr>
          <w:rStyle w:val="20"/>
          <w:rFonts w:hint="eastAsia" w:ascii="仿宋" w:eastAsia="仿宋"/>
          <w:b w:val="0"/>
          <w:bCs/>
          <w:sz w:val="32"/>
          <w:szCs w:val="32"/>
          <w:lang w:val="en-US" w:eastAsia="zh-CN"/>
        </w:rPr>
        <w:t>0</w:t>
      </w:r>
      <w:r>
        <w:rPr>
          <w:rStyle w:val="20"/>
          <w:rFonts w:ascii="仿宋" w:eastAsia="仿宋"/>
          <w:b w:val="0"/>
          <w:bCs/>
          <w:sz w:val="32"/>
          <w:szCs w:val="32"/>
        </w:rPr>
        <w:t>%</w:t>
      </w:r>
      <w:r>
        <w:rPr>
          <w:rStyle w:val="20"/>
          <w:rFonts w:hint="eastAsia" w:asci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w:t>
      </w:r>
      <w:r>
        <w:rPr>
          <w:rFonts w:hint="eastAsia" w:ascii="仿宋_GB2312" w:eastAsia="仿宋_GB2312"/>
          <w:sz w:val="32"/>
          <w:szCs w:val="32"/>
          <w:lang w:val="en-US" w:eastAsia="zh-CN"/>
        </w:rPr>
        <w:t>与</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相等</w:t>
      </w:r>
      <w:r>
        <w:rPr>
          <w:rFonts w:hint="eastAsia" w:ascii="仿宋_GB2312" w:eastAsia="仿宋_GB2312"/>
          <w:sz w:val="32"/>
          <w:szCs w:val="32"/>
        </w:rPr>
        <w:t>。</w:t>
      </w:r>
    </w:p>
    <w:p>
      <w:pPr>
        <w:keepNext w:val="0"/>
        <w:keepLines w:val="0"/>
        <w:pageBreakBefore w:val="0"/>
        <w:kinsoku/>
        <w:wordWrap/>
        <w:overflowPunct/>
        <w:topLinePunct w:val="0"/>
        <w:bidi w:val="0"/>
        <w:snapToGrid/>
        <w:spacing w:line="560" w:lineRule="exact"/>
        <w:ind w:firstLine="640"/>
        <w:textAlignment w:val="auto"/>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0"/>
          <w:rFonts w:hint="eastAsia" w:ascii="仿宋" w:eastAsia="仿宋"/>
          <w:b w:val="0"/>
          <w:bCs/>
          <w:sz w:val="32"/>
          <w:szCs w:val="32"/>
        </w:rPr>
        <w:t>完成预算</w:t>
      </w:r>
      <w:r>
        <w:rPr>
          <w:rStyle w:val="20"/>
          <w:rFonts w:hint="eastAsia" w:ascii="仿宋" w:eastAsia="仿宋"/>
          <w:b w:val="0"/>
          <w:bCs/>
          <w:sz w:val="32"/>
          <w:szCs w:val="32"/>
          <w:lang w:val="en-US" w:eastAsia="zh-CN"/>
        </w:rPr>
        <w:t>0</w:t>
      </w:r>
      <w:r>
        <w:rPr>
          <w:rStyle w:val="20"/>
          <w:rFonts w:ascii="仿宋" w:eastAsia="仿宋"/>
          <w:b w:val="0"/>
          <w:bCs/>
          <w:sz w:val="32"/>
          <w:szCs w:val="32"/>
        </w:rPr>
        <w:t>%</w:t>
      </w:r>
      <w:r>
        <w:rPr>
          <w:rStyle w:val="20"/>
          <w:rFonts w:hint="eastAsia" w:ascii="仿宋" w:eastAsia="仿宋"/>
          <w:b w:val="0"/>
          <w:bCs/>
          <w:sz w:val="32"/>
          <w:szCs w:val="32"/>
        </w:rPr>
        <w:t>。</w:t>
      </w:r>
      <w:r>
        <w:rPr>
          <w:rFonts w:hint="eastAsia" w:ascii="仿宋_GB2312" w:eastAsia="仿宋_GB2312"/>
          <w:sz w:val="32"/>
          <w:szCs w:val="32"/>
        </w:rPr>
        <w:t>公务用车购置及运行维护费支出决算</w:t>
      </w:r>
      <w:r>
        <w:rPr>
          <w:rFonts w:hint="eastAsia" w:ascii="仿宋_GB2312" w:eastAsia="仿宋_GB2312"/>
          <w:sz w:val="32"/>
          <w:szCs w:val="32"/>
          <w:lang w:val="en-US" w:eastAsia="zh-CN"/>
        </w:rPr>
        <w:t>与</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相等</w:t>
      </w:r>
      <w:r>
        <w:rPr>
          <w:rFonts w:hint="eastAsia" w:ascii="仿宋_GB2312" w:eastAsia="仿宋_GB2312"/>
          <w:sz w:val="32"/>
          <w:szCs w:val="32"/>
        </w:rPr>
        <w:t>。</w:t>
      </w:r>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w:t>
      </w:r>
      <w:r>
        <w:rPr>
          <w:rFonts w:hint="eastAsia" w:ascii="仿宋_GB2312" w:hAnsi="Times New Roman" w:eastAsia="仿宋_GB2312" w:cs="Times New Roman"/>
          <w:sz w:val="32"/>
          <w:szCs w:val="32"/>
        </w:rPr>
        <w:t>按规定更新购置公务用车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辆，其中：轿车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辆、金额</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hAnsi="Times New Roman" w:eastAsia="仿宋_GB2312" w:cs="Times New Roman"/>
          <w:sz w:val="32"/>
          <w:szCs w:val="32"/>
        </w:rPr>
        <w:t>金额</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万元。截至202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年12月底，单位共有公务用车</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辆，其中：轿车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辆、越野车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辆、载客汽车</w:t>
      </w:r>
      <w:r>
        <w:rPr>
          <w:rFonts w:hint="eastAsia" w:ascii="仿宋_GB2312" w:hAnsi="Times New Roman" w:eastAsia="仿宋_GB2312" w:cs="Times New Roman"/>
          <w:sz w:val="32"/>
          <w:szCs w:val="32"/>
          <w:lang w:val="en-US" w:eastAsia="zh-CN"/>
        </w:rPr>
        <w:t>0</w:t>
      </w:r>
      <w:r>
        <w:rPr>
          <w:rFonts w:hint="eastAsia" w:ascii="仿宋_GB2312" w:hAnsi="Times New Roman" w:eastAsia="仿宋_GB2312" w:cs="Times New Roman"/>
          <w:sz w:val="32"/>
          <w:szCs w:val="32"/>
        </w:rPr>
        <w:t>辆</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特种专业技术车3</w:t>
      </w:r>
      <w:r>
        <w:rPr>
          <w:rFonts w:hint="eastAsia" w:ascii="仿宋_GB2312" w:hAnsi="Times New Roman" w:eastAsia="仿宋_GB2312" w:cs="Times New Roman"/>
          <w:sz w:val="32"/>
          <w:szCs w:val="32"/>
        </w:rPr>
        <w:t>辆。</w:t>
      </w: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numPr>
          <w:ilvl w:val="0"/>
          <w:numId w:val="0"/>
        </w:numPr>
        <w:kinsoku/>
        <w:wordWrap/>
        <w:overflowPunct/>
        <w:topLinePunct w:val="0"/>
        <w:bidi w:val="0"/>
        <w:snapToGrid/>
        <w:spacing w:line="560" w:lineRule="exact"/>
        <w:ind w:firstLine="643" w:firstLineChars="200"/>
        <w:textAlignment w:val="auto"/>
        <w:rPr>
          <w:rFonts w:hint="eastAsia" w:ascii="仿宋_GB2312" w:eastAsia="仿宋_GB2312"/>
          <w:sz w:val="32"/>
          <w:szCs w:val="32"/>
        </w:rPr>
      </w:pPr>
      <w:r>
        <w:rPr>
          <w:rFonts w:hint="eastAsia" w:ascii="仿宋_GB2312" w:eastAsia="仿宋_GB2312"/>
          <w:b/>
          <w:sz w:val="32"/>
          <w:szCs w:val="32"/>
          <w:lang w:val="en-US" w:eastAsia="zh-CN"/>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0"/>
          <w:rFonts w:hint="eastAsia" w:ascii="仿宋" w:eastAsia="仿宋"/>
          <w:b w:val="0"/>
          <w:bCs/>
          <w:sz w:val="32"/>
          <w:szCs w:val="32"/>
        </w:rPr>
        <w:t>完成预算</w:t>
      </w:r>
      <w:r>
        <w:rPr>
          <w:rStyle w:val="20"/>
          <w:rFonts w:hint="eastAsia" w:ascii="仿宋" w:eastAsia="仿宋"/>
          <w:b w:val="0"/>
          <w:bCs/>
          <w:sz w:val="32"/>
          <w:szCs w:val="32"/>
          <w:lang w:val="en-US" w:eastAsia="zh-CN"/>
        </w:rPr>
        <w:t>0</w:t>
      </w:r>
      <w:r>
        <w:rPr>
          <w:rStyle w:val="20"/>
          <w:rFonts w:ascii="仿宋" w:eastAsia="仿宋"/>
          <w:b w:val="0"/>
          <w:bCs/>
          <w:sz w:val="32"/>
          <w:szCs w:val="32"/>
        </w:rPr>
        <w:t>%</w:t>
      </w:r>
      <w:r>
        <w:rPr>
          <w:rStyle w:val="20"/>
          <w:rFonts w:hint="eastAsia" w:ascii="仿宋" w:eastAsia="仿宋"/>
          <w:b w:val="0"/>
          <w:bCs/>
          <w:sz w:val="32"/>
          <w:szCs w:val="32"/>
        </w:rPr>
        <w:t>。</w:t>
      </w:r>
      <w:r>
        <w:rPr>
          <w:rFonts w:hint="eastAsia" w:ascii="仿宋_GB2312" w:eastAsia="仿宋_GB2312"/>
          <w:sz w:val="32"/>
          <w:szCs w:val="32"/>
        </w:rPr>
        <w:t>公务接待费支出决算</w:t>
      </w:r>
      <w:r>
        <w:rPr>
          <w:rFonts w:hint="eastAsia" w:ascii="仿宋_GB2312" w:eastAsia="仿宋_GB2312"/>
          <w:sz w:val="32"/>
          <w:szCs w:val="32"/>
          <w:lang w:val="en-US" w:eastAsia="zh-CN"/>
        </w:rPr>
        <w:t>与</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相等</w:t>
      </w:r>
      <w:r>
        <w:rPr>
          <w:rFonts w:hint="eastAsia" w:ascii="仿宋_GB2312" w:eastAsia="仿宋_GB2312"/>
          <w:sz w:val="32"/>
          <w:szCs w:val="32"/>
        </w:rPr>
        <w:t>。</w:t>
      </w:r>
      <w:r>
        <w:rPr>
          <w:rFonts w:hint="eastAsia" w:ascii="仿宋" w:eastAsia="仿宋"/>
          <w:b/>
          <w:sz w:val="32"/>
          <w:szCs w:val="32"/>
        </w:rPr>
        <w:t>国内公务接待支出</w:t>
      </w:r>
      <w:r>
        <w:rPr>
          <w:rFonts w:hint="eastAsia" w:ascii="仿宋" w:eastAsia="仿宋"/>
          <w:sz w:val="32"/>
          <w:szCs w:val="32"/>
          <w:lang w:val="en-US" w:eastAsia="zh-CN"/>
        </w:rPr>
        <w:t>0</w:t>
      </w:r>
      <w:r>
        <w:rPr>
          <w:rFonts w:hint="eastAsia" w:ascii="仿宋_GB2312" w:eastAsia="仿宋_GB2312"/>
          <w:sz w:val="32"/>
          <w:szCs w:val="32"/>
        </w:rPr>
        <w:t>万元。</w:t>
      </w:r>
      <w:r>
        <w:rPr>
          <w:rFonts w:hint="eastAsia" w:ascii="仿宋" w:eastAsia="仿宋"/>
          <w:b/>
          <w:sz w:val="32"/>
          <w:szCs w:val="32"/>
        </w:rPr>
        <w:t>外事接待支出</w:t>
      </w:r>
      <w:r>
        <w:rPr>
          <w:rFonts w:hint="eastAsia" w:ascii="仿宋" w:eastAsia="仿宋"/>
          <w:sz w:val="32"/>
          <w:szCs w:val="32"/>
          <w:lang w:val="en-US" w:eastAsia="zh-CN"/>
        </w:rPr>
        <w:t>0</w:t>
      </w:r>
      <w:r>
        <w:rPr>
          <w:rFonts w:hint="eastAsia" w:ascii="仿宋_GB2312" w:eastAsia="仿宋_GB2312"/>
          <w:sz w:val="32"/>
          <w:szCs w:val="32"/>
        </w:rPr>
        <w:t>万元，</w:t>
      </w:r>
      <w:bookmarkStart w:id="43" w:name="_Toc15396610"/>
      <w:bookmarkStart w:id="44" w:name="_Toc15377218"/>
    </w:p>
    <w:p>
      <w:pPr>
        <w:keepNext w:val="0"/>
        <w:keepLines w:val="0"/>
        <w:pageBreakBefore w:val="0"/>
        <w:kinsoku/>
        <w:wordWrap/>
        <w:overflowPunct/>
        <w:topLinePunct w:val="0"/>
        <w:bidi w:val="0"/>
        <w:snapToGrid/>
        <w:spacing w:line="560" w:lineRule="exact"/>
        <w:ind w:firstLine="640"/>
        <w:textAlignment w:val="auto"/>
        <w:outlineLvl w:val="1"/>
        <w:rPr>
          <w:rStyle w:val="23"/>
          <w:rFonts w:ascii="黑体" w:eastAsia="黑体"/>
        </w:rPr>
      </w:pPr>
      <w:r>
        <w:rPr>
          <w:rFonts w:hint="eastAsia" w:ascii="黑体" w:eastAsia="黑体"/>
          <w:sz w:val="32"/>
          <w:szCs w:val="32"/>
        </w:rPr>
        <w:t>八、</w:t>
      </w:r>
      <w:r>
        <w:rPr>
          <w:rStyle w:val="23"/>
          <w:rFonts w:hint="eastAsia" w:ascii="黑体" w:eastAsia="黑体"/>
          <w:b w:val="0"/>
        </w:rPr>
        <w:t>政府性基金预算支出决算情况说明</w:t>
      </w:r>
      <w:bookmarkEnd w:id="43"/>
      <w:bookmarkEnd w:id="44"/>
    </w:p>
    <w:p>
      <w:pPr>
        <w:keepNext w:val="0"/>
        <w:keepLines w:val="0"/>
        <w:pageBreakBefore w:val="0"/>
        <w:kinsoku/>
        <w:wordWrap/>
        <w:overflowPunct/>
        <w:topLinePunct w:val="0"/>
        <w:bidi w:val="0"/>
        <w:snapToGrid/>
        <w:spacing w:line="560" w:lineRule="exact"/>
        <w:ind w:firstLine="640"/>
        <w:textAlignment w:val="auto"/>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numPr>
          <w:ilvl w:val="0"/>
          <w:numId w:val="2"/>
        </w:numPr>
        <w:kinsoku/>
        <w:wordWrap/>
        <w:overflowPunct/>
        <w:topLinePunct w:val="0"/>
        <w:bidi w:val="0"/>
        <w:snapToGrid/>
        <w:spacing w:line="560" w:lineRule="exact"/>
        <w:ind w:firstLine="640"/>
        <w:textAlignment w:val="auto"/>
        <w:outlineLvl w:val="1"/>
        <w:rPr>
          <w:rStyle w:val="23"/>
          <w:rFonts w:ascii="黑体" w:eastAsia="黑体"/>
          <w:b w:val="0"/>
        </w:rPr>
      </w:pPr>
      <w:bookmarkStart w:id="45" w:name="_Toc15377219"/>
      <w:bookmarkStart w:id="46" w:name="_Toc15396611"/>
      <w:r>
        <w:rPr>
          <w:rStyle w:val="23"/>
          <w:rFonts w:hint="eastAsia" w:ascii="黑体" w:eastAsia="黑体"/>
          <w:b w:val="0"/>
        </w:rPr>
        <w:t>国有资本经营预算支出决算情况说明</w:t>
      </w:r>
      <w:bookmarkEnd w:id="45"/>
      <w:bookmarkEnd w:id="46"/>
    </w:p>
    <w:p>
      <w:pPr>
        <w:keepNext w:val="0"/>
        <w:keepLines w:val="0"/>
        <w:pageBreakBefore w:val="0"/>
        <w:kinsoku/>
        <w:wordWrap/>
        <w:overflowPunct/>
        <w:topLinePunct w:val="0"/>
        <w:bidi w:val="0"/>
        <w:snapToGrid/>
        <w:spacing w:line="560" w:lineRule="exact"/>
        <w:ind w:firstLine="640"/>
        <w:textAlignment w:val="auto"/>
        <w:rPr>
          <w:rFonts w:asci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numPr>
          <w:ilvl w:val="0"/>
          <w:numId w:val="2"/>
        </w:numPr>
        <w:kinsoku/>
        <w:wordWrap/>
        <w:overflowPunct/>
        <w:topLinePunct w:val="0"/>
        <w:bidi w:val="0"/>
        <w:snapToGrid/>
        <w:spacing w:line="560" w:lineRule="exact"/>
        <w:ind w:firstLine="640"/>
        <w:textAlignment w:val="auto"/>
        <w:outlineLvl w:val="1"/>
        <w:rPr>
          <w:rStyle w:val="23"/>
          <w:rFonts w:ascii="黑体" w:eastAsia="黑体"/>
          <w:b w:val="0"/>
        </w:rPr>
      </w:pPr>
      <w:bookmarkStart w:id="47" w:name="_Toc15377221"/>
      <w:bookmarkStart w:id="48" w:name="_Toc15396612"/>
      <w:r>
        <w:rPr>
          <w:rStyle w:val="23"/>
          <w:rFonts w:hint="eastAsia" w:ascii="黑体" w:eastAsia="黑体"/>
          <w:b w:val="0"/>
        </w:rPr>
        <w:t>其他重要事项的情况说明</w:t>
      </w:r>
      <w:bookmarkEnd w:id="47"/>
      <w:bookmarkEnd w:id="48"/>
    </w:p>
    <w:p>
      <w:pPr>
        <w:keepNext w:val="0"/>
        <w:keepLines w:val="0"/>
        <w:pageBreakBefore w:val="0"/>
        <w:kinsoku/>
        <w:wordWrap/>
        <w:overflowPunct/>
        <w:topLinePunct w:val="0"/>
        <w:bidi w:val="0"/>
        <w:snapToGrid/>
        <w:spacing w:line="560" w:lineRule="exact"/>
        <w:ind w:firstLine="643" w:firstLineChars="200"/>
        <w:textAlignment w:val="auto"/>
        <w:outlineLvl w:val="2"/>
        <w:rPr>
          <w:rFonts w:ascii="仿宋" w:eastAsia="仿宋"/>
          <w:sz w:val="32"/>
          <w:szCs w:val="32"/>
        </w:rPr>
      </w:pPr>
      <w:bookmarkStart w:id="49" w:name="_Toc15377222"/>
      <w:r>
        <w:rPr>
          <w:rFonts w:hint="eastAsia" w:ascii="仿宋" w:eastAsia="仿宋"/>
          <w:b/>
          <w:sz w:val="32"/>
          <w:szCs w:val="32"/>
        </w:rPr>
        <w:t>（一）机关运行经费支出情况</w:t>
      </w:r>
      <w:bookmarkEnd w:id="49"/>
    </w:p>
    <w:p>
      <w:pPr>
        <w:keepNext w:val="0"/>
        <w:keepLines w:val="0"/>
        <w:pageBreakBefore w:val="0"/>
        <w:kinsoku/>
        <w:wordWrap/>
        <w:overflowPunct/>
        <w:topLinePunct w:val="0"/>
        <w:bidi w:val="0"/>
        <w:snapToGrid/>
        <w:spacing w:line="560" w:lineRule="exact"/>
        <w:ind w:firstLine="640" w:firstLineChars="200"/>
        <w:textAlignment w:val="auto"/>
        <w:rPr>
          <w:rFonts w:hint="eastAsia" w:ascii="仿宋_GB2312" w:eastAsia="仿宋_GB2312"/>
          <w:sz w:val="32"/>
          <w:szCs w:val="32"/>
          <w:lang w:val="en-US" w:eastAsia="zh-CN"/>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年增加</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我院无</w:t>
      </w:r>
      <w:r>
        <w:rPr>
          <w:rFonts w:hint="eastAsia" w:ascii="仿宋_GB2312" w:eastAsia="仿宋_GB2312"/>
          <w:sz w:val="32"/>
          <w:szCs w:val="32"/>
        </w:rPr>
        <w:t>机关运行经费</w:t>
      </w:r>
      <w:r>
        <w:rPr>
          <w:rFonts w:hint="eastAsia" w:ascii="仿宋_GB2312" w:eastAsia="仿宋_GB2312"/>
          <w:sz w:val="32"/>
          <w:szCs w:val="32"/>
          <w:lang w:eastAsia="zh-CN"/>
        </w:rPr>
        <w:t>。</w:t>
      </w:r>
    </w:p>
    <w:p>
      <w:pPr>
        <w:keepNext w:val="0"/>
        <w:keepLines w:val="0"/>
        <w:pageBreakBefore w:val="0"/>
        <w:kinsoku/>
        <w:wordWrap/>
        <w:overflowPunct/>
        <w:topLinePunct w:val="0"/>
        <w:autoSpaceDE w:val="0"/>
        <w:autoSpaceDN w:val="0"/>
        <w:bidi w:val="0"/>
        <w:adjustRightInd w:val="0"/>
        <w:snapToGrid/>
        <w:spacing w:line="560" w:lineRule="exact"/>
        <w:ind w:firstLine="643" w:firstLineChars="200"/>
        <w:jc w:val="left"/>
        <w:textAlignment w:val="auto"/>
        <w:outlineLvl w:val="2"/>
        <w:rPr>
          <w:rFonts w:ascii="仿宋" w:eastAsia="仿宋"/>
          <w:b/>
          <w:sz w:val="32"/>
          <w:szCs w:val="32"/>
        </w:rPr>
      </w:pPr>
      <w:bookmarkStart w:id="50" w:name="_Toc15377223"/>
      <w:r>
        <w:rPr>
          <w:rFonts w:hint="eastAsia" w:ascii="仿宋" w:eastAsia="仿宋"/>
          <w:b/>
          <w:color w:val="auto"/>
          <w:sz w:val="32"/>
          <w:szCs w:val="32"/>
        </w:rPr>
        <w:t>（二）政府采购支出情</w:t>
      </w:r>
      <w:r>
        <w:rPr>
          <w:rFonts w:hint="eastAsia" w:ascii="仿宋" w:eastAsia="仿宋"/>
          <w:b/>
          <w:sz w:val="32"/>
          <w:szCs w:val="32"/>
        </w:rPr>
        <w:t>况</w:t>
      </w:r>
      <w:bookmarkEnd w:id="50"/>
    </w:p>
    <w:p>
      <w:pPr>
        <w:keepNext w:val="0"/>
        <w:keepLines w:val="0"/>
        <w:pageBreakBefore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hint="eastAsia" w:ascii="仿宋_GB2312" w:hAnsi="仿宋_GB2312" w:eastAsia="仿宋_GB2312" w:cs="仿宋_GB2312"/>
          <w:kern w:val="0"/>
          <w:sz w:val="32"/>
          <w:szCs w:val="32"/>
          <w:shd w:val="clear" w:color="auto" w:fill="FFFFFF"/>
        </w:rPr>
        <w:t>红原县人民医院</w:t>
      </w:r>
      <w:r>
        <w:rPr>
          <w:rFonts w:hint="eastAsia" w:ascii="仿宋_GB2312" w:eastAsia="仿宋_GB2312"/>
          <w:sz w:val="32"/>
          <w:szCs w:val="32"/>
        </w:rPr>
        <w:t>政府采购支出总额</w:t>
      </w:r>
      <w:r>
        <w:rPr>
          <w:rFonts w:hint="eastAsia" w:ascii="仿宋_GB2312" w:eastAsia="仿宋_GB2312"/>
          <w:sz w:val="32"/>
          <w:szCs w:val="32"/>
          <w:lang w:val="en-US" w:eastAsia="zh-CN"/>
        </w:rPr>
        <w:t>408.18</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408.18</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408.18</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100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keepNext w:val="0"/>
        <w:keepLines w:val="0"/>
        <w:pageBreakBefore w:val="0"/>
        <w:kinsoku/>
        <w:wordWrap/>
        <w:overflowPunct/>
        <w:topLinePunct w:val="0"/>
        <w:autoSpaceDE w:val="0"/>
        <w:autoSpaceDN w:val="0"/>
        <w:bidi w:val="0"/>
        <w:adjustRightInd w:val="0"/>
        <w:snapToGrid/>
        <w:spacing w:line="560" w:lineRule="exact"/>
        <w:ind w:firstLine="643" w:firstLineChars="200"/>
        <w:jc w:val="left"/>
        <w:textAlignment w:val="auto"/>
        <w:outlineLvl w:val="2"/>
        <w:rPr>
          <w:rFonts w:ascii="仿宋" w:eastAsia="仿宋"/>
          <w:b/>
          <w:sz w:val="32"/>
          <w:szCs w:val="32"/>
        </w:rPr>
      </w:pPr>
      <w:bookmarkStart w:id="51" w:name="_Toc15377224"/>
      <w:r>
        <w:rPr>
          <w:rFonts w:hint="eastAsia" w:ascii="仿宋" w:eastAsia="仿宋"/>
          <w:b/>
          <w:sz w:val="32"/>
          <w:szCs w:val="32"/>
        </w:rPr>
        <w:t>（三）国有资产占有使用情况</w:t>
      </w:r>
      <w:bookmarkEnd w:id="51"/>
    </w:p>
    <w:p>
      <w:pPr>
        <w:keepNext w:val="0"/>
        <w:keepLines w:val="0"/>
        <w:pageBreakBefore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Times New Roman" w:eastAsia="仿宋_GB2312" w:cs="Times New Roman"/>
          <w:color w:val="auto"/>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日共有</w:t>
      </w:r>
      <w:r>
        <w:rPr>
          <w:rFonts w:hint="eastAsia" w:ascii="仿宋_GB2312" w:eastAsia="仿宋_GB2312"/>
          <w:color w:val="auto"/>
          <w:sz w:val="32"/>
          <w:szCs w:val="32"/>
        </w:rPr>
        <w:t>车辆</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辆，</w:t>
      </w:r>
      <w:r>
        <w:rPr>
          <w:rFonts w:hint="eastAsia" w:ascii="仿宋_GB2312" w:eastAsia="仿宋_GB2312"/>
          <w:sz w:val="32"/>
          <w:szCs w:val="32"/>
        </w:rPr>
        <w:t>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hAnsi="Times New Roman" w:eastAsia="仿宋_GB2312" w:cs="Times New Roman"/>
          <w:color w:val="auto"/>
          <w:sz w:val="32"/>
          <w:szCs w:val="32"/>
        </w:rPr>
        <w:t>、其他用</w:t>
      </w:r>
      <w:r>
        <w:rPr>
          <w:rFonts w:hint="eastAsia" w:ascii="仿宋_GB2312" w:hAnsi="Times New Roman" w:eastAsia="仿宋_GB2312" w:cs="Times New Roman"/>
          <w:color w:val="auto"/>
          <w:sz w:val="32"/>
          <w:szCs w:val="32"/>
          <w:lang w:val="en-US" w:eastAsia="zh-CN"/>
        </w:rPr>
        <w:t>3</w:t>
      </w:r>
      <w:r>
        <w:rPr>
          <w:rFonts w:hint="eastAsia" w:ascii="仿宋_GB2312" w:hAnsi="Times New Roman" w:eastAsia="仿宋_GB2312" w:cs="Times New Roman"/>
          <w:color w:val="auto"/>
          <w:sz w:val="32"/>
          <w:szCs w:val="32"/>
        </w:rPr>
        <w:t>辆、</w:t>
      </w:r>
      <w:r>
        <w:rPr>
          <w:rFonts w:hint="eastAsia" w:ascii="仿宋_GB2312" w:hAnsi="Times New Roman" w:eastAsia="仿宋_GB2312" w:cs="Times New Roman"/>
          <w:color w:val="auto"/>
          <w:sz w:val="32"/>
          <w:szCs w:val="32"/>
          <w:lang w:val="en-US" w:eastAsia="zh-CN"/>
        </w:rPr>
        <w:t>特种专业技术用车7</w:t>
      </w:r>
      <w:r>
        <w:rPr>
          <w:rFonts w:hint="eastAsia" w:ascii="仿宋_GB2312" w:hAnsi="Times New Roman" w:eastAsia="仿宋_GB2312" w:cs="Times New Roman"/>
          <w:color w:val="auto"/>
          <w:sz w:val="32"/>
          <w:szCs w:val="32"/>
        </w:rPr>
        <w:t>辆</w:t>
      </w:r>
      <w:r>
        <w:rPr>
          <w:rFonts w:hint="eastAsia" w:ascii="仿宋_GB2312" w:hAnsi="Times New Roman" w:eastAsia="仿宋_GB2312" w:cs="Times New Roman"/>
          <w:color w:val="auto"/>
          <w:sz w:val="32"/>
          <w:szCs w:val="32"/>
          <w:lang w:eastAsia="zh-CN"/>
        </w:rPr>
        <w:t>，</w:t>
      </w:r>
      <w:r>
        <w:rPr>
          <w:rFonts w:hint="eastAsia" w:ascii="仿宋_GB2312" w:hAnsi="Times New Roman" w:eastAsia="仿宋_GB2312" w:cs="Times New Roman"/>
          <w:color w:val="auto"/>
          <w:sz w:val="32"/>
          <w:szCs w:val="32"/>
        </w:rPr>
        <w:t>主要是用于</w:t>
      </w:r>
      <w:r>
        <w:rPr>
          <w:rFonts w:hint="eastAsia" w:ascii="仿宋_GB2312" w:hAnsi="Times New Roman" w:eastAsia="仿宋_GB2312" w:cs="Times New Roman"/>
          <w:color w:val="auto"/>
          <w:sz w:val="32"/>
          <w:szCs w:val="32"/>
          <w:lang w:val="en-US" w:eastAsia="zh-CN"/>
        </w:rPr>
        <w:t>医院医疗救治。</w:t>
      </w:r>
      <w:r>
        <w:rPr>
          <w:rFonts w:hint="eastAsia" w:ascii="仿宋_GB2312" w:hAnsi="Times New Roman" w:eastAsia="仿宋_GB2312" w:cs="Times New Roman"/>
          <w:color w:val="auto"/>
          <w:sz w:val="32"/>
          <w:szCs w:val="32"/>
        </w:rPr>
        <w:t>单价50万元以上通用设备</w:t>
      </w:r>
      <w:r>
        <w:rPr>
          <w:rFonts w:hint="eastAsia" w:ascii="仿宋_GB2312" w:hAnsi="Times New Roman" w:eastAsia="仿宋_GB2312" w:cs="Times New Roman"/>
          <w:color w:val="auto"/>
          <w:sz w:val="32"/>
          <w:szCs w:val="32"/>
          <w:lang w:val="en-US" w:eastAsia="zh-CN"/>
        </w:rPr>
        <w:t>3</w:t>
      </w:r>
      <w:r>
        <w:rPr>
          <w:rFonts w:hint="eastAsia" w:ascii="仿宋_GB2312" w:hAnsi="Times New Roman" w:eastAsia="仿宋_GB2312" w:cs="Times New Roman"/>
          <w:color w:val="auto"/>
          <w:sz w:val="32"/>
          <w:szCs w:val="32"/>
        </w:rPr>
        <w:t>台（套），单价100万元以上专用设备</w:t>
      </w:r>
      <w:r>
        <w:rPr>
          <w:rFonts w:hint="eastAsia" w:ascii="仿宋_GB2312" w:hAnsi="Times New Roman" w:eastAsia="仿宋_GB2312" w:cs="Times New Roman"/>
          <w:color w:val="auto"/>
          <w:sz w:val="32"/>
          <w:szCs w:val="32"/>
          <w:lang w:val="en-US" w:eastAsia="zh-CN"/>
        </w:rPr>
        <w:t>8</w:t>
      </w:r>
      <w:r>
        <w:rPr>
          <w:rFonts w:hint="eastAsia" w:ascii="仿宋_GB2312" w:hAnsi="Times New Roman" w:eastAsia="仿宋_GB2312" w:cs="Times New Roman"/>
          <w:color w:val="auto"/>
          <w:sz w:val="32"/>
          <w:szCs w:val="32"/>
        </w:rPr>
        <w:t>台（套）。</w:t>
      </w:r>
    </w:p>
    <w:p>
      <w:pPr>
        <w:keepNext w:val="0"/>
        <w:keepLines w:val="0"/>
        <w:pageBreakBefore w:val="0"/>
        <w:kinsoku/>
        <w:wordWrap/>
        <w:overflowPunct/>
        <w:topLinePunct w:val="0"/>
        <w:autoSpaceDE w:val="0"/>
        <w:autoSpaceDN w:val="0"/>
        <w:bidi w:val="0"/>
        <w:adjustRightInd w:val="0"/>
        <w:snapToGrid/>
        <w:spacing w:line="560" w:lineRule="exact"/>
        <w:ind w:firstLine="643" w:firstLineChars="200"/>
        <w:jc w:val="left"/>
        <w:textAlignment w:val="auto"/>
        <w:outlineLvl w:val="2"/>
        <w:rPr>
          <w:rFonts w:ascii="仿宋" w:eastAsia="仿宋"/>
          <w:b/>
          <w:sz w:val="32"/>
          <w:szCs w:val="32"/>
        </w:rPr>
      </w:pPr>
      <w:r>
        <w:rPr>
          <w:rFonts w:hint="eastAsia" w:ascii="仿宋" w:eastAsia="仿宋"/>
          <w:b/>
          <w:sz w:val="32"/>
          <w:szCs w:val="32"/>
        </w:rPr>
        <w:t>（四）预算绩效管理情况</w:t>
      </w:r>
    </w:p>
    <w:p>
      <w:pPr>
        <w:keepNext w:val="0"/>
        <w:keepLines w:val="0"/>
        <w:pageBreakBefore w:val="0"/>
        <w:widowControl/>
        <w:kinsoku/>
        <w:wordWrap/>
        <w:overflowPunct/>
        <w:topLinePunct w:val="0"/>
        <w:bidi w:val="0"/>
        <w:snapToGrid/>
        <w:spacing w:line="560" w:lineRule="exact"/>
        <w:ind w:firstLine="640" w:firstLineChars="200"/>
        <w:jc w:val="left"/>
        <w:textAlignment w:val="auto"/>
        <w:rPr>
          <w:rFonts w:ascii="仿宋_GB2312" w:eastAsia="仿宋_GB2312"/>
          <w:b/>
          <w:sz w:val="32"/>
          <w:szCs w:val="32"/>
        </w:rPr>
      </w:pPr>
      <w:r>
        <w:rPr>
          <w:rFonts w:hint="eastAsia" w:ascii="仿宋_GB2312" w:eastAsia="仿宋_GB2312" w:cs="仿宋_GB2312"/>
          <w:sz w:val="32"/>
          <w:szCs w:val="32"/>
        </w:rPr>
        <w:t>根据预算绩效管理要求，本单位在202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年度预算编制阶段，组织对</w:t>
      </w:r>
      <w:r>
        <w:rPr>
          <w:rFonts w:hint="eastAsia" w:ascii="仿宋_GB2312" w:eastAsia="仿宋_GB2312" w:cs="仿宋_GB2312"/>
          <w:sz w:val="32"/>
          <w:szCs w:val="32"/>
          <w:lang w:eastAsia="zh-CN"/>
        </w:rPr>
        <w:t>取消药品加成</w:t>
      </w:r>
      <w:r>
        <w:rPr>
          <w:rFonts w:hint="eastAsia" w:ascii="仿宋_GB2312" w:eastAsia="仿宋_GB2312" w:cs="仿宋_GB2312"/>
          <w:sz w:val="32"/>
          <w:szCs w:val="32"/>
        </w:rPr>
        <w:t>项目等开展了预算事前绩效评估，对</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个项目编制了绩效目标，预算执行过程中，选取</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个项目开展绩效监控，年终执行完毕后，对</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个项目</w:t>
      </w:r>
      <w:r>
        <w:rPr>
          <w:rFonts w:hint="eastAsia" w:ascii="仿宋_GB2312" w:eastAsia="仿宋_GB2312" w:cs="仿宋_GB2312"/>
          <w:sz w:val="32"/>
          <w:szCs w:val="32"/>
          <w:lang w:val="en-US" w:eastAsia="zh-CN"/>
        </w:rPr>
        <w:t>医疗服务能力提升项目和神经外科项目</w:t>
      </w:r>
      <w:r>
        <w:rPr>
          <w:rFonts w:hint="eastAsia" w:ascii="仿宋_GB2312" w:eastAsia="仿宋_GB2312" w:cs="仿宋_GB2312"/>
          <w:sz w:val="32"/>
          <w:szCs w:val="32"/>
        </w:rPr>
        <w:t>开展了绩效自评</w:t>
      </w:r>
      <w:r>
        <w:rPr>
          <w:rFonts w:hint="eastAsia" w:ascii="仿宋_GB2312" w:eastAsia="仿宋_GB2312" w:cs="仿宋_GB2312"/>
          <w:sz w:val="32"/>
          <w:szCs w:val="32"/>
          <w:lang w:eastAsia="zh-CN"/>
        </w:rPr>
        <w:t>。</w:t>
      </w:r>
      <w:r>
        <w:rPr>
          <w:rFonts w:hint="eastAsia" w:ascii="仿宋_GB2312" w:eastAsia="仿宋_GB2312" w:cs="仿宋_GB2312"/>
          <w:sz w:val="32"/>
          <w:szCs w:val="32"/>
        </w:rPr>
        <w:t>绩效自评报告详见附件</w:t>
      </w:r>
      <w:r>
        <w:rPr>
          <w:rFonts w:hint="eastAsia" w:ascii="仿宋_GB2312" w:eastAsia="仿宋_GB2312" w:cs="仿宋_GB2312"/>
          <w:sz w:val="32"/>
          <w:szCs w:val="32"/>
          <w:lang w:eastAsia="zh-CN"/>
        </w:rPr>
        <w:t>。</w:t>
      </w:r>
      <w:r>
        <w:rPr>
          <w:rFonts w:ascii="仿宋_GB2312" w:eastAsia="仿宋_GB2312"/>
          <w:b/>
          <w:sz w:val="32"/>
          <w:szCs w:val="32"/>
        </w:rPr>
        <w:br w:type="page"/>
      </w:r>
    </w:p>
    <w:p>
      <w:pPr>
        <w:numPr>
          <w:ilvl w:val="0"/>
          <w:numId w:val="3"/>
        </w:numPr>
        <w:spacing w:line="600" w:lineRule="exact"/>
        <w:ind w:firstLine="660" w:firstLineChars="150"/>
        <w:jc w:val="center"/>
        <w:outlineLvl w:val="0"/>
        <w:rPr>
          <w:rStyle w:val="22"/>
          <w:rFonts w:ascii="黑体" w:eastAsia="黑体"/>
          <w:b w:val="0"/>
        </w:rPr>
      </w:pPr>
      <w:bookmarkStart w:id="52" w:name="_Toc15396613"/>
      <w:bookmarkStart w:id="53" w:name="_Toc15377225"/>
      <w:r>
        <w:rPr>
          <w:rFonts w:hint="eastAsia" w:ascii="黑体" w:eastAsia="黑体"/>
          <w:sz w:val="44"/>
          <w:szCs w:val="44"/>
        </w:rPr>
        <w:t>名</w:t>
      </w:r>
      <w:r>
        <w:rPr>
          <w:rStyle w:val="22"/>
          <w:rFonts w:hint="eastAsia" w:ascii="黑体" w:eastAsia="黑体"/>
          <w:b w:val="0"/>
        </w:rPr>
        <w:t>词解释</w:t>
      </w:r>
      <w:bookmarkEnd w:id="52"/>
      <w:bookmarkEnd w:id="53"/>
    </w:p>
    <w:p>
      <w:pPr>
        <w:spacing w:line="600" w:lineRule="exact"/>
        <w:jc w:val="left"/>
        <w:rPr>
          <w:rFonts w:ascii="宋体"/>
          <w:b/>
          <w:sz w:val="44"/>
          <w:szCs w:val="44"/>
        </w:rPr>
      </w:pP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外交（类）…（款）…（项）：指……。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公共安全（类）…（款）…（项）：指……。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教育（类）…（款）…（项）：指……。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科学技术（类）…（款）…（项）：指……。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文化体育与传媒（类）…（款）…（项）：指……。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社会保障和就业（类）…（款）…（项）：指……。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16.</w:t>
      </w:r>
      <w:r>
        <w:rPr>
          <w:rFonts w:hint="eastAsia" w:ascii="仿宋_GB2312" w:eastAsia="仿宋_GB2312"/>
          <w:sz w:val="32"/>
          <w:szCs w:val="32"/>
        </w:rPr>
        <w:t>医疗卫生与计划生育（类）…（款）…（项）：指……。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17.</w:t>
      </w:r>
      <w:r>
        <w:rPr>
          <w:rFonts w:hint="eastAsia" w:ascii="仿宋_GB2312" w:eastAsia="仿宋_GB2312"/>
          <w:sz w:val="32"/>
          <w:szCs w:val="32"/>
        </w:rPr>
        <w:t>节能环保（类）…（款）…（项）：指……。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18.</w:t>
      </w:r>
      <w:r>
        <w:rPr>
          <w:rFonts w:hint="eastAsia" w:ascii="仿宋_GB2312" w:eastAsia="仿宋_GB2312"/>
          <w:sz w:val="32"/>
          <w:szCs w:val="32"/>
        </w:rPr>
        <w:t>城乡社区（类）…（款）…（项）：指……。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19.</w:t>
      </w:r>
      <w:r>
        <w:rPr>
          <w:rFonts w:hint="eastAsia" w:ascii="仿宋_GB2312" w:eastAsia="仿宋_GB2312"/>
          <w:sz w:val="32"/>
          <w:szCs w:val="32"/>
        </w:rPr>
        <w:t>农林水（类）…（款）…（项）：指……。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交通运输（类）…（款）…（项）：指……。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21.</w:t>
      </w:r>
      <w:r>
        <w:rPr>
          <w:rFonts w:hint="eastAsia" w:ascii="仿宋_GB2312" w:eastAsia="仿宋_GB2312"/>
          <w:sz w:val="32"/>
          <w:szCs w:val="32"/>
        </w:rPr>
        <w:t>资源勘探信息等（类）…（款）…（项）：指……。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22.</w:t>
      </w:r>
      <w:r>
        <w:rPr>
          <w:rFonts w:hint="eastAsia" w:ascii="仿宋_GB2312" w:eastAsia="仿宋_GB2312"/>
          <w:sz w:val="32"/>
          <w:szCs w:val="32"/>
        </w:rPr>
        <w:t>商业服务业（类）…（款）…（项）：指……。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23.</w:t>
      </w:r>
      <w:r>
        <w:rPr>
          <w:rFonts w:hint="eastAsia" w:ascii="仿宋_GB2312" w:eastAsia="仿宋_GB2312"/>
          <w:sz w:val="32"/>
          <w:szCs w:val="32"/>
        </w:rPr>
        <w:t>金融（类）…（款）…（项）：指……。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24.</w:t>
      </w:r>
      <w:r>
        <w:rPr>
          <w:rFonts w:hint="eastAsia" w:ascii="仿宋_GB2312" w:eastAsia="仿宋_GB2312"/>
          <w:sz w:val="32"/>
          <w:szCs w:val="32"/>
        </w:rPr>
        <w:t>国土海洋气象等（类）…（款）…（项）：指……。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25.</w:t>
      </w:r>
      <w:r>
        <w:rPr>
          <w:rFonts w:hint="eastAsia" w:ascii="仿宋_GB2312" w:eastAsia="仿宋_GB2312"/>
          <w:sz w:val="32"/>
          <w:szCs w:val="32"/>
        </w:rPr>
        <w:t>住房保障（类）…（款）…（项）：指……。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26.</w:t>
      </w:r>
      <w:r>
        <w:rPr>
          <w:rFonts w:hint="eastAsia" w:ascii="仿宋_GB2312" w:eastAsia="仿宋_GB2312"/>
          <w:sz w:val="32"/>
          <w:szCs w:val="32"/>
        </w:rPr>
        <w:t>粮油物资储备（类）…（款）…（项）：指……。</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60" w:lineRule="exact"/>
        <w:ind w:firstLine="640"/>
        <w:textAlignment w:val="auto"/>
        <w:rPr>
          <w:rFonts w:ascii="仿宋" w:eastAsia="仿宋"/>
          <w:b/>
          <w:sz w:val="32"/>
          <w:szCs w:val="32"/>
        </w:rPr>
      </w:pPr>
      <w:r>
        <w:rPr>
          <w:rFonts w:hint="eastAsia" w:ascii="仿宋" w:eastAsia="仿宋"/>
          <w:b/>
          <w:sz w:val="32"/>
          <w:szCs w:val="32"/>
        </w:rPr>
        <w:t>（解释本单位决算报表中涉及的全部功能分类科目至项级，不涉及的科目请自行删除。请参照《</w:t>
      </w:r>
      <w:r>
        <w:rPr>
          <w:rFonts w:ascii="仿宋" w:eastAsia="仿宋"/>
          <w:b/>
          <w:sz w:val="32"/>
          <w:szCs w:val="32"/>
        </w:rPr>
        <w:t>20</w:t>
      </w:r>
      <w:r>
        <w:rPr>
          <w:rFonts w:hint="eastAsia" w:ascii="仿宋" w:eastAsia="仿宋"/>
          <w:b/>
          <w:sz w:val="32"/>
          <w:szCs w:val="32"/>
        </w:rPr>
        <w:t>21年政府收支分类科目》增减内容。）</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olor w:val="auto"/>
          <w:sz w:val="32"/>
          <w:szCs w:val="32"/>
        </w:rPr>
      </w:pPr>
      <w:r>
        <w:rPr>
          <w:rFonts w:ascii="仿宋_GB2312" w:eastAsia="仿宋_GB2312"/>
          <w:color w:val="auto"/>
          <w:sz w:val="32"/>
          <w:szCs w:val="32"/>
        </w:rPr>
        <w:t>32.</w:t>
      </w:r>
      <w:r>
        <w:rPr>
          <w:rFonts w:hint="eastAsia" w:ascii="仿宋_GB2312" w:eastAsia="仿宋_GB2312"/>
          <w:color w:val="auto"/>
          <w:sz w:val="32"/>
          <w:szCs w:val="32"/>
        </w:rPr>
        <w:t>……。</w:t>
      </w:r>
    </w:p>
    <w:p>
      <w:pPr>
        <w:pStyle w:val="27"/>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eastAsia="仿宋_GB2312" w:cs="黑体"/>
          <w:color w:val="auto"/>
          <w:sz w:val="32"/>
          <w:szCs w:val="32"/>
        </w:rPr>
      </w:pPr>
    </w:p>
    <w:p>
      <w:pPr>
        <w:keepNext w:val="0"/>
        <w:keepLines w:val="0"/>
        <w:pageBreakBefore w:val="0"/>
        <w:widowControl w:val="0"/>
        <w:kinsoku/>
        <w:wordWrap/>
        <w:overflowPunct/>
        <w:topLinePunct w:val="0"/>
        <w:bidi w:val="0"/>
        <w:snapToGrid/>
        <w:spacing w:line="560" w:lineRule="exact"/>
        <w:ind w:firstLine="643" w:firstLineChars="200"/>
        <w:textAlignment w:val="auto"/>
        <w:rPr>
          <w:rFonts w:ascii="仿宋" w:eastAsia="仿宋"/>
          <w:b/>
          <w:sz w:val="32"/>
          <w:szCs w:val="32"/>
        </w:rPr>
      </w:pPr>
      <w:r>
        <w:rPr>
          <w:rFonts w:hint="eastAsia" w:ascii="仿宋" w:eastAsia="仿宋"/>
          <w:b/>
          <w:sz w:val="32"/>
          <w:szCs w:val="32"/>
        </w:rPr>
        <w:t>（名词解释部分请根据各单位实际列支情况罗列，并根据本单位职责职能增减名词解释内容。）</w:t>
      </w:r>
    </w:p>
    <w:p>
      <w:pPr>
        <w:keepNext w:val="0"/>
        <w:keepLines w:val="0"/>
        <w:pageBreakBefore w:val="0"/>
        <w:widowControl w:val="0"/>
        <w:kinsoku/>
        <w:wordWrap/>
        <w:overflowPunct/>
        <w:topLinePunct w:val="0"/>
        <w:autoSpaceDE/>
        <w:autoSpaceDN/>
        <w:bidi w:val="0"/>
        <w:snapToGrid/>
        <w:spacing w:line="560" w:lineRule="exact"/>
        <w:jc w:val="center"/>
        <w:textAlignment w:val="auto"/>
        <w:outlineLvl w:val="0"/>
        <w:rPr>
          <w:rStyle w:val="22"/>
          <w:rFonts w:ascii="黑体" w:eastAsia="黑体"/>
          <w:b w:val="0"/>
        </w:rPr>
      </w:pPr>
      <w:bookmarkStart w:id="54" w:name="_Toc15377226"/>
      <w:r>
        <w:rPr>
          <w:rFonts w:ascii="宋体"/>
          <w:b/>
          <w:sz w:val="44"/>
          <w:szCs w:val="44"/>
        </w:rPr>
        <w:br w:type="page"/>
      </w:r>
      <w:bookmarkStart w:id="55" w:name="_Toc15396614"/>
      <w:r>
        <w:rPr>
          <w:rFonts w:hint="eastAsia" w:ascii="黑体" w:eastAsia="黑体"/>
          <w:sz w:val="44"/>
          <w:szCs w:val="44"/>
        </w:rPr>
        <w:t>第</w:t>
      </w:r>
      <w:r>
        <w:rPr>
          <w:rStyle w:val="22"/>
          <w:rFonts w:hint="eastAsia" w:ascii="黑体" w:eastAsia="黑体"/>
          <w:b w:val="0"/>
        </w:rPr>
        <w:t>四部分 附件</w:t>
      </w:r>
      <w:bookmarkEnd w:id="55"/>
    </w:p>
    <w:p>
      <w:pPr>
        <w:keepNext w:val="0"/>
        <w:keepLines w:val="0"/>
        <w:pageBreakBefore w:val="0"/>
        <w:widowControl w:val="0"/>
        <w:kinsoku/>
        <w:wordWrap/>
        <w:overflowPunct/>
        <w:topLinePunct w:val="0"/>
        <w:autoSpaceDE/>
        <w:autoSpaceDN/>
        <w:bidi w:val="0"/>
        <w:spacing w:line="560" w:lineRule="exact"/>
        <w:jc w:val="left"/>
        <w:textAlignment w:val="auto"/>
        <w:outlineLvl w:val="0"/>
        <w:rPr>
          <w:rFonts w:ascii="仿宋_GB2312" w:eastAsia="仿宋_GB2312" w:cs="仿宋_GB2312"/>
          <w:sz w:val="32"/>
          <w:szCs w:val="32"/>
        </w:rPr>
      </w:pPr>
      <w:r>
        <w:rPr>
          <w:rFonts w:hint="eastAsia" w:ascii="黑体" w:eastAsia="黑体" w:cs="黑体"/>
          <w:sz w:val="32"/>
          <w:szCs w:val="32"/>
        </w:rPr>
        <w:t>附件</w:t>
      </w: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宋体" w:hAnsi="宋体" w:eastAsia="宋体"/>
          <w:sz w:val="30"/>
          <w:szCs w:val="30"/>
        </w:rPr>
      </w:pPr>
      <w:bookmarkStart w:id="56" w:name="_Toc15396618"/>
    </w:p>
    <w:p>
      <w:pPr>
        <w:keepNext w:val="0"/>
        <w:keepLines w:val="0"/>
        <w:pageBreakBefore w:val="0"/>
        <w:widowControl w:val="0"/>
        <w:kinsoku/>
        <w:wordWrap/>
        <w:overflowPunct/>
        <w:topLinePunct w:val="0"/>
        <w:autoSpaceDE/>
        <w:autoSpaceDN/>
        <w:bidi w:val="0"/>
        <w:adjustRightInd/>
        <w:snapToGrid/>
        <w:spacing w:line="560" w:lineRule="exact"/>
        <w:ind w:firstLine="2650" w:firstLineChars="600"/>
        <w:jc w:val="both"/>
        <w:textAlignment w:val="auto"/>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红原县人民医院</w:t>
      </w:r>
    </w:p>
    <w:p>
      <w:pPr>
        <w:keepNext w:val="0"/>
        <w:keepLines w:val="0"/>
        <w:pageBreakBefore w:val="0"/>
        <w:widowControl w:val="0"/>
        <w:kinsoku/>
        <w:wordWrap/>
        <w:overflowPunct/>
        <w:topLinePunct w:val="0"/>
        <w:autoSpaceDE/>
        <w:autoSpaceDN/>
        <w:bidi w:val="0"/>
        <w:adjustRightInd/>
        <w:snapToGrid/>
        <w:spacing w:line="560" w:lineRule="exact"/>
        <w:ind w:firstLine="1325" w:firstLineChars="300"/>
        <w:jc w:val="both"/>
        <w:textAlignment w:val="auto"/>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神经外科建设项目支出绩效自评报告</w:t>
      </w:r>
    </w:p>
    <w:p>
      <w:pPr>
        <w:pStyle w:val="33"/>
        <w:keepNext w:val="0"/>
        <w:keepLines w:val="0"/>
        <w:pageBreakBefore w:val="0"/>
        <w:widowControl w:val="0"/>
        <w:kinsoku/>
        <w:wordWrap/>
        <w:overflowPunct/>
        <w:topLinePunct w:val="0"/>
        <w:autoSpaceDE/>
        <w:autoSpaceDN/>
        <w:bidi w:val="0"/>
        <w:spacing w:line="560" w:lineRule="exact"/>
        <w:ind w:firstLine="640"/>
        <w:jc w:val="center"/>
        <w:textAlignment w:val="auto"/>
        <w:rPr>
          <w:rFonts w:hint="eastAsia" w:ascii="宋体" w:hAnsi="宋体" w:eastAsia="宋体" w:cs="宋体"/>
          <w:color w:val="auto"/>
          <w:kern w:val="2"/>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outlineLvl w:val="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（一）项目资金申报及批复情况。</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eastAsia="zh-CN"/>
        </w:rPr>
        <w:t>根据</w:t>
      </w:r>
      <w:r>
        <w:rPr>
          <w:rFonts w:hint="eastAsia" w:ascii="仿宋" w:hAnsi="仿宋" w:eastAsia="仿宋" w:cs="仿宋"/>
          <w:b w:val="0"/>
          <w:bCs/>
          <w:sz w:val="32"/>
          <w:szCs w:val="32"/>
          <w:shd w:val="clear" w:color="auto" w:fill="FFFFFF"/>
          <w:lang w:val="en-US" w:eastAsia="zh-CN"/>
        </w:rPr>
        <w:t>《红原县财政局下达黄河流域高质量发展奖补资金的通知》，下达资金共计500000元。</w:t>
      </w:r>
    </w:p>
    <w:p>
      <w:pPr>
        <w:pageBreakBefore w:val="0"/>
        <w:widowControl w:val="0"/>
        <w:kinsoku/>
        <w:wordWrap/>
        <w:overflowPunct/>
        <w:topLinePunct w:val="0"/>
        <w:autoSpaceDE/>
        <w:autoSpaceDN/>
        <w:bidi w:val="0"/>
        <w:spacing w:line="560" w:lineRule="exact"/>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sz w:val="32"/>
          <w:szCs w:val="32"/>
          <w:lang w:val="zh-CN"/>
        </w:rPr>
        <w:t>（</w:t>
      </w:r>
      <w:r>
        <w:rPr>
          <w:rFonts w:hint="eastAsia" w:ascii="仿宋" w:hAnsi="仿宋" w:eastAsia="仿宋" w:cs="仿宋"/>
          <w:b/>
          <w:sz w:val="32"/>
          <w:szCs w:val="32"/>
          <w:lang w:val="en-US" w:eastAsia="zh-CN"/>
        </w:rPr>
        <w:t>二</w:t>
      </w:r>
      <w:r>
        <w:rPr>
          <w:rFonts w:hint="eastAsia" w:ascii="仿宋" w:hAnsi="仿宋" w:eastAsia="仿宋" w:cs="仿宋"/>
          <w:b/>
          <w:sz w:val="32"/>
          <w:szCs w:val="32"/>
          <w:lang w:val="zh-CN"/>
        </w:rPr>
        <w:t>）</w:t>
      </w:r>
      <w:r>
        <w:rPr>
          <w:rFonts w:hint="eastAsia" w:ascii="仿宋" w:hAnsi="仿宋" w:eastAsia="仿宋" w:cs="仿宋"/>
          <w:b/>
          <w:sz w:val="32"/>
          <w:szCs w:val="32"/>
          <w:lang w:val="en-US" w:eastAsia="zh-CN"/>
        </w:rPr>
        <w:t>项目绩效目标。</w:t>
      </w:r>
    </w:p>
    <w:p>
      <w:pPr>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红原县财政局下达黄河流域高质量发展奖补资金的通知，下达资金共计500000元。2022年资金已到位，下达资金共计500000元，项目已经实施完毕并且资金已经支付497000元。该笔资金用于神经外科建设工作方面。</w:t>
      </w:r>
    </w:p>
    <w:p>
      <w:pPr>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default" w:ascii="仿宋" w:hAnsi="仿宋" w:eastAsia="仿宋" w:cs="仿宋"/>
          <w:b w:val="0"/>
          <w:bCs/>
          <w:sz w:val="32"/>
          <w:szCs w:val="32"/>
          <w:shd w:val="clear" w:color="auto" w:fill="FFFFFF"/>
          <w:lang w:val="en-US" w:eastAsia="zh-CN"/>
        </w:rPr>
      </w:pPr>
      <w:r>
        <w:rPr>
          <w:rFonts w:hint="eastAsia" w:ascii="仿宋" w:hAnsi="仿宋" w:eastAsia="仿宋" w:cs="仿宋"/>
          <w:b/>
          <w:sz w:val="32"/>
          <w:szCs w:val="32"/>
          <w:lang w:val="zh-CN"/>
        </w:rPr>
        <w:t>（</w:t>
      </w:r>
      <w:r>
        <w:rPr>
          <w:rFonts w:hint="eastAsia" w:ascii="仿宋" w:hAnsi="仿宋" w:eastAsia="仿宋" w:cs="仿宋"/>
          <w:b/>
          <w:sz w:val="32"/>
          <w:szCs w:val="32"/>
          <w:lang w:val="en-US" w:eastAsia="zh-CN"/>
        </w:rPr>
        <w:t>三</w:t>
      </w:r>
      <w:r>
        <w:rPr>
          <w:rFonts w:hint="eastAsia" w:ascii="仿宋" w:hAnsi="仿宋" w:eastAsia="仿宋" w:cs="仿宋"/>
          <w:b/>
          <w:sz w:val="32"/>
          <w:szCs w:val="32"/>
          <w:lang w:val="zh-CN"/>
        </w:rPr>
        <w:t>）</w:t>
      </w:r>
      <w:r>
        <w:rPr>
          <w:rFonts w:hint="eastAsia" w:ascii="仿宋" w:hAnsi="仿宋" w:eastAsia="仿宋" w:cs="仿宋"/>
          <w:b/>
          <w:sz w:val="32"/>
          <w:szCs w:val="32"/>
          <w:lang w:val="en-US" w:eastAsia="zh-CN"/>
        </w:rPr>
        <w:t>项目资金申报相符性。</w:t>
      </w:r>
    </w:p>
    <w:p>
      <w:pPr>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项目申报内容与具体实施内容相符、申报目标合理可行。</w:t>
      </w:r>
    </w:p>
    <w:p>
      <w:pPr>
        <w:pageBreakBefore w:val="0"/>
        <w:widowControl w:val="0"/>
        <w:kinsoku/>
        <w:wordWrap/>
        <w:overflowPunct/>
        <w:topLinePunct w:val="0"/>
        <w:autoSpaceDE/>
        <w:autoSpaceDN/>
        <w:bidi w:val="0"/>
        <w:adjustRightInd w:val="0"/>
        <w:snapToGrid w:val="0"/>
        <w:spacing w:line="560" w:lineRule="exact"/>
        <w:ind w:firstLine="720"/>
        <w:textAlignment w:val="auto"/>
        <w:outlineLvl w:val="0"/>
        <w:rPr>
          <w:rFonts w:hint="eastAsia" w:ascii="黑体" w:hAnsi="黑体" w:eastAsia="黑体" w:cs="黑体"/>
          <w:sz w:val="32"/>
          <w:szCs w:val="32"/>
        </w:rPr>
      </w:pPr>
      <w:r>
        <w:rPr>
          <w:rFonts w:hint="eastAsia" w:ascii="黑体" w:hAnsi="黑体" w:eastAsia="黑体" w:cs="黑体"/>
          <w:sz w:val="32"/>
          <w:szCs w:val="32"/>
        </w:rPr>
        <w:t>二、项目实施及管理情况</w:t>
      </w:r>
    </w:p>
    <w:p>
      <w:pPr>
        <w:pageBreakBefore w:val="0"/>
        <w:widowControl w:val="0"/>
        <w:kinsoku/>
        <w:wordWrap/>
        <w:overflowPunct/>
        <w:topLinePunct w:val="0"/>
        <w:autoSpaceDE/>
        <w:autoSpaceDN/>
        <w:bidi w:val="0"/>
        <w:adjustRightInd w:val="0"/>
        <w:snapToGrid w:val="0"/>
        <w:spacing w:line="560" w:lineRule="exact"/>
        <w:ind w:firstLine="720"/>
        <w:textAlignment w:val="auto"/>
        <w:outlineLvl w:val="1"/>
        <w:rPr>
          <w:rFonts w:hint="eastAsia" w:ascii="仿宋" w:hAnsi="仿宋" w:eastAsia="仿宋" w:cs="仿宋"/>
          <w:b/>
          <w:sz w:val="32"/>
          <w:szCs w:val="32"/>
          <w:lang w:val="zh-CN"/>
        </w:rPr>
      </w:pPr>
      <w:r>
        <w:rPr>
          <w:rFonts w:hint="eastAsia" w:ascii="仿宋_GB2312" w:hAnsi="宋体"/>
          <w:sz w:val="32"/>
          <w:szCs w:val="32"/>
          <w:lang w:val="zh-CN"/>
        </w:rPr>
        <w:tab/>
      </w:r>
      <w:r>
        <w:rPr>
          <w:rFonts w:hint="eastAsia" w:ascii="仿宋" w:hAnsi="仿宋" w:eastAsia="仿宋" w:cs="仿宋"/>
          <w:b/>
          <w:sz w:val="32"/>
          <w:szCs w:val="32"/>
          <w:lang w:val="zh-CN"/>
        </w:rPr>
        <w:t>（一）资金计划、到位及使用情况。</w:t>
      </w:r>
    </w:p>
    <w:p>
      <w:pPr>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sz w:val="32"/>
          <w:szCs w:val="32"/>
          <w:lang w:val="zh-CN"/>
        </w:rPr>
      </w:pPr>
      <w:r>
        <w:rPr>
          <w:rFonts w:hint="eastAsia" w:ascii="仿宋" w:hAnsi="仿宋" w:eastAsia="仿宋" w:cs="仿宋"/>
          <w:sz w:val="32"/>
          <w:szCs w:val="32"/>
          <w:lang w:val="zh-CN"/>
        </w:rPr>
        <w:t>1．资金计划及到位。</w:t>
      </w:r>
    </w:p>
    <w:p>
      <w:pPr>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2022年资金已到位，下达资金共计500000元。资金及时到位并在2022年及时使用。</w:t>
      </w:r>
    </w:p>
    <w:p>
      <w:pPr>
        <w:pageBreakBefore w:val="0"/>
        <w:widowControl w:val="0"/>
        <w:numPr>
          <w:ilvl w:val="0"/>
          <w:numId w:val="0"/>
        </w:numPr>
        <w:kinsoku/>
        <w:wordWrap/>
        <w:overflowPunct/>
        <w:topLinePunct w:val="0"/>
        <w:autoSpaceDE/>
        <w:autoSpaceDN/>
        <w:bidi w:val="0"/>
        <w:adjustRightInd w:val="0"/>
        <w:snapToGrid w:val="0"/>
        <w:spacing w:line="560" w:lineRule="exact"/>
        <w:ind w:left="420" w:leftChars="0"/>
        <w:textAlignment w:val="auto"/>
        <w:rPr>
          <w:rFonts w:hint="eastAsia" w:ascii="仿宋" w:hAnsi="仿宋" w:eastAsia="仿宋" w:cs="仿宋"/>
          <w:sz w:val="32"/>
          <w:szCs w:val="32"/>
          <w:lang w:val="zh-CN"/>
        </w:rPr>
      </w:pPr>
      <w:r>
        <w:rPr>
          <w:rFonts w:hint="eastAsia" w:ascii="楷体_GB2312" w:hAnsi="宋体" w:eastAsia="楷体_GB2312"/>
          <w:sz w:val="32"/>
          <w:szCs w:val="32"/>
          <w:lang w:val="en-US" w:eastAsia="zh-CN"/>
        </w:rPr>
        <w:t xml:space="preserve">   </w:t>
      </w:r>
      <w:r>
        <w:rPr>
          <w:rFonts w:hint="eastAsia" w:ascii="仿宋" w:hAnsi="仿宋" w:eastAsia="仿宋" w:cs="仿宋"/>
          <w:sz w:val="32"/>
          <w:szCs w:val="32"/>
          <w:lang w:val="en-US" w:eastAsia="zh-CN"/>
        </w:rPr>
        <w:t xml:space="preserve"> 2</w:t>
      </w:r>
      <w:r>
        <w:rPr>
          <w:rFonts w:hint="eastAsia" w:ascii="仿宋" w:hAnsi="仿宋" w:eastAsia="仿宋" w:cs="仿宋"/>
          <w:sz w:val="32"/>
          <w:szCs w:val="32"/>
          <w:lang w:val="zh-CN"/>
        </w:rPr>
        <w:t>．资金使用</w:t>
      </w:r>
    </w:p>
    <w:p>
      <w:pPr>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zh-CN"/>
        </w:rPr>
      </w:pPr>
      <w:r>
        <w:rPr>
          <w:rFonts w:hint="eastAsia" w:ascii="仿宋" w:hAnsi="仿宋" w:eastAsia="仿宋" w:cs="仿宋"/>
          <w:b w:val="0"/>
          <w:bCs/>
          <w:sz w:val="32"/>
          <w:szCs w:val="32"/>
          <w:shd w:val="clear" w:color="auto" w:fill="FFFFFF"/>
          <w:lang w:val="en-US" w:eastAsia="zh-CN"/>
        </w:rPr>
        <w:t>用于神经外科设备采购。该项目按规定流程及时进行了支付</w:t>
      </w:r>
      <w:r>
        <w:rPr>
          <w:rFonts w:hint="eastAsia" w:ascii="仿宋" w:hAnsi="仿宋" w:eastAsia="仿宋" w:cs="仿宋"/>
          <w:sz w:val="32"/>
          <w:szCs w:val="32"/>
          <w:lang w:val="zh-CN"/>
        </w:rPr>
        <w:t>。</w:t>
      </w:r>
    </w:p>
    <w:p>
      <w:pPr>
        <w:pageBreakBefore w:val="0"/>
        <w:widowControl w:val="0"/>
        <w:kinsoku/>
        <w:wordWrap/>
        <w:overflowPunct/>
        <w:topLinePunct w:val="0"/>
        <w:autoSpaceDE/>
        <w:autoSpaceDN/>
        <w:bidi w:val="0"/>
        <w:adjustRightInd w:val="0"/>
        <w:snapToGrid w:val="0"/>
        <w:spacing w:line="560" w:lineRule="exact"/>
        <w:ind w:firstLine="720"/>
        <w:textAlignment w:val="auto"/>
        <w:outlineLvl w:val="1"/>
        <w:rPr>
          <w:rFonts w:hint="eastAsia" w:ascii="仿宋" w:hAnsi="仿宋" w:eastAsia="仿宋" w:cs="仿宋"/>
          <w:b/>
          <w:sz w:val="32"/>
          <w:szCs w:val="32"/>
          <w:lang w:val="zh-CN"/>
        </w:rPr>
      </w:pPr>
      <w:r>
        <w:rPr>
          <w:rFonts w:hint="eastAsia" w:ascii="仿宋" w:hAnsi="仿宋" w:eastAsia="仿宋" w:cs="仿宋"/>
          <w:b/>
          <w:sz w:val="32"/>
          <w:szCs w:val="32"/>
          <w:lang w:val="zh-CN"/>
        </w:rPr>
        <w:t>（二）项目财务管理情况。</w:t>
      </w:r>
    </w:p>
    <w:p>
      <w:pPr>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sz w:val="32"/>
          <w:szCs w:val="32"/>
          <w:shd w:val="clear" w:color="auto" w:fill="FFFFFF"/>
          <w:lang w:val="zh-CN" w:eastAsia="zh-CN"/>
        </w:rPr>
      </w:pPr>
      <w:r>
        <w:rPr>
          <w:rFonts w:hint="eastAsia" w:ascii="仿宋" w:hAnsi="仿宋" w:eastAsia="仿宋" w:cs="仿宋"/>
          <w:b w:val="0"/>
          <w:bCs/>
          <w:sz w:val="32"/>
          <w:szCs w:val="32"/>
          <w:shd w:val="clear" w:color="auto" w:fill="FFFFFF"/>
          <w:lang w:val="zh-CN" w:eastAsia="zh-CN"/>
        </w:rPr>
        <w:t>我院财务管理制度健全，严格执行财务管理制度，账务处理及时，会计核算规范。严格按照国家有关法律、法规和财务规章，加强项目资金的管理，做到专帐管理、专项核算、专款专用。严禁以任何形式截留或挪用项目资金。</w:t>
      </w:r>
    </w:p>
    <w:p>
      <w:pPr>
        <w:pageBreakBefore w:val="0"/>
        <w:widowControl w:val="0"/>
        <w:kinsoku/>
        <w:wordWrap/>
        <w:overflowPunct/>
        <w:topLinePunct w:val="0"/>
        <w:autoSpaceDE/>
        <w:autoSpaceDN/>
        <w:bidi w:val="0"/>
        <w:adjustRightInd w:val="0"/>
        <w:snapToGrid w:val="0"/>
        <w:spacing w:line="560" w:lineRule="exact"/>
        <w:ind w:firstLine="720"/>
        <w:textAlignment w:val="auto"/>
        <w:outlineLvl w:val="1"/>
        <w:rPr>
          <w:rFonts w:hint="eastAsia" w:ascii="仿宋" w:hAnsi="仿宋" w:eastAsia="仿宋" w:cs="仿宋"/>
          <w:b w:val="0"/>
          <w:bCs/>
          <w:sz w:val="32"/>
          <w:szCs w:val="32"/>
          <w:shd w:val="clear" w:color="auto" w:fill="FFFFFF"/>
          <w:lang w:val="zh-CN" w:eastAsia="zh-CN"/>
        </w:rPr>
      </w:pPr>
      <w:r>
        <w:rPr>
          <w:rFonts w:hint="eastAsia" w:ascii="仿宋" w:hAnsi="仿宋" w:eastAsia="仿宋" w:cs="仿宋"/>
          <w:b/>
          <w:sz w:val="32"/>
          <w:szCs w:val="32"/>
          <w:lang w:val="zh-CN"/>
        </w:rPr>
        <w:t>（三）项目组织实施情况。</w:t>
      </w:r>
    </w:p>
    <w:p>
      <w:pPr>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sz w:val="32"/>
          <w:szCs w:val="32"/>
          <w:shd w:val="clear" w:color="auto" w:fill="FFFFFF"/>
          <w:lang w:val="zh-CN" w:eastAsia="zh-CN"/>
        </w:rPr>
      </w:pPr>
      <w:r>
        <w:rPr>
          <w:rFonts w:hint="eastAsia" w:ascii="仿宋" w:hAnsi="仿宋" w:eastAsia="仿宋" w:cs="仿宋"/>
          <w:b w:val="0"/>
          <w:bCs/>
          <w:sz w:val="32"/>
          <w:szCs w:val="32"/>
          <w:shd w:val="clear" w:color="auto" w:fill="FFFFFF"/>
          <w:lang w:val="zh-CN" w:eastAsia="zh-CN"/>
        </w:rPr>
        <w:t>本项日严格按照有关规定组织实施，</w:t>
      </w:r>
      <w:r>
        <w:rPr>
          <w:rFonts w:hint="eastAsia" w:ascii="仿宋" w:hAnsi="仿宋" w:eastAsia="仿宋" w:cs="仿宋"/>
          <w:b w:val="0"/>
          <w:bCs/>
          <w:sz w:val="32"/>
          <w:szCs w:val="32"/>
          <w:shd w:val="clear" w:color="auto" w:fill="FFFFFF"/>
          <w:lang w:val="en-US" w:eastAsia="zh-CN"/>
        </w:rPr>
        <w:t>按照</w:t>
      </w:r>
      <w:r>
        <w:rPr>
          <w:rFonts w:hint="eastAsia" w:ascii="仿宋" w:hAnsi="仿宋" w:eastAsia="仿宋" w:cs="仿宋"/>
          <w:b w:val="0"/>
          <w:bCs/>
          <w:sz w:val="32"/>
          <w:szCs w:val="32"/>
          <w:shd w:val="clear" w:color="auto" w:fill="FFFFFF"/>
          <w:lang w:val="zh-CN" w:eastAsia="zh-CN"/>
        </w:rPr>
        <w:t>政府采购</w:t>
      </w:r>
      <w:r>
        <w:rPr>
          <w:rFonts w:hint="eastAsia" w:ascii="仿宋" w:hAnsi="仿宋" w:eastAsia="仿宋" w:cs="仿宋"/>
          <w:b w:val="0"/>
          <w:bCs/>
          <w:sz w:val="32"/>
          <w:szCs w:val="32"/>
          <w:shd w:val="clear" w:color="auto" w:fill="FFFFFF"/>
          <w:lang w:val="en-US" w:eastAsia="zh-CN"/>
        </w:rPr>
        <w:t>流程进行了公开招标，</w:t>
      </w:r>
      <w:r>
        <w:rPr>
          <w:rFonts w:hint="eastAsia" w:ascii="仿宋" w:hAnsi="仿宋" w:eastAsia="仿宋" w:cs="仿宋"/>
          <w:b w:val="0"/>
          <w:bCs/>
          <w:sz w:val="32"/>
          <w:szCs w:val="32"/>
          <w:shd w:val="clear" w:color="auto" w:fill="FFFFFF"/>
          <w:lang w:val="zh-CN" w:eastAsia="zh-CN"/>
        </w:rPr>
        <w:t>对项目</w:t>
      </w:r>
      <w:r>
        <w:rPr>
          <w:rFonts w:hint="eastAsia" w:ascii="仿宋" w:hAnsi="仿宋" w:eastAsia="仿宋" w:cs="仿宋"/>
          <w:b w:val="0"/>
          <w:bCs/>
          <w:sz w:val="32"/>
          <w:szCs w:val="32"/>
          <w:shd w:val="clear" w:color="auto" w:fill="FFFFFF"/>
          <w:lang w:val="en-US" w:eastAsia="zh-CN"/>
        </w:rPr>
        <w:t>实施</w:t>
      </w:r>
      <w:r>
        <w:rPr>
          <w:rFonts w:hint="eastAsia" w:ascii="仿宋" w:hAnsi="仿宋" w:eastAsia="仿宋" w:cs="仿宋"/>
          <w:b w:val="0"/>
          <w:bCs/>
          <w:sz w:val="32"/>
          <w:szCs w:val="32"/>
          <w:shd w:val="clear" w:color="auto" w:fill="FFFFFF"/>
          <w:lang w:val="zh-CN" w:eastAsia="zh-CN"/>
        </w:rPr>
        <w:t>建立了严格的管理制度，做到实施前</w:t>
      </w:r>
      <w:r>
        <w:rPr>
          <w:rFonts w:hint="eastAsia" w:ascii="仿宋" w:hAnsi="仿宋" w:eastAsia="仿宋" w:cs="仿宋"/>
          <w:b w:val="0"/>
          <w:bCs/>
          <w:sz w:val="32"/>
          <w:szCs w:val="32"/>
          <w:shd w:val="clear" w:color="auto" w:fill="FFFFFF"/>
          <w:lang w:val="en-US" w:eastAsia="zh-CN"/>
        </w:rPr>
        <w:t>后都有严格的</w:t>
      </w:r>
      <w:r>
        <w:rPr>
          <w:rFonts w:hint="eastAsia" w:ascii="仿宋" w:hAnsi="仿宋" w:eastAsia="仿宋" w:cs="仿宋"/>
          <w:b w:val="0"/>
          <w:bCs/>
          <w:sz w:val="32"/>
          <w:szCs w:val="32"/>
          <w:shd w:val="clear" w:color="auto" w:fill="FFFFFF"/>
          <w:lang w:val="zh-CN" w:eastAsia="zh-CN"/>
        </w:rPr>
        <w:t>审查，确保资金使用透明，符合财务管理规定。</w:t>
      </w:r>
    </w:p>
    <w:p>
      <w:pPr>
        <w:pageBreakBefore w:val="0"/>
        <w:widowControl w:val="0"/>
        <w:kinsoku/>
        <w:wordWrap/>
        <w:overflowPunct/>
        <w:topLinePunct w:val="0"/>
        <w:autoSpaceDE/>
        <w:autoSpaceDN/>
        <w:bidi w:val="0"/>
        <w:adjustRightInd w:val="0"/>
        <w:snapToGrid w:val="0"/>
        <w:spacing w:line="560" w:lineRule="exact"/>
        <w:ind w:firstLine="720"/>
        <w:textAlignment w:val="auto"/>
        <w:outlineLvl w:val="0"/>
        <w:rPr>
          <w:rFonts w:hint="eastAsia" w:ascii="黑体" w:hAnsi="黑体" w:eastAsia="黑体" w:cs="黑体"/>
          <w:sz w:val="32"/>
          <w:szCs w:val="32"/>
          <w:lang w:val="zh-CN"/>
        </w:rPr>
      </w:pPr>
      <w:r>
        <w:rPr>
          <w:rFonts w:hint="eastAsia" w:ascii="黑体" w:hAnsi="黑体" w:eastAsia="黑体" w:cs="黑体"/>
          <w:sz w:val="32"/>
          <w:szCs w:val="32"/>
        </w:rPr>
        <w:t>三、项目绩效情况</w:t>
      </w:r>
      <w:r>
        <w:rPr>
          <w:rFonts w:hint="eastAsia" w:ascii="黑体" w:hAnsi="黑体" w:eastAsia="黑体" w:cs="黑体"/>
          <w:sz w:val="32"/>
          <w:szCs w:val="32"/>
          <w:lang w:val="zh-CN"/>
        </w:rPr>
        <w:tab/>
      </w:r>
    </w:p>
    <w:p>
      <w:pPr>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（一）项目完成情况。</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（1）数量指标。</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完成多次宣传宣讲活动，和相关工作人员的培训会议。</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（2）质量指标。</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根据地方病患者的疾病情况、是否符合治疗条件、患者的治疗意愿对患者采取治疗管理。通过采取基本的治疗和干预措施，延缓地方病患者的病情进展，缓解病人症状。</w:t>
      </w:r>
    </w:p>
    <w:p>
      <w:pPr>
        <w:pageBreakBefore w:val="0"/>
        <w:widowControl w:val="0"/>
        <w:numPr>
          <w:ilvl w:val="0"/>
          <w:numId w:val="0"/>
        </w:numPr>
        <w:kinsoku/>
        <w:wordWrap/>
        <w:overflowPunct/>
        <w:topLinePunct w:val="0"/>
        <w:autoSpaceDE/>
        <w:autoSpaceDN/>
        <w:bidi w:val="0"/>
        <w:spacing w:line="560" w:lineRule="exact"/>
        <w:ind w:firstLine="964" w:firstLineChars="300"/>
        <w:textAlignment w:val="auto"/>
        <w:rPr>
          <w:rFonts w:hint="eastAsia" w:ascii="仿宋" w:hAnsi="仿宋" w:eastAsia="仿宋" w:cs="仿宋"/>
          <w:b/>
          <w:sz w:val="32"/>
          <w:szCs w:val="32"/>
          <w:lang w:val="zh-CN"/>
        </w:rPr>
      </w:pPr>
      <w:r>
        <w:rPr>
          <w:rFonts w:hint="eastAsia" w:ascii="仿宋" w:hAnsi="仿宋" w:eastAsia="仿宋" w:cs="仿宋"/>
          <w:b/>
          <w:sz w:val="32"/>
          <w:szCs w:val="32"/>
          <w:lang w:val="zh-CN"/>
        </w:rPr>
        <w:t>（</w:t>
      </w:r>
      <w:r>
        <w:rPr>
          <w:rFonts w:hint="eastAsia" w:ascii="仿宋" w:hAnsi="仿宋" w:eastAsia="仿宋" w:cs="仿宋"/>
          <w:b/>
          <w:sz w:val="32"/>
          <w:szCs w:val="32"/>
          <w:lang w:val="en-US" w:eastAsia="zh-CN"/>
        </w:rPr>
        <w:t>二</w:t>
      </w:r>
      <w:r>
        <w:rPr>
          <w:rFonts w:hint="eastAsia" w:ascii="仿宋" w:hAnsi="仿宋" w:eastAsia="仿宋" w:cs="仿宋"/>
          <w:b/>
          <w:sz w:val="32"/>
          <w:szCs w:val="32"/>
          <w:lang w:val="zh-CN"/>
        </w:rPr>
        <w:t>）项目效益情况。</w:t>
      </w:r>
    </w:p>
    <w:p>
      <w:pPr>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（1）社会效益。</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有效预防并治疗了由于外伤导致的脑部、脊髓等神经系统的疾病发生与流行进一步增强群众自我保护意识，提高了群众防病抗病能力和充分利用新闻媒体和卫生防治宣传日广泛宣传有关神经系统防治知识加强全民卫生知识健康教育工作。广泛深入地开展神经系统疾病防治宣传教育，宣传教育是神经系统疾病的关键环节，通过宣传教育，提高广大群众的防治意识和能力，是防治神经系统疾病最经济、最有效的方法。要坚持神经系统疾病宣传教育的公益性，采取多种方式，全面普及神经系统疾病防治知识，努力形成了全社会共同应对神经系统疾病挑战的良好局面。</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（2）服务对象满意度。</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sz w:val="32"/>
          <w:szCs w:val="32"/>
          <w:lang w:val="zh-CN"/>
        </w:rPr>
      </w:pPr>
      <w:r>
        <w:rPr>
          <w:rFonts w:hint="eastAsia" w:ascii="仿宋" w:hAnsi="仿宋" w:eastAsia="仿宋" w:cs="仿宋"/>
          <w:b w:val="0"/>
          <w:bCs/>
          <w:sz w:val="32"/>
          <w:szCs w:val="32"/>
          <w:shd w:val="clear" w:color="auto" w:fill="FFFFFF"/>
          <w:lang w:val="en-US" w:eastAsia="zh-CN"/>
        </w:rPr>
        <w:t>我院将能够满足更多病员的需求和解决很多医学发展的瓶颈问题。努力提高服务水平和服务质量。根据平时公众和服务对象满意度调查，患者满意度达到95%以上，基本达成预期指标。</w:t>
      </w:r>
    </w:p>
    <w:p>
      <w:pPr>
        <w:pageBreakBefore w:val="0"/>
        <w:widowControl w:val="0"/>
        <w:kinsoku/>
        <w:wordWrap/>
        <w:overflowPunct/>
        <w:topLinePunct w:val="0"/>
        <w:autoSpaceDE/>
        <w:autoSpaceDN/>
        <w:bidi w:val="0"/>
        <w:adjustRightInd w:val="0"/>
        <w:snapToGrid w:val="0"/>
        <w:spacing w:line="560" w:lineRule="exact"/>
        <w:ind w:firstLine="720"/>
        <w:textAlignment w:val="auto"/>
        <w:outlineLvl w:val="0"/>
        <w:rPr>
          <w:rFonts w:ascii="黑体" w:hAnsi="宋体" w:eastAsia="黑体"/>
          <w:sz w:val="32"/>
          <w:szCs w:val="32"/>
        </w:rPr>
      </w:pPr>
      <w:r>
        <w:rPr>
          <w:rFonts w:hint="eastAsia" w:ascii="黑体" w:hAnsi="宋体" w:eastAsia="黑体"/>
          <w:sz w:val="32"/>
          <w:szCs w:val="32"/>
        </w:rPr>
        <w:t>四、问题及建议</w:t>
      </w:r>
    </w:p>
    <w:p>
      <w:pPr>
        <w:pageBreakBefore w:val="0"/>
        <w:widowControl w:val="0"/>
        <w:kinsoku/>
        <w:wordWrap/>
        <w:overflowPunct/>
        <w:topLinePunct w:val="0"/>
        <w:autoSpaceDE/>
        <w:autoSpaceDN/>
        <w:bidi w:val="0"/>
        <w:adjustRightInd w:val="0"/>
        <w:snapToGrid w:val="0"/>
        <w:spacing w:line="560" w:lineRule="exact"/>
        <w:ind w:firstLine="720"/>
        <w:textAlignment w:val="auto"/>
        <w:outlineLvl w:val="1"/>
        <w:rPr>
          <w:rFonts w:hint="eastAsia" w:ascii="仿宋" w:hAnsi="仿宋" w:eastAsia="仿宋" w:cs="仿宋"/>
          <w:b/>
          <w:sz w:val="32"/>
          <w:szCs w:val="32"/>
          <w:lang w:val="zh-CN"/>
        </w:rPr>
      </w:pPr>
      <w:r>
        <w:rPr>
          <w:rFonts w:hint="eastAsia" w:ascii="仿宋" w:hAnsi="仿宋" w:eastAsia="仿宋" w:cs="仿宋"/>
          <w:b/>
          <w:sz w:val="32"/>
          <w:szCs w:val="32"/>
          <w:lang w:val="zh-CN"/>
        </w:rPr>
        <w:t>（一）存在的问题。</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无</w:t>
      </w:r>
    </w:p>
    <w:p>
      <w:pPr>
        <w:pageBreakBefore w:val="0"/>
        <w:widowControl w:val="0"/>
        <w:numPr>
          <w:ilvl w:val="0"/>
          <w:numId w:val="4"/>
        </w:numPr>
        <w:kinsoku/>
        <w:wordWrap/>
        <w:overflowPunct/>
        <w:topLinePunct w:val="0"/>
        <w:autoSpaceDE/>
        <w:autoSpaceDN/>
        <w:bidi w:val="0"/>
        <w:adjustRightInd w:val="0"/>
        <w:snapToGrid w:val="0"/>
        <w:spacing w:line="560" w:lineRule="exact"/>
        <w:ind w:left="0" w:leftChars="0" w:firstLine="643" w:firstLineChars="200"/>
        <w:textAlignment w:val="auto"/>
        <w:outlineLvl w:val="1"/>
        <w:rPr>
          <w:rFonts w:hint="eastAsia" w:ascii="仿宋" w:hAnsi="仿宋" w:eastAsia="仿宋" w:cs="仿宋"/>
          <w:b/>
          <w:sz w:val="32"/>
          <w:szCs w:val="32"/>
          <w:lang w:val="zh-CN"/>
        </w:rPr>
      </w:pPr>
      <w:r>
        <w:rPr>
          <w:rFonts w:hint="eastAsia" w:ascii="仿宋" w:hAnsi="仿宋" w:eastAsia="仿宋" w:cs="仿宋"/>
          <w:b/>
          <w:sz w:val="32"/>
          <w:szCs w:val="32"/>
          <w:lang w:val="zh-CN"/>
        </w:rPr>
        <w:t>相关建议。</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无</w:t>
      </w:r>
    </w:p>
    <w:p>
      <w:pPr>
        <w:pageBreakBefore w:val="0"/>
        <w:widowControl w:val="0"/>
        <w:kinsoku/>
        <w:wordWrap/>
        <w:overflowPunct/>
        <w:topLinePunct w:val="0"/>
        <w:autoSpaceDE/>
        <w:autoSpaceDN/>
        <w:bidi w:val="0"/>
        <w:spacing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ind w:firstLine="2650" w:firstLineChars="600"/>
        <w:jc w:val="both"/>
        <w:textAlignment w:val="auto"/>
        <w:rPr>
          <w:rFonts w:hint="eastAsia" w:ascii="宋体" w:hAnsi="宋体" w:eastAsia="宋体" w:cs="宋体"/>
          <w:b/>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2650" w:firstLineChars="600"/>
        <w:jc w:val="both"/>
        <w:textAlignment w:val="auto"/>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红原县人民医院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sz w:val="44"/>
          <w:szCs w:val="44"/>
        </w:rPr>
      </w:pPr>
      <w:r>
        <w:rPr>
          <w:rFonts w:hint="eastAsia" w:ascii="宋体" w:hAnsi="宋体" w:eastAsia="宋体" w:cs="宋体"/>
          <w:b/>
          <w:sz w:val="44"/>
          <w:szCs w:val="44"/>
          <w:lang w:val="en-US" w:eastAsia="zh-CN"/>
        </w:rPr>
        <w:t>呼吸科建设项目</w:t>
      </w:r>
      <w:r>
        <w:rPr>
          <w:rFonts w:hint="eastAsia" w:ascii="宋体" w:hAnsi="宋体" w:eastAsia="宋体" w:cs="宋体"/>
          <w:b/>
          <w:sz w:val="44"/>
          <w:szCs w:val="44"/>
        </w:rPr>
        <w:t>202</w:t>
      </w:r>
      <w:r>
        <w:rPr>
          <w:rFonts w:hint="eastAsia" w:ascii="宋体" w:hAnsi="宋体" w:eastAsia="宋体" w:cs="宋体"/>
          <w:b/>
          <w:sz w:val="44"/>
          <w:szCs w:val="44"/>
          <w:lang w:val="en-US" w:eastAsia="zh-CN"/>
        </w:rPr>
        <w:t>2</w:t>
      </w:r>
      <w:r>
        <w:rPr>
          <w:rFonts w:hint="eastAsia" w:ascii="宋体" w:hAnsi="宋体" w:eastAsia="宋体" w:cs="宋体"/>
          <w:b/>
          <w:sz w:val="44"/>
          <w:szCs w:val="44"/>
        </w:rPr>
        <w:t>年度绩效自评报告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sz w:val="44"/>
          <w:szCs w:val="44"/>
        </w:rPr>
      </w:pPr>
    </w:p>
    <w:p>
      <w:pPr>
        <w:pageBreakBefore w:val="0"/>
        <w:widowControl w:val="0"/>
        <w:kinsoku/>
        <w:wordWrap/>
        <w:overflowPunct/>
        <w:topLinePunct w:val="0"/>
        <w:autoSpaceDE/>
        <w:autoSpaceDN/>
        <w:bidi w:val="0"/>
        <w:spacing w:line="560" w:lineRule="exact"/>
        <w:textAlignment w:val="auto"/>
        <w:rPr>
          <w:rFonts w:ascii="黑体" w:hAnsi="黑体" w:eastAsia="黑体" w:cs="黑体"/>
          <w:bCs/>
          <w:sz w:val="32"/>
          <w:szCs w:val="32"/>
        </w:rPr>
      </w:pPr>
      <w:r>
        <w:rPr>
          <w:rFonts w:hint="eastAsia" w:ascii="黑体" w:hAnsi="黑体" w:eastAsia="黑体" w:cs="黑体"/>
          <w:bCs/>
          <w:sz w:val="32"/>
          <w:szCs w:val="32"/>
        </w:rPr>
        <w:t>一、绩效目标分解下达情况</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en-US"/>
        </w:rPr>
      </w:pPr>
      <w:r>
        <w:rPr>
          <w:rFonts w:hint="eastAsia" w:ascii="仿宋" w:hAnsi="仿宋" w:eastAsia="仿宋" w:cs="仿宋"/>
          <w:b w:val="0"/>
          <w:bCs/>
          <w:sz w:val="32"/>
          <w:szCs w:val="32"/>
          <w:shd w:val="clear" w:color="auto" w:fill="FFFFFF"/>
          <w:lang w:eastAsia="zh-CN"/>
        </w:rPr>
        <w:t>根据</w:t>
      </w:r>
      <w:r>
        <w:rPr>
          <w:rFonts w:hint="eastAsia" w:ascii="仿宋" w:hAnsi="仿宋" w:eastAsia="仿宋" w:cs="仿宋"/>
          <w:b w:val="0"/>
          <w:bCs/>
          <w:sz w:val="32"/>
          <w:szCs w:val="32"/>
          <w:shd w:val="clear" w:color="auto" w:fill="FFFFFF"/>
          <w:lang w:val="en-US" w:eastAsia="zh-CN"/>
        </w:rPr>
        <w:t>《阿坝州财政局 阿坝州卫生健康委员会关于提前下达2022年能力提升中央补助资金的通知》（阿州财社[2022]030号），下达资金共计2800000元。</w:t>
      </w:r>
    </w:p>
    <w:p>
      <w:pPr>
        <w:pageBreakBefore w:val="0"/>
        <w:widowControl w:val="0"/>
        <w:kinsoku/>
        <w:wordWrap/>
        <w:overflowPunct/>
        <w:topLinePunct w:val="0"/>
        <w:autoSpaceDE/>
        <w:autoSpaceDN/>
        <w:bidi w:val="0"/>
        <w:spacing w:line="560" w:lineRule="exact"/>
        <w:textAlignment w:val="auto"/>
        <w:rPr>
          <w:rFonts w:ascii="黑体" w:hAnsi="黑体" w:eastAsia="黑体" w:cs="黑体"/>
          <w:bCs/>
          <w:sz w:val="32"/>
          <w:szCs w:val="32"/>
        </w:rPr>
      </w:pPr>
      <w:r>
        <w:rPr>
          <w:rFonts w:hint="eastAsia" w:ascii="黑体" w:hAnsi="黑体" w:eastAsia="黑体" w:cs="黑体"/>
          <w:bCs/>
          <w:sz w:val="32"/>
          <w:szCs w:val="32"/>
        </w:rPr>
        <w:t>二、绩效目标完成情况分析</w:t>
      </w:r>
    </w:p>
    <w:p>
      <w:pPr>
        <w:pageBreakBefore w:val="0"/>
        <w:widowControl w:val="0"/>
        <w:kinsoku/>
        <w:wordWrap/>
        <w:overflowPunct/>
        <w:topLinePunct w:val="0"/>
        <w:autoSpaceDE/>
        <w:autoSpaceDN/>
        <w:bidi w:val="0"/>
        <w:spacing w:line="560" w:lineRule="exact"/>
        <w:ind w:firstLine="643" w:firstLineChars="20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rPr>
        <w:t>（一）资金投入情况分析。</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阿坝州财政局 阿坝州卫生健康委员会关于提前下达2022年能力提升中央补助资金的通知》（阿州财社[2022]030号），下达资金共计2800000元。2022年资金已到位，下达资金共计2800000元，项目已经实施完毕并且资金已经支付2789800元。该笔资金用于呼吸科建设工作方面。</w:t>
      </w:r>
    </w:p>
    <w:p>
      <w:pPr>
        <w:pageBreakBefore w:val="0"/>
        <w:widowControl w:val="0"/>
        <w:numPr>
          <w:ilvl w:val="0"/>
          <w:numId w:val="5"/>
        </w:numPr>
        <w:kinsoku/>
        <w:wordWrap/>
        <w:overflowPunct/>
        <w:topLinePunct w:val="0"/>
        <w:autoSpaceDE/>
        <w:autoSpaceDN/>
        <w:bidi w:val="0"/>
        <w:spacing w:line="560" w:lineRule="exact"/>
        <w:ind w:firstLine="600"/>
        <w:textAlignment w:val="auto"/>
        <w:rPr>
          <w:rFonts w:hint="eastAsia" w:ascii="仿宋" w:hAnsi="仿宋" w:eastAsia="仿宋" w:cs="仿宋"/>
          <w:b/>
          <w:bCs/>
          <w:sz w:val="32"/>
          <w:szCs w:val="32"/>
        </w:rPr>
      </w:pPr>
      <w:r>
        <w:rPr>
          <w:rFonts w:hint="eastAsia" w:ascii="仿宋" w:hAnsi="仿宋" w:eastAsia="仿宋" w:cs="仿宋"/>
          <w:b/>
          <w:bCs/>
          <w:sz w:val="32"/>
          <w:szCs w:val="32"/>
        </w:rPr>
        <w:t>总体绩效目标完成情况分析。</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通各种形式广泛宣传呼吸科建设内容，通过建设填补了红原县呼吸科项目的空白，解决了群众日益增强的健康需求。</w:t>
      </w:r>
    </w:p>
    <w:p>
      <w:pPr>
        <w:pageBreakBefore w:val="0"/>
        <w:widowControl w:val="0"/>
        <w:numPr>
          <w:ilvl w:val="0"/>
          <w:numId w:val="5"/>
        </w:numPr>
        <w:kinsoku/>
        <w:wordWrap/>
        <w:overflowPunct/>
        <w:topLinePunct w:val="0"/>
        <w:autoSpaceDE/>
        <w:autoSpaceDN/>
        <w:bidi w:val="0"/>
        <w:spacing w:line="560" w:lineRule="exact"/>
        <w:ind w:left="0" w:leftChars="0" w:firstLine="600" w:firstLineChars="0"/>
        <w:textAlignment w:val="auto"/>
        <w:outlineLvl w:val="0"/>
        <w:rPr>
          <w:rFonts w:hint="eastAsia" w:ascii="仿宋" w:hAnsi="仿宋" w:eastAsia="仿宋" w:cs="仿宋"/>
          <w:b/>
          <w:bCs/>
          <w:sz w:val="32"/>
          <w:szCs w:val="32"/>
        </w:rPr>
      </w:pPr>
      <w:r>
        <w:rPr>
          <w:rFonts w:hint="eastAsia" w:ascii="仿宋" w:hAnsi="仿宋" w:eastAsia="仿宋" w:cs="仿宋"/>
          <w:b/>
          <w:bCs/>
          <w:sz w:val="32"/>
          <w:szCs w:val="32"/>
        </w:rPr>
        <w:t>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1.产出指标完成情况分析</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（1）数量指标。</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完成多次宣传宣讲活动，和相关工作人员的培训会议。</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（2）质量指标。</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根据地方病患者的疾病情况、是否符合治疗条件、患者的治疗意愿对患者采取治疗管理。通过采取基本的治疗和干预措施，延缓地方病患者的病情进展，缓解病人症状。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2.效益指标完成情况分析。</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（1）社会效益。</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有效预防了传染病发生与流行进一步增强群众自我保护意识，提高了群众防病抗病能力和充分利用新闻媒体和卫生防治宣传日广泛宣传有关呼吸系统防治知识加强全民卫生知识健康教育工作。广泛深入地开展呼吸系统疾病防治宣传教育，宣传教育是呼吸系统疾病的关键环节，通过宣传教育，提高广大群众的防治意识和能力，是防治呼吸系统疾病最经济、最有效的方法。要坚持呼吸系统疾病宣传教育的公益性，采取多种方式，全面普及呼吸系统疾病防治知识，努力形成了全社会共同应对呼吸系统疾病挑战的良好局面。</w:t>
      </w:r>
    </w:p>
    <w:p>
      <w:pPr>
        <w:keepNext w:val="0"/>
        <w:keepLines w:val="0"/>
        <w:pageBreakBefore w:val="0"/>
        <w:widowControl w:val="0"/>
        <w:kinsoku/>
        <w:wordWrap/>
        <w:overflowPunct/>
        <w:topLinePunct w:val="0"/>
        <w:autoSpaceDE/>
        <w:autoSpaceDN/>
        <w:bidi w:val="0"/>
        <w:adjustRightInd/>
        <w:snapToGrid/>
        <w:spacing w:line="560" w:lineRule="exact"/>
        <w:ind w:firstLine="321" w:firstLineChars="100"/>
        <w:textAlignment w:val="auto"/>
        <w:rPr>
          <w:rFonts w:hint="eastAsia" w:ascii="仿宋" w:hAnsi="仿宋" w:eastAsia="仿宋" w:cs="仿宋"/>
          <w:b/>
          <w:bCs/>
          <w:sz w:val="32"/>
          <w:szCs w:val="32"/>
        </w:rPr>
      </w:pPr>
      <w:r>
        <w:rPr>
          <w:rFonts w:hint="eastAsia" w:ascii="仿宋" w:hAnsi="仿宋" w:eastAsia="仿宋" w:cs="仿宋"/>
          <w:b/>
          <w:bCs/>
          <w:sz w:val="32"/>
          <w:szCs w:val="32"/>
        </w:rPr>
        <w:t>3.满意度指标完成情况分析。</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（1）服务对象满意度。</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我院将能够满足更多病员的需求和解决很多医学发展的瓶颈问题。努力提高服务水平和服务质量。根据平时公众和服务对象满意度调查，患者满意度达到97%，基本达成预期指标。</w:t>
      </w:r>
    </w:p>
    <w:p>
      <w:pPr>
        <w:pageBreakBefore w:val="0"/>
        <w:widowControl w:val="0"/>
        <w:kinsoku/>
        <w:wordWrap/>
        <w:overflowPunct/>
        <w:topLinePunct w:val="0"/>
        <w:autoSpaceDE/>
        <w:autoSpaceDN/>
        <w:bidi w:val="0"/>
        <w:spacing w:line="560" w:lineRule="exact"/>
        <w:textAlignment w:val="auto"/>
        <w:rPr>
          <w:rFonts w:ascii="仿宋_GB2312"/>
          <w:sz w:val="32"/>
          <w:szCs w:val="32"/>
        </w:rPr>
      </w:pPr>
      <w:r>
        <w:rPr>
          <w:rFonts w:hint="eastAsia" w:ascii="黑体" w:hAnsi="黑体" w:eastAsia="黑体" w:cs="黑体"/>
          <w:bCs/>
          <w:sz w:val="32"/>
          <w:szCs w:val="32"/>
        </w:rPr>
        <w:t>三、偏离绩效目标的原因和下一步改进措施</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sz w:val="32"/>
          <w:szCs w:val="32"/>
          <w:shd w:val="clear" w:color="auto" w:fill="FFFFFF"/>
          <w:lang w:val="en-US" w:eastAsia="zh-CN"/>
        </w:rPr>
      </w:pPr>
      <w:r>
        <w:rPr>
          <w:rFonts w:hint="eastAsia" w:ascii="仿宋" w:hAnsi="仿宋" w:eastAsia="仿宋" w:cs="仿宋"/>
          <w:b w:val="0"/>
          <w:bCs/>
          <w:sz w:val="32"/>
          <w:szCs w:val="32"/>
          <w:shd w:val="clear" w:color="auto" w:fill="FFFFFF"/>
          <w:lang w:val="en-US" w:eastAsia="zh-CN"/>
        </w:rPr>
        <w:t>下一步改进措施提高认识，增强做好呼吸系统疾病防治工作的责任感和使命感。预防和控制呼吸系统疾病,关系人民群众身体健康和经济社会发展,关系国家安全和民族兴衰，是一项长期、艰巨、复杂的社会系统工程和民生工程。公众预防呼吸系统疾病知识知晓率还不够高，高危人群干预覆盖面还不够广、工作还不够深入，防治形势依然严峻。各部门要进一步提高对呼吸系统疾病防治工作重要性、艰巨性、长期性的认识，本着对人民群众健康高度负责的态度，切实增强做好呼吸系统疾病防治工作的责任感和使命感，全面落实呼吸系统疾病各项防治措施，有效遏制呼吸系统疾病流行蔓延。</w:t>
      </w:r>
    </w:p>
    <w:p>
      <w:pPr>
        <w:pageBreakBefore w:val="0"/>
        <w:widowControl w:val="0"/>
        <w:numPr>
          <w:ilvl w:val="0"/>
          <w:numId w:val="0"/>
        </w:numPr>
        <w:kinsoku/>
        <w:wordWrap/>
        <w:overflowPunct/>
        <w:topLinePunct w:val="0"/>
        <w:autoSpaceDE/>
        <w:autoSpaceDN/>
        <w:bidi w:val="0"/>
        <w:spacing w:line="560" w:lineRule="exact"/>
        <w:textAlignment w:val="auto"/>
        <w:rPr>
          <w:rFonts w:hint="eastAsia" w:ascii="黑体" w:hAnsi="黑体" w:eastAsia="黑体" w:cs="黑体"/>
          <w:bCs/>
          <w:sz w:val="32"/>
          <w:szCs w:val="32"/>
        </w:rPr>
      </w:pPr>
      <w:r>
        <w:rPr>
          <w:rFonts w:hint="eastAsia" w:ascii="黑体" w:hAnsi="黑体" w:eastAsia="黑体" w:cs="黑体"/>
          <w:bCs/>
          <w:sz w:val="32"/>
          <w:szCs w:val="32"/>
          <w:lang w:eastAsia="zh-CN"/>
        </w:rPr>
        <w:t>四、</w:t>
      </w:r>
      <w:r>
        <w:rPr>
          <w:rFonts w:hint="eastAsia" w:ascii="黑体" w:hAnsi="黑体" w:eastAsia="黑体" w:cs="黑体"/>
          <w:bCs/>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Cs/>
          <w:sz w:val="32"/>
          <w:szCs w:val="32"/>
          <w:lang w:val="en-US" w:eastAsia="zh-CN"/>
        </w:rPr>
      </w:pPr>
      <w:r>
        <w:rPr>
          <w:rFonts w:hint="eastAsia" w:ascii="仿宋" w:hAnsi="仿宋" w:eastAsia="仿宋" w:cs="仿宋"/>
          <w:b w:val="0"/>
          <w:bCs/>
          <w:sz w:val="32"/>
          <w:szCs w:val="32"/>
          <w:shd w:val="clear" w:color="auto" w:fill="FFFFFF"/>
          <w:lang w:val="en-US" w:eastAsia="zh-CN"/>
        </w:rPr>
        <w:t>我院将利用本项目的自评结果来完善下一年度的绩效项目的指标设定，并在规定的范围内进行公开。</w:t>
      </w:r>
    </w:p>
    <w:p>
      <w:pPr>
        <w:pageBreakBefore w:val="0"/>
        <w:widowControl w:val="0"/>
        <w:kinsoku/>
        <w:wordWrap/>
        <w:overflowPunct/>
        <w:topLinePunct w:val="0"/>
        <w:autoSpaceDE/>
        <w:autoSpaceDN/>
        <w:bidi w:val="0"/>
        <w:spacing w:line="560" w:lineRule="exact"/>
        <w:textAlignment w:val="auto"/>
        <w:rPr>
          <w:rFonts w:hint="eastAsia" w:ascii="黑体" w:hAnsi="黑体" w:eastAsia="黑体" w:cs="黑体"/>
          <w:bCs/>
          <w:sz w:val="32"/>
          <w:szCs w:val="32"/>
        </w:rPr>
      </w:pPr>
      <w:r>
        <w:rPr>
          <w:rFonts w:hint="eastAsia" w:ascii="黑体" w:hAnsi="黑体" w:eastAsia="黑体" w:cs="黑体"/>
          <w:bCs/>
          <w:sz w:val="32"/>
          <w:szCs w:val="32"/>
        </w:rPr>
        <w:t>五、其他需要说明的问题</w:t>
      </w:r>
    </w:p>
    <w:p>
      <w:pPr>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sz w:val="32"/>
          <w:szCs w:val="32"/>
          <w:shd w:val="clear" w:color="auto" w:fill="FFFFFF"/>
          <w:lang w:val="en-US" w:eastAsia="zh-CN"/>
        </w:rPr>
        <w:t>无</w:t>
      </w:r>
    </w:p>
    <w:p>
      <w:pPr>
        <w:pageBreakBefore w:val="0"/>
        <w:widowControl w:val="0"/>
        <w:kinsoku/>
        <w:wordWrap/>
        <w:overflowPunct/>
        <w:topLinePunct w:val="0"/>
        <w:autoSpaceDE/>
        <w:autoSpaceDN/>
        <w:bidi w:val="0"/>
        <w:spacing w:line="560" w:lineRule="exact"/>
        <w:jc w:val="both"/>
        <w:textAlignment w:val="auto"/>
        <w:outlineLvl w:val="0"/>
        <w:rPr>
          <w:rFonts w:ascii="黑体" w:eastAsia="黑体"/>
          <w:sz w:val="44"/>
          <w:szCs w:val="44"/>
        </w:rPr>
      </w:pPr>
    </w:p>
    <w:p>
      <w:pPr>
        <w:pageBreakBefore w:val="0"/>
        <w:widowControl w:val="0"/>
        <w:kinsoku/>
        <w:wordWrap/>
        <w:overflowPunct/>
        <w:topLinePunct w:val="0"/>
        <w:autoSpaceDE/>
        <w:autoSpaceDN/>
        <w:bidi w:val="0"/>
        <w:spacing w:line="560" w:lineRule="exact"/>
        <w:jc w:val="center"/>
        <w:textAlignment w:val="auto"/>
        <w:outlineLvl w:val="0"/>
        <w:rPr>
          <w:rFonts w:ascii="仿宋" w:eastAsia="仿宋"/>
        </w:rPr>
      </w:pPr>
      <w:r>
        <w:rPr>
          <w:rFonts w:hint="eastAsia" w:ascii="黑体" w:eastAsia="黑体"/>
          <w:sz w:val="44"/>
          <w:szCs w:val="44"/>
        </w:rPr>
        <w:t>第</w:t>
      </w:r>
      <w:r>
        <w:rPr>
          <w:rStyle w:val="22"/>
          <w:rFonts w:hint="eastAsia" w:ascii="黑体" w:eastAsia="黑体"/>
          <w:b w:val="0"/>
        </w:rPr>
        <w:t>五部分 附表</w:t>
      </w:r>
      <w:bookmarkEnd w:id="54"/>
      <w:bookmarkEnd w:id="56"/>
      <w:bookmarkStart w:id="57" w:name="_Toc15396619"/>
    </w:p>
    <w:p>
      <w:pPr>
        <w:pStyle w:val="5"/>
        <w:pageBreakBefore w:val="0"/>
        <w:widowControl w:val="0"/>
        <w:kinsoku/>
        <w:wordWrap/>
        <w:overflowPunct/>
        <w:topLinePunct w:val="0"/>
        <w:autoSpaceDE/>
        <w:autoSpaceDN/>
        <w:bidi w:val="0"/>
        <w:spacing w:line="560" w:lineRule="exact"/>
        <w:textAlignment w:val="auto"/>
        <w:rPr>
          <w:rFonts w:ascii="仿宋" w:eastAsia="仿宋"/>
          <w:sz w:val="32"/>
          <w:szCs w:val="32"/>
        </w:rPr>
      </w:pPr>
      <w:r>
        <w:rPr>
          <w:rFonts w:hint="eastAsia" w:ascii="仿宋" w:eastAsia="仿宋"/>
          <w:b w:val="0"/>
          <w:sz w:val="32"/>
          <w:szCs w:val="32"/>
        </w:rPr>
        <w:t>一、收</w:t>
      </w:r>
      <w:r>
        <w:rPr>
          <w:rStyle w:val="23"/>
          <w:rFonts w:hint="eastAsia" w:ascii="仿宋" w:eastAsia="仿宋"/>
          <w:b w:val="0"/>
          <w:bCs w:val="0"/>
          <w:sz w:val="32"/>
          <w:szCs w:val="32"/>
        </w:rPr>
        <w:t>入支出决算总表</w:t>
      </w:r>
      <w:bookmarkEnd w:id="57"/>
    </w:p>
    <w:p>
      <w:pPr>
        <w:pStyle w:val="5"/>
        <w:pageBreakBefore w:val="0"/>
        <w:widowControl w:val="0"/>
        <w:kinsoku/>
        <w:wordWrap/>
        <w:overflowPunct/>
        <w:topLinePunct w:val="0"/>
        <w:autoSpaceDE/>
        <w:autoSpaceDN/>
        <w:bidi w:val="0"/>
        <w:spacing w:line="560" w:lineRule="exact"/>
        <w:textAlignment w:val="auto"/>
        <w:rPr>
          <w:rFonts w:ascii="仿宋" w:eastAsia="仿宋"/>
          <w:sz w:val="32"/>
          <w:szCs w:val="32"/>
        </w:rPr>
      </w:pPr>
      <w:bookmarkStart w:id="58" w:name="_Toc15396620"/>
      <w:r>
        <w:rPr>
          <w:rFonts w:hint="eastAsia" w:ascii="仿宋" w:eastAsia="仿宋"/>
          <w:b w:val="0"/>
          <w:sz w:val="32"/>
          <w:szCs w:val="32"/>
        </w:rPr>
        <w:t>二、收</w:t>
      </w:r>
      <w:r>
        <w:rPr>
          <w:rStyle w:val="23"/>
          <w:rFonts w:hint="eastAsia" w:ascii="仿宋" w:eastAsia="仿宋"/>
          <w:b w:val="0"/>
          <w:bCs w:val="0"/>
          <w:sz w:val="32"/>
          <w:szCs w:val="32"/>
        </w:rPr>
        <w:t>入决算表</w:t>
      </w:r>
      <w:bookmarkEnd w:id="58"/>
    </w:p>
    <w:p>
      <w:pPr>
        <w:pStyle w:val="5"/>
        <w:pageBreakBefore w:val="0"/>
        <w:widowControl w:val="0"/>
        <w:kinsoku/>
        <w:wordWrap/>
        <w:overflowPunct/>
        <w:topLinePunct w:val="0"/>
        <w:autoSpaceDE/>
        <w:autoSpaceDN/>
        <w:bidi w:val="0"/>
        <w:spacing w:line="560" w:lineRule="exact"/>
        <w:textAlignment w:val="auto"/>
        <w:rPr>
          <w:rFonts w:ascii="仿宋" w:eastAsia="仿宋"/>
          <w:sz w:val="32"/>
          <w:szCs w:val="32"/>
        </w:rPr>
      </w:pPr>
      <w:bookmarkStart w:id="59" w:name="_Toc15396621"/>
      <w:r>
        <w:rPr>
          <w:rStyle w:val="23"/>
          <w:rFonts w:hint="eastAsia" w:ascii="仿宋" w:eastAsia="仿宋"/>
          <w:b w:val="0"/>
          <w:bCs w:val="0"/>
          <w:sz w:val="32"/>
          <w:szCs w:val="32"/>
        </w:rPr>
        <w:t>三、</w:t>
      </w:r>
      <w:r>
        <w:rPr>
          <w:rFonts w:hint="eastAsia" w:ascii="仿宋" w:eastAsia="仿宋"/>
          <w:b w:val="0"/>
          <w:sz w:val="32"/>
          <w:szCs w:val="32"/>
        </w:rPr>
        <w:t>支</w:t>
      </w:r>
      <w:r>
        <w:rPr>
          <w:rStyle w:val="23"/>
          <w:rFonts w:hint="eastAsia" w:ascii="仿宋" w:eastAsia="仿宋"/>
          <w:b w:val="0"/>
          <w:bCs w:val="0"/>
          <w:sz w:val="32"/>
          <w:szCs w:val="32"/>
        </w:rPr>
        <w:t>出决算表</w:t>
      </w:r>
      <w:bookmarkEnd w:id="59"/>
    </w:p>
    <w:p>
      <w:pPr>
        <w:pStyle w:val="5"/>
        <w:pageBreakBefore w:val="0"/>
        <w:widowControl w:val="0"/>
        <w:kinsoku/>
        <w:wordWrap/>
        <w:overflowPunct/>
        <w:topLinePunct w:val="0"/>
        <w:autoSpaceDE/>
        <w:autoSpaceDN/>
        <w:bidi w:val="0"/>
        <w:spacing w:line="560" w:lineRule="exact"/>
        <w:textAlignment w:val="auto"/>
        <w:rPr>
          <w:rFonts w:ascii="仿宋" w:eastAsia="仿宋"/>
          <w:b w:val="0"/>
          <w:sz w:val="32"/>
          <w:szCs w:val="32"/>
        </w:rPr>
      </w:pPr>
      <w:bookmarkStart w:id="60" w:name="_Toc15396622"/>
      <w:r>
        <w:rPr>
          <w:rStyle w:val="23"/>
          <w:rFonts w:hint="eastAsia" w:ascii="仿宋" w:eastAsia="仿宋"/>
          <w:b w:val="0"/>
          <w:bCs w:val="0"/>
          <w:sz w:val="32"/>
          <w:szCs w:val="32"/>
        </w:rPr>
        <w:t>四、</w:t>
      </w:r>
      <w:r>
        <w:rPr>
          <w:rFonts w:hint="eastAsia" w:ascii="仿宋" w:eastAsia="仿宋"/>
          <w:b w:val="0"/>
          <w:sz w:val="32"/>
          <w:szCs w:val="32"/>
        </w:rPr>
        <w:t>财</w:t>
      </w:r>
      <w:r>
        <w:rPr>
          <w:rStyle w:val="23"/>
          <w:rFonts w:hint="eastAsia" w:ascii="仿宋" w:eastAsia="仿宋"/>
          <w:b w:val="0"/>
          <w:bCs w:val="0"/>
          <w:sz w:val="32"/>
          <w:szCs w:val="32"/>
        </w:rPr>
        <w:t>政拨款收入支出决算总表</w:t>
      </w:r>
      <w:bookmarkEnd w:id="60"/>
    </w:p>
    <w:p>
      <w:pPr>
        <w:pStyle w:val="5"/>
        <w:pageBreakBefore w:val="0"/>
        <w:widowControl w:val="0"/>
        <w:kinsoku/>
        <w:wordWrap/>
        <w:overflowPunct/>
        <w:topLinePunct w:val="0"/>
        <w:autoSpaceDE/>
        <w:autoSpaceDN/>
        <w:bidi w:val="0"/>
        <w:spacing w:line="560" w:lineRule="exact"/>
        <w:textAlignment w:val="auto"/>
        <w:rPr>
          <w:rStyle w:val="23"/>
          <w:rFonts w:ascii="仿宋" w:eastAsia="仿宋"/>
          <w:b w:val="0"/>
          <w:bCs w:val="0"/>
          <w:sz w:val="32"/>
          <w:szCs w:val="32"/>
        </w:rPr>
      </w:pPr>
      <w:bookmarkStart w:id="61" w:name="_Toc15396623"/>
      <w:r>
        <w:rPr>
          <w:rStyle w:val="23"/>
          <w:rFonts w:hint="eastAsia" w:ascii="仿宋" w:eastAsia="仿宋"/>
          <w:b w:val="0"/>
          <w:bCs w:val="0"/>
          <w:sz w:val="32"/>
          <w:szCs w:val="32"/>
        </w:rPr>
        <w:t>五、</w:t>
      </w:r>
      <w:r>
        <w:rPr>
          <w:rFonts w:hint="eastAsia" w:ascii="仿宋" w:eastAsia="仿宋"/>
          <w:b w:val="0"/>
          <w:sz w:val="32"/>
          <w:szCs w:val="32"/>
        </w:rPr>
        <w:t>财</w:t>
      </w:r>
      <w:r>
        <w:rPr>
          <w:rStyle w:val="23"/>
          <w:rFonts w:hint="eastAsia" w:ascii="仿宋" w:eastAsia="仿宋"/>
          <w:b w:val="0"/>
          <w:bCs w:val="0"/>
          <w:sz w:val="32"/>
          <w:szCs w:val="32"/>
        </w:rPr>
        <w:t>政拨款支出决算明细表</w:t>
      </w:r>
      <w:bookmarkEnd w:id="61"/>
      <w:bookmarkStart w:id="62" w:name="_Toc15396624"/>
    </w:p>
    <w:p>
      <w:pPr>
        <w:pStyle w:val="5"/>
        <w:pageBreakBefore w:val="0"/>
        <w:widowControl w:val="0"/>
        <w:kinsoku/>
        <w:wordWrap/>
        <w:overflowPunct/>
        <w:topLinePunct w:val="0"/>
        <w:autoSpaceDE/>
        <w:autoSpaceDN/>
        <w:bidi w:val="0"/>
        <w:spacing w:line="560" w:lineRule="exact"/>
        <w:textAlignment w:val="auto"/>
        <w:rPr>
          <w:rFonts w:ascii="仿宋" w:eastAsia="仿宋"/>
          <w:sz w:val="32"/>
          <w:szCs w:val="32"/>
        </w:rPr>
      </w:pPr>
      <w:r>
        <w:rPr>
          <w:rStyle w:val="23"/>
          <w:rFonts w:hint="eastAsia" w:ascii="仿宋" w:eastAsia="仿宋"/>
          <w:b w:val="0"/>
          <w:bCs w:val="0"/>
          <w:sz w:val="32"/>
          <w:szCs w:val="32"/>
        </w:rPr>
        <w:t>六、</w:t>
      </w:r>
      <w:r>
        <w:rPr>
          <w:rFonts w:hint="eastAsia" w:ascii="仿宋" w:eastAsia="仿宋"/>
          <w:b w:val="0"/>
          <w:sz w:val="32"/>
          <w:szCs w:val="32"/>
        </w:rPr>
        <w:t>一</w:t>
      </w:r>
      <w:r>
        <w:rPr>
          <w:rStyle w:val="23"/>
          <w:rFonts w:hint="eastAsia" w:ascii="仿宋" w:eastAsia="仿宋"/>
          <w:b w:val="0"/>
          <w:bCs w:val="0"/>
          <w:sz w:val="32"/>
          <w:szCs w:val="32"/>
        </w:rPr>
        <w:t>般公共预算财政拨款支出决算表</w:t>
      </w:r>
      <w:bookmarkEnd w:id="62"/>
    </w:p>
    <w:p>
      <w:pPr>
        <w:pStyle w:val="5"/>
        <w:pageBreakBefore w:val="0"/>
        <w:widowControl w:val="0"/>
        <w:kinsoku/>
        <w:wordWrap/>
        <w:overflowPunct/>
        <w:topLinePunct w:val="0"/>
        <w:autoSpaceDE/>
        <w:autoSpaceDN/>
        <w:bidi w:val="0"/>
        <w:spacing w:line="560" w:lineRule="exact"/>
        <w:textAlignment w:val="auto"/>
        <w:rPr>
          <w:rFonts w:ascii="仿宋" w:eastAsia="仿宋"/>
          <w:sz w:val="32"/>
          <w:szCs w:val="32"/>
        </w:rPr>
      </w:pPr>
      <w:bookmarkStart w:id="63" w:name="_Toc15396625"/>
      <w:r>
        <w:rPr>
          <w:rStyle w:val="23"/>
          <w:rFonts w:hint="eastAsia" w:ascii="仿宋" w:eastAsia="仿宋"/>
          <w:b w:val="0"/>
          <w:bCs w:val="0"/>
          <w:sz w:val="32"/>
          <w:szCs w:val="32"/>
        </w:rPr>
        <w:t>七、</w:t>
      </w:r>
      <w:r>
        <w:rPr>
          <w:rFonts w:hint="eastAsia" w:ascii="仿宋" w:eastAsia="仿宋"/>
          <w:b w:val="0"/>
          <w:sz w:val="32"/>
          <w:szCs w:val="32"/>
        </w:rPr>
        <w:t>一</w:t>
      </w:r>
      <w:r>
        <w:rPr>
          <w:rStyle w:val="23"/>
          <w:rFonts w:hint="eastAsia" w:ascii="仿宋" w:eastAsia="仿宋"/>
          <w:b w:val="0"/>
          <w:bCs w:val="0"/>
          <w:sz w:val="32"/>
          <w:szCs w:val="32"/>
        </w:rPr>
        <w:t>般公共预算财政拨款支出决算明细表</w:t>
      </w:r>
      <w:bookmarkEnd w:id="63"/>
    </w:p>
    <w:p>
      <w:pPr>
        <w:pStyle w:val="5"/>
        <w:pageBreakBefore w:val="0"/>
        <w:widowControl w:val="0"/>
        <w:kinsoku/>
        <w:wordWrap/>
        <w:overflowPunct/>
        <w:topLinePunct w:val="0"/>
        <w:autoSpaceDE/>
        <w:autoSpaceDN/>
        <w:bidi w:val="0"/>
        <w:spacing w:line="560" w:lineRule="exact"/>
        <w:textAlignment w:val="auto"/>
        <w:rPr>
          <w:rFonts w:ascii="仿宋" w:eastAsia="仿宋"/>
          <w:sz w:val="32"/>
          <w:szCs w:val="32"/>
        </w:rPr>
      </w:pPr>
      <w:bookmarkStart w:id="64" w:name="_Toc15396626"/>
      <w:r>
        <w:rPr>
          <w:rStyle w:val="23"/>
          <w:rFonts w:hint="eastAsia" w:ascii="仿宋" w:eastAsia="仿宋"/>
          <w:b w:val="0"/>
          <w:bCs w:val="0"/>
          <w:sz w:val="32"/>
          <w:szCs w:val="32"/>
        </w:rPr>
        <w:t>八、</w:t>
      </w:r>
      <w:r>
        <w:rPr>
          <w:rFonts w:hint="eastAsia" w:ascii="仿宋" w:eastAsia="仿宋"/>
          <w:b w:val="0"/>
          <w:sz w:val="32"/>
          <w:szCs w:val="32"/>
        </w:rPr>
        <w:t>一</w:t>
      </w:r>
      <w:r>
        <w:rPr>
          <w:rStyle w:val="23"/>
          <w:rFonts w:hint="eastAsia" w:ascii="仿宋" w:eastAsia="仿宋"/>
          <w:b w:val="0"/>
          <w:bCs w:val="0"/>
          <w:sz w:val="32"/>
          <w:szCs w:val="32"/>
        </w:rPr>
        <w:t>般公共预算财政拨款基本支出决算表</w:t>
      </w:r>
      <w:bookmarkEnd w:id="64"/>
    </w:p>
    <w:p>
      <w:pPr>
        <w:pStyle w:val="5"/>
        <w:pageBreakBefore w:val="0"/>
        <w:widowControl w:val="0"/>
        <w:kinsoku/>
        <w:wordWrap/>
        <w:overflowPunct/>
        <w:topLinePunct w:val="0"/>
        <w:autoSpaceDE/>
        <w:autoSpaceDN/>
        <w:bidi w:val="0"/>
        <w:spacing w:line="560" w:lineRule="exact"/>
        <w:textAlignment w:val="auto"/>
        <w:rPr>
          <w:rStyle w:val="23"/>
          <w:rFonts w:hint="eastAsia" w:ascii="仿宋" w:eastAsia="仿宋"/>
          <w:b w:val="0"/>
          <w:bCs w:val="0"/>
          <w:sz w:val="32"/>
          <w:szCs w:val="32"/>
        </w:rPr>
      </w:pPr>
      <w:bookmarkStart w:id="65" w:name="_Toc15396627"/>
      <w:r>
        <w:rPr>
          <w:rStyle w:val="23"/>
          <w:rFonts w:hint="eastAsia" w:ascii="仿宋" w:eastAsia="仿宋"/>
          <w:b w:val="0"/>
          <w:bCs w:val="0"/>
          <w:sz w:val="32"/>
          <w:szCs w:val="32"/>
        </w:rPr>
        <w:t>九、一</w:t>
      </w:r>
      <w:r>
        <w:rPr>
          <w:rStyle w:val="23"/>
          <w:rFonts w:hint="eastAsia" w:ascii="仿宋" w:eastAsia="仿宋"/>
          <w:b w:val="0"/>
          <w:bCs w:val="0"/>
          <w:sz w:val="32"/>
          <w:szCs w:val="32"/>
        </w:rPr>
        <w:t>般公共预算财政拨款项目支出决算表</w:t>
      </w:r>
      <w:bookmarkEnd w:id="65"/>
    </w:p>
    <w:p>
      <w:pPr>
        <w:pStyle w:val="5"/>
        <w:pageBreakBefore w:val="0"/>
        <w:widowControl w:val="0"/>
        <w:kinsoku/>
        <w:wordWrap/>
        <w:overflowPunct/>
        <w:topLinePunct w:val="0"/>
        <w:autoSpaceDE/>
        <w:autoSpaceDN/>
        <w:bidi w:val="0"/>
        <w:spacing w:line="560" w:lineRule="exact"/>
        <w:textAlignment w:val="auto"/>
        <w:rPr>
          <w:rStyle w:val="23"/>
          <w:rFonts w:hint="eastAsia" w:ascii="仿宋" w:eastAsia="仿宋"/>
          <w:b w:val="0"/>
          <w:bCs w:val="0"/>
          <w:sz w:val="32"/>
          <w:szCs w:val="32"/>
          <w:lang w:val="en-US" w:eastAsia="zh-CN"/>
        </w:rPr>
      </w:pPr>
      <w:r>
        <w:rPr>
          <w:rStyle w:val="23"/>
          <w:rFonts w:hint="eastAsia" w:ascii="仿宋" w:eastAsia="仿宋"/>
          <w:b w:val="0"/>
          <w:bCs w:val="0"/>
          <w:sz w:val="32"/>
          <w:szCs w:val="32"/>
        </w:rPr>
        <w:t>十、政府性基金预算财政拨款收入支出决算表</w:t>
      </w:r>
    </w:p>
    <w:p>
      <w:pPr>
        <w:pStyle w:val="5"/>
        <w:pageBreakBefore w:val="0"/>
        <w:widowControl w:val="0"/>
        <w:kinsoku/>
        <w:wordWrap/>
        <w:overflowPunct/>
        <w:topLinePunct w:val="0"/>
        <w:autoSpaceDE/>
        <w:autoSpaceDN/>
        <w:bidi w:val="0"/>
        <w:spacing w:line="560" w:lineRule="exact"/>
        <w:textAlignment w:val="auto"/>
        <w:rPr>
          <w:rStyle w:val="23"/>
          <w:rFonts w:hint="default" w:ascii="仿宋" w:eastAsia="仿宋"/>
          <w:b w:val="0"/>
          <w:bCs w:val="0"/>
          <w:sz w:val="32"/>
          <w:szCs w:val="32"/>
          <w:lang w:val="en-US"/>
        </w:rPr>
      </w:pPr>
      <w:r>
        <w:rPr>
          <w:rStyle w:val="23"/>
          <w:rFonts w:hint="eastAsia" w:ascii="仿宋" w:eastAsia="仿宋"/>
          <w:b w:val="0"/>
          <w:bCs w:val="0"/>
          <w:sz w:val="32"/>
          <w:szCs w:val="32"/>
        </w:rPr>
        <w:t>十</w:t>
      </w:r>
      <w:r>
        <w:rPr>
          <w:rStyle w:val="23"/>
          <w:rFonts w:hint="eastAsia" w:ascii="仿宋" w:eastAsia="仿宋"/>
          <w:b w:val="0"/>
          <w:bCs w:val="0"/>
          <w:sz w:val="32"/>
          <w:szCs w:val="32"/>
          <w:lang w:val="en-US" w:eastAsia="zh-CN"/>
        </w:rPr>
        <w:t>一</w:t>
      </w:r>
      <w:r>
        <w:rPr>
          <w:rStyle w:val="23"/>
          <w:rFonts w:hint="eastAsia" w:ascii="仿宋" w:eastAsia="仿宋"/>
          <w:b w:val="0"/>
          <w:bCs w:val="0"/>
          <w:sz w:val="32"/>
          <w:szCs w:val="32"/>
        </w:rPr>
        <w:t>、国有资本经营预算财政拨款收入支出决算表</w:t>
      </w:r>
    </w:p>
    <w:p>
      <w:pPr>
        <w:pStyle w:val="5"/>
        <w:pageBreakBefore w:val="0"/>
        <w:widowControl w:val="0"/>
        <w:kinsoku/>
        <w:wordWrap/>
        <w:overflowPunct/>
        <w:topLinePunct w:val="0"/>
        <w:autoSpaceDE/>
        <w:autoSpaceDN/>
        <w:bidi w:val="0"/>
        <w:spacing w:line="560" w:lineRule="exact"/>
        <w:textAlignment w:val="auto"/>
        <w:rPr>
          <w:rStyle w:val="23"/>
          <w:rFonts w:hint="eastAsia" w:ascii="仿宋" w:eastAsia="仿宋"/>
          <w:b w:val="0"/>
          <w:bCs w:val="0"/>
          <w:sz w:val="32"/>
          <w:szCs w:val="32"/>
          <w:lang w:val="en-US" w:eastAsia="zh-CN"/>
        </w:rPr>
      </w:pPr>
      <w:r>
        <w:rPr>
          <w:rStyle w:val="23"/>
          <w:rFonts w:hint="eastAsia" w:ascii="仿宋" w:eastAsia="仿宋"/>
          <w:b w:val="0"/>
          <w:bCs w:val="0"/>
          <w:sz w:val="32"/>
          <w:szCs w:val="32"/>
        </w:rPr>
        <w:t>十</w:t>
      </w:r>
      <w:r>
        <w:rPr>
          <w:rStyle w:val="23"/>
          <w:rFonts w:hint="eastAsia" w:ascii="仿宋" w:eastAsia="仿宋"/>
          <w:b w:val="0"/>
          <w:bCs w:val="0"/>
          <w:sz w:val="32"/>
          <w:szCs w:val="32"/>
          <w:lang w:val="en-US" w:eastAsia="zh-CN"/>
        </w:rPr>
        <w:t>二</w:t>
      </w:r>
      <w:r>
        <w:rPr>
          <w:rStyle w:val="23"/>
          <w:rFonts w:hint="eastAsia" w:ascii="仿宋" w:eastAsia="仿宋"/>
          <w:b w:val="0"/>
          <w:bCs w:val="0"/>
          <w:sz w:val="32"/>
          <w:szCs w:val="32"/>
        </w:rPr>
        <w:t>、国有资本经营预算财政拨款支出决算表</w:t>
      </w:r>
    </w:p>
    <w:p>
      <w:pPr>
        <w:pStyle w:val="5"/>
        <w:pageBreakBefore w:val="0"/>
        <w:widowControl w:val="0"/>
        <w:kinsoku/>
        <w:wordWrap/>
        <w:overflowPunct/>
        <w:topLinePunct w:val="0"/>
        <w:autoSpaceDE/>
        <w:autoSpaceDN/>
        <w:bidi w:val="0"/>
        <w:spacing w:line="560" w:lineRule="exact"/>
        <w:textAlignment w:val="auto"/>
        <w:rPr>
          <w:rStyle w:val="23"/>
          <w:rFonts w:hint="default" w:ascii="仿宋" w:eastAsia="仿宋"/>
          <w:b w:val="0"/>
          <w:bCs w:val="0"/>
          <w:sz w:val="32"/>
          <w:szCs w:val="32"/>
          <w:lang w:val="en-US"/>
        </w:rPr>
      </w:pPr>
      <w:r>
        <w:rPr>
          <w:rStyle w:val="23"/>
          <w:rFonts w:hint="eastAsia" w:ascii="仿宋" w:eastAsia="仿宋"/>
          <w:b w:val="0"/>
          <w:bCs w:val="0"/>
          <w:sz w:val="32"/>
          <w:szCs w:val="32"/>
        </w:rPr>
        <w:t>十</w:t>
      </w:r>
      <w:r>
        <w:rPr>
          <w:rStyle w:val="23"/>
          <w:rFonts w:hint="eastAsia" w:ascii="仿宋" w:eastAsia="仿宋"/>
          <w:b w:val="0"/>
          <w:bCs w:val="0"/>
          <w:sz w:val="32"/>
          <w:szCs w:val="32"/>
          <w:lang w:val="en-US" w:eastAsia="zh-CN"/>
        </w:rPr>
        <w:t>三</w:t>
      </w:r>
      <w:r>
        <w:rPr>
          <w:rStyle w:val="23"/>
          <w:rFonts w:hint="eastAsia" w:ascii="仿宋" w:eastAsia="仿宋"/>
          <w:b w:val="0"/>
          <w:bCs w:val="0"/>
          <w:sz w:val="32"/>
          <w:szCs w:val="32"/>
        </w:rPr>
        <w:t>、</w:t>
      </w:r>
      <w:r>
        <w:rPr>
          <w:rStyle w:val="23"/>
          <w:rFonts w:hint="default" w:ascii="仿宋" w:eastAsia="仿宋"/>
          <w:b w:val="0"/>
          <w:bCs w:val="0"/>
          <w:sz w:val="32"/>
          <w:szCs w:val="32"/>
          <w:lang w:val="en-US"/>
        </w:rPr>
        <w:t>财政拨款“三公”经费支出决算表</w:t>
      </w:r>
      <w:bookmarkStart w:id="66" w:name="_GoBack"/>
      <w:bookmarkEnd w:id="66"/>
    </w:p>
    <w:p>
      <w:pPr>
        <w:pStyle w:val="2"/>
        <w:rPr>
          <w:rStyle w:val="23"/>
          <w:rFonts w:hint="eastAsia" w:ascii="仿宋" w:eastAsia="仿宋"/>
          <w:b w:val="0"/>
          <w:bCs w:val="0"/>
        </w:rPr>
      </w:pPr>
    </w:p>
    <w:sectPr>
      <w:footerReference r:id="rId7" w:type="first"/>
      <w:footerReference r:id="rId6" w:type="default"/>
      <w:pgSz w:w="11906" w:h="16838"/>
      <w:pgMar w:top="1984"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611887915"/>
                          </w:sdtPr>
                          <w:sdtContent>
                            <w:p>
                              <w:pPr>
                                <w:pStyle w:val="13"/>
                                <w:jc w:val="center"/>
                              </w:pPr>
                              <w:r>
                                <w:fldChar w:fldCharType="begin"/>
                              </w:r>
                              <w:r>
                                <w:instrText xml:space="preserve">PAGE   \* MERGEFORMAT</w:instrText>
                              </w:r>
                              <w:r>
                                <w:fldChar w:fldCharType="separate"/>
                              </w:r>
                              <w:r>
                                <w:rPr>
                                  <w:lang w:val="zh-CN"/>
                                </w:rPr>
                                <w:t>8</w:t>
                              </w:r>
                              <w: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sdt>
                    <w:sdtPr>
                      <w:id w:val="-611887915"/>
                    </w:sdtPr>
                    <w:sdtContent>
                      <w:p>
                        <w:pPr>
                          <w:pStyle w:val="13"/>
                          <w:jc w:val="center"/>
                        </w:pPr>
                        <w:r>
                          <w:fldChar w:fldCharType="begin"/>
                        </w:r>
                        <w:r>
                          <w:instrText xml:space="preserve">PAGE   \* MERGEFORMAT</w:instrText>
                        </w:r>
                        <w:r>
                          <w:fldChar w:fldCharType="separate"/>
                        </w:r>
                        <w:r>
                          <w:rPr>
                            <w:lang w:val="zh-CN"/>
                          </w:rPr>
                          <w:t>8</w:t>
                        </w:r>
                        <w:r>
                          <w:fldChar w:fldCharType="end"/>
                        </w:r>
                      </w:p>
                    </w:sdtContent>
                  </w:sdt>
                  <w:p>
                    <w:pPr>
                      <w:pStyle w:val="10"/>
                    </w:pPr>
                  </w:p>
                </w:txbxContent>
              </v:textbox>
            </v:shape>
          </w:pict>
        </mc:Fallback>
      </mc:AlternateContent>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5270D"/>
    <w:multiLevelType w:val="singleLevel"/>
    <w:tmpl w:val="9015270D"/>
    <w:lvl w:ilvl="0" w:tentative="0">
      <w:start w:val="2"/>
      <w:numFmt w:val="chineseCounting"/>
      <w:suff w:val="nothing"/>
      <w:lvlText w:val="（%1）"/>
      <w:lvlJc w:val="left"/>
      <w:rPr>
        <w:rFonts w:hint="eastAsia" w:ascii="仿宋" w:hAnsi="仿宋" w:eastAsia="仿宋" w:cs="仿宋"/>
        <w:sz w:val="32"/>
        <w:szCs w:val="32"/>
      </w:rPr>
    </w:lvl>
  </w:abstractNum>
  <w:abstractNum w:abstractNumId="1">
    <w:nsid w:val="C07D9EBD"/>
    <w:multiLevelType w:val="singleLevel"/>
    <w:tmpl w:val="C07D9EBD"/>
    <w:lvl w:ilvl="0" w:tentative="0">
      <w:start w:val="2"/>
      <w:numFmt w:val="chineseCounting"/>
      <w:suff w:val="nothing"/>
      <w:lvlText w:val="（%1）"/>
      <w:lvlJc w:val="left"/>
      <w:rPr>
        <w:rFonts w:hint="eastAsia" w:ascii="仿宋" w:hAnsi="仿宋" w:eastAsia="仿宋" w:cs="仿宋"/>
        <w:sz w:val="32"/>
        <w:szCs w:val="32"/>
      </w:rPr>
    </w:lvl>
  </w:abstractNum>
  <w:abstractNum w:abstractNumId="2">
    <w:nsid w:val="CF652CEC"/>
    <w:multiLevelType w:val="singleLevel"/>
    <w:tmpl w:val="CF652CEC"/>
    <w:lvl w:ilvl="0" w:tentative="0">
      <w:start w:val="9"/>
      <w:numFmt w:val="chineseCounting"/>
      <w:suff w:val="nothing"/>
      <w:lvlText w:val="%1、"/>
      <w:lvlJc w:val="left"/>
      <w:pPr>
        <w:ind w:left="0" w:firstLine="0"/>
      </w:pPr>
      <w:rPr>
        <w:rFonts w:hint="eastAsia"/>
      </w:rPr>
    </w:lvl>
  </w:abstractNum>
  <w:abstractNum w:abstractNumId="3">
    <w:nsid w:val="E2FA047D"/>
    <w:multiLevelType w:val="singleLevel"/>
    <w:tmpl w:val="E2FA047D"/>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NWExZGUxMzYwMjFkZjVhNThjZTAxOTFmZGZiNGRjODIifQ=="/>
  </w:docVars>
  <w:rsids>
    <w:rsidRoot w:val="008C6A67"/>
    <w:rsid w:val="00190606"/>
    <w:rsid w:val="004F482C"/>
    <w:rsid w:val="00733E26"/>
    <w:rsid w:val="008C6A67"/>
    <w:rsid w:val="0119677B"/>
    <w:rsid w:val="01837B27"/>
    <w:rsid w:val="01A324E9"/>
    <w:rsid w:val="027C6540"/>
    <w:rsid w:val="02F474A0"/>
    <w:rsid w:val="039D7B38"/>
    <w:rsid w:val="03C05D91"/>
    <w:rsid w:val="03D1333D"/>
    <w:rsid w:val="03E72B61"/>
    <w:rsid w:val="04640482"/>
    <w:rsid w:val="04DA4474"/>
    <w:rsid w:val="04DE21B6"/>
    <w:rsid w:val="05CB05C6"/>
    <w:rsid w:val="073562D9"/>
    <w:rsid w:val="07642C1E"/>
    <w:rsid w:val="086506C6"/>
    <w:rsid w:val="08A74FB5"/>
    <w:rsid w:val="09440A55"/>
    <w:rsid w:val="09615163"/>
    <w:rsid w:val="096E7880"/>
    <w:rsid w:val="09A757A5"/>
    <w:rsid w:val="0A206DCD"/>
    <w:rsid w:val="0A287A2F"/>
    <w:rsid w:val="0BB23E19"/>
    <w:rsid w:val="0BBE4AEF"/>
    <w:rsid w:val="0C122745"/>
    <w:rsid w:val="0CD65E68"/>
    <w:rsid w:val="0CD81BE1"/>
    <w:rsid w:val="0D444B80"/>
    <w:rsid w:val="0DEA1BCB"/>
    <w:rsid w:val="0EB2020F"/>
    <w:rsid w:val="0F096081"/>
    <w:rsid w:val="1010343F"/>
    <w:rsid w:val="10233173"/>
    <w:rsid w:val="10392996"/>
    <w:rsid w:val="11496C09"/>
    <w:rsid w:val="12C34799"/>
    <w:rsid w:val="133E4C1F"/>
    <w:rsid w:val="135D42E1"/>
    <w:rsid w:val="13B64C70"/>
    <w:rsid w:val="13BF7656"/>
    <w:rsid w:val="13FF3EF7"/>
    <w:rsid w:val="141212D2"/>
    <w:rsid w:val="14777F31"/>
    <w:rsid w:val="147F2942"/>
    <w:rsid w:val="15C87289"/>
    <w:rsid w:val="15D13671"/>
    <w:rsid w:val="160E21CF"/>
    <w:rsid w:val="161B3331"/>
    <w:rsid w:val="166242C9"/>
    <w:rsid w:val="167209B0"/>
    <w:rsid w:val="16734728"/>
    <w:rsid w:val="170B4961"/>
    <w:rsid w:val="171F21BA"/>
    <w:rsid w:val="17237EFC"/>
    <w:rsid w:val="1763654B"/>
    <w:rsid w:val="178C5AA1"/>
    <w:rsid w:val="18194E5B"/>
    <w:rsid w:val="181F6915"/>
    <w:rsid w:val="18F7512B"/>
    <w:rsid w:val="19B60BB4"/>
    <w:rsid w:val="19CD414F"/>
    <w:rsid w:val="1A1D6E85"/>
    <w:rsid w:val="1A623B0D"/>
    <w:rsid w:val="1A907657"/>
    <w:rsid w:val="1AC44BF5"/>
    <w:rsid w:val="1B7E3953"/>
    <w:rsid w:val="1BBC5647"/>
    <w:rsid w:val="1C86133B"/>
    <w:rsid w:val="1C862BC0"/>
    <w:rsid w:val="1D4E55A7"/>
    <w:rsid w:val="1D70551D"/>
    <w:rsid w:val="1E4470D6"/>
    <w:rsid w:val="1F0B19A2"/>
    <w:rsid w:val="1F415D71"/>
    <w:rsid w:val="1F642E60"/>
    <w:rsid w:val="1F867B54"/>
    <w:rsid w:val="205E1FA5"/>
    <w:rsid w:val="206B4E60"/>
    <w:rsid w:val="20B816B5"/>
    <w:rsid w:val="21C423DC"/>
    <w:rsid w:val="2254540E"/>
    <w:rsid w:val="227B0BEC"/>
    <w:rsid w:val="231A1384"/>
    <w:rsid w:val="23256DAA"/>
    <w:rsid w:val="233314C7"/>
    <w:rsid w:val="23474F72"/>
    <w:rsid w:val="234B4A63"/>
    <w:rsid w:val="23BF2D5B"/>
    <w:rsid w:val="2423778D"/>
    <w:rsid w:val="24D10F97"/>
    <w:rsid w:val="2613738E"/>
    <w:rsid w:val="2670658E"/>
    <w:rsid w:val="26B172D2"/>
    <w:rsid w:val="26EA6341"/>
    <w:rsid w:val="273121C1"/>
    <w:rsid w:val="273B6B9C"/>
    <w:rsid w:val="275B2D9A"/>
    <w:rsid w:val="276205CD"/>
    <w:rsid w:val="276C7B5F"/>
    <w:rsid w:val="277F01E4"/>
    <w:rsid w:val="2790513A"/>
    <w:rsid w:val="27A74232"/>
    <w:rsid w:val="289E3886"/>
    <w:rsid w:val="28EE2BAE"/>
    <w:rsid w:val="29162311"/>
    <w:rsid w:val="29170EB2"/>
    <w:rsid w:val="297B7724"/>
    <w:rsid w:val="2A3A138D"/>
    <w:rsid w:val="2AA607D0"/>
    <w:rsid w:val="2C092CED"/>
    <w:rsid w:val="2D947006"/>
    <w:rsid w:val="2D962D7E"/>
    <w:rsid w:val="2DC378EB"/>
    <w:rsid w:val="2E163EBF"/>
    <w:rsid w:val="2E5845FC"/>
    <w:rsid w:val="2E905A1F"/>
    <w:rsid w:val="2EA9088F"/>
    <w:rsid w:val="2EF508C3"/>
    <w:rsid w:val="2F2148C9"/>
    <w:rsid w:val="2F370591"/>
    <w:rsid w:val="2F394DAF"/>
    <w:rsid w:val="2F3A598B"/>
    <w:rsid w:val="2F3B1E2F"/>
    <w:rsid w:val="2F5C1DA5"/>
    <w:rsid w:val="2F854E58"/>
    <w:rsid w:val="2FE14059"/>
    <w:rsid w:val="303D1BD7"/>
    <w:rsid w:val="304271ED"/>
    <w:rsid w:val="30A734F4"/>
    <w:rsid w:val="30E26576"/>
    <w:rsid w:val="310821E5"/>
    <w:rsid w:val="310F13B2"/>
    <w:rsid w:val="314B3E80"/>
    <w:rsid w:val="31EA5447"/>
    <w:rsid w:val="328238D1"/>
    <w:rsid w:val="32877139"/>
    <w:rsid w:val="329F4483"/>
    <w:rsid w:val="33134E71"/>
    <w:rsid w:val="348F22D5"/>
    <w:rsid w:val="34C06933"/>
    <w:rsid w:val="34CC52D7"/>
    <w:rsid w:val="35576957"/>
    <w:rsid w:val="36814A24"/>
    <w:rsid w:val="36CE5337"/>
    <w:rsid w:val="381E22EE"/>
    <w:rsid w:val="386C5BAC"/>
    <w:rsid w:val="38AE3672"/>
    <w:rsid w:val="38FD1F03"/>
    <w:rsid w:val="390C2146"/>
    <w:rsid w:val="3962445C"/>
    <w:rsid w:val="39894A2E"/>
    <w:rsid w:val="399F2FBB"/>
    <w:rsid w:val="39DC7D6B"/>
    <w:rsid w:val="3A267859"/>
    <w:rsid w:val="3A461688"/>
    <w:rsid w:val="3A5B15D7"/>
    <w:rsid w:val="3AC3717D"/>
    <w:rsid w:val="3B3911ED"/>
    <w:rsid w:val="3C382211"/>
    <w:rsid w:val="3C5B5562"/>
    <w:rsid w:val="3C753C66"/>
    <w:rsid w:val="3CA174DE"/>
    <w:rsid w:val="3CE33F43"/>
    <w:rsid w:val="3DA768E2"/>
    <w:rsid w:val="3DDE1C46"/>
    <w:rsid w:val="3EEB27FE"/>
    <w:rsid w:val="3F073ADC"/>
    <w:rsid w:val="3F095E8F"/>
    <w:rsid w:val="3F620D12"/>
    <w:rsid w:val="3FBA0B4E"/>
    <w:rsid w:val="40C71F4C"/>
    <w:rsid w:val="415B3C6B"/>
    <w:rsid w:val="41823260"/>
    <w:rsid w:val="41C71300"/>
    <w:rsid w:val="427A2817"/>
    <w:rsid w:val="42AD6748"/>
    <w:rsid w:val="43AD2778"/>
    <w:rsid w:val="444E3F5B"/>
    <w:rsid w:val="44DF2E05"/>
    <w:rsid w:val="451A3E3D"/>
    <w:rsid w:val="451F76A5"/>
    <w:rsid w:val="45B47DEE"/>
    <w:rsid w:val="45FC3543"/>
    <w:rsid w:val="4625224C"/>
    <w:rsid w:val="47723ABC"/>
    <w:rsid w:val="486275B7"/>
    <w:rsid w:val="48800083"/>
    <w:rsid w:val="4924528A"/>
    <w:rsid w:val="49570AD5"/>
    <w:rsid w:val="498B355B"/>
    <w:rsid w:val="4A8E6E5F"/>
    <w:rsid w:val="4AAF22A8"/>
    <w:rsid w:val="4AF929AE"/>
    <w:rsid w:val="4B165A7F"/>
    <w:rsid w:val="4B840262"/>
    <w:rsid w:val="4C043151"/>
    <w:rsid w:val="4C0F4ADE"/>
    <w:rsid w:val="4C83676C"/>
    <w:rsid w:val="4D956757"/>
    <w:rsid w:val="4DB36BDD"/>
    <w:rsid w:val="4E353A96"/>
    <w:rsid w:val="4EBF69BD"/>
    <w:rsid w:val="4EC07803"/>
    <w:rsid w:val="4F3E697A"/>
    <w:rsid w:val="4FBA4253"/>
    <w:rsid w:val="5006393C"/>
    <w:rsid w:val="50615016"/>
    <w:rsid w:val="506B379F"/>
    <w:rsid w:val="5088576D"/>
    <w:rsid w:val="511018A7"/>
    <w:rsid w:val="51EC30C9"/>
    <w:rsid w:val="520A56A8"/>
    <w:rsid w:val="52135DFE"/>
    <w:rsid w:val="52C13B4A"/>
    <w:rsid w:val="531E2D4A"/>
    <w:rsid w:val="54C811C0"/>
    <w:rsid w:val="556C4241"/>
    <w:rsid w:val="55A97243"/>
    <w:rsid w:val="560D0856"/>
    <w:rsid w:val="56D025AE"/>
    <w:rsid w:val="56E12A0D"/>
    <w:rsid w:val="574A366F"/>
    <w:rsid w:val="57DB3900"/>
    <w:rsid w:val="581A7F84"/>
    <w:rsid w:val="587C1A74"/>
    <w:rsid w:val="58B54151"/>
    <w:rsid w:val="58C957A0"/>
    <w:rsid w:val="59CB2660"/>
    <w:rsid w:val="5AD54636"/>
    <w:rsid w:val="5AEA7ACA"/>
    <w:rsid w:val="5B5A4801"/>
    <w:rsid w:val="5CFF4C0D"/>
    <w:rsid w:val="5D395350"/>
    <w:rsid w:val="5D4A130C"/>
    <w:rsid w:val="5DD010E5"/>
    <w:rsid w:val="5DF748C4"/>
    <w:rsid w:val="5E0240EC"/>
    <w:rsid w:val="5E9071F2"/>
    <w:rsid w:val="601654D5"/>
    <w:rsid w:val="60F6689E"/>
    <w:rsid w:val="611D0AE5"/>
    <w:rsid w:val="61361F5C"/>
    <w:rsid w:val="61F2764D"/>
    <w:rsid w:val="629E7A04"/>
    <w:rsid w:val="6472739A"/>
    <w:rsid w:val="64EB6A8D"/>
    <w:rsid w:val="657D13E8"/>
    <w:rsid w:val="66F127F8"/>
    <w:rsid w:val="6759214B"/>
    <w:rsid w:val="67B21A22"/>
    <w:rsid w:val="67F85E08"/>
    <w:rsid w:val="68774F7F"/>
    <w:rsid w:val="68D51CA5"/>
    <w:rsid w:val="691C78D4"/>
    <w:rsid w:val="692C7B17"/>
    <w:rsid w:val="69731BEA"/>
    <w:rsid w:val="6A0C16F7"/>
    <w:rsid w:val="6A892D47"/>
    <w:rsid w:val="6ADA35A3"/>
    <w:rsid w:val="6B064398"/>
    <w:rsid w:val="6B3453A9"/>
    <w:rsid w:val="6C0E769F"/>
    <w:rsid w:val="6C180827"/>
    <w:rsid w:val="6C450EF0"/>
    <w:rsid w:val="6C53360D"/>
    <w:rsid w:val="6CD209D6"/>
    <w:rsid w:val="6CD219FF"/>
    <w:rsid w:val="6CFA1CDB"/>
    <w:rsid w:val="6DC6021C"/>
    <w:rsid w:val="6DDB5FB0"/>
    <w:rsid w:val="6E1D3ED3"/>
    <w:rsid w:val="6E4964A3"/>
    <w:rsid w:val="6E625D89"/>
    <w:rsid w:val="6E730F69"/>
    <w:rsid w:val="6E7C509D"/>
    <w:rsid w:val="6FF704D5"/>
    <w:rsid w:val="70473489"/>
    <w:rsid w:val="7064228D"/>
    <w:rsid w:val="70710506"/>
    <w:rsid w:val="72023B0B"/>
    <w:rsid w:val="72AE5A41"/>
    <w:rsid w:val="743D52CE"/>
    <w:rsid w:val="747B1953"/>
    <w:rsid w:val="75A31161"/>
    <w:rsid w:val="764861AD"/>
    <w:rsid w:val="76EE0B02"/>
    <w:rsid w:val="77FB2D90"/>
    <w:rsid w:val="7840538D"/>
    <w:rsid w:val="79E104AA"/>
    <w:rsid w:val="7A1A39BC"/>
    <w:rsid w:val="7A3905A1"/>
    <w:rsid w:val="7AFB559C"/>
    <w:rsid w:val="7B0D52CF"/>
    <w:rsid w:val="7C9E6B26"/>
    <w:rsid w:val="7CA80172"/>
    <w:rsid w:val="7D8349B7"/>
    <w:rsid w:val="7DC205F3"/>
    <w:rsid w:val="7DE95B7F"/>
    <w:rsid w:val="7EB42631"/>
    <w:rsid w:val="7EB51F05"/>
    <w:rsid w:val="7EEA6A1B"/>
    <w:rsid w:val="7EFB02D5"/>
    <w:rsid w:val="7FA77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3"/>
    <w:unhideWhenUsed/>
    <w:qFormat/>
    <w:uiPriority w:val="9"/>
    <w:pPr>
      <w:keepNext/>
      <w:keepLines/>
      <w:spacing w:before="260" w:after="260" w:line="415" w:lineRule="auto"/>
      <w:outlineLvl w:val="1"/>
    </w:pPr>
    <w:rPr>
      <w:rFonts w:ascii="Cambria" w:hAnsi="Cambria"/>
      <w:b/>
      <w:bCs/>
      <w:sz w:val="32"/>
      <w:szCs w:val="32"/>
    </w:rPr>
  </w:style>
  <w:style w:type="paragraph" w:styleId="6">
    <w:name w:val="heading 3"/>
    <w:basedOn w:val="1"/>
    <w:next w:val="1"/>
    <w:semiHidden/>
    <w:unhideWhenUsed/>
    <w:qFormat/>
    <w:uiPriority w:val="9"/>
    <w:pPr>
      <w:keepNext/>
      <w:keepLines/>
      <w:spacing w:before="260" w:after="260" w:line="415"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next w:val="3"/>
    <w:qFormat/>
    <w:uiPriority w:val="0"/>
    <w:pPr>
      <w:jc w:val="both"/>
      <w:textAlignment w:val="baseline"/>
    </w:pPr>
  </w:style>
  <w:style w:type="paragraph" w:customStyle="1" w:styleId="3">
    <w:name w:val="Index5"/>
    <w:basedOn w:val="1"/>
    <w:next w:val="1"/>
    <w:qFormat/>
    <w:uiPriority w:val="0"/>
    <w:pPr>
      <w:ind w:left="1680"/>
      <w:jc w:val="both"/>
      <w:textAlignment w:val="baseline"/>
    </w:pPr>
  </w:style>
  <w:style w:type="paragraph" w:styleId="7">
    <w:name w:val="Salutation"/>
    <w:basedOn w:val="1"/>
    <w:next w:val="1"/>
    <w:qFormat/>
    <w:uiPriority w:val="0"/>
    <w:rPr>
      <w:rFonts w:ascii="Times New Roman" w:hAnsi="Times New Roman" w:eastAsia="宋体" w:cs="Times New Roman"/>
    </w:rPr>
  </w:style>
  <w:style w:type="paragraph" w:styleId="8">
    <w:name w:val="Body Text"/>
    <w:basedOn w:val="1"/>
    <w:qFormat/>
    <w:uiPriority w:val="0"/>
    <w:pPr>
      <w:spacing w:before="30" w:beforeLines="30"/>
    </w:pPr>
    <w:rPr>
      <w:rFonts w:ascii="仿宋_GB2312" w:eastAsia="仿宋_GB2312"/>
      <w:kern w:val="0"/>
      <w:sz w:val="30"/>
    </w:rPr>
  </w:style>
  <w:style w:type="paragraph" w:styleId="9">
    <w:name w:val="Body Text Indent"/>
    <w:basedOn w:val="1"/>
    <w:next w:val="10"/>
    <w:qFormat/>
    <w:uiPriority w:val="99"/>
    <w:pPr>
      <w:spacing w:before="0" w:beforeAutospacing="0" w:after="120" w:afterAutospacing="0"/>
      <w:ind w:left="420" w:leftChars="200" w:right="0"/>
      <w:jc w:val="left"/>
    </w:pPr>
    <w:rPr>
      <w:rFonts w:hint="eastAsia" w:ascii="宋体" w:hAnsi="宋体" w:eastAsia="宋体" w:cs="宋体"/>
      <w:kern w:val="0"/>
      <w:sz w:val="24"/>
      <w:szCs w:val="24"/>
      <w:lang w:val="en-US" w:eastAsia="zh-CN" w:bidi="ar"/>
    </w:rPr>
  </w:style>
  <w:style w:type="paragraph" w:styleId="10">
    <w:name w:val="Body Text First Indent 2"/>
    <w:basedOn w:val="9"/>
    <w:next w:val="1"/>
    <w:qFormat/>
    <w:uiPriority w:val="99"/>
    <w:pPr>
      <w:spacing w:before="0" w:beforeAutospacing="0" w:after="120" w:afterAutospacing="0"/>
      <w:ind w:left="420" w:leftChars="200" w:right="0" w:firstLine="420" w:firstLineChars="200"/>
      <w:jc w:val="left"/>
    </w:pPr>
    <w:rPr>
      <w:rFonts w:hint="eastAsia" w:ascii="宋体" w:hAnsi="宋体" w:eastAsia="宋体" w:cs="宋体"/>
      <w:kern w:val="0"/>
      <w:sz w:val="24"/>
      <w:szCs w:val="24"/>
      <w:lang w:val="en-US" w:eastAsia="zh-CN" w:bidi="ar"/>
    </w:rPr>
  </w:style>
  <w:style w:type="paragraph" w:styleId="11">
    <w:name w:val="toc 3"/>
    <w:basedOn w:val="1"/>
    <w:next w:val="1"/>
    <w:qFormat/>
    <w:uiPriority w:val="0"/>
    <w:pPr>
      <w:tabs>
        <w:tab w:val="right" w:leader="dot" w:pos="8296"/>
      </w:tabs>
      <w:ind w:left="400" w:leftChars="400"/>
    </w:pPr>
  </w:style>
  <w:style w:type="paragraph" w:styleId="12">
    <w:name w:val="Balloon Text"/>
    <w:basedOn w:val="1"/>
    <w:qFormat/>
    <w:uiPriority w:val="0"/>
    <w:rPr>
      <w:sz w:val="18"/>
      <w:szCs w:val="18"/>
    </w:rPr>
  </w:style>
  <w:style w:type="paragraph" w:styleId="13">
    <w:name w:val="footer"/>
    <w:basedOn w:val="1"/>
    <w:qFormat/>
    <w:uiPriority w:val="0"/>
    <w:pPr>
      <w:tabs>
        <w:tab w:val="center" w:pos="4153"/>
        <w:tab w:val="right" w:pos="8306"/>
      </w:tabs>
      <w:snapToGrid w:val="0"/>
      <w:jc w:val="left"/>
    </w:pPr>
    <w:rPr>
      <w:rFonts w:ascii="Calibri" w:hAnsi="Calibri"/>
      <w:kern w:val="0"/>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qFormat/>
    <w:uiPriority w:val="0"/>
    <w:pPr>
      <w:tabs>
        <w:tab w:val="right" w:leader="dot" w:pos="8296"/>
      </w:tabs>
      <w:spacing w:before="93"/>
      <w:jc w:val="center"/>
    </w:pPr>
    <w:rPr>
      <w:rFonts w:ascii="仿宋" w:eastAsia="仿宋"/>
      <w:sz w:val="28"/>
      <w:szCs w:val="28"/>
    </w:rPr>
  </w:style>
  <w:style w:type="paragraph" w:styleId="16">
    <w:name w:val="toc 2"/>
    <w:basedOn w:val="1"/>
    <w:next w:val="1"/>
    <w:qFormat/>
    <w:uiPriority w:val="0"/>
    <w:pPr>
      <w:tabs>
        <w:tab w:val="right" w:leader="dot" w:pos="8296"/>
      </w:tabs>
      <w:ind w:left="200" w:leftChars="200"/>
    </w:p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customStyle="1" w:styleId="22">
    <w:name w:val="标题 1 字符"/>
    <w:basedOn w:val="19"/>
    <w:link w:val="4"/>
    <w:qFormat/>
    <w:uiPriority w:val="0"/>
    <w:rPr>
      <w:rFonts w:ascii="Times New Roman" w:hAnsi="Times New Roman" w:eastAsia="宋体" w:cs="Times New Roman"/>
      <w:b/>
      <w:bCs/>
      <w:kern w:val="44"/>
      <w:sz w:val="44"/>
      <w:szCs w:val="44"/>
      <w:lang w:val="en-US" w:eastAsia="zh-CN" w:bidi="ar-SA"/>
    </w:rPr>
  </w:style>
  <w:style w:type="character" w:customStyle="1" w:styleId="23">
    <w:name w:val="标题 2 字符"/>
    <w:basedOn w:val="19"/>
    <w:link w:val="5"/>
    <w:qFormat/>
    <w:uiPriority w:val="0"/>
    <w:rPr>
      <w:rFonts w:ascii="Cambria" w:hAnsi="Cambria" w:eastAsia="宋体" w:cs="Times New Roman"/>
      <w:b/>
      <w:bCs/>
      <w:kern w:val="2"/>
      <w:sz w:val="32"/>
      <w:szCs w:val="32"/>
      <w:lang w:val="en-US" w:eastAsia="zh-CN" w:bidi="ar-SA"/>
    </w:rPr>
  </w:style>
  <w:style w:type="character" w:customStyle="1" w:styleId="24">
    <w:name w:val="Header Char"/>
    <w:basedOn w:val="19"/>
    <w:qFormat/>
    <w:uiPriority w:val="0"/>
    <w:rPr>
      <w:rFonts w:ascii="Times New Roman" w:hAnsi="Times New Roman"/>
      <w:sz w:val="18"/>
      <w:szCs w:val="18"/>
    </w:rPr>
  </w:style>
  <w:style w:type="character" w:customStyle="1" w:styleId="25">
    <w:name w:val="Footer Char"/>
    <w:basedOn w:val="19"/>
    <w:qFormat/>
    <w:uiPriority w:val="0"/>
    <w:rPr>
      <w:rFonts w:ascii="Times New Roman" w:hAnsi="Times New Roman"/>
      <w:sz w:val="18"/>
      <w:szCs w:val="18"/>
    </w:rPr>
  </w:style>
  <w:style w:type="character" w:customStyle="1" w:styleId="26">
    <w:name w:val="Body Text Char"/>
    <w:basedOn w:val="19"/>
    <w:qFormat/>
    <w:uiPriority w:val="0"/>
    <w:rPr>
      <w:rFonts w:ascii="Times New Roman" w:hAnsi="Times New Roman"/>
      <w:szCs w:val="24"/>
    </w:rPr>
  </w:style>
  <w:style w:type="paragraph" w:customStyle="1" w:styleId="27">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8">
    <w:name w:val="List Paragraph"/>
    <w:basedOn w:val="1"/>
    <w:qFormat/>
    <w:uiPriority w:val="0"/>
    <w:pPr>
      <w:ind w:firstLine="200" w:firstLineChars="200"/>
    </w:pPr>
  </w:style>
  <w:style w:type="paragraph" w:customStyle="1" w:styleId="29">
    <w:name w:val="TOC 标题1"/>
    <w:basedOn w:val="4"/>
    <w:next w:val="1"/>
    <w:qFormat/>
    <w:uiPriority w:val="0"/>
    <w:pPr>
      <w:widowControl/>
      <w:spacing w:before="480" w:after="0" w:line="276" w:lineRule="auto"/>
      <w:jc w:val="left"/>
      <w:outlineLvl w:val="9"/>
    </w:pPr>
    <w:rPr>
      <w:rFonts w:ascii="Cambria" w:hAnsi="Cambria"/>
      <w:color w:val="376092"/>
      <w:kern w:val="0"/>
      <w:sz w:val="28"/>
      <w:szCs w:val="28"/>
    </w:rPr>
  </w:style>
  <w:style w:type="paragraph" w:customStyle="1" w:styleId="30">
    <w:name w:val="TOC 标题2"/>
    <w:basedOn w:val="4"/>
    <w:next w:val="1"/>
    <w:qFormat/>
    <w:uiPriority w:val="0"/>
    <w:pPr>
      <w:widowControl/>
      <w:spacing w:before="480" w:after="0" w:line="276" w:lineRule="auto"/>
      <w:jc w:val="left"/>
      <w:outlineLvl w:val="9"/>
    </w:pPr>
    <w:rPr>
      <w:rFonts w:ascii="Cambria" w:hAnsi="Cambria"/>
      <w:color w:val="376092"/>
      <w:kern w:val="0"/>
      <w:sz w:val="28"/>
      <w:szCs w:val="28"/>
    </w:rPr>
  </w:style>
  <w:style w:type="paragraph" w:customStyle="1" w:styleId="31">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customStyle="1" w:styleId="32">
    <w:name w:val="21"/>
    <w:basedOn w:val="19"/>
    <w:qFormat/>
    <w:uiPriority w:val="0"/>
    <w:rPr>
      <w:rFonts w:hint="default" w:ascii="Times New Roman" w:hAnsi="Times New Roman" w:cs="Times New Roman"/>
      <w:b/>
    </w:rPr>
  </w:style>
  <w:style w:type="paragraph" w:customStyle="1" w:styleId="33">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Administrator\Desktop\2022&#24180;&#20915;&#31639;&#20844;&#24320;\&#26032;&#24314;%20XLSX%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2022&#24180;&#20915;&#31639;&#20844;&#24320;\&#26032;&#24314;%20XLSX%20&#24037;&#20316;&#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Administrator\Desktop\2022&#24180;&#20915;&#31639;&#20844;&#24320;\&#26032;&#24314;%20XLSX%20&#24037;&#20316;&#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2022&#24180;&#20915;&#31639;&#20844;&#24320;\&#26032;&#24314;%20XLSX%20&#24037;&#20316;&#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Administrator\Desktop\2022&#24180;&#20915;&#31639;&#20844;&#24320;\&#26032;&#24314;%20XLSX%20&#24037;&#20316;&#34920;.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Administrator\Desktop\2022&#24180;&#20915;&#31639;&#20844;&#24320;\&#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收支决算变动情况表</a:t>
            </a:r>
          </a:p>
        </c:rich>
      </c:tx>
      <c:layout>
        <c:manualLayout>
          <c:xMode val="edge"/>
          <c:yMode val="edge"/>
          <c:x val="0.416447368421053"/>
          <c:y val="0.0277777777777778"/>
        </c:manualLayout>
      </c:layout>
      <c:overlay val="0"/>
      <c:spPr>
        <a:noFill/>
        <a:ln>
          <a:noFill/>
        </a:ln>
        <a:effectLst/>
      </c:spPr>
    </c:title>
    <c:autoTitleDeleted val="0"/>
    <c:plotArea>
      <c:layout/>
      <c:barChart>
        <c:barDir val="col"/>
        <c:grouping val="clustered"/>
        <c:varyColors val="0"/>
        <c:ser>
          <c:idx val="0"/>
          <c:order val="0"/>
          <c:tx>
            <c:strRef>
              <c:f>'[新建 XLSX 工作表.xlsx]Sheet1'!$A$5</c:f>
              <c:strCache>
                <c:ptCount val="1"/>
                <c:pt idx="0">
                  <c:v>收入</c:v>
                </c:pt>
              </c:strCache>
            </c:strRef>
          </c:tx>
          <c:spPr>
            <a:solidFill>
              <a:schemeClr val="accent1"/>
            </a:solidFill>
            <a:ln>
              <a:noFill/>
            </a:ln>
            <a:effectLst/>
          </c:spPr>
          <c:invertIfNegative val="0"/>
          <c:dLbls>
            <c:delete val="1"/>
          </c:dLbls>
          <c:cat>
            <c:multiLvlStrRef>
              <c:f>'[新建 XLSX 工作表.xlsx]Sheet1'!$B$3:$C$4</c:f>
              <c:multiLvlStrCache>
                <c:ptCount val="2"/>
                <c:lvl>
                  <c:pt idx="0">
                    <c:v>2021年</c:v>
                  </c:pt>
                  <c:pt idx="1">
                    <c:v>2022年</c:v>
                  </c:pt>
                </c:lvl>
                <c:lvl/>
              </c:multiLvlStrCache>
            </c:multiLvlStrRef>
          </c:cat>
          <c:val>
            <c:numRef>
              <c:f>'[新建 XLSX 工作表.xlsx]Sheet1'!$B$5:$C$5</c:f>
              <c:numCache>
                <c:formatCode>General</c:formatCode>
                <c:ptCount val="2"/>
                <c:pt idx="0">
                  <c:v>5453.9</c:v>
                </c:pt>
                <c:pt idx="1">
                  <c:v>2867.91</c:v>
                </c:pt>
              </c:numCache>
            </c:numRef>
          </c:val>
        </c:ser>
        <c:ser>
          <c:idx val="1"/>
          <c:order val="1"/>
          <c:tx>
            <c:strRef>
              <c:f>'[新建 XLSX 工作表.xlsx]Sheet1'!$A$6</c:f>
              <c:strCache>
                <c:ptCount val="1"/>
                <c:pt idx="0">
                  <c:v>支出</c:v>
                </c:pt>
              </c:strCache>
            </c:strRef>
          </c:tx>
          <c:spPr>
            <a:solidFill>
              <a:schemeClr val="accent2"/>
            </a:solidFill>
            <a:ln>
              <a:noFill/>
            </a:ln>
            <a:effectLst/>
          </c:spPr>
          <c:invertIfNegative val="0"/>
          <c:dLbls>
            <c:delete val="1"/>
          </c:dLbls>
          <c:cat>
            <c:multiLvlStrRef>
              <c:f>'[新建 XLSX 工作表.xlsx]Sheet1'!$B$3:$C$4</c:f>
              <c:multiLvlStrCache>
                <c:ptCount val="2"/>
                <c:lvl>
                  <c:pt idx="0">
                    <c:v>2021年</c:v>
                  </c:pt>
                  <c:pt idx="1">
                    <c:v>2022年</c:v>
                  </c:pt>
                </c:lvl>
                <c:lvl/>
              </c:multiLvlStrCache>
            </c:multiLvlStrRef>
          </c:cat>
          <c:val>
            <c:numRef>
              <c:f>'[新建 XLSX 工作表.xlsx]Sheet1'!$B$6:$C$6</c:f>
              <c:numCache>
                <c:formatCode>General</c:formatCode>
                <c:ptCount val="2"/>
                <c:pt idx="0">
                  <c:v>5601.23</c:v>
                </c:pt>
                <c:pt idx="1">
                  <c:v>3015.28</c:v>
                </c:pt>
              </c:numCache>
            </c:numRef>
          </c:val>
        </c:ser>
        <c:dLbls>
          <c:showLegendKey val="0"/>
          <c:showVal val="0"/>
          <c:showCatName val="0"/>
          <c:showSerName val="0"/>
          <c:showPercent val="0"/>
          <c:showBubbleSize val="0"/>
        </c:dLbls>
        <c:gapWidth val="246"/>
        <c:overlap val="-28"/>
        <c:axId val="307257368"/>
        <c:axId val="40609297"/>
      </c:barChart>
      <c:catAx>
        <c:axId val="30725736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609297"/>
        <c:crosses val="autoZero"/>
        <c:auto val="1"/>
        <c:lblAlgn val="ctr"/>
        <c:lblOffset val="100"/>
        <c:noMultiLvlLbl val="0"/>
      </c:catAx>
      <c:valAx>
        <c:axId val="40609297"/>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0725736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收入决算结构图</a:t>
            </a:r>
          </a:p>
        </c:rich>
      </c:tx>
      <c:layout>
        <c:manualLayout>
          <c:xMode val="edge"/>
          <c:yMode val="edge"/>
          <c:x val="0.416447368421053"/>
          <c:y val="0.0243055555555556"/>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'[新建 XLSX 工作表.xlsx]Sheet1'!$B$52:$C$52</c:f>
              <c:strCache>
                <c:ptCount val="2"/>
                <c:pt idx="0">
                  <c:v>一般公共预算财政拨款收入</c:v>
                </c:pt>
                <c:pt idx="1">
                  <c:v>其他收入</c:v>
                </c:pt>
              </c:strCache>
            </c:strRef>
          </c:cat>
          <c:val>
            <c:numRef>
              <c:f>'[新建 XLSX 工作表.xlsx]Sheet1'!$B$53:$C$53</c:f>
              <c:numCache>
                <c:formatCode>0.00%</c:formatCode>
                <c:ptCount val="2"/>
                <c:pt idx="0">
                  <c:v>0.995</c:v>
                </c:pt>
                <c:pt idx="1">
                  <c:v>0.005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'[新建 XLSX 工作表.xlsx]Sheet1'!$B$65:$C$65</c:f>
              <c:strCache>
                <c:ptCount val="2"/>
                <c:pt idx="0">
                  <c:v>基本支出</c:v>
                </c:pt>
                <c:pt idx="1">
                  <c:v>项目支出</c:v>
                </c:pt>
              </c:strCache>
            </c:strRef>
          </c:cat>
          <c:val>
            <c:numRef>
              <c:f>'[新建 XLSX 工作表.xlsx]Sheet1'!$B$66:$C$66</c:f>
              <c:numCache>
                <c:formatCode>0%</c:formatCode>
                <c:ptCount val="2"/>
                <c:pt idx="0">
                  <c:v>0.8</c:v>
                </c:pt>
                <c:pt idx="1">
                  <c:v>0.2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altLang="en-US"/>
              <a:t>财政拨款收、支决算变动情况图</a:t>
            </a:r>
            <a:endParaRPr lang="en-US" altLang="zh-CN"/>
          </a:p>
        </c:rich>
      </c:tx>
      <c:layout/>
      <c:overlay val="0"/>
      <c:spPr>
        <a:noFill/>
        <a:ln>
          <a:noFill/>
        </a:ln>
        <a:effectLst/>
      </c:spPr>
    </c:title>
    <c:autoTitleDeleted val="0"/>
    <c:plotArea>
      <c:layout/>
      <c:barChart>
        <c:barDir val="col"/>
        <c:grouping val="clustered"/>
        <c:varyColors val="0"/>
        <c:ser>
          <c:idx val="0"/>
          <c:order val="0"/>
          <c:tx>
            <c:strRef>
              <c:f>'[新建 XLSX 工作表.xlsx]Sheet1'!$A$85</c:f>
              <c:strCache>
                <c:ptCount val="1"/>
                <c:pt idx="0">
                  <c:v>2022年</c:v>
                </c:pt>
              </c:strCache>
            </c:strRef>
          </c:tx>
          <c:spPr>
            <a:solidFill>
              <a:schemeClr val="accent1"/>
            </a:solidFill>
            <a:ln>
              <a:noFill/>
            </a:ln>
            <a:effectLst/>
          </c:spPr>
          <c:invertIfNegative val="0"/>
          <c:dLbls>
            <c:delete val="1"/>
          </c:dLbls>
          <c:cat>
            <c:strRef>
              <c:f>'[新建 XLSX 工作表.xlsx]Sheet1'!$B$83:$C$83</c:f>
              <c:strCache>
                <c:ptCount val="2"/>
                <c:pt idx="0">
                  <c:v>财政拨款收入</c:v>
                </c:pt>
                <c:pt idx="1">
                  <c:v>财政拨款支出</c:v>
                </c:pt>
              </c:strCache>
            </c:strRef>
          </c:cat>
          <c:val>
            <c:numRef>
              <c:f>'[新建 XLSX 工作表.xlsx]Sheet1'!$B$85:$C$85</c:f>
              <c:numCache>
                <c:formatCode>General</c:formatCode>
                <c:ptCount val="2"/>
                <c:pt idx="0">
                  <c:v>2853.23</c:v>
                </c:pt>
                <c:pt idx="1">
                  <c:v>3000.59</c:v>
                </c:pt>
              </c:numCache>
            </c:numRef>
          </c:val>
        </c:ser>
        <c:ser>
          <c:idx val="1"/>
          <c:order val="1"/>
          <c:tx>
            <c:strRef>
              <c:f>'[新建 XLSX 工作表.xlsx]Sheet1'!$A$84</c:f>
              <c:strCache>
                <c:ptCount val="1"/>
                <c:pt idx="0">
                  <c:v>2021年</c:v>
                </c:pt>
              </c:strCache>
            </c:strRef>
          </c:tx>
          <c:spPr>
            <a:solidFill>
              <a:schemeClr val="accent2"/>
            </a:solidFill>
            <a:ln>
              <a:noFill/>
            </a:ln>
            <a:effectLst/>
          </c:spPr>
          <c:invertIfNegative val="0"/>
          <c:dLbls>
            <c:delete val="1"/>
          </c:dLbls>
          <c:cat>
            <c:strRef>
              <c:f>'[新建 XLSX 工作表.xlsx]Sheet1'!$B$83:$C$83</c:f>
              <c:strCache>
                <c:ptCount val="2"/>
                <c:pt idx="0">
                  <c:v>财政拨款收入</c:v>
                </c:pt>
                <c:pt idx="1">
                  <c:v>财政拨款支出</c:v>
                </c:pt>
              </c:strCache>
            </c:strRef>
          </c:cat>
          <c:val>
            <c:numRef>
              <c:f>'[新建 XLSX 工作表.xlsx]Sheet1'!$B$84:$C$84</c:f>
              <c:numCache>
                <c:formatCode>General</c:formatCode>
                <c:ptCount val="2"/>
                <c:pt idx="0">
                  <c:v>2933.73</c:v>
                </c:pt>
                <c:pt idx="1">
                  <c:v>3317.26</c:v>
                </c:pt>
              </c:numCache>
            </c:numRef>
          </c:val>
        </c:ser>
        <c:dLbls>
          <c:showLegendKey val="0"/>
          <c:showVal val="0"/>
          <c:showCatName val="0"/>
          <c:showSerName val="0"/>
          <c:showPercent val="0"/>
          <c:showBubbleSize val="0"/>
        </c:dLbls>
        <c:gapWidth val="246"/>
        <c:overlap val="-28"/>
        <c:axId val="481705062"/>
        <c:axId val="423809630"/>
      </c:barChart>
      <c:catAx>
        <c:axId val="48170506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3809630"/>
        <c:crosses val="autoZero"/>
        <c:auto val="1"/>
        <c:lblAlgn val="ctr"/>
        <c:lblOffset val="100"/>
        <c:noMultiLvlLbl val="0"/>
      </c:catAx>
      <c:valAx>
        <c:axId val="423809630"/>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170506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'[新建 XLSX 工作表.xlsx]Sheet1'!$B$104</c:f>
              <c:strCache>
                <c:ptCount val="1"/>
                <c:pt idx="0">
                  <c:v>财政拨款支出决算变动情况图</c:v>
                </c:pt>
              </c:strCache>
            </c:strRef>
          </c:tx>
          <c:spPr>
            <a:solidFill>
              <a:schemeClr val="accent1"/>
            </a:solidFill>
            <a:ln>
              <a:noFill/>
            </a:ln>
            <a:effectLst/>
          </c:spPr>
          <c:invertIfNegative val="0"/>
          <c:dLbls>
            <c:delete val="1"/>
          </c:dLbls>
          <c:cat>
            <c:strRef>
              <c:f>'[新建 XLSX 工作表.xlsx]Sheet1'!$A$105:$A$106</c:f>
              <c:strCache>
                <c:ptCount val="2"/>
                <c:pt idx="0">
                  <c:v>2021年</c:v>
                </c:pt>
                <c:pt idx="1">
                  <c:v>2022年</c:v>
                </c:pt>
              </c:strCache>
            </c:strRef>
          </c:cat>
          <c:val>
            <c:numRef>
              <c:f>'[新建 XLSX 工作表.xlsx]Sheet1'!$B$105:$B$106</c:f>
              <c:numCache>
                <c:formatCode>General</c:formatCode>
                <c:ptCount val="2"/>
                <c:pt idx="0">
                  <c:v>3317.26</c:v>
                </c:pt>
                <c:pt idx="1">
                  <c:v>3000.59</c:v>
                </c:pt>
              </c:numCache>
            </c:numRef>
          </c:val>
        </c:ser>
        <c:dLbls>
          <c:showLegendKey val="0"/>
          <c:showVal val="0"/>
          <c:showCatName val="0"/>
          <c:showSerName val="0"/>
          <c:showPercent val="0"/>
          <c:showBubbleSize val="0"/>
        </c:dLbls>
        <c:gapWidth val="246"/>
        <c:overlap val="-28"/>
        <c:axId val="376942301"/>
        <c:axId val="127595078"/>
      </c:barChart>
      <c:catAx>
        <c:axId val="37694230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7595078"/>
        <c:crosses val="autoZero"/>
        <c:auto val="1"/>
        <c:lblAlgn val="ctr"/>
        <c:lblOffset val="100"/>
        <c:noMultiLvlLbl val="0"/>
      </c:catAx>
      <c:valAx>
        <c:axId val="127595078"/>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694230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dk1">
                  <a:lumMod val="75000"/>
                  <a:lumOff val="25000"/>
                </a:schemeClr>
              </a:solidFill>
              <a:latin typeface="+mn-lt"/>
              <a:ea typeface="+mn-ea"/>
              <a:cs typeface="+mn-cs"/>
            </a:defRPr>
          </a:pPr>
        </a:p>
      </c:txPr>
    </c:title>
    <c:autoTitleDeleted val="0"/>
    <c:plotArea>
      <c:layout/>
      <c:pieChart>
        <c:varyColors val="1"/>
        <c:ser>
          <c:idx val="0"/>
          <c:order val="0"/>
          <c:tx>
            <c:strRef>
              <c:f>'[新建 XLSX 工作表.xlsx]Sheet1'!$B$117</c:f>
              <c:strCache>
                <c:ptCount val="1"/>
                <c:pt idx="0">
                  <c:v>一般公共预算财政拨款支出决算结构图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elete val="1"/>
          </c:dLbls>
          <c:cat>
            <c:strRef>
              <c:f>'[新建 XLSX 工作表.xlsx]Sheet1'!$A$118:$A$120</c:f>
              <c:strCache>
                <c:ptCount val="3"/>
                <c:pt idx="0">
                  <c:v>社会保障和就业</c:v>
                </c:pt>
                <c:pt idx="1">
                  <c:v>卫生健康支出</c:v>
                </c:pt>
                <c:pt idx="2">
                  <c:v>住房保障</c:v>
                </c:pt>
              </c:strCache>
            </c:strRef>
          </c:cat>
          <c:val>
            <c:numRef>
              <c:f>'[新建 XLSX 工作表.xlsx]Sheet1'!$B$118:$B$120</c:f>
              <c:numCache>
                <c:formatCode>General</c:formatCode>
                <c:ptCount val="3"/>
                <c:pt idx="0">
                  <c:v>329.61</c:v>
                </c:pt>
                <c:pt idx="1">
                  <c:v>2490.19</c:v>
                </c:pt>
                <c:pt idx="2">
                  <c:v>180.79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18</Pages>
  <Words>5431</Words>
  <Characters>6513</Characters>
  <Lines>44</Lines>
  <Paragraphs>12</Paragraphs>
  <TotalTime>1</TotalTime>
  <ScaleCrop>false</ScaleCrop>
  <LinksUpToDate>false</LinksUpToDate>
  <CharactersWithSpaces>6541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安</cp:lastModifiedBy>
  <cp:lastPrinted>2022-08-06T02:23:00Z</cp:lastPrinted>
  <dcterms:modified xsi:type="dcterms:W3CDTF">2023-11-03T01:58:53Z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478F881BBB8A4E85A4E84AD5509135E9_13</vt:lpwstr>
  </property>
</Properties>
</file>