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distribute"/>
        <w:rPr>
          <w:rFonts w:hint="eastAsia" w:ascii="BZDBT" w:eastAsia="BZDBT"/>
          <w:b/>
          <w:color w:val="FF0000"/>
          <w:w w:val="70"/>
          <w:sz w:val="36"/>
          <w:szCs w:val="36"/>
        </w:rPr>
      </w:pPr>
      <w:r>
        <w:rPr>
          <w:rFonts w:hint="eastAsia" w:ascii="BZDBT" w:eastAsia="BZDBT"/>
          <w:b/>
          <w:color w:val="FF0000"/>
          <w:w w:val="70"/>
          <w:sz w:val="36"/>
          <w:szCs w:val="36"/>
        </w:rPr>
        <w:t>︶︹﹀﹀ 谍爸︽底稗︽稻爸︽</w:t>
      </w:r>
      <w:r>
        <w:rPr>
          <w:rFonts w:hint="eastAsia" w:ascii="BZDBT" w:hAnsi="新宋体" w:eastAsia="BZDBT"/>
          <w:b/>
          <w:color w:val="FF0000"/>
          <w:w w:val="70"/>
          <w:sz w:val="36"/>
          <w:szCs w:val="36"/>
        </w:rPr>
        <w:t>瘩︽搬︽</w:t>
      </w:r>
      <w:r>
        <w:rPr>
          <w:rFonts w:hint="eastAsia" w:ascii="BZDBT" w:eastAsia="BZDBT"/>
          <w:b/>
          <w:color w:val="FF0000"/>
          <w:w w:val="70"/>
          <w:sz w:val="36"/>
          <w:szCs w:val="36"/>
        </w:rPr>
        <w:t>嫡办︽档敌︽脆︽拜扳爸邦︽刁拜︽罢的爸︽编︽翟罢︽柏﹀</w:t>
      </w:r>
    </w:p>
    <w:p>
      <w:pPr>
        <w:spacing w:line="1360" w:lineRule="exact"/>
        <w:jc w:val="distribute"/>
        <w:rPr>
          <w:rFonts w:hint="eastAsia" w:ascii="方正小标宋简体" w:hAnsi="华文中宋" w:eastAsia="方正小标宋简体"/>
          <w:color w:val="FF0000"/>
          <w:w w:val="50"/>
          <w:sz w:val="130"/>
          <w:szCs w:val="130"/>
        </w:rPr>
      </w:pPr>
      <w:r>
        <w:rPr>
          <w:rFonts w:hint="eastAsia" w:ascii="方正小标宋简体" w:hAnsi="华文中宋" w:eastAsia="方正小标宋简体"/>
          <w:color w:val="FF0000"/>
          <w:w w:val="50"/>
          <w:sz w:val="130"/>
          <w:szCs w:val="130"/>
        </w:rPr>
        <w:t>红原县麦洼乡人民政府文件</w:t>
      </w:r>
    </w:p>
    <w:p>
      <w:pPr>
        <w:pStyle w:val="17"/>
        <w:spacing w:line="560" w:lineRule="exact"/>
        <w:jc w:val="both"/>
        <w:rPr>
          <w:rFonts w:hint="eastAsia" w:ascii="BZDHT" w:hAnsi="Calibri" w:eastAsia="BZDHT"/>
          <w:w w:val="90"/>
          <w:sz w:val="32"/>
          <w:szCs w:val="32"/>
        </w:rPr>
      </w:pPr>
    </w:p>
    <w:p>
      <w:p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376555</wp:posOffset>
                </wp:positionV>
                <wp:extent cx="5624830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4830" cy="12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5pt;height:0.1pt;width:442.9pt;z-index:251659264;mso-width-relative:page;mso-height-relative:page;" filled="f" stroked="t" coordsize="21600,21600" o:gfxdata="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11vWfWAAAABgEAAA8AAAAAAAAAAQAgAAAAIgAAAGRy&#10;cy9kb3ducmV2LnhtbFBLAQIUABQAAAAIAIdO4kD+I4zfBwIAAAAEAAAOAAAAAAAAAAEAIAAAACUB&#10;AABkcnMvZTJvRG9jLnhtbFBLBQYAAAAABgAGAFkBAACe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红麦府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签发人：旦真扎西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76" w:lineRule="exact"/>
        <w:contextualSpacing/>
        <w:jc w:val="both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76" w:lineRule="exact"/>
        <w:ind w:firstLine="880" w:firstLineChars="200"/>
        <w:contextualSpacing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红原县麦洼乡人民政府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76" w:lineRule="exact"/>
        <w:ind w:firstLine="880" w:firstLineChars="200"/>
        <w:contextualSpacing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022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部门整体支出绩效评价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76" w:lineRule="exact"/>
        <w:ind w:firstLine="880" w:firstLineChars="200"/>
        <w:contextualSpacing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  <w:t>自评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报告</w:t>
      </w:r>
    </w:p>
    <w:p>
      <w:pPr>
        <w:pStyle w:val="2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一、</w:t>
      </w: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  <w:lang w:val="zh-CN"/>
        </w:rPr>
        <w:t>部门（单位）概况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（一）机构组成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/>
          <w:kern w:val="2"/>
          <w:sz w:val="32"/>
          <w:szCs w:val="32"/>
        </w:rPr>
        <w:t>红原县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麦洼乡</w:t>
      </w:r>
      <w:r>
        <w:rPr>
          <w:rFonts w:hint="eastAsia" w:ascii="仿宋_GB2312" w:eastAsia="仿宋_GB2312" w:cs="仿宋_GB2312"/>
          <w:kern w:val="2"/>
          <w:sz w:val="32"/>
          <w:szCs w:val="32"/>
        </w:rPr>
        <w:t>人民政府是行政单位，执行行政单位会计制度，我单位下属二级决算单位0个，其中行政单位0个，参照公务员法管理的事业单位0个，其他事业单位0个。是独立核算的机构，是独立编报决算的单位。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麦洼乡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下辖2个行政村</w:t>
      </w:r>
      <w:r>
        <w:rPr>
          <w:rFonts w:hint="eastAsia" w:ascii="仿宋_GB2312" w:eastAsia="仿宋_GB2312" w:cs="仿宋_GB2312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（二）机构职能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落实国家政策，严格依法行政，发挥经济管理职能，加强政策引导，制定发展规划，服务市场主体和营造发展环境，搞好市场监管，大力促进社会事业发展，发展镇村经济、文化和社会事业，提供公共服务，维护社会稳定，构建社会主义和谐社会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1、宣传、实施上级主管部门以及相关单位的有关政策;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2、执行本行政区域内的经济和社会发展计划、预算、管理本行政区域内的经济、教育、科学、文化、卫生、体育事业和财政、民政、公安、司法行政、计划生育等行政工作;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3、保护各种经济组织的合法权益;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4、保障少数民族的权利和尊重少数民族的风俗习惯;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5、保护社会主义的全民所有的财产和劳动群众集体所有的财产，保护公民私人所有的合法财产，维护社会秩序，保障公民的人身权利、民主权利和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fldChar w:fldCharType="begin"/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instrText xml:space="preserve"> HYPERLINK "http://www.oh100.com/qita/" </w:instrTex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fldChar w:fldCharType="separate"/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其他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权利;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3" w:firstLineChars="200"/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/>
        </w:rPr>
        <w:t>（三）人员概况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全乡总编制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名，其中：行政编制：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名，事业编制：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名，行政工勤编制：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名。有编在岗人员总数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名，其中：行政人员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名，事业人员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名，行政工勤人员1名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退休人员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。麦洼乡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下辖2个行政村，2名一肩挑，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名村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副主任，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2名村支部副书记，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2名村会计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2名村纪检委员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二、部门财政资金收支情况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（一）部门财政资金收入情况</w:t>
      </w:r>
    </w:p>
    <w:p>
      <w:pPr>
        <w:pStyle w:val="18"/>
        <w:widowControl/>
        <w:autoSpaceDE w:val="0"/>
        <w:spacing w:before="100" w:after="100" w:line="560" w:lineRule="exact"/>
        <w:ind w:left="0" w:firstLine="640" w:firstLineChars="200"/>
        <w:jc w:val="left"/>
        <w:rPr>
          <w:rFonts w:hint="default" w:ascii="仿宋_GB2312" w:hAnsi="Times New Roman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sz w:val="32"/>
          <w:szCs w:val="32"/>
        </w:rPr>
        <w:t xml:space="preserve"> 本单位本年度总收入为1,258.71万元。其中：一般公共预算财政拨款收入为1,169.87万元，占比92.94%；其他收入为88.84万元，占比7.06%。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其中：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-SA"/>
        </w:rPr>
        <w:t>一般公共服务：收入783.56万元，完成预算100%；文化旅游体育与传媒支出:收入5万元，完成预算100%；社会保障和就业：收入116.30万元，完成预算100%；卫生健康：收入45.85万元，完成预算100%。；城乡社区：收入7.88万元，完成预算100%；农林水：收入240.67万元，完成预算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（二）部门财政资金支出情况</w:t>
      </w:r>
    </w:p>
    <w:p>
      <w:pPr>
        <w:pStyle w:val="8"/>
        <w:keepNext w:val="0"/>
        <w:keepLines w:val="0"/>
        <w:widowControl/>
        <w:suppressLineNumbers w:val="0"/>
        <w:spacing w:before="100" w:after="100" w:line="560" w:lineRule="exact"/>
        <w:ind w:firstLine="640" w:firstLineChars="200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本年度总支出为1,258.71万元。其中：一般公共服务支出为783.56万元，占比62.25%；文化旅游体育与传媒支出为5.00万元，占比0.40%；社会保障和就业支出为116.30万元，占比9.24%；卫生健康支出为45.85万元，占比3.64%；城乡社区支出为7.88万元，占比0.63%；农林水支出为240.67万元，占比19.12%；住房保障支出为59.47万元，占比4.72%</w:t>
      </w:r>
      <w:r>
        <w:rPr>
          <w:rFonts w:ascii="仿宋_GB2312" w:eastAsia="仿宋_GB2312" w:cs="宋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三、部门整体预算绩效管理情况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（一）部门预算管理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我乡严格按照相关编制要求、编制程序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及时组织财务人员进行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部门预算编制。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对本年度预算款项进行及时清理和处理，做到账账相符、账实相符、账证相符,按先有预算再有支出的原则，及时处理相关事务；对绩效目标进行梳理和分析，及时上报相关报表；对专项预算提前细化，分科目上报，做到收支平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（二）结果应用情况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spacing w:before="105" w:beforeAutospacing="0" w:after="105" w:afterAutospacing="0" w:line="576" w:lineRule="exact"/>
        <w:ind w:left="0" w:firstLine="643" w:firstLineChars="200"/>
        <w:rPr>
          <w:rFonts w:hint="eastAsia" w:ascii="仿宋_GB2312" w:hAnsi="Calibri" w:eastAsia="仿宋_GB2312" w:cs="Times New Roman"/>
          <w:bCs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Calibri" w:cs="Times New Roman"/>
          <w:b/>
          <w:bCs w:val="0"/>
          <w:color w:val="000000"/>
          <w:kern w:val="0"/>
          <w:sz w:val="32"/>
          <w:szCs w:val="32"/>
          <w:lang w:val="zh-CN" w:eastAsia="zh-CN" w:bidi="ar-SA"/>
        </w:rPr>
        <w:t>信息</w:t>
      </w:r>
      <w:r>
        <w:rPr>
          <w:rFonts w:hint="eastAsia" w:ascii="仿宋_GB2312" w:hAnsi="Calibri" w:eastAsia="仿宋_GB2312" w:cs="Times New Roman"/>
          <w:b/>
          <w:bCs w:val="0"/>
          <w:color w:val="000000"/>
          <w:kern w:val="0"/>
          <w:sz w:val="32"/>
          <w:szCs w:val="32"/>
          <w:lang w:val="zh-CN" w:eastAsia="zh-CN" w:bidi="ar-SA"/>
        </w:rPr>
        <w:t>公开：</w:t>
      </w:r>
      <w:r>
        <w:rPr>
          <w:rFonts w:hint="eastAsia" w:ascii="仿宋_GB2312" w:hAnsi="Calibri" w:eastAsia="仿宋_GB2312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根据县政府相关工作要求，及时依法在政府官方网站对“三公经费”及预算、决算</w:t>
      </w:r>
      <w:r>
        <w:rPr>
          <w:rFonts w:hint="eastAsia" w:ascii="仿宋_GB2312" w:hAnsi="Calibri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信息</w:t>
      </w:r>
      <w:r>
        <w:rPr>
          <w:rFonts w:hint="eastAsia" w:ascii="仿宋_GB2312" w:hAnsi="Calibri" w:eastAsia="仿宋_GB2312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进行公示，授受社会的监督</w:t>
      </w:r>
      <w:r>
        <w:rPr>
          <w:rFonts w:hint="eastAsia" w:ascii="仿宋_GB2312" w:hAnsi="Calibri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。</w:t>
      </w:r>
    </w:p>
    <w:p>
      <w:pPr>
        <w:spacing w:line="560" w:lineRule="exact"/>
        <w:ind w:firstLine="643" w:firstLineChars="200"/>
        <w:rPr>
          <w:rFonts w:ascii="仿宋_GB2312" w:hAnsi="宋体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  <w:t>内部管理制度建设情况：</w:t>
      </w:r>
      <w:r>
        <w:rPr>
          <w:rFonts w:hint="eastAsia" w:ascii="仿宋_GB2312" w:hAnsi="宋体"/>
          <w:lang w:val="zh-CN"/>
        </w:rPr>
        <w:t>根据本单位工作实际，在建立并实施内部监督和控制制度过程中，建立和完善各项制度的同时，相关人员在工作过程中严格遵守这些规章制度，有效地实施了内部监督和控制，保证了会计工作的真实性、完整性以及单位财产的安全，加强了对本单位财产物资的监督和管理，杜绝了各种漏洞的发生，达到了以下四点要求：</w:t>
      </w:r>
    </w:p>
    <w:p>
      <w:pPr>
        <w:spacing w:line="560" w:lineRule="exact"/>
        <w:ind w:firstLine="640" w:firstLineChars="20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1、明确了记账人员与审批人员、经办人员的职责权限，使其相互分离、相互制约，以明确责任，防止舞弊，各项业务事项得以有序进行。</w:t>
      </w:r>
    </w:p>
    <w:p>
      <w:pPr>
        <w:spacing w:line="560" w:lineRule="exact"/>
        <w:ind w:firstLine="640" w:firstLineChars="20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2、明确了财务收支审批程序和审批人的权限和责任，规范了各项资金的使用，提高了资金使用效益。</w:t>
      </w:r>
    </w:p>
    <w:p>
      <w:pPr>
        <w:spacing w:line="560" w:lineRule="exact"/>
        <w:ind w:firstLine="640" w:firstLineChars="20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3、明确经费支出的范围和开支标准，采取各种有效措施控制经费开支，杜绝了浪费现象的发生。</w:t>
      </w:r>
    </w:p>
    <w:p>
      <w:pPr>
        <w:spacing w:line="56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4、明确账务处理程序，根据机关事业单位会计制度的规定，确定单位会计科目和明细科目的设置和使用范围；确定本单位会计凭证格式、填制要求、审核要求、传递程序、保管要求等；确定本单位的总账、明细账、银行存款日记账、各种辅助账等的设置、格式、登记、对账、结算、改错等要求，确保会计核算准确无误。</w:t>
      </w:r>
    </w:p>
    <w:p>
      <w:pPr>
        <w:spacing w:line="560" w:lineRule="exact"/>
        <w:ind w:firstLine="643" w:firstLineChars="200"/>
        <w:rPr>
          <w:rFonts w:hint="eastAsia"/>
          <w:lang w:val="zh-CN" w:eastAsia="zh-CN"/>
        </w:rPr>
      </w:pPr>
      <w:r>
        <w:rPr>
          <w:rFonts w:hint="eastAsia" w:ascii="仿宋_GB2312" w:hAnsi="宋体"/>
          <w:b/>
          <w:bCs/>
          <w:lang w:val="zh-CN"/>
        </w:rPr>
        <w:t>财务财政监督情况：</w:t>
      </w:r>
      <w:r>
        <w:rPr>
          <w:rFonts w:hint="eastAsia" w:ascii="仿宋_GB2312" w:hAnsi="宋体"/>
          <w:lang w:val="zh-CN"/>
        </w:rPr>
        <w:t>执行国家有关财务法律法规的同时，建立健全内部财务管理制度，按照党风廉政建设的要求，全体干部职工廉洁奉公、忠于职守。禁止利用职权和职务上的便利谋取不正当的利益。制定了相关规章制度，加强了项目资金的管理和监督，杜绝违规违法事件的发生。本着勤俭节约原则，管理好用好每笔资金。财务活动接受审计、财政、纪检监察等部门的监督检查，无存在违规进行资产购置，擅自处置财产、对外投资，财政票据管理、使用不规范等问题，按照规定保管会计档案，并建立完善的内部控制制度和监督制度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3" w:firstLineChars="200"/>
        <w:rPr>
          <w:rFonts w:hint="eastAsia" w:ascii="仿宋_GB2312" w:hAnsi="Times New Roman" w:eastAsia="仿宋_GB2312" w:cs="宋体"/>
          <w:sz w:val="32"/>
          <w:szCs w:val="32"/>
          <w:lang w:val="zh-CN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  <w:t>绩效评价：</w:t>
      </w:r>
      <w:r>
        <w:rPr>
          <w:rFonts w:hint="eastAsia" w:ascii="仿宋_GB2312" w:hAnsi="Times New Roman" w:eastAsia="仿宋_GB2312" w:cs="宋体"/>
          <w:sz w:val="32"/>
          <w:szCs w:val="32"/>
          <w:lang w:val="zh-CN" w:eastAsia="zh-CN"/>
        </w:rPr>
        <w:t>根据绩效评价的要求，我们成立了自评工作领导小组，对照自评方案进行研究和布署，按照自评方案的要求，对照各实施项目的内容逐条逐项自评。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720" w:firstLineChars="200"/>
        <w:jc w:val="left"/>
        <w:rPr>
          <w:rFonts w:hint="eastAsia" w:ascii="黑体" w:hAnsi="宋体" w:eastAsia="黑体" w:cs="宋体"/>
          <w:b w:val="0"/>
          <w:bCs w:val="0"/>
          <w:color w:val="000000"/>
          <w:kern w:val="0"/>
          <w:sz w:val="36"/>
          <w:szCs w:val="28"/>
        </w:rPr>
      </w:pPr>
      <w:r>
        <w:rPr>
          <w:rFonts w:hint="eastAsia" w:ascii="黑体" w:hAnsi="宋体" w:eastAsia="黑体" w:cs="宋体"/>
          <w:b w:val="0"/>
          <w:bCs w:val="0"/>
          <w:color w:val="000000"/>
          <w:kern w:val="0"/>
          <w:sz w:val="36"/>
          <w:szCs w:val="28"/>
        </w:rPr>
        <w:t>四、评价结论及建议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left"/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b/>
          <w:bCs/>
          <w:color w:val="000000"/>
          <w:kern w:val="0"/>
          <w:szCs w:val="32"/>
          <w:shd w:val="clear" w:color="auto" w:fill="FFFFFF"/>
          <w:lang w:val="zh-CN"/>
        </w:rPr>
        <w:t>（一）评价结论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在自评过程发现问题，查找原因，及时纠正偏差，为下一步工作夯实基础。我</w:t>
      </w:r>
      <w:r>
        <w:rPr>
          <w:rFonts w:hint="eastAsia" w:ascii="仿宋_GB2312" w:cs="仿宋_GB2312"/>
          <w:kern w:val="2"/>
          <w:sz w:val="32"/>
          <w:szCs w:val="32"/>
          <w:lang w:val="zh-CN" w:eastAsia="zh-CN"/>
        </w:rPr>
        <w:t>乡</w:t>
      </w:r>
      <w:r>
        <w:rPr>
          <w:rFonts w:hint="eastAsia" w:ascii="仿宋_GB2312" w:cs="仿宋_GB2312"/>
          <w:kern w:val="2"/>
          <w:sz w:val="32"/>
          <w:szCs w:val="32"/>
          <w:lang w:val="en-US" w:eastAsia="zh-CN"/>
        </w:rPr>
        <w:t>自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评得分</w:t>
      </w:r>
      <w:r>
        <w:rPr>
          <w:rFonts w:hint="eastAsia" w:ascii="仿宋_GB2312" w:cs="仿宋_GB2312"/>
          <w:kern w:val="2"/>
          <w:sz w:val="32"/>
          <w:szCs w:val="32"/>
          <w:lang w:val="en-US" w:eastAsia="zh-CN"/>
        </w:rPr>
        <w:t>92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分，整体评价良好，预算收入和支出相符。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3" w:firstLineChars="200"/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  <w:t>（二）存在问题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76" w:lineRule="exact"/>
        <w:ind w:firstLine="643" w:firstLineChars="200"/>
        <w:jc w:val="left"/>
        <w:outlineLvl w:val="1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cs="仿宋_GB2312"/>
          <w:b/>
          <w:bCs/>
          <w:kern w:val="2"/>
          <w:sz w:val="32"/>
          <w:szCs w:val="32"/>
          <w:lang w:val="zh-CN" w:eastAsia="zh-CN"/>
        </w:rPr>
        <w:t>一是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未建立完善的绩效评价指标体系，部分项目无指标或指标不明确</w:t>
      </w:r>
      <w:r>
        <w:rPr>
          <w:rFonts w:hint="eastAsia" w:ascii="仿宋_GB2312" w:cs="仿宋_GB2312"/>
          <w:kern w:val="2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  <w:t>二是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绩效目标设立不够明确、细化和量化。</w:t>
      </w:r>
      <w:r>
        <w:rPr>
          <w:rFonts w:hint="eastAsia" w:ascii="仿宋_GB2312" w:hAnsi="Times New Roman" w:cs="仿宋_GB2312"/>
          <w:b/>
          <w:bCs/>
          <w:kern w:val="2"/>
          <w:sz w:val="32"/>
          <w:szCs w:val="32"/>
          <w:lang w:val="en-US" w:eastAsia="zh-CN"/>
        </w:rPr>
        <w:t>三是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项目绩效信息公开未能和预算、决算公开同步执行。</w:t>
      </w: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en-US" w:eastAsia="zh-CN"/>
        </w:rPr>
        <w:t>四是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固定资产录入系统不及时，未定期清查盘点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3" w:firstLineChars="200"/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  <w:t>（三）改进建议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firstLine="643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</w:pPr>
      <w:r>
        <w:rPr>
          <w:rFonts w:hint="eastAsia" w:ascii="仿宋_GB2312" w:cs="仿宋_GB2312"/>
          <w:b/>
          <w:bCs/>
          <w:kern w:val="2"/>
          <w:sz w:val="32"/>
          <w:szCs w:val="32"/>
          <w:lang w:val="zh-CN" w:eastAsia="zh-CN"/>
        </w:rPr>
        <w:t>一</w:t>
      </w: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  <w:t>是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进一步规范绩效目标编制。在编制项目资金绩效目标时要求指向明确、细化量化、合理可行、相应匹配。</w:t>
      </w:r>
      <w:r>
        <w:rPr>
          <w:rFonts w:hint="eastAsia" w:ascii="仿宋_GB2312" w:cs="仿宋_GB2312"/>
          <w:b/>
          <w:bCs/>
          <w:kern w:val="2"/>
          <w:sz w:val="32"/>
          <w:szCs w:val="32"/>
          <w:lang w:val="zh-CN" w:eastAsia="zh-CN"/>
        </w:rPr>
        <w:t>二</w:t>
      </w: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zh-CN" w:eastAsia="zh-CN"/>
        </w:rPr>
        <w:t>是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不断加强新《预算法》、《行政单位会计制度》等学习培训，规范部门预算收支核算，制定和完善基本支出、项目支出等各项支出标准，严格按项目和进度执行预算，增强预算的约束力和严肃性。落实预算执行分析，及时了解预算执行差异，合理调整、纠正预算执行偏差，切实提高部门预算收支管理水平。</w:t>
      </w:r>
      <w:r>
        <w:rPr>
          <w:rFonts w:hint="eastAsia" w:ascii="仿宋_GB2312" w:hAnsi="Times New Roman" w:cs="仿宋_GB2312"/>
          <w:b/>
          <w:bCs/>
          <w:kern w:val="2"/>
          <w:sz w:val="32"/>
          <w:szCs w:val="32"/>
          <w:lang w:val="en-US" w:eastAsia="zh-CN"/>
        </w:rPr>
        <w:t>三是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进一步完善绩效信息公开的及时性。</w:t>
      </w:r>
      <w:r>
        <w:rPr>
          <w:rFonts w:hint="eastAsia" w:ascii="仿宋_GB2312" w:hAnsi="Times New Roman" w:cs="仿宋_GB2312"/>
          <w:b/>
          <w:bCs/>
          <w:kern w:val="2"/>
          <w:sz w:val="32"/>
          <w:szCs w:val="32"/>
          <w:lang w:val="en-US" w:eastAsia="zh-CN"/>
        </w:rPr>
        <w:t>四是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加强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单位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固定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资产管理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由办公室总负责，使用人具体负责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日常使用和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管理，财务室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负责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资产信息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的录入、盘点、报损等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，</w:t>
      </w:r>
      <w:r>
        <w:rPr>
          <w:rFonts w:hint="eastAsia" w:ascii="仿宋_GB2312" w:hAnsi="Times New Roman" w:cs="仿宋_GB2312"/>
          <w:kern w:val="2"/>
          <w:sz w:val="32"/>
          <w:szCs w:val="32"/>
          <w:lang w:val="en-US" w:eastAsia="zh-CN"/>
        </w:rPr>
        <w:t>按要求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  <w:t>每年对单位资产进行一次集中清理，对不能使用的资产及时报相关部门进行报废处理。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zh-CN" w:eastAsia="zh-CN"/>
        </w:rPr>
      </w:pP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Autospacing="0" w:afterAutospacing="0" w:line="576" w:lineRule="exact"/>
        <w:ind w:firstLine="640" w:firstLineChars="200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红原县麦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洼乡人民政府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/>
        <w:jc w:val="righ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202</w:t>
      </w:r>
      <w:r>
        <w:rPr>
          <w:rFonts w:hint="eastAsia" w:ascii="仿宋_GB2312" w:hAnsi="仿宋_GB2312" w:cs="仿宋_GB2312"/>
          <w:sz w:val="31"/>
          <w:szCs w:val="3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年</w:t>
      </w:r>
      <w:r>
        <w:rPr>
          <w:rFonts w:hint="eastAsia" w:ascii="仿宋_GB2312" w:hAnsi="仿宋_GB2312" w:cs="仿宋_GB2312"/>
          <w:sz w:val="31"/>
          <w:szCs w:val="3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月</w:t>
      </w:r>
      <w:r>
        <w:rPr>
          <w:rFonts w:hint="eastAsia" w:ascii="仿宋_GB2312" w:hAnsi="仿宋_GB2312" w:cs="仿宋_GB2312"/>
          <w:sz w:val="31"/>
          <w:szCs w:val="31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日</w:t>
      </w:r>
    </w:p>
    <w:p>
      <w:pPr>
        <w:pStyle w:val="2"/>
        <w:rPr>
          <w:rFonts w:hint="eastAsia"/>
          <w:lang w:val="en-US" w:eastAsia="zh-CN"/>
        </w:rPr>
      </w:pP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lang w:val="en-US" w:eastAsia="zh-CN"/>
        </w:rPr>
      </w:pP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210185</wp:posOffset>
                </wp:positionV>
                <wp:extent cx="5659120" cy="23495"/>
                <wp:effectExtent l="0" t="7620" r="17780" b="2603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9120" cy="2349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2pt;margin-top:16.55pt;height:1.85pt;width:445.6pt;z-index:251661312;mso-width-relative:page;mso-height-relative:page;" filled="f" stroked="t" coordsize="21600,21600" o:gfxdata="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+biWJ2AAAAAgBAAAPAAAAAAAAAAEAIAAAACIAAABkcnMvZG93bnJl&#10;di54bWxQSwECFAAUAAAACACHTuJA7L3oo/0BAAD3AwAADgAAAAAAAAABACAAAAAnAQAAZHJzL2Uy&#10;b0RvYy54bWxQSwUGAAAAAAYABgBZAQAAl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261620</wp:posOffset>
                </wp:positionV>
                <wp:extent cx="5631180" cy="698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180" cy="698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7pt;margin-top:20.6pt;height:0.55pt;width:443.4pt;z-index:251660288;mso-width-relative:page;mso-height-relative:page;" filled="f" stroked="t" coordsize="21600,21600" o:gfxdata="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HUFENgAAAAIAQAADwAAAAAAAAABACAAAAAiAAAAZHJzL2Rvd25yZXYu&#10;eG1sUEsBAhQAFAAAAAgAh07iQHY592H7AQAA9gMAAA4AAAAAAAAAAQAgAAAAJwEAAGRycy9lMm9E&#10;b2MueG1sUEsFBgAAAAAGAAYAWQEAAJQ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红原县麦洼乡人民政府       </w:t>
      </w:r>
      <w:r>
        <w:rPr>
          <w:rFonts w:hint="eastAsia" w:ascii="仿宋_GB2312" w:hAnsi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202</w:t>
      </w:r>
      <w:r>
        <w:rPr>
          <w:rFonts w:hint="eastAsia" w:ascii="仿宋_GB2312" w:hAnsi="仿宋_GB2312" w:cs="仿宋_GB2312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日印</w:t>
      </w:r>
    </w:p>
    <w:sectPr>
      <w:headerReference r:id="rId3" w:type="default"/>
      <w:footerReference r:id="rId4" w:type="even"/>
      <w:pgSz w:w="11906" w:h="16838"/>
      <w:pgMar w:top="2041" w:right="1474" w:bottom="1588" w:left="1474" w:header="851" w:footer="992" w:gutter="0"/>
      <w:pgNumType w:fmt="numberInDash" w:start="12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ZDBT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ZDHT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5"/>
      <w:tabs>
        <w:tab w:val="right" w:pos="9184"/>
        <w:tab w:val="clear" w:pos="4153"/>
        <w:tab w:val="clear" w:pos="8306"/>
      </w:tabs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ODRlNDY0YzQ2YTA3NTI4OTQ2MDFlMTA5NmQ3ZGUifQ=="/>
  </w:docVars>
  <w:rsids>
    <w:rsidRoot w:val="00000000"/>
    <w:rsid w:val="1A071E99"/>
    <w:rsid w:val="429356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Document Map"/>
    <w:basedOn w:val="1"/>
    <w:link w:val="15"/>
    <w:qFormat/>
    <w:uiPriority w:val="0"/>
    <w:rPr>
      <w:rFonts w:ascii="宋体" w:eastAsia="宋体"/>
      <w:sz w:val="18"/>
      <w:szCs w:val="18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7">
    <w:name w:val="toc 2"/>
    <w:basedOn w:val="1"/>
    <w:next w:val="1"/>
    <w:qFormat/>
    <w:uiPriority w:val="0"/>
    <w:pPr>
      <w:ind w:left="420"/>
    </w:p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四号正文"/>
    <w:basedOn w:val="1"/>
    <w:link w:val="14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paragraph" w:customStyle="1" w:styleId="13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4">
    <w:name w:val="四号正文 Char"/>
    <w:basedOn w:val="10"/>
    <w:link w:val="12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5">
    <w:name w:val="文档结构图 Char"/>
    <w:basedOn w:val="10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7">
    <w:name w:val="目录 2{858D7CFB-ED40-4347-BF05-701D383B685F}{858D7CFB-ED40-4347-BF05-701D383B685F}{858D7CFB-ED40-4347-BF05-701D383B685F}"/>
    <w:basedOn w:val="1"/>
    <w:next w:val="1"/>
    <w:qFormat/>
    <w:uiPriority w:val="0"/>
    <w:pPr>
      <w:spacing w:line="737" w:lineRule="atLeast"/>
      <w:jc w:val="center"/>
    </w:pPr>
    <w:rPr>
      <w:rFonts w:ascii="黑体" w:hAnsi="黑体" w:eastAsia="黑体"/>
      <w:sz w:val="36"/>
      <w:szCs w:val="20"/>
    </w:rPr>
  </w:style>
  <w:style w:type="paragraph" w:customStyle="1" w:styleId="18">
    <w:name w:val="普通(网站) Char"/>
    <w:next w:val="7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2512</Words>
  <Characters>2667</Characters>
  <Lines>1</Lines>
  <Paragraphs>1</Paragraphs>
  <TotalTime>11</TotalTime>
  <ScaleCrop>false</ScaleCrop>
  <LinksUpToDate>false</LinksUpToDate>
  <CharactersWithSpaces>2701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2019-05-14T03:06:00Z</dcterms:created>
  <dc:creator>陈萍</dc:creator>
  <cp:lastModifiedBy>渊然而静</cp:lastModifiedBy>
  <cp:lastPrinted>2019-05-23T02:35:00Z</cp:lastPrinted>
  <dcterms:modified xsi:type="dcterms:W3CDTF">2023-06-14T03:10:56Z</dcterms:modified>
  <dc:title>区域性就业培训基地建设项目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5A41A585182B43478989F62E8B12705A_13</vt:lpwstr>
  </property>
</Properties>
</file>