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0" w:beforeAutospacing="0"/>
        <w:jc w:val="center"/>
        <w:rPr>
          <w:sz w:val="42"/>
          <w:szCs w:val="42"/>
          <w:shd w:val="clear" w:color="auto" w:fill="FFFFFF"/>
        </w:rPr>
      </w:pPr>
    </w:p>
    <w:p>
      <w:pPr>
        <w:pStyle w:val="11"/>
        <w:keepNext w:val="0"/>
        <w:keepLines w:val="0"/>
        <w:widowControl/>
        <w:suppressLineNumbers w:val="0"/>
        <w:spacing w:before="0" w:beforeAutospacing="0"/>
        <w:ind w:firstLine="480" w:firstLineChars="200"/>
        <w:jc w:val="center"/>
        <w:rPr>
          <w:sz w:val="24"/>
          <w:szCs w:val="24"/>
          <w:shd w:val="clear" w:color="auto" w:fill="FFFFFF"/>
        </w:rPr>
      </w:pPr>
      <w:r>
        <w:rPr>
          <w:sz w:val="24"/>
          <w:szCs w:val="24"/>
          <w:shd w:val="clear" w:color="auto" w:fill="FFFFFF"/>
        </w:rPr>
        <w:t>202</w:t>
      </w:r>
      <w:r>
        <w:rPr>
          <w:rFonts w:hint="eastAsia"/>
          <w:sz w:val="24"/>
          <w:szCs w:val="24"/>
          <w:shd w:val="clear" w:color="auto" w:fill="FFFFFF"/>
          <w:lang w:val="en-US" w:eastAsia="zh-CN"/>
        </w:rPr>
        <w:t>2</w:t>
      </w:r>
      <w:r>
        <w:rPr>
          <w:sz w:val="24"/>
          <w:szCs w:val="24"/>
          <w:shd w:val="clear" w:color="auto" w:fill="FFFFFF"/>
        </w:rPr>
        <w:t>年度</w:t>
      </w:r>
    </w:p>
    <w:p>
      <w:pPr>
        <w:pStyle w:val="11"/>
        <w:keepNext w:val="0"/>
        <w:keepLines w:val="0"/>
        <w:widowControl/>
        <w:suppressLineNumbers w:val="0"/>
        <w:spacing w:before="0" w:beforeAutospacing="0"/>
        <w:ind w:firstLine="480" w:firstLineChars="200"/>
        <w:jc w:val="center"/>
        <w:rPr>
          <w:rFonts w:hint="eastAsia"/>
          <w:sz w:val="24"/>
          <w:szCs w:val="24"/>
          <w:shd w:val="clear" w:color="auto" w:fill="FFFFFF"/>
        </w:rPr>
      </w:pPr>
      <w:r>
        <w:rPr>
          <w:sz w:val="24"/>
          <w:szCs w:val="24"/>
          <w:shd w:val="clear" w:color="auto" w:fill="FFFFFF"/>
        </w:rPr>
        <w:t>阿坝州红原县卫生</w:t>
      </w:r>
      <w:r>
        <w:rPr>
          <w:rFonts w:hint="eastAsia"/>
          <w:sz w:val="24"/>
          <w:szCs w:val="24"/>
          <w:shd w:val="clear" w:color="auto" w:fill="FFFFFF"/>
        </w:rPr>
        <w:t>健康</w:t>
      </w:r>
      <w:r>
        <w:rPr>
          <w:sz w:val="24"/>
          <w:szCs w:val="24"/>
          <w:shd w:val="clear" w:color="auto" w:fill="FFFFFF"/>
        </w:rPr>
        <w:t>局(本级）</w:t>
      </w:r>
    </w:p>
    <w:p>
      <w:pPr>
        <w:pStyle w:val="11"/>
        <w:keepNext w:val="0"/>
        <w:keepLines w:val="0"/>
        <w:widowControl/>
        <w:suppressLineNumbers w:val="0"/>
        <w:spacing w:before="0" w:beforeAutospacing="0"/>
        <w:ind w:firstLine="480" w:firstLineChars="200"/>
        <w:jc w:val="center"/>
        <w:rPr>
          <w:rFonts w:hint="eastAsia"/>
          <w:sz w:val="24"/>
          <w:szCs w:val="24"/>
          <w:shd w:val="clear" w:color="auto" w:fill="FFFFFF"/>
        </w:rPr>
      </w:pPr>
      <w:r>
        <w:rPr>
          <w:sz w:val="24"/>
          <w:szCs w:val="24"/>
          <w:shd w:val="clear" w:color="auto" w:fill="FFFFFF"/>
        </w:rPr>
        <w:t>单位决算</w:t>
      </w:r>
      <w:r>
        <w:rPr>
          <w:rFonts w:hint="eastAsia"/>
          <w:sz w:val="24"/>
          <w:szCs w:val="24"/>
          <w:shd w:val="clear" w:color="auto" w:fill="FFFFFF"/>
        </w:rPr>
        <w:t>公开编制说明</w:t>
      </w:r>
    </w:p>
    <w:p>
      <w:pPr>
        <w:pStyle w:val="11"/>
        <w:keepNext w:val="0"/>
        <w:keepLines w:val="0"/>
        <w:widowControl/>
        <w:suppressLineNumbers w:val="0"/>
        <w:spacing w:before="0" w:beforeAutospacing="0"/>
        <w:ind w:left="0"/>
        <w:jc w:val="center"/>
      </w:pP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jc w:val="left"/>
        <w:rPr>
          <w:sz w:val="24"/>
          <w:szCs w:val="24"/>
          <w:shd w:val="clear" w:color="auto" w:fill="FFFFFF"/>
        </w:rPr>
      </w:pPr>
      <w:r>
        <w:rPr>
          <w:sz w:val="24"/>
          <w:szCs w:val="24"/>
          <w:shd w:val="clear" w:color="auto" w:fill="FFFFFF"/>
        </w:rPr>
        <w:t>  </w:t>
      </w:r>
    </w:p>
    <w:p>
      <w:pPr>
        <w:pStyle w:val="11"/>
        <w:keepNext w:val="0"/>
        <w:keepLines w:val="0"/>
        <w:widowControl/>
        <w:suppressLineNumbers w:val="0"/>
        <w:spacing w:before="0" w:beforeAutospacing="0"/>
        <w:ind w:left="0"/>
        <w:jc w:val="left"/>
        <w:rPr>
          <w:sz w:val="24"/>
          <w:szCs w:val="24"/>
          <w:shd w:val="clear" w:color="auto" w:fill="FFFFFF"/>
        </w:rPr>
      </w:pPr>
    </w:p>
    <w:p>
      <w:pPr>
        <w:pStyle w:val="11"/>
        <w:keepNext w:val="0"/>
        <w:keepLines w:val="0"/>
        <w:widowControl/>
        <w:suppressLineNumbers w:val="0"/>
        <w:spacing w:before="0" w:beforeAutospacing="0"/>
        <w:ind w:left="0"/>
        <w:jc w:val="left"/>
        <w:rPr>
          <w:sz w:val="24"/>
          <w:szCs w:val="24"/>
          <w:shd w:val="clear" w:color="auto" w:fill="FFFFFF"/>
        </w:rPr>
      </w:pPr>
    </w:p>
    <w:p>
      <w:pPr>
        <w:pStyle w:val="11"/>
        <w:keepNext w:val="0"/>
        <w:keepLines w:val="0"/>
        <w:widowControl/>
        <w:suppressLineNumbers w:val="0"/>
        <w:spacing w:before="0" w:beforeAutospacing="0"/>
        <w:ind w:left="0"/>
        <w:jc w:val="left"/>
        <w:rPr>
          <w:sz w:val="24"/>
          <w:szCs w:val="24"/>
          <w:shd w:val="clear" w:color="auto" w:fill="FFFFFF"/>
        </w:rPr>
      </w:pPr>
    </w:p>
    <w:p>
      <w:pPr>
        <w:pStyle w:val="11"/>
        <w:keepNext w:val="0"/>
        <w:keepLines w:val="0"/>
        <w:widowControl/>
        <w:suppressLineNumbers w:val="0"/>
        <w:spacing w:before="0" w:beforeAutospacing="0"/>
        <w:ind w:firstLine="480" w:firstLineChars="200"/>
        <w:jc w:val="left"/>
      </w:pPr>
      <w:r>
        <w:rPr>
          <w:sz w:val="24"/>
          <w:szCs w:val="24"/>
          <w:shd w:val="clear" w:color="auto" w:fill="FFFFFF"/>
        </w:rPr>
        <w:t xml:space="preserve"> 保密审查情况：已审查，内容审定</w:t>
      </w:r>
    </w:p>
    <w:p>
      <w:pPr>
        <w:pStyle w:val="11"/>
        <w:keepNext w:val="0"/>
        <w:keepLines w:val="0"/>
        <w:widowControl/>
        <w:suppressLineNumbers w:val="0"/>
        <w:spacing w:before="0" w:beforeAutospacing="0"/>
        <w:ind w:left="0"/>
        <w:jc w:val="left"/>
      </w:pPr>
      <w:r>
        <w:rPr>
          <w:sz w:val="24"/>
          <w:szCs w:val="24"/>
          <w:shd w:val="clear" w:color="auto" w:fill="FFFFFF"/>
        </w:rPr>
        <w:t>   部门主要负责人审签情况：已审签，同意对外公开</w:t>
      </w:r>
    </w:p>
    <w:p>
      <w:pPr>
        <w:pStyle w:val="11"/>
        <w:keepNext w:val="0"/>
        <w:keepLines w:val="0"/>
        <w:widowControl/>
        <w:suppressLineNumbers w:val="0"/>
        <w:spacing w:before="0" w:beforeAutospacing="0"/>
        <w:ind w:left="0"/>
        <w:jc w:val="center"/>
      </w:pPr>
      <w:r>
        <w:rPr>
          <w:shd w:val="clear" w:color="auto" w:fill="FFFFFF"/>
        </w:rPr>
        <w:t> </w:t>
      </w:r>
    </w:p>
    <w:p>
      <w:pPr>
        <w:pStyle w:val="11"/>
        <w:keepNext w:val="0"/>
        <w:keepLines w:val="0"/>
        <w:widowControl/>
        <w:suppressLineNumbers w:val="0"/>
        <w:spacing w:before="0" w:beforeAutospacing="0"/>
        <w:ind w:left="0" w:firstLine="2640" w:firstLineChars="1100"/>
        <w:jc w:val="left"/>
        <w:rPr>
          <w:rFonts w:hint="eastAsia"/>
          <w:shd w:val="clear" w:color="auto" w:fill="FFFFFF"/>
          <w:lang w:val="en-US" w:eastAsia="zh-CN"/>
        </w:rPr>
      </w:pPr>
    </w:p>
    <w:p>
      <w:pPr>
        <w:pStyle w:val="11"/>
        <w:keepNext w:val="0"/>
        <w:keepLines w:val="0"/>
        <w:widowControl/>
        <w:suppressLineNumbers w:val="0"/>
        <w:spacing w:before="0" w:beforeAutospacing="0"/>
        <w:ind w:left="0" w:firstLine="2640" w:firstLineChars="1100"/>
        <w:jc w:val="left"/>
        <w:rPr>
          <w:rFonts w:hint="eastAsia"/>
          <w:shd w:val="clear" w:color="auto" w:fill="FFFFFF"/>
          <w:lang w:val="en-US" w:eastAsia="zh-CN"/>
        </w:rPr>
      </w:pPr>
    </w:p>
    <w:p>
      <w:pPr>
        <w:pStyle w:val="11"/>
        <w:keepNext w:val="0"/>
        <w:keepLines w:val="0"/>
        <w:widowControl/>
        <w:suppressLineNumbers w:val="0"/>
        <w:spacing w:before="0" w:beforeAutospacing="0"/>
        <w:ind w:firstLine="6626" w:firstLineChars="2200"/>
        <w:jc w:val="left"/>
      </w:pPr>
      <w:r>
        <w:rPr>
          <w:rStyle w:val="14"/>
          <w:sz w:val="30"/>
          <w:szCs w:val="30"/>
          <w:shd w:val="clear" w:color="auto" w:fill="FFFFFF"/>
        </w:rPr>
        <w:t>目        录</w:t>
      </w:r>
    </w:p>
    <w:p>
      <w:pPr>
        <w:pStyle w:val="11"/>
        <w:keepNext w:val="0"/>
        <w:keepLines w:val="0"/>
        <w:widowControl/>
        <w:suppressLineNumbers w:val="0"/>
        <w:spacing w:before="0" w:beforeAutospacing="0"/>
        <w:ind w:left="0"/>
        <w:jc w:val="center"/>
      </w:pPr>
      <w:r>
        <w:rPr>
          <w:rFonts w:hint="eastAsia"/>
          <w:sz w:val="24"/>
          <w:szCs w:val="24"/>
          <w:shd w:val="clear" w:color="auto" w:fill="FFFFFF"/>
          <w:lang w:val="en-US" w:eastAsia="zh-CN"/>
        </w:rPr>
        <w:t xml:space="preserve">           </w:t>
      </w:r>
      <w:r>
        <w:rPr>
          <w:sz w:val="24"/>
          <w:szCs w:val="24"/>
          <w:shd w:val="clear" w:color="auto" w:fill="FFFFFF"/>
        </w:rPr>
        <w:t>公开时间：202</w:t>
      </w:r>
      <w:r>
        <w:rPr>
          <w:rFonts w:hint="eastAsia"/>
          <w:sz w:val="24"/>
          <w:szCs w:val="24"/>
          <w:shd w:val="clear" w:color="auto" w:fill="FFFFFF"/>
          <w:lang w:val="en-US" w:eastAsia="zh-CN"/>
        </w:rPr>
        <w:t>3</w:t>
      </w:r>
      <w:r>
        <w:rPr>
          <w:sz w:val="24"/>
          <w:szCs w:val="24"/>
          <w:shd w:val="clear" w:color="auto" w:fill="FFFFFF"/>
        </w:rPr>
        <w:t xml:space="preserve">年 </w:t>
      </w:r>
      <w:r>
        <w:rPr>
          <w:rFonts w:hint="eastAsia"/>
          <w:sz w:val="24"/>
          <w:szCs w:val="24"/>
          <w:shd w:val="clear" w:color="auto" w:fill="FFFFFF"/>
          <w:lang w:val="en-US" w:eastAsia="zh-CN"/>
        </w:rPr>
        <w:t>11</w:t>
      </w:r>
      <w:r>
        <w:rPr>
          <w:sz w:val="24"/>
          <w:szCs w:val="24"/>
          <w:shd w:val="clear" w:color="auto" w:fill="FFFFFF"/>
        </w:rPr>
        <w:t>月</w:t>
      </w:r>
      <w:r>
        <w:rPr>
          <w:rFonts w:hint="eastAsia"/>
          <w:sz w:val="24"/>
          <w:szCs w:val="24"/>
          <w:shd w:val="clear" w:color="auto" w:fill="FFFFFF"/>
          <w:lang w:val="en-US" w:eastAsia="zh-CN"/>
        </w:rPr>
        <w:t>3</w:t>
      </w:r>
      <w:r>
        <w:rPr>
          <w:sz w:val="24"/>
          <w:szCs w:val="24"/>
          <w:shd w:val="clear" w:color="auto" w:fill="FFFFFF"/>
        </w:rPr>
        <w:t>日</w:t>
      </w:r>
    </w:p>
    <w:p>
      <w:pPr>
        <w:pStyle w:val="11"/>
        <w:spacing w:before="0" w:beforeAutospacing="0"/>
      </w:pPr>
    </w:p>
    <w:p>
      <w:pPr>
        <w:pStyle w:val="11"/>
        <w:spacing w:before="0" w:beforeAutospacing="0"/>
      </w:pPr>
      <w:r>
        <w:rPr>
          <w:shd w:val="clear" w:color="auto" w:fill="FFFFFF"/>
        </w:rPr>
        <w:t>第一部分 单位概况</w:t>
      </w:r>
    </w:p>
    <w:p>
      <w:pPr>
        <w:pStyle w:val="11"/>
        <w:spacing w:before="0" w:beforeAutospacing="0"/>
        <w:rPr>
          <w:rFonts w:hint="eastAsia"/>
          <w:shd w:val="clear" w:color="auto" w:fill="FFFFFF"/>
        </w:rPr>
      </w:pPr>
      <w:r>
        <w:rPr>
          <w:shd w:val="clear" w:color="auto" w:fill="FFFFFF"/>
        </w:rPr>
        <w:t>一、</w:t>
      </w:r>
      <w:r>
        <w:rPr>
          <w:rFonts w:hint="eastAsia"/>
          <w:shd w:val="clear" w:color="auto" w:fill="FFFFFF"/>
          <w:lang w:val="en-US" w:eastAsia="zh-CN"/>
        </w:rPr>
        <w:t>主要职责</w:t>
      </w:r>
      <w:r>
        <w:rPr>
          <w:rFonts w:hint="eastAsia"/>
          <w:shd w:val="clear" w:color="auto" w:fill="FFFFFF"/>
        </w:rPr>
        <w:t>........................................................1</w:t>
      </w:r>
    </w:p>
    <w:p>
      <w:pPr>
        <w:pStyle w:val="11"/>
        <w:spacing w:before="0" w:beforeAutospacing="0"/>
      </w:pPr>
      <w:r>
        <w:rPr>
          <w:shd w:val="clear" w:color="auto" w:fill="FFFFFF"/>
        </w:rPr>
        <w:t>二、</w:t>
      </w:r>
      <w:r>
        <w:rPr>
          <w:rFonts w:hint="eastAsia"/>
          <w:shd w:val="clear" w:color="auto" w:fill="FFFFFF"/>
          <w:lang w:val="en-US" w:eastAsia="zh-CN"/>
        </w:rPr>
        <w:t>机构设置...............</w:t>
      </w:r>
      <w:r>
        <w:rPr>
          <w:rFonts w:hint="eastAsia"/>
          <w:shd w:val="clear" w:color="auto" w:fill="FFFFFF"/>
        </w:rPr>
        <w:t>.........................................2</w:t>
      </w:r>
    </w:p>
    <w:p>
      <w:pPr>
        <w:pStyle w:val="11"/>
        <w:spacing w:before="0" w:beforeAutospacing="0"/>
      </w:pPr>
      <w:r>
        <w:rPr>
          <w:shd w:val="clear" w:color="auto" w:fill="FFFFFF"/>
        </w:rPr>
        <w:t>第二部分 2021年度单位决算情况说明</w:t>
      </w:r>
    </w:p>
    <w:p>
      <w:pPr>
        <w:pStyle w:val="11"/>
        <w:spacing w:before="0" w:beforeAutospacing="0"/>
      </w:pPr>
      <w:r>
        <w:rPr>
          <w:shd w:val="clear" w:color="auto" w:fill="FFFFFF"/>
        </w:rPr>
        <w:t>一、收入支出决算总体情况说明</w:t>
      </w:r>
      <w:r>
        <w:rPr>
          <w:rFonts w:hint="eastAsia"/>
          <w:shd w:val="clear" w:color="auto" w:fill="FFFFFF"/>
        </w:rPr>
        <w:t>........................................2</w:t>
      </w:r>
    </w:p>
    <w:p>
      <w:pPr>
        <w:pStyle w:val="11"/>
        <w:spacing w:before="0" w:beforeAutospacing="0"/>
        <w:rPr>
          <w:rFonts w:hint="eastAsia"/>
          <w:shd w:val="clear" w:color="auto" w:fill="FFFFFF"/>
          <w:lang w:val="en-US" w:eastAsia="zh-CN"/>
        </w:rPr>
      </w:pPr>
      <w:r>
        <w:rPr>
          <w:shd w:val="clear" w:color="auto" w:fill="FFFFFF"/>
        </w:rPr>
        <w:t>二、收入决算情况说明</w:t>
      </w:r>
      <w:r>
        <w:rPr>
          <w:rFonts w:hint="eastAsia"/>
          <w:shd w:val="clear" w:color="auto" w:fill="FFFFFF"/>
        </w:rPr>
        <w:t>................................................</w:t>
      </w:r>
      <w:r>
        <w:rPr>
          <w:rFonts w:hint="eastAsia"/>
          <w:shd w:val="clear" w:color="auto" w:fill="FFFFFF"/>
          <w:lang w:val="en-US" w:eastAsia="zh-CN"/>
        </w:rPr>
        <w:t>2</w:t>
      </w:r>
    </w:p>
    <w:p>
      <w:pPr>
        <w:pStyle w:val="11"/>
        <w:spacing w:before="0" w:beforeAutospacing="0"/>
        <w:rPr>
          <w:rFonts w:hint="eastAsia"/>
          <w:shd w:val="clear" w:color="auto" w:fill="FFFFFF"/>
          <w:lang w:val="en-US" w:eastAsia="zh-CN"/>
        </w:rPr>
      </w:pPr>
      <w:r>
        <w:rPr>
          <w:shd w:val="clear" w:color="auto" w:fill="FFFFFF"/>
        </w:rPr>
        <w:t>三、支出决算情明</w:t>
      </w:r>
      <w:r>
        <w:rPr>
          <w:rFonts w:hint="eastAsia"/>
          <w:shd w:val="clear" w:color="auto" w:fill="FFFFFF"/>
        </w:rPr>
        <w:t>.</w:t>
      </w:r>
      <w:r>
        <w:rPr>
          <w:rFonts w:hint="eastAsia"/>
          <w:shd w:val="clear" w:color="auto" w:fill="FFFFFF"/>
          <w:lang w:val="en-US" w:eastAsia="zh-CN"/>
        </w:rPr>
        <w:t>....</w:t>
      </w:r>
      <w:r>
        <w:rPr>
          <w:rFonts w:hint="eastAsia"/>
          <w:shd w:val="clear" w:color="auto" w:fill="FFFFFF"/>
        </w:rPr>
        <w:t>...............................................</w:t>
      </w:r>
      <w:r>
        <w:rPr>
          <w:rFonts w:hint="eastAsia"/>
          <w:shd w:val="clear" w:color="auto" w:fill="FFFFFF"/>
          <w:lang w:val="en-US" w:eastAsia="zh-CN"/>
        </w:rPr>
        <w:t>3</w:t>
      </w:r>
    </w:p>
    <w:p>
      <w:pPr>
        <w:pStyle w:val="11"/>
        <w:spacing w:before="0" w:beforeAutospacing="0"/>
      </w:pPr>
      <w:r>
        <w:rPr>
          <w:shd w:val="clear" w:color="auto" w:fill="FFFFFF"/>
        </w:rPr>
        <w:t>四、财政拨款收入支出决算总体情况说明</w:t>
      </w:r>
      <w:r>
        <w:rPr>
          <w:rFonts w:hint="eastAsia"/>
          <w:shd w:val="clear" w:color="auto" w:fill="FFFFFF"/>
        </w:rPr>
        <w:t>................................4</w:t>
      </w:r>
    </w:p>
    <w:p>
      <w:pPr>
        <w:pStyle w:val="11"/>
        <w:spacing w:before="0" w:beforeAutospacing="0"/>
        <w:rPr>
          <w:rFonts w:hint="eastAsia" w:eastAsia="宋体"/>
          <w:lang w:eastAsia="zh-CN"/>
        </w:rPr>
      </w:pPr>
      <w:r>
        <w:rPr>
          <w:shd w:val="clear" w:color="auto" w:fill="FFFFFF"/>
        </w:rPr>
        <w:t>五、一般公共预算财政拨款支出决算情况说明</w:t>
      </w:r>
      <w:r>
        <w:rPr>
          <w:rFonts w:hint="eastAsia"/>
          <w:shd w:val="clear" w:color="auto" w:fill="FFFFFF"/>
        </w:rPr>
        <w:t>............................</w:t>
      </w:r>
      <w:r>
        <w:rPr>
          <w:rFonts w:hint="eastAsia"/>
          <w:shd w:val="clear" w:color="auto" w:fill="FFFFFF"/>
          <w:lang w:val="en-US" w:eastAsia="zh-CN"/>
        </w:rPr>
        <w:t>4</w:t>
      </w:r>
    </w:p>
    <w:p>
      <w:pPr>
        <w:pStyle w:val="11"/>
        <w:spacing w:before="0" w:beforeAutospacing="0"/>
        <w:rPr>
          <w:rFonts w:hint="eastAsia" w:eastAsia="宋体"/>
          <w:lang w:eastAsia="zh-CN"/>
        </w:rPr>
      </w:pPr>
      <w:r>
        <w:rPr>
          <w:shd w:val="clear" w:color="auto" w:fill="FFFFFF"/>
        </w:rPr>
        <w:t>六、一般公共预算财政拨款基本支出决算情况说明</w:t>
      </w:r>
      <w:r>
        <w:rPr>
          <w:rFonts w:hint="eastAsia"/>
          <w:shd w:val="clear" w:color="auto" w:fill="FFFFFF"/>
        </w:rPr>
        <w:t>........................</w:t>
      </w:r>
      <w:r>
        <w:rPr>
          <w:rFonts w:hint="eastAsia"/>
          <w:shd w:val="clear" w:color="auto" w:fill="FFFFFF"/>
          <w:lang w:val="en-US" w:eastAsia="zh-CN"/>
        </w:rPr>
        <w:t>5</w:t>
      </w:r>
    </w:p>
    <w:p>
      <w:pPr>
        <w:pStyle w:val="11"/>
        <w:spacing w:before="0" w:beforeAutospacing="0"/>
        <w:rPr>
          <w:rFonts w:hint="eastAsia"/>
          <w:shd w:val="clear" w:color="auto" w:fill="FFFFFF"/>
          <w:lang w:val="en-US" w:eastAsia="zh-CN"/>
        </w:rPr>
      </w:pPr>
      <w:r>
        <w:rPr>
          <w:shd w:val="clear" w:color="auto" w:fill="FFFFFF"/>
        </w:rPr>
        <w:t>七、“三公”经费财政拨款支出决算情况说明</w:t>
      </w:r>
      <w:r>
        <w:rPr>
          <w:rFonts w:hint="eastAsia"/>
          <w:shd w:val="clear" w:color="auto" w:fill="FFFFFF"/>
        </w:rPr>
        <w:t>.</w:t>
      </w:r>
      <w:r>
        <w:rPr>
          <w:rFonts w:hint="eastAsia"/>
          <w:shd w:val="clear" w:color="auto" w:fill="FFFFFF"/>
          <w:lang w:val="en-US" w:eastAsia="zh-CN"/>
        </w:rPr>
        <w:t>.</w:t>
      </w:r>
      <w:r>
        <w:rPr>
          <w:rFonts w:hint="eastAsia"/>
          <w:shd w:val="clear" w:color="auto" w:fill="FFFFFF"/>
        </w:rPr>
        <w:t>...........................</w:t>
      </w:r>
      <w:r>
        <w:rPr>
          <w:rFonts w:hint="eastAsia"/>
          <w:shd w:val="clear" w:color="auto" w:fill="FFFFFF"/>
          <w:lang w:val="en-US" w:eastAsia="zh-CN"/>
        </w:rPr>
        <w:t>5</w:t>
      </w:r>
    </w:p>
    <w:p>
      <w:pPr>
        <w:pStyle w:val="11"/>
        <w:spacing w:before="0" w:beforeAutospacing="0"/>
        <w:rPr>
          <w:rFonts w:hint="eastAsia"/>
          <w:shd w:val="clear" w:color="auto" w:fill="FFFFFF"/>
          <w:lang w:val="en-US" w:eastAsia="zh-CN"/>
        </w:rPr>
      </w:pPr>
      <w:r>
        <w:rPr>
          <w:shd w:val="clear" w:color="auto" w:fill="FFFFFF"/>
        </w:rPr>
        <w:t>八、政府性基金预算支出决算情况说明</w:t>
      </w:r>
      <w:r>
        <w:rPr>
          <w:rFonts w:hint="eastAsia"/>
          <w:shd w:val="clear" w:color="auto" w:fill="FFFFFF"/>
        </w:rPr>
        <w:t>..................................</w:t>
      </w:r>
      <w:r>
        <w:rPr>
          <w:rFonts w:hint="eastAsia"/>
          <w:shd w:val="clear" w:color="auto" w:fill="FFFFFF"/>
          <w:lang w:val="en-US" w:eastAsia="zh-CN"/>
        </w:rPr>
        <w:t>8</w:t>
      </w:r>
    </w:p>
    <w:p>
      <w:pPr>
        <w:pStyle w:val="11"/>
        <w:spacing w:before="0" w:beforeAutospacing="0"/>
        <w:rPr>
          <w:rFonts w:hint="eastAsia"/>
          <w:shd w:val="clear" w:color="auto" w:fill="FFFFFF"/>
          <w:lang w:val="en-US" w:eastAsia="zh-CN"/>
        </w:rPr>
      </w:pPr>
      <w:r>
        <w:rPr>
          <w:shd w:val="clear" w:color="auto" w:fill="FFFFFF"/>
        </w:rPr>
        <w:t>九、国有资本经营预算支出决算情况说明</w:t>
      </w:r>
      <w:r>
        <w:rPr>
          <w:rFonts w:hint="eastAsia"/>
          <w:shd w:val="clear" w:color="auto" w:fill="FFFFFF"/>
        </w:rPr>
        <w:t>...............................</w:t>
      </w:r>
      <w:r>
        <w:rPr>
          <w:rFonts w:hint="eastAsia"/>
          <w:shd w:val="clear" w:color="auto" w:fill="FFFFFF"/>
          <w:lang w:val="en-US" w:eastAsia="zh-CN"/>
        </w:rPr>
        <w:t>8</w:t>
      </w:r>
    </w:p>
    <w:p>
      <w:pPr>
        <w:pStyle w:val="11"/>
        <w:spacing w:before="0" w:beforeAutospacing="0"/>
        <w:rPr>
          <w:rFonts w:hint="eastAsia"/>
          <w:shd w:val="clear" w:color="auto" w:fill="FFFFFF"/>
          <w:lang w:val="en-US" w:eastAsia="zh-CN"/>
        </w:rPr>
      </w:pPr>
      <w:r>
        <w:rPr>
          <w:shd w:val="clear" w:color="auto" w:fill="FFFFFF"/>
        </w:rPr>
        <w:t>第三部分 名词解释</w:t>
      </w:r>
      <w:r>
        <w:rPr>
          <w:rFonts w:hint="eastAsia"/>
          <w:shd w:val="clear" w:color="auto" w:fill="FFFFFF"/>
        </w:rPr>
        <w:t>..................................................</w:t>
      </w:r>
      <w:r>
        <w:rPr>
          <w:rFonts w:hint="eastAsia"/>
          <w:shd w:val="clear" w:color="auto" w:fill="FFFFFF"/>
          <w:lang w:val="en-US" w:eastAsia="zh-CN"/>
        </w:rPr>
        <w:t>9</w:t>
      </w:r>
    </w:p>
    <w:p>
      <w:pPr>
        <w:pStyle w:val="11"/>
        <w:spacing w:before="0" w:beforeAutospacing="0"/>
        <w:rPr>
          <w:rFonts w:hint="eastAsia"/>
          <w:shd w:val="clear" w:color="auto" w:fill="FFFFFF"/>
          <w:lang w:val="en-US" w:eastAsia="zh-CN"/>
        </w:rPr>
      </w:pPr>
      <w:r>
        <w:rPr>
          <w:shd w:val="clear" w:color="auto" w:fill="FFFFFF"/>
        </w:rPr>
        <w:t>第四部分 附件</w:t>
      </w:r>
      <w:r>
        <w:rPr>
          <w:rFonts w:hint="eastAsia"/>
          <w:shd w:val="clear" w:color="auto" w:fill="FFFFFF"/>
        </w:rPr>
        <w:t>......................................................1</w:t>
      </w:r>
      <w:r>
        <w:rPr>
          <w:rFonts w:hint="eastAsia"/>
          <w:shd w:val="clear" w:color="auto" w:fill="FFFFFF"/>
          <w:lang w:val="en-US" w:eastAsia="zh-CN"/>
        </w:rPr>
        <w:t>0</w:t>
      </w:r>
    </w:p>
    <w:p>
      <w:pPr>
        <w:pStyle w:val="11"/>
        <w:spacing w:before="0" w:beforeAutospacing="0"/>
      </w:pPr>
      <w:r>
        <w:rPr>
          <w:shd w:val="clear" w:color="auto" w:fill="FFFFFF"/>
        </w:rPr>
        <w:t>第五部分 附表</w:t>
      </w:r>
      <w:r>
        <w:rPr>
          <w:rFonts w:hint="eastAsia"/>
          <w:shd w:val="clear" w:color="auto" w:fill="FFFFFF"/>
        </w:rPr>
        <w:t>.....................................................</w:t>
      </w:r>
      <w:r>
        <w:rPr>
          <w:rFonts w:hint="eastAsia"/>
          <w:shd w:val="clear" w:color="auto" w:fill="FFFFFF"/>
          <w:lang w:val="en-US" w:eastAsia="zh-CN"/>
        </w:rPr>
        <w:t>10</w:t>
      </w:r>
      <w:r>
        <w:rPr>
          <w:rFonts w:hint="eastAsia"/>
          <w:shd w:val="clear" w:color="auto" w:fill="FFFFFF"/>
        </w:rPr>
        <w:t>0</w:t>
      </w:r>
    </w:p>
    <w:p>
      <w:pPr>
        <w:pStyle w:val="11"/>
        <w:spacing w:before="0" w:beforeAutospacing="0"/>
      </w:pPr>
      <w:r>
        <w:rPr>
          <w:shd w:val="clear" w:color="auto" w:fill="FFFFFF"/>
        </w:rPr>
        <w:t>一、收入支出决算总表</w:t>
      </w:r>
      <w:bookmarkStart w:id="0" w:name="_GoBack"/>
      <w:bookmarkEnd w:id="0"/>
    </w:p>
    <w:p>
      <w:pPr>
        <w:pStyle w:val="11"/>
        <w:spacing w:before="0" w:beforeAutospacing="0"/>
      </w:pPr>
      <w:r>
        <w:rPr>
          <w:shd w:val="clear" w:color="auto" w:fill="FFFFFF"/>
        </w:rPr>
        <w:t>二、收入决算表</w:t>
      </w:r>
    </w:p>
    <w:p>
      <w:pPr>
        <w:pStyle w:val="11"/>
        <w:spacing w:before="0" w:beforeAutospacing="0"/>
      </w:pPr>
      <w:r>
        <w:rPr>
          <w:shd w:val="clear" w:color="auto" w:fill="FFFFFF"/>
        </w:rPr>
        <w:t>三、支出决算表</w:t>
      </w:r>
    </w:p>
    <w:p>
      <w:pPr>
        <w:pStyle w:val="11"/>
        <w:spacing w:before="0" w:beforeAutospacing="0"/>
        <w:ind w:left="420"/>
      </w:pPr>
      <w:r>
        <w:rPr>
          <w:shd w:val="clear" w:color="auto" w:fill="FFFFFF"/>
        </w:rPr>
        <w:t>四、财政拨款收入支出决算总表</w:t>
      </w:r>
    </w:p>
    <w:p>
      <w:pPr>
        <w:pStyle w:val="11"/>
        <w:spacing w:before="0" w:beforeAutospacing="0"/>
        <w:ind w:left="420"/>
      </w:pPr>
      <w:r>
        <w:rPr>
          <w:shd w:val="clear" w:color="auto" w:fill="FFFFFF"/>
        </w:rPr>
        <w:t>五、财政拨款支出决算明细表</w:t>
      </w:r>
    </w:p>
    <w:p>
      <w:pPr>
        <w:pStyle w:val="11"/>
        <w:spacing w:before="0" w:beforeAutospacing="0"/>
        <w:ind w:left="420"/>
        <w:rPr>
          <w:shd w:val="clear" w:color="auto" w:fill="FFFFFF"/>
        </w:rPr>
      </w:pPr>
      <w:r>
        <w:rPr>
          <w:shd w:val="clear" w:color="auto" w:fill="FFFFFF"/>
        </w:rPr>
        <w:t>六、一般公共预算财政拨款支出决算表</w:t>
      </w:r>
    </w:p>
    <w:p>
      <w:pPr>
        <w:pStyle w:val="11"/>
        <w:spacing w:before="0" w:beforeAutospacing="0"/>
        <w:ind w:left="420"/>
      </w:pPr>
      <w:r>
        <w:rPr>
          <w:shd w:val="clear" w:color="auto" w:fill="FFFFFF"/>
        </w:rPr>
        <w:t>七、一般公共预算财政拨款支出决算明细表</w:t>
      </w:r>
    </w:p>
    <w:p>
      <w:pPr>
        <w:pStyle w:val="11"/>
        <w:spacing w:before="0" w:beforeAutospacing="0"/>
        <w:ind w:left="420"/>
      </w:pPr>
      <w:r>
        <w:rPr>
          <w:shd w:val="clear" w:color="auto" w:fill="FFFFFF"/>
        </w:rPr>
        <w:t>八、一般公共预算财政拨款基本支出决算表</w:t>
      </w:r>
    </w:p>
    <w:p>
      <w:pPr>
        <w:pStyle w:val="11"/>
        <w:spacing w:before="0" w:beforeAutospacing="0"/>
        <w:ind w:left="420"/>
      </w:pPr>
      <w:r>
        <w:rPr>
          <w:shd w:val="clear" w:color="auto" w:fill="FFFFFF"/>
        </w:rPr>
        <w:t>九、一般公共预算财政拨款项目支出决算表</w:t>
      </w:r>
    </w:p>
    <w:p>
      <w:pPr>
        <w:pStyle w:val="11"/>
        <w:spacing w:before="0" w:beforeAutospacing="0"/>
        <w:ind w:left="420"/>
      </w:pPr>
      <w:r>
        <w:rPr>
          <w:shd w:val="clear" w:color="auto" w:fill="FFFFFF"/>
        </w:rPr>
        <w:t>十、一般公共预算财政拨款“三公”经费支出决算表</w:t>
      </w:r>
    </w:p>
    <w:p>
      <w:pPr>
        <w:pStyle w:val="11"/>
        <w:spacing w:before="0" w:beforeAutospacing="0"/>
        <w:ind w:left="420"/>
      </w:pPr>
      <w:r>
        <w:rPr>
          <w:shd w:val="clear" w:color="auto" w:fill="FFFFFF"/>
        </w:rPr>
        <w:t>十一、政府性基金预算财政拨款收入支出决算表</w:t>
      </w:r>
    </w:p>
    <w:p>
      <w:pPr>
        <w:pStyle w:val="11"/>
        <w:spacing w:before="0" w:beforeAutospacing="0"/>
        <w:ind w:left="420"/>
      </w:pPr>
      <w:r>
        <w:rPr>
          <w:shd w:val="clear" w:color="auto" w:fill="FFFFFF"/>
        </w:rPr>
        <w:t>十二、政府性基金预算财政拨款“三公”经费支出决算表</w:t>
      </w:r>
    </w:p>
    <w:p>
      <w:pPr>
        <w:pStyle w:val="11"/>
        <w:spacing w:before="0" w:beforeAutospacing="0"/>
        <w:ind w:left="420"/>
      </w:pPr>
      <w:r>
        <w:rPr>
          <w:shd w:val="clear" w:color="auto" w:fill="FFFFFF"/>
        </w:rPr>
        <w:t>十三、国有资本经营预算财政拨款收入支出决算表</w:t>
      </w:r>
    </w:p>
    <w:p>
      <w:pPr>
        <w:pStyle w:val="11"/>
        <w:spacing w:before="0" w:beforeAutospacing="0"/>
        <w:ind w:left="420"/>
      </w:pPr>
      <w:r>
        <w:rPr>
          <w:shd w:val="clear" w:color="auto" w:fill="FFFFFF"/>
        </w:rPr>
        <w:t>十四、国有资本经营预算财政拨款支出决算表</w:t>
      </w:r>
    </w:p>
    <w:p>
      <w:pPr>
        <w:pStyle w:val="11"/>
        <w:spacing w:before="0" w:beforeAutospacing="0"/>
      </w:pPr>
      <w:r>
        <w:rPr>
          <w:shd w:val="clear" w:color="auto" w:fill="FFFFFF"/>
        </w:rPr>
        <w:t>(注：请单位根据实际注明页码)</w:t>
      </w: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left"/>
        <w:rPr>
          <w:rStyle w:val="14"/>
          <w:sz w:val="24"/>
          <w:szCs w:val="24"/>
          <w:shd w:val="clear" w:color="auto" w:fill="FFFFFF"/>
        </w:rPr>
      </w:pPr>
    </w:p>
    <w:p>
      <w:pPr>
        <w:pStyle w:val="11"/>
        <w:keepNext w:val="0"/>
        <w:keepLines w:val="0"/>
        <w:widowControl/>
        <w:suppressLineNumbers w:val="0"/>
        <w:spacing w:before="0" w:beforeAutospacing="0"/>
        <w:ind w:left="0" w:firstLine="482" w:firstLineChars="200"/>
        <w:jc w:val="center"/>
        <w:rPr>
          <w:rStyle w:val="14"/>
          <w:sz w:val="24"/>
          <w:szCs w:val="24"/>
          <w:shd w:val="clear" w:color="auto" w:fill="FFFFFF"/>
        </w:rPr>
        <w:sectPr>
          <w:pgSz w:w="16838" w:h="11906" w:orient="landscape"/>
          <w:pgMar w:top="1800" w:right="1440" w:bottom="1800" w:left="1440" w:header="851" w:footer="992" w:gutter="0"/>
          <w:cols w:space="425" w:num="1"/>
          <w:docGrid w:type="lines" w:linePitch="312" w:charSpace="0"/>
        </w:sectPr>
      </w:pPr>
    </w:p>
    <w:p>
      <w:pPr>
        <w:pStyle w:val="11"/>
        <w:keepNext w:val="0"/>
        <w:keepLines w:val="0"/>
        <w:widowControl/>
        <w:suppressLineNumbers w:val="0"/>
        <w:spacing w:before="0" w:beforeAutospacing="0"/>
        <w:ind w:left="0" w:firstLine="482" w:firstLineChars="200"/>
        <w:jc w:val="center"/>
      </w:pPr>
      <w:r>
        <w:rPr>
          <w:rStyle w:val="14"/>
          <w:sz w:val="24"/>
          <w:szCs w:val="24"/>
          <w:shd w:val="clear" w:color="auto" w:fill="FFFFFF"/>
        </w:rPr>
        <w:t xml:space="preserve">第一部分 </w:t>
      </w:r>
      <w:r>
        <w:rPr>
          <w:rStyle w:val="14"/>
          <w:rFonts w:hint="eastAsia"/>
          <w:sz w:val="24"/>
          <w:szCs w:val="24"/>
          <w:shd w:val="clear" w:color="auto" w:fill="FFFFFF"/>
          <w:lang w:eastAsia="zh-CN"/>
        </w:rPr>
        <w:t>单位</w:t>
      </w:r>
      <w:r>
        <w:rPr>
          <w:rStyle w:val="14"/>
          <w:sz w:val="24"/>
          <w:szCs w:val="24"/>
          <w:shd w:val="clear" w:color="auto" w:fill="FFFFFF"/>
        </w:rPr>
        <w:t>概况</w:t>
      </w:r>
    </w:p>
    <w:p>
      <w:pPr>
        <w:pStyle w:val="11"/>
        <w:keepNext w:val="0"/>
        <w:keepLines w:val="0"/>
        <w:widowControl/>
        <w:numPr>
          <w:ilvl w:val="0"/>
          <w:numId w:val="0"/>
        </w:numPr>
        <w:suppressLineNumbers w:val="0"/>
        <w:spacing w:before="0" w:beforeAutospacing="0"/>
        <w:ind w:right="0" w:rightChars="0"/>
        <w:jc w:val="both"/>
        <w:rPr>
          <w:rStyle w:val="14"/>
          <w:rFonts w:hint="default"/>
          <w:sz w:val="24"/>
          <w:szCs w:val="24"/>
          <w:shd w:val="clear" w:color="auto" w:fill="FFFFFF"/>
          <w:lang w:val="en-US" w:eastAsia="zh-CN"/>
        </w:rPr>
      </w:pPr>
      <w:r>
        <w:rPr>
          <w:rStyle w:val="14"/>
          <w:rFonts w:hint="eastAsia"/>
          <w:sz w:val="24"/>
          <w:szCs w:val="24"/>
          <w:shd w:val="clear" w:color="auto" w:fill="FFFFFF"/>
          <w:lang w:val="en-US" w:eastAsia="zh-CN"/>
        </w:rPr>
        <w:t>一、主要职责</w:t>
      </w:r>
    </w:p>
    <w:p>
      <w:pPr>
        <w:pStyle w:val="5"/>
        <w:numPr>
          <w:ilvl w:val="0"/>
          <w:numId w:val="0"/>
        </w:numPr>
        <w:spacing w:before="0" w:beforeAutospacing="0"/>
        <w:ind w:leftChars="0"/>
        <w:rPr>
          <w:rFonts w:hint="eastAsia" w:ascii="宋体" w:hAnsi="宋体" w:eastAsia="宋体" w:cs="Times New Roman"/>
          <w:b w:val="0"/>
          <w:kern w:val="0"/>
          <w:sz w:val="24"/>
          <w:szCs w:val="24"/>
          <w:shd w:val="clear" w:color="auto" w:fill="FFFFFF"/>
          <w:lang w:val="en-US" w:eastAsia="zh-CN" w:bidi="ar-SA"/>
        </w:rPr>
      </w:pPr>
      <w:r>
        <w:rPr>
          <w:rFonts w:hint="eastAsia" w:ascii="宋体" w:hAnsi="宋体" w:eastAsia="宋体" w:cs="Times New Roman"/>
          <w:b w:val="0"/>
          <w:kern w:val="0"/>
          <w:sz w:val="24"/>
          <w:szCs w:val="24"/>
          <w:shd w:val="clear" w:color="auto" w:fill="FFFFFF"/>
          <w:lang w:val="en-US" w:eastAsia="zh-CN" w:bidi="ar-SA"/>
        </w:rPr>
        <w:t>（一）主要职能</w:t>
      </w:r>
    </w:p>
    <w:p>
      <w:pPr>
        <w:adjustRightInd w:val="0"/>
        <w:snapToGrid w:val="0"/>
        <w:spacing w:line="576" w:lineRule="exact"/>
        <w:ind w:firstLine="480" w:firstLineChars="200"/>
        <w:rPr>
          <w:shd w:val="clear" w:color="auto" w:fill="FFFFFF"/>
        </w:rPr>
      </w:pPr>
      <w:r>
        <w:rPr>
          <w:shd w:val="clear" w:color="auto" w:fill="FFFFFF"/>
        </w:rPr>
        <w:t>1.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pPr>
        <w:adjustRightInd w:val="0"/>
        <w:snapToGrid w:val="0"/>
        <w:spacing w:line="576" w:lineRule="exact"/>
        <w:ind w:firstLine="480" w:firstLineChars="200"/>
        <w:rPr>
          <w:shd w:val="clear" w:color="auto" w:fill="FFFFFF"/>
        </w:rPr>
      </w:pPr>
      <w:r>
        <w:rPr>
          <w:shd w:val="clear" w:color="auto" w:fill="FFFFFF"/>
        </w:rPr>
        <w:t>2.贯彻落实《传染病防治法》，负责制定全县疾病预防控制规划、免疫规划、严重危害人民健康的公共卫生问题的干预措施并组织实施，组织开展大骨节病、包虫病等地方病，肝炎、结核病、艾滋病等传染病和糖尿病、高血压等慢性非传染性疾病监测、预防和控制。根据国家检疫传染病和监测传染病目录，制定全县卫生应急和紧急医学救援预案、突发公共卫生事件监测和风险评估计划，组织和指导全县突发公共卫生事件预防控制和各类突发公共事件的医疗卫生救援，依法发布法定报告传染病疫情相关信息、突发公共卫生事件应急处置信息。</w:t>
      </w:r>
    </w:p>
    <w:p>
      <w:pPr>
        <w:adjustRightInd w:val="0"/>
        <w:snapToGrid w:val="0"/>
        <w:spacing w:line="576" w:lineRule="exact"/>
        <w:ind w:firstLine="480" w:firstLineChars="200"/>
        <w:rPr>
          <w:shd w:val="clear" w:color="auto" w:fill="FFFFFF"/>
        </w:rPr>
      </w:pPr>
      <w:r>
        <w:rPr>
          <w:shd w:val="clear" w:color="auto" w:fill="FFFFFF"/>
        </w:rPr>
        <w:t>3.贯彻实施职责范围内的职业卫生、放射卫生、环境卫生、学校卫生、公共场所卫生、饮用水卫生管理规范、标准和政策措施，组织开展相关监测、调查、评估和监督，负责传染病防治监督，组织实施食品安全风险监测，依法授权开展食品安全企业标准备案，为食源性疾病及与食品安全事故有关的流行病学调查提供技术支持。</w:t>
      </w:r>
    </w:p>
    <w:p>
      <w:pPr>
        <w:adjustRightInd w:val="0"/>
        <w:snapToGrid w:val="0"/>
        <w:spacing w:line="576" w:lineRule="exact"/>
        <w:ind w:firstLine="480" w:firstLineChars="200"/>
        <w:rPr>
          <w:shd w:val="clear" w:color="auto" w:fill="FFFFFF"/>
        </w:rPr>
      </w:pPr>
      <w:r>
        <w:rPr>
          <w:shd w:val="clear" w:color="auto" w:fill="FFFFFF"/>
        </w:rPr>
        <w:t>4.负责组织拟订并实施基层卫生和妇幼卫生、计划生育服务发展规划和政策措施，指导全县基层卫生和妇幼卫生、计划生育服务体系建设，推进基本公共卫生计生服务均等化，完善基层运行新机制和乡村医生管理制度。</w:t>
      </w:r>
    </w:p>
    <w:p>
      <w:pPr>
        <w:adjustRightInd w:val="0"/>
        <w:snapToGrid w:val="0"/>
        <w:spacing w:line="576" w:lineRule="exact"/>
        <w:ind w:firstLine="480" w:firstLineChars="200"/>
        <w:rPr>
          <w:shd w:val="clear" w:color="auto" w:fill="FFFFFF"/>
        </w:rPr>
      </w:pPr>
      <w:r>
        <w:rPr>
          <w:shd w:val="clear" w:color="auto" w:fill="FFFFFF"/>
        </w:rPr>
        <w:t>5.负责全县医疗机构医疗服务的全行业监督管理，实施医疗机构医疗服务、技术、医疗质量和采供血机构管理的政策、规范、标准，实施医疗机构、从业人员执业许可制度以及医疗卫生职业道德规范，建立全县医疗机构医疗服务评价和监督体系，依法监督管理血站的采供血及临床用血质量。</w:t>
      </w:r>
    </w:p>
    <w:p>
      <w:pPr>
        <w:adjustRightInd w:val="0"/>
        <w:snapToGrid w:val="0"/>
        <w:spacing w:line="576" w:lineRule="exact"/>
        <w:ind w:firstLine="480" w:firstLineChars="200"/>
        <w:rPr>
          <w:shd w:val="clear" w:color="auto" w:fill="FFFFFF"/>
        </w:rPr>
      </w:pPr>
    </w:p>
    <w:p>
      <w:pPr>
        <w:pStyle w:val="11"/>
        <w:keepNext w:val="0"/>
        <w:keepLines w:val="0"/>
        <w:widowControl/>
        <w:numPr>
          <w:ilvl w:val="0"/>
          <w:numId w:val="0"/>
        </w:numPr>
        <w:suppressLineNumbers w:val="0"/>
        <w:spacing w:before="0" w:beforeAutospacing="0"/>
        <w:ind w:right="0" w:rightChars="0"/>
        <w:jc w:val="both"/>
        <w:rPr>
          <w:rStyle w:val="14"/>
          <w:sz w:val="24"/>
          <w:szCs w:val="24"/>
          <w:shd w:val="clear" w:color="auto" w:fill="FFFFFF"/>
        </w:rPr>
      </w:pPr>
      <w:r>
        <w:rPr>
          <w:rStyle w:val="14"/>
          <w:rFonts w:hint="eastAsia"/>
          <w:sz w:val="24"/>
          <w:szCs w:val="24"/>
          <w:shd w:val="clear" w:color="auto" w:fill="FFFFFF"/>
          <w:lang w:eastAsia="zh-CN"/>
        </w:rPr>
        <w:t>（</w:t>
      </w:r>
      <w:r>
        <w:rPr>
          <w:rStyle w:val="14"/>
          <w:sz w:val="24"/>
          <w:szCs w:val="24"/>
          <w:shd w:val="clear" w:color="auto" w:fill="FFFFFF"/>
        </w:rPr>
        <w:t>二</w:t>
      </w:r>
      <w:r>
        <w:rPr>
          <w:rStyle w:val="14"/>
          <w:rFonts w:hint="eastAsia"/>
          <w:sz w:val="24"/>
          <w:szCs w:val="24"/>
          <w:shd w:val="clear" w:color="auto" w:fill="FFFFFF"/>
          <w:lang w:eastAsia="zh-CN"/>
        </w:rPr>
        <w:t>）</w:t>
      </w:r>
      <w:r>
        <w:rPr>
          <w:rStyle w:val="14"/>
          <w:sz w:val="24"/>
          <w:szCs w:val="24"/>
          <w:shd w:val="clear" w:color="auto" w:fill="FFFFFF"/>
        </w:rPr>
        <w:t>、202</w:t>
      </w:r>
      <w:r>
        <w:rPr>
          <w:rStyle w:val="14"/>
          <w:rFonts w:hint="eastAsia"/>
          <w:sz w:val="24"/>
          <w:szCs w:val="24"/>
          <w:shd w:val="clear" w:color="auto" w:fill="FFFFFF"/>
          <w:lang w:val="en-US" w:eastAsia="zh-CN"/>
        </w:rPr>
        <w:t>2</w:t>
      </w:r>
      <w:r>
        <w:rPr>
          <w:rStyle w:val="14"/>
          <w:sz w:val="24"/>
          <w:szCs w:val="24"/>
          <w:shd w:val="clear" w:color="auto" w:fill="FFFFFF"/>
        </w:rPr>
        <w:t>年重点工作完成情况</w:t>
      </w:r>
    </w:p>
    <w:p>
      <w:pPr>
        <w:adjustRightInd w:val="0"/>
        <w:snapToGrid w:val="0"/>
        <w:spacing w:line="576" w:lineRule="exact"/>
        <w:ind w:firstLine="480" w:firstLineChars="200"/>
        <w:rPr>
          <w:shd w:val="clear" w:color="auto" w:fill="FFFFFF"/>
        </w:rPr>
      </w:pPr>
      <w:r>
        <w:rPr>
          <w:rFonts w:hint="eastAsia"/>
          <w:shd w:val="clear" w:color="auto" w:fill="FFFFFF"/>
          <w:lang w:val="en-US" w:eastAsia="zh-CN"/>
        </w:rPr>
        <w:t>1.</w:t>
      </w:r>
      <w:r>
        <w:rPr>
          <w:rFonts w:hint="eastAsia"/>
          <w:shd w:val="clear" w:color="auto" w:fill="FFFFFF"/>
        </w:rPr>
        <w:t>全面贯彻党中央、国务院及省、州、县党委、政府会议精神，积极落实省州卫生健康工作会议部署</w:t>
      </w:r>
    </w:p>
    <w:p>
      <w:pPr>
        <w:adjustRightInd w:val="0"/>
        <w:snapToGrid w:val="0"/>
        <w:spacing w:line="576" w:lineRule="exact"/>
        <w:ind w:firstLine="480" w:firstLineChars="200"/>
        <w:rPr>
          <w:shd w:val="clear" w:color="auto" w:fill="FFFFFF"/>
        </w:rPr>
      </w:pPr>
      <w:r>
        <w:rPr>
          <w:rFonts w:hint="eastAsia"/>
          <w:shd w:val="clear" w:color="auto" w:fill="FFFFFF"/>
          <w:lang w:val="en-US" w:eastAsia="zh-CN"/>
        </w:rPr>
        <w:t>2.</w:t>
      </w:r>
      <w:r>
        <w:rPr>
          <w:rFonts w:hint="eastAsia"/>
          <w:shd w:val="clear" w:color="auto" w:fill="FFFFFF"/>
        </w:rPr>
        <w:t>全力打好新冠肺炎疫情防控人民战争、总体战、阻击战坚持外防输入、内防反弹，疫情防控成绩显著</w:t>
      </w:r>
    </w:p>
    <w:p>
      <w:pPr>
        <w:adjustRightInd w:val="0"/>
        <w:snapToGrid w:val="0"/>
        <w:spacing w:line="576" w:lineRule="exact"/>
        <w:ind w:firstLine="480" w:firstLineChars="200"/>
        <w:rPr>
          <w:shd w:val="clear" w:color="auto" w:fill="FFFFFF"/>
        </w:rPr>
      </w:pPr>
      <w:r>
        <w:rPr>
          <w:rFonts w:hint="eastAsia"/>
          <w:shd w:val="clear" w:color="auto" w:fill="FFFFFF"/>
          <w:lang w:val="en-US" w:eastAsia="zh-CN"/>
        </w:rPr>
        <w:t>3.</w:t>
      </w:r>
      <w:r>
        <w:rPr>
          <w:rFonts w:hint="eastAsia"/>
          <w:shd w:val="clear" w:color="auto" w:fill="FFFFFF"/>
        </w:rPr>
        <w:t>实施机关党建创新发展试点，全力做好党建、党风廉政、意识形态、安全生产及行业突出问题系统整治工作，</w:t>
      </w:r>
    </w:p>
    <w:p>
      <w:pPr>
        <w:adjustRightInd w:val="0"/>
        <w:snapToGrid w:val="0"/>
        <w:spacing w:line="576" w:lineRule="exact"/>
        <w:ind w:firstLine="480" w:firstLineChars="200"/>
        <w:rPr>
          <w:shd w:val="clear" w:color="auto" w:fill="FFFFFF"/>
        </w:rPr>
      </w:pPr>
      <w:r>
        <w:rPr>
          <w:rFonts w:hint="eastAsia"/>
          <w:shd w:val="clear" w:color="auto" w:fill="FFFFFF"/>
          <w:lang w:val="en-US" w:eastAsia="zh-CN"/>
        </w:rPr>
        <w:t>4.</w:t>
      </w:r>
      <w:r>
        <w:rPr>
          <w:rFonts w:hint="eastAsia"/>
          <w:shd w:val="clear" w:color="auto" w:fill="FFFFFF"/>
        </w:rPr>
        <w:t>探索推进医药卫生体制改革工作有序推动“健康红原”建设</w:t>
      </w:r>
    </w:p>
    <w:p>
      <w:pPr>
        <w:adjustRightInd w:val="0"/>
        <w:snapToGrid w:val="0"/>
        <w:spacing w:line="576" w:lineRule="exact"/>
        <w:ind w:firstLine="480" w:firstLineChars="200"/>
        <w:rPr>
          <w:rFonts w:hint="eastAsia"/>
          <w:shd w:val="clear" w:color="auto" w:fill="FFFFFF"/>
        </w:rPr>
      </w:pPr>
      <w:r>
        <w:rPr>
          <w:rFonts w:hint="eastAsia"/>
          <w:shd w:val="clear" w:color="auto" w:fill="FFFFFF"/>
          <w:lang w:val="en-US" w:eastAsia="zh-CN"/>
        </w:rPr>
        <w:t>5.</w:t>
      </w:r>
      <w:r>
        <w:rPr>
          <w:rFonts w:hint="eastAsia"/>
          <w:shd w:val="clear" w:color="auto" w:fill="FFFFFF"/>
        </w:rPr>
        <w:t>大力实施乡村振兴工作</w:t>
      </w:r>
    </w:p>
    <w:p>
      <w:pPr>
        <w:pStyle w:val="11"/>
        <w:spacing w:before="0" w:beforeAutospacing="0"/>
        <w:ind w:firstLine="480" w:firstLineChars="200"/>
        <w:rPr>
          <w:rFonts w:hint="eastAsia"/>
          <w:shd w:val="clear" w:color="auto" w:fill="FFFFFF"/>
        </w:rPr>
      </w:pPr>
      <w:r>
        <w:rPr>
          <w:rFonts w:hint="eastAsia"/>
          <w:shd w:val="clear" w:color="auto" w:fill="FFFFFF"/>
          <w:lang w:val="en-US" w:eastAsia="zh-CN"/>
        </w:rPr>
        <w:t>6.</w:t>
      </w:r>
      <w:r>
        <w:rPr>
          <w:rFonts w:hint="eastAsia"/>
          <w:shd w:val="clear" w:color="auto" w:fill="FFFFFF"/>
        </w:rPr>
        <w:t>全力做好省州下达的单项重点工作</w:t>
      </w:r>
    </w:p>
    <w:p>
      <w:pPr>
        <w:pStyle w:val="11"/>
        <w:spacing w:before="0" w:beforeAutospacing="0"/>
        <w:ind w:firstLine="480" w:firstLineChars="200"/>
        <w:rPr>
          <w:rFonts w:hint="eastAsia"/>
          <w:shd w:val="clear" w:color="auto" w:fill="FFFFFF"/>
        </w:rPr>
      </w:pPr>
    </w:p>
    <w:p>
      <w:pPr>
        <w:pStyle w:val="11"/>
        <w:spacing w:before="0" w:beforeAutospacing="0"/>
        <w:ind w:firstLine="480" w:firstLineChars="200"/>
        <w:rPr>
          <w:rFonts w:hint="default" w:eastAsia="宋体"/>
          <w:shd w:val="clear" w:color="auto" w:fill="FFFFFF"/>
          <w:lang w:val="en-US" w:eastAsia="zh-CN"/>
        </w:rPr>
      </w:pPr>
      <w:r>
        <w:rPr>
          <w:rFonts w:hint="eastAsia"/>
          <w:shd w:val="clear" w:color="auto" w:fill="FFFFFF"/>
          <w:lang w:val="en-US" w:eastAsia="zh-CN"/>
        </w:rPr>
        <w:t>二、机构设置</w:t>
      </w:r>
    </w:p>
    <w:p>
      <w:pPr>
        <w:pStyle w:val="5"/>
        <w:numPr>
          <w:ilvl w:val="0"/>
          <w:numId w:val="0"/>
        </w:numPr>
        <w:spacing w:before="0" w:beforeAutospacing="0"/>
        <w:ind w:leftChars="0" w:firstLine="240" w:firstLineChars="100"/>
        <w:rPr>
          <w:rFonts w:hint="eastAsia" w:ascii="宋体" w:hAnsi="宋体" w:eastAsia="宋体" w:cs="Times New Roman"/>
          <w:b w:val="0"/>
          <w:kern w:val="0"/>
          <w:sz w:val="24"/>
          <w:szCs w:val="24"/>
          <w:shd w:val="clear" w:color="auto" w:fill="FFFFFF"/>
          <w:lang w:val="zh-CN" w:eastAsia="zh-CN" w:bidi="ar-SA"/>
        </w:rPr>
      </w:pPr>
      <w:r>
        <w:rPr>
          <w:rFonts w:hint="eastAsia" w:ascii="宋体" w:hAnsi="宋体" w:eastAsia="宋体" w:cs="Times New Roman"/>
          <w:b w:val="0"/>
          <w:kern w:val="0"/>
          <w:sz w:val="24"/>
          <w:szCs w:val="24"/>
          <w:shd w:val="clear" w:color="auto" w:fill="FFFFFF"/>
          <w:lang w:val="en-US" w:eastAsia="zh-CN" w:bidi="ar-SA"/>
        </w:rPr>
        <w:t>（一）</w:t>
      </w:r>
      <w:r>
        <w:rPr>
          <w:rFonts w:hint="eastAsia" w:ascii="宋体" w:hAnsi="宋体" w:eastAsia="宋体" w:cs="Times New Roman"/>
          <w:b w:val="0"/>
          <w:kern w:val="0"/>
          <w:sz w:val="24"/>
          <w:szCs w:val="24"/>
          <w:shd w:val="clear" w:color="auto" w:fill="FFFFFF"/>
          <w:lang w:val="zh-CN" w:eastAsia="zh-CN" w:bidi="ar-SA"/>
        </w:rPr>
        <w:t>机构组成</w:t>
      </w:r>
    </w:p>
    <w:p>
      <w:pPr>
        <w:adjustRightInd w:val="0"/>
        <w:snapToGrid w:val="0"/>
        <w:spacing w:line="576" w:lineRule="exact"/>
        <w:ind w:firstLine="480" w:firstLineChars="200"/>
        <w:rPr>
          <w:rFonts w:hint="eastAsia"/>
          <w:shd w:val="clear" w:color="auto" w:fill="FFFFFF"/>
        </w:rPr>
      </w:pPr>
      <w:r>
        <w:rPr>
          <w:rFonts w:hint="eastAsia"/>
          <w:shd w:val="clear" w:color="auto" w:fill="FFFFFF"/>
          <w:lang w:val="en-US" w:eastAsia="zh-CN"/>
        </w:rPr>
        <w:t>本</w:t>
      </w:r>
      <w:r>
        <w:rPr>
          <w:rFonts w:hint="eastAsia"/>
          <w:shd w:val="clear" w:color="auto" w:fill="FFFFFF"/>
        </w:rPr>
        <w:t>单位为独立核算全额拨款行政单位，下设医改办、爱卫办、计生协会、流动人口管理办</w:t>
      </w:r>
      <w:r>
        <w:rPr>
          <w:rFonts w:hint="eastAsia"/>
          <w:shd w:val="clear" w:color="auto" w:fill="FFFFFF"/>
          <w:lang w:eastAsia="zh-CN"/>
        </w:rPr>
        <w:t>、</w:t>
      </w:r>
      <w:r>
        <w:rPr>
          <w:rFonts w:hint="eastAsia"/>
          <w:shd w:val="clear" w:color="auto" w:fill="FFFFFF"/>
          <w:lang w:val="en-US" w:eastAsia="zh-CN"/>
        </w:rPr>
        <w:t>卫生和计生执法监督大队</w:t>
      </w:r>
      <w:r>
        <w:rPr>
          <w:rFonts w:hint="eastAsia"/>
          <w:shd w:val="clear" w:color="auto" w:fill="FFFFFF"/>
        </w:rPr>
        <w:t>共</w:t>
      </w:r>
      <w:r>
        <w:rPr>
          <w:rFonts w:hint="eastAsia"/>
          <w:shd w:val="clear" w:color="auto" w:fill="FFFFFF"/>
          <w:lang w:val="en-US" w:eastAsia="zh-CN"/>
        </w:rPr>
        <w:t>5</w:t>
      </w:r>
      <w:r>
        <w:rPr>
          <w:rFonts w:hint="eastAsia"/>
          <w:shd w:val="clear" w:color="auto" w:fill="FFFFFF"/>
        </w:rPr>
        <w:t>个机构。</w:t>
      </w:r>
    </w:p>
    <w:p>
      <w:pPr>
        <w:pStyle w:val="5"/>
        <w:numPr>
          <w:ilvl w:val="0"/>
          <w:numId w:val="0"/>
        </w:numPr>
        <w:spacing w:before="0" w:beforeAutospacing="0"/>
        <w:ind w:firstLine="240" w:firstLineChars="100"/>
        <w:rPr>
          <w:rFonts w:hint="eastAsia" w:ascii="宋体" w:hAnsi="宋体" w:eastAsia="宋体" w:cs="Times New Roman"/>
          <w:b w:val="0"/>
          <w:kern w:val="0"/>
          <w:sz w:val="24"/>
          <w:szCs w:val="24"/>
          <w:shd w:val="clear" w:color="auto" w:fill="FFFFFF"/>
          <w:lang w:val="zh-CN" w:eastAsia="zh-CN" w:bidi="ar-SA"/>
        </w:rPr>
      </w:pPr>
      <w:r>
        <w:rPr>
          <w:rFonts w:hint="eastAsia" w:cs="Times New Roman"/>
          <w:b w:val="0"/>
          <w:kern w:val="0"/>
          <w:sz w:val="24"/>
          <w:szCs w:val="24"/>
          <w:shd w:val="clear" w:color="auto" w:fill="FFFFFF"/>
          <w:lang w:val="en-US" w:eastAsia="zh-CN" w:bidi="ar-SA"/>
        </w:rPr>
        <w:t>（</w:t>
      </w:r>
      <w:r>
        <w:rPr>
          <w:rFonts w:hint="eastAsia" w:ascii="宋体" w:hAnsi="宋体" w:eastAsia="宋体" w:cs="Times New Roman"/>
          <w:b w:val="0"/>
          <w:kern w:val="0"/>
          <w:sz w:val="24"/>
          <w:szCs w:val="24"/>
          <w:shd w:val="clear" w:color="auto" w:fill="FFFFFF"/>
          <w:lang w:val="en-US" w:eastAsia="zh-CN" w:bidi="ar-SA"/>
        </w:rPr>
        <w:t>二）</w:t>
      </w:r>
      <w:r>
        <w:rPr>
          <w:rFonts w:hint="eastAsia" w:ascii="宋体" w:hAnsi="宋体" w:eastAsia="宋体" w:cs="Times New Roman"/>
          <w:b w:val="0"/>
          <w:kern w:val="0"/>
          <w:sz w:val="24"/>
          <w:szCs w:val="24"/>
          <w:shd w:val="clear" w:color="auto" w:fill="FFFFFF"/>
          <w:lang w:val="zh-CN" w:eastAsia="zh-CN" w:bidi="ar-SA"/>
        </w:rPr>
        <w:t>人员概况</w:t>
      </w:r>
    </w:p>
    <w:p>
      <w:pPr>
        <w:adjustRightInd w:val="0"/>
        <w:snapToGrid w:val="0"/>
        <w:spacing w:line="576" w:lineRule="exact"/>
        <w:ind w:firstLine="480" w:firstLineChars="200"/>
        <w:rPr>
          <w:shd w:val="clear" w:color="auto" w:fill="FFFFFF"/>
        </w:rPr>
      </w:pPr>
      <w:r>
        <w:rPr>
          <w:rFonts w:hint="eastAsia"/>
          <w:shd w:val="clear" w:color="auto" w:fill="FFFFFF"/>
        </w:rPr>
        <w:t>截止</w:t>
      </w:r>
      <w:r>
        <w:rPr>
          <w:rFonts w:hint="eastAsia"/>
          <w:shd w:val="clear" w:color="auto" w:fill="FFFFFF"/>
          <w:lang w:val="en-US" w:eastAsia="zh-CN"/>
        </w:rPr>
        <w:t>2021</w:t>
      </w:r>
      <w:r>
        <w:rPr>
          <w:rFonts w:hint="eastAsia"/>
          <w:shd w:val="clear" w:color="auto" w:fill="FFFFFF"/>
        </w:rPr>
        <w:t>年底我单位共有编制</w:t>
      </w:r>
      <w:r>
        <w:rPr>
          <w:rFonts w:hint="eastAsia"/>
          <w:shd w:val="clear" w:color="auto" w:fill="FFFFFF"/>
          <w:lang w:val="en-US" w:eastAsia="zh-CN"/>
        </w:rPr>
        <w:t>30</w:t>
      </w:r>
      <w:r>
        <w:rPr>
          <w:rFonts w:hint="eastAsia"/>
          <w:shd w:val="clear" w:color="auto" w:fill="FFFFFF"/>
        </w:rPr>
        <w:t>个，其中公务员编制</w:t>
      </w:r>
      <w:r>
        <w:rPr>
          <w:rFonts w:hint="eastAsia"/>
          <w:shd w:val="clear" w:color="auto" w:fill="FFFFFF"/>
          <w:lang w:val="en-US" w:eastAsia="zh-CN"/>
        </w:rPr>
        <w:t>8</w:t>
      </w:r>
      <w:r>
        <w:rPr>
          <w:rFonts w:hint="eastAsia"/>
          <w:shd w:val="clear" w:color="auto" w:fill="FFFFFF"/>
        </w:rPr>
        <w:t>个，参公</w:t>
      </w:r>
      <w:r>
        <w:rPr>
          <w:rFonts w:hint="eastAsia"/>
          <w:shd w:val="clear" w:color="auto" w:fill="FFFFFF"/>
          <w:lang w:val="en-US" w:eastAsia="zh-CN"/>
        </w:rPr>
        <w:t>10个，</w:t>
      </w:r>
      <w:r>
        <w:rPr>
          <w:rFonts w:hint="eastAsia"/>
          <w:shd w:val="clear" w:color="auto" w:fill="FFFFFF"/>
        </w:rPr>
        <w:t>行政工勤编制1个，事业编制1</w:t>
      </w:r>
      <w:r>
        <w:rPr>
          <w:rFonts w:hint="eastAsia"/>
          <w:shd w:val="clear" w:color="auto" w:fill="FFFFFF"/>
          <w:lang w:val="en-US" w:eastAsia="zh-CN"/>
        </w:rPr>
        <w:t>1</w:t>
      </w:r>
      <w:r>
        <w:rPr>
          <w:rFonts w:hint="eastAsia"/>
          <w:shd w:val="clear" w:color="auto" w:fill="FFFFFF"/>
        </w:rPr>
        <w:t>个</w:t>
      </w:r>
      <w:r>
        <w:rPr>
          <w:rFonts w:hint="eastAsia"/>
          <w:shd w:val="clear" w:color="auto" w:fill="FFFFFF"/>
          <w:lang w:eastAsia="zh-CN"/>
        </w:rPr>
        <w:t>。</w:t>
      </w:r>
      <w:r>
        <w:rPr>
          <w:rFonts w:hint="eastAsia"/>
          <w:shd w:val="clear" w:color="auto" w:fill="FFFFFF"/>
        </w:rPr>
        <w:t>在职2</w:t>
      </w:r>
      <w:r>
        <w:rPr>
          <w:rFonts w:hint="eastAsia"/>
          <w:shd w:val="clear" w:color="auto" w:fill="FFFFFF"/>
          <w:lang w:val="en-US" w:eastAsia="zh-CN"/>
        </w:rPr>
        <w:t>7</w:t>
      </w:r>
      <w:r>
        <w:rPr>
          <w:rFonts w:hint="eastAsia"/>
          <w:shd w:val="clear" w:color="auto" w:fill="FFFFFF"/>
        </w:rPr>
        <w:t>人，其中参公</w:t>
      </w:r>
      <w:r>
        <w:rPr>
          <w:rFonts w:hint="eastAsia"/>
          <w:shd w:val="clear" w:color="auto" w:fill="FFFFFF"/>
          <w:lang w:val="en-US" w:eastAsia="zh-CN"/>
        </w:rPr>
        <w:t>5</w:t>
      </w:r>
      <w:r>
        <w:rPr>
          <w:rFonts w:hint="eastAsia"/>
          <w:shd w:val="clear" w:color="auto" w:fill="FFFFFF"/>
        </w:rPr>
        <w:t>人，公务员</w:t>
      </w:r>
      <w:r>
        <w:rPr>
          <w:rFonts w:hint="eastAsia"/>
          <w:shd w:val="clear" w:color="auto" w:fill="FFFFFF"/>
          <w:lang w:val="en-US" w:eastAsia="zh-CN"/>
        </w:rPr>
        <w:t>8</w:t>
      </w:r>
      <w:r>
        <w:rPr>
          <w:rFonts w:hint="eastAsia"/>
          <w:shd w:val="clear" w:color="auto" w:fill="FFFFFF"/>
        </w:rPr>
        <w:t>人，事业1</w:t>
      </w:r>
      <w:r>
        <w:rPr>
          <w:rFonts w:hint="eastAsia"/>
          <w:shd w:val="clear" w:color="auto" w:fill="FFFFFF"/>
          <w:lang w:val="en-US" w:eastAsia="zh-CN"/>
        </w:rPr>
        <w:t>0</w:t>
      </w:r>
      <w:r>
        <w:rPr>
          <w:rFonts w:hint="eastAsia"/>
          <w:shd w:val="clear" w:color="auto" w:fill="FFFFFF"/>
        </w:rPr>
        <w:t>人，行政工勤</w:t>
      </w:r>
      <w:r>
        <w:rPr>
          <w:rFonts w:hint="eastAsia"/>
          <w:shd w:val="clear" w:color="auto" w:fill="FFFFFF"/>
          <w:lang w:val="en-US" w:eastAsia="zh-CN"/>
        </w:rPr>
        <w:t>4</w:t>
      </w:r>
      <w:r>
        <w:rPr>
          <w:rFonts w:hint="eastAsia"/>
          <w:shd w:val="clear" w:color="auto" w:fill="FFFFFF"/>
        </w:rPr>
        <w:t>人，退休</w:t>
      </w:r>
      <w:r>
        <w:rPr>
          <w:rFonts w:hint="eastAsia"/>
          <w:shd w:val="clear" w:color="auto" w:fill="FFFFFF"/>
          <w:lang w:val="en-US" w:eastAsia="zh-CN"/>
        </w:rPr>
        <w:t>1</w:t>
      </w:r>
      <w:r>
        <w:rPr>
          <w:rFonts w:hint="eastAsia"/>
          <w:shd w:val="clear" w:color="auto" w:fill="FFFFFF"/>
        </w:rPr>
        <w:t>0人。</w:t>
      </w:r>
    </w:p>
    <w:p>
      <w:pPr>
        <w:pStyle w:val="11"/>
        <w:spacing w:before="0" w:beforeAutospacing="0"/>
        <w:ind w:firstLine="480" w:firstLineChars="200"/>
        <w:rPr>
          <w:rFonts w:hint="eastAsia"/>
          <w:shd w:val="clear" w:color="auto" w:fill="FFFFFF"/>
        </w:rPr>
      </w:pPr>
    </w:p>
    <w:p>
      <w:pPr>
        <w:pStyle w:val="11"/>
        <w:keepNext w:val="0"/>
        <w:keepLines w:val="0"/>
        <w:widowControl/>
        <w:numPr>
          <w:ilvl w:val="0"/>
          <w:numId w:val="1"/>
        </w:numPr>
        <w:suppressLineNumbers w:val="0"/>
        <w:spacing w:before="0" w:beforeAutospacing="0"/>
        <w:ind w:left="0"/>
        <w:jc w:val="center"/>
        <w:rPr>
          <w:rStyle w:val="14"/>
          <w:sz w:val="24"/>
          <w:szCs w:val="24"/>
          <w:shd w:val="clear" w:color="auto" w:fill="FFFFFF"/>
        </w:rPr>
      </w:pPr>
      <w:r>
        <w:rPr>
          <w:rStyle w:val="14"/>
          <w:sz w:val="24"/>
          <w:szCs w:val="24"/>
          <w:shd w:val="clear" w:color="auto" w:fill="FFFFFF"/>
        </w:rPr>
        <w:t>202</w:t>
      </w:r>
      <w:r>
        <w:rPr>
          <w:rStyle w:val="14"/>
          <w:rFonts w:hint="eastAsia"/>
          <w:sz w:val="24"/>
          <w:szCs w:val="24"/>
          <w:shd w:val="clear" w:color="auto" w:fill="FFFFFF"/>
          <w:lang w:val="en-US" w:eastAsia="zh-CN"/>
        </w:rPr>
        <w:t>2</w:t>
      </w:r>
      <w:r>
        <w:rPr>
          <w:rStyle w:val="14"/>
          <w:sz w:val="24"/>
          <w:szCs w:val="24"/>
          <w:shd w:val="clear" w:color="auto" w:fill="FFFFFF"/>
        </w:rPr>
        <w:t>年度</w:t>
      </w:r>
      <w:r>
        <w:rPr>
          <w:rStyle w:val="14"/>
          <w:rFonts w:hint="eastAsia"/>
          <w:sz w:val="24"/>
          <w:szCs w:val="24"/>
          <w:shd w:val="clear" w:color="auto" w:fill="FFFFFF"/>
          <w:lang w:eastAsia="zh-CN"/>
        </w:rPr>
        <w:t>单位</w:t>
      </w:r>
      <w:r>
        <w:rPr>
          <w:rStyle w:val="14"/>
          <w:sz w:val="24"/>
          <w:szCs w:val="24"/>
          <w:shd w:val="clear" w:color="auto" w:fill="FFFFFF"/>
        </w:rPr>
        <w:t>决算情况说明</w:t>
      </w:r>
    </w:p>
    <w:p>
      <w:pPr>
        <w:pStyle w:val="11"/>
        <w:keepNext w:val="0"/>
        <w:keepLines w:val="0"/>
        <w:widowControl/>
        <w:numPr>
          <w:ilvl w:val="0"/>
          <w:numId w:val="0"/>
        </w:numPr>
        <w:suppressLineNumbers w:val="0"/>
        <w:spacing w:before="0" w:beforeAutospacing="0"/>
        <w:ind w:right="0" w:rightChars="0"/>
        <w:jc w:val="both"/>
      </w:pPr>
      <w:r>
        <w:rPr>
          <w:rStyle w:val="14"/>
          <w:sz w:val="24"/>
          <w:szCs w:val="24"/>
          <w:shd w:val="clear" w:color="auto" w:fill="FFFFFF"/>
        </w:rPr>
        <w:t>一、 收入支出决算总体情况说明</w:t>
      </w:r>
    </w:p>
    <w:p>
      <w:pPr>
        <w:pStyle w:val="11"/>
        <w:keepNext w:val="0"/>
        <w:keepLines w:val="0"/>
        <w:widowControl/>
        <w:suppressLineNumbers w:val="0"/>
        <w:spacing w:before="0" w:beforeAutospacing="0"/>
        <w:ind w:left="0"/>
        <w:jc w:val="left"/>
        <w:rPr>
          <w:rFonts w:hint="default"/>
          <w:sz w:val="24"/>
          <w:szCs w:val="24"/>
          <w:shd w:val="clear" w:color="auto" w:fill="FFFFFF"/>
          <w:lang w:val="en-US" w:eastAsia="zh-CN"/>
        </w:rPr>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年度收</w:t>
      </w:r>
      <w:r>
        <w:rPr>
          <w:rFonts w:hint="eastAsia"/>
          <w:sz w:val="24"/>
          <w:szCs w:val="24"/>
          <w:shd w:val="clear" w:color="auto" w:fill="FFFFFF"/>
          <w:lang w:eastAsia="zh-CN"/>
        </w:rPr>
        <w:t>、</w:t>
      </w:r>
      <w:r>
        <w:rPr>
          <w:rFonts w:hint="eastAsia"/>
          <w:sz w:val="24"/>
          <w:szCs w:val="24"/>
          <w:shd w:val="clear" w:color="auto" w:fill="FFFFFF"/>
          <w:lang w:val="en-US" w:eastAsia="zh-CN"/>
        </w:rPr>
        <w:t>支</w:t>
      </w:r>
      <w:r>
        <w:rPr>
          <w:sz w:val="24"/>
          <w:szCs w:val="24"/>
          <w:shd w:val="clear" w:color="auto" w:fill="FFFFFF"/>
        </w:rPr>
        <w:t>总计</w:t>
      </w:r>
      <w:r>
        <w:rPr>
          <w:rFonts w:hint="eastAsia"/>
          <w:sz w:val="24"/>
          <w:szCs w:val="24"/>
          <w:shd w:val="clear" w:color="auto" w:fill="FFFFFF"/>
          <w:lang w:eastAsia="zh-CN"/>
        </w:rPr>
        <w:t>均为</w:t>
      </w:r>
      <w:r>
        <w:rPr>
          <w:rFonts w:hint="eastAsia"/>
          <w:sz w:val="24"/>
          <w:szCs w:val="24"/>
          <w:shd w:val="clear" w:color="auto" w:fill="FFFFFF"/>
          <w:lang w:val="en-US" w:eastAsia="zh-CN"/>
        </w:rPr>
        <w:t>4253.44</w:t>
      </w:r>
      <w:r>
        <w:rPr>
          <w:sz w:val="24"/>
          <w:szCs w:val="24"/>
          <w:shd w:val="clear" w:color="auto" w:fill="FFFFFF"/>
        </w:rPr>
        <w:t>万元与20</w:t>
      </w:r>
      <w:r>
        <w:rPr>
          <w:rFonts w:hint="eastAsia"/>
          <w:sz w:val="24"/>
          <w:szCs w:val="24"/>
          <w:shd w:val="clear" w:color="auto" w:fill="FFFFFF"/>
          <w:lang w:val="en-US" w:eastAsia="zh-CN"/>
        </w:rPr>
        <w:t>21</w:t>
      </w:r>
      <w:r>
        <w:rPr>
          <w:sz w:val="24"/>
          <w:szCs w:val="24"/>
          <w:shd w:val="clear" w:color="auto" w:fill="FFFFFF"/>
        </w:rPr>
        <w:t>年相比，2021年度收入总计1286.24万元、支出总计1401.36万元。</w:t>
      </w:r>
      <w:r>
        <w:rPr>
          <w:rFonts w:hint="eastAsia"/>
          <w:sz w:val="24"/>
          <w:szCs w:val="24"/>
          <w:shd w:val="clear" w:color="auto" w:fill="FFFFFF"/>
          <w:lang w:eastAsia="zh-CN"/>
        </w:rPr>
        <w:t>收入增加</w:t>
      </w:r>
      <w:r>
        <w:rPr>
          <w:rFonts w:hint="eastAsia"/>
          <w:sz w:val="24"/>
          <w:szCs w:val="24"/>
          <w:shd w:val="clear" w:color="auto" w:fill="FFFFFF"/>
          <w:lang w:val="en-US" w:eastAsia="zh-CN"/>
        </w:rPr>
        <w:t>230.69%，支出增加205.52%，主要原因为本年度增加红原县方舱隔离点建设资金2520万元。</w:t>
      </w:r>
    </w:p>
    <w:p>
      <w:pPr>
        <w:pStyle w:val="11"/>
        <w:keepNext w:val="0"/>
        <w:keepLines w:val="0"/>
        <w:widowControl/>
        <w:suppressLineNumbers w:val="0"/>
        <w:spacing w:before="0" w:beforeAutospacing="0"/>
        <w:ind w:left="0"/>
        <w:jc w:val="center"/>
        <w:rPr>
          <w:sz w:val="24"/>
          <w:szCs w:val="24"/>
          <w:shd w:val="clear"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-483235</wp:posOffset>
            </wp:positionH>
            <wp:positionV relativeFrom="paragraph">
              <wp:posOffset>481965</wp:posOffset>
            </wp:positionV>
            <wp:extent cx="6760210" cy="2067560"/>
            <wp:effectExtent l="4445" t="4445" r="17145" b="2349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shd w:val="clear" w:color="auto" w:fill="FFFFFF"/>
        </w:rPr>
        <w:t> </w:t>
      </w:r>
      <w:r>
        <w:rPr>
          <w:sz w:val="24"/>
          <w:szCs w:val="24"/>
          <w:shd w:val="clear" w:color="auto" w:fill="FFFFFF"/>
        </w:rPr>
        <w:t>（图1：收、支决算总计变动情况图）（柱状图）</w:t>
      </w:r>
    </w:p>
    <w:p>
      <w:pPr>
        <w:pStyle w:val="11"/>
        <w:keepNext w:val="0"/>
        <w:keepLines w:val="0"/>
        <w:widowControl/>
        <w:suppressLineNumbers w:val="0"/>
        <w:spacing w:before="0" w:beforeAutospacing="0"/>
        <w:ind w:left="0"/>
        <w:jc w:val="both"/>
      </w:pPr>
      <w:r>
        <w:rPr>
          <w:rStyle w:val="14"/>
          <w:sz w:val="24"/>
          <w:szCs w:val="24"/>
          <w:shd w:val="clear" w:color="auto" w:fill="FFFFFF"/>
        </w:rPr>
        <w:t>二、收入决算情况说明</w:t>
      </w:r>
    </w:p>
    <w:p>
      <w:pPr>
        <w:pStyle w:val="11"/>
        <w:keepNext w:val="0"/>
        <w:keepLines w:val="0"/>
        <w:widowControl/>
        <w:suppressLineNumbers w:val="0"/>
        <w:spacing w:before="0" w:beforeAutospacing="0"/>
        <w:ind w:left="0"/>
        <w:jc w:val="left"/>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年本年收入合计</w:t>
      </w:r>
      <w:r>
        <w:rPr>
          <w:rFonts w:hint="eastAsia"/>
          <w:sz w:val="24"/>
          <w:szCs w:val="24"/>
          <w:shd w:val="clear" w:color="auto" w:fill="FFFFFF"/>
          <w:lang w:val="en-US" w:eastAsia="zh-CN"/>
        </w:rPr>
        <w:t>4253.44</w:t>
      </w:r>
      <w:r>
        <w:rPr>
          <w:sz w:val="24"/>
          <w:szCs w:val="24"/>
          <w:shd w:val="clear" w:color="auto" w:fill="FFFFFF"/>
        </w:rPr>
        <w:t>万元，其中：一般公共预算财政拨款收入</w:t>
      </w:r>
      <w:r>
        <w:rPr>
          <w:rFonts w:hint="eastAsia"/>
          <w:sz w:val="24"/>
          <w:szCs w:val="24"/>
          <w:shd w:val="clear" w:color="auto" w:fill="FFFFFF"/>
          <w:lang w:val="en-US" w:eastAsia="zh-CN"/>
        </w:rPr>
        <w:t>4229.51</w:t>
      </w:r>
      <w:r>
        <w:rPr>
          <w:sz w:val="24"/>
          <w:szCs w:val="24"/>
          <w:shd w:val="clear" w:color="auto" w:fill="FFFFFF"/>
        </w:rPr>
        <w:t xml:space="preserve">万元，占 </w:t>
      </w:r>
      <w:r>
        <w:rPr>
          <w:rFonts w:hint="eastAsia"/>
          <w:sz w:val="24"/>
          <w:szCs w:val="24"/>
          <w:shd w:val="clear" w:color="auto" w:fill="FFFFFF"/>
          <w:lang w:val="en-US" w:eastAsia="zh-CN"/>
        </w:rPr>
        <w:t>99.43</w:t>
      </w:r>
      <w:r>
        <w:rPr>
          <w:sz w:val="24"/>
          <w:szCs w:val="24"/>
          <w:shd w:val="clear" w:color="auto" w:fill="FFFFFF"/>
        </w:rPr>
        <w:t>%；政府性基金预算财政拨款收入0.00万元，占 0.00%；国有资本经营预算财政拨款收入0.00万元，占 0.00%;上级补助收入0.00万元，占 0.00%；事业收入0.00万元，占 0.00%；经营收入0.00万元，占 0.00%；附属单位上缴收入0.00万元，占 0.00%；其他收入</w:t>
      </w:r>
      <w:r>
        <w:rPr>
          <w:rFonts w:hint="eastAsia"/>
          <w:sz w:val="24"/>
          <w:szCs w:val="24"/>
          <w:shd w:val="clear" w:color="auto" w:fill="FFFFFF"/>
          <w:lang w:val="en-US" w:eastAsia="zh-CN"/>
        </w:rPr>
        <w:t>23.93</w:t>
      </w:r>
      <w:r>
        <w:rPr>
          <w:sz w:val="24"/>
          <w:szCs w:val="24"/>
          <w:shd w:val="clear" w:color="auto" w:fill="FFFFFF"/>
        </w:rPr>
        <w:t>万元，占</w:t>
      </w:r>
      <w:r>
        <w:rPr>
          <w:rFonts w:hint="eastAsia"/>
          <w:sz w:val="24"/>
          <w:szCs w:val="24"/>
          <w:shd w:val="clear" w:color="auto" w:fill="FFFFFF"/>
          <w:lang w:val="en-US" w:eastAsia="zh-CN"/>
        </w:rPr>
        <w:t>0.56</w:t>
      </w:r>
      <w:r>
        <w:rPr>
          <w:sz w:val="24"/>
          <w:szCs w:val="24"/>
          <w:shd w:val="clear" w:color="auto" w:fill="FFFFFF"/>
        </w:rPr>
        <w:t>%。</w:t>
      </w:r>
    </w:p>
    <w:p>
      <w:pPr>
        <w:pStyle w:val="11"/>
        <w:keepNext w:val="0"/>
        <w:keepLines w:val="0"/>
        <w:widowControl/>
        <w:suppressLineNumbers w:val="0"/>
        <w:spacing w:before="0" w:beforeAutospacing="0"/>
        <w:ind w:left="0"/>
        <w:jc w:val="left"/>
        <w:rPr>
          <w:sz w:val="24"/>
          <w:szCs w:val="24"/>
          <w:shd w:val="clear" w:color="auto" w:fill="FFFFFF"/>
        </w:rPr>
      </w:pPr>
      <w:r>
        <w:rPr>
          <w:shd w:val="clear" w:color="auto" w:fill="FFFFFF"/>
        </w:rPr>
        <w:t> </w:t>
      </w:r>
      <w:r>
        <w:rPr>
          <w:rFonts w:hint="eastAsia"/>
          <w:shd w:val="clear" w:color="auto" w:fill="FFFFFF"/>
          <w:lang w:val="en-US" w:eastAsia="zh-CN"/>
        </w:rPr>
        <w:t xml:space="preserve">    </w:t>
      </w:r>
      <w:r>
        <w:rPr>
          <w:sz w:val="24"/>
          <w:szCs w:val="24"/>
          <w:shd w:val="clear" w:color="auto" w:fill="FFFFFF"/>
        </w:rPr>
        <w:t>（图2：收入决算结构图）（饼状图）</w:t>
      </w:r>
    </w:p>
    <w:p>
      <w:pPr>
        <w:pStyle w:val="11"/>
        <w:keepNext w:val="0"/>
        <w:keepLines w:val="0"/>
        <w:widowControl/>
        <w:suppressLineNumbers w:val="0"/>
        <w:spacing w:before="0" w:beforeAutospacing="0"/>
        <w:ind w:left="0"/>
        <w:jc w:val="left"/>
        <w:rPr>
          <w:rStyle w:val="14"/>
          <w:sz w:val="24"/>
          <w:szCs w:val="24"/>
          <w:shd w:val="clear"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-256540</wp:posOffset>
            </wp:positionH>
            <wp:positionV relativeFrom="paragraph">
              <wp:posOffset>340360</wp:posOffset>
            </wp:positionV>
            <wp:extent cx="6851650" cy="1922780"/>
            <wp:effectExtent l="4445" t="4445" r="20955" b="1587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pPr>
      <w:r>
        <w:rPr>
          <w:rStyle w:val="14"/>
          <w:sz w:val="24"/>
          <w:szCs w:val="24"/>
          <w:shd w:val="clear" w:color="auto" w:fill="FFFFFF"/>
        </w:rPr>
        <w:t>三、支出决算情况说明</w:t>
      </w:r>
    </w:p>
    <w:p>
      <w:pPr>
        <w:pStyle w:val="11"/>
        <w:keepNext w:val="0"/>
        <w:keepLines w:val="0"/>
        <w:widowControl/>
        <w:suppressLineNumbers w:val="0"/>
        <w:spacing w:before="0" w:beforeAutospacing="0"/>
        <w:ind w:left="0"/>
        <w:jc w:val="left"/>
        <w:rPr>
          <w:sz w:val="24"/>
          <w:szCs w:val="24"/>
          <w:shd w:val="clear"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-393065</wp:posOffset>
            </wp:positionH>
            <wp:positionV relativeFrom="paragraph">
              <wp:posOffset>505460</wp:posOffset>
            </wp:positionV>
            <wp:extent cx="6346190" cy="1502410"/>
            <wp:effectExtent l="4445" t="4445" r="12065" b="1714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年本年支出合计</w:t>
      </w:r>
      <w:r>
        <w:rPr>
          <w:rFonts w:hint="eastAsia"/>
          <w:sz w:val="24"/>
          <w:szCs w:val="24"/>
          <w:shd w:val="clear" w:color="auto" w:fill="FFFFFF"/>
          <w:lang w:val="en-US" w:eastAsia="zh-CN"/>
        </w:rPr>
        <w:t>4253.44</w:t>
      </w:r>
      <w:r>
        <w:rPr>
          <w:sz w:val="24"/>
          <w:szCs w:val="24"/>
          <w:shd w:val="clear" w:color="auto" w:fill="FFFFFF"/>
        </w:rPr>
        <w:t>万元，其中：基本支出</w:t>
      </w:r>
      <w:r>
        <w:rPr>
          <w:rFonts w:hint="eastAsia"/>
          <w:sz w:val="24"/>
          <w:szCs w:val="24"/>
          <w:shd w:val="clear" w:color="auto" w:fill="FFFFFF"/>
          <w:lang w:val="en-US" w:eastAsia="zh-CN"/>
        </w:rPr>
        <w:t>663.27</w:t>
      </w:r>
      <w:r>
        <w:rPr>
          <w:sz w:val="24"/>
          <w:szCs w:val="24"/>
          <w:shd w:val="clear" w:color="auto" w:fill="FFFFFF"/>
        </w:rPr>
        <w:t>万元，占</w:t>
      </w:r>
      <w:r>
        <w:rPr>
          <w:rFonts w:hint="eastAsia"/>
          <w:sz w:val="24"/>
          <w:szCs w:val="24"/>
          <w:shd w:val="clear" w:color="auto" w:fill="FFFFFF"/>
          <w:lang w:val="en-US" w:eastAsia="zh-CN"/>
        </w:rPr>
        <w:t>15.59</w:t>
      </w:r>
      <w:r>
        <w:rPr>
          <w:sz w:val="24"/>
          <w:szCs w:val="24"/>
          <w:shd w:val="clear" w:color="auto" w:fill="FFFFFF"/>
        </w:rPr>
        <w:t>%；项目支出</w:t>
      </w:r>
      <w:r>
        <w:rPr>
          <w:rFonts w:hint="eastAsia"/>
          <w:sz w:val="24"/>
          <w:szCs w:val="24"/>
          <w:shd w:val="clear" w:color="auto" w:fill="FFFFFF"/>
          <w:lang w:val="en-US" w:eastAsia="zh-CN"/>
        </w:rPr>
        <w:t>3590.17</w:t>
      </w:r>
      <w:r>
        <w:rPr>
          <w:sz w:val="24"/>
          <w:szCs w:val="24"/>
          <w:shd w:val="clear" w:color="auto" w:fill="FFFFFF"/>
        </w:rPr>
        <w:t>万元，占</w:t>
      </w:r>
      <w:r>
        <w:rPr>
          <w:rFonts w:hint="eastAsia"/>
          <w:sz w:val="24"/>
          <w:szCs w:val="24"/>
          <w:shd w:val="clear" w:color="auto" w:fill="FFFFFF"/>
          <w:lang w:val="en-US" w:eastAsia="zh-CN"/>
        </w:rPr>
        <w:t>84.41</w:t>
      </w:r>
      <w:r>
        <w:rPr>
          <w:sz w:val="24"/>
          <w:szCs w:val="24"/>
          <w:shd w:val="clear" w:color="auto" w:fill="FFFFFF"/>
        </w:rPr>
        <w:t>%；上缴上级支出0.万元，占 0.00%；经营支出0万元，占 0.00%；对附属单位补助支出0.万元，占 0.00%；。</w:t>
      </w:r>
    </w:p>
    <w:p>
      <w:pPr>
        <w:pStyle w:val="11"/>
        <w:keepNext w:val="0"/>
        <w:keepLines w:val="0"/>
        <w:widowControl/>
        <w:suppressLineNumbers w:val="0"/>
        <w:spacing w:before="0" w:beforeAutospacing="0"/>
        <w:ind w:left="0" w:firstLine="960" w:firstLineChars="400"/>
        <w:jc w:val="left"/>
        <w:rPr>
          <w:sz w:val="24"/>
          <w:szCs w:val="24"/>
          <w:shd w:val="clear" w:color="auto" w:fill="FFFFFF"/>
        </w:rPr>
      </w:pPr>
    </w:p>
    <w:p>
      <w:pPr>
        <w:pStyle w:val="11"/>
        <w:keepNext w:val="0"/>
        <w:keepLines w:val="0"/>
        <w:widowControl/>
        <w:suppressLineNumbers w:val="0"/>
        <w:spacing w:before="0" w:beforeAutospacing="0"/>
        <w:ind w:left="0" w:firstLine="960" w:firstLineChars="400"/>
        <w:jc w:val="left"/>
        <w:rPr>
          <w:sz w:val="24"/>
          <w:szCs w:val="24"/>
          <w:shd w:val="clear" w:color="auto" w:fill="FFFFFF"/>
        </w:rPr>
      </w:pPr>
    </w:p>
    <w:p>
      <w:pPr>
        <w:pStyle w:val="11"/>
        <w:keepNext w:val="0"/>
        <w:keepLines w:val="0"/>
        <w:widowControl/>
        <w:suppressLineNumbers w:val="0"/>
        <w:spacing w:before="0" w:beforeAutospacing="0"/>
        <w:ind w:left="0" w:firstLine="960" w:firstLineChars="400"/>
        <w:jc w:val="left"/>
        <w:rPr>
          <w:sz w:val="24"/>
          <w:szCs w:val="24"/>
          <w:shd w:val="clear" w:color="auto" w:fill="FFFFFF"/>
        </w:rPr>
      </w:pPr>
    </w:p>
    <w:p>
      <w:pPr>
        <w:pStyle w:val="11"/>
        <w:keepNext w:val="0"/>
        <w:keepLines w:val="0"/>
        <w:widowControl/>
        <w:suppressLineNumbers w:val="0"/>
        <w:spacing w:before="0" w:beforeAutospacing="0"/>
        <w:ind w:left="0" w:firstLine="960" w:firstLineChars="400"/>
        <w:jc w:val="left"/>
        <w:rPr>
          <w:sz w:val="24"/>
          <w:szCs w:val="24"/>
          <w:shd w:val="clear" w:color="auto" w:fill="FFFFFF"/>
        </w:rPr>
      </w:pPr>
    </w:p>
    <w:p>
      <w:pPr>
        <w:pStyle w:val="11"/>
        <w:keepNext w:val="0"/>
        <w:keepLines w:val="0"/>
        <w:widowControl/>
        <w:suppressLineNumbers w:val="0"/>
        <w:spacing w:before="0" w:beforeAutospacing="0"/>
        <w:ind w:left="0" w:firstLine="960" w:firstLineChars="400"/>
        <w:jc w:val="left"/>
        <w:rPr>
          <w:sz w:val="24"/>
          <w:szCs w:val="24"/>
          <w:shd w:val="clear" w:color="auto" w:fill="FFFFFF"/>
        </w:rPr>
      </w:pPr>
    </w:p>
    <w:p>
      <w:pPr>
        <w:pStyle w:val="11"/>
        <w:keepNext w:val="0"/>
        <w:keepLines w:val="0"/>
        <w:widowControl/>
        <w:suppressLineNumbers w:val="0"/>
        <w:spacing w:before="0" w:beforeAutospacing="0"/>
        <w:ind w:left="0" w:firstLine="960" w:firstLineChars="400"/>
        <w:jc w:val="left"/>
      </w:pPr>
      <w:r>
        <w:rPr>
          <w:sz w:val="24"/>
          <w:szCs w:val="24"/>
          <w:shd w:val="clear" w:color="auto" w:fill="FFFFFF"/>
        </w:rPr>
        <w:t>（图3：支出决算结构图）（饼状图）</w:t>
      </w:r>
      <w:r>
        <w:rPr>
          <w:shd w:val="clear" w:color="auto" w:fill="FFFFFF"/>
        </w:rPr>
        <w:t> </w:t>
      </w: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pPr>
      <w:r>
        <w:rPr>
          <w:rStyle w:val="14"/>
          <w:sz w:val="24"/>
          <w:szCs w:val="24"/>
          <w:shd w:val="clear" w:color="auto" w:fill="FFFFFF"/>
        </w:rPr>
        <w:t>四、财政拨款收入支出决算总体情况说明</w:t>
      </w:r>
    </w:p>
    <w:p>
      <w:pPr>
        <w:pStyle w:val="11"/>
        <w:keepNext w:val="0"/>
        <w:keepLines w:val="0"/>
        <w:widowControl/>
        <w:suppressLineNumbers w:val="0"/>
        <w:spacing w:before="0" w:beforeAutospacing="0"/>
        <w:ind w:left="0"/>
        <w:jc w:val="left"/>
        <w:rPr>
          <w:rFonts w:hint="default" w:eastAsia="宋体"/>
          <w:lang w:val="en-US" w:eastAsia="zh-CN"/>
        </w:rPr>
      </w:pPr>
      <w:r>
        <w:rPr>
          <w:sz w:val="24"/>
          <w:szCs w:val="24"/>
          <w:shd w:val="clear" w:color="auto" w:fill="FFFFFF"/>
        </w:rPr>
        <w:t> </w:t>
      </w:r>
      <w:r>
        <w:rPr>
          <w:rFonts w:hint="eastAsia"/>
          <w:sz w:val="24"/>
          <w:szCs w:val="24"/>
          <w:shd w:val="clear" w:color="auto" w:fill="FFFFFF"/>
          <w:lang w:val="en-US" w:eastAsia="zh-CN"/>
        </w:rPr>
        <w:t>2022年度财政拨款收、支总计均为4229.51万元。与2021年相比，2021年财政拨款收入1275.01万元、支出1390.13万元。收入增加</w:t>
      </w:r>
      <w:r>
        <w:rPr>
          <w:rFonts w:hint="eastAsia"/>
          <w:sz w:val="24"/>
          <w:szCs w:val="24"/>
          <w:shd w:val="clear" w:color="auto" w:fill="FFFFFF"/>
          <w:lang w:val="en-US" w:eastAsia="zh-CN"/>
        </w:rPr>
        <w:t>231.72%，支出增加204.25%，主要变动原因为本年度增加红原县方舱隔离点建设资金2520万元</w:t>
      </w:r>
    </w:p>
    <w:p>
      <w:pPr>
        <w:pStyle w:val="11"/>
        <w:keepNext w:val="0"/>
        <w:keepLines w:val="0"/>
        <w:widowControl/>
        <w:suppressLineNumbers w:val="0"/>
        <w:spacing w:before="0" w:beforeAutospacing="0"/>
        <w:ind w:left="0"/>
        <w:jc w:val="left"/>
        <w:rPr>
          <w:shd w:val="clear"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-883920</wp:posOffset>
            </wp:positionH>
            <wp:positionV relativeFrom="paragraph">
              <wp:posOffset>-7145655</wp:posOffset>
            </wp:positionV>
            <wp:extent cx="7141210" cy="2005330"/>
            <wp:effectExtent l="4445" t="4445" r="17145" b="952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shd w:val="clear" w:color="auto" w:fill="FFFFFF"/>
        </w:rPr>
        <w:t> </w:t>
      </w:r>
    </w:p>
    <w:p>
      <w:pPr>
        <w:pStyle w:val="11"/>
        <w:keepNext w:val="0"/>
        <w:keepLines w:val="0"/>
        <w:widowControl/>
        <w:suppressLineNumbers w:val="0"/>
        <w:spacing w:before="0" w:beforeAutospacing="0"/>
        <w:ind w:left="0"/>
        <w:jc w:val="left"/>
        <w:rPr>
          <w:shd w:val="clear" w:color="auto" w:fill="FFFFFF"/>
        </w:rPr>
      </w:pPr>
    </w:p>
    <w:p>
      <w:pPr>
        <w:pStyle w:val="11"/>
        <w:keepNext w:val="0"/>
        <w:keepLines w:val="0"/>
        <w:widowControl/>
        <w:suppressLineNumbers w:val="0"/>
        <w:spacing w:before="0" w:beforeAutospacing="0"/>
        <w:ind w:left="0"/>
        <w:jc w:val="left"/>
        <w:rPr>
          <w:shd w:val="clear"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70528" behindDoc="0" locked="0" layoutInCell="1" allowOverlap="1">
            <wp:simplePos x="0" y="0"/>
            <wp:positionH relativeFrom="column">
              <wp:posOffset>-6483985</wp:posOffset>
            </wp:positionH>
            <wp:positionV relativeFrom="paragraph">
              <wp:posOffset>328295</wp:posOffset>
            </wp:positionV>
            <wp:extent cx="6783070" cy="2120900"/>
            <wp:effectExtent l="4445" t="4445" r="13335" b="825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11"/>
        <w:keepNext w:val="0"/>
        <w:keepLines w:val="0"/>
        <w:widowControl/>
        <w:suppressLineNumbers w:val="0"/>
        <w:spacing w:before="0" w:beforeAutospacing="0"/>
        <w:ind w:left="0"/>
        <w:jc w:val="left"/>
        <w:rPr>
          <w:shd w:val="clear" w:color="auto" w:fill="FFFFFF"/>
        </w:rPr>
      </w:pPr>
    </w:p>
    <w:p>
      <w:pPr>
        <w:pStyle w:val="11"/>
        <w:keepNext w:val="0"/>
        <w:keepLines w:val="0"/>
        <w:widowControl/>
        <w:suppressLineNumbers w:val="0"/>
        <w:spacing w:before="0" w:beforeAutospacing="0"/>
        <w:ind w:left="0"/>
        <w:jc w:val="left"/>
        <w:rPr>
          <w:shd w:val="clear" w:color="auto" w:fill="FFFFFF"/>
        </w:rPr>
      </w:pPr>
    </w:p>
    <w:p>
      <w:pPr>
        <w:pStyle w:val="11"/>
        <w:keepNext w:val="0"/>
        <w:keepLines w:val="0"/>
        <w:widowControl/>
        <w:suppressLineNumbers w:val="0"/>
        <w:spacing w:before="0" w:beforeAutospacing="0"/>
        <w:ind w:left="0"/>
        <w:jc w:val="left"/>
        <w:rPr>
          <w:shd w:val="clear" w:color="auto" w:fill="FFFFFF"/>
        </w:rPr>
      </w:pPr>
    </w:p>
    <w:p>
      <w:pPr>
        <w:pStyle w:val="11"/>
        <w:keepNext w:val="0"/>
        <w:keepLines w:val="0"/>
        <w:widowControl/>
        <w:suppressLineNumbers w:val="0"/>
        <w:spacing w:before="0" w:beforeAutospacing="0"/>
        <w:ind w:left="0"/>
        <w:jc w:val="left"/>
        <w:rPr>
          <w:shd w:val="clear" w:color="auto" w:fill="FFFFFF"/>
        </w:rPr>
      </w:pPr>
    </w:p>
    <w:p>
      <w:pPr>
        <w:pStyle w:val="11"/>
        <w:keepNext w:val="0"/>
        <w:keepLines w:val="0"/>
        <w:widowControl/>
        <w:suppressLineNumbers w:val="0"/>
        <w:spacing w:before="0" w:beforeAutospacing="0"/>
        <w:ind w:left="0"/>
        <w:jc w:val="left"/>
        <w:rPr>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r>
        <w:rPr>
          <w:sz w:val="24"/>
          <w:szCs w:val="24"/>
          <w:shd w:val="clear" w:color="auto" w:fill="FFFFFF"/>
        </w:rPr>
        <w:t>（图4：财政拨款收、支决算总计变动情况）（柱状图）</w:t>
      </w:r>
    </w:p>
    <w:p>
      <w:pPr>
        <w:pStyle w:val="11"/>
        <w:keepNext w:val="0"/>
        <w:keepLines w:val="0"/>
        <w:widowControl/>
        <w:suppressLineNumbers w:val="0"/>
        <w:tabs>
          <w:tab w:val="left" w:pos="6295"/>
        </w:tabs>
        <w:spacing w:before="0" w:beforeAutospacing="0"/>
        <w:ind w:left="0"/>
        <w:jc w:val="left"/>
        <w:rPr>
          <w:rFonts w:hint="eastAsia"/>
          <w:shd w:val="clear" w:color="auto" w:fill="FFFFFF"/>
          <w:lang w:eastAsia="zh-CN"/>
        </w:rPr>
      </w:pPr>
      <w:r>
        <w:rPr>
          <w:rFonts w:hint="eastAsia"/>
          <w:sz w:val="24"/>
          <w:szCs w:val="24"/>
          <w:shd w:val="clear" w:color="auto" w:fill="FFFFFF"/>
          <w:lang w:val="en-US" w:eastAsia="zh-CN"/>
        </w:rPr>
        <w:t xml:space="preserve"> </w:t>
      </w:r>
      <w:r>
        <w:rPr>
          <w:shd w:val="clear" w:color="auto" w:fill="FFFFFF"/>
        </w:rPr>
        <w:t> </w:t>
      </w:r>
      <w:r>
        <w:rPr>
          <w:rFonts w:hint="eastAsia"/>
          <w:shd w:val="clear" w:color="auto" w:fill="FFFFFF"/>
          <w:lang w:eastAsia="zh-CN"/>
        </w:rPr>
        <w:tab/>
      </w:r>
    </w:p>
    <w:p>
      <w:pPr>
        <w:pStyle w:val="11"/>
        <w:keepNext w:val="0"/>
        <w:keepLines w:val="0"/>
        <w:widowControl/>
        <w:suppressLineNumbers w:val="0"/>
        <w:tabs>
          <w:tab w:val="left" w:pos="6295"/>
        </w:tabs>
        <w:spacing w:before="0" w:beforeAutospacing="0"/>
        <w:ind w:left="0"/>
        <w:jc w:val="left"/>
        <w:rPr>
          <w:rFonts w:hint="eastAsia"/>
          <w:shd w:val="clear" w:color="auto" w:fill="FFFFFF"/>
          <w:lang w:eastAsia="zh-CN"/>
        </w:rPr>
      </w:pPr>
    </w:p>
    <w:p>
      <w:pPr>
        <w:pStyle w:val="11"/>
        <w:keepNext w:val="0"/>
        <w:keepLines w:val="0"/>
        <w:widowControl/>
        <w:suppressLineNumbers w:val="0"/>
        <w:spacing w:before="0" w:beforeAutospacing="0"/>
        <w:ind w:left="0"/>
        <w:jc w:val="left"/>
      </w:pPr>
      <w:r>
        <w:rPr>
          <w:rStyle w:val="14"/>
          <w:sz w:val="24"/>
          <w:szCs w:val="24"/>
          <w:shd w:val="clear" w:color="auto" w:fill="FFFFFF"/>
        </w:rPr>
        <w:t>五、一般公共预算财政拨款支出决算情况明</w:t>
      </w:r>
    </w:p>
    <w:p>
      <w:pPr>
        <w:pStyle w:val="11"/>
        <w:keepNext w:val="0"/>
        <w:keepLines w:val="0"/>
        <w:widowControl/>
        <w:suppressLineNumbers w:val="0"/>
        <w:spacing w:before="0" w:beforeAutospacing="0"/>
        <w:ind w:left="0"/>
        <w:jc w:val="left"/>
      </w:pPr>
      <w:r>
        <w:rPr>
          <w:rStyle w:val="14"/>
          <w:sz w:val="24"/>
          <w:szCs w:val="24"/>
          <w:shd w:val="clear" w:color="auto" w:fill="FFFFFF"/>
        </w:rPr>
        <w:t>（一）一般公共预算财政拨款支出决算总体情况</w:t>
      </w:r>
    </w:p>
    <w:p>
      <w:pPr>
        <w:pStyle w:val="11"/>
        <w:keepNext w:val="0"/>
        <w:keepLines w:val="0"/>
        <w:widowControl/>
        <w:suppressLineNumbers w:val="0"/>
        <w:spacing w:before="0" w:beforeAutospacing="0"/>
        <w:ind w:left="0"/>
        <w:jc w:val="left"/>
        <w:rPr>
          <w:rFonts w:hint="default" w:eastAsia="宋体"/>
          <w:lang w:val="en-US" w:eastAsia="zh-CN"/>
        </w:rPr>
      </w:pPr>
      <w:r>
        <w:rPr>
          <w:sz w:val="24"/>
          <w:szCs w:val="24"/>
          <w:shd w:val="clear" w:color="auto" w:fill="FFFFFF"/>
        </w:rPr>
        <w:t>  </w:t>
      </w:r>
      <w:r>
        <w:rPr>
          <w:color w:val="FF0000"/>
          <w:sz w:val="24"/>
          <w:szCs w:val="24"/>
          <w:shd w:val="clear" w:color="auto" w:fill="FFFFFF"/>
        </w:rPr>
        <w:t xml:space="preserve"> </w:t>
      </w:r>
      <w:r>
        <w:rPr>
          <w:rFonts w:hint="eastAsia"/>
          <w:sz w:val="24"/>
          <w:szCs w:val="24"/>
          <w:shd w:val="clear" w:color="auto" w:fill="FFFFFF"/>
          <w:lang w:val="en-US" w:eastAsia="zh-CN"/>
        </w:rPr>
        <w:t>2022年度一般公共预算财政拨款支出总计4229.51万元。</w:t>
      </w:r>
      <w:r>
        <w:rPr>
          <w:sz w:val="24"/>
          <w:szCs w:val="24"/>
          <w:shd w:val="clear" w:color="auto" w:fill="FFFFFF"/>
        </w:rPr>
        <w:t xml:space="preserve">占本年支出合计的 </w:t>
      </w:r>
      <w:r>
        <w:rPr>
          <w:rFonts w:hint="eastAsia"/>
          <w:sz w:val="24"/>
          <w:szCs w:val="24"/>
          <w:shd w:val="clear" w:color="auto" w:fill="FFFFFF"/>
          <w:lang w:val="en-US" w:eastAsia="zh-CN"/>
        </w:rPr>
        <w:t>100</w:t>
      </w:r>
      <w:r>
        <w:rPr>
          <w:sz w:val="24"/>
          <w:szCs w:val="24"/>
          <w:shd w:val="clear" w:color="auto" w:fill="FFFFFF"/>
        </w:rPr>
        <w:t>%。</w:t>
      </w:r>
      <w:r>
        <w:rPr>
          <w:rFonts w:hint="eastAsia"/>
          <w:sz w:val="24"/>
          <w:szCs w:val="24"/>
          <w:shd w:val="clear" w:color="auto" w:fill="FFFFFF"/>
          <w:lang w:val="en-US" w:eastAsia="zh-CN"/>
        </w:rPr>
        <w:t>与2021年相比，2021年一般公共预算财政拨款支出1390.13万元相比支出增加204.25%，主要变动原因为本年度增加红原县方舱隔离点建设资金2520万元</w:t>
      </w:r>
    </w:p>
    <w:p>
      <w:pPr>
        <w:pStyle w:val="11"/>
        <w:keepNext w:val="0"/>
        <w:keepLines w:val="0"/>
        <w:widowControl/>
        <w:suppressLineNumbers w:val="0"/>
        <w:spacing w:before="0" w:beforeAutospacing="0"/>
        <w:ind w:left="0"/>
        <w:jc w:val="left"/>
        <w:sectPr>
          <w:headerReference r:id="rId3" w:type="default"/>
          <w:pgSz w:w="16838" w:h="11906" w:orient="landscape"/>
          <w:pgMar w:top="1800" w:right="1440" w:bottom="1800" w:left="1440" w:header="851" w:footer="992" w:gutter="0"/>
          <w:pgNumType w:fmt="decimal" w:start="1"/>
          <w:cols w:space="425" w:num="1"/>
          <w:docGrid w:type="lines" w:linePitch="312" w:charSpace="0"/>
        </w:sectPr>
      </w:pPr>
    </w:p>
    <w:p>
      <w:pPr>
        <w:pStyle w:val="11"/>
        <w:keepNext w:val="0"/>
        <w:keepLines w:val="0"/>
        <w:widowControl/>
        <w:suppressLineNumbers w:val="0"/>
        <w:spacing w:before="0" w:beforeAutospacing="0"/>
        <w:ind w:left="0"/>
        <w:jc w:val="left"/>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243205</wp:posOffset>
            </wp:positionH>
            <wp:positionV relativeFrom="paragraph">
              <wp:posOffset>88900</wp:posOffset>
            </wp:positionV>
            <wp:extent cx="6783070" cy="2120900"/>
            <wp:effectExtent l="4445" t="4445" r="13335" b="825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center"/>
        <w:rPr>
          <w:sz w:val="24"/>
          <w:szCs w:val="24"/>
          <w:shd w:val="clear" w:color="auto" w:fill="FFFFFF"/>
        </w:rPr>
      </w:pPr>
      <w:r>
        <w:rPr>
          <w:sz w:val="24"/>
          <w:szCs w:val="24"/>
          <w:shd w:val="clear" w:color="auto" w:fill="FFFFFF"/>
        </w:rPr>
        <w:t>（图5：一般公共预算财政拨款支出决算变动情况）（柱状图）</w:t>
      </w:r>
    </w:p>
    <w:p>
      <w:pPr>
        <w:pStyle w:val="11"/>
        <w:keepNext w:val="0"/>
        <w:keepLines w:val="0"/>
        <w:widowControl/>
        <w:suppressLineNumbers w:val="0"/>
        <w:spacing w:before="0" w:beforeAutospacing="0"/>
        <w:ind w:left="0"/>
        <w:jc w:val="center"/>
        <w:rPr>
          <w:sz w:val="24"/>
          <w:szCs w:val="24"/>
          <w:shd w:val="clear" w:color="auto" w:fill="FFFFFF"/>
        </w:rPr>
      </w:pPr>
    </w:p>
    <w:p>
      <w:pPr>
        <w:pStyle w:val="11"/>
        <w:keepNext w:val="0"/>
        <w:keepLines w:val="0"/>
        <w:widowControl/>
        <w:suppressLineNumbers w:val="0"/>
        <w:spacing w:before="0" w:beforeAutospacing="0"/>
        <w:ind w:left="0"/>
        <w:jc w:val="left"/>
      </w:pPr>
      <w:r>
        <w:rPr>
          <w:shd w:val="clear" w:color="auto" w:fill="FFFFFF"/>
        </w:rPr>
        <w:t> </w:t>
      </w: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pPr>
      <w:r>
        <w:rPr>
          <w:rStyle w:val="14"/>
          <w:sz w:val="24"/>
          <w:szCs w:val="24"/>
          <w:shd w:val="clear" w:color="auto" w:fill="FFFFFF"/>
        </w:rPr>
        <w:t>（二）一般公共预算财政拨款支出决算结构情况</w:t>
      </w:r>
    </w:p>
    <w:p>
      <w:pPr>
        <w:pStyle w:val="11"/>
        <w:keepNext w:val="0"/>
        <w:keepLines w:val="0"/>
        <w:widowControl/>
        <w:suppressLineNumbers w:val="0"/>
        <w:spacing w:before="0" w:beforeAutospacing="0"/>
        <w:ind w:left="0"/>
        <w:jc w:val="left"/>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年一般公共预算财政拨款支出</w:t>
      </w:r>
      <w:r>
        <w:rPr>
          <w:rFonts w:hint="eastAsia"/>
          <w:sz w:val="24"/>
          <w:szCs w:val="24"/>
          <w:shd w:val="clear" w:color="auto" w:fill="FFFFFF"/>
          <w:lang w:val="en-US" w:eastAsia="zh-CN"/>
        </w:rPr>
        <w:t>4229.51</w:t>
      </w:r>
      <w:r>
        <w:rPr>
          <w:sz w:val="24"/>
          <w:szCs w:val="24"/>
          <w:shd w:val="clear" w:color="auto" w:fill="FFFFFF"/>
        </w:rPr>
        <w:t>万元，主要用于以下方面:</w:t>
      </w:r>
      <w:r>
        <w:rPr>
          <w:rStyle w:val="14"/>
          <w:sz w:val="24"/>
          <w:szCs w:val="24"/>
          <w:shd w:val="clear" w:color="auto" w:fill="FFFFFF"/>
        </w:rPr>
        <w:t>一般公共服务（类）支出</w:t>
      </w:r>
      <w:r>
        <w:rPr>
          <w:sz w:val="24"/>
          <w:szCs w:val="24"/>
          <w:shd w:val="clear" w:color="auto" w:fill="FFFFFF"/>
        </w:rPr>
        <w:t>0.00万元，占0.00%；</w:t>
      </w:r>
      <w:r>
        <w:rPr>
          <w:rStyle w:val="14"/>
          <w:sz w:val="24"/>
          <w:szCs w:val="24"/>
          <w:shd w:val="clear" w:color="auto" w:fill="FFFFFF"/>
        </w:rPr>
        <w:t>外交支出（类）</w:t>
      </w:r>
      <w:r>
        <w:rPr>
          <w:sz w:val="24"/>
          <w:szCs w:val="24"/>
          <w:shd w:val="clear" w:color="auto" w:fill="FFFFFF"/>
        </w:rPr>
        <w:t>0.00万元</w:t>
      </w:r>
      <w:r>
        <w:rPr>
          <w:rStyle w:val="14"/>
          <w:sz w:val="24"/>
          <w:szCs w:val="24"/>
          <w:shd w:val="clear" w:color="auto" w:fill="FFFFFF"/>
        </w:rPr>
        <w:t>，占</w:t>
      </w:r>
      <w:r>
        <w:rPr>
          <w:sz w:val="24"/>
          <w:szCs w:val="24"/>
          <w:shd w:val="clear" w:color="auto" w:fill="FFFFFF"/>
        </w:rPr>
        <w:t>0.00%</w:t>
      </w:r>
      <w:r>
        <w:rPr>
          <w:rStyle w:val="14"/>
          <w:sz w:val="24"/>
          <w:szCs w:val="24"/>
          <w:shd w:val="clear" w:color="auto" w:fill="FFFFFF"/>
        </w:rPr>
        <w:t>，国防支出（类）</w:t>
      </w:r>
      <w:r>
        <w:rPr>
          <w:sz w:val="24"/>
          <w:szCs w:val="24"/>
          <w:shd w:val="clear" w:color="auto" w:fill="FFFFFF"/>
        </w:rPr>
        <w:t>0.00万元，占0.00%</w:t>
      </w:r>
      <w:r>
        <w:rPr>
          <w:rStyle w:val="14"/>
          <w:sz w:val="24"/>
          <w:szCs w:val="24"/>
          <w:shd w:val="clear" w:color="auto" w:fill="FFFFFF"/>
        </w:rPr>
        <w:t>；公共安全支出（类</w:t>
      </w:r>
      <w:r>
        <w:rPr>
          <w:sz w:val="24"/>
          <w:szCs w:val="24"/>
          <w:shd w:val="clear" w:color="auto" w:fill="FFFFFF"/>
        </w:rPr>
        <w:t>）0.00万元，占0.00%</w:t>
      </w:r>
      <w:r>
        <w:rPr>
          <w:rStyle w:val="14"/>
          <w:sz w:val="24"/>
          <w:szCs w:val="24"/>
          <w:shd w:val="clear" w:color="auto" w:fill="FFFFFF"/>
        </w:rPr>
        <w:t>；教育支出（类）</w:t>
      </w:r>
      <w:r>
        <w:rPr>
          <w:sz w:val="24"/>
          <w:szCs w:val="24"/>
          <w:shd w:val="clear" w:color="auto" w:fill="FFFFFF"/>
        </w:rPr>
        <w:t>0.00万元，占0.00%；</w:t>
      </w:r>
      <w:r>
        <w:rPr>
          <w:rStyle w:val="14"/>
          <w:sz w:val="24"/>
          <w:szCs w:val="24"/>
          <w:shd w:val="clear" w:color="auto" w:fill="FFFFFF"/>
        </w:rPr>
        <w:t>科学技术（类）</w:t>
      </w:r>
      <w:r>
        <w:rPr>
          <w:sz w:val="24"/>
          <w:szCs w:val="24"/>
          <w:shd w:val="clear" w:color="auto" w:fill="FFFFFF"/>
        </w:rPr>
        <w:t>支出0.00万元，占0.00%；</w:t>
      </w:r>
      <w:r>
        <w:rPr>
          <w:rStyle w:val="14"/>
          <w:sz w:val="24"/>
          <w:szCs w:val="24"/>
          <w:shd w:val="clear" w:color="auto" w:fill="FFFFFF"/>
        </w:rPr>
        <w:t>文化旅游体育与传媒（类）支出</w:t>
      </w:r>
      <w:r>
        <w:rPr>
          <w:sz w:val="24"/>
          <w:szCs w:val="24"/>
          <w:shd w:val="clear" w:color="auto" w:fill="FFFFFF"/>
        </w:rPr>
        <w:t>0.00万元，占0.00%；</w:t>
      </w:r>
      <w:r>
        <w:rPr>
          <w:rStyle w:val="14"/>
          <w:sz w:val="24"/>
          <w:szCs w:val="24"/>
          <w:shd w:val="clear" w:color="auto" w:fill="FFFFFF"/>
        </w:rPr>
        <w:t>社会保障和就业（类）</w:t>
      </w:r>
      <w:r>
        <w:rPr>
          <w:sz w:val="24"/>
          <w:szCs w:val="24"/>
          <w:shd w:val="clear" w:color="auto" w:fill="FFFFFF"/>
        </w:rPr>
        <w:t>支出</w:t>
      </w:r>
      <w:r>
        <w:rPr>
          <w:rFonts w:hint="eastAsia"/>
          <w:sz w:val="24"/>
          <w:szCs w:val="24"/>
          <w:shd w:val="clear" w:color="auto" w:fill="FFFFFF"/>
          <w:lang w:val="en-US" w:eastAsia="zh-CN"/>
        </w:rPr>
        <w:t>93.29</w:t>
      </w:r>
      <w:r>
        <w:rPr>
          <w:sz w:val="24"/>
          <w:szCs w:val="24"/>
          <w:shd w:val="clear" w:color="auto" w:fill="FFFFFF"/>
        </w:rPr>
        <w:t>万元，</w:t>
      </w:r>
      <w:r>
        <w:rPr>
          <w:rFonts w:hint="eastAsia"/>
          <w:sz w:val="24"/>
          <w:szCs w:val="24"/>
          <w:shd w:val="clear" w:color="auto" w:fill="FFFFFF"/>
          <w:lang w:val="en-US" w:eastAsia="zh-CN"/>
        </w:rPr>
        <w:t>占2.22%</w:t>
      </w:r>
      <w:r>
        <w:rPr>
          <w:sz w:val="24"/>
          <w:szCs w:val="24"/>
          <w:shd w:val="clear" w:color="auto" w:fill="FFFFFF"/>
        </w:rPr>
        <w:t>；</w:t>
      </w:r>
      <w:r>
        <w:rPr>
          <w:rStyle w:val="14"/>
          <w:sz w:val="24"/>
          <w:szCs w:val="24"/>
          <w:shd w:val="clear" w:color="auto" w:fill="FFFFFF"/>
        </w:rPr>
        <w:t>卫生健康支出（类）</w:t>
      </w:r>
      <w:r>
        <w:rPr>
          <w:rFonts w:hint="eastAsia"/>
          <w:sz w:val="24"/>
          <w:szCs w:val="24"/>
          <w:shd w:val="clear" w:color="auto" w:fill="FFFFFF"/>
          <w:lang w:val="en-US" w:eastAsia="zh-CN"/>
        </w:rPr>
        <w:t>3927.97</w:t>
      </w:r>
      <w:r>
        <w:rPr>
          <w:sz w:val="24"/>
          <w:szCs w:val="24"/>
          <w:shd w:val="clear" w:color="auto" w:fill="FFFFFF"/>
        </w:rPr>
        <w:t>万元，</w:t>
      </w:r>
      <w:r>
        <w:rPr>
          <w:rFonts w:hint="eastAsia"/>
          <w:sz w:val="24"/>
          <w:szCs w:val="24"/>
          <w:shd w:val="clear" w:color="auto" w:fill="FFFFFF"/>
          <w:lang w:val="en-US" w:eastAsia="zh-CN"/>
        </w:rPr>
        <w:t>占92.87%；</w:t>
      </w:r>
      <w:r>
        <w:rPr>
          <w:rStyle w:val="14"/>
          <w:sz w:val="24"/>
          <w:szCs w:val="24"/>
          <w:shd w:val="clear" w:color="auto" w:fill="FFFFFF"/>
        </w:rPr>
        <w:t>节能环保支出（类）</w:t>
      </w:r>
      <w:r>
        <w:rPr>
          <w:rFonts w:hint="eastAsia"/>
          <w:sz w:val="24"/>
          <w:szCs w:val="24"/>
          <w:shd w:val="clear" w:color="auto" w:fill="FFFFFF"/>
        </w:rPr>
        <w:t>15.18</w:t>
      </w:r>
      <w:r>
        <w:rPr>
          <w:sz w:val="24"/>
          <w:szCs w:val="24"/>
          <w:shd w:val="clear" w:color="auto" w:fill="FFFFFF"/>
        </w:rPr>
        <w:t>万元，占</w:t>
      </w:r>
      <w:r>
        <w:rPr>
          <w:rFonts w:hint="eastAsia"/>
          <w:sz w:val="24"/>
          <w:szCs w:val="24"/>
          <w:shd w:val="clear" w:color="auto" w:fill="FFFFFF"/>
          <w:lang w:val="en-US" w:eastAsia="zh-CN"/>
        </w:rPr>
        <w:t>0.36</w:t>
      </w:r>
      <w:r>
        <w:rPr>
          <w:sz w:val="24"/>
          <w:szCs w:val="24"/>
          <w:shd w:val="clear" w:color="auto" w:fill="FFFFFF"/>
        </w:rPr>
        <w:t>%；</w:t>
      </w:r>
      <w:r>
        <w:rPr>
          <w:rStyle w:val="14"/>
          <w:sz w:val="24"/>
          <w:szCs w:val="24"/>
          <w:shd w:val="clear" w:color="auto" w:fill="FFFFFF"/>
        </w:rPr>
        <w:t>城乡社区支出（类）</w:t>
      </w:r>
      <w:r>
        <w:rPr>
          <w:sz w:val="24"/>
          <w:szCs w:val="24"/>
          <w:shd w:val="clear" w:color="auto" w:fill="FFFFFF"/>
        </w:rPr>
        <w:t>0.00万元，占0.00%；</w:t>
      </w:r>
      <w:r>
        <w:rPr>
          <w:rStyle w:val="14"/>
          <w:sz w:val="24"/>
          <w:szCs w:val="24"/>
          <w:shd w:val="clear" w:color="auto" w:fill="FFFFFF"/>
        </w:rPr>
        <w:t>农林水支出（类）</w:t>
      </w:r>
      <w:r>
        <w:rPr>
          <w:rFonts w:hint="eastAsia"/>
          <w:sz w:val="24"/>
          <w:szCs w:val="24"/>
          <w:shd w:val="clear" w:color="auto" w:fill="FFFFFF"/>
        </w:rPr>
        <w:t>150</w:t>
      </w:r>
      <w:r>
        <w:rPr>
          <w:sz w:val="24"/>
          <w:szCs w:val="24"/>
          <w:shd w:val="clear" w:color="auto" w:fill="FFFFFF"/>
        </w:rPr>
        <w:t>万元，占</w:t>
      </w:r>
      <w:r>
        <w:rPr>
          <w:rFonts w:hint="eastAsia"/>
          <w:sz w:val="24"/>
          <w:szCs w:val="24"/>
          <w:shd w:val="clear" w:color="auto" w:fill="FFFFFF"/>
          <w:lang w:val="en-US" w:eastAsia="zh-CN"/>
        </w:rPr>
        <w:t>3.55</w:t>
      </w:r>
      <w:r>
        <w:rPr>
          <w:sz w:val="24"/>
          <w:szCs w:val="24"/>
          <w:shd w:val="clear" w:color="auto" w:fill="FFFFFF"/>
        </w:rPr>
        <w:t>%；</w:t>
      </w:r>
      <w:r>
        <w:rPr>
          <w:rStyle w:val="14"/>
          <w:sz w:val="24"/>
          <w:szCs w:val="24"/>
          <w:shd w:val="clear" w:color="auto" w:fill="FFFFFF"/>
        </w:rPr>
        <w:t>交通运输支出（类）</w:t>
      </w:r>
      <w:r>
        <w:rPr>
          <w:sz w:val="24"/>
          <w:szCs w:val="24"/>
          <w:shd w:val="clear" w:color="auto" w:fill="FFFFFF"/>
        </w:rPr>
        <w:t>0.00万元，占0.00%；</w:t>
      </w:r>
      <w:r>
        <w:rPr>
          <w:rStyle w:val="14"/>
          <w:sz w:val="24"/>
          <w:szCs w:val="24"/>
          <w:shd w:val="clear" w:color="auto" w:fill="FFFFFF"/>
        </w:rPr>
        <w:t>资源勘探信息等支出（类）</w:t>
      </w:r>
      <w:r>
        <w:rPr>
          <w:sz w:val="24"/>
          <w:szCs w:val="24"/>
          <w:shd w:val="clear" w:color="auto" w:fill="FFFFFF"/>
        </w:rPr>
        <w:t>0.00万元，占0.00%；</w:t>
      </w:r>
      <w:r>
        <w:rPr>
          <w:rStyle w:val="14"/>
          <w:sz w:val="24"/>
          <w:szCs w:val="24"/>
          <w:shd w:val="clear" w:color="auto" w:fill="FFFFFF"/>
        </w:rPr>
        <w:t>商业服务业等支出（类）</w:t>
      </w:r>
      <w:r>
        <w:rPr>
          <w:sz w:val="24"/>
          <w:szCs w:val="24"/>
          <w:shd w:val="clear" w:color="auto" w:fill="FFFFFF"/>
        </w:rPr>
        <w:t>0.00万元，占0.00%；</w:t>
      </w:r>
      <w:r>
        <w:rPr>
          <w:rStyle w:val="14"/>
          <w:sz w:val="24"/>
          <w:szCs w:val="24"/>
          <w:shd w:val="clear" w:color="auto" w:fill="FFFFFF"/>
        </w:rPr>
        <w:t>金融支出（类）</w:t>
      </w:r>
      <w:r>
        <w:rPr>
          <w:sz w:val="24"/>
          <w:szCs w:val="24"/>
          <w:shd w:val="clear" w:color="auto" w:fill="FFFFFF"/>
        </w:rPr>
        <w:t>0.00万元，占0.00%；</w:t>
      </w:r>
      <w:r>
        <w:rPr>
          <w:rStyle w:val="14"/>
          <w:sz w:val="24"/>
          <w:szCs w:val="24"/>
          <w:shd w:val="clear" w:color="auto" w:fill="FFFFFF"/>
        </w:rPr>
        <w:t>援助其他地区支出（类）</w:t>
      </w:r>
      <w:r>
        <w:rPr>
          <w:sz w:val="24"/>
          <w:szCs w:val="24"/>
          <w:shd w:val="clear" w:color="auto" w:fill="FFFFFF"/>
        </w:rPr>
        <w:t>0.00万元，占0.00%；</w:t>
      </w:r>
      <w:r>
        <w:rPr>
          <w:rStyle w:val="14"/>
          <w:sz w:val="24"/>
          <w:szCs w:val="24"/>
          <w:shd w:val="clear" w:color="auto" w:fill="FFFFFF"/>
        </w:rPr>
        <w:t>自然资源海洋气象等支出（类）</w:t>
      </w:r>
      <w:r>
        <w:rPr>
          <w:sz w:val="24"/>
          <w:szCs w:val="24"/>
          <w:shd w:val="clear" w:color="auto" w:fill="FFFFFF"/>
        </w:rPr>
        <w:t>0.00万元，占0.00%；</w:t>
      </w:r>
      <w:r>
        <w:rPr>
          <w:rStyle w:val="14"/>
          <w:sz w:val="24"/>
          <w:szCs w:val="24"/>
          <w:shd w:val="clear" w:color="auto" w:fill="FFFFFF"/>
        </w:rPr>
        <w:t>住房保障支出（类）</w:t>
      </w:r>
      <w:r>
        <w:rPr>
          <w:rFonts w:hint="eastAsia"/>
          <w:sz w:val="24"/>
          <w:szCs w:val="24"/>
          <w:shd w:val="clear" w:color="auto" w:fill="FFFFFF"/>
          <w:lang w:val="en-US" w:eastAsia="zh-CN"/>
        </w:rPr>
        <w:t>43.09</w:t>
      </w:r>
      <w:r>
        <w:rPr>
          <w:sz w:val="24"/>
          <w:szCs w:val="24"/>
          <w:shd w:val="clear" w:color="auto" w:fill="FFFFFF"/>
        </w:rPr>
        <w:t>万元，</w:t>
      </w:r>
      <w:r>
        <w:rPr>
          <w:rFonts w:hint="eastAsia"/>
          <w:sz w:val="24"/>
          <w:szCs w:val="24"/>
          <w:shd w:val="clear" w:color="auto" w:fill="FFFFFF"/>
          <w:lang w:val="en-US" w:eastAsia="zh-CN"/>
        </w:rPr>
        <w:t>占1.02%</w:t>
      </w:r>
      <w:r>
        <w:rPr>
          <w:sz w:val="24"/>
          <w:szCs w:val="24"/>
          <w:shd w:val="clear" w:color="auto" w:fill="FFFFFF"/>
        </w:rPr>
        <w:t>；</w:t>
      </w:r>
      <w:r>
        <w:rPr>
          <w:rStyle w:val="14"/>
          <w:sz w:val="24"/>
          <w:szCs w:val="24"/>
          <w:shd w:val="clear" w:color="auto" w:fill="FFFFFF"/>
        </w:rPr>
        <w:t>粮油物资储备支出（类）</w:t>
      </w:r>
      <w:r>
        <w:rPr>
          <w:sz w:val="24"/>
          <w:szCs w:val="24"/>
          <w:shd w:val="clear" w:color="auto" w:fill="FFFFFF"/>
        </w:rPr>
        <w:t>0.00万元，占0.00%；</w:t>
      </w:r>
      <w:r>
        <w:rPr>
          <w:rStyle w:val="14"/>
          <w:sz w:val="24"/>
          <w:szCs w:val="24"/>
          <w:shd w:val="clear" w:color="auto" w:fill="FFFFFF"/>
        </w:rPr>
        <w:t>国有资本经营预算支出（类）</w:t>
      </w:r>
      <w:r>
        <w:rPr>
          <w:sz w:val="24"/>
          <w:szCs w:val="24"/>
          <w:shd w:val="clear" w:color="auto" w:fill="FFFFFF"/>
        </w:rPr>
        <w:t>0.00万元，占0.00%；</w:t>
      </w:r>
      <w:r>
        <w:rPr>
          <w:rStyle w:val="14"/>
          <w:sz w:val="24"/>
          <w:szCs w:val="24"/>
          <w:shd w:val="clear" w:color="auto" w:fill="FFFFFF"/>
        </w:rPr>
        <w:t>灾害防治及应急管理支出（类）</w:t>
      </w:r>
      <w:r>
        <w:rPr>
          <w:sz w:val="24"/>
          <w:szCs w:val="24"/>
          <w:shd w:val="clear" w:color="auto" w:fill="FFFFFF"/>
        </w:rPr>
        <w:t>0.00万元，占0.00%；</w:t>
      </w:r>
      <w:r>
        <w:rPr>
          <w:rStyle w:val="14"/>
          <w:sz w:val="24"/>
          <w:szCs w:val="24"/>
          <w:shd w:val="clear" w:color="auto" w:fill="FFFFFF"/>
        </w:rPr>
        <w:t>其他支出（类）</w:t>
      </w:r>
      <w:r>
        <w:rPr>
          <w:sz w:val="24"/>
          <w:szCs w:val="24"/>
          <w:shd w:val="clear" w:color="auto" w:fill="FFFFFF"/>
        </w:rPr>
        <w:t>0.00万元，占0.00%；</w:t>
      </w:r>
      <w:r>
        <w:rPr>
          <w:rStyle w:val="14"/>
          <w:sz w:val="24"/>
          <w:szCs w:val="24"/>
          <w:shd w:val="clear" w:color="auto" w:fill="FFFFFF"/>
        </w:rPr>
        <w:t>债务还本支出（类）</w:t>
      </w:r>
      <w:r>
        <w:rPr>
          <w:sz w:val="24"/>
          <w:szCs w:val="24"/>
          <w:shd w:val="clear" w:color="auto" w:fill="FFFFFF"/>
        </w:rPr>
        <w:t>0.00万元，占0.00%；</w:t>
      </w:r>
      <w:r>
        <w:rPr>
          <w:rStyle w:val="14"/>
          <w:sz w:val="24"/>
          <w:szCs w:val="24"/>
          <w:shd w:val="clear" w:color="auto" w:fill="FFFFFF"/>
        </w:rPr>
        <w:t>债务付息支出（类）</w:t>
      </w:r>
      <w:r>
        <w:rPr>
          <w:sz w:val="24"/>
          <w:szCs w:val="24"/>
          <w:shd w:val="clear" w:color="auto" w:fill="FFFFFF"/>
        </w:rPr>
        <w:t>0.00万元，占0.00%；</w:t>
      </w:r>
      <w:r>
        <w:rPr>
          <w:rStyle w:val="14"/>
          <w:sz w:val="24"/>
          <w:szCs w:val="24"/>
          <w:shd w:val="clear" w:color="auto" w:fill="FFFFFF"/>
        </w:rPr>
        <w:t>抗役特别国债安排的支出（类）</w:t>
      </w:r>
      <w:r>
        <w:rPr>
          <w:sz w:val="24"/>
          <w:szCs w:val="24"/>
          <w:shd w:val="clear" w:color="auto" w:fill="FFFFFF"/>
        </w:rPr>
        <w:t>0.00万元，占0.00%。</w:t>
      </w:r>
    </w:p>
    <w:p>
      <w:pPr>
        <w:pStyle w:val="11"/>
        <w:keepNext w:val="0"/>
        <w:keepLines w:val="0"/>
        <w:widowControl/>
        <w:suppressLineNumbers w:val="0"/>
        <w:spacing w:before="0" w:beforeAutospacing="0"/>
        <w:ind w:left="0"/>
        <w:jc w:val="left"/>
        <w:rPr>
          <w:sz w:val="24"/>
          <w:szCs w:val="24"/>
          <w:shd w:val="clear" w:color="auto" w:fill="FFFFFF"/>
        </w:rPr>
      </w:pPr>
      <w:r>
        <w:rPr>
          <w:shd w:val="clear" w:color="auto" w:fill="FFFFFF"/>
        </w:rPr>
        <w:t> </w:t>
      </w:r>
      <w:r>
        <w:rPr>
          <w:sz w:val="24"/>
          <w:szCs w:val="24"/>
          <w:shd w:val="clear" w:color="auto" w:fill="FFFFFF"/>
        </w:rPr>
        <w:t>（图6：一般公共预算财政拨款支出决算结构）（饼状图）</w:t>
      </w:r>
    </w:p>
    <w:p>
      <w:pPr>
        <w:pStyle w:val="11"/>
        <w:keepNext w:val="0"/>
        <w:keepLines w:val="0"/>
        <w:widowControl/>
        <w:suppressLineNumbers w:val="0"/>
        <w:spacing w:before="0" w:beforeAutospacing="0"/>
        <w:ind w:left="0"/>
        <w:jc w:val="center"/>
        <w:rPr>
          <w:sz w:val="24"/>
          <w:szCs w:val="24"/>
          <w:shd w:val="clear"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-483235</wp:posOffset>
            </wp:positionH>
            <wp:positionV relativeFrom="paragraph">
              <wp:posOffset>-9398635</wp:posOffset>
            </wp:positionV>
            <wp:extent cx="6803390" cy="4078605"/>
            <wp:effectExtent l="4445" t="4445" r="12065" b="1270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rPr>
          <w:rStyle w:val="14"/>
          <w:sz w:val="24"/>
          <w:szCs w:val="24"/>
          <w:shd w:val="clear" w:color="auto" w:fill="FFFFFF"/>
        </w:rPr>
      </w:pPr>
    </w:p>
    <w:p>
      <w:pPr>
        <w:pStyle w:val="11"/>
        <w:keepNext w:val="0"/>
        <w:keepLines w:val="0"/>
        <w:widowControl/>
        <w:suppressLineNumbers w:val="0"/>
        <w:spacing w:before="0" w:beforeAutospacing="0"/>
        <w:ind w:left="0"/>
        <w:jc w:val="left"/>
      </w:pPr>
      <w:r>
        <w:rPr>
          <w:rStyle w:val="14"/>
          <w:sz w:val="24"/>
          <w:szCs w:val="24"/>
          <w:shd w:val="clear" w:color="auto" w:fill="FFFFFF"/>
        </w:rPr>
        <w:t>（三）一般公共预算财政拨款支出决算具体情况</w:t>
      </w:r>
    </w:p>
    <w:p>
      <w:pPr>
        <w:pStyle w:val="11"/>
        <w:keepNext w:val="0"/>
        <w:keepLines w:val="0"/>
        <w:widowControl/>
        <w:suppressLineNumbers w:val="0"/>
        <w:spacing w:before="0" w:beforeAutospacing="0"/>
        <w:ind w:left="0"/>
        <w:jc w:val="left"/>
        <w:rPr>
          <w:color w:val="auto"/>
        </w:rPr>
      </w:pPr>
      <w:r>
        <w:rPr>
          <w:sz w:val="24"/>
          <w:szCs w:val="24"/>
          <w:shd w:val="clear" w:color="auto" w:fill="FFFFFF"/>
        </w:rPr>
        <w:t xml:space="preserve">  </w:t>
      </w:r>
      <w:r>
        <w:rPr>
          <w:color w:val="auto"/>
          <w:sz w:val="24"/>
          <w:szCs w:val="24"/>
          <w:shd w:val="clear" w:color="auto" w:fill="FFFFFF"/>
        </w:rPr>
        <w:t>202</w:t>
      </w:r>
      <w:r>
        <w:rPr>
          <w:rFonts w:hint="eastAsia"/>
          <w:color w:val="auto"/>
          <w:sz w:val="24"/>
          <w:szCs w:val="24"/>
          <w:shd w:val="clear" w:color="auto" w:fill="FFFFFF"/>
          <w:lang w:val="en-US" w:eastAsia="zh-CN"/>
        </w:rPr>
        <w:t>2</w:t>
      </w:r>
      <w:r>
        <w:rPr>
          <w:color w:val="auto"/>
          <w:sz w:val="24"/>
          <w:szCs w:val="24"/>
          <w:shd w:val="clear" w:color="auto" w:fill="FFFFFF"/>
        </w:rPr>
        <w:t>年一般公共预算支出决算数为</w:t>
      </w:r>
      <w:r>
        <w:rPr>
          <w:rFonts w:hint="eastAsia"/>
          <w:color w:val="auto"/>
          <w:sz w:val="24"/>
          <w:szCs w:val="24"/>
          <w:shd w:val="clear" w:color="auto" w:fill="FFFFFF"/>
          <w:lang w:val="en-US" w:eastAsia="zh-CN"/>
        </w:rPr>
        <w:t>4229.51万元</w:t>
      </w:r>
      <w:r>
        <w:rPr>
          <w:color w:val="auto"/>
          <w:sz w:val="24"/>
          <w:szCs w:val="24"/>
          <w:shd w:val="clear" w:color="auto" w:fill="FFFFFF"/>
        </w:rPr>
        <w:t>，完成预算</w:t>
      </w:r>
      <w:r>
        <w:rPr>
          <w:rFonts w:hint="eastAsia"/>
          <w:color w:val="auto"/>
          <w:sz w:val="24"/>
          <w:szCs w:val="24"/>
          <w:shd w:val="clear" w:color="auto" w:fill="FFFFFF"/>
          <w:lang w:val="en-US" w:eastAsia="zh-CN"/>
        </w:rPr>
        <w:t>100</w:t>
      </w:r>
      <w:r>
        <w:rPr>
          <w:color w:val="auto"/>
          <w:sz w:val="24"/>
          <w:szCs w:val="24"/>
          <w:shd w:val="clear" w:color="auto" w:fill="FFFFFF"/>
        </w:rPr>
        <w:t>%。其中：</w:t>
      </w:r>
    </w:p>
    <w:p>
      <w:pPr>
        <w:spacing w:line="600" w:lineRule="exact"/>
        <w:ind w:firstLine="240" w:firstLineChars="100"/>
        <w:rPr>
          <w:rStyle w:val="14"/>
          <w:rFonts w:hint="eastAsia" w:ascii="宋体" w:hAnsi="宋体" w:eastAsia="宋体" w:cs="宋体"/>
          <w:b w:val="0"/>
          <w:bCs/>
          <w:color w:val="auto"/>
          <w:sz w:val="24"/>
          <w:szCs w:val="24"/>
        </w:rPr>
      </w:pPr>
      <w:r>
        <w:rPr>
          <w:rStyle w:val="14"/>
          <w:rFonts w:hint="eastAsia" w:ascii="宋体" w:hAnsi="宋体" w:eastAsia="宋体" w:cs="宋体"/>
          <w:b w:val="0"/>
          <w:bCs w:val="0"/>
          <w:color w:val="auto"/>
          <w:sz w:val="24"/>
          <w:szCs w:val="24"/>
        </w:rPr>
        <w:t>1.</w:t>
      </w:r>
      <w:r>
        <w:rPr>
          <w:rStyle w:val="14"/>
          <w:rFonts w:hint="eastAsia" w:ascii="宋体" w:hAnsi="宋体" w:eastAsia="宋体" w:cs="宋体"/>
          <w:b w:val="0"/>
          <w:bCs w:val="0"/>
          <w:color w:val="auto"/>
          <w:sz w:val="24"/>
          <w:szCs w:val="24"/>
          <w:lang w:eastAsia="zh-CN"/>
        </w:rPr>
        <w:t>住房保障支出</w:t>
      </w:r>
      <w:r>
        <w:rPr>
          <w:rStyle w:val="14"/>
          <w:rFonts w:hint="eastAsia" w:ascii="宋体" w:hAnsi="宋体" w:eastAsia="宋体" w:cs="宋体"/>
          <w:b w:val="0"/>
          <w:bCs w:val="0"/>
          <w:color w:val="auto"/>
          <w:sz w:val="24"/>
          <w:szCs w:val="24"/>
        </w:rPr>
        <w:t>（类）（款）（项）:</w:t>
      </w:r>
      <w:r>
        <w:rPr>
          <w:rStyle w:val="14"/>
          <w:rFonts w:hint="eastAsia" w:ascii="宋体" w:hAnsi="宋体" w:eastAsia="宋体" w:cs="宋体"/>
          <w:b w:val="0"/>
          <w:bCs/>
          <w:color w:val="auto"/>
          <w:sz w:val="24"/>
          <w:szCs w:val="24"/>
        </w:rPr>
        <w:t xml:space="preserve"> 支出决算为</w:t>
      </w:r>
      <w:r>
        <w:rPr>
          <w:rStyle w:val="14"/>
          <w:rFonts w:hint="eastAsia" w:cs="宋体"/>
          <w:b w:val="0"/>
          <w:bCs/>
          <w:color w:val="auto"/>
          <w:sz w:val="24"/>
          <w:szCs w:val="24"/>
          <w:lang w:val="en-US" w:eastAsia="zh-CN"/>
        </w:rPr>
        <w:t>43.09</w:t>
      </w:r>
      <w:r>
        <w:rPr>
          <w:rStyle w:val="14"/>
          <w:rFonts w:hint="eastAsia" w:ascii="宋体" w:hAnsi="宋体" w:eastAsia="宋体" w:cs="宋体"/>
          <w:b w:val="0"/>
          <w:bCs/>
          <w:color w:val="auto"/>
          <w:sz w:val="24"/>
          <w:szCs w:val="24"/>
        </w:rPr>
        <w:t>万元，完成预算</w:t>
      </w:r>
      <w:r>
        <w:rPr>
          <w:rStyle w:val="14"/>
          <w:rFonts w:hint="eastAsia" w:ascii="宋体" w:hAnsi="宋体" w:eastAsia="宋体" w:cs="宋体"/>
          <w:b w:val="0"/>
          <w:bCs/>
          <w:color w:val="auto"/>
          <w:sz w:val="24"/>
          <w:szCs w:val="24"/>
          <w:lang w:val="en-US" w:eastAsia="zh-CN"/>
        </w:rPr>
        <w:t>100</w:t>
      </w:r>
      <w:r>
        <w:rPr>
          <w:rStyle w:val="14"/>
          <w:rFonts w:hint="eastAsia" w:ascii="宋体" w:hAnsi="宋体" w:eastAsia="宋体" w:cs="宋体"/>
          <w:b w:val="0"/>
          <w:bCs/>
          <w:color w:val="auto"/>
          <w:sz w:val="24"/>
          <w:szCs w:val="24"/>
        </w:rPr>
        <w:t>%，决算数等于预算数。</w:t>
      </w:r>
    </w:p>
    <w:tbl>
      <w:tblPr>
        <w:tblW w:w="71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990"/>
        <w:gridCol w:w="3930"/>
        <w:gridCol w:w="2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221</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住房保障支出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22102</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住房改革支出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2210201</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住房公积金</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43.09</w:t>
            </w:r>
          </w:p>
        </w:tc>
      </w:tr>
    </w:tbl>
    <w:p>
      <w:pPr>
        <w:spacing w:line="600" w:lineRule="exact"/>
        <w:rPr>
          <w:rFonts w:hint="eastAsia" w:ascii="宋体" w:hAnsi="宋体" w:eastAsia="宋体" w:cs="宋体"/>
          <w:b/>
          <w:color w:val="FF0000"/>
          <w:sz w:val="24"/>
          <w:szCs w:val="24"/>
        </w:rPr>
      </w:pPr>
    </w:p>
    <w:p>
      <w:pPr>
        <w:pStyle w:val="11"/>
        <w:keepNext w:val="0"/>
        <w:keepLines w:val="0"/>
        <w:widowControl/>
        <w:suppressLineNumbers w:val="0"/>
        <w:spacing w:before="0" w:beforeAutospacing="0"/>
        <w:ind w:left="0"/>
        <w:jc w:val="left"/>
        <w:rPr>
          <w:color w:val="auto"/>
        </w:rPr>
      </w:pPr>
      <w:r>
        <w:rPr>
          <w:color w:val="auto"/>
          <w:sz w:val="24"/>
          <w:szCs w:val="24"/>
          <w:shd w:val="clear" w:color="auto" w:fill="FFFFFF"/>
        </w:rPr>
        <w:t> 2.教育（类）***（款）***（项）: 支出决算为</w:t>
      </w:r>
      <w:r>
        <w:rPr>
          <w:rFonts w:hint="eastAsia"/>
          <w:color w:val="auto"/>
          <w:sz w:val="24"/>
          <w:szCs w:val="24"/>
          <w:shd w:val="clear" w:color="auto" w:fill="FFFFFF"/>
          <w:lang w:val="en-US" w:eastAsia="zh-CN"/>
        </w:rPr>
        <w:t>0</w:t>
      </w:r>
      <w:r>
        <w:rPr>
          <w:color w:val="auto"/>
          <w:sz w:val="24"/>
          <w:szCs w:val="24"/>
          <w:shd w:val="clear" w:color="auto" w:fill="FFFFFF"/>
        </w:rPr>
        <w:t>万元，完成预算</w:t>
      </w:r>
      <w:r>
        <w:rPr>
          <w:rFonts w:hint="eastAsia"/>
          <w:color w:val="auto"/>
          <w:sz w:val="24"/>
          <w:szCs w:val="24"/>
          <w:shd w:val="clear" w:color="auto" w:fill="FFFFFF"/>
          <w:lang w:val="en-US" w:eastAsia="zh-CN"/>
        </w:rPr>
        <w:t>0</w:t>
      </w:r>
      <w:r>
        <w:rPr>
          <w:color w:val="auto"/>
          <w:sz w:val="24"/>
          <w:szCs w:val="24"/>
          <w:shd w:val="clear" w:color="auto" w:fill="FFFFFF"/>
        </w:rPr>
        <w:t>%，决算数小于/等于预算数的主要原因是…。</w:t>
      </w:r>
    </w:p>
    <w:p>
      <w:pPr>
        <w:pStyle w:val="11"/>
        <w:keepNext w:val="0"/>
        <w:keepLines w:val="0"/>
        <w:widowControl/>
        <w:suppressLineNumbers w:val="0"/>
        <w:spacing w:before="0" w:beforeAutospacing="0"/>
        <w:ind w:left="0"/>
        <w:jc w:val="left"/>
        <w:rPr>
          <w:color w:val="auto"/>
        </w:rPr>
      </w:pPr>
      <w:r>
        <w:rPr>
          <w:color w:val="auto"/>
          <w:sz w:val="24"/>
          <w:szCs w:val="24"/>
          <w:shd w:val="clear" w:color="auto" w:fill="FFFFFF"/>
        </w:rPr>
        <w:t> 3.科学技术（类）***（款）***（项）: 支出决算为</w:t>
      </w:r>
      <w:r>
        <w:rPr>
          <w:rFonts w:hint="eastAsia"/>
          <w:color w:val="auto"/>
          <w:sz w:val="24"/>
          <w:szCs w:val="24"/>
          <w:shd w:val="clear" w:color="auto" w:fill="FFFFFF"/>
          <w:lang w:val="en-US" w:eastAsia="zh-CN"/>
        </w:rPr>
        <w:t>0</w:t>
      </w:r>
      <w:r>
        <w:rPr>
          <w:color w:val="auto"/>
          <w:sz w:val="24"/>
          <w:szCs w:val="24"/>
          <w:shd w:val="clear" w:color="auto" w:fill="FFFFFF"/>
        </w:rPr>
        <w:t>万元，完成预算</w:t>
      </w:r>
      <w:r>
        <w:rPr>
          <w:rFonts w:hint="eastAsia"/>
          <w:color w:val="auto"/>
          <w:sz w:val="24"/>
          <w:szCs w:val="24"/>
          <w:shd w:val="clear" w:color="auto" w:fill="FFFFFF"/>
          <w:lang w:val="en-US" w:eastAsia="zh-CN"/>
        </w:rPr>
        <w:t>0</w:t>
      </w:r>
      <w:r>
        <w:rPr>
          <w:color w:val="auto"/>
          <w:sz w:val="24"/>
          <w:szCs w:val="24"/>
          <w:shd w:val="clear" w:color="auto" w:fill="FFFFFF"/>
        </w:rPr>
        <w:t>%，决算数小于/等于预算数的主要原因是…。</w:t>
      </w:r>
    </w:p>
    <w:p>
      <w:pPr>
        <w:pStyle w:val="11"/>
        <w:keepNext w:val="0"/>
        <w:keepLines w:val="0"/>
        <w:widowControl/>
        <w:suppressLineNumbers w:val="0"/>
        <w:spacing w:before="0" w:beforeAutospacing="0"/>
        <w:ind w:left="0"/>
        <w:jc w:val="left"/>
        <w:rPr>
          <w:color w:val="auto"/>
        </w:rPr>
      </w:pPr>
      <w:r>
        <w:rPr>
          <w:color w:val="auto"/>
          <w:sz w:val="24"/>
          <w:szCs w:val="24"/>
          <w:shd w:val="clear" w:color="auto" w:fill="FFFFFF"/>
        </w:rPr>
        <w:t> 4.文化旅游体育与传媒（类）***（款）***（项）: 支出决算为</w:t>
      </w:r>
      <w:r>
        <w:rPr>
          <w:rFonts w:hint="eastAsia"/>
          <w:color w:val="auto"/>
          <w:sz w:val="24"/>
          <w:szCs w:val="24"/>
          <w:shd w:val="clear" w:color="auto" w:fill="FFFFFF"/>
          <w:lang w:val="en-US" w:eastAsia="zh-CN"/>
        </w:rPr>
        <w:t>0</w:t>
      </w:r>
      <w:r>
        <w:rPr>
          <w:color w:val="auto"/>
          <w:sz w:val="24"/>
          <w:szCs w:val="24"/>
          <w:shd w:val="clear" w:color="auto" w:fill="FFFFFF"/>
        </w:rPr>
        <w:t>万元，完成预算</w:t>
      </w:r>
      <w:r>
        <w:rPr>
          <w:rFonts w:hint="eastAsia"/>
          <w:color w:val="auto"/>
          <w:sz w:val="24"/>
          <w:szCs w:val="24"/>
          <w:shd w:val="clear" w:color="auto" w:fill="FFFFFF"/>
          <w:lang w:val="en-US" w:eastAsia="zh-CN"/>
        </w:rPr>
        <w:t>0</w:t>
      </w:r>
      <w:r>
        <w:rPr>
          <w:color w:val="auto"/>
          <w:sz w:val="24"/>
          <w:szCs w:val="24"/>
          <w:shd w:val="clear" w:color="auto" w:fill="FFFFFF"/>
        </w:rPr>
        <w:t>%，决算数小于/等于预算数的主要原因是…。</w:t>
      </w:r>
    </w:p>
    <w:tbl>
      <w:tblPr>
        <w:tblStyle w:val="12"/>
        <w:tblpPr w:leftFromText="180" w:rightFromText="180" w:vertAnchor="text" w:horzAnchor="page" w:tblpX="1437" w:tblpY="1589"/>
        <w:tblOverlap w:val="never"/>
        <w:tblW w:w="72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90"/>
        <w:gridCol w:w="3990"/>
        <w:gridCol w:w="2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3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3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其他人力资源和社会保障管理事务支出</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3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3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3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27.12</w:t>
            </w:r>
          </w:p>
        </w:tc>
      </w:tr>
    </w:tbl>
    <w:p>
      <w:pPr>
        <w:spacing w:line="600" w:lineRule="exact"/>
        <w:ind w:firstLine="480" w:firstLineChars="200"/>
        <w:rPr>
          <w:rStyle w:val="14"/>
          <w:rFonts w:hint="eastAsia" w:ascii="宋体" w:hAnsi="宋体" w:eastAsia="宋体" w:cs="宋体"/>
          <w:b w:val="0"/>
          <w:bCs w:val="0"/>
          <w:color w:val="auto"/>
          <w:sz w:val="24"/>
          <w:szCs w:val="24"/>
          <w:lang w:val="en-US" w:eastAsia="zh-CN"/>
        </w:rPr>
      </w:pPr>
    </w:p>
    <w:p>
      <w:pPr>
        <w:spacing w:line="600" w:lineRule="exact"/>
        <w:ind w:firstLine="480" w:firstLineChars="200"/>
        <w:rPr>
          <w:rStyle w:val="14"/>
          <w:rFonts w:hint="eastAsia" w:ascii="宋体" w:hAnsi="宋体" w:eastAsia="宋体" w:cs="宋体"/>
          <w:b w:val="0"/>
          <w:bCs w:val="0"/>
          <w:color w:val="auto"/>
          <w:sz w:val="24"/>
          <w:szCs w:val="24"/>
          <w:lang w:val="en-US" w:eastAsia="zh-CN"/>
        </w:rPr>
      </w:pPr>
    </w:p>
    <w:p>
      <w:pPr>
        <w:spacing w:line="600" w:lineRule="exact"/>
        <w:ind w:firstLine="480" w:firstLineChars="200"/>
        <w:rPr>
          <w:rStyle w:val="14"/>
          <w:rFonts w:hint="eastAsia" w:ascii="宋体" w:hAnsi="宋体" w:eastAsia="宋体" w:cs="宋体"/>
          <w:b w:val="0"/>
          <w:bCs w:val="0"/>
          <w:color w:val="auto"/>
          <w:sz w:val="24"/>
          <w:szCs w:val="24"/>
          <w:lang w:val="en-US" w:eastAsia="zh-CN"/>
        </w:rPr>
      </w:pPr>
    </w:p>
    <w:p>
      <w:pPr>
        <w:spacing w:line="600" w:lineRule="exact"/>
        <w:ind w:firstLine="480" w:firstLineChars="200"/>
        <w:rPr>
          <w:rStyle w:val="14"/>
          <w:rFonts w:hint="eastAsia" w:ascii="宋体" w:hAnsi="宋体" w:eastAsia="宋体" w:cs="宋体"/>
          <w:b w:val="0"/>
          <w:bCs/>
          <w:color w:val="auto"/>
          <w:sz w:val="24"/>
          <w:szCs w:val="24"/>
        </w:rPr>
      </w:pPr>
      <w:r>
        <w:rPr>
          <w:rStyle w:val="14"/>
          <w:rFonts w:hint="eastAsia" w:ascii="宋体" w:hAnsi="宋体" w:eastAsia="宋体" w:cs="宋体"/>
          <w:b w:val="0"/>
          <w:bCs w:val="0"/>
          <w:color w:val="auto"/>
          <w:sz w:val="24"/>
          <w:szCs w:val="24"/>
          <w:lang w:val="en-US" w:eastAsia="zh-CN"/>
        </w:rPr>
        <w:t>5</w:t>
      </w:r>
      <w:r>
        <w:rPr>
          <w:rStyle w:val="14"/>
          <w:rFonts w:hint="eastAsia" w:ascii="宋体" w:hAnsi="宋体" w:eastAsia="宋体" w:cs="宋体"/>
          <w:b w:val="0"/>
          <w:bCs w:val="0"/>
          <w:color w:val="auto"/>
          <w:sz w:val="24"/>
          <w:szCs w:val="24"/>
        </w:rPr>
        <w:t xml:space="preserve">.社会保障和就业（类）（款）（项）: </w:t>
      </w:r>
      <w:r>
        <w:rPr>
          <w:rStyle w:val="14"/>
          <w:rFonts w:hint="eastAsia" w:ascii="宋体" w:hAnsi="宋体" w:eastAsia="宋体" w:cs="宋体"/>
          <w:b w:val="0"/>
          <w:bCs/>
          <w:color w:val="auto"/>
          <w:sz w:val="24"/>
          <w:szCs w:val="24"/>
        </w:rPr>
        <w:t>支出决算为</w:t>
      </w:r>
      <w:r>
        <w:rPr>
          <w:rStyle w:val="14"/>
          <w:rFonts w:hint="eastAsia" w:cs="宋体"/>
          <w:b w:val="0"/>
          <w:bCs/>
          <w:color w:val="auto"/>
          <w:sz w:val="24"/>
          <w:szCs w:val="24"/>
          <w:lang w:val="en-US" w:eastAsia="zh-CN"/>
        </w:rPr>
        <w:t>93.28</w:t>
      </w:r>
      <w:r>
        <w:rPr>
          <w:rStyle w:val="14"/>
          <w:rFonts w:hint="eastAsia" w:ascii="宋体" w:hAnsi="宋体" w:eastAsia="宋体" w:cs="宋体"/>
          <w:b w:val="0"/>
          <w:bCs/>
          <w:color w:val="auto"/>
          <w:sz w:val="24"/>
          <w:szCs w:val="24"/>
        </w:rPr>
        <w:t>万元，完成预算</w:t>
      </w:r>
      <w:r>
        <w:rPr>
          <w:rStyle w:val="14"/>
          <w:rFonts w:hint="eastAsia" w:ascii="宋体" w:hAnsi="宋体" w:eastAsia="宋体" w:cs="宋体"/>
          <w:b w:val="0"/>
          <w:bCs/>
          <w:color w:val="auto"/>
          <w:sz w:val="24"/>
          <w:szCs w:val="24"/>
          <w:lang w:val="en-US" w:eastAsia="zh-CN"/>
        </w:rPr>
        <w:t>100</w:t>
      </w:r>
      <w:r>
        <w:rPr>
          <w:rStyle w:val="14"/>
          <w:rFonts w:hint="eastAsia" w:ascii="宋体" w:hAnsi="宋体" w:eastAsia="宋体" w:cs="宋体"/>
          <w:b w:val="0"/>
          <w:bCs/>
          <w:color w:val="auto"/>
          <w:sz w:val="24"/>
          <w:szCs w:val="24"/>
        </w:rPr>
        <w:t>%，决算数等于预算数。</w:t>
      </w:r>
    </w:p>
    <w:p>
      <w:pPr>
        <w:spacing w:line="600" w:lineRule="exact"/>
        <w:ind w:firstLine="480" w:firstLineChars="200"/>
        <w:rPr>
          <w:rStyle w:val="14"/>
          <w:rFonts w:hint="eastAsia" w:ascii="宋体" w:hAnsi="宋体" w:eastAsia="宋体" w:cs="宋体"/>
          <w:b w:val="0"/>
          <w:bCs/>
          <w:color w:val="FF0000"/>
          <w:sz w:val="24"/>
          <w:szCs w:val="24"/>
        </w:rPr>
      </w:pPr>
    </w:p>
    <w:p>
      <w:pPr>
        <w:spacing w:line="600" w:lineRule="exact"/>
        <w:rPr>
          <w:rFonts w:hint="eastAsia" w:ascii="宋体" w:hAnsi="宋体" w:eastAsia="宋体" w:cs="宋体"/>
          <w:b w:val="0"/>
          <w:bCs w:val="0"/>
          <w:color w:val="FF0000"/>
          <w:sz w:val="24"/>
          <w:szCs w:val="24"/>
        </w:rPr>
      </w:pPr>
    </w:p>
    <w:p>
      <w:pPr>
        <w:spacing w:line="600" w:lineRule="exact"/>
        <w:rPr>
          <w:rFonts w:hint="eastAsia" w:ascii="宋体" w:hAnsi="宋体" w:eastAsia="宋体" w:cs="宋体"/>
          <w:b w:val="0"/>
          <w:bCs w:val="0"/>
          <w:color w:val="FF0000"/>
          <w:sz w:val="24"/>
          <w:szCs w:val="24"/>
        </w:rPr>
      </w:pPr>
    </w:p>
    <w:p>
      <w:pPr>
        <w:spacing w:line="600" w:lineRule="exact"/>
        <w:rPr>
          <w:rStyle w:val="14"/>
          <w:rFonts w:hint="eastAsia" w:ascii="宋体" w:hAnsi="宋体" w:eastAsia="宋体" w:cs="宋体"/>
          <w:b w:val="0"/>
          <w:bCs/>
          <w:color w:val="auto"/>
          <w:sz w:val="24"/>
          <w:szCs w:val="24"/>
        </w:rPr>
      </w:pPr>
      <w:r>
        <w:rPr>
          <w:rFonts w:hint="eastAsia" w:cs="宋体"/>
          <w:b w:val="0"/>
          <w:bCs w:val="0"/>
          <w:color w:val="auto"/>
          <w:sz w:val="24"/>
          <w:szCs w:val="24"/>
          <w:lang w:val="en-US" w:eastAsia="zh-CN"/>
        </w:rPr>
        <w:t>6.</w:t>
      </w:r>
      <w:r>
        <w:rPr>
          <w:rFonts w:hint="eastAsia" w:ascii="宋体" w:hAnsi="宋体" w:eastAsia="宋体" w:cs="宋体"/>
          <w:b w:val="0"/>
          <w:bCs w:val="0"/>
          <w:color w:val="auto"/>
          <w:sz w:val="24"/>
          <w:szCs w:val="24"/>
        </w:rPr>
        <w:t>卫生健康</w:t>
      </w:r>
      <w:r>
        <w:rPr>
          <w:rStyle w:val="14"/>
          <w:rFonts w:hint="eastAsia" w:ascii="宋体" w:hAnsi="宋体" w:eastAsia="宋体" w:cs="宋体"/>
          <w:b w:val="0"/>
          <w:bCs w:val="0"/>
          <w:color w:val="auto"/>
          <w:sz w:val="24"/>
          <w:szCs w:val="24"/>
        </w:rPr>
        <w:t>（类）（款）（项）:</w:t>
      </w:r>
      <w:r>
        <w:rPr>
          <w:rStyle w:val="14"/>
          <w:rFonts w:hint="eastAsia" w:ascii="宋体" w:hAnsi="宋体" w:eastAsia="宋体" w:cs="宋体"/>
          <w:b w:val="0"/>
          <w:bCs/>
          <w:color w:val="auto"/>
          <w:sz w:val="24"/>
          <w:szCs w:val="24"/>
        </w:rPr>
        <w:t>支出决算为</w:t>
      </w:r>
      <w:r>
        <w:rPr>
          <w:rStyle w:val="14"/>
          <w:rFonts w:hint="eastAsia" w:cs="宋体"/>
          <w:b w:val="0"/>
          <w:bCs/>
          <w:color w:val="auto"/>
          <w:sz w:val="24"/>
          <w:szCs w:val="24"/>
          <w:lang w:val="en-US" w:eastAsia="zh-CN"/>
        </w:rPr>
        <w:t>3927.97</w:t>
      </w:r>
      <w:r>
        <w:rPr>
          <w:rStyle w:val="14"/>
          <w:rFonts w:hint="eastAsia" w:ascii="宋体" w:hAnsi="宋体" w:eastAsia="宋体" w:cs="宋体"/>
          <w:b w:val="0"/>
          <w:bCs/>
          <w:color w:val="auto"/>
          <w:sz w:val="24"/>
          <w:szCs w:val="24"/>
        </w:rPr>
        <w:t>万元，完成预算</w:t>
      </w:r>
      <w:r>
        <w:rPr>
          <w:rStyle w:val="14"/>
          <w:rFonts w:hint="eastAsia" w:ascii="宋体" w:hAnsi="宋体" w:eastAsia="宋体" w:cs="宋体"/>
          <w:b w:val="0"/>
          <w:bCs/>
          <w:color w:val="auto"/>
          <w:sz w:val="24"/>
          <w:szCs w:val="24"/>
          <w:lang w:val="en-US" w:eastAsia="zh-CN"/>
        </w:rPr>
        <w:t>100</w:t>
      </w:r>
      <w:r>
        <w:rPr>
          <w:rStyle w:val="14"/>
          <w:rFonts w:hint="eastAsia" w:ascii="宋体" w:hAnsi="宋体" w:eastAsia="宋体" w:cs="宋体"/>
          <w:b w:val="0"/>
          <w:bCs/>
          <w:color w:val="auto"/>
          <w:sz w:val="24"/>
          <w:szCs w:val="24"/>
        </w:rPr>
        <w:t>%，决算数等于预算数。</w:t>
      </w:r>
    </w:p>
    <w:tbl>
      <w:tblPr>
        <w:tblW w:w="71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990"/>
        <w:gridCol w:w="3930"/>
        <w:gridCol w:w="2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卫生健康支出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3,927.97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21001</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卫生健康管理事务</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403.76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2100101</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行政运行</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353.06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2100102</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一般行政管理事务</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21003</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基层医疗卫生机构</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2100302</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乡镇卫生院</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2100399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其他基层医疗卫生机构支出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21004</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公共卫生</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1,149.31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2100408</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基本公共卫生服务</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2100409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重大公共卫生服务</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918.21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2100410</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突发公共卫生事件应急处理</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2100499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其他公共卫生支出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21007</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计划生育事务</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397.88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2100716</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计划生育机构</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2100799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其他计划生育事务支出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247.31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21011</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行政事业单位医疗</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2101101</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行政单位医疗</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2101102</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事业单位医疗</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2101103</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公务员医疗补助</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2101199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其他行政事业单位医疗支出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21099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其他卫生健康支出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1,837.45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2109999</w:t>
            </w:r>
          </w:p>
        </w:tc>
        <w:tc>
          <w:tcPr>
            <w:tcW w:w="393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其他卫生健康支出</w:t>
            </w:r>
          </w:p>
        </w:tc>
        <w:tc>
          <w:tcPr>
            <w:tcW w:w="2250"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1,837.45</w:t>
            </w:r>
          </w:p>
        </w:tc>
      </w:tr>
    </w:tbl>
    <w:p>
      <w:pPr>
        <w:pStyle w:val="11"/>
        <w:keepNext w:val="0"/>
        <w:keepLines w:val="0"/>
        <w:widowControl/>
        <w:suppressLineNumbers w:val="0"/>
        <w:spacing w:before="0" w:beforeAutospacing="0"/>
        <w:ind w:left="0"/>
        <w:jc w:val="left"/>
        <w:rPr>
          <w:color w:val="FF0000"/>
          <w:sz w:val="24"/>
          <w:szCs w:val="24"/>
          <w:shd w:val="clear" w:color="auto" w:fill="FFFFFF"/>
        </w:rPr>
      </w:pPr>
      <w:r>
        <w:rPr>
          <w:color w:val="FF0000"/>
          <w:sz w:val="24"/>
          <w:szCs w:val="24"/>
          <w:shd w:val="clear" w:color="auto" w:fill="FFFFFF"/>
        </w:rPr>
        <w:t> </w:t>
      </w:r>
      <w:r>
        <w:rPr>
          <w:rFonts w:hint="eastAsia"/>
          <w:color w:val="auto"/>
          <w:sz w:val="24"/>
          <w:szCs w:val="24"/>
          <w:shd w:val="clear" w:color="auto" w:fill="FFFFFF"/>
          <w:lang w:val="en-US" w:eastAsia="zh-CN"/>
        </w:rPr>
        <w:t>7</w:t>
      </w:r>
      <w:r>
        <w:rPr>
          <w:color w:val="auto"/>
          <w:sz w:val="24"/>
          <w:szCs w:val="24"/>
          <w:shd w:val="clear" w:color="auto" w:fill="FFFFFF"/>
        </w:rPr>
        <w:t>.</w:t>
      </w:r>
      <w:r>
        <w:rPr>
          <w:rFonts w:hint="eastAsia" w:ascii="宋体" w:hAnsi="宋体" w:eastAsia="宋体" w:cs="宋体"/>
          <w:i w:val="0"/>
          <w:color w:val="auto"/>
          <w:kern w:val="0"/>
          <w:sz w:val="22"/>
          <w:szCs w:val="22"/>
          <w:u w:val="none"/>
          <w:lang w:val="en-US" w:eastAsia="zh-CN" w:bidi="ar"/>
        </w:rPr>
        <w:t>节能环保</w:t>
      </w:r>
      <w:r>
        <w:rPr>
          <w:color w:val="auto"/>
          <w:sz w:val="24"/>
          <w:szCs w:val="24"/>
          <w:shd w:val="clear" w:color="auto" w:fill="FFFFFF"/>
        </w:rPr>
        <w:t>（类）（款）（项）: 支出决算为</w:t>
      </w:r>
      <w:r>
        <w:rPr>
          <w:rFonts w:hint="eastAsia"/>
          <w:color w:val="auto"/>
          <w:sz w:val="24"/>
          <w:szCs w:val="24"/>
          <w:shd w:val="clear" w:color="auto" w:fill="FFFFFF"/>
          <w:lang w:val="en-US" w:eastAsia="zh-CN"/>
        </w:rPr>
        <w:t>15.18</w:t>
      </w:r>
      <w:r>
        <w:rPr>
          <w:color w:val="auto"/>
          <w:sz w:val="24"/>
          <w:szCs w:val="24"/>
          <w:shd w:val="clear" w:color="auto" w:fill="FFFFFF"/>
        </w:rPr>
        <w:t>万元，完成预算</w:t>
      </w:r>
      <w:r>
        <w:rPr>
          <w:rFonts w:hint="eastAsia"/>
          <w:color w:val="auto"/>
          <w:sz w:val="24"/>
          <w:szCs w:val="24"/>
          <w:shd w:val="clear" w:color="auto" w:fill="FFFFFF"/>
          <w:lang w:val="en-US" w:eastAsia="zh-CN"/>
        </w:rPr>
        <w:t>100</w:t>
      </w:r>
      <w:r>
        <w:rPr>
          <w:color w:val="auto"/>
          <w:sz w:val="24"/>
          <w:szCs w:val="24"/>
          <w:shd w:val="clear" w:color="auto" w:fill="FFFFFF"/>
        </w:rPr>
        <w:t>%。</w:t>
      </w:r>
    </w:p>
    <w:tbl>
      <w:tblPr>
        <w:tblW w:w="84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886"/>
        <w:gridCol w:w="3519"/>
        <w:gridCol w:w="2015"/>
        <w:gridCol w:w="20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886"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211</w:t>
            </w:r>
          </w:p>
        </w:tc>
        <w:tc>
          <w:tcPr>
            <w:tcW w:w="3519"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节能环保支出</w:t>
            </w:r>
          </w:p>
        </w:tc>
        <w:tc>
          <w:tcPr>
            <w:tcW w:w="2015"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15.18</w:t>
            </w:r>
          </w:p>
        </w:tc>
        <w:tc>
          <w:tcPr>
            <w:tcW w:w="2006"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bdr w:val="none" w:color="auto" w:sz="0" w:space="0"/>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886"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21101</w:t>
            </w:r>
          </w:p>
        </w:tc>
        <w:tc>
          <w:tcPr>
            <w:tcW w:w="3519"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环境保护管理事务</w:t>
            </w:r>
          </w:p>
        </w:tc>
        <w:tc>
          <w:tcPr>
            <w:tcW w:w="2015"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15.18</w:t>
            </w:r>
          </w:p>
        </w:tc>
        <w:tc>
          <w:tcPr>
            <w:tcW w:w="2006"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bdr w:val="none" w:color="auto" w:sz="0" w:space="0"/>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8" w:hRule="atLeast"/>
        </w:trPr>
        <w:tc>
          <w:tcPr>
            <w:tcW w:w="886"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2110199</w:t>
            </w:r>
          </w:p>
        </w:tc>
        <w:tc>
          <w:tcPr>
            <w:tcW w:w="3519"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其他环境保护管理事务支出</w:t>
            </w:r>
          </w:p>
        </w:tc>
        <w:tc>
          <w:tcPr>
            <w:tcW w:w="2015"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15.18</w:t>
            </w:r>
          </w:p>
        </w:tc>
        <w:tc>
          <w:tcPr>
            <w:tcW w:w="2006" w:type="dxa"/>
            <w:tcBorders>
              <w:top w:val="nil"/>
              <w:left w:val="nil"/>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bdr w:val="none" w:color="auto" w:sz="0" w:space="0"/>
                <w:lang w:val="en-US" w:eastAsia="zh-CN" w:bidi="ar"/>
              </w:rPr>
            </w:pPr>
          </w:p>
        </w:tc>
      </w:tr>
    </w:tbl>
    <w:p>
      <w:pPr>
        <w:pStyle w:val="11"/>
        <w:keepNext w:val="0"/>
        <w:keepLines w:val="0"/>
        <w:widowControl/>
        <w:suppressLineNumbers w:val="0"/>
        <w:spacing w:before="0" w:beforeAutospacing="0"/>
        <w:ind w:left="0"/>
        <w:jc w:val="left"/>
        <w:rPr>
          <w:color w:val="FF0000"/>
        </w:rPr>
      </w:pPr>
    </w:p>
    <w:p>
      <w:pPr>
        <w:pStyle w:val="11"/>
        <w:keepNext w:val="0"/>
        <w:keepLines w:val="0"/>
        <w:widowControl/>
        <w:suppressLineNumbers w:val="0"/>
        <w:spacing w:before="0" w:beforeAutospacing="0"/>
        <w:ind w:left="0"/>
        <w:jc w:val="left"/>
        <w:rPr>
          <w:color w:val="auto"/>
        </w:rPr>
      </w:pPr>
      <w:r>
        <w:rPr>
          <w:color w:val="auto"/>
          <w:sz w:val="24"/>
          <w:szCs w:val="24"/>
          <w:shd w:val="clear" w:color="auto" w:fill="FFFFFF"/>
        </w:rPr>
        <w:t> </w:t>
      </w:r>
      <w:r>
        <w:rPr>
          <w:rFonts w:hint="eastAsia"/>
          <w:color w:val="auto"/>
          <w:sz w:val="24"/>
          <w:szCs w:val="24"/>
          <w:shd w:val="clear" w:color="auto" w:fill="FFFFFF"/>
          <w:lang w:val="en-US" w:eastAsia="zh-CN"/>
        </w:rPr>
        <w:t>8</w:t>
      </w:r>
      <w:r>
        <w:rPr>
          <w:color w:val="auto"/>
          <w:sz w:val="24"/>
          <w:szCs w:val="24"/>
          <w:shd w:val="clear" w:color="auto" w:fill="FFFFFF"/>
        </w:rPr>
        <w:t>.</w:t>
      </w:r>
      <w:r>
        <w:rPr>
          <w:rFonts w:hint="eastAsia"/>
          <w:color w:val="auto"/>
          <w:sz w:val="24"/>
          <w:szCs w:val="24"/>
          <w:shd w:val="clear" w:color="auto" w:fill="FFFFFF"/>
          <w:lang w:val="en-US" w:eastAsia="zh-CN"/>
        </w:rPr>
        <w:t>农林水</w:t>
      </w:r>
      <w:r>
        <w:rPr>
          <w:color w:val="auto"/>
          <w:sz w:val="24"/>
          <w:szCs w:val="24"/>
          <w:shd w:val="clear" w:color="auto" w:fill="FFFFFF"/>
        </w:rPr>
        <w:t>（类）（款）***（项）: 支出决算为</w:t>
      </w:r>
      <w:r>
        <w:rPr>
          <w:rFonts w:hint="eastAsia"/>
          <w:color w:val="auto"/>
          <w:sz w:val="24"/>
          <w:szCs w:val="24"/>
          <w:shd w:val="clear" w:color="auto" w:fill="FFFFFF"/>
          <w:lang w:val="en-US" w:eastAsia="zh-CN"/>
        </w:rPr>
        <w:t>150</w:t>
      </w:r>
      <w:r>
        <w:rPr>
          <w:color w:val="auto"/>
          <w:sz w:val="24"/>
          <w:szCs w:val="24"/>
          <w:shd w:val="clear" w:color="auto" w:fill="FFFFFF"/>
        </w:rPr>
        <w:t>万元，完成预算</w:t>
      </w:r>
      <w:r>
        <w:rPr>
          <w:rFonts w:hint="eastAsia"/>
          <w:color w:val="auto"/>
          <w:sz w:val="24"/>
          <w:szCs w:val="24"/>
          <w:shd w:val="clear" w:color="auto" w:fill="FFFFFF"/>
          <w:lang w:val="en-US" w:eastAsia="zh-CN"/>
        </w:rPr>
        <w:t>100</w:t>
      </w:r>
      <w:r>
        <w:rPr>
          <w:color w:val="auto"/>
          <w:sz w:val="24"/>
          <w:szCs w:val="24"/>
          <w:shd w:val="clear" w:color="auto" w:fill="FFFFFF"/>
        </w:rPr>
        <w:t>%。</w:t>
      </w:r>
    </w:p>
    <w:tbl>
      <w:tblPr>
        <w:tblStyle w:val="12"/>
        <w:tblW w:w="84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6"/>
        <w:gridCol w:w="3519"/>
        <w:gridCol w:w="2015"/>
        <w:gridCol w:w="20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8" w:hRule="atLeast"/>
        </w:trPr>
        <w:tc>
          <w:tcPr>
            <w:tcW w:w="8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35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农林水支出</w:t>
            </w:r>
          </w:p>
        </w:tc>
        <w:tc>
          <w:tcPr>
            <w:tcW w:w="2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c>
          <w:tcPr>
            <w:tcW w:w="20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8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w:t>
            </w:r>
          </w:p>
        </w:tc>
        <w:tc>
          <w:tcPr>
            <w:tcW w:w="35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巩固脱贫衔接乡村振兴</w:t>
            </w:r>
          </w:p>
        </w:tc>
        <w:tc>
          <w:tcPr>
            <w:tcW w:w="2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c>
          <w:tcPr>
            <w:tcW w:w="20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8" w:hRule="atLeast"/>
        </w:trPr>
        <w:tc>
          <w:tcPr>
            <w:tcW w:w="8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2130599</w:t>
            </w:r>
          </w:p>
        </w:tc>
        <w:tc>
          <w:tcPr>
            <w:tcW w:w="35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其他巩固脱贫衔接乡村振兴支出</w:t>
            </w:r>
          </w:p>
        </w:tc>
        <w:tc>
          <w:tcPr>
            <w:tcW w:w="20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c>
          <w:tcPr>
            <w:tcW w:w="20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bl>
    <w:p>
      <w:pPr>
        <w:spacing w:line="600" w:lineRule="exact"/>
        <w:rPr>
          <w:rStyle w:val="14"/>
          <w:rFonts w:hint="eastAsia" w:ascii="宋体" w:hAnsi="宋体" w:eastAsia="宋体" w:cs="宋体"/>
          <w:b w:val="0"/>
          <w:bCs/>
          <w:color w:val="FF0000"/>
          <w:sz w:val="24"/>
          <w:szCs w:val="24"/>
        </w:rPr>
      </w:pPr>
    </w:p>
    <w:p>
      <w:pPr>
        <w:pStyle w:val="11"/>
        <w:keepNext w:val="0"/>
        <w:keepLines w:val="0"/>
        <w:widowControl/>
        <w:suppressLineNumbers w:val="0"/>
        <w:spacing w:before="0" w:beforeAutospacing="0"/>
        <w:ind w:left="0"/>
        <w:jc w:val="left"/>
      </w:pPr>
      <w:r>
        <w:rPr>
          <w:rStyle w:val="14"/>
          <w:sz w:val="24"/>
          <w:szCs w:val="24"/>
          <w:shd w:val="clear" w:color="auto" w:fill="FFFFFF"/>
        </w:rPr>
        <w:t>六、一般公共预算财政拨款基本支出决算情况说明</w:t>
      </w:r>
      <w:r>
        <w:rPr>
          <w:sz w:val="24"/>
          <w:szCs w:val="24"/>
          <w:shd w:val="clear" w:color="auto" w:fill="FFFFFF"/>
        </w:rPr>
        <w:t>      </w:t>
      </w:r>
    </w:p>
    <w:p>
      <w:pPr>
        <w:pStyle w:val="11"/>
        <w:keepNext w:val="0"/>
        <w:keepLines w:val="0"/>
        <w:widowControl/>
        <w:suppressLineNumbers w:val="0"/>
        <w:spacing w:before="0" w:beforeAutospacing="0"/>
        <w:ind w:left="0"/>
        <w:jc w:val="left"/>
      </w:pPr>
      <w:r>
        <w:rPr>
          <w:sz w:val="24"/>
          <w:szCs w:val="24"/>
          <w:shd w:val="clear" w:color="auto" w:fill="FFFFFF"/>
        </w:rPr>
        <w:t>202</w:t>
      </w:r>
      <w:r>
        <w:rPr>
          <w:rFonts w:hint="eastAsia"/>
          <w:sz w:val="24"/>
          <w:szCs w:val="24"/>
          <w:shd w:val="clear" w:color="auto" w:fill="FFFFFF"/>
          <w:lang w:val="en-US" w:eastAsia="zh-CN"/>
        </w:rPr>
        <w:t>2</w:t>
      </w:r>
      <w:r>
        <w:rPr>
          <w:sz w:val="24"/>
          <w:szCs w:val="24"/>
          <w:shd w:val="clear" w:color="auto" w:fill="FFFFFF"/>
        </w:rPr>
        <w:t>年一般公共预算财政拨款基本支出</w:t>
      </w:r>
      <w:r>
        <w:rPr>
          <w:rFonts w:hint="eastAsia"/>
          <w:sz w:val="24"/>
          <w:szCs w:val="24"/>
          <w:shd w:val="clear" w:color="auto" w:fill="FFFFFF"/>
          <w:lang w:val="en-US" w:eastAsia="zh-CN"/>
        </w:rPr>
        <w:t>663.27</w:t>
      </w:r>
      <w:r>
        <w:rPr>
          <w:sz w:val="24"/>
          <w:szCs w:val="24"/>
          <w:shd w:val="clear" w:color="auto" w:fill="FFFFFF"/>
        </w:rPr>
        <w:t>万元，其中：</w:t>
      </w:r>
    </w:p>
    <w:p>
      <w:pPr>
        <w:pStyle w:val="11"/>
        <w:keepNext w:val="0"/>
        <w:keepLines w:val="0"/>
        <w:widowControl/>
        <w:suppressLineNumbers w:val="0"/>
        <w:spacing w:before="0" w:beforeAutospacing="0"/>
        <w:ind w:left="0"/>
        <w:jc w:val="left"/>
        <w:rPr>
          <w:rFonts w:hint="eastAsia" w:eastAsia="宋体"/>
          <w:sz w:val="24"/>
          <w:szCs w:val="24"/>
          <w:shd w:val="clear" w:color="auto" w:fill="FFFFFF"/>
          <w:lang w:eastAsia="zh-CN"/>
        </w:rPr>
      </w:pPr>
      <w:r>
        <w:rPr>
          <w:sz w:val="24"/>
          <w:szCs w:val="24"/>
          <w:shd w:val="clear" w:color="auto" w:fill="FFFFFF"/>
        </w:rPr>
        <w:t>  人员经费</w:t>
      </w:r>
      <w:r>
        <w:rPr>
          <w:rFonts w:hint="eastAsia"/>
          <w:sz w:val="24"/>
          <w:szCs w:val="24"/>
          <w:shd w:val="clear" w:color="auto" w:fill="FFFFFF"/>
          <w:lang w:val="en-US" w:eastAsia="zh-CN"/>
        </w:rPr>
        <w:t>614.73</w:t>
      </w:r>
      <w:r>
        <w:rPr>
          <w:sz w:val="24"/>
          <w:szCs w:val="24"/>
          <w:shd w:val="clear" w:color="auto" w:fill="FFFFFF"/>
        </w:rPr>
        <w:t>万元，主要包括：基本工资、津贴补贴、奖金、伙食补助费、绩效工资、机关事业单位基本养老保险缴费、职业年金缴费、 其 他社会保障缴费、其他工资福利支出、离休费、退休费、抚恤金、生活补助、医疗费补助、奖励金、住房公积金、其他对个人和家庭的补助支出等。</w:t>
      </w:r>
    </w:p>
    <w:p>
      <w:pPr>
        <w:pStyle w:val="11"/>
        <w:keepNext w:val="0"/>
        <w:keepLines w:val="0"/>
        <w:widowControl/>
        <w:suppressLineNumbers w:val="0"/>
        <w:spacing w:before="0" w:beforeAutospacing="0"/>
        <w:ind w:left="0"/>
        <w:jc w:val="left"/>
      </w:pPr>
      <w:r>
        <w:rPr>
          <w:sz w:val="24"/>
          <w:szCs w:val="24"/>
          <w:shd w:val="clear" w:color="auto" w:fill="FFFFFF"/>
        </w:rPr>
        <w:t>　 日常公用经费</w:t>
      </w:r>
      <w:r>
        <w:rPr>
          <w:rFonts w:hint="eastAsia"/>
          <w:sz w:val="24"/>
          <w:szCs w:val="24"/>
          <w:shd w:val="clear" w:color="auto" w:fill="FFFFFF"/>
          <w:lang w:val="en-US" w:eastAsia="zh-CN"/>
        </w:rPr>
        <w:t>48.54</w:t>
      </w:r>
      <w:r>
        <w:rPr>
          <w:sz w:val="24"/>
          <w:szCs w:val="24"/>
          <w:shd w:val="clear" w:color="auto" w:fill="FFFFFF"/>
        </w:rPr>
        <w:t>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pStyle w:val="11"/>
        <w:keepNext w:val="0"/>
        <w:keepLines w:val="0"/>
        <w:widowControl/>
        <w:suppressLineNumbers w:val="0"/>
        <w:spacing w:before="0" w:beforeAutospacing="0"/>
        <w:ind w:left="0"/>
        <w:jc w:val="left"/>
      </w:pPr>
      <w:r>
        <w:rPr>
          <w:rStyle w:val="14"/>
          <w:sz w:val="24"/>
          <w:szCs w:val="24"/>
          <w:shd w:val="clear" w:color="auto" w:fill="FFFFFF"/>
        </w:rPr>
        <w:t>七、“三公”经费财政拨款支出决算情况说明</w:t>
      </w:r>
    </w:p>
    <w:p>
      <w:pPr>
        <w:pStyle w:val="11"/>
        <w:keepNext w:val="0"/>
        <w:keepLines w:val="0"/>
        <w:widowControl/>
        <w:suppressLineNumbers w:val="0"/>
        <w:spacing w:before="0" w:beforeAutospacing="0"/>
        <w:ind w:left="0"/>
        <w:jc w:val="left"/>
      </w:pPr>
      <w:r>
        <w:rPr>
          <w:rStyle w:val="14"/>
          <w:sz w:val="24"/>
          <w:szCs w:val="24"/>
          <w:shd w:val="clear" w:color="auto" w:fill="FFFFFF"/>
        </w:rPr>
        <w:t>（一）“三公”经费财政拨款支出决算总体情况说明</w:t>
      </w:r>
    </w:p>
    <w:p>
      <w:pPr>
        <w:pStyle w:val="11"/>
        <w:keepNext w:val="0"/>
        <w:keepLines w:val="0"/>
        <w:widowControl/>
        <w:suppressLineNumbers w:val="0"/>
        <w:spacing w:before="0" w:beforeAutospacing="0"/>
        <w:ind w:left="0"/>
        <w:jc w:val="left"/>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年“三公”经费财政拨款支出决算为</w:t>
      </w:r>
      <w:r>
        <w:rPr>
          <w:rFonts w:hint="eastAsia"/>
          <w:sz w:val="24"/>
          <w:szCs w:val="24"/>
          <w:shd w:val="clear" w:color="auto" w:fill="FFFFFF"/>
        </w:rPr>
        <w:t>83.34</w:t>
      </w:r>
      <w:r>
        <w:rPr>
          <w:sz w:val="24"/>
          <w:szCs w:val="24"/>
          <w:shd w:val="clear" w:color="auto" w:fill="FFFFFF"/>
        </w:rPr>
        <w:t>万元，完成预算</w:t>
      </w:r>
      <w:r>
        <w:rPr>
          <w:rFonts w:hint="eastAsia"/>
          <w:sz w:val="24"/>
          <w:szCs w:val="24"/>
          <w:shd w:val="clear" w:color="auto" w:fill="FFFFFF"/>
          <w:lang w:val="en-US" w:eastAsia="zh-CN"/>
        </w:rPr>
        <w:t>1</w:t>
      </w:r>
      <w:r>
        <w:rPr>
          <w:sz w:val="24"/>
          <w:szCs w:val="24"/>
          <w:shd w:val="clear" w:color="auto" w:fill="FFFFFF"/>
        </w:rPr>
        <w:t>00%。</w:t>
      </w:r>
    </w:p>
    <w:p>
      <w:pPr>
        <w:pStyle w:val="11"/>
        <w:keepNext w:val="0"/>
        <w:keepLines w:val="0"/>
        <w:widowControl/>
        <w:suppressLineNumbers w:val="0"/>
        <w:spacing w:before="0" w:beforeAutospacing="0"/>
        <w:ind w:left="0"/>
        <w:jc w:val="left"/>
      </w:pPr>
      <w:r>
        <w:rPr>
          <w:rStyle w:val="14"/>
          <w:sz w:val="24"/>
          <w:szCs w:val="24"/>
          <w:shd w:val="clear" w:color="auto" w:fill="FFFFFF"/>
        </w:rPr>
        <w:t>（二）“三公”经费财政拨款支出决算具体情况说明</w:t>
      </w:r>
    </w:p>
    <w:p>
      <w:pPr>
        <w:pStyle w:val="11"/>
        <w:keepNext w:val="0"/>
        <w:keepLines w:val="0"/>
        <w:widowControl/>
        <w:suppressLineNumbers w:val="0"/>
        <w:spacing w:before="0" w:beforeAutospacing="0"/>
        <w:ind w:left="0"/>
        <w:jc w:val="left"/>
        <w:rPr>
          <w:shd w:val="clear" w:color="auto" w:fill="FFFFFF"/>
        </w:rPr>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年“三公”经费财政拨款支出决算中，因公出国（境）费支出决算0.00万元，占 0.00%；公务用车购置及运行维护费支出决算</w:t>
      </w:r>
      <w:r>
        <w:rPr>
          <w:rFonts w:hint="eastAsia"/>
          <w:sz w:val="24"/>
          <w:szCs w:val="24"/>
          <w:shd w:val="clear" w:color="auto" w:fill="FFFFFF"/>
        </w:rPr>
        <w:t>83.19</w:t>
      </w:r>
      <w:r>
        <w:rPr>
          <w:sz w:val="24"/>
          <w:szCs w:val="24"/>
          <w:shd w:val="clear" w:color="auto" w:fill="FFFFFF"/>
        </w:rPr>
        <w:t xml:space="preserve">万元，占 </w:t>
      </w:r>
      <w:r>
        <w:rPr>
          <w:rFonts w:hint="eastAsia"/>
          <w:sz w:val="24"/>
          <w:szCs w:val="24"/>
          <w:shd w:val="clear" w:color="auto" w:fill="FFFFFF"/>
          <w:lang w:val="en-US" w:eastAsia="zh-CN"/>
        </w:rPr>
        <w:t>99.82</w:t>
      </w:r>
      <w:r>
        <w:rPr>
          <w:sz w:val="24"/>
          <w:szCs w:val="24"/>
          <w:shd w:val="clear" w:color="auto" w:fill="FFFFFF"/>
        </w:rPr>
        <w:t>%；公务接待费支出决算0.</w:t>
      </w:r>
      <w:r>
        <w:rPr>
          <w:rFonts w:hint="eastAsia"/>
          <w:sz w:val="24"/>
          <w:szCs w:val="24"/>
          <w:shd w:val="clear" w:color="auto" w:fill="FFFFFF"/>
          <w:lang w:val="en-US" w:eastAsia="zh-CN"/>
        </w:rPr>
        <w:t>15</w:t>
      </w:r>
      <w:r>
        <w:rPr>
          <w:sz w:val="24"/>
          <w:szCs w:val="24"/>
          <w:shd w:val="clear" w:color="auto" w:fill="FFFFFF"/>
        </w:rPr>
        <w:t xml:space="preserve">万元，占 </w:t>
      </w:r>
      <w:r>
        <w:rPr>
          <w:rFonts w:hint="eastAsia"/>
          <w:sz w:val="24"/>
          <w:szCs w:val="24"/>
          <w:shd w:val="clear" w:color="auto" w:fill="FFFFFF"/>
          <w:lang w:val="en-US" w:eastAsia="zh-CN"/>
        </w:rPr>
        <w:t>0.18</w:t>
      </w:r>
      <w:r>
        <w:rPr>
          <w:sz w:val="24"/>
          <w:szCs w:val="24"/>
          <w:shd w:val="clear" w:color="auto" w:fill="FFFFFF"/>
        </w:rPr>
        <w:t>%。具体情况如下：</w:t>
      </w:r>
      <w:r>
        <w:drawing>
          <wp:inline distT="0" distB="0" distL="114300" distR="114300">
            <wp:extent cx="4572000" cy="2743200"/>
            <wp:effectExtent l="4445" t="4445" r="14605" b="14605"/>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shd w:val="clear" w:color="auto" w:fill="FFFFFF"/>
        </w:rPr>
        <w:t> </w:t>
      </w:r>
    </w:p>
    <w:p>
      <w:pPr>
        <w:pStyle w:val="11"/>
        <w:keepNext w:val="0"/>
        <w:keepLines w:val="0"/>
        <w:widowControl/>
        <w:suppressLineNumbers w:val="0"/>
        <w:spacing w:before="0" w:beforeAutospacing="0"/>
        <w:ind w:left="0"/>
        <w:jc w:val="left"/>
      </w:pPr>
      <w:r>
        <w:rPr>
          <w:sz w:val="24"/>
          <w:szCs w:val="24"/>
          <w:shd w:val="clear" w:color="auto" w:fill="FFFFFF"/>
        </w:rPr>
        <w:t>（图7：“三公”经费财政拨款支出结构）（饼状图）</w:t>
      </w:r>
    </w:p>
    <w:p>
      <w:pPr>
        <w:pStyle w:val="11"/>
        <w:keepNext w:val="0"/>
        <w:keepLines w:val="0"/>
        <w:widowControl/>
        <w:suppressLineNumbers w:val="0"/>
        <w:spacing w:before="0" w:beforeAutospacing="0"/>
        <w:ind w:left="0"/>
        <w:jc w:val="left"/>
      </w:pPr>
      <w:r>
        <w:rPr>
          <w:rStyle w:val="14"/>
          <w:sz w:val="24"/>
          <w:szCs w:val="24"/>
          <w:shd w:val="clear" w:color="auto" w:fill="FFFFFF"/>
        </w:rPr>
        <w:t>1.因公出国（境）经费支出</w:t>
      </w:r>
      <w:r>
        <w:rPr>
          <w:sz w:val="24"/>
          <w:szCs w:val="24"/>
          <w:shd w:val="clear" w:color="auto" w:fill="FFFFFF"/>
        </w:rPr>
        <w:t>0.00</w:t>
      </w:r>
      <w:r>
        <w:rPr>
          <w:rStyle w:val="14"/>
          <w:sz w:val="24"/>
          <w:szCs w:val="24"/>
          <w:shd w:val="clear" w:color="auto" w:fill="FFFFFF"/>
        </w:rPr>
        <w:t>万元，完成预算</w:t>
      </w:r>
      <w:r>
        <w:rPr>
          <w:sz w:val="24"/>
          <w:szCs w:val="24"/>
          <w:shd w:val="clear" w:color="auto" w:fill="FFFFFF"/>
        </w:rPr>
        <w:t>0.00</w:t>
      </w:r>
      <w:r>
        <w:rPr>
          <w:rStyle w:val="14"/>
          <w:sz w:val="24"/>
          <w:szCs w:val="24"/>
          <w:shd w:val="clear" w:color="auto" w:fill="FFFFFF"/>
        </w:rPr>
        <w:t>%。</w:t>
      </w:r>
      <w:r>
        <w:rPr>
          <w:sz w:val="24"/>
          <w:szCs w:val="24"/>
          <w:shd w:val="clear" w:color="auto" w:fill="FFFFFF"/>
        </w:rPr>
        <w:t>全年安排因公出国（境）团组0个，出国（境）0人。因公出国（境）支出决算比20</w:t>
      </w:r>
      <w:r>
        <w:rPr>
          <w:rFonts w:hint="eastAsia"/>
          <w:sz w:val="24"/>
          <w:szCs w:val="24"/>
          <w:shd w:val="clear" w:color="auto" w:fill="FFFFFF"/>
          <w:lang w:val="en-US" w:eastAsia="zh-CN"/>
        </w:rPr>
        <w:t>21</w:t>
      </w:r>
      <w:r>
        <w:rPr>
          <w:sz w:val="24"/>
          <w:szCs w:val="24"/>
          <w:shd w:val="clear" w:color="auto" w:fill="FFFFFF"/>
        </w:rPr>
        <w:t>年增加 0.00万元，增长</w:t>
      </w:r>
      <w:r>
        <w:rPr>
          <w:rFonts w:hint="eastAsia"/>
          <w:sz w:val="24"/>
          <w:szCs w:val="24"/>
          <w:shd w:val="clear" w:color="auto" w:fill="FFFFFF"/>
          <w:lang w:val="en-US" w:eastAsia="zh-CN"/>
        </w:rPr>
        <w:t>0</w:t>
      </w:r>
      <w:r>
        <w:rPr>
          <w:sz w:val="24"/>
          <w:szCs w:val="24"/>
          <w:shd w:val="clear" w:color="auto" w:fill="FFFFFF"/>
        </w:rPr>
        <w:t>.00%。主要原因是…</w:t>
      </w:r>
    </w:p>
    <w:p>
      <w:pPr>
        <w:pStyle w:val="11"/>
        <w:keepNext w:val="0"/>
        <w:keepLines w:val="0"/>
        <w:widowControl/>
        <w:suppressLineNumbers w:val="0"/>
        <w:spacing w:before="0" w:beforeAutospacing="0"/>
        <w:ind w:left="0"/>
        <w:jc w:val="left"/>
      </w:pPr>
      <w:r>
        <w:rPr>
          <w:sz w:val="24"/>
          <w:szCs w:val="24"/>
          <w:shd w:val="clear" w:color="auto" w:fill="FFFFFF"/>
        </w:rPr>
        <w:t>开支内容包括：…（团组名称、出访地点、取得成效）</w:t>
      </w:r>
    </w:p>
    <w:p>
      <w:pPr>
        <w:pStyle w:val="11"/>
        <w:keepNext w:val="0"/>
        <w:keepLines w:val="0"/>
        <w:widowControl/>
        <w:suppressLineNumbers w:val="0"/>
        <w:spacing w:before="0" w:beforeAutospacing="0"/>
        <w:ind w:left="0"/>
        <w:jc w:val="left"/>
      </w:pPr>
      <w:r>
        <w:rPr>
          <w:rStyle w:val="14"/>
          <w:sz w:val="24"/>
          <w:szCs w:val="24"/>
          <w:shd w:val="clear" w:color="auto" w:fill="FFFFFF"/>
        </w:rPr>
        <w:t>2.公务用车购置及运行维护费支出</w:t>
      </w:r>
      <w:r>
        <w:rPr>
          <w:rFonts w:hint="eastAsia"/>
          <w:sz w:val="24"/>
          <w:szCs w:val="24"/>
          <w:shd w:val="clear" w:color="auto" w:fill="FFFFFF"/>
          <w:lang w:val="en-US" w:eastAsia="zh-CN"/>
        </w:rPr>
        <w:t>83.19</w:t>
      </w:r>
      <w:r>
        <w:rPr>
          <w:rStyle w:val="14"/>
          <w:sz w:val="24"/>
          <w:szCs w:val="24"/>
          <w:shd w:val="clear" w:color="auto" w:fill="FFFFFF"/>
        </w:rPr>
        <w:t>万元,完成预算</w:t>
      </w:r>
      <w:r>
        <w:rPr>
          <w:rFonts w:hint="eastAsia"/>
          <w:sz w:val="24"/>
          <w:szCs w:val="24"/>
          <w:shd w:val="clear" w:color="auto" w:fill="FFFFFF"/>
          <w:lang w:val="en-US" w:eastAsia="zh-CN"/>
        </w:rPr>
        <w:t>100</w:t>
      </w:r>
      <w:r>
        <w:rPr>
          <w:rStyle w:val="14"/>
          <w:sz w:val="24"/>
          <w:szCs w:val="24"/>
          <w:shd w:val="clear" w:color="auto" w:fill="FFFFFF"/>
        </w:rPr>
        <w:t>%。</w:t>
      </w:r>
      <w:r>
        <w:rPr>
          <w:sz w:val="24"/>
          <w:szCs w:val="24"/>
          <w:shd w:val="clear" w:color="auto" w:fill="FFFFFF"/>
        </w:rPr>
        <w:t>公务用车购置及运行维护费支出决算比20</w:t>
      </w:r>
      <w:r>
        <w:rPr>
          <w:rFonts w:hint="eastAsia"/>
          <w:sz w:val="24"/>
          <w:szCs w:val="24"/>
          <w:shd w:val="clear" w:color="auto" w:fill="FFFFFF"/>
          <w:lang w:val="en-US" w:eastAsia="zh-CN"/>
        </w:rPr>
        <w:t>21</w:t>
      </w:r>
      <w:r>
        <w:rPr>
          <w:sz w:val="24"/>
          <w:szCs w:val="24"/>
          <w:shd w:val="clear" w:color="auto" w:fill="FFFFFF"/>
        </w:rPr>
        <w:t>年增加</w:t>
      </w:r>
      <w:r>
        <w:rPr>
          <w:rFonts w:hint="eastAsia"/>
          <w:sz w:val="24"/>
          <w:szCs w:val="24"/>
          <w:shd w:val="clear" w:color="auto" w:fill="FFFFFF"/>
          <w:lang w:val="en-US" w:eastAsia="zh-CN"/>
        </w:rPr>
        <w:t>60.93</w:t>
      </w:r>
      <w:r>
        <w:rPr>
          <w:sz w:val="24"/>
          <w:szCs w:val="24"/>
          <w:shd w:val="clear" w:color="auto" w:fill="FFFFFF"/>
        </w:rPr>
        <w:t>万元，增长</w:t>
      </w:r>
      <w:r>
        <w:rPr>
          <w:rFonts w:hint="eastAsia"/>
          <w:sz w:val="24"/>
          <w:szCs w:val="24"/>
          <w:shd w:val="clear" w:color="auto" w:fill="FFFFFF"/>
          <w:lang w:val="en-US" w:eastAsia="zh-CN"/>
        </w:rPr>
        <w:t>265.26</w:t>
      </w:r>
      <w:r>
        <w:rPr>
          <w:sz w:val="24"/>
          <w:szCs w:val="24"/>
          <w:shd w:val="clear" w:color="auto" w:fill="FFFFFF"/>
        </w:rPr>
        <w:t>%。主要原因是</w:t>
      </w:r>
      <w:r>
        <w:rPr>
          <w:rFonts w:hint="eastAsia"/>
          <w:sz w:val="24"/>
          <w:szCs w:val="24"/>
          <w:shd w:val="clear" w:color="auto" w:fill="FFFFFF"/>
          <w:lang w:val="en-US" w:eastAsia="zh-CN"/>
        </w:rPr>
        <w:t>本年红原县发生新冠疫情用车大大增加导致费用增加</w:t>
      </w:r>
      <w:r>
        <w:rPr>
          <w:rStyle w:val="14"/>
          <w:sz w:val="24"/>
          <w:szCs w:val="24"/>
          <w:shd w:val="clear" w:color="auto" w:fill="FFFFFF"/>
        </w:rPr>
        <w:t>，</w:t>
      </w:r>
      <w:r>
        <w:rPr>
          <w:sz w:val="24"/>
          <w:szCs w:val="24"/>
          <w:shd w:val="clear" w:color="auto" w:fill="FFFFFF"/>
        </w:rPr>
        <w:t>其中：</w:t>
      </w:r>
      <w:r>
        <w:rPr>
          <w:rStyle w:val="14"/>
          <w:sz w:val="24"/>
          <w:szCs w:val="24"/>
          <w:shd w:val="clear" w:color="auto" w:fill="FFFFFF"/>
        </w:rPr>
        <w:t>公务用车购置支出</w:t>
      </w:r>
      <w:r>
        <w:rPr>
          <w:sz w:val="24"/>
          <w:szCs w:val="24"/>
          <w:shd w:val="clear" w:color="auto" w:fill="FFFFFF"/>
        </w:rPr>
        <w:t>0.00</w:t>
      </w:r>
      <w:r>
        <w:rPr>
          <w:rStyle w:val="14"/>
          <w:sz w:val="24"/>
          <w:szCs w:val="24"/>
          <w:shd w:val="clear" w:color="auto" w:fill="FFFFFF"/>
        </w:rPr>
        <w:t>万元。</w:t>
      </w:r>
      <w:r>
        <w:rPr>
          <w:sz w:val="24"/>
          <w:szCs w:val="24"/>
          <w:shd w:val="clear" w:color="auto" w:fill="FFFFFF"/>
        </w:rPr>
        <w:t>全年按规定更新购置公务用车0辆，金额0.00万元。截至202</w:t>
      </w:r>
      <w:r>
        <w:rPr>
          <w:rFonts w:hint="eastAsia"/>
          <w:sz w:val="24"/>
          <w:szCs w:val="24"/>
          <w:shd w:val="clear" w:color="auto" w:fill="FFFFFF"/>
          <w:lang w:val="en-US" w:eastAsia="zh-CN"/>
        </w:rPr>
        <w:t>2</w:t>
      </w:r>
      <w:r>
        <w:rPr>
          <w:sz w:val="24"/>
          <w:szCs w:val="24"/>
          <w:shd w:val="clear" w:color="auto" w:fill="FFFFFF"/>
        </w:rPr>
        <w:t>年12月底，单位共有公务用车</w:t>
      </w:r>
      <w:r>
        <w:rPr>
          <w:rFonts w:hint="eastAsia"/>
          <w:sz w:val="24"/>
          <w:szCs w:val="24"/>
          <w:shd w:val="clear" w:color="auto" w:fill="FFFFFF"/>
          <w:lang w:val="en-US" w:eastAsia="zh-CN"/>
        </w:rPr>
        <w:t>4</w:t>
      </w:r>
      <w:r>
        <w:rPr>
          <w:sz w:val="24"/>
          <w:szCs w:val="24"/>
          <w:shd w:val="clear" w:color="auto" w:fill="FFFFFF"/>
        </w:rPr>
        <w:t>辆，其中：主要领导干部用车0辆、机要通信用车0辆、应急保障用车</w:t>
      </w:r>
      <w:r>
        <w:rPr>
          <w:rFonts w:hint="eastAsia"/>
          <w:sz w:val="24"/>
          <w:szCs w:val="24"/>
          <w:shd w:val="clear" w:color="auto" w:fill="FFFFFF"/>
          <w:lang w:val="en-US" w:eastAsia="zh-CN"/>
        </w:rPr>
        <w:t>4</w:t>
      </w:r>
      <w:r>
        <w:rPr>
          <w:sz w:val="24"/>
          <w:szCs w:val="24"/>
          <w:shd w:val="clear" w:color="auto" w:fill="FFFFFF"/>
        </w:rPr>
        <w:t>辆、执法执勤用车0辆、特种专业技术用车</w:t>
      </w:r>
      <w:r>
        <w:rPr>
          <w:rFonts w:hint="eastAsia"/>
          <w:sz w:val="24"/>
          <w:szCs w:val="24"/>
          <w:shd w:val="clear" w:color="auto" w:fill="FFFFFF"/>
          <w:lang w:val="en-US" w:eastAsia="zh-CN"/>
        </w:rPr>
        <w:t>0</w:t>
      </w:r>
      <w:r>
        <w:rPr>
          <w:sz w:val="24"/>
          <w:szCs w:val="24"/>
          <w:shd w:val="clear" w:color="auto" w:fill="FFFFFF"/>
        </w:rPr>
        <w:t xml:space="preserve"> 辆、离退休干部用车0辆、其他用车0辆。</w:t>
      </w:r>
    </w:p>
    <w:p>
      <w:pPr>
        <w:pStyle w:val="11"/>
        <w:keepNext w:val="0"/>
        <w:keepLines w:val="0"/>
        <w:widowControl/>
        <w:suppressLineNumbers w:val="0"/>
        <w:spacing w:before="0" w:beforeAutospacing="0"/>
        <w:ind w:left="0"/>
        <w:jc w:val="left"/>
        <w:rPr>
          <w:rFonts w:hint="eastAsia"/>
          <w:shd w:val="clear" w:color="auto" w:fill="FFFFFF"/>
          <w:lang w:eastAsia="zh-CN"/>
        </w:rPr>
      </w:pPr>
      <w:r>
        <w:rPr>
          <w:rStyle w:val="14"/>
          <w:sz w:val="24"/>
          <w:szCs w:val="24"/>
          <w:shd w:val="clear" w:color="auto" w:fill="FFFFFF"/>
        </w:rPr>
        <w:t>公务用车运行维护费支出</w:t>
      </w:r>
      <w:r>
        <w:rPr>
          <w:rFonts w:hint="eastAsia"/>
          <w:sz w:val="24"/>
          <w:szCs w:val="24"/>
          <w:shd w:val="clear" w:color="auto" w:fill="FFFFFF"/>
          <w:lang w:val="en-US" w:eastAsia="zh-CN"/>
        </w:rPr>
        <w:t>83.19</w:t>
      </w:r>
      <w:r>
        <w:rPr>
          <w:rStyle w:val="14"/>
          <w:sz w:val="24"/>
          <w:szCs w:val="24"/>
          <w:shd w:val="clear" w:color="auto" w:fill="FFFFFF"/>
        </w:rPr>
        <w:t>万元。</w:t>
      </w:r>
      <w:r>
        <w:rPr>
          <w:shd w:val="clear" w:color="auto" w:fill="FFFFFF"/>
        </w:rPr>
        <w:t>主要用于</w:t>
      </w:r>
      <w:r>
        <w:rPr>
          <w:rFonts w:cs="宋体"/>
          <w:shd w:val="clear" w:color="auto" w:fill="FFFFFF"/>
        </w:rPr>
        <w:t>开展卫生健康事业工作</w:t>
      </w:r>
      <w:r>
        <w:rPr>
          <w:shd w:val="clear" w:color="auto" w:fill="FFFFFF"/>
        </w:rPr>
        <w:t>所需的公务用车燃料费、维修费、过路过桥费、保险费等支出</w:t>
      </w:r>
      <w:r>
        <w:rPr>
          <w:rFonts w:hint="eastAsia"/>
          <w:shd w:val="clear" w:color="auto" w:fill="FFFFFF"/>
          <w:lang w:eastAsia="zh-CN"/>
        </w:rPr>
        <w:t>。</w:t>
      </w:r>
    </w:p>
    <w:p>
      <w:pPr>
        <w:pStyle w:val="11"/>
        <w:keepNext w:val="0"/>
        <w:keepLines w:val="0"/>
        <w:widowControl/>
        <w:suppressLineNumbers w:val="0"/>
        <w:spacing w:before="0" w:beforeAutospacing="0"/>
        <w:ind w:left="0"/>
        <w:jc w:val="left"/>
        <w:rPr>
          <w:rFonts w:hint="default" w:eastAsia="宋体"/>
          <w:lang w:val="en-US" w:eastAsia="zh-CN"/>
        </w:rPr>
      </w:pPr>
      <w:r>
        <w:rPr>
          <w:rStyle w:val="14"/>
          <w:sz w:val="24"/>
          <w:szCs w:val="24"/>
          <w:shd w:val="clear" w:color="auto" w:fill="FFFFFF"/>
        </w:rPr>
        <w:t>3.公务接待费支出</w:t>
      </w:r>
      <w:r>
        <w:rPr>
          <w:sz w:val="24"/>
          <w:szCs w:val="24"/>
          <w:shd w:val="clear" w:color="auto" w:fill="FFFFFF"/>
        </w:rPr>
        <w:t>0.</w:t>
      </w:r>
      <w:r>
        <w:rPr>
          <w:rFonts w:hint="eastAsia"/>
          <w:sz w:val="24"/>
          <w:szCs w:val="24"/>
          <w:shd w:val="clear" w:color="auto" w:fill="FFFFFF"/>
          <w:lang w:val="en-US" w:eastAsia="zh-CN"/>
        </w:rPr>
        <w:t>15</w:t>
      </w:r>
      <w:r>
        <w:rPr>
          <w:rStyle w:val="14"/>
          <w:sz w:val="24"/>
          <w:szCs w:val="24"/>
          <w:shd w:val="clear" w:color="auto" w:fill="FFFFFF"/>
        </w:rPr>
        <w:t>万元，完成预算</w:t>
      </w:r>
      <w:r>
        <w:rPr>
          <w:sz w:val="24"/>
          <w:szCs w:val="24"/>
          <w:shd w:val="clear" w:color="auto" w:fill="FFFFFF"/>
        </w:rPr>
        <w:t>100</w:t>
      </w:r>
      <w:r>
        <w:rPr>
          <w:rStyle w:val="14"/>
          <w:sz w:val="24"/>
          <w:szCs w:val="24"/>
          <w:shd w:val="clear" w:color="auto" w:fill="FFFFFF"/>
        </w:rPr>
        <w:t>%。</w:t>
      </w:r>
      <w:r>
        <w:rPr>
          <w:sz w:val="24"/>
          <w:szCs w:val="24"/>
          <w:shd w:val="clear" w:color="auto" w:fill="FFFFFF"/>
        </w:rPr>
        <w:t>公务接待费支出决算比20</w:t>
      </w:r>
      <w:r>
        <w:rPr>
          <w:rFonts w:hint="eastAsia"/>
          <w:sz w:val="24"/>
          <w:szCs w:val="24"/>
          <w:shd w:val="clear" w:color="auto" w:fill="FFFFFF"/>
          <w:lang w:val="en-US" w:eastAsia="zh-CN"/>
        </w:rPr>
        <w:t>21</w:t>
      </w:r>
      <w:r>
        <w:rPr>
          <w:sz w:val="24"/>
          <w:szCs w:val="24"/>
          <w:shd w:val="clear" w:color="auto" w:fill="FFFFFF"/>
        </w:rPr>
        <w:t>年</w:t>
      </w:r>
      <w:r>
        <w:rPr>
          <w:rFonts w:hint="eastAsia"/>
          <w:sz w:val="24"/>
          <w:szCs w:val="24"/>
          <w:shd w:val="clear" w:color="auto" w:fill="FFFFFF"/>
          <w:lang w:val="en-US" w:eastAsia="zh-CN"/>
        </w:rPr>
        <w:t>减少2.26</w:t>
      </w:r>
      <w:r>
        <w:rPr>
          <w:sz w:val="24"/>
          <w:szCs w:val="24"/>
          <w:shd w:val="clear" w:color="auto" w:fill="FFFFFF"/>
        </w:rPr>
        <w:t>万元，</w:t>
      </w:r>
      <w:r>
        <w:rPr>
          <w:rFonts w:hint="eastAsia"/>
          <w:sz w:val="24"/>
          <w:szCs w:val="24"/>
          <w:shd w:val="clear" w:color="auto" w:fill="FFFFFF"/>
          <w:lang w:val="en-US" w:eastAsia="zh-CN"/>
        </w:rPr>
        <w:t>减少93.78</w:t>
      </w:r>
      <w:r>
        <w:rPr>
          <w:sz w:val="24"/>
          <w:szCs w:val="24"/>
          <w:shd w:val="clear" w:color="auto" w:fill="FFFFFF"/>
        </w:rPr>
        <w:t>%。主要原因是</w:t>
      </w:r>
      <w:r>
        <w:rPr>
          <w:rFonts w:hint="eastAsia"/>
          <w:sz w:val="24"/>
          <w:szCs w:val="24"/>
          <w:shd w:val="clear" w:color="auto" w:fill="FFFFFF"/>
          <w:lang w:val="en-US" w:eastAsia="zh-CN"/>
        </w:rPr>
        <w:t>厉行节约。</w:t>
      </w:r>
    </w:p>
    <w:p>
      <w:pPr>
        <w:pStyle w:val="18"/>
        <w:spacing w:before="0" w:beforeAutospacing="0"/>
        <w:ind w:firstLine="482" w:firstLineChars="200"/>
        <w:rPr>
          <w:rFonts w:cs="宋体"/>
        </w:rPr>
      </w:pPr>
      <w:r>
        <w:rPr>
          <w:rStyle w:val="14"/>
          <w:sz w:val="24"/>
          <w:szCs w:val="24"/>
          <w:shd w:val="clear" w:color="auto" w:fill="FFFFFF"/>
        </w:rPr>
        <w:t>国内公务接待支出</w:t>
      </w:r>
      <w:r>
        <w:rPr>
          <w:rFonts w:hint="eastAsia"/>
          <w:sz w:val="24"/>
          <w:szCs w:val="24"/>
          <w:shd w:val="clear" w:color="auto" w:fill="FFFFFF"/>
          <w:lang w:val="en-US" w:eastAsia="zh-CN"/>
        </w:rPr>
        <w:t>0.15</w:t>
      </w:r>
      <w:r>
        <w:rPr>
          <w:sz w:val="24"/>
          <w:szCs w:val="24"/>
          <w:shd w:val="clear" w:color="auto" w:fill="FFFFFF"/>
        </w:rPr>
        <w:t>万元，</w:t>
      </w:r>
      <w:r>
        <w:rPr>
          <w:shd w:val="clear" w:color="auto" w:fill="FFFFFF"/>
        </w:rPr>
        <w:t>主要用于</w:t>
      </w:r>
      <w:r>
        <w:rPr>
          <w:rFonts w:cs="宋体"/>
          <w:shd w:val="clear" w:color="auto" w:fill="FFFFFF"/>
        </w:rPr>
        <w:t>上级卫生健康部门执行公务、开展业务活动开支的交通费、住宿费、用餐费等。国内公务接待</w:t>
      </w:r>
      <w:r>
        <w:rPr>
          <w:rFonts w:hint="eastAsia" w:cs="宋体"/>
          <w:shd w:val="clear" w:color="auto" w:fill="FFFFFF"/>
          <w:lang w:val="en-US" w:eastAsia="zh-CN"/>
        </w:rPr>
        <w:t>3</w:t>
      </w:r>
      <w:r>
        <w:rPr>
          <w:rFonts w:cs="宋体"/>
          <w:shd w:val="clear" w:color="auto" w:fill="FFFFFF"/>
        </w:rPr>
        <w:t>批 次，</w:t>
      </w:r>
      <w:r>
        <w:rPr>
          <w:rFonts w:hint="eastAsia" w:cs="宋体"/>
          <w:shd w:val="clear" w:color="auto" w:fill="FFFFFF"/>
          <w:lang w:val="en-US" w:eastAsia="zh-CN"/>
        </w:rPr>
        <w:t>20</w:t>
      </w:r>
      <w:r>
        <w:rPr>
          <w:rFonts w:cs="宋体"/>
          <w:shd w:val="clear" w:color="auto" w:fill="FFFFFF"/>
        </w:rPr>
        <w:t>人次（不包括陪同人员），共计支出</w:t>
      </w:r>
      <w:r>
        <w:rPr>
          <w:rFonts w:hint="eastAsia" w:cs="宋体"/>
          <w:shd w:val="clear" w:color="auto" w:fill="FFFFFF"/>
          <w:lang w:val="en-US" w:eastAsia="zh-CN"/>
        </w:rPr>
        <w:t>0.</w:t>
      </w:r>
      <w:r>
        <w:rPr>
          <w:rFonts w:cs="宋体"/>
          <w:shd w:val="clear" w:color="auto" w:fill="FFFFFF"/>
        </w:rPr>
        <w:t>15万元，具体内容包括：上级卫生健康部门检查工作。</w:t>
      </w:r>
    </w:p>
    <w:p>
      <w:pPr>
        <w:pStyle w:val="11"/>
        <w:keepNext w:val="0"/>
        <w:keepLines w:val="0"/>
        <w:widowControl/>
        <w:suppressLineNumbers w:val="0"/>
        <w:spacing w:before="0" w:beforeAutospacing="0"/>
        <w:ind w:left="0"/>
        <w:jc w:val="left"/>
      </w:pPr>
      <w:r>
        <w:rPr>
          <w:rStyle w:val="14"/>
          <w:sz w:val="24"/>
          <w:szCs w:val="24"/>
          <w:shd w:val="clear" w:color="auto" w:fill="FFFFFF"/>
        </w:rPr>
        <w:t>外事接待支出</w:t>
      </w:r>
      <w:r>
        <w:rPr>
          <w:sz w:val="24"/>
          <w:szCs w:val="24"/>
          <w:shd w:val="clear" w:color="auto" w:fill="FFFFFF"/>
        </w:rPr>
        <w:t>0.00 万元，外事接待0批次，0人，共计支出0.00 万元，主要用于接待…（具体项目）</w:t>
      </w:r>
    </w:p>
    <w:p>
      <w:pPr>
        <w:pStyle w:val="11"/>
        <w:keepNext w:val="0"/>
        <w:keepLines w:val="0"/>
        <w:widowControl/>
        <w:suppressLineNumbers w:val="0"/>
        <w:spacing w:before="0" w:beforeAutospacing="0"/>
        <w:ind w:left="0"/>
        <w:jc w:val="left"/>
      </w:pPr>
      <w:r>
        <w:rPr>
          <w:rStyle w:val="14"/>
          <w:sz w:val="24"/>
          <w:szCs w:val="24"/>
          <w:shd w:val="clear" w:color="auto" w:fill="FFFFFF"/>
        </w:rPr>
        <w:t>八、政府性基金预算支出决算情况说明</w:t>
      </w:r>
    </w:p>
    <w:p>
      <w:pPr>
        <w:pStyle w:val="11"/>
        <w:keepNext w:val="0"/>
        <w:keepLines w:val="0"/>
        <w:widowControl/>
        <w:suppressLineNumbers w:val="0"/>
        <w:spacing w:before="0" w:beforeAutospacing="0"/>
        <w:ind w:left="0"/>
        <w:jc w:val="left"/>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年政府性基金预算拨款支出0.00万元。</w:t>
      </w:r>
    </w:p>
    <w:p>
      <w:pPr>
        <w:pStyle w:val="11"/>
        <w:keepNext w:val="0"/>
        <w:keepLines w:val="0"/>
        <w:widowControl/>
        <w:suppressLineNumbers w:val="0"/>
        <w:spacing w:before="0" w:beforeAutospacing="0"/>
        <w:ind w:left="0"/>
        <w:jc w:val="left"/>
      </w:pPr>
      <w:r>
        <w:rPr>
          <w:rStyle w:val="14"/>
          <w:sz w:val="24"/>
          <w:szCs w:val="24"/>
          <w:shd w:val="clear" w:color="auto" w:fill="FFFFFF"/>
        </w:rPr>
        <w:t>九、国有资本经营预算支出决算情况说明</w:t>
      </w:r>
    </w:p>
    <w:p>
      <w:pPr>
        <w:pStyle w:val="11"/>
        <w:keepNext w:val="0"/>
        <w:keepLines w:val="0"/>
        <w:widowControl/>
        <w:suppressLineNumbers w:val="0"/>
        <w:spacing w:before="0" w:beforeAutospacing="0"/>
        <w:ind w:left="0"/>
        <w:jc w:val="left"/>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年国有资本经营预算拨款支出0.00万元。</w:t>
      </w:r>
    </w:p>
    <w:p>
      <w:pPr>
        <w:pStyle w:val="11"/>
        <w:keepNext w:val="0"/>
        <w:keepLines w:val="0"/>
        <w:widowControl/>
        <w:suppressLineNumbers w:val="0"/>
        <w:spacing w:before="0" w:beforeAutospacing="0"/>
        <w:ind w:left="0"/>
        <w:jc w:val="left"/>
        <w:rPr>
          <w:rStyle w:val="14"/>
          <w:sz w:val="24"/>
          <w:szCs w:val="24"/>
          <w:shd w:val="clear" w:color="auto" w:fill="FFFFFF"/>
        </w:rPr>
      </w:pPr>
      <w:r>
        <w:rPr>
          <w:rStyle w:val="14"/>
          <w:sz w:val="24"/>
          <w:szCs w:val="24"/>
          <w:shd w:val="clear" w:color="auto" w:fill="FFFFFF"/>
        </w:rPr>
        <w:t>十、其他重要事项的情况说明</w:t>
      </w:r>
    </w:p>
    <w:p>
      <w:pPr>
        <w:pStyle w:val="11"/>
        <w:keepNext w:val="0"/>
        <w:keepLines w:val="0"/>
        <w:widowControl/>
        <w:suppressLineNumbers w:val="0"/>
        <w:spacing w:before="0" w:beforeAutospacing="0"/>
        <w:ind w:left="0"/>
        <w:jc w:val="left"/>
        <w:rPr>
          <w:rStyle w:val="14"/>
          <w:sz w:val="24"/>
          <w:szCs w:val="24"/>
          <w:shd w:val="clear" w:color="auto" w:fill="FFFFFF"/>
        </w:rPr>
      </w:pPr>
      <w:r>
        <w:rPr>
          <w:rStyle w:val="14"/>
          <w:sz w:val="24"/>
          <w:szCs w:val="24"/>
          <w:shd w:val="clear" w:color="auto" w:fill="FFFFFF"/>
        </w:rPr>
        <w:t>（一）机关运行经费支出情况</w:t>
      </w:r>
    </w:p>
    <w:p>
      <w:pPr>
        <w:pStyle w:val="11"/>
        <w:keepNext w:val="0"/>
        <w:keepLines w:val="0"/>
        <w:widowControl/>
        <w:suppressLineNumbers w:val="0"/>
        <w:spacing w:before="0" w:beforeAutospacing="0"/>
        <w:ind w:left="0"/>
        <w:jc w:val="left"/>
      </w:pPr>
      <w:r>
        <w:rPr>
          <w:sz w:val="24"/>
          <w:szCs w:val="24"/>
          <w:shd w:val="clear" w:color="auto" w:fill="FFFFFF"/>
        </w:rPr>
        <w:t> 202</w:t>
      </w:r>
      <w:r>
        <w:rPr>
          <w:rFonts w:hint="eastAsia"/>
          <w:sz w:val="24"/>
          <w:szCs w:val="24"/>
          <w:shd w:val="clear" w:color="auto" w:fill="FFFFFF"/>
          <w:lang w:val="en-US" w:eastAsia="zh-CN"/>
        </w:rPr>
        <w:t>2</w:t>
      </w:r>
      <w:r>
        <w:rPr>
          <w:sz w:val="24"/>
          <w:szCs w:val="24"/>
          <w:shd w:val="clear" w:color="auto" w:fill="FFFFFF"/>
        </w:rPr>
        <w:t>年，阿坝州红原县</w:t>
      </w:r>
      <w:r>
        <w:rPr>
          <w:rFonts w:hint="eastAsia"/>
          <w:sz w:val="24"/>
          <w:szCs w:val="24"/>
          <w:shd w:val="clear" w:color="auto" w:fill="FFFFFF"/>
          <w:lang w:val="en-US" w:eastAsia="zh-CN"/>
        </w:rPr>
        <w:t>卫生健康局</w:t>
      </w:r>
      <w:r>
        <w:rPr>
          <w:sz w:val="24"/>
          <w:szCs w:val="24"/>
          <w:shd w:val="clear" w:color="auto" w:fill="FFFFFF"/>
        </w:rPr>
        <w:t>机关运行经费支出</w:t>
      </w:r>
      <w:r>
        <w:rPr>
          <w:rFonts w:hint="eastAsia"/>
          <w:sz w:val="24"/>
          <w:szCs w:val="24"/>
          <w:shd w:val="clear" w:color="auto" w:fill="FFFFFF"/>
          <w:lang w:val="en-US" w:eastAsia="zh-CN"/>
        </w:rPr>
        <w:t>37.79</w:t>
      </w:r>
      <w:r>
        <w:rPr>
          <w:sz w:val="24"/>
          <w:szCs w:val="24"/>
          <w:shd w:val="clear" w:color="auto" w:fill="FFFFFF"/>
        </w:rPr>
        <w:t>万元，比20</w:t>
      </w:r>
      <w:r>
        <w:rPr>
          <w:rFonts w:hint="eastAsia"/>
          <w:sz w:val="24"/>
          <w:szCs w:val="24"/>
          <w:shd w:val="clear" w:color="auto" w:fill="FFFFFF"/>
          <w:lang w:val="en-US" w:eastAsia="zh-CN"/>
        </w:rPr>
        <w:t>21</w:t>
      </w:r>
      <w:r>
        <w:rPr>
          <w:sz w:val="24"/>
          <w:szCs w:val="24"/>
          <w:shd w:val="clear" w:color="auto" w:fill="FFFFFF"/>
        </w:rPr>
        <w:t xml:space="preserve">年增加 </w:t>
      </w:r>
      <w:r>
        <w:rPr>
          <w:rFonts w:hint="eastAsia"/>
          <w:shd w:val="clear" w:color="auto" w:fill="FFFFFF"/>
          <w:lang w:val="en-US" w:eastAsia="zh-CN"/>
        </w:rPr>
        <w:t>12.86</w:t>
      </w:r>
      <w:r>
        <w:rPr>
          <w:sz w:val="24"/>
          <w:szCs w:val="24"/>
          <w:shd w:val="clear" w:color="auto" w:fill="FFFFFF"/>
        </w:rPr>
        <w:t>万元，增长</w:t>
      </w:r>
      <w:r>
        <w:rPr>
          <w:rFonts w:hint="eastAsia"/>
          <w:sz w:val="24"/>
          <w:szCs w:val="24"/>
          <w:shd w:val="clear" w:color="auto" w:fill="FFFFFF"/>
          <w:lang w:val="en-US" w:eastAsia="zh-CN"/>
        </w:rPr>
        <w:t>51.57</w:t>
      </w:r>
      <w:r>
        <w:rPr>
          <w:sz w:val="24"/>
          <w:szCs w:val="24"/>
          <w:shd w:val="clear" w:color="auto" w:fill="FFFFFF"/>
        </w:rPr>
        <w:t>%</w:t>
      </w:r>
      <w:r>
        <w:rPr>
          <w:rFonts w:hint="eastAsia"/>
          <w:sz w:val="24"/>
          <w:szCs w:val="24"/>
          <w:shd w:val="clear" w:color="auto" w:fill="FFFFFF"/>
          <w:lang w:eastAsia="zh-CN"/>
        </w:rPr>
        <w:t>，</w:t>
      </w:r>
      <w:r>
        <w:rPr>
          <w:sz w:val="24"/>
          <w:szCs w:val="24"/>
          <w:shd w:val="clear" w:color="auto" w:fill="FFFFFF"/>
        </w:rPr>
        <w:t>要原因是</w:t>
      </w:r>
      <w:r>
        <w:rPr>
          <w:rFonts w:hint="eastAsia"/>
          <w:sz w:val="24"/>
          <w:szCs w:val="24"/>
          <w:shd w:val="clear" w:color="auto" w:fill="FFFFFF"/>
          <w:lang w:val="en-US" w:eastAsia="zh-CN"/>
        </w:rPr>
        <w:t>本年红原县发生新冠疫情用车大大增加导致费用增加</w:t>
      </w:r>
      <w:r>
        <w:rPr>
          <w:sz w:val="24"/>
          <w:szCs w:val="24"/>
          <w:shd w:val="clear" w:color="auto" w:fill="FFFFFF"/>
        </w:rPr>
        <w:t>。</w:t>
      </w:r>
    </w:p>
    <w:p>
      <w:pPr>
        <w:pStyle w:val="11"/>
        <w:keepNext w:val="0"/>
        <w:keepLines w:val="0"/>
        <w:widowControl/>
        <w:suppressLineNumbers w:val="0"/>
        <w:spacing w:before="0" w:beforeAutospacing="0"/>
        <w:ind w:left="0"/>
        <w:jc w:val="left"/>
      </w:pPr>
      <w:r>
        <w:rPr>
          <w:rStyle w:val="14"/>
          <w:sz w:val="24"/>
          <w:szCs w:val="24"/>
          <w:shd w:val="clear" w:color="auto" w:fill="FFFFFF"/>
        </w:rPr>
        <w:t>（注：数据来源于财决附03表）</w:t>
      </w:r>
    </w:p>
    <w:p>
      <w:pPr>
        <w:pStyle w:val="11"/>
        <w:keepNext w:val="0"/>
        <w:keepLines w:val="0"/>
        <w:widowControl/>
        <w:suppressLineNumbers w:val="0"/>
        <w:spacing w:before="0" w:beforeAutospacing="0"/>
        <w:ind w:left="0"/>
        <w:jc w:val="left"/>
      </w:pPr>
      <w:r>
        <w:rPr>
          <w:rStyle w:val="14"/>
          <w:sz w:val="24"/>
          <w:szCs w:val="24"/>
          <w:shd w:val="clear" w:color="auto" w:fill="FFFFFF"/>
        </w:rPr>
        <w:t>（二）政府采购支出情况</w:t>
      </w:r>
    </w:p>
    <w:p>
      <w:pPr>
        <w:pStyle w:val="11"/>
        <w:keepNext w:val="0"/>
        <w:keepLines w:val="0"/>
        <w:widowControl/>
        <w:suppressLineNumbers w:val="0"/>
        <w:spacing w:before="0" w:beforeAutospacing="0"/>
        <w:ind w:left="0"/>
        <w:jc w:val="left"/>
      </w:pPr>
      <w:r>
        <w:rPr>
          <w:sz w:val="24"/>
          <w:szCs w:val="24"/>
          <w:shd w:val="clear" w:color="auto" w:fill="FFFFFF"/>
        </w:rPr>
        <w:t> </w:t>
      </w:r>
      <w:r>
        <w:rPr>
          <w:rFonts w:hint="eastAsia"/>
          <w:sz w:val="24"/>
          <w:szCs w:val="24"/>
          <w:shd w:val="clear" w:color="auto" w:fill="FFFFFF"/>
          <w:lang w:val="en-US" w:eastAsia="zh-CN"/>
        </w:rPr>
        <w:t xml:space="preserve"> </w:t>
      </w:r>
      <w:r>
        <w:rPr>
          <w:sz w:val="24"/>
          <w:szCs w:val="24"/>
          <w:shd w:val="clear" w:color="auto" w:fill="FFFFFF"/>
        </w:rPr>
        <w:t>202</w:t>
      </w:r>
      <w:r>
        <w:rPr>
          <w:rFonts w:hint="eastAsia"/>
          <w:sz w:val="24"/>
          <w:szCs w:val="24"/>
          <w:shd w:val="clear" w:color="auto" w:fill="FFFFFF"/>
          <w:lang w:val="en-US" w:eastAsia="zh-CN"/>
        </w:rPr>
        <w:t>2</w:t>
      </w:r>
      <w:r>
        <w:rPr>
          <w:sz w:val="24"/>
          <w:szCs w:val="24"/>
          <w:shd w:val="clear" w:color="auto" w:fill="FFFFFF"/>
        </w:rPr>
        <w:t>年，阿坝州红原县</w:t>
      </w:r>
      <w:r>
        <w:rPr>
          <w:rFonts w:hint="eastAsia"/>
          <w:sz w:val="24"/>
          <w:szCs w:val="24"/>
          <w:shd w:val="clear" w:color="auto" w:fill="FFFFFF"/>
          <w:lang w:val="en-US" w:eastAsia="zh-CN"/>
        </w:rPr>
        <w:t>卫生健康局</w:t>
      </w:r>
      <w:r>
        <w:rPr>
          <w:sz w:val="24"/>
          <w:szCs w:val="24"/>
          <w:shd w:val="clear" w:color="auto" w:fill="FFFFFF"/>
        </w:rPr>
        <w:t>政府采购支出总额</w:t>
      </w:r>
      <w:r>
        <w:rPr>
          <w:rFonts w:hint="eastAsia"/>
          <w:sz w:val="24"/>
          <w:szCs w:val="24"/>
          <w:shd w:val="clear" w:color="auto" w:fill="FFFFFF"/>
          <w:lang w:val="en-US" w:eastAsia="zh-CN"/>
        </w:rPr>
        <w:t>123.33</w:t>
      </w:r>
      <w:r>
        <w:rPr>
          <w:sz w:val="24"/>
          <w:szCs w:val="24"/>
          <w:shd w:val="clear" w:color="auto" w:fill="FFFFFF"/>
        </w:rPr>
        <w:t xml:space="preserve">万元，其中：政府采购货物支出 </w:t>
      </w:r>
      <w:r>
        <w:rPr>
          <w:rFonts w:hint="eastAsia"/>
          <w:sz w:val="24"/>
          <w:szCs w:val="24"/>
          <w:shd w:val="clear" w:color="auto" w:fill="FFFFFF"/>
          <w:lang w:val="en-US" w:eastAsia="zh-CN"/>
        </w:rPr>
        <w:t>123.33</w:t>
      </w:r>
      <w:r>
        <w:rPr>
          <w:sz w:val="24"/>
          <w:szCs w:val="24"/>
          <w:shd w:val="clear" w:color="auto" w:fill="FFFFFF"/>
        </w:rPr>
        <w:t>万元、政府采购工程支出0.00万元、政府采购服务支出0.00万元。主要用于…（具体工作）。授予中小企 业合同金额0.00万元，占政府采购支出总额的0.00%，其中：授予小微企业合同金额</w:t>
      </w:r>
      <w:r>
        <w:rPr>
          <w:rFonts w:hint="eastAsia"/>
          <w:sz w:val="24"/>
          <w:szCs w:val="24"/>
          <w:shd w:val="clear" w:color="auto" w:fill="FFFFFF"/>
          <w:lang w:val="en-US" w:eastAsia="zh-CN"/>
        </w:rPr>
        <w:t>123.33</w:t>
      </w:r>
      <w:r>
        <w:rPr>
          <w:sz w:val="24"/>
          <w:szCs w:val="24"/>
          <w:shd w:val="clear" w:color="auto" w:fill="FFFFFF"/>
        </w:rPr>
        <w:t>万元，占政府采购支出总额的</w:t>
      </w:r>
      <w:r>
        <w:rPr>
          <w:rFonts w:hint="eastAsia"/>
          <w:sz w:val="24"/>
          <w:szCs w:val="24"/>
          <w:shd w:val="clear" w:color="auto" w:fill="FFFFFF"/>
          <w:lang w:val="en-US" w:eastAsia="zh-CN"/>
        </w:rPr>
        <w:t>1</w:t>
      </w:r>
      <w:r>
        <w:rPr>
          <w:sz w:val="24"/>
          <w:szCs w:val="24"/>
          <w:shd w:val="clear" w:color="auto" w:fill="FFFFFF"/>
        </w:rPr>
        <w:t>00%。</w:t>
      </w:r>
    </w:p>
    <w:p>
      <w:pPr>
        <w:pStyle w:val="11"/>
        <w:keepNext w:val="0"/>
        <w:keepLines w:val="0"/>
        <w:widowControl/>
        <w:suppressLineNumbers w:val="0"/>
        <w:spacing w:before="0" w:beforeAutospacing="0"/>
        <w:ind w:left="0"/>
        <w:jc w:val="left"/>
      </w:pPr>
      <w:r>
        <w:rPr>
          <w:rStyle w:val="14"/>
          <w:sz w:val="24"/>
          <w:szCs w:val="24"/>
          <w:shd w:val="clear" w:color="auto" w:fill="FFFFFF"/>
        </w:rPr>
        <w:t>（注：数据来源于财决附03表）</w:t>
      </w:r>
    </w:p>
    <w:p>
      <w:pPr>
        <w:pStyle w:val="11"/>
        <w:keepNext w:val="0"/>
        <w:keepLines w:val="0"/>
        <w:widowControl/>
        <w:suppressLineNumbers w:val="0"/>
        <w:spacing w:before="0" w:beforeAutospacing="0"/>
        <w:ind w:left="0"/>
        <w:jc w:val="left"/>
      </w:pPr>
      <w:r>
        <w:rPr>
          <w:rStyle w:val="14"/>
          <w:sz w:val="24"/>
          <w:szCs w:val="24"/>
          <w:shd w:val="clear" w:color="auto" w:fill="FFFFFF"/>
        </w:rPr>
        <w:t>（三）国有资产占有使用情况</w:t>
      </w:r>
    </w:p>
    <w:p>
      <w:pPr>
        <w:pStyle w:val="11"/>
        <w:keepNext w:val="0"/>
        <w:keepLines w:val="0"/>
        <w:widowControl/>
        <w:suppressLineNumbers w:val="0"/>
        <w:spacing w:before="0" w:beforeAutospacing="0"/>
        <w:ind w:left="0"/>
        <w:jc w:val="left"/>
      </w:pPr>
      <w:r>
        <w:rPr>
          <w:sz w:val="24"/>
          <w:szCs w:val="24"/>
          <w:shd w:val="clear" w:color="auto" w:fill="FFFFFF"/>
        </w:rPr>
        <w:t>截 至20</w:t>
      </w:r>
      <w:r>
        <w:rPr>
          <w:rFonts w:hint="eastAsia"/>
          <w:sz w:val="24"/>
          <w:szCs w:val="24"/>
          <w:shd w:val="clear" w:color="auto" w:fill="FFFFFF"/>
          <w:lang w:val="en-US" w:eastAsia="zh-CN"/>
        </w:rPr>
        <w:t>22</w:t>
      </w:r>
      <w:r>
        <w:rPr>
          <w:sz w:val="24"/>
          <w:szCs w:val="24"/>
          <w:shd w:val="clear" w:color="auto" w:fill="FFFFFF"/>
        </w:rPr>
        <w:t>年12月31日，阿坝州红原县</w:t>
      </w:r>
      <w:r>
        <w:rPr>
          <w:rFonts w:hint="eastAsia"/>
          <w:sz w:val="24"/>
          <w:szCs w:val="24"/>
          <w:shd w:val="clear" w:color="auto" w:fill="FFFFFF"/>
          <w:lang w:val="en-US" w:eastAsia="zh-CN"/>
        </w:rPr>
        <w:t>卫生健康局</w:t>
      </w:r>
      <w:r>
        <w:rPr>
          <w:sz w:val="24"/>
          <w:szCs w:val="24"/>
          <w:shd w:val="clear" w:color="auto" w:fill="FFFFFF"/>
        </w:rPr>
        <w:t>共有车辆</w:t>
      </w:r>
      <w:r>
        <w:rPr>
          <w:rFonts w:hint="eastAsia"/>
          <w:sz w:val="24"/>
          <w:szCs w:val="24"/>
          <w:shd w:val="clear" w:color="auto" w:fill="FFFFFF"/>
          <w:lang w:val="en-US" w:eastAsia="zh-CN"/>
        </w:rPr>
        <w:t>4</w:t>
      </w:r>
      <w:r>
        <w:rPr>
          <w:sz w:val="24"/>
          <w:szCs w:val="24"/>
          <w:shd w:val="clear" w:color="auto" w:fill="FFFFFF"/>
        </w:rPr>
        <w:t>辆，其中：主要领导干部用车0 辆、机要通信用车0辆、应急保障用车</w:t>
      </w:r>
      <w:r>
        <w:rPr>
          <w:rFonts w:hint="eastAsia"/>
          <w:sz w:val="24"/>
          <w:szCs w:val="24"/>
          <w:shd w:val="clear" w:color="auto" w:fill="FFFFFF"/>
          <w:lang w:val="en-US" w:eastAsia="zh-CN"/>
        </w:rPr>
        <w:t>4</w:t>
      </w:r>
      <w:r>
        <w:rPr>
          <w:sz w:val="24"/>
          <w:szCs w:val="24"/>
          <w:shd w:val="clear" w:color="auto" w:fill="FFFFFF"/>
        </w:rPr>
        <w:t>辆、执法执勤用车0 辆、特种专业技术用车</w:t>
      </w:r>
      <w:r>
        <w:rPr>
          <w:rFonts w:hint="eastAsia"/>
          <w:sz w:val="24"/>
          <w:szCs w:val="24"/>
          <w:shd w:val="clear" w:color="auto" w:fill="FFFFFF"/>
          <w:lang w:val="en-US" w:eastAsia="zh-CN"/>
        </w:rPr>
        <w:t>0</w:t>
      </w:r>
      <w:r>
        <w:rPr>
          <w:sz w:val="24"/>
          <w:szCs w:val="24"/>
          <w:shd w:val="clear" w:color="auto" w:fill="FFFFFF"/>
        </w:rPr>
        <w:t>辆、离退休干部用车0辆、其他用车 0辆。主要是用于……。单价50万元以上通用设备0台（套），单价100万元以上专用设备0台（套）。</w:t>
      </w:r>
      <w:r>
        <w:rPr>
          <w:rStyle w:val="14"/>
          <w:sz w:val="24"/>
          <w:szCs w:val="24"/>
          <w:shd w:val="clear" w:color="auto" w:fill="FFFFFF"/>
        </w:rPr>
        <w:t>（注：数据来源财决附03表，按部门决算报表填报数据罗列车辆情况。）</w:t>
      </w:r>
    </w:p>
    <w:p>
      <w:pPr>
        <w:pStyle w:val="11"/>
        <w:keepNext w:val="0"/>
        <w:keepLines w:val="0"/>
        <w:widowControl/>
        <w:numPr>
          <w:ilvl w:val="0"/>
          <w:numId w:val="2"/>
        </w:numPr>
        <w:suppressLineNumbers w:val="0"/>
        <w:spacing w:before="0" w:beforeAutospacing="0"/>
        <w:ind w:left="0"/>
        <w:jc w:val="left"/>
        <w:rPr>
          <w:rStyle w:val="14"/>
          <w:sz w:val="24"/>
          <w:szCs w:val="24"/>
          <w:shd w:val="clear" w:color="auto" w:fill="FFFFFF"/>
        </w:rPr>
      </w:pPr>
      <w:r>
        <w:rPr>
          <w:rStyle w:val="14"/>
          <w:sz w:val="24"/>
          <w:szCs w:val="24"/>
          <w:shd w:val="clear" w:color="auto" w:fill="FFFFFF"/>
        </w:rPr>
        <w:t>预算绩效管理情况。</w:t>
      </w:r>
    </w:p>
    <w:p>
      <w:pPr>
        <w:pStyle w:val="11"/>
        <w:keepNext w:val="0"/>
        <w:keepLines w:val="0"/>
        <w:widowControl/>
        <w:numPr>
          <w:ilvl w:val="0"/>
          <w:numId w:val="0"/>
        </w:numPr>
        <w:suppressLineNumbers w:val="0"/>
        <w:spacing w:before="0" w:beforeAutospacing="0"/>
        <w:ind w:right="0" w:rightChars="0" w:firstLine="480" w:firstLineChars="20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根据预算绩效管理要求，本单位在年初预算编制阶段，组织对</w:t>
      </w:r>
      <w:r>
        <w:rPr>
          <w:rFonts w:hint="eastAsia" w:cs="宋体"/>
          <w:color w:val="auto"/>
          <w:sz w:val="24"/>
          <w:szCs w:val="24"/>
          <w:lang w:val="en-US" w:eastAsia="zh-CN"/>
        </w:rPr>
        <w:t>66</w:t>
      </w:r>
      <w:r>
        <w:rPr>
          <w:rFonts w:hint="eastAsia" w:ascii="宋体" w:hAnsi="宋体" w:eastAsia="宋体" w:cs="宋体"/>
          <w:color w:val="auto"/>
          <w:sz w:val="24"/>
          <w:szCs w:val="24"/>
          <w:lang w:val="en-US" w:eastAsia="zh-CN"/>
        </w:rPr>
        <w:t>个</w:t>
      </w:r>
      <w:r>
        <w:rPr>
          <w:rFonts w:hint="eastAsia" w:ascii="宋体" w:hAnsi="宋体" w:eastAsia="宋体" w:cs="宋体"/>
          <w:color w:val="auto"/>
          <w:sz w:val="24"/>
          <w:szCs w:val="24"/>
        </w:rPr>
        <w:t>项目开展了预算事前绩效评估，对</w:t>
      </w:r>
      <w:r>
        <w:rPr>
          <w:rFonts w:hint="eastAsia" w:cs="宋体"/>
          <w:color w:val="auto"/>
          <w:sz w:val="24"/>
          <w:szCs w:val="24"/>
          <w:lang w:val="en-US" w:eastAsia="zh-CN"/>
        </w:rPr>
        <w:t>66</w:t>
      </w:r>
      <w:r>
        <w:rPr>
          <w:rFonts w:hint="eastAsia" w:ascii="宋体" w:hAnsi="宋体" w:eastAsia="宋体" w:cs="宋体"/>
          <w:color w:val="auto"/>
          <w:sz w:val="24"/>
          <w:szCs w:val="24"/>
        </w:rPr>
        <w:t>个项目编制了绩效目标，预算执行过程中，选取</w:t>
      </w:r>
      <w:r>
        <w:rPr>
          <w:rFonts w:hint="eastAsia" w:cs="宋体"/>
          <w:color w:val="auto"/>
          <w:sz w:val="24"/>
          <w:szCs w:val="24"/>
          <w:lang w:val="en-US" w:eastAsia="zh-CN"/>
        </w:rPr>
        <w:t>6</w:t>
      </w:r>
      <w:r>
        <w:rPr>
          <w:rFonts w:hint="eastAsia" w:ascii="宋体" w:hAnsi="宋体" w:eastAsia="宋体" w:cs="宋体"/>
          <w:color w:val="auto"/>
          <w:sz w:val="24"/>
          <w:szCs w:val="24"/>
        </w:rPr>
        <w:t>个项目开展绩效监控，年终执行完毕后，对</w:t>
      </w:r>
      <w:r>
        <w:rPr>
          <w:rFonts w:hint="eastAsia" w:cs="宋体"/>
          <w:color w:val="auto"/>
          <w:sz w:val="24"/>
          <w:szCs w:val="24"/>
          <w:lang w:val="en-US" w:eastAsia="zh-CN"/>
        </w:rPr>
        <w:t>6</w:t>
      </w:r>
      <w:r>
        <w:rPr>
          <w:rFonts w:hint="eastAsia" w:ascii="宋体" w:hAnsi="宋体" w:eastAsia="宋体" w:cs="宋体"/>
          <w:color w:val="auto"/>
          <w:sz w:val="24"/>
          <w:szCs w:val="24"/>
        </w:rPr>
        <w:t>个项目开展了绩效目标完成情况自评。</w:t>
      </w:r>
      <w:r>
        <w:rPr>
          <w:rFonts w:hint="eastAsia" w:cs="宋体"/>
          <w:color w:val="auto"/>
          <w:sz w:val="24"/>
          <w:szCs w:val="24"/>
          <w:lang w:val="en-US" w:eastAsia="zh-CN"/>
        </w:rPr>
        <w:t>绩效评价表详见第四部分附件</w:t>
      </w:r>
    </w:p>
    <w:p>
      <w:pPr>
        <w:pStyle w:val="11"/>
        <w:keepNext w:val="0"/>
        <w:keepLines w:val="0"/>
        <w:widowControl/>
        <w:suppressLineNumbers w:val="0"/>
        <w:spacing w:before="0" w:beforeAutospacing="0"/>
        <w:ind w:left="0"/>
        <w:jc w:val="left"/>
      </w:pPr>
      <w:r>
        <w:rPr>
          <w:shd w:val="clear" w:color="auto" w:fill="FFFFFF"/>
        </w:rPr>
        <w:t> </w:t>
      </w:r>
    </w:p>
    <w:p>
      <w:pPr>
        <w:pStyle w:val="11"/>
        <w:keepNext w:val="0"/>
        <w:keepLines w:val="0"/>
        <w:widowControl/>
        <w:suppressLineNumbers w:val="0"/>
        <w:spacing w:before="0" w:beforeAutospacing="0"/>
        <w:ind w:left="0" w:firstLine="960" w:firstLineChars="400"/>
        <w:jc w:val="left"/>
      </w:pPr>
      <w:r>
        <w:rPr>
          <w:sz w:val="24"/>
          <w:szCs w:val="24"/>
          <w:shd w:val="clear" w:color="auto" w:fill="FFFFFF"/>
        </w:rPr>
        <w:t>第三部分 名词解释</w:t>
      </w:r>
    </w:p>
    <w:p>
      <w:pPr>
        <w:pStyle w:val="11"/>
        <w:keepNext w:val="0"/>
        <w:keepLines w:val="0"/>
        <w:widowControl/>
        <w:suppressLineNumbers w:val="0"/>
        <w:spacing w:before="0" w:beforeAutospacing="0"/>
        <w:ind w:left="0"/>
        <w:jc w:val="left"/>
      </w:pPr>
      <w:r>
        <w:rPr>
          <w:sz w:val="24"/>
          <w:szCs w:val="24"/>
          <w:shd w:val="clear" w:color="auto" w:fill="FFFFFF"/>
        </w:rPr>
        <w:t>1.财政拨款收入：指单位从同级财政部门取得的财政预算资金。</w:t>
      </w:r>
    </w:p>
    <w:p>
      <w:pPr>
        <w:pStyle w:val="11"/>
        <w:keepNext w:val="0"/>
        <w:keepLines w:val="0"/>
        <w:widowControl/>
        <w:suppressLineNumbers w:val="0"/>
        <w:spacing w:before="0" w:beforeAutospacing="0"/>
        <w:ind w:left="0"/>
        <w:jc w:val="left"/>
      </w:pPr>
      <w:r>
        <w:rPr>
          <w:sz w:val="24"/>
          <w:szCs w:val="24"/>
          <w:shd w:val="clear" w:color="auto" w:fill="FFFFFF"/>
        </w:rPr>
        <w:t>2.事业收入：指事业单位开展专业业务活动及辅助活动取得的收入。如…（二级预算单位事业收入情况）等。</w:t>
      </w:r>
    </w:p>
    <w:p>
      <w:pPr>
        <w:pStyle w:val="11"/>
        <w:keepNext w:val="0"/>
        <w:keepLines w:val="0"/>
        <w:widowControl/>
        <w:suppressLineNumbers w:val="0"/>
        <w:spacing w:before="0" w:beforeAutospacing="0"/>
        <w:ind w:left="0"/>
        <w:jc w:val="left"/>
      </w:pPr>
      <w:r>
        <w:rPr>
          <w:sz w:val="24"/>
          <w:szCs w:val="24"/>
          <w:shd w:val="clear" w:color="auto" w:fill="FFFFFF"/>
        </w:rPr>
        <w:t>3.经营收入：指事业单位在专业业务活动及其辅助活动之外开展非独立核算经营活动取得的收入。如…（二级预算单位经营收入情况）等。</w:t>
      </w:r>
    </w:p>
    <w:p>
      <w:pPr>
        <w:pStyle w:val="11"/>
        <w:keepNext w:val="0"/>
        <w:keepLines w:val="0"/>
        <w:widowControl/>
        <w:suppressLineNumbers w:val="0"/>
        <w:spacing w:before="0" w:beforeAutospacing="0"/>
        <w:ind w:left="0"/>
        <w:jc w:val="left"/>
      </w:pPr>
      <w:r>
        <w:rPr>
          <w:sz w:val="24"/>
          <w:szCs w:val="24"/>
          <w:shd w:val="clear" w:color="auto" w:fill="FFFFFF"/>
        </w:rPr>
        <w:t>4.其他收入：指单位取得的除上述收入以外的各项收入。主要是…（收入类型）等。</w:t>
      </w:r>
    </w:p>
    <w:p>
      <w:pPr>
        <w:pStyle w:val="11"/>
        <w:keepNext w:val="0"/>
        <w:keepLines w:val="0"/>
        <w:widowControl/>
        <w:suppressLineNumbers w:val="0"/>
        <w:spacing w:before="0" w:beforeAutospacing="0"/>
        <w:ind w:left="0"/>
        <w:jc w:val="left"/>
      </w:pPr>
      <w:r>
        <w:rPr>
          <w:sz w:val="24"/>
          <w:szCs w:val="24"/>
          <w:shd w:val="clear" w:color="auto" w:fill="FFFFFF"/>
        </w:rPr>
        <w:t>5.使用非财政拨款结余：指事业单位使用以前年度积累的非财政拨款结余弥补当年收支差额的金额。</w:t>
      </w:r>
    </w:p>
    <w:p>
      <w:pPr>
        <w:pStyle w:val="11"/>
        <w:keepNext w:val="0"/>
        <w:keepLines w:val="0"/>
        <w:widowControl/>
        <w:suppressLineNumbers w:val="0"/>
        <w:spacing w:before="0" w:beforeAutospacing="0"/>
        <w:ind w:left="0"/>
        <w:jc w:val="left"/>
      </w:pPr>
      <w:r>
        <w:rPr>
          <w:sz w:val="24"/>
          <w:szCs w:val="24"/>
          <w:shd w:val="clear" w:color="auto" w:fill="FFFFFF"/>
        </w:rPr>
        <w:t>6.年初结转和结余：指以前年度尚未完成、结转到本年按有关规定继续使用的资金。</w:t>
      </w:r>
    </w:p>
    <w:p>
      <w:pPr>
        <w:pStyle w:val="11"/>
        <w:keepNext w:val="0"/>
        <w:keepLines w:val="0"/>
        <w:widowControl/>
        <w:suppressLineNumbers w:val="0"/>
        <w:spacing w:before="0" w:beforeAutospacing="0"/>
        <w:ind w:left="0"/>
        <w:jc w:val="left"/>
      </w:pPr>
      <w:r>
        <w:rPr>
          <w:sz w:val="24"/>
          <w:szCs w:val="24"/>
          <w:shd w:val="clear" w:color="auto" w:fill="FFFFFF"/>
        </w:rPr>
        <w:t>7.结余分配：指事业单位按照会计制度规定缴纳的所得税、提取的专用结余以及转入非财政拨款结余的金额等。</w:t>
      </w:r>
    </w:p>
    <w:p>
      <w:pPr>
        <w:pStyle w:val="11"/>
        <w:keepNext w:val="0"/>
        <w:keepLines w:val="0"/>
        <w:widowControl/>
        <w:suppressLineNumbers w:val="0"/>
        <w:spacing w:before="0" w:beforeAutospacing="0"/>
        <w:ind w:left="0"/>
        <w:jc w:val="left"/>
      </w:pPr>
      <w:r>
        <w:rPr>
          <w:sz w:val="24"/>
          <w:szCs w:val="24"/>
          <w:shd w:val="clear" w:color="auto" w:fill="FFFFFF"/>
        </w:rPr>
        <w:t>8、年末结转和结余：指单位按有关规定结转到下年或以后年度继续使用的资金。</w:t>
      </w:r>
    </w:p>
    <w:p>
      <w:pPr>
        <w:rPr>
          <w:rFonts w:hint="eastAsia" w:ascii="宋体" w:hAnsi="宋体" w:eastAsia="宋体" w:cs="宋体"/>
          <w:color w:val="000000"/>
          <w:sz w:val="24"/>
          <w:szCs w:val="24"/>
        </w:rPr>
      </w:pPr>
      <w:r>
        <w:rPr>
          <w:rFonts w:hint="eastAsia" w:ascii="宋体" w:hAnsi="宋体" w:eastAsia="宋体" w:cs="宋体"/>
          <w:color w:val="000000"/>
          <w:sz w:val="24"/>
          <w:szCs w:val="24"/>
        </w:rPr>
        <w:t>9.社会保障和就业（类）</w:t>
      </w:r>
      <w:r>
        <w:rPr>
          <w:rFonts w:hint="eastAsia" w:ascii="宋体" w:hAnsi="宋体" w:eastAsia="宋体" w:cs="宋体"/>
          <w:color w:val="000000"/>
          <w:sz w:val="24"/>
          <w:szCs w:val="24"/>
          <w:lang w:val="en-US" w:eastAsia="zh-CN"/>
        </w:rPr>
        <w:t>05</w:t>
      </w:r>
      <w:r>
        <w:rPr>
          <w:rFonts w:hint="eastAsia" w:ascii="宋体" w:hAnsi="宋体" w:eastAsia="宋体" w:cs="宋体"/>
          <w:color w:val="000000"/>
          <w:sz w:val="24"/>
          <w:szCs w:val="24"/>
        </w:rPr>
        <w:t>（款）</w:t>
      </w:r>
      <w:r>
        <w:rPr>
          <w:rFonts w:hint="eastAsia" w:ascii="宋体" w:hAnsi="宋体" w:eastAsia="宋体" w:cs="宋体"/>
          <w:color w:val="000000"/>
          <w:sz w:val="24"/>
          <w:szCs w:val="24"/>
          <w:lang w:val="en-US" w:eastAsia="zh-CN"/>
        </w:rPr>
        <w:t>05</w:t>
      </w:r>
      <w:r>
        <w:rPr>
          <w:rFonts w:hint="eastAsia" w:ascii="宋体" w:hAnsi="宋体" w:eastAsia="宋体" w:cs="宋体"/>
          <w:color w:val="000000"/>
          <w:sz w:val="24"/>
          <w:szCs w:val="24"/>
        </w:rPr>
        <w:t>（项）：指</w:t>
      </w:r>
      <w:r>
        <w:rPr>
          <w:rFonts w:hint="eastAsia" w:ascii="宋体" w:hAnsi="宋体" w:eastAsia="宋体" w:cs="宋体"/>
          <w:color w:val="000000"/>
          <w:sz w:val="24"/>
          <w:szCs w:val="24"/>
          <w:lang w:eastAsia="zh-CN"/>
        </w:rPr>
        <w:t>机关事业单位基本养老保险缴费支出</w:t>
      </w:r>
      <w:r>
        <w:rPr>
          <w:rFonts w:hint="eastAsia" w:ascii="宋体" w:hAnsi="宋体" w:eastAsia="宋体" w:cs="宋体"/>
          <w:color w:val="000000"/>
          <w:sz w:val="24"/>
          <w:szCs w:val="24"/>
        </w:rPr>
        <w:t>。</w:t>
      </w:r>
    </w:p>
    <w:p>
      <w:pPr>
        <w:rPr>
          <w:rFonts w:hint="eastAsia" w:ascii="宋体" w:hAnsi="宋体" w:eastAsia="宋体" w:cs="宋体"/>
          <w:color w:val="000000"/>
          <w:sz w:val="24"/>
          <w:szCs w:val="24"/>
        </w:rPr>
      </w:pPr>
      <w:r>
        <w:rPr>
          <w:rFonts w:hint="eastAsia" w:ascii="宋体" w:hAnsi="宋体" w:eastAsia="宋体" w:cs="宋体"/>
          <w:color w:val="000000"/>
          <w:sz w:val="24"/>
          <w:szCs w:val="24"/>
        </w:rPr>
        <w:t>10.社会保障和就业（类）</w:t>
      </w:r>
      <w:r>
        <w:rPr>
          <w:rFonts w:hint="eastAsia" w:ascii="宋体" w:hAnsi="宋体" w:eastAsia="宋体" w:cs="宋体"/>
          <w:color w:val="000000"/>
          <w:sz w:val="24"/>
          <w:szCs w:val="24"/>
          <w:lang w:val="en-US" w:eastAsia="zh-CN"/>
        </w:rPr>
        <w:t>05</w:t>
      </w:r>
      <w:r>
        <w:rPr>
          <w:rFonts w:hint="eastAsia" w:ascii="宋体" w:hAnsi="宋体" w:eastAsia="宋体" w:cs="宋体"/>
          <w:color w:val="000000"/>
          <w:sz w:val="24"/>
          <w:szCs w:val="24"/>
        </w:rPr>
        <w:t>（款）</w:t>
      </w:r>
      <w:r>
        <w:rPr>
          <w:rFonts w:hint="eastAsia" w:ascii="宋体" w:hAnsi="宋体" w:eastAsia="宋体" w:cs="宋体"/>
          <w:color w:val="000000"/>
          <w:sz w:val="24"/>
          <w:szCs w:val="24"/>
          <w:lang w:val="en-US" w:eastAsia="zh-CN"/>
        </w:rPr>
        <w:t>06</w:t>
      </w:r>
      <w:r>
        <w:rPr>
          <w:rFonts w:hint="eastAsia" w:ascii="宋体" w:hAnsi="宋体" w:eastAsia="宋体" w:cs="宋体"/>
          <w:color w:val="000000"/>
          <w:sz w:val="24"/>
          <w:szCs w:val="24"/>
        </w:rPr>
        <w:t>（项）：指</w:t>
      </w:r>
      <w:r>
        <w:rPr>
          <w:rFonts w:hint="eastAsia" w:ascii="宋体" w:hAnsi="宋体" w:eastAsia="宋体" w:cs="宋体"/>
          <w:color w:val="000000"/>
          <w:sz w:val="24"/>
          <w:szCs w:val="24"/>
          <w:lang w:eastAsia="zh-CN"/>
        </w:rPr>
        <w:t>机关事业单位职业年金缴费支出</w:t>
      </w:r>
      <w:r>
        <w:rPr>
          <w:rFonts w:hint="eastAsia" w:ascii="宋体" w:hAnsi="宋体" w:eastAsia="宋体" w:cs="宋体"/>
          <w:color w:val="000000"/>
          <w:sz w:val="24"/>
          <w:szCs w:val="24"/>
        </w:rPr>
        <w:t>。</w:t>
      </w:r>
    </w:p>
    <w:p>
      <w:pPr>
        <w:rPr>
          <w:rFonts w:hint="eastAsia" w:ascii="宋体" w:hAnsi="宋体" w:eastAsia="宋体" w:cs="宋体"/>
          <w:color w:val="000000"/>
          <w:sz w:val="24"/>
          <w:szCs w:val="24"/>
        </w:rPr>
      </w:pPr>
      <w:r>
        <w:rPr>
          <w:rFonts w:hint="eastAsia" w:ascii="宋体" w:hAnsi="宋体" w:eastAsia="宋体" w:cs="宋体"/>
          <w:color w:val="000000"/>
          <w:sz w:val="24"/>
          <w:szCs w:val="24"/>
        </w:rPr>
        <w:t>11.住房保障（类）</w:t>
      </w:r>
      <w:r>
        <w:rPr>
          <w:rFonts w:hint="eastAsia" w:ascii="宋体" w:hAnsi="宋体" w:eastAsia="宋体" w:cs="宋体"/>
          <w:color w:val="000000"/>
          <w:sz w:val="24"/>
          <w:szCs w:val="24"/>
          <w:lang w:val="en-US" w:eastAsia="zh-CN"/>
        </w:rPr>
        <w:t>02</w:t>
      </w:r>
      <w:r>
        <w:rPr>
          <w:rFonts w:hint="eastAsia" w:ascii="宋体" w:hAnsi="宋体" w:eastAsia="宋体" w:cs="宋体"/>
          <w:color w:val="000000"/>
          <w:sz w:val="24"/>
          <w:szCs w:val="24"/>
        </w:rPr>
        <w:t>（款）</w:t>
      </w:r>
      <w:r>
        <w:rPr>
          <w:rFonts w:hint="eastAsia" w:ascii="宋体" w:hAnsi="宋体" w:eastAsia="宋体" w:cs="宋体"/>
          <w:color w:val="000000"/>
          <w:sz w:val="24"/>
          <w:szCs w:val="24"/>
          <w:lang w:val="en-US" w:eastAsia="zh-CN"/>
        </w:rPr>
        <w:t>01</w:t>
      </w:r>
      <w:r>
        <w:rPr>
          <w:rFonts w:hint="eastAsia" w:ascii="宋体" w:hAnsi="宋体" w:eastAsia="宋体" w:cs="宋体"/>
          <w:color w:val="000000"/>
          <w:sz w:val="24"/>
          <w:szCs w:val="24"/>
        </w:rPr>
        <w:t>（项）：指</w:t>
      </w:r>
      <w:r>
        <w:rPr>
          <w:rFonts w:hint="eastAsia" w:ascii="宋体" w:hAnsi="宋体" w:eastAsia="宋体" w:cs="宋体"/>
          <w:color w:val="000000"/>
          <w:sz w:val="24"/>
          <w:szCs w:val="24"/>
          <w:lang w:eastAsia="zh-CN"/>
        </w:rPr>
        <w:t>机关事业单位住房保障支出</w:t>
      </w:r>
      <w:r>
        <w:rPr>
          <w:rFonts w:hint="eastAsia" w:ascii="宋体" w:hAnsi="宋体" w:eastAsia="宋体" w:cs="宋体"/>
          <w:color w:val="000000"/>
          <w:sz w:val="24"/>
          <w:szCs w:val="24"/>
        </w:rPr>
        <w:t>。</w:t>
      </w: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rPr>
        <w:t>.基本支出：指为保障机构正常运转、完成日常工作任务而发生的人员支出和公用支出。</w:t>
      </w:r>
    </w:p>
    <w:p>
      <w:pPr>
        <w:pStyle w:val="11"/>
        <w:keepNext w:val="0"/>
        <w:keepLines w:val="0"/>
        <w:widowControl/>
        <w:suppressLineNumbers w:val="0"/>
        <w:spacing w:before="0" w:beforeAutospacing="0"/>
        <w:ind w:left="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rPr>
        <w:t>.项目支出：指在基本支出之外为完成特定行政任务和事业发展目标所发生的支出。</w:t>
      </w:r>
    </w:p>
    <w:p>
      <w:pPr>
        <w:pStyle w:val="11"/>
        <w:keepNext w:val="0"/>
        <w:keepLines w:val="0"/>
        <w:widowControl/>
        <w:suppressLineNumbers w:val="0"/>
        <w:spacing w:before="0" w:beforeAutospacing="0"/>
        <w:ind w:left="0"/>
        <w:jc w:val="left"/>
        <w:rPr>
          <w:shd w:val="clear" w:color="auto" w:fill="FFFFFF"/>
        </w:rPr>
      </w:pPr>
      <w:r>
        <w:rPr>
          <w:shd w:val="clear" w:color="auto" w:fill="FFFFFF"/>
        </w:rPr>
        <w:t> </w:t>
      </w:r>
    </w:p>
    <w:p>
      <w:pPr>
        <w:pStyle w:val="11"/>
        <w:keepNext w:val="0"/>
        <w:keepLines w:val="0"/>
        <w:widowControl/>
        <w:numPr>
          <w:numId w:val="0"/>
        </w:numPr>
        <w:suppressLineNumbers w:val="0"/>
        <w:spacing w:before="0" w:beforeAutospacing="0"/>
        <w:ind w:leftChars="0" w:right="0" w:rightChars="0"/>
        <w:jc w:val="both"/>
        <w:rPr>
          <w:sz w:val="24"/>
          <w:szCs w:val="24"/>
          <w:shd w:val="clear" w:color="auto" w:fill="FFFFFF"/>
        </w:rPr>
      </w:pPr>
      <w:r>
        <w:rPr>
          <w:rFonts w:hint="eastAsia"/>
          <w:sz w:val="24"/>
          <w:szCs w:val="24"/>
          <w:shd w:val="clear" w:color="auto" w:fill="FFFFFF"/>
          <w:lang w:val="en-US" w:eastAsia="zh-CN"/>
        </w:rPr>
        <w:t>第四部分</w:t>
      </w:r>
      <w:r>
        <w:rPr>
          <w:sz w:val="24"/>
          <w:szCs w:val="24"/>
          <w:shd w:val="clear" w:color="auto" w:fill="FFFFFF"/>
        </w:rPr>
        <w:t>附件</w:t>
      </w:r>
    </w:p>
    <w:p>
      <w:pPr>
        <w:pStyle w:val="11"/>
        <w:keepNext w:val="0"/>
        <w:keepLines w:val="0"/>
        <w:widowControl/>
        <w:numPr>
          <w:numId w:val="0"/>
        </w:numPr>
        <w:suppressLineNumbers w:val="0"/>
        <w:spacing w:before="0" w:beforeAutospacing="0"/>
        <w:ind w:leftChars="0" w:right="0" w:rightChars="0"/>
        <w:jc w:val="both"/>
        <w:rPr>
          <w:rFonts w:hint="default" w:eastAsia="宋体"/>
          <w:sz w:val="24"/>
          <w:szCs w:val="24"/>
          <w:shd w:val="clear" w:color="auto" w:fill="FFFFFF"/>
          <w:lang w:val="en-US" w:eastAsia="zh-CN"/>
        </w:rPr>
      </w:pPr>
      <w:r>
        <w:rPr>
          <w:rFonts w:hint="eastAsia"/>
          <w:sz w:val="24"/>
          <w:szCs w:val="24"/>
          <w:shd w:val="clear" w:color="auto" w:fill="FFFFFF"/>
          <w:lang w:val="en-US" w:eastAsia="zh-CN"/>
        </w:rPr>
        <w:t>2022年度部门预算项目支出绩效自评表</w:t>
      </w:r>
    </w:p>
    <w:tbl>
      <w:tblPr>
        <w:tblStyle w:val="12"/>
        <w:tblpPr w:leftFromText="180" w:rightFromText="180" w:vertAnchor="text" w:horzAnchor="page" w:tblpX="12" w:tblpY="371"/>
        <w:tblOverlap w:val="never"/>
        <w:tblW w:w="14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81"/>
        <w:gridCol w:w="2036"/>
        <w:gridCol w:w="1764"/>
        <w:gridCol w:w="2252"/>
        <w:gridCol w:w="518"/>
        <w:gridCol w:w="1668"/>
        <w:gridCol w:w="570"/>
        <w:gridCol w:w="1087"/>
        <w:gridCol w:w="504"/>
        <w:gridCol w:w="454"/>
        <w:gridCol w:w="2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51000021R000000019951-工资性支出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198.91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297.00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295.72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99.57%</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198.91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297.00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295.72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99.57%</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51000021R000000019954-聘用人员经费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5.34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5.34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51000021R000000019956-离退休费支出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11.41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10.33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90.54%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11.41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10.33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90.54%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51000021Y000000011490-定额公用经费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保障单位日常运转，提高预算编制质量，严格执行预算</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18.81</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18.81</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51323322R000000273533-遗属生活补助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51323322R000000309914-社会保障缴费（机关事业单位基本养老保险缴费）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31.82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40.99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37.98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92.66%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31.82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40.99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37.98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92.66%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51323322R000000309915-社会保障缴费（职业年金缴费）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15.91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20.96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90.61%</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15.91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20.96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90.61%</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51323322R000000309917-社会保障缴费（职工基本医疗保险缴费行政）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13.92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19.28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94.16%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13.92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19.28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94.16%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51323322R000000309920-社会保障缴费（公务员医疗补助缴费）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5.11</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5.11</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51323322R000000309921-住房公积金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28.23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29.64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29.50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99.54%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28.23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29.64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29.50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99.54%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51323322R000000309923-社会保障缴费（其他社保缴费）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89.32%</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89.32%</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51323322R000000309926-体检费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0.55</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30.53%</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0.55</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30.53%</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51323322T000005475892-核酸检测设备采购资金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113.53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75.18%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113.53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75.18%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51323322T000005627914-解决集中隔离人员所产生资金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12.35</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12.17</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98.54%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12.35</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12.17</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98.54%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51323322T000005678120-解决新冠疫情防控卡点经费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30.64</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30.64</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51323322T000005678134-解决医疗废物运输费用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15.18</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51323322T000006327452-绵阳市对口帮扶红原县2021年项目资金用于红原县瓦切镇高压氧舱建设项目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64.44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50.70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78.68%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64.44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50.70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78.68%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51323322T000006327455-苍南县、永嘉县、绵阳第三人民医院、三台县人民医院捐赠资金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43.40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43.40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51323322T000006327458-浙江对口援建捐赠资金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51323322T000006327461-疫情防控非定向捐赠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51323322T000006327464-卫健局疫情防控救护车缺口资金（疫情防控非定向捐赠）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51323322T000006327467-红原县卫生健康局职业卫生执法设备采购项目（第二次）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51323322T000006327470-解决红原县龙日坝卫生院业务用房建设项目尾款等资金（农民工工资）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51323322T000007202839-卫生扶贫救助基金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51323322Y000000274175-党建群众工作经费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保障单位日常运转，提高预算编制质量，严格执行预算</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1.99</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1.99</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51323322Y000000304723-公用经费（非定额）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保障单位日常运转，提高预算编制质量，严格执行预算</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51000021R000000019951-工资性支出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79.67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154.10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135.77</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88.10%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79.67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154.10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135.77</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88.10%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51000021R000000019956-离退休费支出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51000021Y000000011490-定额公用经费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保障单位日常运转，提高预算编制质量，严格执行预算</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0.96</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0.96</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51323321T000000086372-县级计划生育事业经费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对计划生育政策宣传等工作的经费保障</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74.52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74.22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74.14</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74.52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74.22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74.14</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效果指标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全县乡镇覆盖率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对计划生育政策宣传等工作的经费保障</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优良中低差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元/户</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51323321T000000086387-独生子女家庭奖励补助县级配套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对农村独生子女家庭奖励</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全县各乡镇农牧民</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鼓励农牧民遵行国家政策</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家</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帮扶对象满意度指标</w:t>
            </w:r>
          </w:p>
        </w:tc>
        <w:tc>
          <w:tcPr>
            <w:tcW w:w="22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独生子女家庭满意度</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51323321T000000086424-基本药物制度补助县级配套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维持基层卫生医疗机构正常运行</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19.61</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乡镇卫生院覆盖率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维护基层卫生医疗机构正常运行</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家/年</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乡镇卫生院满意度</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家/年</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51323321T000000086484-基本公共卫生服务补助县级配套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对全县基层医疗卫生机构开展提供基本功公共卫生服务进行补助县级配套资金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28.83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44.38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44.36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28.83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44.38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44.36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全县卫生院覆盖率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对全县人民基本公共卫生服务工作的促进</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人/年</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全县基本公共卫生服务对象满意度</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51323322R000000273560-三支一扶生活补助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58.99%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20.21</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58.99%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51323322R000000309914-社会保障缴费（机关事业单位基本养老保险缴费）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12.74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16.26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16.26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12.74</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16.26</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16.26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51323322R000000309915-社会保障缴费（职业年金缴费）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6.37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6.37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51323322R000000309918-社会保障缴费（职工基本医疗保险缴费事业）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9.07</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99.45%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5.58</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9.07</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99.45%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51323322R000000309920-社会保障缴费（公务员医疗补助缴费）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89.49%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89.49%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51323322R000000309921-住房公积金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11.45</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90.15%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11.45</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90.15%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51323322R000000309923-社会保障缴费（其他社保缴费）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94.66%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2.07</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94.66%</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51323322R000000309926-体检费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严格执行相关政策，保障工资及时发放、足额发放，预算编制科学合理，减少结余资金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结余率（计算方法为：结余数/预算数）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51323322T000006203442-计划生育项目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174.82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169.11</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96.74%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174.82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169.11</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96.74%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51323322T000006203723-基本药物制度补助项目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66.30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64.53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97.34%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66.30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64.53</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97.34%</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51323322T000006203818-基层医疗卫生机构能力建设项目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0.85</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8.72%</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0.85</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8.72%</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51323322T000006233326-三支一扶人员补助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0.55</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0.55</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51323322T000006320483-红原县龙日镇卫生院医疗设备采购项目（3.46万元）、</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乡镇卫生院培训中心维修改造项目（9.4万元）、</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瓦切镇卫生院预防疫苗接种室改造项目（2.875万元）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15.74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15.74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51323322T000006320486-红原县乡村医生远程培训平台教育网站硬、软件采购项目（4.15万元）</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远程教育教学课程、试题采购项目（14.88万元）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18.29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96.09%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19.03</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18.29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96.09%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51323322T000006320489-红原县乡镇卫生院服务能力提升设备采购项目（第二次）12.9479万元、</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（第二次)第一包0.669万元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51323322T000006320492-2021年州级财政补助计划生育事业专项分配资金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4.06</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51323322T000006320495-2021年基层医疗卫生机构实施基本药物制度中央补助资金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37.90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37.90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3.18%</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51323322T000006320498-2021年医疗服务能力提升中央和省级补助资金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0.75</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9.47%</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7.92</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7.92</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0.75</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9.47%</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51323322T000006320501-2021年省级卫生健康专项补助资金（第二批）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9.14</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51323322T000006401172-疫情防控隔离酒店租赁费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51323322T000006566861-基本公卫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72.49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72.49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72.49</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72.49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51323322T000006664548-疫情防控工作经费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232.72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86.19%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232.72</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86.19%</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51323322T000006924190-代管资金-乡镇卫生院目标奖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补发2018-2019年乡镇卫生院目标奖</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70714.2元</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70714.2</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元/人·次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持续发展</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优良中低差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51323322T000006924197-代管资金-履约保证金及质保金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乡镇卫生院履约保证金、质保金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26690元</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26690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元/户</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优良中低差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51323322T000006924199-代管资金-计划生育资金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独生子女、奖励扶助等资金补发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7797元</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7797</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元/户（套）</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落实国家计生政策</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优良中低差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51323322T000006924215-代管资金-疫情防控人员补助资金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疫情防控人员补助资金20人*300元</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6000元</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元/个</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优良中低差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51323322T000006925348-代管资金-绵阳援建资金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绵阳对口援建资金及其它资金</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18.93</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189270.9</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189270.9</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元/年</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优良中低差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满意度招标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51323322T000007088995-龙日坝卫生院业务用房建设项目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51323322T000007089039-疫情防控相关经费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820.25</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642.69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78.35%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820.25</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642.69</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78.35%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51323322T000007144255-重大传染病防治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51323322T000007271873-方舱隔离点建设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2,520.00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1,824.60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72.40%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2,520.00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1,824.60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72.40%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51323322Y000000274175-党建群众工作经费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保障单位日常运转，提高预算编制质量，严格执行预算</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4" w:hRule="atLeast"/>
        </w:trPr>
        <w:tc>
          <w:tcPr>
            <w:tcW w:w="141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51323322Y000000304723-公用经费（非定额）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2" w:hRule="atLeast"/>
        </w:trPr>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w:t>
            </w:r>
          </w:p>
        </w:tc>
        <w:tc>
          <w:tcPr>
            <w:tcW w:w="10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红原县卫生健康局事业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0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77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保障单位日常运转，提高预算编制质量，严格执行预算</w:t>
            </w:r>
          </w:p>
        </w:tc>
        <w:tc>
          <w:tcPr>
            <w:tcW w:w="46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3"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8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1"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7"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2"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78"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105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72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68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6" w:hRule="atLeast"/>
        </w:trPr>
        <w:tc>
          <w:tcPr>
            <w:tcW w:w="6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3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6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56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bl>
    <w:p>
      <w:pPr>
        <w:pStyle w:val="11"/>
        <w:keepNext w:val="0"/>
        <w:keepLines w:val="0"/>
        <w:widowControl/>
        <w:suppressLineNumbers w:val="0"/>
        <w:spacing w:before="0" w:beforeAutospacing="0"/>
        <w:ind w:left="0"/>
        <w:jc w:val="left"/>
      </w:pPr>
      <w:r>
        <w:rPr>
          <w:shd w:val="clear" w:color="auto" w:fill="FFFFFF"/>
        </w:rPr>
        <w:t> </w:t>
      </w:r>
    </w:p>
    <w:p>
      <w:pPr>
        <w:pStyle w:val="11"/>
        <w:keepNext w:val="0"/>
        <w:keepLines w:val="0"/>
        <w:widowControl/>
        <w:suppressLineNumbers w:val="0"/>
        <w:spacing w:before="0" w:beforeAutospacing="0"/>
        <w:ind w:left="0"/>
        <w:jc w:val="center"/>
        <w:rPr>
          <w:sz w:val="24"/>
          <w:szCs w:val="24"/>
          <w:shd w:val="clear" w:color="auto" w:fill="FFFFFF"/>
        </w:rPr>
      </w:pPr>
    </w:p>
    <w:p>
      <w:pPr>
        <w:widowControl/>
        <w:jc w:val="left"/>
      </w:pPr>
      <w:r>
        <w:rPr>
          <w:sz w:val="24"/>
          <w:szCs w:val="24"/>
          <w:shd w:val="clear" w:color="auto" w:fill="FFFFFF"/>
        </w:rPr>
        <w:t>第五部分 附表</w:t>
      </w:r>
    </w:p>
    <w:p>
      <w:pPr>
        <w:pStyle w:val="5"/>
        <w:keepNext w:val="0"/>
        <w:keepLines w:val="0"/>
        <w:widowControl/>
        <w:suppressLineNumbers w:val="0"/>
        <w:spacing w:before="0" w:beforeAutospacing="0"/>
        <w:ind w:left="0"/>
        <w:jc w:val="left"/>
        <w:rPr>
          <w:sz w:val="24"/>
          <w:szCs w:val="24"/>
          <w:shd w:val="clear" w:color="auto" w:fill="FFFFFF"/>
        </w:rPr>
      </w:pP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一、收入支出决算总表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二、收入决算表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三、支出决算表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四、财政拨款收入支出决算总表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五、财政拨款支出决算明细表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六、一般公共预算财政拨款支出决算表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七、一般公共预算财政拨款支出决算明细表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八、一般公共预算财政拨款基本支出决算表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九、一般公共预算财政拨款项目支出决算表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十、一般公共预算财政拨款“三公”经费支出决算表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十一、政府性基金预算财政拨款收入支出决算表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十二、政府性基金预算财政拨款“三公”经费支出决算表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十三、国有资本经营预算财政拨款收入支出决算表</w:t>
      </w:r>
    </w:p>
    <w:p>
      <w:pPr>
        <w:pStyle w:val="5"/>
        <w:keepNext w:val="0"/>
        <w:keepLines w:val="0"/>
        <w:widowControl/>
        <w:suppressLineNumbers w:val="0"/>
        <w:spacing w:before="0" w:beforeAutospacing="0"/>
        <w:ind w:left="0"/>
        <w:jc w:val="left"/>
        <w:rPr>
          <w:b w:val="0"/>
          <w:bCs/>
        </w:rPr>
      </w:pPr>
      <w:r>
        <w:rPr>
          <w:b w:val="0"/>
          <w:bCs/>
          <w:sz w:val="24"/>
          <w:szCs w:val="24"/>
          <w:shd w:val="clear" w:color="auto" w:fill="FFFFFF"/>
        </w:rPr>
        <w:t>十四、国有资本经营预算财政拨款支出决算表</w:t>
      </w:r>
    </w:p>
    <w:p>
      <w:pPr>
        <w:rPr>
          <w:b w:val="0"/>
          <w:bCs/>
        </w:rPr>
      </w:pPr>
    </w:p>
    <w:p>
      <w:pPr>
        <w:pStyle w:val="11"/>
        <w:keepNext w:val="0"/>
        <w:keepLines w:val="0"/>
        <w:widowControl/>
        <w:suppressLineNumbers w:val="0"/>
        <w:spacing w:before="0" w:beforeAutospacing="0"/>
        <w:ind w:left="0"/>
        <w:jc w:val="left"/>
        <w:rPr>
          <w:rFonts w:hint="eastAsia" w:ascii="宋体" w:hAnsi="宋体" w:eastAsia="宋体" w:cs="宋体"/>
          <w:b w:val="0"/>
          <w:bCs/>
          <w:sz w:val="24"/>
          <w:szCs w:val="24"/>
          <w:shd w:val="clear" w:color="auto" w:fill="FFFFFF"/>
        </w:rPr>
      </w:pPr>
    </w:p>
    <w:p>
      <w:pPr>
        <w:pStyle w:val="11"/>
        <w:keepNext w:val="0"/>
        <w:keepLines w:val="0"/>
        <w:widowControl/>
        <w:suppressLineNumbers w:val="0"/>
        <w:spacing w:before="0" w:beforeAutospacing="0"/>
        <w:ind w:left="0"/>
        <w:jc w:val="left"/>
        <w:rPr>
          <w:rFonts w:hint="eastAsia" w:ascii="宋体" w:hAnsi="宋体" w:eastAsia="宋体" w:cs="宋体"/>
          <w:b w:val="0"/>
          <w:bCs/>
          <w:sz w:val="24"/>
          <w:szCs w:val="24"/>
          <w:shd w:val="clear" w:color="auto" w:fill="FFFFFF"/>
        </w:rPr>
      </w:pPr>
    </w:p>
    <w:p>
      <w:pPr>
        <w:pStyle w:val="11"/>
        <w:keepNext w:val="0"/>
        <w:keepLines w:val="0"/>
        <w:widowControl/>
        <w:suppressLineNumbers w:val="0"/>
        <w:spacing w:before="0" w:beforeAutospacing="0"/>
        <w:ind w:left="0"/>
        <w:jc w:val="left"/>
        <w:rPr>
          <w:rFonts w:hint="eastAsia" w:ascii="宋体" w:hAnsi="宋体" w:eastAsia="宋体" w:cs="宋体"/>
          <w:b w:val="0"/>
          <w:bCs/>
          <w:sz w:val="24"/>
          <w:szCs w:val="24"/>
          <w:shd w:val="clear" w:color="auto" w:fill="FFFFFF"/>
        </w:rPr>
      </w:pPr>
    </w:p>
    <w:p>
      <w:pPr>
        <w:pStyle w:val="11"/>
        <w:keepNext w:val="0"/>
        <w:keepLines w:val="0"/>
        <w:widowControl/>
        <w:suppressLineNumbers w:val="0"/>
        <w:spacing w:before="0" w:beforeAutospacing="0"/>
        <w:ind w:left="0"/>
        <w:jc w:val="left"/>
        <w:rPr>
          <w:rFonts w:hint="eastAsia" w:ascii="宋体" w:hAnsi="宋体" w:eastAsia="宋体" w:cs="宋体"/>
          <w:b w:val="0"/>
          <w:bCs/>
          <w:sz w:val="24"/>
          <w:szCs w:val="24"/>
          <w:shd w:val="clear" w:color="auto" w:fill="FFFFFF"/>
        </w:rPr>
      </w:pPr>
    </w:p>
    <w:p>
      <w:pPr>
        <w:pStyle w:val="2"/>
        <w:numPr>
          <w:ilvl w:val="0"/>
          <w:numId w:val="0"/>
        </w:numPr>
      </w:pPr>
    </w:p>
    <w:sectPr>
      <w:headerReference r:id="rId4" w:type="default"/>
      <w:footerReference r:id="rId5" w:type="default"/>
      <w:pgSz w:w="16838" w:h="11906" w:orient="landscape"/>
      <w:pgMar w:top="1800" w:right="1440" w:bottom="180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301F1F"/>
    <w:multiLevelType w:val="singleLevel"/>
    <w:tmpl w:val="83301F1F"/>
    <w:lvl w:ilvl="0" w:tentative="0">
      <w:start w:val="4"/>
      <w:numFmt w:val="chineseCounting"/>
      <w:suff w:val="nothing"/>
      <w:lvlText w:val="（%1）"/>
      <w:lvlJc w:val="left"/>
      <w:rPr>
        <w:rFonts w:hint="eastAsia"/>
      </w:rPr>
    </w:lvl>
  </w:abstractNum>
  <w:abstractNum w:abstractNumId="1">
    <w:nsid w:val="D98AF56D"/>
    <w:multiLevelType w:val="singleLevel"/>
    <w:tmpl w:val="D98AF56D"/>
    <w:lvl w:ilvl="0" w:tentative="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MmFlOGNmNWFiYWRmY2RmY2NjOWQ1MWI5ODQ0MWQifQ=="/>
  </w:docVars>
  <w:rsids>
    <w:rsidRoot w:val="4E0D4DAE"/>
    <w:rsid w:val="001A203E"/>
    <w:rsid w:val="00BB55C3"/>
    <w:rsid w:val="00D23242"/>
    <w:rsid w:val="012F6E79"/>
    <w:rsid w:val="01A86E59"/>
    <w:rsid w:val="03173F81"/>
    <w:rsid w:val="046C0B57"/>
    <w:rsid w:val="08DE384E"/>
    <w:rsid w:val="097B0971"/>
    <w:rsid w:val="0BDA7780"/>
    <w:rsid w:val="0C4A4BBD"/>
    <w:rsid w:val="0D6E4F5B"/>
    <w:rsid w:val="0E1160D8"/>
    <w:rsid w:val="0ECB36E2"/>
    <w:rsid w:val="109C7F82"/>
    <w:rsid w:val="10FC5772"/>
    <w:rsid w:val="11360B6B"/>
    <w:rsid w:val="12EF4A6A"/>
    <w:rsid w:val="1415235E"/>
    <w:rsid w:val="145A4622"/>
    <w:rsid w:val="1731426F"/>
    <w:rsid w:val="17DC1289"/>
    <w:rsid w:val="17E317B8"/>
    <w:rsid w:val="19001615"/>
    <w:rsid w:val="19B95B0B"/>
    <w:rsid w:val="1B2C064F"/>
    <w:rsid w:val="1B812A3B"/>
    <w:rsid w:val="1DAC3DB6"/>
    <w:rsid w:val="1E5469FF"/>
    <w:rsid w:val="20FF117F"/>
    <w:rsid w:val="21E53BFB"/>
    <w:rsid w:val="22480AFD"/>
    <w:rsid w:val="22BE70F4"/>
    <w:rsid w:val="24050E23"/>
    <w:rsid w:val="245E4322"/>
    <w:rsid w:val="24EE7F10"/>
    <w:rsid w:val="27E80EB6"/>
    <w:rsid w:val="292E3D97"/>
    <w:rsid w:val="2A53542C"/>
    <w:rsid w:val="2A966386"/>
    <w:rsid w:val="2CC86136"/>
    <w:rsid w:val="2E7B7E11"/>
    <w:rsid w:val="2FA6747E"/>
    <w:rsid w:val="30722573"/>
    <w:rsid w:val="31552DF3"/>
    <w:rsid w:val="342C0D5C"/>
    <w:rsid w:val="348B1120"/>
    <w:rsid w:val="34D97C49"/>
    <w:rsid w:val="39705091"/>
    <w:rsid w:val="39E53546"/>
    <w:rsid w:val="3AA361A1"/>
    <w:rsid w:val="3D4039BF"/>
    <w:rsid w:val="3F4A7E6C"/>
    <w:rsid w:val="3FCF5F31"/>
    <w:rsid w:val="405C4354"/>
    <w:rsid w:val="40952ED0"/>
    <w:rsid w:val="43425199"/>
    <w:rsid w:val="4467241B"/>
    <w:rsid w:val="44E25200"/>
    <w:rsid w:val="466770FC"/>
    <w:rsid w:val="482445B4"/>
    <w:rsid w:val="4938247B"/>
    <w:rsid w:val="499A0560"/>
    <w:rsid w:val="4A4F6968"/>
    <w:rsid w:val="4AFB253F"/>
    <w:rsid w:val="4CFA1D83"/>
    <w:rsid w:val="4E0D4DAE"/>
    <w:rsid w:val="4E773463"/>
    <w:rsid w:val="542919A7"/>
    <w:rsid w:val="54C42C0B"/>
    <w:rsid w:val="554B7F59"/>
    <w:rsid w:val="55791CC3"/>
    <w:rsid w:val="5723010E"/>
    <w:rsid w:val="585A2B7C"/>
    <w:rsid w:val="589B4AD9"/>
    <w:rsid w:val="58BF4600"/>
    <w:rsid w:val="58DE3394"/>
    <w:rsid w:val="593B391C"/>
    <w:rsid w:val="597F0F38"/>
    <w:rsid w:val="5A383B0A"/>
    <w:rsid w:val="5EB05B89"/>
    <w:rsid w:val="5FE758E7"/>
    <w:rsid w:val="605D1356"/>
    <w:rsid w:val="60CD771C"/>
    <w:rsid w:val="60D04CBB"/>
    <w:rsid w:val="632F5B9A"/>
    <w:rsid w:val="653C0663"/>
    <w:rsid w:val="65B920F5"/>
    <w:rsid w:val="667B3437"/>
    <w:rsid w:val="66803FFF"/>
    <w:rsid w:val="67D76C1E"/>
    <w:rsid w:val="6BF750F8"/>
    <w:rsid w:val="6DFC778A"/>
    <w:rsid w:val="6EB51B88"/>
    <w:rsid w:val="6F050706"/>
    <w:rsid w:val="701C4D1F"/>
    <w:rsid w:val="7034416C"/>
    <w:rsid w:val="70E3350A"/>
    <w:rsid w:val="711A5CED"/>
    <w:rsid w:val="753700A5"/>
    <w:rsid w:val="77E12415"/>
    <w:rsid w:val="788F6CC6"/>
    <w:rsid w:val="7A1735CB"/>
    <w:rsid w:val="7A5D0560"/>
    <w:rsid w:val="7A8112D6"/>
    <w:rsid w:val="7AE03AEF"/>
    <w:rsid w:val="7B0A7175"/>
    <w:rsid w:val="7B1B4C6E"/>
    <w:rsid w:val="7B2019D2"/>
    <w:rsid w:val="7BD35445"/>
    <w:rsid w:val="7F9A6B31"/>
    <w:rsid w:val="7FE8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宋体" w:hAnsi="宋体" w:eastAsia="宋体" w:cs="宋体"/>
      <w:kern w:val="0"/>
      <w:sz w:val="24"/>
      <w:szCs w:val="24"/>
      <w:lang w:val="en-US" w:eastAsia="zh-CN" w:bidi="ar"/>
    </w:rPr>
  </w:style>
  <w:style w:type="paragraph" w:styleId="4">
    <w:name w:val="heading 1"/>
    <w:basedOn w:val="1"/>
    <w:next w:val="1"/>
    <w:link w:val="17"/>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496" w:firstLineChars="155"/>
    </w:pPr>
    <w:rPr>
      <w:rFonts w:ascii="FangSong_GB2312" w:hAnsi="宋体" w:eastAsia="FangSong_GB2312"/>
      <w:color w:val="000000"/>
      <w:sz w:val="32"/>
      <w:szCs w:val="20"/>
    </w:r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paragraph" w:customStyle="1" w:styleId="16">
    <w:name w:val="四号正文"/>
    <w:basedOn w:val="1"/>
    <w:qFormat/>
    <w:uiPriority w:val="0"/>
    <w:pPr>
      <w:spacing w:line="360" w:lineRule="auto"/>
    </w:pPr>
    <w:rPr>
      <w:rFonts w:ascii="??" w:hAnsi="??" w:eastAsia="宋体"/>
      <w:color w:val="000000"/>
      <w:kern w:val="0"/>
      <w:sz w:val="28"/>
      <w:szCs w:val="21"/>
      <w:lang w:val="zh-CN"/>
    </w:rPr>
  </w:style>
  <w:style w:type="character" w:customStyle="1" w:styleId="17">
    <w:name w:val="标题 1 字符"/>
    <w:basedOn w:val="13"/>
    <w:link w:val="4"/>
    <w:qFormat/>
    <w:uiPriority w:val="9"/>
    <w:rPr>
      <w:rFonts w:hint="eastAsia" w:ascii="宋体" w:hAnsi="宋体" w:eastAsia="宋体" w:cs="宋体"/>
      <w:b/>
      <w:kern w:val="44"/>
      <w:sz w:val="48"/>
      <w:szCs w:val="48"/>
      <w:lang w:val="en-US" w:eastAsia="zh-CN" w:bidi="ar"/>
    </w:rPr>
  </w:style>
  <w:style w:type="paragraph" w:customStyle="1" w:styleId="18">
    <w:name w:val="普通(网站) Char"/>
    <w:basedOn w:val="1"/>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8.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kv9344\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1</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647874799928864"/>
          <c:y val="0.283233532934132"/>
          <c:w val="0.93254490485506"/>
          <c:h val="0.489940119760479"/>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22年收入</c:v>
                </c:pt>
              </c:strCache>
            </c:strRef>
          </c:cat>
          <c:val>
            <c:numRef>
              <c:f>Sheet1!$B$2:$B$3</c:f>
              <c:numCache>
                <c:formatCode>General</c:formatCode>
                <c:ptCount val="2"/>
                <c:pt idx="0">
                  <c:v>4253.44</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22</a:t>
            </a:r>
            <a:r>
              <a:t>年全年收入结构图</a:t>
            </a:r>
            <a:r>
              <a:rPr lang="en-US" altLang="zh-CN"/>
              <a:t>2</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pieChart>
        <c:varyColors val="1"/>
        <c:ser>
          <c:idx val="0"/>
          <c:order val="0"/>
          <c:tx>
            <c:strRef>
              <c:f>Sheet1!$B$1</c:f>
              <c:strCache>
                <c:ptCount val="1"/>
                <c:pt idx="0">
                  <c:v>2022年本年收入结构图</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c:v>
                </c:pt>
              </c:strCache>
            </c:strRef>
          </c:cat>
          <c:val>
            <c:numRef>
              <c:f>Sheet1!$B$2</c:f>
              <c:numCache>
                <c:formatCode>General</c:formatCode>
                <c:ptCount val="1"/>
                <c:pt idx="0">
                  <c:v>4229.51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2</a:t>
            </a:r>
            <a:r>
              <a:t>年本年支出结构图</a:t>
            </a:r>
            <a:r>
              <a:rPr lang="en-US" altLang="zh-CN"/>
              <a:t>3</a:t>
            </a:r>
            <a:endParaRPr lang="en-US" altLang="zh-CN"/>
          </a:p>
        </c:rich>
      </c:tx>
      <c:layout>
        <c:manualLayout>
          <c:xMode val="edge"/>
          <c:yMode val="edge"/>
          <c:x val="0.353507374475086"/>
          <c:y val="0.105891866662585"/>
        </c:manualLayout>
      </c:layout>
      <c:overlay val="0"/>
      <c:spPr>
        <a:noFill/>
        <a:ln>
          <a:noFill/>
        </a:ln>
        <a:effectLst/>
      </c:spPr>
    </c:title>
    <c:autoTitleDeleted val="0"/>
    <c:plotArea>
      <c:layout/>
      <c:pieChart>
        <c:varyColors val="1"/>
        <c:ser>
          <c:idx val="0"/>
          <c:order val="0"/>
          <c:tx>
            <c:strRef>
              <c:f>Sheet1!$B$1</c:f>
              <c:strCache>
                <c:ptCount val="1"/>
                <c:pt idx="0">
                  <c:v>2022年本年支出结构图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663.27</c:v>
                </c:pt>
                <c:pt idx="1">
                  <c:v>3590.17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r>
              <a:rPr lang="en-US" altLang="zh-CN"/>
              <a:t>4</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623866263560377"/>
          <c:y val="0.280240658644712"/>
          <c:w val="0.93254490485506"/>
          <c:h val="0.462127929069031"/>
        </c:manualLayout>
      </c:layout>
      <c:barChart>
        <c:barDir val="col"/>
        <c:grouping val="clustered"/>
        <c:varyColors val="0"/>
        <c:ser>
          <c:idx val="0"/>
          <c:order val="0"/>
          <c:tx>
            <c:strRef>
              <c:f>Sheet1!$B$1</c:f>
              <c:strCache>
                <c:ptCount val="1"/>
                <c:pt idx="0">
                  <c:v>财政拨款收支决算总计变动情况图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22年财政收入</c:v>
                </c:pt>
                <c:pt idx="1">
                  <c:v>21年财政收入</c:v>
                </c:pt>
              </c:strCache>
            </c:strRef>
          </c:cat>
          <c:val>
            <c:numRef>
              <c:f>Sheet1!$B$2:$B$4</c:f>
              <c:numCache>
                <c:formatCode>General</c:formatCode>
                <c:ptCount val="3"/>
                <c:pt idx="0">
                  <c:v>4229.51</c:v>
                </c:pt>
                <c:pt idx="1">
                  <c:v>1275.01</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48692868575494"/>
          <c:y val="0.166766467065868"/>
          <c:w val="0.93254490485506"/>
          <c:h val="0.489940119760479"/>
        </c:manualLayout>
      </c:layout>
      <c:barChart>
        <c:barDir val="col"/>
        <c:grouping val="clustered"/>
        <c:varyColors val="0"/>
        <c:ser>
          <c:idx val="0"/>
          <c:order val="0"/>
          <c:tx>
            <c:strRef>
              <c:f>Sheet1!$B$1</c:f>
              <c:strCache>
                <c:ptCount val="1"/>
                <c:pt idx="0">
                  <c:v>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21年财政支出</c:v>
                </c:pt>
                <c:pt idx="1">
                  <c:v>22年财政支出</c:v>
                </c:pt>
              </c:strCache>
            </c:strRef>
          </c:cat>
          <c:val>
            <c:numRef>
              <c:f>Sheet1!$B$2:$B$3</c:f>
              <c:numCache>
                <c:formatCode>General</c:formatCode>
                <c:ptCount val="2"/>
                <c:pt idx="0">
                  <c:v>1390.13</c:v>
                </c:pt>
                <c:pt idx="1">
                  <c:v>4229.51</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5</a:t>
            </a:r>
            <a:endParaRPr lang="en-US" altLang="zh-CN"/>
          </a:p>
        </c:rich>
      </c:tx>
      <c:layout>
        <c:manualLayout>
          <c:xMode val="edge"/>
          <c:yMode val="edge"/>
          <c:x val="0.167596700303825"/>
          <c:y val="0.0096717511067287"/>
        </c:manualLayout>
      </c:layout>
      <c:overlay val="0"/>
      <c:spPr>
        <a:noFill/>
        <a:ln>
          <a:noFill/>
        </a:ln>
        <a:effectLst/>
      </c:spPr>
    </c:title>
    <c:autoTitleDeleted val="0"/>
    <c:plotArea>
      <c:layout>
        <c:manualLayout>
          <c:layoutTarget val="inner"/>
          <c:xMode val="edge"/>
          <c:yMode val="edge"/>
          <c:x val="0.0448692868575494"/>
          <c:y val="0.166766467065868"/>
          <c:w val="0.93254490485506"/>
          <c:h val="0.48994011976047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21年财政支出</c:v>
                </c:pt>
                <c:pt idx="1">
                  <c:v>22年财政支出</c:v>
                </c:pt>
              </c:strCache>
            </c:strRef>
          </c:cat>
          <c:val>
            <c:numRef>
              <c:f>Sheet1!$B$2:$B$3</c:f>
              <c:numCache>
                <c:formatCode>General</c:formatCode>
                <c:ptCount val="2"/>
                <c:pt idx="0">
                  <c:v>1390.13</c:v>
                </c:pt>
                <c:pt idx="1">
                  <c:v>4229.51</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r>
              <a:rPr lang="en-US" altLang="zh-CN"/>
              <a:t>6</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ofPieChart>
        <c:ofPieType val="pie"/>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社会保障和就业类</c:v>
                </c:pt>
                <c:pt idx="1">
                  <c:v>卫生健康支出</c:v>
                </c:pt>
                <c:pt idx="2">
                  <c:v>住房保障支出</c:v>
                </c:pt>
                <c:pt idx="3">
                  <c:v>节能环保支出</c:v>
                </c:pt>
                <c:pt idx="4">
                  <c:v>农林水支出</c:v>
                </c:pt>
              </c:strCache>
            </c:strRef>
          </c:cat>
          <c:val>
            <c:numRef>
              <c:f>Sheet1!$B$2:$B$8</c:f>
              <c:numCache>
                <c:formatCode>General</c:formatCode>
                <c:ptCount val="7"/>
                <c:pt idx="0">
                  <c:v>93.29</c:v>
                </c:pt>
                <c:pt idx="1">
                  <c:v>3927.97</c:v>
                </c:pt>
                <c:pt idx="2">
                  <c:v>43.09</c:v>
                </c:pt>
                <c:pt idx="3">
                  <c:v>15.18</c:v>
                </c:pt>
                <c:pt idx="4">
                  <c:v>150</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社会保障和就业类</c:v>
                </c:pt>
                <c:pt idx="1">
                  <c:v>卫生健康支出</c:v>
                </c:pt>
                <c:pt idx="2">
                  <c:v>住房保障支出</c:v>
                </c:pt>
                <c:pt idx="3">
                  <c:v>节能环保支出</c:v>
                </c:pt>
                <c:pt idx="4">
                  <c:v>农林水支出</c:v>
                </c:pt>
              </c:strCache>
            </c:strRef>
          </c:cat>
          <c:val>
            <c:numRef>
              <c:f>Sheet1!$C$2:$C$6</c:f>
              <c:numCache>
                <c:formatCode>General</c:formatCode>
                <c:ptCount val="5"/>
              </c:numCache>
            </c:numRef>
          </c:val>
        </c:ser>
        <c:dLbls>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334463270481951"/>
          <c:y val="0.84533211391478"/>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[Workbook1.xlsx]Sheet1!$A$13:$A$15</c:f>
              <c:strCache>
                <c:ptCount val="3"/>
                <c:pt idx="0">
                  <c:v>一般公共预算财政拨款支出决算结构图</c:v>
                </c:pt>
                <c:pt idx="1">
                  <c:v>公务用车购置及运行维护费</c:v>
                </c:pt>
                <c:pt idx="2">
                  <c:v>公务接待费</c:v>
                </c:pt>
              </c:strCache>
            </c:strRef>
          </c:cat>
          <c:val>
            <c:numRef>
              <c:f>[Workbook1.xlsx]Sheet1!$B$13:$B$15</c:f>
              <c:numCache>
                <c:formatCode>General</c:formatCode>
                <c:ptCount val="3"/>
                <c:pt idx="1">
                  <c:v>83.19</c:v>
                </c:pt>
                <c:pt idx="2">
                  <c:v>0.15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2021-12-02T03:37:00Z</dcterms:created>
  <dc:creator>柒月</dc:creator>
  <cp:lastModifiedBy>Administrator</cp:lastModifiedBy>
  <cp:lastPrinted>2023-11-02T07:00:49Z</cp:lastPrinted>
  <dcterms:modified xsi:type="dcterms:W3CDTF">2023-11-02T07:11:03Z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8BFE695E98B84A31AE8F97D4C873C2F6_13</vt:lpwstr>
  </property>
</Properties>
</file>