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heme="minorEastAsia" w:hAnsiTheme="minorEastAsia" w:eastAsiaTheme="minorEastAsia"/>
          <w:b/>
          <w:sz w:val="72"/>
          <w:szCs w:val="72"/>
        </w:rPr>
      </w:pPr>
      <w:bookmarkStart w:id="0" w:name="_Toc15377425"/>
      <w:bookmarkStart w:id="1" w:name="_Toc15396597"/>
      <w:bookmarkStart w:id="2" w:name="_Toc15396475"/>
      <w:bookmarkStart w:id="3" w:name="_Toc15377193"/>
      <w:bookmarkStart w:id="4" w:name="_Toc15378441"/>
      <w:bookmarkStart w:id="5" w:name="_Toc15306267"/>
    </w:p>
    <w:p>
      <w:pPr>
        <w:pStyle w:val="6"/>
        <w:ind w:firstLine="0"/>
      </w:pPr>
    </w:p>
    <w:p>
      <w:pPr>
        <w:jc w:val="center"/>
        <w:rPr>
          <w:rFonts w:asciiTheme="minorEastAsia" w:hAnsiTheme="minorEastAsia" w:eastAsiaTheme="minorEastAsia"/>
          <w:b/>
          <w:sz w:val="72"/>
          <w:szCs w:val="72"/>
        </w:rPr>
      </w:pPr>
      <w:r>
        <w:rPr>
          <w:rFonts w:hint="eastAsia" w:asciiTheme="minorEastAsia" w:hAnsiTheme="minorEastAsia" w:eastAsiaTheme="minorEastAsia"/>
          <w:b/>
          <w:sz w:val="72"/>
          <w:szCs w:val="72"/>
        </w:rPr>
        <w:t>2022</w:t>
      </w:r>
      <w:r>
        <w:rPr>
          <w:b/>
          <w:sz w:val="72"/>
          <w:u w:color="auto"/>
        </w:rPr>
        <w:t>年度</w:t>
      </w:r>
      <w:bookmarkEnd w:id="0"/>
      <w:bookmarkEnd w:id="1"/>
      <w:bookmarkEnd w:id="2"/>
      <w:bookmarkEnd w:id="3"/>
      <w:bookmarkEnd w:id="4"/>
    </w:p>
    <w:bookmarkEnd w:id="5"/>
    <w:p>
      <w:pPr>
        <w:jc w:val="center"/>
        <w:rPr>
          <w:rFonts w:asciiTheme="minorEastAsia" w:hAnsiTheme="minorEastAsia" w:eastAsiaTheme="minorEastAsia"/>
          <w:b/>
          <w:sz w:val="72"/>
          <w:szCs w:val="72"/>
        </w:rPr>
      </w:pPr>
      <w:bookmarkStart w:id="6" w:name="_Toc15377194"/>
      <w:bookmarkStart w:id="7" w:name="_Toc15378442"/>
      <w:bookmarkStart w:id="8" w:name="_Toc15306268"/>
      <w:bookmarkStart w:id="9" w:name="_Toc15396598"/>
      <w:bookmarkStart w:id="10" w:name="_Toc15396476"/>
      <w:bookmarkStart w:id="11" w:name="_Toc15377426"/>
      <w:r>
        <w:rPr>
          <w:rFonts w:asciiTheme="minorEastAsia" w:hAnsiTheme="minorEastAsia" w:eastAsiaTheme="minorEastAsia"/>
          <w:b/>
          <w:sz w:val="72"/>
          <w:szCs w:val="72"/>
        </w:rPr>
        <w:t>阿坝州红原县藏医院</w:t>
      </w:r>
      <w:r>
        <w:rPr>
          <w:rFonts w:hint="eastAsia" w:asciiTheme="minorEastAsia" w:hAnsiTheme="minorEastAsia" w:eastAsiaTheme="minorEastAsia"/>
          <w:b/>
          <w:sz w:val="72"/>
          <w:szCs w:val="72"/>
          <w:lang w:val="en-US" w:eastAsia="zh-CN"/>
        </w:rPr>
        <w:t>单位</w:t>
      </w:r>
      <w:r>
        <w:rPr>
          <w:rFonts w:hint="eastAsia" w:asciiTheme="minorEastAsia" w:hAnsiTheme="minorEastAsia" w:eastAsiaTheme="minorEastAsia"/>
          <w:b/>
          <w:sz w:val="72"/>
          <w:szCs w:val="72"/>
        </w:rPr>
        <w:t>决算</w:t>
      </w:r>
      <w:bookmarkEnd w:id="6"/>
      <w:bookmarkEnd w:id="7"/>
      <w:bookmarkEnd w:id="8"/>
      <w:bookmarkEnd w:id="9"/>
      <w:bookmarkEnd w:id="10"/>
      <w:bookmarkEnd w:id="11"/>
    </w:p>
    <w:p>
      <w:pPr>
        <w:pStyle w:val="6"/>
      </w:pPr>
    </w:p>
    <w:p>
      <w:pPr>
        <w:pStyle w:val="6"/>
      </w:pPr>
    </w:p>
    <w:p>
      <w:pPr>
        <w:pStyle w:val="6"/>
      </w:pPr>
    </w:p>
    <w:p>
      <w:pPr>
        <w:pStyle w:val="6"/>
      </w:pPr>
    </w:p>
    <w:p>
      <w:pPr>
        <w:pStyle w:val="6"/>
      </w:pPr>
    </w:p>
    <w:p>
      <w:pPr>
        <w:pStyle w:val="6"/>
      </w:pPr>
    </w:p>
    <w:p>
      <w:pPr>
        <w:pStyle w:val="6"/>
      </w:pPr>
    </w:p>
    <w:p>
      <w:pPr>
        <w:pStyle w:val="6"/>
      </w:pPr>
    </w:p>
    <w:p>
      <w:pPr>
        <w:pStyle w:val="6"/>
      </w:pPr>
    </w:p>
    <w:p>
      <w:pPr>
        <w:pStyle w:val="6"/>
        <w:tabs>
          <w:tab w:val="left" w:pos="3600"/>
        </w:tabs>
      </w:pPr>
      <w:r>
        <w:tab/>
      </w:r>
    </w:p>
    <w:p>
      <w:pPr>
        <w:pStyle w:val="6"/>
      </w:pPr>
    </w:p>
    <w:p>
      <w:pPr>
        <w:pStyle w:val="6"/>
      </w:pPr>
    </w:p>
    <w:p>
      <w:pPr>
        <w:pStyle w:val="6"/>
      </w:pPr>
    </w:p>
    <w:p>
      <w:pPr>
        <w:pStyle w:val="6"/>
      </w:pPr>
    </w:p>
    <w:p>
      <w:pPr>
        <w:pStyle w:val="6"/>
      </w:pPr>
    </w:p>
    <w:p>
      <w:pPr>
        <w:pStyle w:val="6"/>
      </w:pPr>
    </w:p>
    <w:p>
      <w:pPr>
        <w:pStyle w:val="6"/>
      </w:pPr>
    </w:p>
    <w:p>
      <w:pPr>
        <w:pStyle w:val="6"/>
      </w:pPr>
    </w:p>
    <w:p>
      <w:pPr>
        <w:pStyle w:val="6"/>
      </w:pPr>
    </w:p>
    <w:p>
      <w:pPr>
        <w:autoSpaceDE w:val="0"/>
        <w:autoSpaceDN w:val="0"/>
        <w:adjustRightInd w:val="0"/>
        <w:ind w:left="600" w:leftChars="200"/>
        <w:jc w:val="left"/>
        <w:rPr>
          <w:rFonts w:ascii="宋体" w:hAnsi="宋体"/>
          <w:sz w:val="32"/>
          <w:szCs w:val="32"/>
        </w:rPr>
      </w:pPr>
      <w:r>
        <w:rPr>
          <w:rFonts w:hint="eastAsia" w:ascii="宋体" w:hAnsi="宋体" w:cs="仿宋_GB2312"/>
          <w:sz w:val="32"/>
          <w:szCs w:val="32"/>
        </w:rPr>
        <w:t>保密审查情况：已审查，内容审定</w:t>
      </w:r>
    </w:p>
    <w:p>
      <w:pPr>
        <w:autoSpaceDE w:val="0"/>
        <w:autoSpaceDN w:val="0"/>
        <w:adjustRightInd w:val="0"/>
        <w:ind w:left="600" w:leftChars="200"/>
        <w:jc w:val="left"/>
        <w:rPr>
          <w:rFonts w:ascii="宋体" w:hAnsi="宋体"/>
          <w:sz w:val="32"/>
          <w:szCs w:val="32"/>
        </w:rPr>
      </w:pPr>
      <w:r>
        <w:rPr>
          <w:rFonts w:hint="eastAsia" w:ascii="宋体" w:hAnsi="宋体" w:cs="仿宋_GB2312"/>
          <w:sz w:val="32"/>
          <w:szCs w:val="32"/>
        </w:rPr>
        <w:t>单位</w:t>
      </w:r>
      <w:r>
        <w:rPr>
          <w:rFonts w:ascii="宋体" w:hAnsi="宋体" w:cs="宋体"/>
          <w:sz w:val="32"/>
          <w:u w:color="auto"/>
        </w:rPr>
        <w:t>主要负责人审签情况：已审签，同意对外公开</w:t>
      </w:r>
    </w:p>
    <w:p>
      <w:pPr>
        <w:widowControl/>
        <w:jc w:val="center"/>
        <w:rPr>
          <w:rFonts w:ascii="黑体" w:hAnsi="黑体" w:eastAsia="黑体"/>
          <w:color w:val="000000"/>
          <w:sz w:val="48"/>
          <w:szCs w:val="48"/>
        </w:rPr>
      </w:pPr>
      <w:r>
        <w:rPr>
          <w:rFonts w:ascii="方正小标宋简体" w:hAnsi="宋体" w:eastAsia="方正小标宋简体"/>
          <w:color w:val="000000"/>
          <w:sz w:val="36"/>
          <w:szCs w:val="36"/>
        </w:rPr>
        <w:br w:type="page"/>
      </w:r>
      <w:bookmarkStart w:id="89" w:name="_GoBack"/>
      <w:bookmarkEnd w:id="89"/>
      <w:r>
        <w:rPr>
          <w:rFonts w:hint="eastAsia" w:ascii="黑体" w:hAnsi="黑体" w:eastAsia="黑体"/>
          <w:color w:val="000000"/>
          <w:sz w:val="48"/>
          <w:szCs w:val="48"/>
        </w:rPr>
        <w:t>目录</w:t>
      </w:r>
      <w:bookmarkStart w:id="12" w:name="_Toc15377196"/>
    </w:p>
    <w:p>
      <w:pPr>
        <w:pStyle w:val="14"/>
        <w:tabs>
          <w:tab w:val="right" w:leader="dot" w:pos="8306"/>
          <w:tab w:val="clear" w:pos="8296"/>
        </w:tabs>
      </w:pPr>
      <w:r>
        <w:rPr>
          <w:smallCaps/>
          <w:sz w:val="20"/>
          <w:szCs w:val="20"/>
        </w:rPr>
        <w:fldChar w:fldCharType="begin"/>
      </w:r>
      <w:r>
        <w:rPr>
          <w:smallCaps/>
          <w:sz w:val="20"/>
          <w:szCs w:val="20"/>
        </w:rPr>
        <w:instrText xml:space="preserve"> TOC \o "1-2" \h \z \u </w:instrText>
      </w:r>
      <w:r>
        <w:rPr>
          <w:smallCaps/>
          <w:sz w:val="20"/>
          <w:szCs w:val="20"/>
        </w:rPr>
        <w:fldChar w:fldCharType="separate"/>
      </w:r>
      <w:r>
        <w:rPr>
          <w:smallCaps/>
          <w:szCs w:val="20"/>
        </w:rPr>
        <w:fldChar w:fldCharType="begin"/>
      </w:r>
      <w:r>
        <w:rPr>
          <w:smallCaps/>
          <w:szCs w:val="20"/>
        </w:rPr>
        <w:instrText xml:space="preserve"> HYPERLINK \l _Toc3368 </w:instrText>
      </w:r>
      <w:r>
        <w:rPr>
          <w:smallCaps/>
          <w:szCs w:val="20"/>
        </w:rPr>
        <w:fldChar w:fldCharType="separate"/>
      </w:r>
      <w:r>
        <w:rPr>
          <w:rFonts w:hint="eastAsia" w:ascii="黑体" w:hAnsi="黑体" w:eastAsia="黑体" w:cs="黑体"/>
        </w:rPr>
        <w:t xml:space="preserve">第一部分 </w:t>
      </w:r>
      <w:r>
        <w:rPr>
          <w:rFonts w:hint="eastAsia" w:ascii="黑体" w:hAnsi="黑体" w:eastAsia="黑体" w:cs="黑体"/>
          <w:bCs w:val="0"/>
        </w:rPr>
        <w:t>单位</w:t>
      </w:r>
      <w:r>
        <w:rPr>
          <w:rFonts w:ascii="黑体" w:hAnsi="黑体" w:eastAsia="黑体" w:cs="黑体"/>
          <w:u w:color="auto"/>
        </w:rPr>
        <w:t>概况</w:t>
      </w:r>
      <w:r>
        <w:tab/>
      </w:r>
      <w:r>
        <w:fldChar w:fldCharType="begin"/>
      </w:r>
      <w:r>
        <w:instrText xml:space="preserve"> PAGEREF _Toc3368 \h </w:instrText>
      </w:r>
      <w:r>
        <w:fldChar w:fldCharType="separate"/>
      </w:r>
      <w:r>
        <w:t>3</w:t>
      </w:r>
      <w:r>
        <w:fldChar w:fldCharType="end"/>
      </w:r>
      <w:r>
        <w:rPr>
          <w:smallCaps/>
          <w:szCs w:val="20"/>
        </w:rPr>
        <w:fldChar w:fldCharType="end"/>
      </w:r>
    </w:p>
    <w:p>
      <w:pPr>
        <w:pStyle w:val="16"/>
        <w:tabs>
          <w:tab w:val="right" w:leader="dot" w:pos="8306"/>
          <w:tab w:val="clear" w:pos="8296"/>
        </w:tabs>
      </w:pPr>
      <w:r>
        <w:rPr>
          <w:smallCaps/>
          <w:szCs w:val="20"/>
        </w:rPr>
        <w:fldChar w:fldCharType="begin"/>
      </w:r>
      <w:r>
        <w:rPr>
          <w:smallCaps/>
          <w:szCs w:val="20"/>
        </w:rPr>
        <w:instrText xml:space="preserve"> HYPERLINK \l _Toc4126 </w:instrText>
      </w:r>
      <w:r>
        <w:rPr>
          <w:smallCaps/>
          <w:szCs w:val="20"/>
        </w:rPr>
        <w:fldChar w:fldCharType="separate"/>
      </w:r>
      <w:r>
        <w:rPr>
          <w:rFonts w:hint="eastAsia" w:ascii="黑体" w:eastAsia="黑体" w:cs="Times New Roman"/>
          <w:bCs w:val="0"/>
        </w:rPr>
        <w:t>一、</w:t>
      </w:r>
      <w:r>
        <w:rPr>
          <w:rFonts w:ascii="黑体" w:eastAsia="黑体" w:cs="黑体"/>
          <w:u w:color="auto"/>
        </w:rPr>
        <w:t>主要职责</w:t>
      </w:r>
      <w:r>
        <w:tab/>
      </w:r>
      <w:r>
        <w:fldChar w:fldCharType="begin"/>
      </w:r>
      <w:r>
        <w:instrText xml:space="preserve"> PAGEREF _Toc4126 \h </w:instrText>
      </w:r>
      <w:r>
        <w:fldChar w:fldCharType="separate"/>
      </w:r>
      <w:r>
        <w:t>3</w:t>
      </w:r>
      <w:r>
        <w:fldChar w:fldCharType="end"/>
      </w:r>
      <w:r>
        <w:rPr>
          <w:smallCaps/>
          <w:szCs w:val="20"/>
        </w:rPr>
        <w:fldChar w:fldCharType="end"/>
      </w:r>
    </w:p>
    <w:p>
      <w:pPr>
        <w:pStyle w:val="16"/>
        <w:tabs>
          <w:tab w:val="right" w:leader="dot" w:pos="8306"/>
          <w:tab w:val="clear" w:pos="8296"/>
        </w:tabs>
      </w:pPr>
      <w:r>
        <w:rPr>
          <w:smallCaps/>
          <w:szCs w:val="20"/>
        </w:rPr>
        <w:fldChar w:fldCharType="begin"/>
      </w:r>
      <w:r>
        <w:rPr>
          <w:smallCaps/>
          <w:szCs w:val="20"/>
        </w:rPr>
        <w:instrText xml:space="preserve"> HYPERLINK \l _Toc5389 </w:instrText>
      </w:r>
      <w:r>
        <w:rPr>
          <w:smallCaps/>
          <w:szCs w:val="20"/>
        </w:rPr>
        <w:fldChar w:fldCharType="separate"/>
      </w:r>
      <w:r>
        <w:rPr>
          <w:rFonts w:hint="eastAsia" w:ascii="黑体" w:eastAsia="黑体" w:cs="Times New Roman"/>
          <w:bCs w:val="0"/>
        </w:rPr>
        <w:t>二、机构设置</w:t>
      </w:r>
      <w:r>
        <w:tab/>
      </w:r>
      <w:r>
        <w:fldChar w:fldCharType="begin"/>
      </w:r>
      <w:r>
        <w:instrText xml:space="preserve"> PAGEREF _Toc5389 \h </w:instrText>
      </w:r>
      <w:r>
        <w:fldChar w:fldCharType="separate"/>
      </w:r>
      <w:r>
        <w:t>3</w:t>
      </w:r>
      <w:r>
        <w:fldChar w:fldCharType="end"/>
      </w:r>
      <w:r>
        <w:rPr>
          <w:smallCaps/>
          <w:szCs w:val="20"/>
        </w:rPr>
        <w:fldChar w:fldCharType="end"/>
      </w:r>
    </w:p>
    <w:p>
      <w:pPr>
        <w:pStyle w:val="14"/>
        <w:tabs>
          <w:tab w:val="right" w:leader="dot" w:pos="8306"/>
          <w:tab w:val="clear" w:pos="8296"/>
        </w:tabs>
      </w:pPr>
      <w:r>
        <w:rPr>
          <w:smallCaps/>
          <w:szCs w:val="20"/>
        </w:rPr>
        <w:fldChar w:fldCharType="begin"/>
      </w:r>
      <w:r>
        <w:rPr>
          <w:smallCaps/>
          <w:szCs w:val="20"/>
        </w:rPr>
        <w:instrText xml:space="preserve"> HYPERLINK \l _Toc4730 </w:instrText>
      </w:r>
      <w:r>
        <w:rPr>
          <w:smallCaps/>
          <w:szCs w:val="20"/>
        </w:rPr>
        <w:fldChar w:fldCharType="separate"/>
      </w:r>
      <w:r>
        <w:rPr>
          <w:rFonts w:hint="eastAsia" w:ascii="黑体" w:hAnsi="黑体" w:eastAsia="黑体" w:cs="黑体"/>
        </w:rPr>
        <w:t>第二部分</w:t>
      </w:r>
      <w:r>
        <w:rPr>
          <w:rFonts w:ascii="黑体" w:hAnsi="黑体" w:eastAsia="黑体" w:cs="黑体"/>
        </w:rPr>
        <w:t xml:space="preserve"> </w:t>
      </w:r>
      <w:r>
        <w:rPr>
          <w:rFonts w:hint="eastAsia" w:ascii="黑体" w:hAnsi="黑体" w:eastAsia="黑体" w:cs="黑体"/>
        </w:rPr>
        <w:t>2022</w:t>
      </w:r>
      <w:r>
        <w:rPr>
          <w:rFonts w:ascii="黑体" w:hAnsi="黑体" w:eastAsia="黑体" w:cs="黑体"/>
          <w:u w:color="auto"/>
        </w:rPr>
        <w:t>年度</w:t>
      </w:r>
      <w:r>
        <w:rPr>
          <w:rFonts w:hint="eastAsia" w:ascii="黑体" w:hAnsi="黑体" w:eastAsia="黑体" w:cs="黑体"/>
          <w:lang w:val="en-US" w:eastAsia="zh-CN"/>
        </w:rPr>
        <w:t>单位</w:t>
      </w:r>
      <w:r>
        <w:rPr>
          <w:rFonts w:hint="eastAsia" w:ascii="黑体" w:hAnsi="黑体" w:eastAsia="黑体" w:cs="黑体"/>
        </w:rPr>
        <w:t>决算情况说明</w:t>
      </w:r>
      <w:r>
        <w:tab/>
      </w:r>
      <w:r>
        <w:fldChar w:fldCharType="begin"/>
      </w:r>
      <w:r>
        <w:instrText xml:space="preserve"> PAGEREF _Toc4730 \h </w:instrText>
      </w:r>
      <w:r>
        <w:fldChar w:fldCharType="separate"/>
      </w:r>
      <w:r>
        <w:t>4</w:t>
      </w:r>
      <w:r>
        <w:fldChar w:fldCharType="end"/>
      </w:r>
      <w:r>
        <w:rPr>
          <w:smallCaps/>
          <w:szCs w:val="20"/>
        </w:rPr>
        <w:fldChar w:fldCharType="end"/>
      </w:r>
    </w:p>
    <w:p>
      <w:pPr>
        <w:pStyle w:val="16"/>
        <w:tabs>
          <w:tab w:val="right" w:leader="dot" w:pos="8306"/>
          <w:tab w:val="clear" w:pos="8296"/>
        </w:tabs>
      </w:pPr>
      <w:r>
        <w:rPr>
          <w:smallCaps/>
          <w:szCs w:val="20"/>
        </w:rPr>
        <w:fldChar w:fldCharType="begin"/>
      </w:r>
      <w:r>
        <w:rPr>
          <w:smallCaps/>
          <w:szCs w:val="20"/>
        </w:rPr>
        <w:instrText xml:space="preserve"> HYPERLINK \l _Toc5235 </w:instrText>
      </w:r>
      <w:r>
        <w:rPr>
          <w:smallCaps/>
          <w:szCs w:val="20"/>
        </w:rPr>
        <w:fldChar w:fldCharType="separate"/>
      </w:r>
      <w:r>
        <w:rPr>
          <w:rFonts w:hint="eastAsia" w:ascii="黑体" w:eastAsia="黑体" w:cs="Times New Roman"/>
          <w:bCs w:val="0"/>
        </w:rPr>
        <w:t>一、收入支出决算总体情况说明</w:t>
      </w:r>
      <w:r>
        <w:tab/>
      </w:r>
      <w:r>
        <w:fldChar w:fldCharType="begin"/>
      </w:r>
      <w:r>
        <w:instrText xml:space="preserve"> PAGEREF _Toc5235 \h </w:instrText>
      </w:r>
      <w:r>
        <w:fldChar w:fldCharType="separate"/>
      </w:r>
      <w:r>
        <w:t>4</w:t>
      </w:r>
      <w:r>
        <w:fldChar w:fldCharType="end"/>
      </w:r>
      <w:r>
        <w:rPr>
          <w:smallCaps/>
          <w:szCs w:val="20"/>
        </w:rPr>
        <w:fldChar w:fldCharType="end"/>
      </w:r>
    </w:p>
    <w:p>
      <w:pPr>
        <w:pStyle w:val="16"/>
        <w:tabs>
          <w:tab w:val="right" w:leader="dot" w:pos="8306"/>
          <w:tab w:val="clear" w:pos="8296"/>
        </w:tabs>
      </w:pPr>
      <w:r>
        <w:rPr>
          <w:smallCaps/>
          <w:szCs w:val="20"/>
        </w:rPr>
        <w:fldChar w:fldCharType="begin"/>
      </w:r>
      <w:r>
        <w:rPr>
          <w:smallCaps/>
          <w:szCs w:val="20"/>
        </w:rPr>
        <w:instrText xml:space="preserve"> HYPERLINK \l _Toc762 </w:instrText>
      </w:r>
      <w:r>
        <w:rPr>
          <w:smallCaps/>
          <w:szCs w:val="20"/>
        </w:rPr>
        <w:fldChar w:fldCharType="separate"/>
      </w:r>
      <w:r>
        <w:rPr>
          <w:rFonts w:hint="eastAsia" w:ascii="黑体" w:eastAsia="黑体" w:cs="Times New Roman"/>
          <w:bCs w:val="0"/>
        </w:rPr>
        <w:t>二、收入决算情况说明</w:t>
      </w:r>
      <w:r>
        <w:tab/>
      </w:r>
      <w:r>
        <w:fldChar w:fldCharType="begin"/>
      </w:r>
      <w:r>
        <w:instrText xml:space="preserve"> PAGEREF _Toc762 \h </w:instrText>
      </w:r>
      <w:r>
        <w:fldChar w:fldCharType="separate"/>
      </w:r>
      <w:r>
        <w:t>4</w:t>
      </w:r>
      <w:r>
        <w:fldChar w:fldCharType="end"/>
      </w:r>
      <w:r>
        <w:rPr>
          <w:smallCaps/>
          <w:szCs w:val="20"/>
        </w:rPr>
        <w:fldChar w:fldCharType="end"/>
      </w:r>
    </w:p>
    <w:p>
      <w:pPr>
        <w:pStyle w:val="16"/>
        <w:tabs>
          <w:tab w:val="right" w:leader="dot" w:pos="8306"/>
          <w:tab w:val="clear" w:pos="8296"/>
        </w:tabs>
      </w:pPr>
      <w:r>
        <w:rPr>
          <w:smallCaps/>
          <w:szCs w:val="20"/>
        </w:rPr>
        <w:fldChar w:fldCharType="begin"/>
      </w:r>
      <w:r>
        <w:rPr>
          <w:smallCaps/>
          <w:szCs w:val="20"/>
        </w:rPr>
        <w:instrText xml:space="preserve"> HYPERLINK \l _Toc28797 </w:instrText>
      </w:r>
      <w:r>
        <w:rPr>
          <w:smallCaps/>
          <w:szCs w:val="20"/>
        </w:rPr>
        <w:fldChar w:fldCharType="separate"/>
      </w:r>
      <w:r>
        <w:rPr>
          <w:rFonts w:hint="eastAsia" w:ascii="黑体" w:eastAsia="黑体" w:cs="Times New Roman"/>
          <w:bCs w:val="0"/>
        </w:rPr>
        <w:t>三、支出决算情况说明</w:t>
      </w:r>
      <w:r>
        <w:tab/>
      </w:r>
      <w:r>
        <w:fldChar w:fldCharType="begin"/>
      </w:r>
      <w:r>
        <w:instrText xml:space="preserve"> PAGEREF _Toc28797 \h </w:instrText>
      </w:r>
      <w:r>
        <w:fldChar w:fldCharType="separate"/>
      </w:r>
      <w:r>
        <w:t>5</w:t>
      </w:r>
      <w:r>
        <w:fldChar w:fldCharType="end"/>
      </w:r>
      <w:r>
        <w:rPr>
          <w:smallCaps/>
          <w:szCs w:val="20"/>
        </w:rPr>
        <w:fldChar w:fldCharType="end"/>
      </w:r>
    </w:p>
    <w:p>
      <w:pPr>
        <w:pStyle w:val="16"/>
        <w:tabs>
          <w:tab w:val="right" w:leader="dot" w:pos="8306"/>
          <w:tab w:val="clear" w:pos="8296"/>
        </w:tabs>
      </w:pPr>
      <w:r>
        <w:rPr>
          <w:smallCaps/>
          <w:szCs w:val="20"/>
        </w:rPr>
        <w:fldChar w:fldCharType="begin"/>
      </w:r>
      <w:r>
        <w:rPr>
          <w:smallCaps/>
          <w:szCs w:val="20"/>
        </w:rPr>
        <w:instrText xml:space="preserve"> HYPERLINK \l _Toc31069 </w:instrText>
      </w:r>
      <w:r>
        <w:rPr>
          <w:smallCaps/>
          <w:szCs w:val="20"/>
        </w:rPr>
        <w:fldChar w:fldCharType="separate"/>
      </w:r>
      <w:r>
        <w:rPr>
          <w:rFonts w:hint="eastAsia" w:ascii="黑体" w:eastAsia="黑体" w:cs="Times New Roman"/>
          <w:bCs w:val="0"/>
        </w:rPr>
        <w:t>四、财政拨款收入支出决算总体情况说明</w:t>
      </w:r>
      <w:r>
        <w:tab/>
      </w:r>
      <w:r>
        <w:fldChar w:fldCharType="begin"/>
      </w:r>
      <w:r>
        <w:instrText xml:space="preserve"> PAGEREF _Toc31069 \h </w:instrText>
      </w:r>
      <w:r>
        <w:fldChar w:fldCharType="separate"/>
      </w:r>
      <w:r>
        <w:t>6</w:t>
      </w:r>
      <w:r>
        <w:fldChar w:fldCharType="end"/>
      </w:r>
      <w:r>
        <w:rPr>
          <w:smallCaps/>
          <w:szCs w:val="20"/>
        </w:rPr>
        <w:fldChar w:fldCharType="end"/>
      </w:r>
    </w:p>
    <w:p>
      <w:pPr>
        <w:pStyle w:val="16"/>
        <w:tabs>
          <w:tab w:val="right" w:leader="dot" w:pos="8306"/>
          <w:tab w:val="clear" w:pos="8296"/>
        </w:tabs>
      </w:pPr>
      <w:r>
        <w:rPr>
          <w:smallCaps/>
          <w:szCs w:val="20"/>
        </w:rPr>
        <w:fldChar w:fldCharType="begin"/>
      </w:r>
      <w:r>
        <w:rPr>
          <w:smallCaps/>
          <w:szCs w:val="20"/>
        </w:rPr>
        <w:instrText xml:space="preserve"> HYPERLINK \l _Toc13426 </w:instrText>
      </w:r>
      <w:r>
        <w:rPr>
          <w:smallCaps/>
          <w:szCs w:val="20"/>
        </w:rPr>
        <w:fldChar w:fldCharType="separate"/>
      </w:r>
      <w:r>
        <w:rPr>
          <w:rFonts w:hint="eastAsia" w:ascii="黑体" w:eastAsia="黑体" w:cs="Times New Roman"/>
          <w:bCs w:val="0"/>
        </w:rPr>
        <w:t>五、一般公共预算财政拨款支出决算情况说明</w:t>
      </w:r>
      <w:r>
        <w:tab/>
      </w:r>
      <w:r>
        <w:fldChar w:fldCharType="begin"/>
      </w:r>
      <w:r>
        <w:instrText xml:space="preserve"> PAGEREF _Toc13426 \h </w:instrText>
      </w:r>
      <w:r>
        <w:fldChar w:fldCharType="separate"/>
      </w:r>
      <w:r>
        <w:t>7</w:t>
      </w:r>
      <w:r>
        <w:fldChar w:fldCharType="end"/>
      </w:r>
      <w:r>
        <w:rPr>
          <w:smallCaps/>
          <w:szCs w:val="20"/>
        </w:rPr>
        <w:fldChar w:fldCharType="end"/>
      </w:r>
    </w:p>
    <w:p>
      <w:pPr>
        <w:pStyle w:val="16"/>
        <w:tabs>
          <w:tab w:val="right" w:leader="dot" w:pos="8306"/>
          <w:tab w:val="clear" w:pos="8296"/>
        </w:tabs>
      </w:pPr>
      <w:r>
        <w:rPr>
          <w:smallCaps/>
          <w:szCs w:val="20"/>
        </w:rPr>
        <w:fldChar w:fldCharType="begin"/>
      </w:r>
      <w:r>
        <w:rPr>
          <w:smallCaps/>
          <w:szCs w:val="20"/>
        </w:rPr>
        <w:instrText xml:space="preserve"> HYPERLINK \l _Toc25675 </w:instrText>
      </w:r>
      <w:r>
        <w:rPr>
          <w:smallCaps/>
          <w:szCs w:val="20"/>
        </w:rPr>
        <w:fldChar w:fldCharType="separate"/>
      </w:r>
      <w:r>
        <w:rPr>
          <w:rFonts w:hint="eastAsia" w:ascii="黑体" w:eastAsia="黑体" w:cs="Times New Roman"/>
          <w:bCs w:val="0"/>
        </w:rPr>
        <w:t>六、一般公共预算财政拨款基本支出决算情况说明</w:t>
      </w:r>
      <w:r>
        <w:tab/>
      </w:r>
      <w:r>
        <w:fldChar w:fldCharType="begin"/>
      </w:r>
      <w:r>
        <w:instrText xml:space="preserve"> PAGEREF _Toc25675 \h </w:instrText>
      </w:r>
      <w:r>
        <w:fldChar w:fldCharType="separate"/>
      </w:r>
      <w:r>
        <w:t>9</w:t>
      </w:r>
      <w:r>
        <w:fldChar w:fldCharType="end"/>
      </w:r>
      <w:r>
        <w:rPr>
          <w:smallCaps/>
          <w:szCs w:val="20"/>
        </w:rPr>
        <w:fldChar w:fldCharType="end"/>
      </w:r>
    </w:p>
    <w:p>
      <w:pPr>
        <w:pStyle w:val="16"/>
        <w:tabs>
          <w:tab w:val="right" w:leader="dot" w:pos="8306"/>
          <w:tab w:val="clear" w:pos="8296"/>
        </w:tabs>
      </w:pPr>
      <w:r>
        <w:rPr>
          <w:smallCaps/>
          <w:szCs w:val="20"/>
        </w:rPr>
        <w:fldChar w:fldCharType="begin"/>
      </w:r>
      <w:r>
        <w:rPr>
          <w:smallCaps/>
          <w:szCs w:val="20"/>
        </w:rPr>
        <w:instrText xml:space="preserve"> HYPERLINK \l _Toc19176 </w:instrText>
      </w:r>
      <w:r>
        <w:rPr>
          <w:smallCaps/>
          <w:szCs w:val="20"/>
        </w:rPr>
        <w:fldChar w:fldCharType="separate"/>
      </w:r>
      <w:r>
        <w:rPr>
          <w:rFonts w:hint="eastAsia" w:ascii="黑体" w:eastAsia="黑体" w:cs="Times New Roman"/>
          <w:bCs w:val="0"/>
        </w:rPr>
        <w:t>七、“三公”经费财政拨款支出决算情况说明</w:t>
      </w:r>
      <w:r>
        <w:tab/>
      </w:r>
      <w:r>
        <w:fldChar w:fldCharType="begin"/>
      </w:r>
      <w:r>
        <w:instrText xml:space="preserve"> PAGEREF _Toc19176 \h </w:instrText>
      </w:r>
      <w:r>
        <w:fldChar w:fldCharType="separate"/>
      </w:r>
      <w:r>
        <w:t>9</w:t>
      </w:r>
      <w:r>
        <w:fldChar w:fldCharType="end"/>
      </w:r>
      <w:r>
        <w:rPr>
          <w:smallCaps/>
          <w:szCs w:val="20"/>
        </w:rPr>
        <w:fldChar w:fldCharType="end"/>
      </w:r>
    </w:p>
    <w:p>
      <w:pPr>
        <w:pStyle w:val="16"/>
        <w:tabs>
          <w:tab w:val="right" w:leader="dot" w:pos="8306"/>
          <w:tab w:val="clear" w:pos="8296"/>
        </w:tabs>
      </w:pPr>
      <w:r>
        <w:rPr>
          <w:smallCaps/>
          <w:szCs w:val="20"/>
        </w:rPr>
        <w:fldChar w:fldCharType="begin"/>
      </w:r>
      <w:r>
        <w:rPr>
          <w:smallCaps/>
          <w:szCs w:val="20"/>
        </w:rPr>
        <w:instrText xml:space="preserve"> HYPERLINK \l _Toc10308 </w:instrText>
      </w:r>
      <w:r>
        <w:rPr>
          <w:smallCaps/>
          <w:szCs w:val="20"/>
        </w:rPr>
        <w:fldChar w:fldCharType="separate"/>
      </w:r>
      <w:r>
        <w:rPr>
          <w:rFonts w:hint="eastAsia" w:ascii="黑体" w:eastAsia="黑体" w:cs="Times New Roman"/>
          <w:bCs w:val="0"/>
        </w:rPr>
        <w:t>八、政府性基金预算支出决算情况说明</w:t>
      </w:r>
      <w:r>
        <w:tab/>
      </w:r>
      <w:r>
        <w:fldChar w:fldCharType="begin"/>
      </w:r>
      <w:r>
        <w:instrText xml:space="preserve"> PAGEREF _Toc10308 \h </w:instrText>
      </w:r>
      <w:r>
        <w:fldChar w:fldCharType="separate"/>
      </w:r>
      <w:r>
        <w:t>11</w:t>
      </w:r>
      <w:r>
        <w:fldChar w:fldCharType="end"/>
      </w:r>
      <w:r>
        <w:rPr>
          <w:smallCaps/>
          <w:szCs w:val="20"/>
        </w:rPr>
        <w:fldChar w:fldCharType="end"/>
      </w:r>
    </w:p>
    <w:p>
      <w:pPr>
        <w:pStyle w:val="16"/>
        <w:tabs>
          <w:tab w:val="right" w:leader="dot" w:pos="8306"/>
          <w:tab w:val="clear" w:pos="8296"/>
        </w:tabs>
      </w:pPr>
      <w:r>
        <w:rPr>
          <w:smallCaps/>
          <w:szCs w:val="20"/>
        </w:rPr>
        <w:fldChar w:fldCharType="begin"/>
      </w:r>
      <w:r>
        <w:rPr>
          <w:smallCaps/>
          <w:szCs w:val="20"/>
        </w:rPr>
        <w:instrText xml:space="preserve"> HYPERLINK \l _Toc16770 </w:instrText>
      </w:r>
      <w:r>
        <w:rPr>
          <w:smallCaps/>
          <w:szCs w:val="20"/>
        </w:rPr>
        <w:fldChar w:fldCharType="separate"/>
      </w:r>
      <w:r>
        <w:rPr>
          <w:rFonts w:hint="eastAsia" w:ascii="黑体" w:eastAsia="黑体" w:cs="Times New Roman"/>
          <w:bCs w:val="0"/>
        </w:rPr>
        <w:t>九、国有资本经营预算支出决算情况说明</w:t>
      </w:r>
      <w:r>
        <w:tab/>
      </w:r>
      <w:r>
        <w:fldChar w:fldCharType="begin"/>
      </w:r>
      <w:r>
        <w:instrText xml:space="preserve"> PAGEREF _Toc16770 \h </w:instrText>
      </w:r>
      <w:r>
        <w:fldChar w:fldCharType="separate"/>
      </w:r>
      <w:r>
        <w:t>12</w:t>
      </w:r>
      <w:r>
        <w:fldChar w:fldCharType="end"/>
      </w:r>
      <w:r>
        <w:rPr>
          <w:smallCaps/>
          <w:szCs w:val="20"/>
        </w:rPr>
        <w:fldChar w:fldCharType="end"/>
      </w:r>
    </w:p>
    <w:p>
      <w:pPr>
        <w:pStyle w:val="16"/>
        <w:tabs>
          <w:tab w:val="right" w:leader="dot" w:pos="8306"/>
          <w:tab w:val="clear" w:pos="8296"/>
        </w:tabs>
      </w:pPr>
      <w:r>
        <w:rPr>
          <w:smallCaps/>
          <w:szCs w:val="20"/>
        </w:rPr>
        <w:fldChar w:fldCharType="begin"/>
      </w:r>
      <w:r>
        <w:rPr>
          <w:smallCaps/>
          <w:szCs w:val="20"/>
        </w:rPr>
        <w:instrText xml:space="preserve"> HYPERLINK \l _Toc29441 </w:instrText>
      </w:r>
      <w:r>
        <w:rPr>
          <w:smallCaps/>
          <w:szCs w:val="20"/>
        </w:rPr>
        <w:fldChar w:fldCharType="separate"/>
      </w:r>
      <w:r>
        <w:rPr>
          <w:rFonts w:hint="eastAsia" w:ascii="黑体" w:eastAsia="黑体" w:cs="Times New Roman"/>
          <w:bCs w:val="0"/>
        </w:rPr>
        <w:t>十、其他重要事项的情况说明</w:t>
      </w:r>
      <w:r>
        <w:tab/>
      </w:r>
      <w:r>
        <w:fldChar w:fldCharType="begin"/>
      </w:r>
      <w:r>
        <w:instrText xml:space="preserve"> PAGEREF _Toc29441 \h </w:instrText>
      </w:r>
      <w:r>
        <w:fldChar w:fldCharType="separate"/>
      </w:r>
      <w:r>
        <w:t>12</w:t>
      </w:r>
      <w:r>
        <w:fldChar w:fldCharType="end"/>
      </w:r>
      <w:r>
        <w:rPr>
          <w:smallCaps/>
          <w:szCs w:val="20"/>
        </w:rPr>
        <w:fldChar w:fldCharType="end"/>
      </w:r>
    </w:p>
    <w:p>
      <w:pPr>
        <w:pStyle w:val="14"/>
        <w:tabs>
          <w:tab w:val="right" w:leader="dot" w:pos="8306"/>
          <w:tab w:val="clear" w:pos="8296"/>
        </w:tabs>
      </w:pPr>
      <w:r>
        <w:rPr>
          <w:smallCaps/>
          <w:szCs w:val="20"/>
        </w:rPr>
        <w:fldChar w:fldCharType="begin"/>
      </w:r>
      <w:r>
        <w:rPr>
          <w:smallCaps/>
          <w:szCs w:val="20"/>
        </w:rPr>
        <w:instrText xml:space="preserve"> HYPERLINK \l _Toc29516 </w:instrText>
      </w:r>
      <w:r>
        <w:rPr>
          <w:smallCaps/>
          <w:szCs w:val="20"/>
        </w:rPr>
        <w:fldChar w:fldCharType="separate"/>
      </w:r>
      <w:r>
        <w:rPr>
          <w:rFonts w:hint="eastAsia" w:ascii="黑体" w:hAnsi="黑体" w:eastAsia="黑体" w:cs="黑体"/>
        </w:rPr>
        <w:t>第三部分 名词解释</w:t>
      </w:r>
      <w:r>
        <w:tab/>
      </w:r>
      <w:r>
        <w:fldChar w:fldCharType="begin"/>
      </w:r>
      <w:r>
        <w:instrText xml:space="preserve"> PAGEREF _Toc29516 \h </w:instrText>
      </w:r>
      <w:r>
        <w:fldChar w:fldCharType="separate"/>
      </w:r>
      <w:r>
        <w:t>13</w:t>
      </w:r>
      <w:r>
        <w:fldChar w:fldCharType="end"/>
      </w:r>
      <w:r>
        <w:rPr>
          <w:smallCaps/>
          <w:szCs w:val="20"/>
        </w:rPr>
        <w:fldChar w:fldCharType="end"/>
      </w:r>
    </w:p>
    <w:p>
      <w:pPr>
        <w:pStyle w:val="14"/>
        <w:tabs>
          <w:tab w:val="right" w:leader="dot" w:pos="8306"/>
          <w:tab w:val="clear" w:pos="8296"/>
        </w:tabs>
      </w:pPr>
      <w:r>
        <w:rPr>
          <w:smallCaps/>
          <w:szCs w:val="20"/>
        </w:rPr>
        <w:fldChar w:fldCharType="begin"/>
      </w:r>
      <w:r>
        <w:rPr>
          <w:smallCaps/>
          <w:szCs w:val="20"/>
        </w:rPr>
        <w:instrText xml:space="preserve"> HYPERLINK \l _Toc20167 </w:instrText>
      </w:r>
      <w:r>
        <w:rPr>
          <w:smallCaps/>
          <w:szCs w:val="20"/>
        </w:rPr>
        <w:fldChar w:fldCharType="separate"/>
      </w:r>
      <w:r>
        <w:rPr>
          <w:rFonts w:hint="eastAsia" w:ascii="黑体" w:hAnsi="黑体" w:eastAsia="黑体" w:cs="黑体"/>
        </w:rPr>
        <w:t>第四部分 附件</w:t>
      </w:r>
      <w:r>
        <w:tab/>
      </w:r>
      <w:r>
        <w:fldChar w:fldCharType="begin"/>
      </w:r>
      <w:r>
        <w:instrText xml:space="preserve"> PAGEREF _Toc20167 \h </w:instrText>
      </w:r>
      <w:r>
        <w:fldChar w:fldCharType="separate"/>
      </w:r>
      <w:r>
        <w:t>15</w:t>
      </w:r>
      <w:r>
        <w:fldChar w:fldCharType="end"/>
      </w:r>
      <w:r>
        <w:rPr>
          <w:smallCaps/>
          <w:szCs w:val="20"/>
        </w:rPr>
        <w:fldChar w:fldCharType="end"/>
      </w:r>
    </w:p>
    <w:p>
      <w:pPr>
        <w:pStyle w:val="14"/>
        <w:tabs>
          <w:tab w:val="right" w:leader="dot" w:pos="8306"/>
          <w:tab w:val="clear" w:pos="8296"/>
        </w:tabs>
      </w:pPr>
      <w:r>
        <w:rPr>
          <w:smallCaps/>
          <w:szCs w:val="20"/>
        </w:rPr>
        <w:fldChar w:fldCharType="begin"/>
      </w:r>
      <w:r>
        <w:rPr>
          <w:smallCaps/>
          <w:szCs w:val="20"/>
        </w:rPr>
        <w:instrText xml:space="preserve"> HYPERLINK \l _Toc5939 </w:instrText>
      </w:r>
      <w:r>
        <w:rPr>
          <w:smallCaps/>
          <w:szCs w:val="20"/>
        </w:rPr>
        <w:fldChar w:fldCharType="separate"/>
      </w:r>
      <w:r>
        <w:rPr>
          <w:rFonts w:hint="eastAsia" w:ascii="黑体" w:hAnsi="黑体" w:eastAsia="黑体" w:cs="黑体"/>
        </w:rPr>
        <w:t>第五部分 附表</w:t>
      </w:r>
      <w:r>
        <w:tab/>
      </w:r>
      <w:r>
        <w:fldChar w:fldCharType="begin"/>
      </w:r>
      <w:r>
        <w:instrText xml:space="preserve"> PAGEREF _Toc5939 \h </w:instrText>
      </w:r>
      <w:r>
        <w:fldChar w:fldCharType="separate"/>
      </w:r>
      <w:r>
        <w:t>15</w:t>
      </w:r>
      <w:r>
        <w:fldChar w:fldCharType="end"/>
      </w:r>
      <w:r>
        <w:rPr>
          <w:smallCaps/>
          <w:szCs w:val="20"/>
        </w:rPr>
        <w:fldChar w:fldCharType="end"/>
      </w:r>
    </w:p>
    <w:p>
      <w:pPr>
        <w:pStyle w:val="16"/>
        <w:tabs>
          <w:tab w:val="right" w:leader="dot" w:pos="8306"/>
          <w:tab w:val="clear" w:pos="8296"/>
        </w:tabs>
      </w:pPr>
      <w:r>
        <w:rPr>
          <w:smallCaps/>
          <w:szCs w:val="20"/>
        </w:rPr>
        <w:fldChar w:fldCharType="begin"/>
      </w:r>
      <w:r>
        <w:rPr>
          <w:smallCaps/>
          <w:szCs w:val="20"/>
        </w:rPr>
        <w:instrText xml:space="preserve"> HYPERLINK \l _Toc7558 </w:instrText>
      </w:r>
      <w:r>
        <w:rPr>
          <w:smallCaps/>
          <w:szCs w:val="20"/>
        </w:rPr>
        <w:fldChar w:fldCharType="separate"/>
      </w:r>
      <w:r>
        <w:rPr>
          <w:rFonts w:hint="eastAsia" w:ascii="黑体" w:eastAsia="黑体" w:cs="Times New Roman"/>
          <w:bCs w:val="0"/>
        </w:rPr>
        <w:t>一、收入支出决算总表</w:t>
      </w:r>
      <w:r>
        <w:tab/>
      </w:r>
      <w:r>
        <w:fldChar w:fldCharType="begin"/>
      </w:r>
      <w:r>
        <w:instrText xml:space="preserve"> PAGEREF _Toc7558 \h </w:instrText>
      </w:r>
      <w:r>
        <w:fldChar w:fldCharType="separate"/>
      </w:r>
      <w:r>
        <w:t>15</w:t>
      </w:r>
      <w:r>
        <w:fldChar w:fldCharType="end"/>
      </w:r>
      <w:r>
        <w:rPr>
          <w:smallCaps/>
          <w:szCs w:val="20"/>
        </w:rPr>
        <w:fldChar w:fldCharType="end"/>
      </w:r>
    </w:p>
    <w:p>
      <w:pPr>
        <w:pStyle w:val="16"/>
        <w:tabs>
          <w:tab w:val="right" w:leader="dot" w:pos="8306"/>
          <w:tab w:val="clear" w:pos="8296"/>
        </w:tabs>
      </w:pPr>
      <w:r>
        <w:rPr>
          <w:smallCaps/>
          <w:szCs w:val="20"/>
        </w:rPr>
        <w:fldChar w:fldCharType="begin"/>
      </w:r>
      <w:r>
        <w:rPr>
          <w:smallCaps/>
          <w:szCs w:val="20"/>
        </w:rPr>
        <w:instrText xml:space="preserve"> HYPERLINK \l _Toc23357 </w:instrText>
      </w:r>
      <w:r>
        <w:rPr>
          <w:smallCaps/>
          <w:szCs w:val="20"/>
        </w:rPr>
        <w:fldChar w:fldCharType="separate"/>
      </w:r>
      <w:r>
        <w:rPr>
          <w:rFonts w:hint="eastAsia" w:ascii="黑体" w:eastAsia="黑体" w:cs="Times New Roman"/>
          <w:bCs w:val="0"/>
        </w:rPr>
        <w:t>二、收入决算表</w:t>
      </w:r>
      <w:r>
        <w:tab/>
      </w:r>
      <w:r>
        <w:fldChar w:fldCharType="begin"/>
      </w:r>
      <w:r>
        <w:instrText xml:space="preserve"> PAGEREF _Toc23357 \h </w:instrText>
      </w:r>
      <w:r>
        <w:fldChar w:fldCharType="separate"/>
      </w:r>
      <w:r>
        <w:t>15</w:t>
      </w:r>
      <w:r>
        <w:fldChar w:fldCharType="end"/>
      </w:r>
      <w:r>
        <w:rPr>
          <w:smallCaps/>
          <w:szCs w:val="20"/>
        </w:rPr>
        <w:fldChar w:fldCharType="end"/>
      </w:r>
    </w:p>
    <w:p>
      <w:pPr>
        <w:pStyle w:val="16"/>
        <w:tabs>
          <w:tab w:val="right" w:leader="dot" w:pos="8306"/>
          <w:tab w:val="clear" w:pos="8296"/>
        </w:tabs>
      </w:pPr>
      <w:r>
        <w:rPr>
          <w:smallCaps/>
          <w:szCs w:val="20"/>
        </w:rPr>
        <w:fldChar w:fldCharType="begin"/>
      </w:r>
      <w:r>
        <w:rPr>
          <w:smallCaps/>
          <w:szCs w:val="20"/>
        </w:rPr>
        <w:instrText xml:space="preserve"> HYPERLINK \l _Toc8630 </w:instrText>
      </w:r>
      <w:r>
        <w:rPr>
          <w:smallCaps/>
          <w:szCs w:val="20"/>
        </w:rPr>
        <w:fldChar w:fldCharType="separate"/>
      </w:r>
      <w:r>
        <w:rPr>
          <w:rFonts w:hint="eastAsia" w:ascii="黑体" w:eastAsia="黑体" w:cs="Times New Roman"/>
          <w:bCs w:val="0"/>
        </w:rPr>
        <w:t>三、支出决算表</w:t>
      </w:r>
      <w:r>
        <w:tab/>
      </w:r>
      <w:r>
        <w:fldChar w:fldCharType="begin"/>
      </w:r>
      <w:r>
        <w:instrText xml:space="preserve"> PAGEREF _Toc8630 \h </w:instrText>
      </w:r>
      <w:r>
        <w:fldChar w:fldCharType="separate"/>
      </w:r>
      <w:r>
        <w:t>15</w:t>
      </w:r>
      <w:r>
        <w:fldChar w:fldCharType="end"/>
      </w:r>
      <w:r>
        <w:rPr>
          <w:smallCaps/>
          <w:szCs w:val="20"/>
        </w:rPr>
        <w:fldChar w:fldCharType="end"/>
      </w:r>
    </w:p>
    <w:p>
      <w:pPr>
        <w:pStyle w:val="16"/>
        <w:tabs>
          <w:tab w:val="right" w:leader="dot" w:pos="8306"/>
          <w:tab w:val="clear" w:pos="8296"/>
        </w:tabs>
      </w:pPr>
      <w:r>
        <w:rPr>
          <w:smallCaps/>
          <w:szCs w:val="20"/>
        </w:rPr>
        <w:fldChar w:fldCharType="begin"/>
      </w:r>
      <w:r>
        <w:rPr>
          <w:smallCaps/>
          <w:szCs w:val="20"/>
        </w:rPr>
        <w:instrText xml:space="preserve"> HYPERLINK \l _Toc14945 </w:instrText>
      </w:r>
      <w:r>
        <w:rPr>
          <w:smallCaps/>
          <w:szCs w:val="20"/>
        </w:rPr>
        <w:fldChar w:fldCharType="separate"/>
      </w:r>
      <w:r>
        <w:rPr>
          <w:rFonts w:hint="eastAsia" w:ascii="黑体" w:eastAsia="黑体" w:cs="Times New Roman"/>
          <w:bCs w:val="0"/>
        </w:rPr>
        <w:t>四、财政拨款收入支出决算总表</w:t>
      </w:r>
      <w:r>
        <w:tab/>
      </w:r>
      <w:r>
        <w:fldChar w:fldCharType="begin"/>
      </w:r>
      <w:r>
        <w:instrText xml:space="preserve"> PAGEREF _Toc14945 \h </w:instrText>
      </w:r>
      <w:r>
        <w:fldChar w:fldCharType="separate"/>
      </w:r>
      <w:r>
        <w:t>15</w:t>
      </w:r>
      <w:r>
        <w:fldChar w:fldCharType="end"/>
      </w:r>
      <w:r>
        <w:rPr>
          <w:smallCaps/>
          <w:szCs w:val="20"/>
        </w:rPr>
        <w:fldChar w:fldCharType="end"/>
      </w:r>
    </w:p>
    <w:p>
      <w:pPr>
        <w:pStyle w:val="16"/>
        <w:tabs>
          <w:tab w:val="right" w:leader="dot" w:pos="8306"/>
          <w:tab w:val="clear" w:pos="8296"/>
        </w:tabs>
      </w:pPr>
      <w:r>
        <w:rPr>
          <w:smallCaps/>
          <w:szCs w:val="20"/>
        </w:rPr>
        <w:fldChar w:fldCharType="begin"/>
      </w:r>
      <w:r>
        <w:rPr>
          <w:smallCaps/>
          <w:szCs w:val="20"/>
        </w:rPr>
        <w:instrText xml:space="preserve"> HYPERLINK \l _Toc11086 </w:instrText>
      </w:r>
      <w:r>
        <w:rPr>
          <w:smallCaps/>
          <w:szCs w:val="20"/>
        </w:rPr>
        <w:fldChar w:fldCharType="separate"/>
      </w:r>
      <w:r>
        <w:rPr>
          <w:rFonts w:hint="eastAsia" w:ascii="黑体" w:eastAsia="黑体" w:cs="Times New Roman"/>
          <w:bCs w:val="0"/>
        </w:rPr>
        <w:t>五、财政拨款支出决算明细表</w:t>
      </w:r>
      <w:r>
        <w:tab/>
      </w:r>
      <w:r>
        <w:fldChar w:fldCharType="begin"/>
      </w:r>
      <w:r>
        <w:instrText xml:space="preserve"> PAGEREF _Toc11086 \h </w:instrText>
      </w:r>
      <w:r>
        <w:fldChar w:fldCharType="separate"/>
      </w:r>
      <w:r>
        <w:t>15</w:t>
      </w:r>
      <w:r>
        <w:fldChar w:fldCharType="end"/>
      </w:r>
      <w:r>
        <w:rPr>
          <w:smallCaps/>
          <w:szCs w:val="20"/>
        </w:rPr>
        <w:fldChar w:fldCharType="end"/>
      </w:r>
    </w:p>
    <w:p>
      <w:pPr>
        <w:pStyle w:val="16"/>
        <w:tabs>
          <w:tab w:val="right" w:leader="dot" w:pos="8306"/>
          <w:tab w:val="clear" w:pos="8296"/>
        </w:tabs>
      </w:pPr>
      <w:r>
        <w:rPr>
          <w:smallCaps/>
          <w:szCs w:val="20"/>
        </w:rPr>
        <w:fldChar w:fldCharType="begin"/>
      </w:r>
      <w:r>
        <w:rPr>
          <w:smallCaps/>
          <w:szCs w:val="20"/>
        </w:rPr>
        <w:instrText xml:space="preserve"> HYPERLINK \l _Toc27180 </w:instrText>
      </w:r>
      <w:r>
        <w:rPr>
          <w:smallCaps/>
          <w:szCs w:val="20"/>
        </w:rPr>
        <w:fldChar w:fldCharType="separate"/>
      </w:r>
      <w:r>
        <w:rPr>
          <w:rFonts w:hint="eastAsia" w:ascii="黑体" w:eastAsia="黑体" w:cs="Times New Roman"/>
          <w:bCs w:val="0"/>
        </w:rPr>
        <w:t>六、一般公共预算财政拨款支出决算表</w:t>
      </w:r>
      <w:r>
        <w:tab/>
      </w:r>
      <w:r>
        <w:fldChar w:fldCharType="begin"/>
      </w:r>
      <w:r>
        <w:instrText xml:space="preserve"> PAGEREF _Toc27180 \h </w:instrText>
      </w:r>
      <w:r>
        <w:fldChar w:fldCharType="separate"/>
      </w:r>
      <w:r>
        <w:t>15</w:t>
      </w:r>
      <w:r>
        <w:fldChar w:fldCharType="end"/>
      </w:r>
      <w:r>
        <w:rPr>
          <w:smallCaps/>
          <w:szCs w:val="20"/>
        </w:rPr>
        <w:fldChar w:fldCharType="end"/>
      </w:r>
    </w:p>
    <w:p>
      <w:pPr>
        <w:pStyle w:val="16"/>
        <w:tabs>
          <w:tab w:val="right" w:leader="dot" w:pos="8306"/>
          <w:tab w:val="clear" w:pos="8296"/>
        </w:tabs>
      </w:pPr>
      <w:r>
        <w:rPr>
          <w:smallCaps/>
          <w:szCs w:val="20"/>
        </w:rPr>
        <w:fldChar w:fldCharType="begin"/>
      </w:r>
      <w:r>
        <w:rPr>
          <w:smallCaps/>
          <w:szCs w:val="20"/>
        </w:rPr>
        <w:instrText xml:space="preserve"> HYPERLINK \l _Toc29007 </w:instrText>
      </w:r>
      <w:r>
        <w:rPr>
          <w:smallCaps/>
          <w:szCs w:val="20"/>
        </w:rPr>
        <w:fldChar w:fldCharType="separate"/>
      </w:r>
      <w:r>
        <w:rPr>
          <w:rFonts w:hint="eastAsia" w:ascii="黑体" w:eastAsia="黑体" w:cs="Times New Roman"/>
          <w:bCs w:val="0"/>
        </w:rPr>
        <w:t>七、一般公共预算财政拨款支出决算明细表</w:t>
      </w:r>
      <w:r>
        <w:tab/>
      </w:r>
      <w:r>
        <w:fldChar w:fldCharType="begin"/>
      </w:r>
      <w:r>
        <w:instrText xml:space="preserve"> PAGEREF _Toc29007 \h </w:instrText>
      </w:r>
      <w:r>
        <w:fldChar w:fldCharType="separate"/>
      </w:r>
      <w:r>
        <w:t>15</w:t>
      </w:r>
      <w:r>
        <w:fldChar w:fldCharType="end"/>
      </w:r>
      <w:r>
        <w:rPr>
          <w:smallCaps/>
          <w:szCs w:val="20"/>
        </w:rPr>
        <w:fldChar w:fldCharType="end"/>
      </w:r>
    </w:p>
    <w:p>
      <w:pPr>
        <w:pStyle w:val="16"/>
        <w:tabs>
          <w:tab w:val="right" w:leader="dot" w:pos="8306"/>
          <w:tab w:val="clear" w:pos="8296"/>
        </w:tabs>
      </w:pPr>
      <w:r>
        <w:rPr>
          <w:smallCaps/>
          <w:szCs w:val="20"/>
        </w:rPr>
        <w:fldChar w:fldCharType="begin"/>
      </w:r>
      <w:r>
        <w:rPr>
          <w:smallCaps/>
          <w:szCs w:val="20"/>
        </w:rPr>
        <w:instrText xml:space="preserve"> HYPERLINK \l _Toc26272 </w:instrText>
      </w:r>
      <w:r>
        <w:rPr>
          <w:smallCaps/>
          <w:szCs w:val="20"/>
        </w:rPr>
        <w:fldChar w:fldCharType="separate"/>
      </w:r>
      <w:r>
        <w:rPr>
          <w:rFonts w:hint="eastAsia" w:ascii="黑体" w:eastAsia="黑体" w:cs="Times New Roman"/>
          <w:bCs w:val="0"/>
        </w:rPr>
        <w:t>八、一般公共预算财政拨款基本支出决算表</w:t>
      </w:r>
      <w:r>
        <w:tab/>
      </w:r>
      <w:r>
        <w:fldChar w:fldCharType="begin"/>
      </w:r>
      <w:r>
        <w:instrText xml:space="preserve"> PAGEREF _Toc26272 \h </w:instrText>
      </w:r>
      <w:r>
        <w:fldChar w:fldCharType="separate"/>
      </w:r>
      <w:r>
        <w:t>15</w:t>
      </w:r>
      <w:r>
        <w:fldChar w:fldCharType="end"/>
      </w:r>
      <w:r>
        <w:rPr>
          <w:smallCaps/>
          <w:szCs w:val="20"/>
        </w:rPr>
        <w:fldChar w:fldCharType="end"/>
      </w:r>
    </w:p>
    <w:p>
      <w:pPr>
        <w:pStyle w:val="16"/>
        <w:tabs>
          <w:tab w:val="right" w:leader="dot" w:pos="8306"/>
          <w:tab w:val="clear" w:pos="8296"/>
        </w:tabs>
      </w:pPr>
      <w:r>
        <w:rPr>
          <w:smallCaps/>
          <w:szCs w:val="20"/>
        </w:rPr>
        <w:fldChar w:fldCharType="begin"/>
      </w:r>
      <w:r>
        <w:rPr>
          <w:smallCaps/>
          <w:szCs w:val="20"/>
        </w:rPr>
        <w:instrText xml:space="preserve"> HYPERLINK \l _Toc9392 </w:instrText>
      </w:r>
      <w:r>
        <w:rPr>
          <w:smallCaps/>
          <w:szCs w:val="20"/>
        </w:rPr>
        <w:fldChar w:fldCharType="separate"/>
      </w:r>
      <w:r>
        <w:rPr>
          <w:rFonts w:hint="eastAsia" w:ascii="黑体" w:eastAsia="黑体" w:cs="Times New Roman"/>
          <w:bCs w:val="0"/>
        </w:rPr>
        <w:t>九、一般公共预算财政拨款项目支出决算表</w:t>
      </w:r>
      <w:r>
        <w:tab/>
      </w:r>
      <w:r>
        <w:fldChar w:fldCharType="begin"/>
      </w:r>
      <w:r>
        <w:instrText xml:space="preserve"> PAGEREF _Toc9392 \h </w:instrText>
      </w:r>
      <w:r>
        <w:fldChar w:fldCharType="separate"/>
      </w:r>
      <w:r>
        <w:t>15</w:t>
      </w:r>
      <w:r>
        <w:fldChar w:fldCharType="end"/>
      </w:r>
      <w:r>
        <w:rPr>
          <w:smallCaps/>
          <w:szCs w:val="20"/>
        </w:rPr>
        <w:fldChar w:fldCharType="end"/>
      </w:r>
    </w:p>
    <w:p>
      <w:pPr>
        <w:pStyle w:val="16"/>
        <w:tabs>
          <w:tab w:val="right" w:leader="dot" w:pos="8306"/>
          <w:tab w:val="clear" w:pos="8296"/>
        </w:tabs>
      </w:pPr>
      <w:r>
        <w:rPr>
          <w:smallCaps/>
          <w:szCs w:val="20"/>
        </w:rPr>
        <w:fldChar w:fldCharType="begin"/>
      </w:r>
      <w:r>
        <w:rPr>
          <w:smallCaps/>
          <w:szCs w:val="20"/>
        </w:rPr>
        <w:instrText xml:space="preserve"> HYPERLINK \l _Toc5609 </w:instrText>
      </w:r>
      <w:r>
        <w:rPr>
          <w:smallCaps/>
          <w:szCs w:val="20"/>
        </w:rPr>
        <w:fldChar w:fldCharType="separate"/>
      </w:r>
      <w:r>
        <w:rPr>
          <w:rFonts w:hint="eastAsia" w:ascii="黑体" w:eastAsia="黑体" w:cs="Times New Roman"/>
          <w:bCs w:val="0"/>
        </w:rPr>
        <w:t>十、政府性基金预算财政拨款收入支出决算表</w:t>
      </w:r>
      <w:r>
        <w:tab/>
      </w:r>
      <w:r>
        <w:fldChar w:fldCharType="begin"/>
      </w:r>
      <w:r>
        <w:instrText xml:space="preserve"> PAGEREF _Toc5609 \h </w:instrText>
      </w:r>
      <w:r>
        <w:fldChar w:fldCharType="separate"/>
      </w:r>
      <w:r>
        <w:t>15</w:t>
      </w:r>
      <w:r>
        <w:fldChar w:fldCharType="end"/>
      </w:r>
      <w:r>
        <w:rPr>
          <w:smallCaps/>
          <w:szCs w:val="20"/>
        </w:rPr>
        <w:fldChar w:fldCharType="end"/>
      </w:r>
    </w:p>
    <w:p>
      <w:pPr>
        <w:pStyle w:val="16"/>
        <w:tabs>
          <w:tab w:val="right" w:leader="dot" w:pos="8306"/>
          <w:tab w:val="clear" w:pos="8296"/>
        </w:tabs>
      </w:pPr>
      <w:r>
        <w:rPr>
          <w:smallCaps/>
          <w:szCs w:val="20"/>
        </w:rPr>
        <w:fldChar w:fldCharType="begin"/>
      </w:r>
      <w:r>
        <w:rPr>
          <w:smallCaps/>
          <w:szCs w:val="20"/>
        </w:rPr>
        <w:instrText xml:space="preserve"> HYPERLINK \l _Toc28596 </w:instrText>
      </w:r>
      <w:r>
        <w:rPr>
          <w:smallCaps/>
          <w:szCs w:val="20"/>
        </w:rPr>
        <w:fldChar w:fldCharType="separate"/>
      </w:r>
      <w:r>
        <w:rPr>
          <w:rFonts w:hint="eastAsia" w:ascii="黑体" w:eastAsia="黑体" w:cs="Times New Roman"/>
          <w:bCs w:val="0"/>
        </w:rPr>
        <w:t>十一、国有资本经营预算财政拨款收入支出决算表</w:t>
      </w:r>
      <w:r>
        <w:tab/>
      </w:r>
      <w:r>
        <w:fldChar w:fldCharType="begin"/>
      </w:r>
      <w:r>
        <w:instrText xml:space="preserve"> PAGEREF _Toc28596 \h </w:instrText>
      </w:r>
      <w:r>
        <w:fldChar w:fldCharType="separate"/>
      </w:r>
      <w:r>
        <w:t>15</w:t>
      </w:r>
      <w:r>
        <w:fldChar w:fldCharType="end"/>
      </w:r>
      <w:r>
        <w:rPr>
          <w:smallCaps/>
          <w:szCs w:val="20"/>
        </w:rPr>
        <w:fldChar w:fldCharType="end"/>
      </w:r>
    </w:p>
    <w:p>
      <w:pPr>
        <w:pStyle w:val="16"/>
        <w:tabs>
          <w:tab w:val="right" w:leader="dot" w:pos="8306"/>
          <w:tab w:val="clear" w:pos="8296"/>
        </w:tabs>
      </w:pPr>
      <w:r>
        <w:rPr>
          <w:smallCaps/>
          <w:szCs w:val="20"/>
        </w:rPr>
        <w:fldChar w:fldCharType="begin"/>
      </w:r>
      <w:r>
        <w:rPr>
          <w:smallCaps/>
          <w:szCs w:val="20"/>
        </w:rPr>
        <w:instrText xml:space="preserve"> HYPERLINK \l _Toc2782 </w:instrText>
      </w:r>
      <w:r>
        <w:rPr>
          <w:smallCaps/>
          <w:szCs w:val="20"/>
        </w:rPr>
        <w:fldChar w:fldCharType="separate"/>
      </w:r>
      <w:r>
        <w:rPr>
          <w:rFonts w:hint="eastAsia" w:ascii="黑体" w:eastAsia="黑体" w:cs="Times New Roman"/>
          <w:bCs w:val="0"/>
        </w:rPr>
        <w:t>十二、国有资本经营预算财政拨款支出决算表</w:t>
      </w:r>
      <w:r>
        <w:tab/>
      </w:r>
      <w:r>
        <w:fldChar w:fldCharType="begin"/>
      </w:r>
      <w:r>
        <w:instrText xml:space="preserve"> PAGEREF _Toc2782 \h </w:instrText>
      </w:r>
      <w:r>
        <w:fldChar w:fldCharType="separate"/>
      </w:r>
      <w:r>
        <w:t>15</w:t>
      </w:r>
      <w:r>
        <w:fldChar w:fldCharType="end"/>
      </w:r>
      <w:r>
        <w:rPr>
          <w:smallCaps/>
          <w:szCs w:val="20"/>
        </w:rPr>
        <w:fldChar w:fldCharType="end"/>
      </w:r>
    </w:p>
    <w:p>
      <w:pPr>
        <w:pStyle w:val="16"/>
        <w:tabs>
          <w:tab w:val="right" w:leader="dot" w:pos="8306"/>
          <w:tab w:val="clear" w:pos="8296"/>
        </w:tabs>
      </w:pPr>
      <w:r>
        <w:rPr>
          <w:smallCaps/>
          <w:szCs w:val="20"/>
        </w:rPr>
        <w:fldChar w:fldCharType="begin"/>
      </w:r>
      <w:r>
        <w:rPr>
          <w:smallCaps/>
          <w:szCs w:val="20"/>
        </w:rPr>
        <w:instrText xml:space="preserve"> HYPERLINK \l _Toc27892 </w:instrText>
      </w:r>
      <w:r>
        <w:rPr>
          <w:smallCaps/>
          <w:szCs w:val="20"/>
        </w:rPr>
        <w:fldChar w:fldCharType="separate"/>
      </w:r>
      <w:r>
        <w:rPr>
          <w:rFonts w:hint="eastAsia" w:ascii="黑体" w:eastAsia="黑体" w:cs="Times New Roman"/>
          <w:bCs w:val="0"/>
        </w:rPr>
        <w:t>十三、财政拨款“三公”经费支出决算表</w:t>
      </w:r>
      <w:r>
        <w:tab/>
      </w:r>
      <w:r>
        <w:fldChar w:fldCharType="begin"/>
      </w:r>
      <w:r>
        <w:instrText xml:space="preserve"> PAGEREF _Toc27892 \h </w:instrText>
      </w:r>
      <w:r>
        <w:fldChar w:fldCharType="separate"/>
      </w:r>
      <w:r>
        <w:t>15</w:t>
      </w:r>
      <w:r>
        <w:fldChar w:fldCharType="end"/>
      </w:r>
      <w:r>
        <w:rPr>
          <w:smallCaps/>
          <w:szCs w:val="20"/>
        </w:rPr>
        <w:fldChar w:fldCharType="end"/>
      </w:r>
    </w:p>
    <w:p>
      <w:pPr>
        <w:pStyle w:val="6"/>
      </w:pPr>
      <w:r>
        <w:rPr>
          <w:smallCaps/>
          <w:szCs w:val="20"/>
        </w:rPr>
        <w:fldChar w:fldCharType="end"/>
      </w:r>
    </w:p>
    <w:p>
      <w:pPr>
        <w:pStyle w:val="3"/>
        <w:jc w:val="center"/>
        <w:rPr>
          <w:rFonts w:ascii="黑体" w:hAnsi="黑体" w:eastAsia="黑体" w:cs="黑体"/>
          <w:b w:val="0"/>
          <w:bCs w:val="0"/>
        </w:rPr>
      </w:pPr>
      <w:bookmarkStart w:id="13" w:name="_Toc3368"/>
      <w:bookmarkStart w:id="14" w:name="_Toc111208495"/>
      <w:r>
        <w:rPr>
          <w:rFonts w:hint="eastAsia" w:ascii="黑体" w:hAnsi="黑体" w:eastAsia="黑体" w:cs="黑体"/>
        </w:rPr>
        <w:t xml:space="preserve">第一部分 </w:t>
      </w:r>
      <w:r>
        <w:rPr>
          <w:rStyle w:val="32"/>
          <w:rFonts w:hint="eastAsia" w:ascii="黑体" w:hAnsi="黑体" w:eastAsia="黑体" w:cs="黑体"/>
          <w:b/>
          <w:bCs w:val="0"/>
        </w:rPr>
        <w:t>单位</w:t>
      </w:r>
      <w:r>
        <w:rPr>
          <w:rStyle w:val="32"/>
          <w:rFonts w:ascii="黑体" w:hAnsi="黑体" w:eastAsia="黑体" w:cs="黑体"/>
          <w:b/>
          <w:bCs w:val="0"/>
          <w:u w:color="auto"/>
        </w:rPr>
        <w:t>概况</w:t>
      </w:r>
      <w:bookmarkEnd w:id="12"/>
      <w:bookmarkEnd w:id="13"/>
      <w:bookmarkEnd w:id="14"/>
    </w:p>
    <w:p>
      <w:pPr>
        <w:pStyle w:val="4"/>
        <w:ind w:firstLine="643" w:firstLineChars="200"/>
        <w:rPr>
          <w:rFonts w:ascii="黑体" w:eastAsia="黑体" w:cs="Times New Roman"/>
          <w:bCs w:val="0"/>
          <w:color w:val="000000"/>
        </w:rPr>
      </w:pPr>
      <w:bookmarkStart w:id="15" w:name="_Toc111208496"/>
      <w:bookmarkStart w:id="16" w:name="_Toc15377197"/>
      <w:bookmarkStart w:id="17" w:name="_Toc4126"/>
      <w:r>
        <w:rPr>
          <w:rFonts w:hint="eastAsia" w:ascii="黑体" w:eastAsia="黑体" w:cs="Times New Roman"/>
          <w:bCs w:val="0"/>
          <w:color w:val="000000"/>
        </w:rPr>
        <w:t>一、</w:t>
      </w:r>
      <w:bookmarkEnd w:id="15"/>
      <w:bookmarkEnd w:id="16"/>
      <w:bookmarkStart w:id="18" w:name="_Toc15377198"/>
      <w:bookmarkStart w:id="19" w:name="_Toc15378445"/>
      <w:r>
        <w:rPr>
          <w:rFonts w:hint="eastAsia" w:ascii="黑体" w:eastAsia="黑体" w:cs="Times New Roman"/>
          <w:bCs w:val="0"/>
          <w:color w:val="000000"/>
        </w:rPr>
        <w:t>主要职责</w:t>
      </w:r>
      <w:bookmarkEnd w:id="17"/>
    </w:p>
    <w:bookmarkEnd w:id="18"/>
    <w:bookmarkEnd w:id="19"/>
    <w:p>
      <w:pPr>
        <w:ind w:firstLine="640" w:firstLineChars="200"/>
        <w:rPr>
          <w:rFonts w:hint="eastAsia" w:ascii="仿宋" w:hAnsi="仿宋" w:eastAsia="仿宋" w:cs="Times New Roman"/>
          <w:color w:val="000000"/>
          <w:sz w:val="32"/>
          <w:szCs w:val="32"/>
          <w:lang w:eastAsia="zh-CN"/>
        </w:rPr>
      </w:pPr>
      <w:r>
        <w:rPr>
          <w:rFonts w:ascii="仿宋" w:hAnsi="仿宋" w:eastAsia="仿宋"/>
          <w:color w:val="000000"/>
          <w:sz w:val="32"/>
          <w:szCs w:val="32"/>
        </w:rPr>
        <w:t>红原县藏医院是一所集医疗、预防、保健、康复、制药、教学、研究为一体的综合性“公立医院”，也是医保和新农合的定点医院。</w:t>
      </w:r>
      <w:r>
        <w:rPr>
          <w:rFonts w:hint="eastAsia" w:ascii="仿宋" w:hAnsi="仿宋" w:eastAsia="仿宋" w:cs="Times New Roman"/>
          <w:color w:val="000000"/>
          <w:sz w:val="32"/>
          <w:szCs w:val="32"/>
        </w:rPr>
        <w:t>为人民群众提供中</w:t>
      </w:r>
      <w:r>
        <w:rPr>
          <w:rFonts w:hint="eastAsia" w:ascii="仿宋" w:hAnsi="仿宋" w:eastAsia="仿宋" w:cs="Times New Roman"/>
          <w:color w:val="000000"/>
          <w:sz w:val="32"/>
          <w:szCs w:val="32"/>
          <w:lang w:eastAsia="zh-CN"/>
        </w:rPr>
        <w:t>藏</w:t>
      </w:r>
      <w:r>
        <w:rPr>
          <w:rFonts w:hint="eastAsia" w:ascii="仿宋" w:hAnsi="仿宋" w:eastAsia="仿宋" w:cs="Times New Roman"/>
          <w:color w:val="000000"/>
          <w:sz w:val="32"/>
          <w:szCs w:val="32"/>
        </w:rPr>
        <w:t>医医疗、预防、保健、计划生育、康复等医疗卫生服务。贯彻落实医药卫生体制改革、中</w:t>
      </w:r>
      <w:r>
        <w:rPr>
          <w:rFonts w:hint="eastAsia" w:ascii="仿宋" w:hAnsi="仿宋" w:eastAsia="仿宋" w:cs="Times New Roman"/>
          <w:color w:val="000000"/>
          <w:sz w:val="32"/>
          <w:szCs w:val="32"/>
          <w:lang w:eastAsia="zh-CN"/>
        </w:rPr>
        <w:t>藏</w:t>
      </w:r>
      <w:r>
        <w:rPr>
          <w:rFonts w:hint="eastAsia" w:ascii="仿宋" w:hAnsi="仿宋" w:eastAsia="仿宋" w:cs="Times New Roman"/>
          <w:color w:val="000000"/>
          <w:sz w:val="32"/>
          <w:szCs w:val="32"/>
        </w:rPr>
        <w:t>医并重方针和国家中医药法律法规，执行中医药政策；拟定实施中医药、民族医药和中西医结合发展战略、规划；指导全县各医疗机构发展中医药和中西医结合业务建设。确保全县人民中</w:t>
      </w:r>
      <w:r>
        <w:rPr>
          <w:rFonts w:hint="eastAsia" w:ascii="仿宋" w:hAnsi="仿宋" w:eastAsia="仿宋" w:cs="Times New Roman"/>
          <w:color w:val="000000"/>
          <w:sz w:val="32"/>
          <w:szCs w:val="32"/>
          <w:lang w:eastAsia="zh-CN"/>
        </w:rPr>
        <w:t>藏</w:t>
      </w:r>
      <w:r>
        <w:rPr>
          <w:rFonts w:hint="eastAsia" w:ascii="仿宋" w:hAnsi="仿宋" w:eastAsia="仿宋" w:cs="Times New Roman"/>
          <w:color w:val="000000"/>
          <w:sz w:val="32"/>
          <w:szCs w:val="32"/>
        </w:rPr>
        <w:t>医疗健康需求，建立与地方经济发展相适应的中西医结合医疗环境。加强中医医院标准化管理</w:t>
      </w:r>
      <w:r>
        <w:rPr>
          <w:rFonts w:hint="eastAsia" w:ascii="仿宋" w:hAnsi="仿宋" w:eastAsia="仿宋" w:cs="Times New Roman"/>
          <w:color w:val="000000"/>
          <w:sz w:val="32"/>
          <w:szCs w:val="32"/>
          <w:lang w:eastAsia="zh-CN"/>
        </w:rPr>
        <w:t>。</w:t>
      </w:r>
      <w:r>
        <w:rPr>
          <w:rFonts w:hint="eastAsia" w:ascii="仿宋" w:hAnsi="仿宋" w:eastAsia="仿宋" w:cs="Times New Roman"/>
          <w:color w:val="000000"/>
          <w:sz w:val="32"/>
          <w:szCs w:val="32"/>
        </w:rPr>
        <w:t>贯彻落实国家基本药物制度和药品集中采购工作，执行医用耗材集中采购工作；负责医院内部的药品和医疗器械管理工作。承担意外灾害事故、疫情等突发公共卫生事件的医疗急救及社区预防、保健和康复医疗服务工作，开展各种医疗保健卫生知识宣传普及。充分发挥中医药在国家基本公共卫生服务中的优势和作用，负责全县基本公共卫生服务中医药健康管理项目的实施和日常管理</w:t>
      </w:r>
      <w:r>
        <w:rPr>
          <w:rFonts w:hint="eastAsia" w:ascii="仿宋" w:hAnsi="仿宋" w:eastAsia="仿宋" w:cs="Times New Roman"/>
          <w:color w:val="000000"/>
          <w:sz w:val="32"/>
          <w:szCs w:val="32"/>
          <w:lang w:eastAsia="zh-CN"/>
        </w:rPr>
        <w:t>。</w:t>
      </w:r>
      <w:r>
        <w:rPr>
          <w:rFonts w:hint="eastAsia" w:ascii="仿宋" w:hAnsi="仿宋" w:eastAsia="仿宋" w:cs="Times New Roman"/>
          <w:color w:val="000000"/>
          <w:sz w:val="32"/>
          <w:szCs w:val="32"/>
        </w:rPr>
        <w:t>做好城镇职工基本医疗保险、城镇居民基本医疗保险和新型农村合作医疗保险等定点医疗机构的各项工作。参与卫生扶贫、重要会议与重大活动的医疗卫生保障工作</w:t>
      </w:r>
      <w:r>
        <w:rPr>
          <w:rFonts w:hint="eastAsia" w:ascii="仿宋" w:hAnsi="仿宋" w:eastAsia="仿宋" w:cs="Times New Roman"/>
          <w:color w:val="000000"/>
          <w:sz w:val="32"/>
          <w:szCs w:val="32"/>
          <w:lang w:eastAsia="zh-CN"/>
        </w:rPr>
        <w:t>。</w:t>
      </w:r>
      <w:r>
        <w:rPr>
          <w:rFonts w:hint="eastAsia" w:ascii="仿宋" w:hAnsi="仿宋" w:eastAsia="仿宋" w:cs="Times New Roman"/>
          <w:color w:val="000000"/>
          <w:sz w:val="32"/>
          <w:szCs w:val="32"/>
        </w:rPr>
        <w:t>承担县委政府及县卫生局交办的其他卫生工作。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ascii="仿宋" w:hAnsi="仿宋" w:eastAsia="仿宋"/>
          <w:color w:val="000000"/>
          <w:sz w:val="32"/>
          <w:szCs w:val="32"/>
        </w:rPr>
      </w:pPr>
      <w:r>
        <w:rPr>
          <w:rFonts w:ascii="仿宋" w:hAnsi="仿宋" w:eastAsia="仿宋"/>
          <w:color w:val="000000"/>
          <w:sz w:val="32"/>
          <w:szCs w:val="32"/>
        </w:rPr>
        <w:t>其主要职责：贯彻落实医药卫生体制改革、中藏医并重方针和国家中医药法律法规，执行中医药政策；拟定实施中医药、民族医药和中西医结合发展战略、规划；指导全县各医疗机构发展中医药和中西医结合业务建设。确保全县人民中藏医疗健康需求，建立与地方经济发展相适应的中西医结合医疗环境。加强中医医院标准化管理。贯彻落实国家基本药物制度和药品集中采购工作，执行医用耗材集中采购工作；负责医院内部的药品和医疗器械管理工作。承担意外灾害事故、疫情等突发公共卫生工作。</w:t>
      </w:r>
      <w:r>
        <w:rPr>
          <w:rFonts w:ascii="仿宋" w:hAnsi="仿宋" w:eastAsia="仿宋"/>
          <w:color w:val="000000"/>
          <w:sz w:val="32"/>
          <w:szCs w:val="32"/>
        </w:rPr>
        <w:cr/>
      </w:r>
      <w:r>
        <w:rPr>
          <w:rFonts w:ascii="仿宋" w:hAnsi="仿宋" w:eastAsia="仿宋"/>
          <w:color w:val="000000"/>
          <w:sz w:val="32"/>
          <w:szCs w:val="32"/>
        </w:rPr>
        <w:cr/>
      </w:r>
      <w:bookmarkStart w:id="20" w:name="_Toc15377200"/>
    </w:p>
    <w:p>
      <w:pPr>
        <w:pStyle w:val="4"/>
        <w:ind w:firstLine="643" w:firstLineChars="200"/>
        <w:rPr>
          <w:rFonts w:ascii="黑体" w:eastAsia="黑体" w:cs="Times New Roman"/>
          <w:bCs w:val="0"/>
          <w:color w:val="000000"/>
        </w:rPr>
      </w:pPr>
      <w:bookmarkStart w:id="21" w:name="_Toc111208497"/>
      <w:bookmarkStart w:id="22" w:name="_Toc5389"/>
      <w:r>
        <w:rPr>
          <w:rFonts w:hint="eastAsia" w:ascii="黑体" w:eastAsia="黑体" w:cs="Times New Roman"/>
          <w:bCs w:val="0"/>
          <w:color w:val="000000"/>
        </w:rPr>
        <w:t>二、机构设置</w:t>
      </w:r>
      <w:bookmarkEnd w:id="20"/>
      <w:bookmarkEnd w:id="21"/>
      <w:bookmarkEnd w:id="22"/>
    </w:p>
    <w:p>
      <w:pPr>
        <w:ind w:firstLine="640" w:firstLineChars="200"/>
        <w:rPr>
          <w:rFonts w:ascii="仿宋" w:hAnsi="仿宋" w:eastAsia="仿宋"/>
          <w:color w:val="000000"/>
          <w:sz w:val="32"/>
          <w:szCs w:val="32"/>
        </w:rPr>
      </w:pPr>
      <w:r>
        <w:rPr>
          <w:rFonts w:ascii="仿宋" w:hAnsi="仿宋" w:eastAsia="仿宋"/>
          <w:color w:val="000000"/>
          <w:sz w:val="32"/>
          <w:szCs w:val="32"/>
        </w:rPr>
        <w:t xml:space="preserve">我院属二级预算单位1个，其中内设机构4个。红原县藏医院于2003年正式成立，于2015年省级达标为“二级乙等”中医医院，门诊部设内科、外治科、妇科、等9个门诊科室，住院部设内一科、内二科、康复理疗科等病区为人民群众提供中藏医医疗、预防、保健、计划生育、康复等医疗卫生服务。本单位本年度纳入本套决算编制范围的独立编制机构数共1个，比上年增加0个，独立核算机构数共1个，比上年增加0个。本单位本年度年末实有人数为39人，比上年增加-3人；变动情况及原因为：退休2人，调县外1人。 </w:t>
      </w:r>
      <w:r>
        <w:rPr>
          <w:rFonts w:ascii="仿宋" w:hAnsi="仿宋" w:eastAsia="仿宋"/>
          <w:color w:val="000000"/>
          <w:sz w:val="32"/>
          <w:szCs w:val="32"/>
        </w:rPr>
        <w:cr/>
      </w:r>
      <w:r>
        <w:rPr>
          <w:rFonts w:ascii="仿宋" w:hAnsi="仿宋" w:eastAsia="仿宋"/>
          <w:color w:val="000000"/>
          <w:sz w:val="32"/>
          <w:szCs w:val="32"/>
        </w:rPr>
        <w:cr/>
      </w:r>
    </w:p>
    <w:p>
      <w:pPr>
        <w:widowControl/>
        <w:jc w:val="left"/>
        <w:rPr>
          <w:rFonts w:ascii="仿宋_GB2312" w:hAnsi="黑体" w:eastAsia="仿宋_GB2312"/>
          <w:b/>
          <w:bCs/>
          <w:color w:val="000000"/>
          <w:kern w:val="44"/>
          <w:sz w:val="44"/>
          <w:szCs w:val="44"/>
        </w:rPr>
      </w:pPr>
      <w:bookmarkStart w:id="23" w:name="_Toc15377204"/>
      <w:r>
        <w:rPr>
          <w:rFonts w:ascii="仿宋_GB2312" w:hAnsi="黑体" w:eastAsia="仿宋_GB2312"/>
          <w:color w:val="000000"/>
        </w:rPr>
        <w:br w:type="page"/>
      </w:r>
    </w:p>
    <w:p>
      <w:pPr>
        <w:pStyle w:val="3"/>
        <w:jc w:val="center"/>
        <w:rPr>
          <w:rFonts w:ascii="黑体" w:hAnsi="黑体" w:eastAsia="黑体" w:cs="黑体"/>
        </w:rPr>
      </w:pPr>
      <w:bookmarkStart w:id="24" w:name="_Toc4730"/>
      <w:bookmarkStart w:id="25" w:name="_Toc111208498"/>
      <w:r>
        <w:rPr>
          <w:rFonts w:hint="eastAsia" w:ascii="黑体" w:hAnsi="黑体" w:eastAsia="黑体" w:cs="黑体"/>
        </w:rPr>
        <w:t>第二部分</w:t>
      </w:r>
      <w:r>
        <w:rPr>
          <w:rFonts w:ascii="黑体" w:hAnsi="黑体" w:eastAsia="黑体" w:cs="黑体"/>
        </w:rPr>
        <w:t xml:space="preserve"> </w:t>
      </w:r>
      <w:r>
        <w:rPr>
          <w:rFonts w:hint="eastAsia" w:ascii="黑体" w:hAnsi="黑体" w:eastAsia="黑体" w:cs="黑体"/>
        </w:rPr>
        <w:t>2022</w:t>
      </w:r>
      <w:r>
        <w:rPr>
          <w:rFonts w:ascii="黑体" w:hAnsi="黑体" w:eastAsia="黑体" w:cs="黑体"/>
          <w:u w:color="auto"/>
        </w:rPr>
        <w:t>年度</w:t>
      </w:r>
      <w:r>
        <w:rPr>
          <w:rFonts w:hint="eastAsia" w:ascii="黑体" w:hAnsi="黑体" w:eastAsia="黑体" w:cs="黑体"/>
          <w:lang w:val="en-US" w:eastAsia="zh-CN"/>
        </w:rPr>
        <w:t>单位</w:t>
      </w:r>
      <w:r>
        <w:rPr>
          <w:rFonts w:hint="eastAsia" w:ascii="黑体" w:hAnsi="黑体" w:eastAsia="黑体" w:cs="黑体"/>
        </w:rPr>
        <w:t>决算情况说明</w:t>
      </w:r>
      <w:bookmarkEnd w:id="23"/>
      <w:bookmarkEnd w:id="24"/>
      <w:bookmarkEnd w:id="25"/>
    </w:p>
    <w:p>
      <w:pPr>
        <w:pStyle w:val="4"/>
        <w:ind w:firstLine="643" w:firstLineChars="200"/>
        <w:rPr>
          <w:rFonts w:ascii="黑体" w:eastAsia="黑体" w:cs="Times New Roman"/>
          <w:bCs w:val="0"/>
          <w:color w:val="000000"/>
        </w:rPr>
      </w:pPr>
      <w:bookmarkStart w:id="26" w:name="_Toc15377205"/>
      <w:bookmarkStart w:id="27" w:name="_Toc5235"/>
      <w:bookmarkStart w:id="28" w:name="_Toc111208499"/>
      <w:r>
        <w:rPr>
          <w:rFonts w:hint="eastAsia" w:ascii="黑体" w:eastAsia="黑体" w:cs="Times New Roman"/>
          <w:bCs w:val="0"/>
          <w:color w:val="000000"/>
        </w:rPr>
        <w:t>一、收入支出决算总体情况说</w:t>
      </w:r>
      <w:bookmarkEnd w:id="26"/>
      <w:r>
        <w:rPr>
          <w:rFonts w:hint="eastAsia" w:ascii="黑体" w:eastAsia="黑体" w:cs="Times New Roman"/>
          <w:bCs w:val="0"/>
          <w:color w:val="000000"/>
        </w:rPr>
        <w:t>明</w:t>
      </w:r>
      <w:bookmarkEnd w:id="27"/>
      <w:bookmarkEnd w:id="28"/>
    </w:p>
    <w:p>
      <w:pPr>
        <w:spacing w:line="600" w:lineRule="exact"/>
        <w:ind w:firstLine="640" w:firstLineChars="200"/>
        <w:rPr>
          <w:rFonts w:ascii="仿宋_GB2312" w:eastAsia="仿宋_GB2312"/>
          <w:color w:val="000000"/>
          <w:sz w:val="28"/>
          <w:szCs w:val="28"/>
        </w:rPr>
      </w:pPr>
      <w:r>
        <w:rPr>
          <w:rFonts w:ascii="仿宋" w:hAnsi="仿宋" w:eastAsia="仿宋"/>
          <w:color w:val="000000"/>
          <w:sz w:val="32"/>
          <w:szCs w:val="32"/>
        </w:rPr>
        <w:t>2022</w:t>
      </w:r>
      <w:r>
        <w:rPr>
          <w:rFonts w:hint="eastAsia" w:ascii="仿宋" w:hAnsi="仿宋" w:eastAsia="仿宋"/>
          <w:color w:val="000000"/>
          <w:sz w:val="32"/>
          <w:szCs w:val="32"/>
        </w:rPr>
        <w:t>年度收、支总计</w:t>
      </w:r>
      <w:r>
        <w:rPr>
          <w:rFonts w:ascii="仿宋" w:hAnsi="仿宋" w:eastAsia="仿宋"/>
          <w:color w:val="000000"/>
          <w:sz w:val="32"/>
          <w:szCs w:val="32"/>
        </w:rPr>
        <w:t>1793.92</w:t>
      </w:r>
      <w:r>
        <w:rPr>
          <w:rFonts w:hint="eastAsia" w:ascii="仿宋" w:hAnsi="仿宋" w:eastAsia="仿宋"/>
          <w:color w:val="000000"/>
          <w:sz w:val="32"/>
          <w:szCs w:val="32"/>
        </w:rPr>
        <w:t>万元。与</w:t>
      </w:r>
      <w:r>
        <w:rPr>
          <w:rFonts w:ascii="仿宋" w:hAnsi="仿宋" w:eastAsia="仿宋"/>
          <w:color w:val="000000"/>
          <w:sz w:val="32"/>
          <w:szCs w:val="32"/>
        </w:rPr>
        <w:t>2021</w:t>
      </w:r>
      <w:r>
        <w:rPr>
          <w:rFonts w:hint="eastAsia" w:ascii="仿宋" w:hAnsi="仿宋" w:eastAsia="仿宋"/>
          <w:color w:val="000000"/>
          <w:sz w:val="32"/>
          <w:szCs w:val="32"/>
        </w:rPr>
        <w:t>年相比，收、支总计各</w:t>
      </w:r>
      <w:r>
        <w:rPr>
          <w:rFonts w:ascii="仿宋" w:hAnsi="仿宋" w:eastAsia="仿宋"/>
          <w:color w:val="000000"/>
          <w:sz w:val="32"/>
          <w:szCs w:val="32"/>
        </w:rPr>
        <w:t>减少1262.10</w:t>
      </w:r>
      <w:r>
        <w:rPr>
          <w:rFonts w:hint="eastAsia" w:ascii="仿宋" w:hAnsi="仿宋" w:eastAsia="仿宋"/>
          <w:color w:val="000000"/>
          <w:sz w:val="32"/>
          <w:szCs w:val="32"/>
        </w:rPr>
        <w:t>万元，</w:t>
      </w:r>
      <w:r>
        <w:rPr>
          <w:rFonts w:ascii="仿宋" w:hAnsi="仿宋" w:eastAsia="仿宋"/>
          <w:color w:val="000000"/>
          <w:sz w:val="32"/>
          <w:szCs w:val="32"/>
        </w:rPr>
        <w:t>减少41.30</w:t>
      </w:r>
      <w:r>
        <w:rPr>
          <w:rFonts w:hint="eastAsia" w:ascii="仿宋" w:hAnsi="仿宋" w:eastAsia="仿宋"/>
          <w:color w:val="000000"/>
          <w:sz w:val="32"/>
          <w:szCs w:val="32"/>
        </w:rPr>
        <w:t xml:space="preserve"> %。</w:t>
      </w:r>
      <w:r>
        <w:rPr>
          <w:rFonts w:ascii="仿宋" w:hAnsi="仿宋" w:eastAsia="仿宋"/>
          <w:color w:val="000000"/>
          <w:sz w:val="32"/>
          <w:u w:color="auto"/>
        </w:rPr>
        <w:t>主要变动原因是单位资金未纳入预算管理</w:t>
      </w:r>
    </w:p>
    <w:p>
      <w:pPr>
        <w:pStyle w:val="6"/>
      </w:pPr>
      <w:r>
        <w:drawing>
          <wp:inline distT="0" distB="0" distL="114300" distR="114300">
            <wp:extent cx="5343525" cy="2933700"/>
            <wp:effectExtent l="0" t="0" r="9525" b="0"/>
            <wp:docPr id="10"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spacing w:line="600" w:lineRule="exact"/>
        <w:ind w:firstLine="640" w:firstLineChars="200"/>
        <w:jc w:val="center"/>
      </w:pPr>
      <w:r>
        <w:rPr>
          <w:rFonts w:hint="eastAsia" w:ascii="仿宋" w:hAnsi="仿宋" w:eastAsia="仿宋"/>
          <w:color w:val="000000"/>
          <w:sz w:val="32"/>
          <w:szCs w:val="32"/>
        </w:rPr>
        <w:t>（图1：收、支决算总计变动情况图）</w:t>
      </w:r>
    </w:p>
    <w:p>
      <w:pPr>
        <w:pStyle w:val="4"/>
        <w:ind w:firstLine="643" w:firstLineChars="200"/>
        <w:rPr>
          <w:rFonts w:ascii="黑体" w:eastAsia="黑体" w:cs="Times New Roman"/>
          <w:bCs w:val="0"/>
          <w:color w:val="000000"/>
        </w:rPr>
      </w:pPr>
      <w:bookmarkStart w:id="29" w:name="_Toc762"/>
      <w:bookmarkStart w:id="30" w:name="_Toc111208500"/>
      <w:bookmarkStart w:id="31" w:name="_Toc15377206"/>
      <w:r>
        <w:rPr>
          <w:rFonts w:hint="eastAsia" w:ascii="黑体" w:eastAsia="黑体" w:cs="Times New Roman"/>
          <w:bCs w:val="0"/>
          <w:color w:val="000000"/>
        </w:rPr>
        <w:t>二、收入决算情况说明</w:t>
      </w:r>
      <w:bookmarkEnd w:id="29"/>
      <w:bookmarkEnd w:id="30"/>
      <w:bookmarkEnd w:id="31"/>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2022</w:t>
      </w:r>
      <w:r>
        <w:rPr>
          <w:rFonts w:ascii="仿宋" w:hAnsi="仿宋" w:eastAsia="仿宋"/>
          <w:color w:val="000000"/>
          <w:sz w:val="32"/>
          <w:u w:color="auto"/>
        </w:rPr>
        <w:t>年本年收入合计1412.47万元</w:t>
      </w:r>
      <w:r>
        <w:rPr>
          <w:rFonts w:hint="eastAsia" w:ascii="仿宋" w:hAnsi="仿宋" w:eastAsia="仿宋"/>
          <w:color w:val="000000"/>
          <w:sz w:val="32"/>
          <w:szCs w:val="32"/>
          <w:lang w:val="en-US" w:eastAsia="zh-CN"/>
        </w:rPr>
        <w:t>，其中:一般公共预算财政拨款收入1412.47万元，占100.00%</w:t>
      </w:r>
      <w:r>
        <w:rPr>
          <w:rFonts w:hint="eastAsia" w:ascii="仿宋" w:hAnsi="仿宋" w:eastAsia="仿宋"/>
          <w:color w:val="000000"/>
          <w:sz w:val="32"/>
          <w:szCs w:val="32"/>
        </w:rPr>
        <w:t>。</w:t>
      </w:r>
    </w:p>
    <w:p>
      <w:pPr>
        <w:pStyle w:val="15"/>
        <w:ind w:left="1060" w:hanging="640"/>
        <w:jc w:val="center"/>
        <w:rPr>
          <w:rFonts w:hint="eastAsia" w:ascii="仿宋_GB2312" w:eastAsia="仿宋_GB2312"/>
          <w:color w:val="FF0000"/>
          <w:sz w:val="32"/>
          <w:szCs w:val="32"/>
        </w:rPr>
      </w:pPr>
      <w:r>
        <w:rPr>
          <w:rFonts w:hint="eastAsia" w:ascii="仿宋_GB2312" w:eastAsia="仿宋_GB2312"/>
          <w:color w:val="FF0000"/>
          <w:sz w:val="32"/>
          <w:szCs w:val="32"/>
        </w:rPr>
        <w:drawing>
          <wp:inline distT="0" distB="0" distL="114300" distR="114300">
            <wp:extent cx="5332730" cy="3400425"/>
            <wp:effectExtent l="0" t="0" r="1270" b="952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spacing w:line="600" w:lineRule="exact"/>
        <w:ind w:firstLine="640" w:firstLineChars="200"/>
        <w:jc w:val="center"/>
      </w:pPr>
      <w:r>
        <w:rPr>
          <w:rFonts w:hint="eastAsia" w:ascii="仿宋" w:hAnsi="仿宋" w:eastAsia="仿宋"/>
          <w:color w:val="000000"/>
          <w:sz w:val="32"/>
          <w:szCs w:val="32"/>
        </w:rPr>
        <w:t>（图2：收入决算结构图）</w:t>
      </w:r>
    </w:p>
    <w:p>
      <w:pPr>
        <w:pStyle w:val="4"/>
        <w:ind w:firstLine="643" w:firstLineChars="200"/>
        <w:rPr>
          <w:rFonts w:ascii="黑体" w:eastAsia="黑体" w:cs="Times New Roman"/>
          <w:bCs w:val="0"/>
          <w:color w:val="000000"/>
        </w:rPr>
      </w:pPr>
      <w:bookmarkStart w:id="32" w:name="_Toc28797"/>
      <w:bookmarkStart w:id="33" w:name="_Toc111208501"/>
      <w:bookmarkStart w:id="34" w:name="_Toc15377207"/>
      <w:r>
        <w:rPr>
          <w:rFonts w:hint="eastAsia" w:ascii="黑体" w:eastAsia="黑体" w:cs="Times New Roman"/>
          <w:bCs w:val="0"/>
          <w:color w:val="000000"/>
        </w:rPr>
        <w:t>三、支出决算情况说明</w:t>
      </w:r>
      <w:bookmarkEnd w:id="32"/>
      <w:bookmarkEnd w:id="33"/>
      <w:bookmarkEnd w:id="34"/>
    </w:p>
    <w:p>
      <w:pPr>
        <w:pStyle w:val="6"/>
        <w:rPr>
          <w:rFonts w:ascii="仿宋" w:hAnsi="仿宋" w:eastAsia="仿宋"/>
          <w:color w:val="000000"/>
          <w:sz w:val="32"/>
          <w:szCs w:val="32"/>
        </w:rPr>
      </w:pPr>
      <w:r>
        <w:rPr>
          <w:rFonts w:hint="eastAsia" w:ascii="仿宋" w:hAnsi="仿宋" w:eastAsia="仿宋"/>
          <w:color w:val="000000"/>
          <w:sz w:val="32"/>
          <w:szCs w:val="32"/>
        </w:rPr>
        <w:t>2022</w:t>
      </w:r>
      <w:r>
        <w:rPr>
          <w:rFonts w:ascii="仿宋" w:hAnsi="仿宋" w:eastAsia="仿宋"/>
          <w:color w:val="000000"/>
          <w:sz w:val="32"/>
          <w:szCs w:val="32"/>
        </w:rPr>
        <w:t>年本年支出合计</w:t>
      </w:r>
      <w:r>
        <w:rPr>
          <w:rFonts w:hint="eastAsia" w:ascii="仿宋" w:hAnsi="仿宋" w:eastAsia="仿宋"/>
          <w:color w:val="000000"/>
          <w:sz w:val="32"/>
          <w:szCs w:val="32"/>
        </w:rPr>
        <w:t>1793.92</w:t>
      </w:r>
      <w:r>
        <w:rPr>
          <w:rFonts w:ascii="仿宋" w:hAnsi="仿宋" w:eastAsia="仿宋"/>
          <w:color w:val="000000"/>
          <w:sz w:val="32"/>
          <w:szCs w:val="32"/>
        </w:rPr>
        <w:t>万元</w:t>
      </w:r>
      <w:r>
        <w:rPr>
          <w:rFonts w:hint="eastAsia" w:ascii="仿宋" w:hAnsi="仿宋" w:eastAsia="仿宋"/>
          <w:color w:val="000000"/>
          <w:sz w:val="32"/>
          <w:szCs w:val="32"/>
          <w:lang w:val="en-US" w:eastAsia="zh-CN"/>
        </w:rPr>
        <w:t>，其中:基本支出1204.34万元，占67.13%；项目支出589.58万元，占32.87%</w:t>
      </w:r>
      <w:r>
        <w:rPr>
          <w:rFonts w:ascii="仿宋" w:hAnsi="仿宋" w:eastAsia="仿宋"/>
          <w:color w:val="000000"/>
          <w:sz w:val="32"/>
          <w:szCs w:val="32"/>
        </w:rPr>
        <w:t>。</w:t>
      </w:r>
    </w:p>
    <w:p>
      <w:pPr>
        <w:jc w:val="center"/>
        <w:rPr>
          <w:rFonts w:hint="eastAsia" w:ascii="仿宋_GB2312" w:eastAsia="仿宋_GB2312"/>
          <w:color w:val="FF0000"/>
          <w:sz w:val="32"/>
          <w:szCs w:val="32"/>
        </w:rPr>
      </w:pPr>
      <w:r>
        <w:rPr>
          <w:rFonts w:hint="eastAsia" w:ascii="仿宋_GB2312" w:eastAsia="仿宋_GB2312"/>
          <w:color w:val="FF0000"/>
          <w:sz w:val="32"/>
          <w:szCs w:val="32"/>
        </w:rPr>
        <w:drawing>
          <wp:inline distT="0" distB="0" distL="114300" distR="114300">
            <wp:extent cx="5304155" cy="3429000"/>
            <wp:effectExtent l="0" t="0" r="10795" b="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spacing w:line="600" w:lineRule="exact"/>
        <w:ind w:firstLine="640" w:firstLineChars="200"/>
        <w:jc w:val="center"/>
        <w:rPr>
          <w:rFonts w:ascii="仿宋" w:hAnsi="仿宋" w:eastAsia="仿宋"/>
          <w:color w:val="000000"/>
          <w:sz w:val="32"/>
          <w:szCs w:val="32"/>
        </w:rPr>
      </w:pPr>
      <w:r>
        <w:rPr>
          <w:rFonts w:hint="eastAsia" w:ascii="仿宋" w:hAnsi="仿宋" w:eastAsia="仿宋"/>
          <w:color w:val="000000"/>
          <w:sz w:val="32"/>
          <w:szCs w:val="32"/>
        </w:rPr>
        <w:t>（图3：支出决算结构图）</w:t>
      </w:r>
    </w:p>
    <w:p>
      <w:pPr>
        <w:pStyle w:val="6"/>
      </w:pPr>
    </w:p>
    <w:p>
      <w:pPr>
        <w:pStyle w:val="6"/>
      </w:pPr>
    </w:p>
    <w:p>
      <w:pPr>
        <w:pStyle w:val="4"/>
        <w:ind w:firstLine="643" w:firstLineChars="200"/>
        <w:rPr>
          <w:rFonts w:ascii="黑体" w:eastAsia="黑体" w:cs="Times New Roman"/>
          <w:bCs w:val="0"/>
          <w:color w:val="000000"/>
        </w:rPr>
      </w:pPr>
      <w:bookmarkStart w:id="35" w:name="_Toc31069"/>
      <w:bookmarkStart w:id="36" w:name="_Toc15377208"/>
      <w:bookmarkStart w:id="37" w:name="_Toc111208502"/>
      <w:r>
        <w:rPr>
          <w:rFonts w:hint="eastAsia" w:ascii="黑体" w:eastAsia="黑体" w:cs="Times New Roman"/>
          <w:bCs w:val="0"/>
          <w:color w:val="000000"/>
        </w:rPr>
        <w:t>四、财政拨款收入支出决算总体情况说明</w:t>
      </w:r>
      <w:bookmarkEnd w:id="35"/>
      <w:bookmarkEnd w:id="36"/>
      <w:bookmarkEnd w:id="37"/>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2022</w:t>
      </w:r>
      <w:r>
        <w:rPr>
          <w:rFonts w:ascii="仿宋" w:hAnsi="仿宋" w:eastAsia="仿宋"/>
          <w:color w:val="000000"/>
          <w:sz w:val="32"/>
          <w:u w:color="auto"/>
        </w:rPr>
        <w:t>年财政拨款收、支总计1412.47万元。与2021年相比，财政拨款收、支总计各减少273.08万元，减少16.20 %。主要变动原因是单位资金未纳入预算管理</w:t>
      </w:r>
    </w:p>
    <w:p>
      <w:pPr>
        <w:pStyle w:val="6"/>
        <w:ind w:firstLine="0"/>
      </w:pPr>
    </w:p>
    <w:p>
      <w:pPr>
        <w:pStyle w:val="6"/>
        <w:jc w:val="left"/>
        <w:rPr>
          <w:rFonts w:hint="eastAsia" w:ascii="仿宋_GB2312" w:hAnsi="仿宋" w:eastAsia="仿宋_GB2312"/>
          <w:color w:val="000000"/>
          <w:sz w:val="32"/>
          <w:szCs w:val="32"/>
        </w:rPr>
      </w:pPr>
      <w:r>
        <w:rPr>
          <w:rFonts w:hint="eastAsia" w:ascii="仿宋_GB2312" w:hAnsi="仿宋" w:eastAsia="仿宋_GB2312"/>
          <w:color w:val="000000"/>
          <w:sz w:val="32"/>
          <w:szCs w:val="32"/>
        </w:rPr>
        <w:drawing>
          <wp:inline distT="0" distB="0" distL="0" distR="0">
            <wp:extent cx="4981575" cy="3171825"/>
            <wp:effectExtent l="0" t="0" r="9525" b="9525"/>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spacing w:line="600" w:lineRule="exact"/>
        <w:ind w:firstLine="640" w:firstLineChars="200"/>
        <w:jc w:val="center"/>
        <w:rPr>
          <w:rFonts w:hint="eastAsia" w:ascii="仿宋_GB2312" w:hAnsi="仿宋" w:eastAsia="仿宋_GB2312"/>
          <w:color w:val="000000"/>
          <w:sz w:val="32"/>
          <w:szCs w:val="32"/>
        </w:rPr>
      </w:pPr>
      <w:r>
        <w:rPr>
          <w:rFonts w:hint="eastAsia" w:ascii="仿宋" w:hAnsi="仿宋" w:eastAsia="仿宋"/>
          <w:color w:val="000000"/>
          <w:sz w:val="32"/>
          <w:szCs w:val="32"/>
        </w:rPr>
        <w:t>（图4：财政拨款收、支决算总计变动情况）</w:t>
      </w:r>
    </w:p>
    <w:p>
      <w:pPr>
        <w:pStyle w:val="6"/>
        <w:jc w:val="center"/>
      </w:pPr>
    </w:p>
    <w:p>
      <w:pPr>
        <w:pStyle w:val="4"/>
        <w:ind w:firstLine="643" w:firstLineChars="200"/>
        <w:rPr>
          <w:rFonts w:ascii="黑体" w:eastAsia="黑体" w:cs="Times New Roman"/>
          <w:bCs w:val="0"/>
          <w:color w:val="000000"/>
        </w:rPr>
      </w:pPr>
      <w:bookmarkStart w:id="38" w:name="_Toc15377209"/>
      <w:bookmarkStart w:id="39" w:name="_Toc111208503"/>
      <w:bookmarkStart w:id="40" w:name="_Toc13426"/>
      <w:r>
        <w:rPr>
          <w:rFonts w:hint="eastAsia" w:ascii="黑体" w:eastAsia="黑体" w:cs="Times New Roman"/>
          <w:bCs w:val="0"/>
          <w:color w:val="000000"/>
        </w:rPr>
        <w:t>五、一般公共预算财政拨款支出决算情况说</w:t>
      </w:r>
      <w:bookmarkEnd w:id="38"/>
      <w:r>
        <w:rPr>
          <w:rFonts w:hint="eastAsia" w:ascii="黑体" w:eastAsia="黑体" w:cs="Times New Roman"/>
          <w:bCs w:val="0"/>
          <w:color w:val="000000"/>
        </w:rPr>
        <w:t>明</w:t>
      </w:r>
      <w:bookmarkEnd w:id="39"/>
      <w:bookmarkEnd w:id="40"/>
    </w:p>
    <w:p>
      <w:pPr>
        <w:spacing w:line="600" w:lineRule="exact"/>
        <w:ind w:firstLine="643" w:firstLineChars="200"/>
        <w:outlineLvl w:val="2"/>
        <w:rPr>
          <w:rFonts w:ascii="仿宋" w:hAnsi="仿宋" w:eastAsia="仿宋"/>
          <w:b/>
          <w:color w:val="000000"/>
          <w:sz w:val="32"/>
          <w:szCs w:val="32"/>
        </w:rPr>
      </w:pPr>
      <w:bookmarkStart w:id="41" w:name="_Toc15377210"/>
      <w:r>
        <w:rPr>
          <w:rFonts w:hint="eastAsia" w:ascii="仿宋" w:hAnsi="仿宋" w:eastAsia="仿宋"/>
          <w:b/>
          <w:color w:val="000000"/>
          <w:sz w:val="32"/>
          <w:szCs w:val="32"/>
        </w:rPr>
        <w:t>（一）一般公共预算财政拨款支出决算总体情况</w:t>
      </w:r>
      <w:bookmarkEnd w:id="41"/>
    </w:p>
    <w:p>
      <w:pPr>
        <w:spacing w:line="600" w:lineRule="exact"/>
        <w:ind w:firstLine="640" w:firstLineChars="200"/>
        <w:rPr>
          <w:rFonts w:ascii="仿宋_GB2312" w:hAnsi="仿宋" w:eastAsia="仿宋_GB2312"/>
          <w:color w:val="000000"/>
          <w:sz w:val="32"/>
          <w:szCs w:val="32"/>
        </w:rPr>
      </w:pPr>
      <w:bookmarkStart w:id="42" w:name="_Toc15377211"/>
      <w:r>
        <w:rPr>
          <w:rFonts w:hint="eastAsia" w:ascii="仿宋" w:hAnsi="仿宋" w:eastAsia="仿宋"/>
          <w:color w:val="000000"/>
          <w:sz w:val="32"/>
          <w:szCs w:val="32"/>
        </w:rPr>
        <w:t>2022</w:t>
      </w:r>
      <w:r>
        <w:rPr>
          <w:rFonts w:ascii="仿宋" w:hAnsi="仿宋" w:eastAsia="仿宋"/>
          <w:color w:val="000000"/>
          <w:sz w:val="32"/>
          <w:u w:color="auto"/>
        </w:rPr>
        <w:t>年一般公共预算财政拨款支出1412.47</w:t>
      </w:r>
      <w:r>
        <w:rPr>
          <w:rFonts w:hint="eastAsia" w:ascii="仿宋" w:hAnsi="仿宋" w:eastAsia="仿宋"/>
          <w:color w:val="000000"/>
          <w:sz w:val="32"/>
          <w:szCs w:val="32"/>
        </w:rPr>
        <w:t>万元，占本年支出合计的</w:t>
      </w:r>
      <w:r>
        <w:rPr>
          <w:rFonts w:ascii="仿宋" w:hAnsi="仿宋" w:eastAsia="仿宋"/>
          <w:color w:val="000000"/>
          <w:sz w:val="32"/>
          <w:u w:color="auto"/>
        </w:rPr>
        <w:t>100.00</w:t>
      </w:r>
      <w:r>
        <w:rPr>
          <w:rFonts w:hint="eastAsia" w:ascii="仿宋" w:hAnsi="仿宋" w:eastAsia="仿宋"/>
          <w:color w:val="000000"/>
          <w:sz w:val="32"/>
          <w:szCs w:val="32"/>
        </w:rPr>
        <w:t>%。与</w:t>
      </w:r>
      <w:r>
        <w:rPr>
          <w:rFonts w:ascii="仿宋" w:hAnsi="仿宋" w:eastAsia="仿宋"/>
          <w:color w:val="000000"/>
          <w:sz w:val="32"/>
          <w:u w:color="auto"/>
        </w:rPr>
        <w:t>2021相比，一般公共预算财政拨款减少273.08</w:t>
      </w:r>
      <w:r>
        <w:rPr>
          <w:rFonts w:hint="eastAsia" w:ascii="仿宋" w:hAnsi="仿宋" w:eastAsia="仿宋"/>
          <w:color w:val="000000"/>
          <w:sz w:val="32"/>
          <w:szCs w:val="32"/>
        </w:rPr>
        <w:t>万元，</w:t>
      </w:r>
      <w:r>
        <w:rPr>
          <w:rFonts w:ascii="仿宋" w:hAnsi="仿宋" w:eastAsia="仿宋"/>
          <w:color w:val="000000"/>
          <w:sz w:val="32"/>
          <w:u w:color="auto"/>
        </w:rPr>
        <w:t>减少16.20</w:t>
      </w:r>
      <w:r>
        <w:rPr>
          <w:rFonts w:hint="eastAsia" w:ascii="仿宋" w:hAnsi="仿宋" w:eastAsia="仿宋"/>
          <w:color w:val="000000"/>
          <w:sz w:val="32"/>
          <w:szCs w:val="32"/>
        </w:rPr>
        <w:t xml:space="preserve"> %。</w:t>
      </w:r>
      <w:r>
        <w:rPr>
          <w:rFonts w:ascii="仿宋" w:hAnsi="仿宋" w:eastAsia="仿宋"/>
          <w:color w:val="000000"/>
          <w:sz w:val="32"/>
          <w:u w:color="auto"/>
        </w:rPr>
        <w:t>主要变动原因是单位资金未纳入预算管理</w:t>
      </w:r>
    </w:p>
    <w:p>
      <w:pPr>
        <w:pStyle w:val="6"/>
        <w:ind w:firstLine="0"/>
        <w:rPr>
          <w:rFonts w:ascii="仿宋_GB2312" w:hAnsi="仿宋" w:eastAsia="仿宋_GB2312"/>
          <w:b/>
          <w:color w:val="000000"/>
          <w:sz w:val="32"/>
          <w:szCs w:val="32"/>
        </w:rPr>
      </w:pPr>
      <w:r>
        <w:rPr>
          <w:rFonts w:hint="eastAsia" w:ascii="仿宋_GB2312" w:hAnsi="仿宋" w:eastAsia="仿宋_GB2312"/>
          <w:b/>
          <w:color w:val="000000"/>
          <w:sz w:val="32"/>
          <w:szCs w:val="32"/>
        </w:rPr>
        <w:drawing>
          <wp:inline distT="0" distB="0" distL="0" distR="0">
            <wp:extent cx="4905375" cy="3569970"/>
            <wp:effectExtent l="0" t="0" r="9525" b="1143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600" w:lineRule="exact"/>
        <w:ind w:firstLine="640" w:firstLineChars="200"/>
        <w:jc w:val="center"/>
        <w:rPr>
          <w:rFonts w:ascii="仿宋_GB2312" w:hAnsi="仿宋" w:eastAsia="仿宋_GB2312"/>
          <w:b/>
          <w:color w:val="000000"/>
          <w:sz w:val="32"/>
          <w:szCs w:val="32"/>
        </w:rPr>
      </w:pPr>
      <w:r>
        <w:rPr>
          <w:rFonts w:hint="eastAsia" w:ascii="仿宋" w:hAnsi="仿宋" w:eastAsia="仿宋"/>
          <w:color w:val="000000"/>
          <w:sz w:val="32"/>
          <w:szCs w:val="32"/>
        </w:rPr>
        <w:t>（图5：一般公共预算财政拨款支出决算变动情况）</w:t>
      </w:r>
    </w:p>
    <w:p>
      <w:pPr>
        <w:spacing w:line="600" w:lineRule="exact"/>
        <w:ind w:firstLine="643" w:firstLineChars="200"/>
        <w:outlineLvl w:val="2"/>
        <w:rPr>
          <w:rFonts w:ascii="仿宋" w:hAnsi="仿宋" w:eastAsia="仿宋"/>
          <w:b/>
          <w:color w:val="000000"/>
          <w:sz w:val="32"/>
          <w:szCs w:val="32"/>
        </w:rPr>
      </w:pPr>
      <w:r>
        <w:rPr>
          <w:rFonts w:hint="eastAsia" w:ascii="仿宋" w:hAnsi="仿宋" w:eastAsia="仿宋"/>
          <w:b/>
          <w:color w:val="000000"/>
          <w:sz w:val="32"/>
          <w:szCs w:val="32"/>
        </w:rPr>
        <w:t>（二）一般公共预算财政拨款支出决算结构情况</w:t>
      </w:r>
      <w:bookmarkEnd w:id="42"/>
      <w:r>
        <w:rPr>
          <w:rFonts w:hint="eastAsia" w:ascii="仿宋" w:hAnsi="仿宋" w:eastAsia="仿宋"/>
          <w:b/>
          <w:color w:val="000000"/>
          <w:sz w:val="32"/>
          <w:szCs w:val="32"/>
        </w:rPr>
        <w:t>（一般公共预算收支表）</w:t>
      </w:r>
    </w:p>
    <w:p>
      <w:pPr>
        <w:spacing w:line="600" w:lineRule="exact"/>
        <w:ind w:firstLine="640" w:firstLineChars="200"/>
        <w:rPr>
          <w:rFonts w:ascii="仿宋_GB2312" w:hAnsi="仿宋" w:eastAsia="仿宋_GB2312"/>
          <w:color w:val="000000" w:themeColor="text1"/>
          <w:sz w:val="32"/>
          <w:szCs w:val="32"/>
          <w14:textFill>
            <w14:solidFill>
              <w14:schemeClr w14:val="tx1"/>
            </w14:solidFill>
          </w14:textFill>
        </w:rPr>
      </w:pPr>
      <w:r>
        <w:rPr>
          <w:rFonts w:hint="eastAsia" w:ascii="仿宋" w:hAnsi="仿宋" w:eastAsia="仿宋"/>
          <w:color w:val="000000"/>
          <w:sz w:val="32"/>
          <w:szCs w:val="32"/>
        </w:rPr>
        <w:t>2022</w:t>
      </w:r>
      <w:r>
        <w:rPr>
          <w:rFonts w:ascii="仿宋" w:hAnsi="仿宋" w:eastAsia="仿宋"/>
          <w:color w:val="000000"/>
          <w:sz w:val="32"/>
          <w:u w:color="auto"/>
        </w:rPr>
        <w:t>年一般公共预算财政拨款支出1412.47</w:t>
      </w:r>
      <w:r>
        <w:rPr>
          <w:rFonts w:hint="eastAsia" w:ascii="仿宋" w:hAnsi="仿宋" w:eastAsia="仿宋"/>
          <w:color w:val="000000"/>
          <w:sz w:val="32"/>
          <w:szCs w:val="32"/>
        </w:rPr>
        <w:t xml:space="preserve">万元，主要用于以下方面: </w:t>
      </w:r>
      <w:r>
        <w:rPr>
          <w:rFonts w:ascii="仿宋" w:hAnsi="仿宋" w:eastAsia="仿宋"/>
          <w:color w:val="000000"/>
          <w:sz w:val="32"/>
          <w:u w:color="auto"/>
        </w:rPr>
        <w:t>社会保障和就业支出115.57万元，占8.18%；卫生健康支出1233.47万元，占87.33%；住房保障支出63.43万元，占4.49%。</w:t>
      </w:r>
    </w:p>
    <w:p>
      <w:pPr>
        <w:pStyle w:val="6"/>
      </w:pPr>
      <w:bookmarkStart w:id="43" w:name="_Toc15377212"/>
      <w:r>
        <w:drawing>
          <wp:inline distT="0" distB="0" distL="0" distR="0">
            <wp:extent cx="4333240" cy="2886075"/>
            <wp:effectExtent l="0" t="0" r="10160" b="952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ind w:firstLine="640" w:firstLineChars="200"/>
        <w:jc w:val="center"/>
      </w:pPr>
      <w:r>
        <w:rPr>
          <w:rFonts w:hint="eastAsia" w:ascii="仿宋" w:hAnsi="仿宋" w:eastAsia="仿宋"/>
          <w:color w:val="000000"/>
          <w:sz w:val="32"/>
          <w:szCs w:val="32"/>
        </w:rPr>
        <w:t>（图6：一般公共预算财政拨款支出决算结构）</w:t>
      </w:r>
    </w:p>
    <w:p>
      <w:pPr>
        <w:spacing w:line="600" w:lineRule="exact"/>
        <w:ind w:firstLine="643" w:firstLineChars="200"/>
        <w:outlineLvl w:val="2"/>
        <w:rPr>
          <w:rFonts w:ascii="仿宋" w:hAnsi="仿宋" w:eastAsia="仿宋"/>
          <w:b/>
          <w:color w:val="000000"/>
          <w:sz w:val="32"/>
          <w:szCs w:val="32"/>
        </w:rPr>
      </w:pPr>
      <w:r>
        <w:rPr>
          <w:rFonts w:hint="eastAsia" w:ascii="仿宋" w:hAnsi="仿宋" w:eastAsia="仿宋"/>
          <w:b/>
          <w:color w:val="000000"/>
          <w:sz w:val="32"/>
          <w:szCs w:val="32"/>
        </w:rPr>
        <w:t>（三）一般公共预算财政拨款支出决算具体情况</w:t>
      </w:r>
      <w:bookmarkEnd w:id="43"/>
    </w:p>
    <w:p>
      <w:pPr>
        <w:spacing w:line="600" w:lineRule="exact"/>
        <w:ind w:firstLine="640"/>
        <w:rPr>
          <w:rFonts w:ascii="仿宋" w:hAnsi="仿宋" w:eastAsia="仿宋"/>
          <w:color w:val="000000"/>
          <w:sz w:val="32"/>
          <w:szCs w:val="32"/>
        </w:rPr>
      </w:pPr>
      <w:bookmarkStart w:id="44" w:name="_Toc15377444"/>
      <w:bookmarkStart w:id="45" w:name="_Toc15378460"/>
      <w:bookmarkStart w:id="46" w:name="_Toc15377213"/>
      <w:r>
        <w:rPr>
          <w:rFonts w:hint="eastAsia" w:ascii="仿宋" w:hAnsi="仿宋" w:eastAsia="仿宋"/>
          <w:color w:val="000000"/>
          <w:sz w:val="32"/>
          <w:szCs w:val="32"/>
        </w:rPr>
        <w:t>2022</w:t>
      </w:r>
      <w:r>
        <w:rPr>
          <w:rFonts w:ascii="仿宋" w:hAnsi="仿宋" w:eastAsia="仿宋"/>
          <w:color w:val="000000"/>
          <w:sz w:val="32"/>
          <w:u w:color="auto"/>
        </w:rPr>
        <w:t>年一般公共预算支出决算数为1412.47</w:t>
      </w:r>
      <w:r>
        <w:rPr>
          <w:rFonts w:hint="eastAsia" w:ascii="仿宋" w:hAnsi="仿宋" w:eastAsia="仿宋"/>
          <w:color w:val="000000"/>
          <w:sz w:val="32"/>
          <w:szCs w:val="32"/>
        </w:rPr>
        <w:t>万元，完成预算100%。其中：</w:t>
      </w:r>
      <w:bookmarkEnd w:id="44"/>
      <w:bookmarkEnd w:id="45"/>
      <w:bookmarkEnd w:id="46"/>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1.社会保障和就业支出（类）行政事业单位养老支出（款）机关事业单位基本养老保险缴费支出（项）支出决算77.04万元，完成预算100%。</w:t>
      </w:r>
      <w:r>
        <w:rPr>
          <w:rFonts w:hint="eastAsia" w:ascii="仿宋" w:hAnsi="仿宋" w:eastAsia="仿宋"/>
          <w:color w:val="000000"/>
          <w:sz w:val="32"/>
          <w:szCs w:val="32"/>
        </w:rPr>
        <w:cr/>
      </w:r>
      <w:r>
        <w:rPr>
          <w:rFonts w:hint="eastAsia" w:ascii="仿宋" w:hAnsi="仿宋" w:eastAsia="仿宋"/>
          <w:color w:val="000000"/>
          <w:sz w:val="32"/>
          <w:szCs w:val="32"/>
        </w:rPr>
        <w:t xml:space="preserve">    2.社会保障和就业支出（类）行政事业单位养老支出（款）机关事业单位职业年金缴费支出（项）支出决算38.52万元，完成预算100%。</w:t>
      </w:r>
      <w:r>
        <w:rPr>
          <w:rFonts w:hint="eastAsia" w:ascii="仿宋" w:hAnsi="仿宋" w:eastAsia="仿宋"/>
          <w:color w:val="000000"/>
          <w:sz w:val="32"/>
          <w:szCs w:val="32"/>
        </w:rPr>
        <w:cr/>
      </w:r>
      <w:r>
        <w:rPr>
          <w:rFonts w:hint="eastAsia" w:ascii="仿宋" w:hAnsi="仿宋" w:eastAsia="仿宋"/>
          <w:color w:val="000000"/>
          <w:sz w:val="32"/>
          <w:szCs w:val="32"/>
        </w:rPr>
        <w:t xml:space="preserve">    3.卫生健康支出（类）公立医院（款）中医（民族）医院（项）支出决算802.69万元，完成预算100%。</w:t>
      </w:r>
      <w:r>
        <w:rPr>
          <w:rFonts w:hint="eastAsia" w:ascii="仿宋" w:hAnsi="仿宋" w:eastAsia="仿宋"/>
          <w:color w:val="000000"/>
          <w:sz w:val="32"/>
          <w:szCs w:val="32"/>
        </w:rPr>
        <w:cr/>
      </w:r>
      <w:r>
        <w:rPr>
          <w:rFonts w:hint="eastAsia" w:ascii="仿宋" w:hAnsi="仿宋" w:eastAsia="仿宋"/>
          <w:color w:val="000000"/>
          <w:sz w:val="32"/>
          <w:szCs w:val="32"/>
        </w:rPr>
        <w:t xml:space="preserve">    4.卫生健康支出（类）公立医院（款）其他公立医院支出（项）支出决算1.00万元，完成预算100%。</w:t>
      </w:r>
      <w:r>
        <w:rPr>
          <w:rFonts w:hint="eastAsia" w:ascii="仿宋" w:hAnsi="仿宋" w:eastAsia="仿宋"/>
          <w:color w:val="000000"/>
          <w:sz w:val="32"/>
          <w:szCs w:val="32"/>
        </w:rPr>
        <w:cr/>
      </w:r>
      <w:r>
        <w:rPr>
          <w:rFonts w:hint="eastAsia" w:ascii="仿宋" w:hAnsi="仿宋" w:eastAsia="仿宋"/>
          <w:color w:val="000000"/>
          <w:sz w:val="32"/>
          <w:szCs w:val="32"/>
        </w:rPr>
        <w:t xml:space="preserve">    5.卫生健康支出（类）公共卫生（款）基本公共卫生服务（项）支出决算377.55万元，完成预算100%。</w:t>
      </w:r>
      <w:r>
        <w:rPr>
          <w:rFonts w:hint="eastAsia" w:ascii="仿宋" w:hAnsi="仿宋" w:eastAsia="仿宋"/>
          <w:color w:val="000000"/>
          <w:sz w:val="32"/>
          <w:szCs w:val="32"/>
        </w:rPr>
        <w:cr/>
      </w:r>
      <w:r>
        <w:rPr>
          <w:rFonts w:hint="eastAsia" w:ascii="仿宋" w:hAnsi="仿宋" w:eastAsia="仿宋"/>
          <w:color w:val="000000"/>
          <w:sz w:val="32"/>
          <w:szCs w:val="32"/>
        </w:rPr>
        <w:t xml:space="preserve">    6.卫生健康支出（类）行政事业单位医疗（款）事业单位医疗（项）支出决算40.32万元，完成预算100%。</w:t>
      </w:r>
      <w:r>
        <w:rPr>
          <w:rFonts w:hint="eastAsia" w:ascii="仿宋" w:hAnsi="仿宋" w:eastAsia="仿宋"/>
          <w:color w:val="000000"/>
          <w:sz w:val="32"/>
          <w:szCs w:val="32"/>
        </w:rPr>
        <w:cr/>
      </w:r>
      <w:r>
        <w:rPr>
          <w:rFonts w:hint="eastAsia" w:ascii="仿宋" w:hAnsi="仿宋" w:eastAsia="仿宋"/>
          <w:color w:val="000000"/>
          <w:sz w:val="32"/>
          <w:szCs w:val="32"/>
        </w:rPr>
        <w:t xml:space="preserve">    7.卫生健康支出（类）行政事业单位医疗（款）其他行政事业单位医疗支出（项）支出决算9.36万元，完成预算100%。</w:t>
      </w:r>
      <w:r>
        <w:rPr>
          <w:rFonts w:hint="eastAsia" w:ascii="仿宋" w:hAnsi="仿宋" w:eastAsia="仿宋"/>
          <w:color w:val="000000"/>
          <w:sz w:val="32"/>
          <w:szCs w:val="32"/>
        </w:rPr>
        <w:cr/>
      </w:r>
      <w:r>
        <w:rPr>
          <w:rFonts w:hint="eastAsia" w:ascii="仿宋" w:hAnsi="仿宋" w:eastAsia="仿宋"/>
          <w:color w:val="000000"/>
          <w:sz w:val="32"/>
          <w:szCs w:val="32"/>
        </w:rPr>
        <w:t xml:space="preserve">    8.卫生健康支出（类）其他卫生健康支出（款）其他卫生健康支出（项）支出决算2.55万元，完成预算100%。</w:t>
      </w:r>
      <w:r>
        <w:rPr>
          <w:rFonts w:hint="eastAsia" w:ascii="仿宋" w:hAnsi="仿宋" w:eastAsia="仿宋"/>
          <w:color w:val="000000"/>
          <w:sz w:val="32"/>
          <w:szCs w:val="32"/>
        </w:rPr>
        <w:cr/>
      </w:r>
      <w:r>
        <w:rPr>
          <w:rFonts w:hint="eastAsia" w:ascii="仿宋" w:hAnsi="仿宋" w:eastAsia="仿宋"/>
          <w:color w:val="000000"/>
          <w:sz w:val="32"/>
          <w:szCs w:val="32"/>
        </w:rPr>
        <w:t xml:space="preserve">    9.住房保障支出（类）住房改革支出（款）住房公积金（项）支出决算63.43万元，完成预算100%。</w:t>
      </w:r>
    </w:p>
    <w:p>
      <w:pPr>
        <w:pStyle w:val="4"/>
        <w:ind w:firstLine="643" w:firstLineChars="200"/>
        <w:rPr>
          <w:rFonts w:ascii="黑体" w:eastAsia="黑体" w:cs="Times New Roman"/>
          <w:b w:val="0"/>
          <w:color w:val="000000"/>
        </w:rPr>
      </w:pPr>
      <w:bookmarkStart w:id="47" w:name="_Toc15377214"/>
      <w:bookmarkStart w:id="48" w:name="_Toc25675"/>
      <w:bookmarkStart w:id="49" w:name="_Toc111208504"/>
      <w:r>
        <w:rPr>
          <w:rFonts w:hint="eastAsia" w:ascii="黑体" w:eastAsia="黑体" w:cs="Times New Roman"/>
          <w:bCs w:val="0"/>
          <w:color w:val="000000"/>
        </w:rPr>
        <w:t>六、一般公共预算财政拨款基本支出决算情况说</w:t>
      </w:r>
      <w:bookmarkEnd w:id="47"/>
      <w:r>
        <w:rPr>
          <w:rFonts w:hint="eastAsia" w:ascii="黑体" w:eastAsia="黑体" w:cs="Times New Roman"/>
          <w:bCs w:val="0"/>
          <w:color w:val="000000"/>
        </w:rPr>
        <w:t>明</w:t>
      </w:r>
      <w:bookmarkEnd w:id="48"/>
      <w:bookmarkEnd w:id="49"/>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2022</w:t>
      </w:r>
      <w:r>
        <w:rPr>
          <w:rFonts w:ascii="仿宋" w:hAnsi="仿宋" w:eastAsia="仿宋"/>
          <w:color w:val="000000"/>
          <w:sz w:val="32"/>
          <w:u w:color="auto"/>
        </w:rPr>
        <w:t>年一般公共预算财政拨款基本支出822.89</w:t>
      </w:r>
      <w:r>
        <w:rPr>
          <w:rFonts w:hint="eastAsia" w:ascii="仿宋" w:hAnsi="仿宋" w:eastAsia="仿宋"/>
          <w:color w:val="000000"/>
          <w:sz w:val="32"/>
          <w:szCs w:val="32"/>
        </w:rPr>
        <w:t>万元，其中：</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人员经费</w:t>
      </w:r>
      <w:r>
        <w:rPr>
          <w:rFonts w:ascii="仿宋" w:hAnsi="仿宋" w:eastAsia="仿宋"/>
          <w:color w:val="000000"/>
          <w:sz w:val="32"/>
          <w:u w:color="auto"/>
        </w:rPr>
        <w:t>813.44</w:t>
      </w:r>
      <w:r>
        <w:rPr>
          <w:rFonts w:hint="eastAsia" w:ascii="仿宋" w:hAnsi="仿宋" w:eastAsia="仿宋"/>
          <w:color w:val="000000"/>
          <w:sz w:val="32"/>
          <w:szCs w:val="32"/>
        </w:rPr>
        <w:t>万元，主要包括：</w:t>
      </w:r>
      <w:r>
        <w:rPr>
          <w:rFonts w:ascii="仿宋" w:hAnsi="仿宋" w:eastAsia="仿宋"/>
          <w:color w:val="000000"/>
          <w:sz w:val="32"/>
          <w:u w:color="auto"/>
        </w:rPr>
        <w:t>基本工资173.97万元、津贴补贴243.11万元、奖金13.45万元、绩效工资131.54万元、机关事业单位基本养老保险缴费77.04万元、职业年金缴费38.52万元、职工基本医疗保险缴费40.32万元、公务员医疗补助缴费9.36万元、其他社会保障缴费10.75万元、住房公积金63.43万元、生活补助11.72万元、医疗费补助0.21万元。</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公用经费</w:t>
      </w:r>
      <w:r>
        <w:rPr>
          <w:rFonts w:ascii="仿宋" w:hAnsi="仿宋" w:eastAsia="仿宋"/>
          <w:color w:val="000000"/>
          <w:sz w:val="32"/>
          <w:u w:color="auto"/>
        </w:rPr>
        <w:t>9.46</w:t>
      </w:r>
      <w:r>
        <w:rPr>
          <w:rFonts w:hint="eastAsia" w:ascii="仿宋" w:hAnsi="仿宋" w:eastAsia="仿宋"/>
          <w:color w:val="000000"/>
          <w:sz w:val="32"/>
          <w:szCs w:val="32"/>
        </w:rPr>
        <w:t>万元，主要包括：</w:t>
      </w:r>
      <w:r>
        <w:rPr>
          <w:rFonts w:ascii="仿宋" w:hAnsi="仿宋" w:eastAsia="仿宋"/>
          <w:color w:val="000000"/>
          <w:sz w:val="32"/>
          <w:u w:color="auto"/>
        </w:rPr>
        <w:t>办公费4.30万元、工会经费5.16万元</w:t>
      </w:r>
      <w:r>
        <w:rPr>
          <w:rFonts w:hint="eastAsia" w:ascii="仿宋" w:hAnsi="仿宋" w:eastAsia="仿宋"/>
          <w:color w:val="000000"/>
          <w:sz w:val="32"/>
          <w:szCs w:val="32"/>
        </w:rPr>
        <w:t>。</w:t>
      </w:r>
    </w:p>
    <w:p>
      <w:pPr>
        <w:pStyle w:val="4"/>
        <w:ind w:firstLine="643" w:firstLineChars="200"/>
        <w:rPr>
          <w:rFonts w:ascii="黑体" w:eastAsia="黑体" w:cs="Times New Roman"/>
          <w:bCs w:val="0"/>
          <w:color w:val="000000"/>
        </w:rPr>
      </w:pPr>
      <w:bookmarkStart w:id="50" w:name="_Toc15377215"/>
      <w:bookmarkStart w:id="51" w:name="_Toc111208505"/>
      <w:bookmarkStart w:id="52" w:name="_Toc19176"/>
      <w:r>
        <w:rPr>
          <w:rFonts w:hint="eastAsia" w:ascii="黑体" w:eastAsia="黑体" w:cs="Times New Roman"/>
          <w:bCs w:val="0"/>
          <w:color w:val="000000"/>
        </w:rPr>
        <w:t>七、“三公”经费财政拨款支出决算情况说明</w:t>
      </w:r>
      <w:bookmarkEnd w:id="50"/>
      <w:bookmarkEnd w:id="51"/>
      <w:bookmarkEnd w:id="52"/>
    </w:p>
    <w:p>
      <w:pPr>
        <w:spacing w:line="600" w:lineRule="exact"/>
        <w:ind w:firstLine="643" w:firstLineChars="200"/>
        <w:outlineLvl w:val="2"/>
        <w:rPr>
          <w:rFonts w:ascii="仿宋" w:hAnsi="仿宋" w:eastAsia="仿宋"/>
          <w:b/>
          <w:color w:val="000000"/>
          <w:sz w:val="32"/>
          <w:szCs w:val="32"/>
        </w:rPr>
      </w:pPr>
      <w:bookmarkStart w:id="53" w:name="_Toc15377216"/>
      <w:r>
        <w:rPr>
          <w:rFonts w:hint="eastAsia" w:ascii="仿宋" w:hAnsi="仿宋" w:eastAsia="仿宋"/>
          <w:b/>
          <w:color w:val="000000"/>
          <w:sz w:val="32"/>
          <w:szCs w:val="32"/>
        </w:rPr>
        <w:t>（一）“三公”经费财政拨款支出决算总体情况说明</w:t>
      </w:r>
      <w:bookmarkEnd w:id="53"/>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2022</w:t>
      </w:r>
      <w:r>
        <w:rPr>
          <w:rFonts w:ascii="仿宋" w:hAnsi="仿宋" w:eastAsia="仿宋"/>
          <w:color w:val="000000"/>
          <w:sz w:val="32"/>
          <w:u w:color="auto"/>
        </w:rPr>
        <w:t>年“三公”经费财政拨款支出决算为0.00</w:t>
      </w:r>
      <w:r>
        <w:rPr>
          <w:rFonts w:hint="eastAsia" w:ascii="仿宋" w:hAnsi="仿宋" w:eastAsia="仿宋"/>
          <w:color w:val="000000"/>
          <w:sz w:val="32"/>
          <w:szCs w:val="32"/>
        </w:rPr>
        <w:t>万元，完成预算</w:t>
      </w:r>
      <w:r>
        <w:rPr>
          <w:rFonts w:ascii="仿宋" w:hAnsi="仿宋" w:eastAsia="仿宋"/>
          <w:color w:val="000000"/>
          <w:sz w:val="32"/>
          <w:u w:color="auto"/>
        </w:rPr>
        <w:t>0.00</w:t>
      </w:r>
      <w:r>
        <w:rPr>
          <w:rFonts w:hint="eastAsia" w:ascii="仿宋" w:hAnsi="仿宋" w:eastAsia="仿宋"/>
          <w:color w:val="000000"/>
          <w:sz w:val="32"/>
          <w:szCs w:val="32"/>
        </w:rPr>
        <w:t>%。</w:t>
      </w:r>
      <w:bookmarkStart w:id="54" w:name="_Toc15377217"/>
    </w:p>
    <w:p>
      <w:pPr>
        <w:spacing w:line="600" w:lineRule="exact"/>
        <w:ind w:firstLine="643" w:firstLineChars="200"/>
        <w:outlineLvl w:val="2"/>
        <w:rPr>
          <w:rFonts w:ascii="仿宋" w:hAnsi="仿宋" w:eastAsia="仿宋"/>
          <w:b/>
          <w:color w:val="000000"/>
          <w:sz w:val="32"/>
          <w:szCs w:val="32"/>
        </w:rPr>
      </w:pPr>
      <w:r>
        <w:rPr>
          <w:rFonts w:hint="eastAsia" w:ascii="仿宋" w:hAnsi="仿宋" w:eastAsia="仿宋"/>
          <w:b/>
          <w:color w:val="000000"/>
          <w:sz w:val="32"/>
          <w:szCs w:val="32"/>
        </w:rPr>
        <w:t>（二）“三公”经费财政拨款支出决算具体情况说明</w:t>
      </w:r>
      <w:bookmarkEnd w:id="54"/>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2022</w:t>
      </w:r>
      <w:r>
        <w:rPr>
          <w:rFonts w:ascii="仿宋" w:hAnsi="仿宋" w:eastAsia="仿宋"/>
          <w:color w:val="000000"/>
          <w:sz w:val="32"/>
          <w:u w:color="auto"/>
        </w:rPr>
        <w:t>年“三公”经费财政拨款支出0.00</w:t>
      </w:r>
      <w:r>
        <w:rPr>
          <w:rFonts w:hint="eastAsia" w:ascii="仿宋" w:hAnsi="仿宋" w:eastAsia="仿宋"/>
          <w:color w:val="000000"/>
          <w:sz w:val="32"/>
          <w:szCs w:val="32"/>
        </w:rPr>
        <w:t>万元，因公出国（境）费支出决算</w:t>
      </w:r>
      <w:r>
        <w:rPr>
          <w:rFonts w:ascii="仿宋" w:hAnsi="仿宋" w:eastAsia="仿宋"/>
          <w:color w:val="000000"/>
          <w:sz w:val="32"/>
          <w:u w:color="auto"/>
        </w:rPr>
        <w:t>0.00</w:t>
      </w:r>
      <w:r>
        <w:rPr>
          <w:rFonts w:hint="eastAsia" w:ascii="仿宋" w:hAnsi="仿宋" w:eastAsia="仿宋"/>
          <w:color w:val="000000"/>
          <w:sz w:val="32"/>
          <w:szCs w:val="32"/>
        </w:rPr>
        <w:t>万元，占</w:t>
      </w:r>
      <w:r>
        <w:rPr>
          <w:rFonts w:ascii="仿宋" w:hAnsi="仿宋" w:eastAsia="仿宋"/>
          <w:color w:val="000000"/>
          <w:sz w:val="32"/>
          <w:u w:color="auto"/>
        </w:rPr>
        <w:t>0.00</w:t>
      </w:r>
      <w:r>
        <w:rPr>
          <w:rFonts w:hint="eastAsia" w:ascii="仿宋" w:hAnsi="仿宋" w:eastAsia="仿宋"/>
          <w:color w:val="000000"/>
          <w:sz w:val="32"/>
          <w:szCs w:val="32"/>
        </w:rPr>
        <w:t>%；公务用车购置及运行维护费支出决算</w:t>
      </w:r>
      <w:r>
        <w:rPr>
          <w:rFonts w:ascii="仿宋" w:hAnsi="仿宋" w:eastAsia="仿宋"/>
          <w:color w:val="000000"/>
          <w:sz w:val="32"/>
          <w:u w:color="auto"/>
        </w:rPr>
        <w:t>0.00</w:t>
      </w:r>
      <w:r>
        <w:rPr>
          <w:rFonts w:hint="eastAsia" w:ascii="仿宋" w:hAnsi="仿宋" w:eastAsia="仿宋"/>
          <w:color w:val="000000"/>
          <w:sz w:val="32"/>
          <w:szCs w:val="32"/>
        </w:rPr>
        <w:t>万元，占</w:t>
      </w:r>
      <w:r>
        <w:rPr>
          <w:rFonts w:ascii="仿宋" w:hAnsi="仿宋" w:eastAsia="仿宋"/>
          <w:color w:val="000000"/>
          <w:sz w:val="32"/>
          <w:u w:color="auto"/>
        </w:rPr>
        <w:t>0.00</w:t>
      </w:r>
      <w:r>
        <w:rPr>
          <w:rFonts w:hint="eastAsia" w:ascii="仿宋" w:hAnsi="仿宋" w:eastAsia="仿宋"/>
          <w:color w:val="000000"/>
          <w:sz w:val="32"/>
          <w:szCs w:val="32"/>
        </w:rPr>
        <w:t>%；公务接待费支出决算</w:t>
      </w:r>
      <w:r>
        <w:rPr>
          <w:rFonts w:ascii="仿宋" w:hAnsi="仿宋" w:eastAsia="仿宋"/>
          <w:color w:val="000000"/>
          <w:sz w:val="32"/>
          <w:u w:color="auto"/>
        </w:rPr>
        <w:t>0.00</w:t>
      </w:r>
      <w:r>
        <w:rPr>
          <w:rFonts w:hint="eastAsia" w:ascii="仿宋" w:hAnsi="仿宋" w:eastAsia="仿宋"/>
          <w:color w:val="000000"/>
          <w:sz w:val="32"/>
          <w:szCs w:val="32"/>
        </w:rPr>
        <w:t>万元，占</w:t>
      </w:r>
      <w:r>
        <w:rPr>
          <w:rFonts w:ascii="仿宋" w:hAnsi="仿宋" w:eastAsia="仿宋"/>
          <w:color w:val="000000"/>
          <w:sz w:val="32"/>
          <w:u w:color="auto"/>
        </w:rPr>
        <w:t>0.00</w:t>
      </w:r>
      <w:r>
        <w:rPr>
          <w:rFonts w:hint="eastAsia" w:ascii="仿宋" w:hAnsi="仿宋" w:eastAsia="仿宋"/>
          <w:color w:val="000000"/>
          <w:sz w:val="32"/>
          <w:szCs w:val="32"/>
        </w:rPr>
        <w:t>%。具体情况如下：</w:t>
      </w:r>
    </w:p>
    <w:p>
      <w:pPr>
        <w:pStyle w:val="6"/>
      </w:pPr>
      <w:r>
        <w:drawing>
          <wp:inline distT="0" distB="0" distL="0" distR="0">
            <wp:extent cx="4333240" cy="2886075"/>
            <wp:effectExtent l="0" t="0" r="10160" b="9525"/>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600" w:lineRule="exact"/>
        <w:ind w:firstLine="640" w:firstLineChars="200"/>
        <w:jc w:val="center"/>
      </w:pPr>
      <w:r>
        <w:rPr>
          <w:rFonts w:hint="eastAsia" w:ascii="仿宋" w:hAnsi="仿宋" w:eastAsia="仿宋"/>
          <w:color w:val="000000"/>
          <w:sz w:val="32"/>
          <w:szCs w:val="32"/>
        </w:rPr>
        <w:t>（图7：“三公”经费财政拨款支出结构）</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1.因公出国（境）经费支出</w:t>
      </w:r>
      <w:r>
        <w:rPr>
          <w:rFonts w:ascii="仿宋" w:hAnsi="仿宋" w:eastAsia="仿宋"/>
          <w:color w:val="000000"/>
          <w:sz w:val="32"/>
          <w:u w:color="auto"/>
        </w:rPr>
        <w:t>0.00</w:t>
      </w:r>
      <w:r>
        <w:rPr>
          <w:rFonts w:hint="eastAsia" w:ascii="仿宋" w:hAnsi="仿宋" w:eastAsia="仿宋"/>
          <w:color w:val="000000"/>
          <w:sz w:val="32"/>
          <w:szCs w:val="32"/>
        </w:rPr>
        <w:t>万元,完成预算100%。全年安排因公出国（境）团组</w:t>
      </w:r>
      <w:r>
        <w:rPr>
          <w:rFonts w:ascii="仿宋" w:hAnsi="仿宋" w:eastAsia="仿宋"/>
          <w:color w:val="000000"/>
          <w:sz w:val="32"/>
          <w:u w:color="auto"/>
        </w:rPr>
        <w:t>0</w:t>
      </w:r>
      <w:r>
        <w:rPr>
          <w:rFonts w:hint="eastAsia" w:ascii="仿宋" w:hAnsi="仿宋" w:eastAsia="仿宋"/>
          <w:color w:val="000000"/>
          <w:sz w:val="32"/>
          <w:szCs w:val="32"/>
        </w:rPr>
        <w:t>次，出国（境）</w:t>
      </w:r>
      <w:r>
        <w:rPr>
          <w:rFonts w:ascii="仿宋" w:hAnsi="仿宋" w:eastAsia="仿宋"/>
          <w:color w:val="000000"/>
          <w:sz w:val="32"/>
          <w:u w:color="auto"/>
        </w:rPr>
        <w:t>0</w:t>
      </w:r>
      <w:r>
        <w:rPr>
          <w:rFonts w:hint="eastAsia" w:ascii="仿宋" w:hAnsi="仿宋" w:eastAsia="仿宋"/>
          <w:color w:val="000000"/>
          <w:sz w:val="32"/>
          <w:szCs w:val="32"/>
        </w:rPr>
        <w:t>人。因公出国（境）支出决算比</w:t>
      </w:r>
      <w:r>
        <w:rPr>
          <w:rFonts w:ascii="仿宋" w:hAnsi="仿宋" w:eastAsia="仿宋"/>
          <w:color w:val="000000"/>
          <w:sz w:val="32"/>
          <w:u w:color="auto"/>
        </w:rPr>
        <w:t>2021年增加0.00</w:t>
      </w:r>
      <w:r>
        <w:rPr>
          <w:rFonts w:hint="eastAsia" w:ascii="仿宋" w:hAnsi="仿宋" w:eastAsia="仿宋"/>
          <w:color w:val="000000"/>
          <w:sz w:val="32"/>
          <w:szCs w:val="32"/>
        </w:rPr>
        <w:t>万元，</w:t>
      </w:r>
      <w:r>
        <w:rPr>
          <w:rFonts w:ascii="仿宋" w:hAnsi="仿宋" w:eastAsia="仿宋"/>
          <w:color w:val="000000"/>
          <w:sz w:val="32"/>
          <w:u w:color="auto"/>
        </w:rPr>
        <w:t>增加0.00</w:t>
      </w:r>
      <w:r>
        <w:rPr>
          <w:rFonts w:hint="eastAsia" w:ascii="仿宋" w:hAnsi="仿宋" w:eastAsia="仿宋"/>
          <w:color w:val="000000"/>
          <w:sz w:val="32"/>
          <w:szCs w:val="32"/>
        </w:rPr>
        <w:t xml:space="preserve"> %。</w:t>
      </w:r>
      <w:r>
        <w:rPr>
          <w:rFonts w:ascii="仿宋" w:hAnsi="仿宋" w:eastAsia="仿宋"/>
          <w:color w:val="000000"/>
          <w:sz w:val="32"/>
          <w:u w:color="auto"/>
        </w:rPr>
        <w:t xml:space="preserve"> </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2.公务用车购置及运行维护费支出</w:t>
      </w:r>
      <w:r>
        <w:rPr>
          <w:rFonts w:ascii="仿宋" w:hAnsi="仿宋" w:eastAsia="仿宋"/>
          <w:color w:val="000000"/>
          <w:sz w:val="32"/>
          <w:u w:color="auto"/>
        </w:rPr>
        <w:t>0.00</w:t>
      </w:r>
      <w:r>
        <w:rPr>
          <w:rFonts w:hint="eastAsia" w:ascii="仿宋" w:hAnsi="仿宋" w:eastAsia="仿宋"/>
          <w:color w:val="000000"/>
          <w:sz w:val="32"/>
          <w:szCs w:val="32"/>
        </w:rPr>
        <w:t>万元,完成预算</w:t>
      </w:r>
      <w:r>
        <w:rPr>
          <w:rFonts w:ascii="仿宋" w:hAnsi="仿宋" w:eastAsia="仿宋"/>
          <w:color w:val="000000"/>
          <w:sz w:val="32"/>
          <w:u w:color="auto"/>
        </w:rPr>
        <w:t>0.00</w:t>
      </w:r>
      <w:r>
        <w:rPr>
          <w:rFonts w:hint="eastAsia" w:ascii="仿宋" w:hAnsi="仿宋" w:eastAsia="仿宋"/>
          <w:color w:val="000000"/>
          <w:sz w:val="32"/>
          <w:szCs w:val="32"/>
        </w:rPr>
        <w:t>%。公务用车购置及运行维护费支出决算比</w:t>
      </w:r>
      <w:r>
        <w:rPr>
          <w:rFonts w:ascii="仿宋" w:hAnsi="仿宋" w:eastAsia="仿宋"/>
          <w:color w:val="000000"/>
          <w:sz w:val="32"/>
          <w:u w:color="auto"/>
        </w:rPr>
        <w:t>2021年增加0.00</w:t>
      </w:r>
      <w:r>
        <w:rPr>
          <w:rFonts w:hint="eastAsia" w:ascii="仿宋" w:hAnsi="仿宋" w:eastAsia="仿宋"/>
          <w:color w:val="000000"/>
          <w:sz w:val="32"/>
          <w:szCs w:val="32"/>
        </w:rPr>
        <w:t>万元，</w:t>
      </w:r>
      <w:r>
        <w:rPr>
          <w:rFonts w:ascii="仿宋" w:hAnsi="仿宋" w:eastAsia="仿宋"/>
          <w:color w:val="000000"/>
          <w:sz w:val="32"/>
          <w:u w:color="auto"/>
        </w:rPr>
        <w:t>增加0.00</w:t>
      </w:r>
      <w:r>
        <w:rPr>
          <w:rFonts w:hint="eastAsia" w:ascii="仿宋" w:hAnsi="仿宋" w:eastAsia="仿宋"/>
          <w:color w:val="000000"/>
          <w:sz w:val="32"/>
          <w:szCs w:val="32"/>
        </w:rPr>
        <w:t>%。</w:t>
      </w:r>
      <w:r>
        <w:rPr>
          <w:rFonts w:ascii="仿宋" w:hAnsi="仿宋" w:eastAsia="仿宋"/>
          <w:color w:val="000000"/>
          <w:sz w:val="32"/>
          <w:u w:color="auto"/>
        </w:rPr>
        <w:t xml:space="preserve"> </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其中：公务用车购置支出</w:t>
      </w:r>
      <w:r>
        <w:rPr>
          <w:rFonts w:ascii="仿宋" w:hAnsi="仿宋" w:eastAsia="仿宋"/>
          <w:color w:val="000000"/>
          <w:sz w:val="32"/>
          <w:u w:color="auto"/>
        </w:rPr>
        <w:t>0.00万元。全年按规定更新购置公务用车0辆，其中：轿车0辆、金额0.00万元，越野车0辆、金额0.00万元，载客汽车0辆、金额0.00万元。截至</w:t>
      </w:r>
      <w:r>
        <w:rPr>
          <w:rFonts w:ascii="仿宋" w:hAnsi="仿宋" w:eastAsia="仿宋"/>
          <w:color w:val="000000"/>
          <w:sz w:val="32"/>
          <w:szCs w:val="32"/>
        </w:rPr>
        <w:t>2022</w:t>
      </w:r>
      <w:r>
        <w:rPr>
          <w:rFonts w:hint="eastAsia" w:ascii="仿宋" w:hAnsi="仿宋" w:eastAsia="仿宋"/>
          <w:color w:val="000000"/>
          <w:sz w:val="32"/>
          <w:szCs w:val="32"/>
        </w:rPr>
        <w:t>年</w:t>
      </w:r>
      <w:r>
        <w:rPr>
          <w:rFonts w:ascii="仿宋" w:hAnsi="仿宋" w:eastAsia="仿宋"/>
          <w:color w:val="000000"/>
          <w:sz w:val="32"/>
          <w:szCs w:val="32"/>
        </w:rPr>
        <w:t>12</w:t>
      </w:r>
      <w:r>
        <w:rPr>
          <w:rFonts w:hint="eastAsia" w:ascii="仿宋" w:hAnsi="仿宋" w:eastAsia="仿宋"/>
          <w:color w:val="000000"/>
          <w:sz w:val="32"/>
          <w:szCs w:val="32"/>
        </w:rPr>
        <w:t>月底，单位共有公务用车</w:t>
      </w:r>
      <w:r>
        <w:rPr>
          <w:rFonts w:ascii="仿宋" w:hAnsi="仿宋" w:eastAsia="仿宋"/>
          <w:color w:val="000000"/>
          <w:sz w:val="32"/>
          <w:u w:color="auto"/>
        </w:rPr>
        <w:t>6</w:t>
      </w:r>
      <w:r>
        <w:rPr>
          <w:rFonts w:hint="eastAsia" w:ascii="仿宋" w:hAnsi="仿宋" w:eastAsia="仿宋"/>
          <w:color w:val="000000"/>
          <w:sz w:val="32"/>
          <w:szCs w:val="32"/>
        </w:rPr>
        <w:t>辆，其中：轿车</w:t>
      </w:r>
      <w:r>
        <w:rPr>
          <w:rFonts w:ascii="仿宋" w:hAnsi="仿宋" w:eastAsia="仿宋"/>
          <w:color w:val="000000"/>
          <w:sz w:val="32"/>
          <w:u w:color="auto"/>
        </w:rPr>
        <w:t>0辆、越野车1辆、载客汽车0辆。</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公务用车运行维护费支出</w:t>
      </w:r>
      <w:r>
        <w:rPr>
          <w:rFonts w:ascii="仿宋" w:hAnsi="仿宋" w:eastAsia="仿宋"/>
          <w:color w:val="000000"/>
          <w:sz w:val="32"/>
          <w:u w:color="auto"/>
        </w:rPr>
        <w:t>0.00</w:t>
      </w:r>
      <w:r>
        <w:rPr>
          <w:rFonts w:hint="eastAsia" w:ascii="仿宋" w:hAnsi="仿宋" w:eastAsia="仿宋"/>
          <w:color w:val="000000"/>
          <w:sz w:val="32"/>
          <w:szCs w:val="32"/>
        </w:rPr>
        <w:t>万元。</w:t>
      </w:r>
      <w:r>
        <w:rPr>
          <w:rFonts w:ascii="仿宋" w:hAnsi="仿宋" w:eastAsia="仿宋"/>
          <w:color w:val="000000"/>
          <w:sz w:val="32"/>
          <w:u w:color="auto"/>
        </w:rPr>
        <w:t xml:space="preserve"> </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3.公务接待费支出</w:t>
      </w:r>
      <w:r>
        <w:rPr>
          <w:rFonts w:ascii="仿宋" w:hAnsi="仿宋" w:eastAsia="仿宋"/>
          <w:color w:val="000000"/>
          <w:sz w:val="32"/>
          <w:u w:color="auto"/>
        </w:rPr>
        <w:t>0.00万元，完成预算0.00</w:t>
      </w:r>
      <w:r>
        <w:rPr>
          <w:rFonts w:hint="eastAsia" w:ascii="仿宋" w:hAnsi="仿宋" w:eastAsia="仿宋"/>
          <w:color w:val="000000"/>
          <w:sz w:val="32"/>
          <w:szCs w:val="32"/>
        </w:rPr>
        <w:t>%。公务接待费支出决算比</w:t>
      </w:r>
      <w:r>
        <w:rPr>
          <w:rFonts w:ascii="仿宋" w:hAnsi="仿宋" w:eastAsia="仿宋"/>
          <w:color w:val="000000"/>
          <w:sz w:val="32"/>
          <w:u w:color="auto"/>
        </w:rPr>
        <w:t>2021年增加0.00</w:t>
      </w:r>
      <w:r>
        <w:rPr>
          <w:rFonts w:hint="eastAsia" w:ascii="仿宋" w:hAnsi="仿宋" w:eastAsia="仿宋"/>
          <w:color w:val="000000"/>
          <w:sz w:val="32"/>
          <w:szCs w:val="32"/>
        </w:rPr>
        <w:t>万元，</w:t>
      </w:r>
      <w:r>
        <w:rPr>
          <w:rFonts w:ascii="仿宋" w:hAnsi="仿宋" w:eastAsia="仿宋"/>
          <w:color w:val="000000"/>
          <w:sz w:val="32"/>
          <w:u w:color="auto"/>
        </w:rPr>
        <w:t>增加0.00</w:t>
      </w:r>
      <w:r>
        <w:rPr>
          <w:rFonts w:ascii="仿宋" w:hAnsi="仿宋" w:eastAsia="仿宋"/>
          <w:color w:val="000000"/>
          <w:sz w:val="32"/>
          <w:szCs w:val="32"/>
        </w:rPr>
        <w:t>%</w:t>
      </w:r>
      <w:r>
        <w:rPr>
          <w:rFonts w:hint="eastAsia" w:ascii="仿宋" w:hAnsi="仿宋" w:eastAsia="仿宋"/>
          <w:color w:val="000000"/>
          <w:sz w:val="32"/>
          <w:szCs w:val="32"/>
        </w:rPr>
        <w:t>。</w:t>
      </w:r>
      <w:bookmarkStart w:id="55" w:name="_Toc15377218"/>
      <w:r>
        <w:rPr>
          <w:rFonts w:hint="eastAsia" w:ascii="仿宋" w:hAnsi="仿宋" w:eastAsia="仿宋"/>
          <w:color w:val="000000"/>
          <w:sz w:val="32"/>
          <w:szCs w:val="32"/>
        </w:rPr>
        <w:t xml:space="preserve"> </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国内公务接待支出</w:t>
      </w:r>
      <w:r>
        <w:rPr>
          <w:rFonts w:ascii="仿宋" w:hAnsi="仿宋" w:eastAsia="仿宋"/>
          <w:color w:val="000000"/>
          <w:sz w:val="32"/>
          <w:u w:color="auto"/>
        </w:rPr>
        <w:t>0.00万元。国内公务接待0批次，0人次（不包括陪同人员），共计支出0.00万元。</w:t>
      </w:r>
    </w:p>
    <w:p>
      <w:pPr>
        <w:pStyle w:val="6"/>
        <w:rPr>
          <w:rFonts w:ascii="仿宋" w:hAnsi="仿宋" w:eastAsia="仿宋"/>
          <w:color w:val="000000"/>
          <w:sz w:val="32"/>
          <w:szCs w:val="32"/>
        </w:rPr>
      </w:pPr>
      <w:r>
        <w:rPr>
          <w:rFonts w:hint="eastAsia" w:ascii="仿宋" w:hAnsi="仿宋" w:eastAsia="仿宋"/>
          <w:color w:val="000000"/>
          <w:sz w:val="32"/>
          <w:szCs w:val="32"/>
        </w:rPr>
        <w:t>外事接待支出</w:t>
      </w:r>
      <w:r>
        <w:rPr>
          <w:rFonts w:ascii="仿宋" w:hAnsi="仿宋" w:eastAsia="仿宋"/>
          <w:color w:val="000000"/>
          <w:sz w:val="32"/>
          <w:u w:color="auto"/>
        </w:rPr>
        <w:t>0.00万元，外事接待0批次，0人，共计支出0.00万元。</w:t>
      </w:r>
    </w:p>
    <w:p>
      <w:pPr>
        <w:pStyle w:val="4"/>
        <w:ind w:firstLine="643" w:firstLineChars="200"/>
        <w:rPr>
          <w:rFonts w:ascii="黑体" w:eastAsia="黑体" w:cs="Times New Roman"/>
          <w:bCs w:val="0"/>
          <w:color w:val="000000"/>
        </w:rPr>
      </w:pPr>
      <w:bookmarkStart w:id="56" w:name="_Toc111208506"/>
      <w:bookmarkStart w:id="57" w:name="_Toc10308"/>
      <w:r>
        <w:rPr>
          <w:rFonts w:hint="eastAsia" w:ascii="黑体" w:eastAsia="黑体" w:cs="Times New Roman"/>
          <w:bCs w:val="0"/>
          <w:color w:val="000000"/>
        </w:rPr>
        <w:t>八、政府性基金预算支出决算情况说明</w:t>
      </w:r>
      <w:bookmarkEnd w:id="55"/>
      <w:bookmarkEnd w:id="56"/>
      <w:bookmarkEnd w:id="57"/>
    </w:p>
    <w:p>
      <w:pPr>
        <w:spacing w:line="600" w:lineRule="exact"/>
        <w:ind w:firstLine="640"/>
        <w:rPr>
          <w:rFonts w:ascii="仿宋" w:hAnsi="仿宋" w:eastAsia="仿宋"/>
        </w:rPr>
      </w:pPr>
      <w:r>
        <w:rPr>
          <w:rFonts w:hint="eastAsia" w:ascii="仿宋" w:hAnsi="仿宋" w:eastAsia="仿宋"/>
          <w:color w:val="000000"/>
          <w:sz w:val="32"/>
          <w:szCs w:val="32"/>
        </w:rPr>
        <w:t>2022</w:t>
      </w:r>
      <w:r>
        <w:rPr>
          <w:rFonts w:ascii="仿宋" w:hAnsi="仿宋" w:eastAsia="仿宋"/>
          <w:color w:val="000000"/>
          <w:sz w:val="32"/>
          <w:u w:color="auto"/>
        </w:rPr>
        <w:t>年政府性基金预算拨款支出0.00</w:t>
      </w:r>
      <w:r>
        <w:rPr>
          <w:rFonts w:hint="eastAsia" w:ascii="仿宋" w:hAnsi="仿宋" w:eastAsia="仿宋"/>
          <w:color w:val="000000"/>
          <w:sz w:val="32"/>
          <w:szCs w:val="32"/>
        </w:rPr>
        <w:t>万元。</w:t>
      </w:r>
      <w:bookmarkStart w:id="58" w:name="_Toc15377219"/>
    </w:p>
    <w:p>
      <w:pPr>
        <w:pStyle w:val="4"/>
        <w:ind w:firstLine="643" w:firstLineChars="200"/>
        <w:rPr>
          <w:rFonts w:ascii="黑体" w:eastAsia="黑体" w:cs="Times New Roman"/>
          <w:bCs w:val="0"/>
          <w:color w:val="000000"/>
        </w:rPr>
      </w:pPr>
      <w:bookmarkStart w:id="59" w:name="_Toc16770"/>
      <w:bookmarkStart w:id="60" w:name="_Toc111208507"/>
      <w:r>
        <w:rPr>
          <w:rFonts w:hint="eastAsia" w:ascii="黑体" w:eastAsia="黑体" w:cs="Times New Roman"/>
          <w:bCs w:val="0"/>
          <w:color w:val="000000"/>
        </w:rPr>
        <w:t>九、国有资本经营预算支出决算情况说明</w:t>
      </w:r>
      <w:bookmarkEnd w:id="58"/>
      <w:bookmarkEnd w:id="59"/>
      <w:bookmarkEnd w:id="60"/>
    </w:p>
    <w:p>
      <w:pPr>
        <w:spacing w:line="600" w:lineRule="exact"/>
        <w:ind w:firstLine="640"/>
        <w:rPr>
          <w:rFonts w:ascii="仿宋" w:hAnsi="仿宋" w:eastAsia="仿宋"/>
        </w:rPr>
      </w:pPr>
      <w:r>
        <w:rPr>
          <w:rFonts w:hint="eastAsia" w:ascii="仿宋" w:hAnsi="仿宋" w:eastAsia="仿宋"/>
          <w:color w:val="000000"/>
          <w:sz w:val="32"/>
          <w:szCs w:val="32"/>
        </w:rPr>
        <w:t>2022</w:t>
      </w:r>
      <w:r>
        <w:rPr>
          <w:rFonts w:ascii="仿宋" w:hAnsi="仿宋" w:eastAsia="仿宋"/>
          <w:color w:val="000000"/>
          <w:sz w:val="32"/>
          <w:u w:color="auto"/>
        </w:rPr>
        <w:t>年国有资本经营预算拨款支出0.00</w:t>
      </w:r>
      <w:r>
        <w:rPr>
          <w:rFonts w:hint="eastAsia" w:ascii="仿宋" w:hAnsi="仿宋" w:eastAsia="仿宋"/>
          <w:color w:val="000000"/>
          <w:sz w:val="32"/>
          <w:szCs w:val="32"/>
        </w:rPr>
        <w:t>万元。</w:t>
      </w:r>
    </w:p>
    <w:p>
      <w:pPr>
        <w:pStyle w:val="4"/>
        <w:ind w:firstLine="643" w:firstLineChars="200"/>
        <w:rPr>
          <w:rFonts w:ascii="黑体" w:eastAsia="黑体" w:cs="Times New Roman"/>
          <w:bCs w:val="0"/>
          <w:color w:val="000000"/>
        </w:rPr>
      </w:pPr>
      <w:bookmarkStart w:id="61" w:name="_Toc111208508"/>
      <w:bookmarkStart w:id="62" w:name="_Toc29441"/>
      <w:bookmarkStart w:id="63" w:name="_Toc15377221"/>
      <w:r>
        <w:rPr>
          <w:rFonts w:hint="eastAsia" w:ascii="黑体" w:eastAsia="黑体" w:cs="Times New Roman"/>
          <w:bCs w:val="0"/>
          <w:color w:val="000000"/>
        </w:rPr>
        <w:t>十、其他重要事项的情况说明</w:t>
      </w:r>
      <w:bookmarkEnd w:id="61"/>
      <w:bookmarkEnd w:id="62"/>
      <w:bookmarkEnd w:id="63"/>
    </w:p>
    <w:p>
      <w:pPr>
        <w:spacing w:line="600" w:lineRule="exact"/>
        <w:ind w:firstLine="643" w:firstLineChars="200"/>
        <w:outlineLvl w:val="2"/>
        <w:rPr>
          <w:rFonts w:ascii="仿宋" w:hAnsi="仿宋" w:eastAsia="仿宋"/>
          <w:b/>
          <w:color w:val="000000"/>
          <w:sz w:val="32"/>
          <w:szCs w:val="32"/>
        </w:rPr>
      </w:pPr>
      <w:bookmarkStart w:id="64" w:name="_Toc15377222"/>
      <w:r>
        <w:rPr>
          <w:rFonts w:hint="eastAsia" w:ascii="仿宋" w:hAnsi="仿宋" w:eastAsia="仿宋"/>
          <w:b/>
          <w:color w:val="000000"/>
          <w:sz w:val="32"/>
          <w:szCs w:val="32"/>
        </w:rPr>
        <w:t>（一）机关运行经费支出情况</w:t>
      </w:r>
      <w:bookmarkEnd w:id="64"/>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2022</w:t>
      </w:r>
      <w:r>
        <w:rPr>
          <w:rFonts w:ascii="仿宋" w:hAnsi="仿宋" w:eastAsia="仿宋"/>
          <w:color w:val="000000"/>
          <w:sz w:val="32"/>
          <w:u w:color="auto"/>
        </w:rPr>
        <w:t>年，机关运行经费支出0.00</w:t>
      </w:r>
      <w:r>
        <w:rPr>
          <w:rFonts w:hint="eastAsia" w:ascii="仿宋" w:hAnsi="仿宋" w:eastAsia="仿宋"/>
          <w:color w:val="000000"/>
          <w:sz w:val="32"/>
          <w:szCs w:val="32"/>
        </w:rPr>
        <w:t>万元，比</w:t>
      </w:r>
      <w:r>
        <w:rPr>
          <w:rFonts w:ascii="仿宋" w:hAnsi="仿宋" w:eastAsia="仿宋"/>
          <w:color w:val="000000"/>
          <w:sz w:val="32"/>
          <w:u w:color="auto"/>
        </w:rPr>
        <w:t>2021年增加0.00</w:t>
      </w:r>
      <w:r>
        <w:rPr>
          <w:rFonts w:hint="eastAsia" w:ascii="仿宋" w:hAnsi="仿宋" w:eastAsia="仿宋"/>
          <w:color w:val="000000"/>
          <w:sz w:val="32"/>
          <w:szCs w:val="32"/>
        </w:rPr>
        <w:t>万元，</w:t>
      </w:r>
      <w:r>
        <w:rPr>
          <w:rFonts w:ascii="仿宋" w:hAnsi="仿宋" w:eastAsia="仿宋"/>
          <w:color w:val="000000"/>
          <w:sz w:val="32"/>
          <w:u w:color="auto"/>
        </w:rPr>
        <w:t xml:space="preserve">增加0.00 %。 </w:t>
      </w:r>
    </w:p>
    <w:p>
      <w:pPr>
        <w:spacing w:line="600" w:lineRule="exact"/>
        <w:ind w:firstLine="643" w:firstLineChars="200"/>
        <w:outlineLvl w:val="2"/>
        <w:rPr>
          <w:rFonts w:ascii="仿宋" w:hAnsi="仿宋" w:eastAsia="仿宋"/>
          <w:b/>
          <w:color w:val="000000"/>
          <w:sz w:val="32"/>
          <w:szCs w:val="32"/>
        </w:rPr>
      </w:pPr>
      <w:bookmarkStart w:id="65" w:name="_Toc15377223"/>
      <w:r>
        <w:rPr>
          <w:rFonts w:hint="eastAsia" w:ascii="仿宋" w:hAnsi="仿宋" w:eastAsia="仿宋"/>
          <w:b/>
          <w:color w:val="000000"/>
          <w:sz w:val="32"/>
          <w:szCs w:val="32"/>
        </w:rPr>
        <w:t>（二）政府采购支出情况</w:t>
      </w:r>
      <w:bookmarkEnd w:id="65"/>
      <w:r>
        <w:rPr>
          <w:rFonts w:hint="eastAsia" w:ascii="仿宋" w:hAnsi="仿宋" w:eastAsia="仿宋"/>
          <w:b/>
          <w:color w:val="000000"/>
          <w:sz w:val="32"/>
          <w:szCs w:val="32"/>
        </w:rPr>
        <w:t>(机构运行信息表)</w:t>
      </w:r>
    </w:p>
    <w:p>
      <w:pPr>
        <w:spacing w:line="600" w:lineRule="exact"/>
        <w:ind w:firstLine="640"/>
        <w:rPr>
          <w:rFonts w:ascii="仿宋_GB2312" w:eastAsia="仿宋_GB2312"/>
          <w:color w:val="000000"/>
          <w:sz w:val="32"/>
          <w:szCs w:val="32"/>
        </w:rPr>
      </w:pPr>
      <w:r>
        <w:rPr>
          <w:rFonts w:hint="eastAsia" w:ascii="仿宋" w:hAnsi="仿宋" w:eastAsia="仿宋"/>
          <w:color w:val="000000"/>
          <w:sz w:val="32"/>
          <w:szCs w:val="32"/>
        </w:rPr>
        <w:t>2022</w:t>
      </w:r>
      <w:r>
        <w:rPr>
          <w:rFonts w:ascii="仿宋" w:hAnsi="仿宋" w:eastAsia="仿宋"/>
          <w:color w:val="000000"/>
          <w:sz w:val="32"/>
          <w:u w:color="auto"/>
        </w:rPr>
        <w:t>年，政府采购支出总额105.69</w:t>
      </w:r>
      <w:r>
        <w:rPr>
          <w:rFonts w:hint="eastAsia" w:ascii="仿宋" w:hAnsi="仿宋" w:eastAsia="仿宋"/>
          <w:color w:val="000000"/>
          <w:sz w:val="32"/>
          <w:szCs w:val="32"/>
        </w:rPr>
        <w:t>万元，其中：政府采购货物支出</w:t>
      </w:r>
      <w:r>
        <w:rPr>
          <w:rFonts w:ascii="仿宋" w:hAnsi="仿宋" w:eastAsia="仿宋"/>
          <w:color w:val="000000"/>
          <w:sz w:val="32"/>
          <w:u w:color="auto"/>
        </w:rPr>
        <w:t>105.69</w:t>
      </w:r>
      <w:r>
        <w:rPr>
          <w:rFonts w:hint="eastAsia" w:ascii="仿宋" w:hAnsi="仿宋" w:eastAsia="仿宋"/>
          <w:color w:val="000000"/>
          <w:sz w:val="32"/>
          <w:szCs w:val="32"/>
        </w:rPr>
        <w:t>万元、政府采购工程支出</w:t>
      </w:r>
      <w:r>
        <w:rPr>
          <w:rFonts w:ascii="仿宋" w:hAnsi="仿宋" w:eastAsia="仿宋"/>
          <w:color w:val="000000"/>
          <w:sz w:val="32"/>
          <w:u w:color="auto"/>
        </w:rPr>
        <w:t>0.00</w:t>
      </w:r>
      <w:r>
        <w:rPr>
          <w:rFonts w:hint="eastAsia" w:ascii="仿宋" w:hAnsi="仿宋" w:eastAsia="仿宋"/>
          <w:color w:val="000000"/>
          <w:sz w:val="32"/>
          <w:szCs w:val="32"/>
        </w:rPr>
        <w:t>万元、政府采购服务支出</w:t>
      </w:r>
      <w:r>
        <w:rPr>
          <w:rFonts w:ascii="仿宋" w:hAnsi="仿宋" w:eastAsia="仿宋"/>
          <w:color w:val="000000"/>
          <w:sz w:val="32"/>
          <w:u w:color="auto"/>
        </w:rPr>
        <w:t>0.00</w:t>
      </w:r>
      <w:r>
        <w:rPr>
          <w:rFonts w:hint="eastAsia" w:ascii="仿宋" w:hAnsi="仿宋" w:eastAsia="仿宋"/>
          <w:color w:val="000000"/>
          <w:sz w:val="32"/>
          <w:szCs w:val="32"/>
        </w:rPr>
        <w:t>万元。授予中小企业合同金额</w:t>
      </w:r>
      <w:r>
        <w:rPr>
          <w:rFonts w:ascii="仿宋" w:hAnsi="仿宋" w:eastAsia="仿宋"/>
          <w:color w:val="000000"/>
          <w:sz w:val="32"/>
          <w:u w:color="auto"/>
        </w:rPr>
        <w:t>105.69</w:t>
      </w:r>
      <w:r>
        <w:rPr>
          <w:rFonts w:hint="eastAsia" w:ascii="仿宋" w:hAnsi="仿宋" w:eastAsia="仿宋"/>
          <w:color w:val="000000"/>
          <w:sz w:val="32"/>
          <w:szCs w:val="32"/>
        </w:rPr>
        <w:t>万元，其中：授予小微企业合同金额</w:t>
      </w:r>
      <w:r>
        <w:rPr>
          <w:rFonts w:ascii="仿宋" w:hAnsi="仿宋" w:eastAsia="仿宋"/>
          <w:color w:val="000000"/>
          <w:sz w:val="32"/>
          <w:u w:color="auto"/>
        </w:rPr>
        <w:t>0.00</w:t>
      </w:r>
      <w:r>
        <w:rPr>
          <w:rFonts w:hint="eastAsia" w:ascii="仿宋" w:hAnsi="仿宋" w:eastAsia="仿宋"/>
          <w:color w:val="000000"/>
          <w:sz w:val="32"/>
          <w:szCs w:val="32"/>
        </w:rPr>
        <w:t>万元，占总合同的</w:t>
      </w:r>
      <w:r>
        <w:rPr>
          <w:rFonts w:ascii="仿宋" w:hAnsi="仿宋" w:eastAsia="仿宋"/>
          <w:color w:val="000000"/>
          <w:sz w:val="32"/>
          <w:u w:color="auto"/>
        </w:rPr>
        <w:t>0.00</w:t>
      </w:r>
      <w:r>
        <w:rPr>
          <w:rFonts w:hint="eastAsia" w:ascii="仿宋" w:hAnsi="仿宋" w:eastAsia="仿宋"/>
          <w:color w:val="000000"/>
          <w:sz w:val="32"/>
          <w:szCs w:val="32"/>
        </w:rPr>
        <w:t>%。</w:t>
      </w:r>
    </w:p>
    <w:p>
      <w:pPr>
        <w:spacing w:line="600" w:lineRule="exact"/>
        <w:ind w:firstLine="643" w:firstLineChars="200"/>
        <w:outlineLvl w:val="2"/>
        <w:rPr>
          <w:rFonts w:ascii="仿宋" w:hAnsi="仿宋" w:eastAsia="仿宋"/>
          <w:b/>
          <w:color w:val="000000"/>
          <w:sz w:val="32"/>
          <w:szCs w:val="32"/>
        </w:rPr>
      </w:pPr>
      <w:bookmarkStart w:id="66" w:name="_Toc15377224"/>
      <w:r>
        <w:rPr>
          <w:rFonts w:hint="eastAsia" w:ascii="仿宋" w:hAnsi="仿宋" w:eastAsia="仿宋"/>
          <w:b/>
          <w:color w:val="000000"/>
          <w:sz w:val="32"/>
          <w:szCs w:val="32"/>
        </w:rPr>
        <w:t>（三）国有资产占有使用情况</w:t>
      </w:r>
      <w:bookmarkEnd w:id="66"/>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截至</w:t>
      </w:r>
      <w:r>
        <w:rPr>
          <w:rFonts w:ascii="仿宋" w:hAnsi="仿宋" w:eastAsia="仿宋"/>
          <w:color w:val="000000"/>
          <w:sz w:val="32"/>
          <w:u w:color="auto"/>
        </w:rPr>
        <w:t>2022年</w:t>
      </w:r>
      <w:r>
        <w:rPr>
          <w:rFonts w:ascii="仿宋" w:hAnsi="仿宋" w:eastAsia="仿宋"/>
          <w:color w:val="000000"/>
          <w:sz w:val="32"/>
          <w:szCs w:val="32"/>
        </w:rPr>
        <w:t>12</w:t>
      </w:r>
      <w:r>
        <w:rPr>
          <w:rFonts w:hint="eastAsia" w:ascii="仿宋" w:hAnsi="仿宋" w:eastAsia="仿宋"/>
          <w:color w:val="000000"/>
          <w:sz w:val="32"/>
          <w:szCs w:val="32"/>
        </w:rPr>
        <w:t>月</w:t>
      </w:r>
      <w:r>
        <w:rPr>
          <w:rFonts w:ascii="仿宋" w:hAnsi="仿宋" w:eastAsia="仿宋"/>
          <w:color w:val="000000"/>
          <w:sz w:val="32"/>
          <w:szCs w:val="32"/>
        </w:rPr>
        <w:t>31</w:t>
      </w:r>
      <w:r>
        <w:rPr>
          <w:rFonts w:hint="eastAsia" w:ascii="仿宋" w:hAnsi="仿宋" w:eastAsia="仿宋"/>
          <w:color w:val="000000"/>
          <w:sz w:val="32"/>
          <w:szCs w:val="32"/>
        </w:rPr>
        <w:t>日，共有车辆</w:t>
      </w:r>
      <w:r>
        <w:rPr>
          <w:rFonts w:ascii="仿宋" w:hAnsi="仿宋" w:eastAsia="仿宋"/>
          <w:color w:val="000000"/>
          <w:sz w:val="32"/>
          <w:u w:color="auto"/>
        </w:rPr>
        <w:t>6辆，其中：主要领导干部用车0</w:t>
      </w:r>
      <w:r>
        <w:rPr>
          <w:rFonts w:hint="eastAsia" w:ascii="仿宋" w:hAnsi="仿宋" w:eastAsia="仿宋"/>
          <w:color w:val="000000"/>
          <w:sz w:val="32"/>
          <w:szCs w:val="32"/>
        </w:rPr>
        <w:t>辆、机要通信用车</w:t>
      </w:r>
      <w:r>
        <w:rPr>
          <w:rFonts w:ascii="仿宋" w:hAnsi="仿宋" w:eastAsia="仿宋"/>
          <w:color w:val="000000"/>
          <w:sz w:val="32"/>
          <w:u w:color="auto"/>
        </w:rPr>
        <w:t>0</w:t>
      </w:r>
      <w:r>
        <w:rPr>
          <w:rFonts w:hint="eastAsia" w:ascii="仿宋" w:hAnsi="仿宋" w:eastAsia="仿宋"/>
          <w:color w:val="000000"/>
          <w:sz w:val="32"/>
          <w:szCs w:val="32"/>
        </w:rPr>
        <w:t>辆、应急保障用车</w:t>
      </w:r>
      <w:r>
        <w:rPr>
          <w:rFonts w:ascii="仿宋" w:hAnsi="仿宋" w:eastAsia="仿宋"/>
          <w:color w:val="000000"/>
          <w:sz w:val="32"/>
          <w:u w:color="auto"/>
        </w:rPr>
        <w:t>2</w:t>
      </w:r>
      <w:r>
        <w:rPr>
          <w:rFonts w:hint="eastAsia" w:ascii="仿宋" w:hAnsi="仿宋" w:eastAsia="仿宋"/>
          <w:color w:val="000000"/>
          <w:sz w:val="32"/>
          <w:szCs w:val="32"/>
        </w:rPr>
        <w:t>辆、其他用车</w:t>
      </w:r>
      <w:r>
        <w:rPr>
          <w:rFonts w:ascii="仿宋" w:hAnsi="仿宋" w:eastAsia="仿宋"/>
          <w:color w:val="000000"/>
          <w:sz w:val="32"/>
          <w:u w:color="auto"/>
        </w:rPr>
        <w:t>0</w:t>
      </w:r>
      <w:r>
        <w:rPr>
          <w:rFonts w:hint="eastAsia" w:ascii="仿宋" w:hAnsi="仿宋" w:eastAsia="仿宋"/>
          <w:color w:val="000000"/>
          <w:sz w:val="32"/>
          <w:szCs w:val="32"/>
        </w:rPr>
        <w:t>辆。单价</w:t>
      </w:r>
      <w:r>
        <w:rPr>
          <w:rFonts w:ascii="仿宋" w:hAnsi="仿宋" w:eastAsia="仿宋"/>
          <w:color w:val="000000"/>
          <w:sz w:val="32"/>
          <w:szCs w:val="32"/>
        </w:rPr>
        <w:t>100</w:t>
      </w:r>
      <w:r>
        <w:rPr>
          <w:rFonts w:hint="eastAsia" w:ascii="仿宋" w:hAnsi="仿宋" w:eastAsia="仿宋"/>
          <w:color w:val="000000"/>
          <w:sz w:val="32"/>
          <w:szCs w:val="32"/>
        </w:rPr>
        <w:t>万元以上专用设备</w:t>
      </w:r>
      <w:r>
        <w:rPr>
          <w:rFonts w:ascii="仿宋" w:hAnsi="仿宋" w:eastAsia="仿宋"/>
          <w:color w:val="000000"/>
          <w:sz w:val="32"/>
          <w:u w:color="auto"/>
        </w:rPr>
        <w:t>0</w:t>
      </w:r>
      <w:r>
        <w:rPr>
          <w:rFonts w:hint="eastAsia" w:ascii="仿宋" w:hAnsi="仿宋" w:eastAsia="仿宋"/>
          <w:color w:val="000000"/>
          <w:sz w:val="32"/>
          <w:szCs w:val="32"/>
        </w:rPr>
        <w:t>台（套）。</w:t>
      </w:r>
    </w:p>
    <w:p>
      <w:pPr>
        <w:spacing w:line="600" w:lineRule="exact"/>
        <w:ind w:firstLine="643" w:firstLineChars="200"/>
        <w:outlineLvl w:val="2"/>
        <w:rPr>
          <w:rFonts w:ascii="仿宋" w:hAnsi="仿宋" w:eastAsia="仿宋"/>
          <w:b/>
          <w:color w:val="000000"/>
          <w:sz w:val="32"/>
          <w:szCs w:val="32"/>
        </w:rPr>
      </w:pPr>
      <w:r>
        <w:rPr>
          <w:rFonts w:hint="eastAsia" w:ascii="仿宋" w:hAnsi="仿宋" w:eastAsia="仿宋"/>
          <w:b/>
          <w:color w:val="000000"/>
          <w:sz w:val="32"/>
          <w:szCs w:val="32"/>
        </w:rPr>
        <w:t>（四）预算绩效管理情况</w:t>
      </w:r>
    </w:p>
    <w:p>
      <w:pPr>
        <w:spacing w:line="580" w:lineRule="exact"/>
        <w:ind w:firstLine="640" w:firstLineChars="200"/>
        <w:rPr>
          <w:rFonts w:eastAsia="仿宋_GB2312" w:cs="Times New Roman"/>
          <w:highlight w:val="yellow"/>
        </w:rPr>
        <w:sectPr>
          <w:pgSz w:w="12240" w:h="15840"/>
          <w:pgMar w:top="1440" w:right="1800" w:bottom="1440" w:left="1800" w:header="720" w:footer="720" w:gutter="0"/>
          <w:cols w:space="720" w:num="1"/>
        </w:sectPr>
      </w:pPr>
      <w:r>
        <w:rPr>
          <w:rFonts w:hint="eastAsia" w:ascii="仿宋_GB2312" w:eastAsia="仿宋_GB2312"/>
          <w:sz w:val="32"/>
          <w:szCs w:val="32"/>
        </w:rPr>
        <w:t>根据预算绩效管理要求，本单位在2022年度预算编制阶段，组织对</w:t>
      </w:r>
      <w:r>
        <w:rPr>
          <w:rFonts w:hint="eastAsia" w:ascii="仿宋_GB2312" w:eastAsia="仿宋_GB2312"/>
          <w:sz w:val="32"/>
          <w:szCs w:val="32"/>
          <w:lang w:val="en-US" w:eastAsia="zh-CN"/>
        </w:rPr>
        <w:t>4</w:t>
      </w:r>
      <w:r>
        <w:rPr>
          <w:rFonts w:hint="eastAsia" w:ascii="仿宋_GB2312" w:eastAsia="仿宋_GB2312"/>
          <w:sz w:val="32"/>
          <w:szCs w:val="32"/>
        </w:rPr>
        <w:t>个项目开展了预算事前绩效评估，对</w:t>
      </w:r>
      <w:r>
        <w:rPr>
          <w:rFonts w:hint="eastAsia" w:ascii="仿宋_GB2312" w:eastAsia="仿宋_GB2312"/>
          <w:sz w:val="32"/>
          <w:szCs w:val="32"/>
          <w:lang w:val="en-US" w:eastAsia="zh-CN"/>
        </w:rPr>
        <w:t>4</w:t>
      </w:r>
      <w:r>
        <w:rPr>
          <w:rFonts w:hint="eastAsia" w:ascii="仿宋_GB2312" w:eastAsia="仿宋_GB2312"/>
          <w:sz w:val="32"/>
          <w:szCs w:val="32"/>
        </w:rPr>
        <w:t>个项目编制了绩效目标，预算执行过程中，选取</w:t>
      </w:r>
      <w:r>
        <w:rPr>
          <w:rFonts w:hint="eastAsia" w:ascii="仿宋_GB2312" w:eastAsia="仿宋_GB2312"/>
          <w:sz w:val="32"/>
          <w:szCs w:val="32"/>
          <w:lang w:val="en-US" w:eastAsia="zh-CN"/>
        </w:rPr>
        <w:t>4</w:t>
      </w:r>
      <w:r>
        <w:rPr>
          <w:rFonts w:hint="eastAsia" w:ascii="仿宋_GB2312" w:eastAsia="仿宋_GB2312"/>
          <w:sz w:val="32"/>
          <w:szCs w:val="32"/>
        </w:rPr>
        <w:t>个项目开展绩效监控，年终执行完毕后，对</w:t>
      </w:r>
      <w:r>
        <w:rPr>
          <w:rFonts w:hint="eastAsia" w:ascii="仿宋_GB2312" w:eastAsia="仿宋_GB2312"/>
          <w:sz w:val="32"/>
          <w:szCs w:val="32"/>
          <w:lang w:val="en-US" w:eastAsia="zh-CN"/>
        </w:rPr>
        <w:t>4</w:t>
      </w:r>
      <w:r>
        <w:rPr>
          <w:rFonts w:hint="eastAsia" w:ascii="仿宋_GB2312" w:eastAsia="仿宋_GB2312"/>
          <w:sz w:val="32"/>
          <w:szCs w:val="32"/>
        </w:rPr>
        <w:t>个项目开展了绩效自评，2022年特定目标类部门预算项目绩效目标自评表见附件（第四部分）</w:t>
      </w:r>
    </w:p>
    <w:p/>
    <w:p>
      <w:pPr>
        <w:widowControl/>
        <w:jc w:val="left"/>
        <w:rPr>
          <w:rFonts w:ascii="仿宋_GB2312" w:eastAsia="仿宋_GB2312"/>
          <w:b/>
          <w:color w:val="000000"/>
          <w:sz w:val="32"/>
          <w:szCs w:val="32"/>
        </w:rPr>
      </w:pPr>
    </w:p>
    <w:p>
      <w:pPr>
        <w:pStyle w:val="3"/>
        <w:jc w:val="center"/>
        <w:rPr>
          <w:rFonts w:ascii="黑体" w:hAnsi="黑体" w:eastAsia="黑体" w:cs="黑体"/>
        </w:rPr>
      </w:pPr>
      <w:bookmarkStart w:id="67" w:name="_Toc111208509"/>
      <w:bookmarkStart w:id="68" w:name="_Toc15377225"/>
      <w:bookmarkStart w:id="69" w:name="_Toc29516"/>
      <w:r>
        <w:rPr>
          <w:rFonts w:hint="eastAsia" w:ascii="黑体" w:hAnsi="黑体" w:eastAsia="黑体" w:cs="黑体"/>
        </w:rPr>
        <w:t>第三部分 名词解释</w:t>
      </w:r>
      <w:bookmarkEnd w:id="67"/>
      <w:bookmarkEnd w:id="68"/>
      <w:bookmarkEnd w:id="69"/>
    </w:p>
    <w:p>
      <w:pPr>
        <w:spacing w:line="600" w:lineRule="exact"/>
        <w:ind w:firstLine="640"/>
        <w:rPr>
          <w:rFonts w:ascii="仿宋" w:hAnsi="仿宋" w:eastAsia="仿宋"/>
          <w:color w:val="000000"/>
          <w:sz w:val="32"/>
          <w:szCs w:val="32"/>
        </w:rPr>
      </w:pPr>
      <w:r>
        <w:rPr>
          <w:rFonts w:ascii="仿宋" w:hAnsi="仿宋" w:eastAsia="仿宋"/>
          <w:color w:val="000000"/>
          <w:sz w:val="32"/>
          <w:szCs w:val="32"/>
        </w:rPr>
        <w:t>1.</w:t>
      </w:r>
      <w:r>
        <w:rPr>
          <w:rFonts w:hint="eastAsia" w:ascii="仿宋" w:hAnsi="仿宋" w:eastAsia="仿宋"/>
          <w:color w:val="000000"/>
          <w:sz w:val="32"/>
          <w:szCs w:val="32"/>
        </w:rPr>
        <w:t>财政拨款收入：指单位从同级财政部门取得的财政预算资金。</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2.</w:t>
      </w:r>
      <w:r>
        <w:rPr>
          <w:rFonts w:hint="eastAsia" w:ascii="仿宋" w:hAnsi="仿宋" w:eastAsia="仿宋"/>
          <w:color w:val="000000"/>
          <w:sz w:val="32"/>
          <w:szCs w:val="32"/>
        </w:rPr>
        <w:t>事业收入：指事业单位开展专业业务活动及辅助活动取得的收入。</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3.</w:t>
      </w:r>
      <w:r>
        <w:rPr>
          <w:rFonts w:hint="eastAsia" w:ascii="仿宋" w:hAnsi="仿宋" w:eastAsia="仿宋"/>
          <w:color w:val="000000"/>
          <w:sz w:val="32"/>
          <w:szCs w:val="32"/>
        </w:rPr>
        <w:t>经营收入：指事业单位在专业业务活动及其辅助活动之外开展非独立核算经营活动取得的收入</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4.</w:t>
      </w:r>
      <w:r>
        <w:rPr>
          <w:rFonts w:hint="eastAsia" w:ascii="仿宋" w:hAnsi="仿宋" w:eastAsia="仿宋"/>
          <w:color w:val="000000"/>
          <w:sz w:val="32"/>
          <w:szCs w:val="32"/>
        </w:rPr>
        <w:t>其他收入：指单位取得的除上述收入以外的各项收入。</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5.</w:t>
      </w:r>
      <w:r>
        <w:rPr>
          <w:rFonts w:hint="eastAsia" w:ascii="仿宋" w:hAnsi="仿宋" w:eastAsia="仿宋"/>
          <w:color w:val="000000"/>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 w:hAnsi="仿宋" w:eastAsia="仿宋"/>
          <w:color w:val="000000"/>
          <w:sz w:val="32"/>
          <w:szCs w:val="32"/>
        </w:rPr>
        <w:t xml:space="preserve"> </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6.</w:t>
      </w:r>
      <w:r>
        <w:rPr>
          <w:rFonts w:hint="eastAsia" w:ascii="仿宋" w:hAnsi="仿宋" w:eastAsia="仿宋"/>
          <w:color w:val="000000"/>
          <w:sz w:val="32"/>
          <w:szCs w:val="32"/>
        </w:rPr>
        <w:t>年初结转和结余：指以前年度尚未完成、结转到本年按有关规定继续使用的资金。</w:t>
      </w:r>
      <w:r>
        <w:rPr>
          <w:rFonts w:ascii="仿宋" w:hAnsi="仿宋" w:eastAsia="仿宋"/>
          <w:color w:val="000000"/>
          <w:sz w:val="32"/>
          <w:szCs w:val="32"/>
        </w:rPr>
        <w:t xml:space="preserve"> </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7.</w:t>
      </w:r>
      <w:r>
        <w:rPr>
          <w:rFonts w:hint="eastAsia" w:ascii="仿宋" w:hAnsi="仿宋" w:eastAsia="仿宋"/>
          <w:color w:val="000000"/>
          <w:sz w:val="32"/>
          <w:szCs w:val="32"/>
        </w:rPr>
        <w:t>结余分配：指事业单位按照事业单位会计制度的规定从非财政补助结余中分配的事业基金和职工福利基金等。</w:t>
      </w:r>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8</w:t>
      </w:r>
      <w:r>
        <w:rPr>
          <w:rFonts w:hint="eastAsia" w:ascii="仿宋" w:hAnsi="仿宋" w:eastAsia="仿宋"/>
          <w:color w:val="000000"/>
          <w:sz w:val="32"/>
          <w:szCs w:val="32"/>
        </w:rPr>
        <w:t>.年末结转和结余：指单位按有关规定结转到下年或以后年度继续使用的资金。</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9.社会保障和就业支出（类）行政事业单位养老支出（款）机关事业单位基本养老保险缴费支出（项）：反映机关事业单位实施养老保险制度由单位缴纳的基本养老保险费支出。</w:t>
      </w:r>
      <w:r>
        <w:rPr>
          <w:rFonts w:hint="eastAsia" w:ascii="仿宋" w:hAnsi="仿宋" w:eastAsia="仿宋"/>
          <w:color w:val="000000"/>
          <w:sz w:val="32"/>
          <w:szCs w:val="32"/>
        </w:rPr>
        <w:cr/>
      </w:r>
      <w:r>
        <w:rPr>
          <w:rFonts w:hint="eastAsia" w:ascii="仿宋" w:hAnsi="仿宋" w:eastAsia="仿宋"/>
          <w:color w:val="000000"/>
          <w:sz w:val="32"/>
          <w:szCs w:val="32"/>
        </w:rPr>
        <w:t xml:space="preserve">    10.社会保障和就业支出（类）行政事业单位养老支出（款）机关事业单位职业年金缴费支出（项）：反映机关事业单位实施养老保险制度由单位实际缴纳的职业年金支出。</w:t>
      </w:r>
      <w:r>
        <w:rPr>
          <w:rFonts w:hint="eastAsia" w:ascii="仿宋" w:hAnsi="仿宋" w:eastAsia="仿宋"/>
          <w:color w:val="000000"/>
          <w:sz w:val="32"/>
          <w:szCs w:val="32"/>
        </w:rPr>
        <w:cr/>
      </w:r>
      <w:r>
        <w:rPr>
          <w:rFonts w:hint="eastAsia" w:ascii="仿宋" w:hAnsi="仿宋" w:eastAsia="仿宋"/>
          <w:color w:val="000000"/>
          <w:sz w:val="32"/>
          <w:szCs w:val="32"/>
        </w:rPr>
        <w:t xml:space="preserve">    11.卫生健康支出（类）公立医院（款）中医（民族）医院（项）：反映卫生健康、中医部门所属的中医院、中西医结合医院、民族医院的支出。</w:t>
      </w:r>
      <w:r>
        <w:rPr>
          <w:rFonts w:hint="eastAsia" w:ascii="仿宋" w:hAnsi="仿宋" w:eastAsia="仿宋"/>
          <w:color w:val="000000"/>
          <w:sz w:val="32"/>
          <w:szCs w:val="32"/>
        </w:rPr>
        <w:cr/>
      </w:r>
      <w:r>
        <w:rPr>
          <w:rFonts w:hint="eastAsia" w:ascii="仿宋" w:hAnsi="仿宋" w:eastAsia="仿宋"/>
          <w:color w:val="000000"/>
          <w:sz w:val="32"/>
          <w:szCs w:val="32"/>
        </w:rPr>
        <w:t xml:space="preserve">    12.卫生健康支出（类）公立医院（款）其他公立医院支出（项）：反映除上述项目以外的其他用于公立医院方面的支出。</w:t>
      </w:r>
      <w:r>
        <w:rPr>
          <w:rFonts w:hint="eastAsia" w:ascii="仿宋" w:hAnsi="仿宋" w:eastAsia="仿宋"/>
          <w:color w:val="000000"/>
          <w:sz w:val="32"/>
          <w:szCs w:val="32"/>
        </w:rPr>
        <w:cr/>
      </w:r>
      <w:r>
        <w:rPr>
          <w:rFonts w:hint="eastAsia" w:ascii="仿宋" w:hAnsi="仿宋" w:eastAsia="仿宋"/>
          <w:color w:val="000000"/>
          <w:sz w:val="32"/>
          <w:szCs w:val="32"/>
        </w:rPr>
        <w:t xml:space="preserve">    13.卫生健康支出（类）公共卫生（款）基本公共卫生服务（项）：反映基本公共卫生服务支出。</w:t>
      </w:r>
      <w:r>
        <w:rPr>
          <w:rFonts w:hint="eastAsia" w:ascii="仿宋" w:hAnsi="仿宋" w:eastAsia="仿宋"/>
          <w:color w:val="000000"/>
          <w:sz w:val="32"/>
          <w:szCs w:val="32"/>
        </w:rPr>
        <w:cr/>
      </w:r>
      <w:r>
        <w:rPr>
          <w:rFonts w:hint="eastAsia" w:ascii="仿宋" w:hAnsi="仿宋" w:eastAsia="仿宋"/>
          <w:color w:val="000000"/>
          <w:sz w:val="32"/>
          <w:szCs w:val="32"/>
        </w:rPr>
        <w:t xml:space="preserve">    14.卫生健康支出（类）行政事业单位医疗（款）事业单位医疗（项）：反映财政部门安排的事业单位基本医疗保险缴费经费，未参加医疗保险的事业单位的公费医疗经费，按国家规定享受离休人员待遇的医疗经费。</w:t>
      </w:r>
      <w:r>
        <w:rPr>
          <w:rFonts w:hint="eastAsia" w:ascii="仿宋" w:hAnsi="仿宋" w:eastAsia="仿宋"/>
          <w:color w:val="000000"/>
          <w:sz w:val="32"/>
          <w:szCs w:val="32"/>
        </w:rPr>
        <w:cr/>
      </w:r>
      <w:r>
        <w:rPr>
          <w:rFonts w:hint="eastAsia" w:ascii="仿宋" w:hAnsi="仿宋" w:eastAsia="仿宋"/>
          <w:color w:val="000000"/>
          <w:sz w:val="32"/>
          <w:szCs w:val="32"/>
        </w:rPr>
        <w:t xml:space="preserve">    15.卫生健康支出（类）行政事业单位医疗（款）其他行政事业单位医疗支出（项）：反映除上述项目以外的其他用于行政事业单位医疗方面的支出。</w:t>
      </w:r>
      <w:r>
        <w:rPr>
          <w:rFonts w:hint="eastAsia" w:ascii="仿宋" w:hAnsi="仿宋" w:eastAsia="仿宋"/>
          <w:color w:val="000000"/>
          <w:sz w:val="32"/>
          <w:szCs w:val="32"/>
        </w:rPr>
        <w:cr/>
      </w:r>
      <w:r>
        <w:rPr>
          <w:rFonts w:hint="eastAsia" w:ascii="仿宋" w:hAnsi="仿宋" w:eastAsia="仿宋"/>
          <w:color w:val="000000"/>
          <w:sz w:val="32"/>
          <w:szCs w:val="32"/>
        </w:rPr>
        <w:t xml:space="preserve">    16.卫生健康支出（类）其他卫生健康支出（款）其他卫生健康支出（项）：反映除上述项i以外其他用于卫生健康方面的支出。</w:t>
      </w:r>
      <w:r>
        <w:rPr>
          <w:rFonts w:hint="eastAsia" w:ascii="仿宋" w:hAnsi="仿宋" w:eastAsia="仿宋"/>
          <w:color w:val="000000"/>
          <w:sz w:val="32"/>
          <w:szCs w:val="32"/>
        </w:rPr>
        <w:cr/>
      </w:r>
      <w:r>
        <w:rPr>
          <w:rFonts w:hint="eastAsia" w:ascii="仿宋" w:hAnsi="仿宋" w:eastAsia="仿宋"/>
          <w:color w:val="000000"/>
          <w:sz w:val="32"/>
          <w:szCs w:val="32"/>
        </w:rPr>
        <w:t xml:space="preserve">    17.住房保障支出（类）住房改革支出（款）住房公积金（项）：反映行政事业单位按人力资源和社会保障部、财政部规定的基本工资和津贴补贴以及规定比例为职工缴纳的住房公积金。</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18.基本支出：指为保障机构正常运转、完成日常工作任务而发生的人员支出和公用支出。</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 xml:space="preserve">19.项目支出：指在基本支出之外为完成特定行政任务和事业发展目标所发生的支出。 </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20.经营支出：指事业单位在专业业务活动及其辅助活动之外开展非独立核算经营活动发生的支出。</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21.“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22.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ind w:firstLine="640"/>
        <w:rPr>
          <w:rFonts w:ascii="仿宋_GB2312" w:eastAsia="仿宋_GB2312" w:cs="黑体"/>
          <w:sz w:val="32"/>
          <w:szCs w:val="32"/>
        </w:rPr>
      </w:pPr>
      <w:r>
        <w:rPr>
          <w:rFonts w:hint="eastAsia" w:ascii="仿宋" w:hAnsi="仿宋" w:eastAsia="仿宋"/>
          <w:color w:val="000000"/>
          <w:sz w:val="32"/>
          <w:szCs w:val="32"/>
        </w:rPr>
        <w:t>23.财政应返还额度：为行政事业单位会计核算科目，用于核算实行国库集中支付的行政事业单位应收财政返还的资金额度。</w:t>
      </w:r>
    </w:p>
    <w:p>
      <w:pPr>
        <w:widowControl/>
        <w:jc w:val="left"/>
        <w:rPr>
          <w:rStyle w:val="32"/>
          <w:rFonts w:ascii="黑体" w:hAnsi="黑体" w:eastAsia="黑体"/>
        </w:rPr>
      </w:pPr>
      <w:r>
        <w:rPr>
          <w:rStyle w:val="32"/>
          <w:rFonts w:ascii="黑体" w:hAnsi="黑体" w:eastAsia="黑体"/>
        </w:rPr>
        <w:br w:type="page"/>
      </w:r>
    </w:p>
    <w:p>
      <w:pPr>
        <w:pStyle w:val="3"/>
        <w:jc w:val="center"/>
        <w:rPr>
          <w:rFonts w:ascii="仿宋_GB2312" w:hAnsi="华文中宋"/>
          <w:bCs/>
          <w:sz w:val="36"/>
          <w:szCs w:val="44"/>
        </w:rPr>
      </w:pPr>
      <w:bookmarkStart w:id="70" w:name="_Toc20167"/>
      <w:bookmarkStart w:id="71" w:name="_Toc111208510"/>
      <w:r>
        <w:rPr>
          <w:rFonts w:hint="eastAsia" w:ascii="黑体" w:hAnsi="黑体" w:eastAsia="黑体" w:cs="黑体"/>
        </w:rPr>
        <w:t>第四部分 附件</w:t>
      </w:r>
      <w:bookmarkEnd w:id="70"/>
      <w:bookmarkEnd w:id="71"/>
    </w:p>
    <w:p>
      <w:pPr>
        <w:jc w:val="center"/>
        <w:rPr>
          <w:rFonts w:hint="eastAsia" w:ascii="Arial" w:hAnsi="Arial" w:eastAsia="宋体" w:cs="Arial"/>
          <w:b/>
          <w:sz w:val="36"/>
          <w:szCs w:val="44"/>
          <w:lang w:eastAsia="zh-CN"/>
        </w:rPr>
      </w:pPr>
      <w:r>
        <w:rPr>
          <w:rFonts w:hint="eastAsia" w:ascii="Arial" w:hAnsi="Arial" w:eastAsia="宋体" w:cs="Arial"/>
          <w:b/>
          <w:sz w:val="36"/>
          <w:szCs w:val="44"/>
          <w:lang w:eastAsia="zh-CN"/>
        </w:rPr>
        <w:t>红原县藏医院关于</w:t>
      </w:r>
    </w:p>
    <w:p>
      <w:pPr>
        <w:jc w:val="center"/>
        <w:rPr>
          <w:rFonts w:hint="eastAsia" w:ascii="Arial" w:hAnsi="Arial" w:eastAsia="宋体" w:cs="Arial"/>
          <w:b/>
          <w:sz w:val="36"/>
          <w:szCs w:val="44"/>
          <w:lang w:val="en-US" w:eastAsia="zh-CN"/>
        </w:rPr>
      </w:pPr>
      <w:r>
        <w:rPr>
          <w:rFonts w:hint="eastAsia" w:ascii="Arial" w:hAnsi="Arial" w:eastAsia="宋体" w:cs="Arial"/>
          <w:b/>
          <w:sz w:val="36"/>
          <w:szCs w:val="44"/>
          <w:lang w:val="en-US" w:eastAsia="zh-CN"/>
        </w:rPr>
        <w:t>2022年专项资金使用情况绩效评价</w:t>
      </w:r>
    </w:p>
    <w:p>
      <w:pPr>
        <w:numPr>
          <w:ilvl w:val="0"/>
          <w:numId w:val="1"/>
        </w:numPr>
        <w:ind w:firstLine="600" w:firstLineChars="200"/>
        <w:rPr>
          <w:rFonts w:hint="default" w:ascii="仿宋_GB2312" w:hAnsi="Times New Roman" w:eastAsia="仿宋_GB2312" w:cs="Times New Roman"/>
          <w:sz w:val="30"/>
          <w:szCs w:val="30"/>
          <w:lang w:val="en-US" w:eastAsia="zh-CN"/>
        </w:rPr>
      </w:pPr>
      <w:r>
        <w:rPr>
          <w:rFonts w:hint="eastAsia" w:ascii="黑体" w:hAnsi="黑体" w:eastAsia="黑体" w:cs="黑体"/>
          <w:bCs/>
          <w:szCs w:val="32"/>
          <w:lang w:eastAsia="zh-CN"/>
        </w:rPr>
        <w:t>资金</w:t>
      </w:r>
      <w:r>
        <w:rPr>
          <w:rFonts w:hint="eastAsia" w:ascii="黑体" w:hAnsi="黑体" w:eastAsia="黑体" w:cs="黑体"/>
          <w:bCs/>
          <w:szCs w:val="32"/>
        </w:rPr>
        <w:t>分解下达情</w:t>
      </w:r>
    </w:p>
    <w:p>
      <w:pPr>
        <w:numPr>
          <w:ilvl w:val="0"/>
          <w:numId w:val="0"/>
        </w:numPr>
        <w:ind w:firstLine="300" w:firstLineChars="100"/>
        <w:rPr>
          <w:rFonts w:hint="default" w:ascii="仿宋_GB2312" w:hAnsi="Times New Roman" w:eastAsia="仿宋_GB2312" w:cs="Times New Roman"/>
          <w:sz w:val="30"/>
          <w:szCs w:val="30"/>
          <w:lang w:val="en-US" w:eastAsia="zh-CN"/>
        </w:rPr>
      </w:pPr>
      <w:r>
        <w:rPr>
          <w:rFonts w:hint="eastAsia" w:ascii="仿宋_GB2312" w:hAnsi="Times New Roman" w:cs="Times New Roman"/>
          <w:sz w:val="30"/>
          <w:szCs w:val="30"/>
          <w:lang w:val="en-US" w:eastAsia="zh-CN"/>
        </w:rPr>
        <w:t>1、</w:t>
      </w:r>
      <w:r>
        <w:rPr>
          <w:rFonts w:hint="eastAsia" w:ascii="仿宋_GB2312" w:hAnsi="Times New Roman" w:cs="Times New Roman"/>
          <w:sz w:val="30"/>
          <w:szCs w:val="30"/>
          <w:lang w:val="zh-CN"/>
        </w:rPr>
        <w:t>阿州财</w:t>
      </w:r>
      <w:r>
        <w:rPr>
          <w:rFonts w:hint="eastAsia" w:ascii="仿宋_GB2312" w:cs="Times New Roman"/>
          <w:sz w:val="30"/>
          <w:szCs w:val="30"/>
          <w:lang w:val="zh-CN"/>
        </w:rPr>
        <w:t>社</w:t>
      </w:r>
      <w:r>
        <w:rPr>
          <w:rFonts w:hint="eastAsia" w:ascii="仿宋_GB2312" w:hAnsi="Times New Roman" w:cs="Times New Roman"/>
          <w:sz w:val="30"/>
          <w:szCs w:val="30"/>
          <w:lang w:val="zh-CN"/>
        </w:rPr>
        <w:t>【</w:t>
      </w:r>
      <w:r>
        <w:rPr>
          <w:rFonts w:hint="eastAsia" w:ascii="仿宋_GB2312" w:hAnsi="Times New Roman" w:cs="Times New Roman"/>
          <w:sz w:val="30"/>
          <w:szCs w:val="30"/>
          <w:lang w:val="en-US" w:eastAsia="zh-CN"/>
        </w:rPr>
        <w:t>202</w:t>
      </w:r>
      <w:r>
        <w:rPr>
          <w:rFonts w:hint="eastAsia" w:ascii="仿宋_GB2312" w:cs="Times New Roman"/>
          <w:sz w:val="30"/>
          <w:szCs w:val="30"/>
          <w:lang w:val="en-US" w:eastAsia="zh-CN"/>
        </w:rPr>
        <w:t>2</w:t>
      </w:r>
      <w:r>
        <w:rPr>
          <w:rFonts w:hint="eastAsia" w:ascii="仿宋_GB2312" w:hAnsi="Times New Roman" w:cs="Times New Roman"/>
          <w:sz w:val="30"/>
          <w:szCs w:val="30"/>
          <w:lang w:val="zh-CN"/>
        </w:rPr>
        <w:t>】</w:t>
      </w:r>
      <w:r>
        <w:rPr>
          <w:rFonts w:hint="eastAsia" w:ascii="仿宋_GB2312" w:cs="Times New Roman"/>
          <w:sz w:val="30"/>
          <w:szCs w:val="30"/>
          <w:lang w:val="en-US" w:eastAsia="zh-CN"/>
        </w:rPr>
        <w:t>39</w:t>
      </w:r>
      <w:r>
        <w:rPr>
          <w:rFonts w:hint="eastAsia" w:ascii="仿宋_GB2312" w:hAnsi="Times New Roman" w:cs="Times New Roman"/>
          <w:sz w:val="30"/>
          <w:szCs w:val="30"/>
          <w:lang w:val="zh-CN"/>
        </w:rPr>
        <w:t>号资金文件（2022年省级卫生健康专项补助资金（民族医院能力提升项目））资金</w:t>
      </w:r>
      <w:r>
        <w:rPr>
          <w:rFonts w:hint="eastAsia" w:ascii="仿宋_GB2312" w:cs="Times New Roman"/>
          <w:sz w:val="30"/>
          <w:szCs w:val="30"/>
          <w:lang w:val="en-US" w:eastAsia="zh-CN"/>
        </w:rPr>
        <w:t>100</w:t>
      </w:r>
      <w:r>
        <w:rPr>
          <w:rFonts w:hint="eastAsia" w:ascii="仿宋_GB2312" w:hAnsi="Times New Roman" w:cs="Times New Roman"/>
          <w:sz w:val="30"/>
          <w:szCs w:val="30"/>
          <w:lang w:val="en-US" w:eastAsia="zh-CN"/>
        </w:rPr>
        <w:t>万元。该资金主要用于</w:t>
      </w:r>
      <w:r>
        <w:rPr>
          <w:rFonts w:hint="eastAsia" w:ascii="仿宋_GB2312" w:hAnsi="仿宋_GB2312" w:eastAsia="仿宋_GB2312" w:cs="仿宋_GB2312"/>
          <w:sz w:val="32"/>
          <w:szCs w:val="32"/>
          <w:lang w:val="en-US" w:eastAsia="zh-CN"/>
        </w:rPr>
        <w:t>装修重点专科和学术报告厅建设及购置相应配套设备</w:t>
      </w:r>
      <w:r>
        <w:rPr>
          <w:rFonts w:hint="eastAsia" w:ascii="仿宋_GB2312" w:hAnsi="仿宋_GB2312" w:cs="仿宋_GB2312"/>
          <w:sz w:val="32"/>
          <w:szCs w:val="32"/>
          <w:lang w:val="en-US" w:eastAsia="zh-CN"/>
        </w:rPr>
        <w:t>60万元已经完成支付</w:t>
      </w:r>
      <w:r>
        <w:rPr>
          <w:rFonts w:hint="eastAsia" w:ascii="仿宋_GB2312" w:cs="Times New Roman"/>
          <w:sz w:val="30"/>
          <w:szCs w:val="30"/>
          <w:lang w:val="en-US" w:eastAsia="zh-CN"/>
        </w:rPr>
        <w:t>。</w:t>
      </w:r>
      <w:r>
        <w:rPr>
          <w:rFonts w:hint="eastAsia" w:ascii="仿宋_GB2312" w:hAnsi="仿宋_GB2312" w:eastAsia="仿宋_GB2312" w:cs="仿宋_GB2312"/>
          <w:sz w:val="32"/>
          <w:szCs w:val="32"/>
          <w:lang w:val="en-US" w:eastAsia="zh-CN"/>
        </w:rPr>
        <w:t>人才队伍建设</w:t>
      </w:r>
      <w:r>
        <w:rPr>
          <w:rFonts w:hint="eastAsia" w:ascii="仿宋_GB2312" w:hAnsi="仿宋_GB2312" w:cs="仿宋_GB2312"/>
          <w:sz w:val="32"/>
          <w:szCs w:val="32"/>
          <w:lang w:val="en-US" w:eastAsia="zh-CN"/>
        </w:rPr>
        <w:t>16万元，</w:t>
      </w:r>
      <w:r>
        <w:rPr>
          <w:rFonts w:hint="eastAsia" w:ascii="仿宋_GB2312" w:hAnsi="仿宋_GB2312" w:eastAsia="仿宋_GB2312" w:cs="仿宋_GB2312"/>
          <w:sz w:val="32"/>
          <w:szCs w:val="32"/>
          <w:lang w:val="en-US" w:eastAsia="zh-CN"/>
        </w:rPr>
        <w:t>分期分批选送藏医外治专科技术骨干到上级医院进修学习深造，邀请专家授课，组织人员到上级医院观摩学习</w:t>
      </w:r>
      <w:r>
        <w:rPr>
          <w:rFonts w:hint="eastAsia" w:ascii="仿宋_GB2312" w:hAnsi="仿宋_GB2312" w:cs="仿宋_GB2312"/>
          <w:sz w:val="32"/>
          <w:szCs w:val="32"/>
          <w:lang w:val="en-US" w:eastAsia="zh-CN"/>
        </w:rPr>
        <w:t>，由于受疫情影响线</w:t>
      </w:r>
      <w:r>
        <w:rPr>
          <w:rFonts w:hint="eastAsia" w:ascii="仿宋_GB2312" w:cs="Times New Roman"/>
          <w:sz w:val="30"/>
          <w:szCs w:val="30"/>
          <w:lang w:val="en-US" w:eastAsia="zh-CN"/>
        </w:rPr>
        <w:t>已经支付0.4334万元，</w:t>
      </w:r>
      <w:r>
        <w:rPr>
          <w:rFonts w:hint="eastAsia" w:ascii="仿宋_GB2312" w:hAnsi="仿宋_GB2312" w:eastAsia="仿宋_GB2312" w:cs="仿宋_GB2312"/>
          <w:b w:val="0"/>
          <w:bCs w:val="0"/>
          <w:sz w:val="32"/>
          <w:szCs w:val="32"/>
          <w:lang w:val="en-US" w:eastAsia="zh-CN"/>
        </w:rPr>
        <w:t>用于整理、制订并推广实施优势单病诊疗常规、护理常规、优化诊疗、护理方案</w:t>
      </w:r>
      <w:r>
        <w:rPr>
          <w:rFonts w:hint="eastAsia" w:ascii="仿宋_GB2312" w:hAnsi="仿宋_GB2312" w:cs="仿宋_GB2312"/>
          <w:b w:val="0"/>
          <w:bCs w:val="0"/>
          <w:sz w:val="32"/>
          <w:szCs w:val="32"/>
          <w:lang w:val="en-US" w:eastAsia="zh-CN"/>
        </w:rPr>
        <w:t>出版费10万元，已经完成支付，</w:t>
      </w:r>
      <w:r>
        <w:rPr>
          <w:rFonts w:hint="eastAsia" w:ascii="仿宋_GB2312" w:hAnsi="仿宋_GB2312" w:eastAsia="仿宋_GB2312" w:cs="仿宋_GB2312"/>
          <w:sz w:val="32"/>
          <w:szCs w:val="32"/>
          <w:lang w:val="en-US" w:eastAsia="zh-CN"/>
        </w:rPr>
        <w:t>用于专药包装创新、专药配制</w:t>
      </w:r>
      <w:r>
        <w:rPr>
          <w:rFonts w:hint="eastAsia" w:ascii="仿宋_GB2312" w:hAnsi="仿宋_GB2312" w:cs="仿宋_GB2312"/>
          <w:sz w:val="32"/>
          <w:szCs w:val="32"/>
          <w:lang w:val="en-US" w:eastAsia="zh-CN"/>
        </w:rPr>
        <w:t>14万元已经完成支付，改项目已经支付82.75642万元，</w:t>
      </w:r>
      <w:r>
        <w:rPr>
          <w:rFonts w:hint="eastAsia" w:ascii="仿宋_GB2312" w:cs="Times New Roman"/>
          <w:sz w:val="30"/>
          <w:szCs w:val="30"/>
          <w:lang w:val="en-US" w:eastAsia="zh-CN"/>
        </w:rPr>
        <w:t>支付率82.76%，结余17.24358万元计划2023年疫情好转组织实施完成。</w:t>
      </w:r>
    </w:p>
    <w:p>
      <w:pPr>
        <w:pStyle w:val="1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rightChars="0" w:firstLine="600" w:firstLineChars="200"/>
        <w:jc w:val="left"/>
        <w:textAlignment w:val="auto"/>
        <w:rPr>
          <w:rFonts w:hint="default" w:ascii="仿宋_GB2312" w:hAnsi="Times New Roman" w:cs="Times New Roman"/>
          <w:sz w:val="30"/>
          <w:szCs w:val="30"/>
          <w:lang w:val="en-US" w:eastAsia="zh-CN"/>
        </w:rPr>
      </w:pPr>
      <w:r>
        <w:rPr>
          <w:rFonts w:hint="eastAsia" w:ascii="仿宋_GB2312" w:hAnsi="Times New Roman" w:cs="Times New Roman"/>
          <w:sz w:val="30"/>
          <w:szCs w:val="30"/>
          <w:lang w:val="en-US" w:eastAsia="zh-CN"/>
        </w:rPr>
        <w:t>2、</w:t>
      </w:r>
      <w:r>
        <w:rPr>
          <w:rFonts w:hint="eastAsia" w:ascii="仿宋_GB2312" w:hAnsi="Times New Roman" w:cs="Times New Roman"/>
          <w:sz w:val="30"/>
          <w:szCs w:val="30"/>
          <w:lang w:val="zh-CN" w:eastAsia="zh-CN"/>
        </w:rPr>
        <w:t>阿州财社【</w:t>
      </w:r>
      <w:r>
        <w:rPr>
          <w:rFonts w:hint="eastAsia" w:ascii="仿宋_GB2312" w:hAnsi="Times New Roman" w:cs="Times New Roman"/>
          <w:sz w:val="30"/>
          <w:szCs w:val="30"/>
          <w:lang w:val="en-US" w:eastAsia="zh-CN"/>
        </w:rPr>
        <w:t>202</w:t>
      </w:r>
      <w:r>
        <w:rPr>
          <w:rFonts w:hint="eastAsia" w:ascii="仿宋_GB2312" w:cs="Times New Roman"/>
          <w:sz w:val="30"/>
          <w:szCs w:val="30"/>
          <w:lang w:val="en-US" w:eastAsia="zh-CN"/>
        </w:rPr>
        <w:t>2</w:t>
      </w:r>
      <w:r>
        <w:rPr>
          <w:rFonts w:hint="eastAsia" w:ascii="仿宋_GB2312" w:hAnsi="Times New Roman" w:cs="Times New Roman"/>
          <w:sz w:val="30"/>
          <w:szCs w:val="30"/>
          <w:lang w:val="zh-CN" w:eastAsia="zh-CN"/>
        </w:rPr>
        <w:t>】</w:t>
      </w:r>
      <w:r>
        <w:rPr>
          <w:rFonts w:hint="eastAsia" w:ascii="仿宋_GB2312" w:cs="Times New Roman"/>
          <w:sz w:val="30"/>
          <w:szCs w:val="30"/>
          <w:lang w:val="en-US" w:eastAsia="zh-CN"/>
        </w:rPr>
        <w:t>27</w:t>
      </w:r>
      <w:r>
        <w:rPr>
          <w:rFonts w:hint="eastAsia" w:ascii="仿宋_GB2312" w:hAnsi="Times New Roman" w:cs="Times New Roman"/>
          <w:sz w:val="30"/>
          <w:szCs w:val="30"/>
          <w:lang w:val="zh-CN" w:eastAsia="zh-CN"/>
        </w:rPr>
        <w:t>号资金文件（</w:t>
      </w:r>
      <w:r>
        <w:rPr>
          <w:rFonts w:hint="eastAsia" w:ascii="仿宋" w:hAnsi="仿宋" w:eastAsia="仿宋" w:cs="仿宋"/>
          <w:b w:val="0"/>
          <w:bCs w:val="0"/>
          <w:i w:val="0"/>
          <w:iCs w:val="0"/>
          <w:caps w:val="0"/>
          <w:color w:val="000000" w:themeColor="text1"/>
          <w:spacing w:val="0"/>
          <w:sz w:val="32"/>
          <w:szCs w:val="32"/>
          <w:lang w:val="en-US" w:eastAsia="zh-CN"/>
          <w14:textFill>
            <w14:solidFill>
              <w14:schemeClr w14:val="tx1"/>
            </w14:solidFill>
          </w14:textFill>
        </w:rPr>
        <w:t>关于开展2022年</w:t>
      </w:r>
      <w:r>
        <w:rPr>
          <w:rFonts w:hint="eastAsia" w:ascii="仿宋" w:hAnsi="仿宋" w:eastAsia="仿宋" w:cs="仿宋"/>
          <w:b w:val="0"/>
          <w:bCs w:val="0"/>
          <w:i w:val="0"/>
          <w:iCs w:val="0"/>
          <w:caps w:val="0"/>
          <w:color w:val="000000" w:themeColor="text1"/>
          <w:spacing w:val="0"/>
          <w:sz w:val="32"/>
          <w:szCs w:val="32"/>
          <w14:textFill>
            <w14:solidFill>
              <w14:schemeClr w14:val="tx1"/>
            </w14:solidFill>
          </w14:textFill>
        </w:rPr>
        <w:t>医疗服务</w:t>
      </w:r>
      <w:r>
        <w:rPr>
          <w:rFonts w:hint="eastAsia" w:ascii="仿宋" w:hAnsi="仿宋" w:eastAsia="仿宋" w:cs="仿宋"/>
          <w:b w:val="0"/>
          <w:bCs w:val="0"/>
          <w:i w:val="0"/>
          <w:iCs w:val="0"/>
          <w:caps w:val="0"/>
          <w:color w:val="000000" w:themeColor="text1"/>
          <w:spacing w:val="0"/>
          <w:sz w:val="32"/>
          <w:szCs w:val="32"/>
          <w:lang w:val="en-US" w:eastAsia="zh-CN"/>
          <w14:textFill>
            <w14:solidFill>
              <w14:schemeClr w14:val="tx1"/>
            </w14:solidFill>
          </w14:textFill>
        </w:rPr>
        <w:t>与保障</w:t>
      </w:r>
      <w:r>
        <w:rPr>
          <w:rFonts w:hint="eastAsia" w:ascii="仿宋" w:hAnsi="仿宋" w:eastAsia="仿宋" w:cs="仿宋"/>
          <w:b w:val="0"/>
          <w:bCs w:val="0"/>
          <w:i w:val="0"/>
          <w:iCs w:val="0"/>
          <w:caps w:val="0"/>
          <w:color w:val="000000" w:themeColor="text1"/>
          <w:spacing w:val="0"/>
          <w:sz w:val="32"/>
          <w:szCs w:val="32"/>
          <w14:textFill>
            <w14:solidFill>
              <w14:schemeClr w14:val="tx1"/>
            </w14:solidFill>
          </w14:textFill>
        </w:rPr>
        <w:t>能力提升</w:t>
      </w:r>
      <w:r>
        <w:rPr>
          <w:rFonts w:hint="eastAsia" w:ascii="仿宋" w:hAnsi="仿宋" w:eastAsia="仿宋" w:cs="仿宋"/>
          <w:b w:val="0"/>
          <w:bCs w:val="0"/>
          <w:i w:val="0"/>
          <w:iCs w:val="0"/>
          <w:caps w:val="0"/>
          <w:color w:val="000000" w:themeColor="text1"/>
          <w:spacing w:val="0"/>
          <w:sz w:val="32"/>
          <w:szCs w:val="32"/>
          <w:lang w:eastAsia="zh-CN"/>
          <w14:textFill>
            <w14:solidFill>
              <w14:schemeClr w14:val="tx1"/>
            </w14:solidFill>
          </w14:textFill>
        </w:rPr>
        <w:t>（</w:t>
      </w:r>
      <w:r>
        <w:rPr>
          <w:rFonts w:hint="eastAsia" w:ascii="仿宋" w:hAnsi="仿宋" w:eastAsia="仿宋" w:cs="仿宋"/>
          <w:b w:val="0"/>
          <w:bCs w:val="0"/>
          <w:i w:val="0"/>
          <w:iCs w:val="0"/>
          <w:caps w:val="0"/>
          <w:color w:val="000000" w:themeColor="text1"/>
          <w:spacing w:val="0"/>
          <w:sz w:val="32"/>
          <w:szCs w:val="32"/>
          <w:lang w:val="en-US" w:eastAsia="zh-CN"/>
          <w14:textFill>
            <w14:solidFill>
              <w14:schemeClr w14:val="tx1"/>
            </w14:solidFill>
          </w14:textFill>
        </w:rPr>
        <w:t>中医药事业传承与发展</w:t>
      </w:r>
      <w:r>
        <w:rPr>
          <w:rFonts w:hint="eastAsia" w:ascii="仿宋" w:hAnsi="仿宋" w:eastAsia="仿宋" w:cs="仿宋"/>
          <w:b w:val="0"/>
          <w:bCs w:val="0"/>
          <w:i w:val="0"/>
          <w:iCs w:val="0"/>
          <w:caps w:val="0"/>
          <w:color w:val="000000" w:themeColor="text1"/>
          <w:spacing w:val="0"/>
          <w:sz w:val="32"/>
          <w:szCs w:val="32"/>
          <w:lang w:eastAsia="zh-CN"/>
          <w14:textFill>
            <w14:solidFill>
              <w14:schemeClr w14:val="tx1"/>
            </w14:solidFill>
          </w14:textFill>
        </w:rPr>
        <w:t>）</w:t>
      </w:r>
      <w:r>
        <w:rPr>
          <w:rFonts w:hint="eastAsia" w:ascii="仿宋" w:hAnsi="仿宋" w:eastAsia="仿宋" w:cs="仿宋"/>
          <w:b w:val="0"/>
          <w:bCs w:val="0"/>
          <w:i w:val="0"/>
          <w:iCs w:val="0"/>
          <w:caps w:val="0"/>
          <w:color w:val="000000" w:themeColor="text1"/>
          <w:spacing w:val="0"/>
          <w:sz w:val="32"/>
          <w:szCs w:val="32"/>
          <w:lang w:val="en-US" w:eastAsia="zh-CN"/>
          <w14:textFill>
            <w14:solidFill>
              <w14:schemeClr w14:val="tx1"/>
            </w14:solidFill>
          </w14:textFill>
        </w:rPr>
        <w:t>中央补助资金</w:t>
      </w:r>
      <w:r>
        <w:rPr>
          <w:rFonts w:hint="eastAsia" w:ascii="仿宋" w:hAnsi="仿宋" w:eastAsia="仿宋" w:cs="仿宋"/>
          <w:b w:val="0"/>
          <w:bCs w:val="0"/>
          <w:i w:val="0"/>
          <w:iCs w:val="0"/>
          <w:caps w:val="0"/>
          <w:color w:val="000000" w:themeColor="text1"/>
          <w:spacing w:val="0"/>
          <w:sz w:val="32"/>
          <w:szCs w:val="32"/>
          <w14:textFill>
            <w14:solidFill>
              <w14:schemeClr w14:val="tx1"/>
            </w14:solidFill>
          </w14:textFill>
        </w:rPr>
        <w:t>方案</w:t>
      </w:r>
      <w:r>
        <w:rPr>
          <w:rFonts w:hint="eastAsia" w:ascii="仿宋" w:hAnsi="仿宋" w:eastAsia="仿宋" w:cs="仿宋"/>
          <w:b w:val="0"/>
          <w:bCs w:val="0"/>
          <w:i w:val="0"/>
          <w:iCs w:val="0"/>
          <w:caps w:val="0"/>
          <w:color w:val="000000" w:themeColor="text1"/>
          <w:spacing w:val="0"/>
          <w:sz w:val="32"/>
          <w:szCs w:val="32"/>
          <w:lang w:val="en-US" w:eastAsia="zh-CN"/>
          <w14:textFill>
            <w14:solidFill>
              <w14:schemeClr w14:val="tx1"/>
            </w14:solidFill>
          </w14:textFill>
        </w:rPr>
        <w:t>的通知》</w:t>
      </w:r>
      <w:r>
        <w:rPr>
          <w:rFonts w:hint="eastAsia" w:ascii="仿宋_GB2312" w:hAnsi="Times New Roman" w:cs="Times New Roman"/>
          <w:sz w:val="30"/>
          <w:szCs w:val="30"/>
          <w:lang w:val="zh-CN" w:eastAsia="zh-CN"/>
        </w:rPr>
        <w:t>资金</w:t>
      </w:r>
      <w:r>
        <w:rPr>
          <w:rFonts w:hint="eastAsia" w:ascii="仿宋_GB2312" w:cs="Times New Roman"/>
          <w:sz w:val="30"/>
          <w:szCs w:val="30"/>
          <w:lang w:val="en-US" w:eastAsia="zh-CN"/>
        </w:rPr>
        <w:t>25.1</w:t>
      </w:r>
      <w:r>
        <w:rPr>
          <w:rFonts w:hint="eastAsia" w:ascii="仿宋_GB2312" w:hAnsi="Times New Roman" w:cs="Times New Roman"/>
          <w:sz w:val="30"/>
          <w:szCs w:val="30"/>
          <w:lang w:val="en-US" w:eastAsia="zh-CN"/>
        </w:rPr>
        <w:t>万元。资金主要用于</w:t>
      </w:r>
      <w:r>
        <w:rPr>
          <w:rFonts w:hint="eastAsia" w:ascii="仿宋" w:hAnsi="仿宋" w:eastAsia="仿宋" w:cs="仿宋"/>
          <w:i w:val="0"/>
          <w:iCs w:val="0"/>
          <w:caps w:val="0"/>
          <w:color w:val="000000" w:themeColor="text1"/>
          <w:spacing w:val="0"/>
          <w:sz w:val="32"/>
          <w:szCs w:val="32"/>
          <w:lang w:val="en-US" w:eastAsia="zh-CN"/>
          <w14:textFill>
            <w14:solidFill>
              <w14:schemeClr w14:val="tx1"/>
            </w14:solidFill>
          </w14:textFill>
        </w:rPr>
        <w:t>打造藏医专家临床经验示诊室、示教室6.5万元。购置藏医专家临床经验示诊室、示教室藏式桌子、桌床及办公设备1.495万元。</w:t>
      </w:r>
      <w:r>
        <w:rPr>
          <w:rFonts w:hint="eastAsia" w:ascii="仿宋" w:hAnsi="仿宋" w:eastAsia="仿宋" w:cs="仿宋"/>
          <w:color w:val="000000" w:themeColor="text1"/>
          <w:sz w:val="32"/>
          <w:szCs w:val="32"/>
          <w:lang w:val="en-US" w:eastAsia="zh-CN"/>
          <w14:textFill>
            <w14:solidFill>
              <w14:schemeClr w14:val="tx1"/>
            </w14:solidFill>
          </w14:textFill>
        </w:rPr>
        <w:t>临时隔离板房8.8784</w:t>
      </w:r>
      <w:r>
        <w:rPr>
          <w:rFonts w:hint="eastAsia" w:ascii="宋体" w:hAnsi="宋体" w:eastAsia="宋体" w:cs="宋体"/>
          <w:color w:val="000000" w:themeColor="text1"/>
          <w:sz w:val="32"/>
          <w:szCs w:val="32"/>
          <w:lang w:val="en-US"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、发热诊室更换树脂瓦、医务通道安装自动门等，</w:t>
      </w:r>
      <w:r>
        <w:rPr>
          <w:rFonts w:hint="eastAsia" w:ascii="仿宋" w:hAnsi="仿宋" w:eastAsia="仿宋" w:cs="仿宋"/>
          <w:i w:val="0"/>
          <w:iCs w:val="0"/>
          <w:caps w:val="0"/>
          <w:color w:val="000000" w:themeColor="text1"/>
          <w:spacing w:val="0"/>
          <w:sz w:val="32"/>
          <w:szCs w:val="32"/>
          <w:lang w:val="en-US" w:eastAsia="zh-CN"/>
          <w14:textFill>
            <w14:solidFill>
              <w14:schemeClr w14:val="tx1"/>
            </w14:solidFill>
          </w14:textFill>
        </w:rPr>
        <w:t>预算资金7.999992万元，</w:t>
      </w:r>
      <w:r>
        <w:rPr>
          <w:rFonts w:hint="eastAsia" w:ascii="仿宋" w:hAnsi="仿宋" w:eastAsia="仿宋" w:cs="仿宋"/>
          <w:color w:val="000000" w:themeColor="text1"/>
          <w:sz w:val="32"/>
          <w:szCs w:val="32"/>
          <w:lang w:val="en-US" w:eastAsia="zh-CN"/>
          <w14:textFill>
            <w14:solidFill>
              <w14:schemeClr w14:val="tx1"/>
            </w14:solidFill>
          </w14:textFill>
        </w:rPr>
        <w:t>采购医疗垃圾桶、隔离围栏、体温枪、消毒机等防治设备6.835万元。建设藏医药健康文化知识角0.1万元，</w:t>
      </w:r>
      <w:r>
        <w:rPr>
          <w:rFonts w:hint="eastAsia" w:ascii="仿宋_GB2312" w:hAnsi="Times New Roman" w:cs="Times New Roman"/>
          <w:sz w:val="30"/>
          <w:szCs w:val="30"/>
          <w:lang w:val="zh-CN" w:eastAsia="zh-CN"/>
        </w:rPr>
        <w:t>已经支付</w:t>
      </w:r>
      <w:r>
        <w:rPr>
          <w:rFonts w:hint="eastAsia" w:ascii="仿宋_GB2312" w:cs="Times New Roman"/>
          <w:sz w:val="30"/>
          <w:szCs w:val="30"/>
          <w:lang w:val="en-US" w:eastAsia="zh-CN"/>
        </w:rPr>
        <w:t>22.929992</w:t>
      </w:r>
      <w:r>
        <w:rPr>
          <w:rFonts w:hint="eastAsia" w:ascii="仿宋_GB2312" w:hAnsi="Times New Roman" w:cs="Times New Roman"/>
          <w:sz w:val="30"/>
          <w:szCs w:val="30"/>
          <w:lang w:val="en-US" w:eastAsia="zh-CN"/>
        </w:rPr>
        <w:t>万元，支付率</w:t>
      </w:r>
      <w:r>
        <w:rPr>
          <w:rFonts w:hint="eastAsia" w:ascii="仿宋_GB2312" w:cs="Times New Roman"/>
          <w:sz w:val="30"/>
          <w:szCs w:val="30"/>
          <w:lang w:val="en-US" w:eastAsia="zh-CN"/>
        </w:rPr>
        <w:t>91.31</w:t>
      </w:r>
      <w:r>
        <w:rPr>
          <w:rFonts w:hint="eastAsia" w:ascii="仿宋_GB2312" w:hAnsi="Times New Roman" w:cs="Times New Roman"/>
          <w:sz w:val="30"/>
          <w:szCs w:val="30"/>
          <w:lang w:val="en-US" w:eastAsia="zh-CN"/>
        </w:rPr>
        <w:t>%</w:t>
      </w:r>
      <w:r>
        <w:rPr>
          <w:rFonts w:hint="eastAsia" w:ascii="仿宋_GB2312" w:cs="Times New Roman"/>
          <w:sz w:val="30"/>
          <w:szCs w:val="30"/>
          <w:lang w:val="en-US" w:eastAsia="zh-CN"/>
        </w:rPr>
        <w:t>,</w:t>
      </w:r>
      <w:r>
        <w:rPr>
          <w:rFonts w:hint="eastAsia" w:ascii="仿宋_GB2312" w:hAnsi="Times New Roman" w:cs="Times New Roman"/>
          <w:sz w:val="30"/>
          <w:szCs w:val="30"/>
          <w:lang w:val="en-US" w:eastAsia="zh-CN"/>
        </w:rPr>
        <w:t>未支付的计划于202</w:t>
      </w:r>
      <w:r>
        <w:rPr>
          <w:rFonts w:hint="eastAsia" w:ascii="仿宋_GB2312" w:cs="Times New Roman"/>
          <w:sz w:val="30"/>
          <w:szCs w:val="30"/>
          <w:lang w:val="en-US" w:eastAsia="zh-CN"/>
        </w:rPr>
        <w:t>3</w:t>
      </w:r>
      <w:r>
        <w:rPr>
          <w:rFonts w:hint="eastAsia" w:ascii="仿宋_GB2312" w:hAnsi="Times New Roman" w:cs="Times New Roman"/>
          <w:sz w:val="30"/>
          <w:szCs w:val="30"/>
          <w:lang w:val="en-US" w:eastAsia="zh-CN"/>
        </w:rPr>
        <w:t>年全部实施完成。</w:t>
      </w:r>
    </w:p>
    <w:p>
      <w:pPr>
        <w:widowControl/>
        <w:numPr>
          <w:ilvl w:val="0"/>
          <w:numId w:val="0"/>
        </w:numPr>
        <w:shd w:val="clear" w:color="auto" w:fill="FFFFFF"/>
        <w:spacing w:line="600" w:lineRule="atLeast"/>
        <w:ind w:firstLine="600" w:firstLineChars="200"/>
        <w:rPr>
          <w:rFonts w:hint="eastAsia" w:ascii="仿宋_GB2312" w:cs="Times New Roman"/>
          <w:sz w:val="30"/>
          <w:szCs w:val="30"/>
          <w:lang w:val="en-US" w:eastAsia="zh-CN"/>
        </w:rPr>
      </w:pPr>
      <w:r>
        <w:rPr>
          <w:rFonts w:hint="eastAsia" w:ascii="仿宋_GB2312" w:cs="Times New Roman"/>
          <w:sz w:val="30"/>
          <w:szCs w:val="30"/>
          <w:lang w:val="en-US" w:eastAsia="zh-CN"/>
        </w:rPr>
        <w:t>3、2022年基本公共卫生服务补助地方病防治项目中央和省级补助资金阿州财社【2022】29号共计371万元，主要用于治疗地方病（大骨节病/氟骨症）患者，已治疗3000人，治疗率100%；支付371万元，支付率100%.</w:t>
      </w:r>
    </w:p>
    <w:p>
      <w:pPr>
        <w:widowControl/>
        <w:numPr>
          <w:ilvl w:val="0"/>
          <w:numId w:val="0"/>
        </w:numPr>
        <w:shd w:val="clear" w:color="auto" w:fill="FFFFFF"/>
        <w:spacing w:line="600" w:lineRule="atLeast"/>
        <w:ind w:firstLine="600" w:firstLineChars="200"/>
        <w:rPr>
          <w:rFonts w:hint="eastAsia" w:ascii="仿宋_GB2312" w:hAnsi="仿宋" w:eastAsia="仿宋_GB2312"/>
          <w:color w:val="000000"/>
          <w:kern w:val="0"/>
          <w:sz w:val="32"/>
          <w:szCs w:val="32"/>
          <w:shd w:val="clear" w:color="auto" w:fill="FFFFFF"/>
        </w:rPr>
      </w:pPr>
      <w:r>
        <w:rPr>
          <w:rFonts w:hint="eastAsia" w:ascii="仿宋_GB2312" w:cs="Times New Roman"/>
          <w:sz w:val="30"/>
          <w:szCs w:val="30"/>
          <w:lang w:val="en-US" w:eastAsia="zh-CN"/>
        </w:rPr>
        <w:t>4、</w:t>
      </w:r>
      <w:r>
        <w:rPr>
          <w:rFonts w:hint="eastAsia" w:ascii="仿宋_GB2312" w:hAnsi="Times New Roman" w:cs="Times New Roman"/>
          <w:sz w:val="30"/>
          <w:szCs w:val="30"/>
          <w:lang w:val="en-US" w:eastAsia="zh-CN"/>
        </w:rPr>
        <w:t>阿州财社[202</w:t>
      </w:r>
      <w:r>
        <w:rPr>
          <w:rFonts w:hint="eastAsia" w:ascii="仿宋_GB2312" w:cs="Times New Roman"/>
          <w:sz w:val="30"/>
          <w:szCs w:val="30"/>
          <w:lang w:val="en-US" w:eastAsia="zh-CN"/>
        </w:rPr>
        <w:t>2</w:t>
      </w:r>
      <w:r>
        <w:rPr>
          <w:rFonts w:hint="eastAsia" w:ascii="仿宋_GB2312" w:hAnsi="Times New Roman" w:cs="Times New Roman"/>
          <w:sz w:val="30"/>
          <w:szCs w:val="30"/>
          <w:lang w:val="en-US" w:eastAsia="zh-CN"/>
        </w:rPr>
        <w:t>]</w:t>
      </w:r>
      <w:r>
        <w:rPr>
          <w:rFonts w:hint="eastAsia" w:ascii="仿宋_GB2312" w:cs="Times New Roman"/>
          <w:sz w:val="30"/>
          <w:szCs w:val="30"/>
          <w:lang w:val="en-US" w:eastAsia="zh-CN"/>
        </w:rPr>
        <w:t>01</w:t>
      </w:r>
      <w:r>
        <w:rPr>
          <w:rFonts w:hint="eastAsia" w:ascii="仿宋_GB2312" w:hAnsi="Times New Roman" w:cs="Times New Roman"/>
          <w:sz w:val="30"/>
          <w:szCs w:val="30"/>
          <w:lang w:val="en-US" w:eastAsia="zh-CN"/>
        </w:rPr>
        <w:t>号公立医院取消药品加成补助费项目资金下达1万元,主要用于</w:t>
      </w:r>
      <w:r>
        <w:rPr>
          <w:rFonts w:hint="eastAsia" w:ascii="仿宋_GB2312" w:hAnsi="宋体" w:eastAsia="仿宋_GB2312"/>
          <w:color w:val="000000"/>
          <w:kern w:val="0"/>
          <w:sz w:val="32"/>
          <w:szCs w:val="32"/>
          <w:shd w:val="clear" w:color="auto" w:fill="FFFFFF"/>
        </w:rPr>
        <w:t>红原县藏医院取消药品加成项目资金支出</w:t>
      </w:r>
      <w:r>
        <w:rPr>
          <w:rFonts w:hint="eastAsia" w:ascii="仿宋_GB2312" w:hAnsi="宋体" w:eastAsia="仿宋_GB2312"/>
          <w:color w:val="000000"/>
          <w:kern w:val="0"/>
          <w:sz w:val="32"/>
          <w:szCs w:val="32"/>
          <w:shd w:val="clear" w:color="auto" w:fill="FFFFFF"/>
          <w:lang w:val="en-US" w:eastAsia="zh-CN"/>
        </w:rPr>
        <w:t>1</w:t>
      </w:r>
      <w:r>
        <w:rPr>
          <w:rFonts w:hint="eastAsia" w:ascii="仿宋_GB2312" w:hAnsi="宋体" w:eastAsia="仿宋_GB2312"/>
          <w:color w:val="000000"/>
          <w:kern w:val="0"/>
          <w:sz w:val="32"/>
          <w:szCs w:val="32"/>
          <w:shd w:val="clear" w:color="auto" w:fill="FFFFFF"/>
        </w:rPr>
        <w:t>万元，主要</w:t>
      </w:r>
      <w:r>
        <w:rPr>
          <w:rFonts w:hint="eastAsia" w:ascii="仿宋_GB2312" w:hAnsi="仿宋" w:eastAsia="仿宋_GB2312"/>
          <w:color w:val="000000"/>
          <w:kern w:val="0"/>
          <w:sz w:val="32"/>
          <w:szCs w:val="32"/>
          <w:shd w:val="clear" w:color="auto" w:fill="FFFFFF"/>
        </w:rPr>
        <w:t>用于弥补</w:t>
      </w:r>
      <w:r>
        <w:rPr>
          <w:rFonts w:hint="eastAsia" w:ascii="仿宋_GB2312" w:hAnsi="仿宋" w:eastAsia="仿宋_GB2312"/>
          <w:color w:val="000000"/>
          <w:kern w:val="0"/>
          <w:sz w:val="32"/>
          <w:szCs w:val="32"/>
          <w:shd w:val="clear" w:color="auto" w:fill="FFFFFF"/>
          <w:lang w:eastAsia="zh-CN"/>
        </w:rPr>
        <w:t>医院</w:t>
      </w:r>
      <w:r>
        <w:rPr>
          <w:rFonts w:hint="eastAsia" w:ascii="仿宋_GB2312" w:hAnsi="仿宋" w:eastAsia="仿宋_GB2312"/>
          <w:color w:val="000000"/>
          <w:kern w:val="0"/>
          <w:sz w:val="32"/>
          <w:szCs w:val="32"/>
          <w:shd w:val="clear" w:color="auto" w:fill="FFFFFF"/>
        </w:rPr>
        <w:t>取消药品加成造成的亏损</w:t>
      </w:r>
      <w:r>
        <w:rPr>
          <w:rFonts w:hint="eastAsia" w:ascii="仿宋_GB2312" w:hAnsi="仿宋"/>
          <w:color w:val="000000"/>
          <w:kern w:val="0"/>
          <w:sz w:val="32"/>
          <w:szCs w:val="32"/>
          <w:shd w:val="clear" w:color="auto" w:fill="FFFFFF"/>
          <w:lang w:val="en-US" w:eastAsia="zh-CN"/>
        </w:rPr>
        <w:t>,已经完成支付，支付率100%。</w:t>
      </w:r>
    </w:p>
    <w:p>
      <w:pPr>
        <w:pStyle w:val="18"/>
        <w:rPr>
          <w:rFonts w:hint="eastAsia" w:ascii="仿宋_GB2312" w:hAnsi="Times New Roman" w:cs="Times New Roman"/>
          <w:sz w:val="30"/>
          <w:szCs w:val="30"/>
          <w:lang w:val="en-US" w:eastAsia="zh-CN"/>
        </w:rPr>
      </w:pPr>
      <w:r>
        <w:rPr>
          <w:rFonts w:hint="eastAsia" w:ascii="仿宋_GB2312" w:hAnsi="Times New Roman" w:cs="Times New Roman"/>
          <w:sz w:val="30"/>
          <w:szCs w:val="30"/>
          <w:lang w:val="en-US" w:eastAsia="zh-CN"/>
        </w:rPr>
        <w:t xml:space="preserve"> </w:t>
      </w:r>
    </w:p>
    <w:tbl>
      <w:tblPr>
        <w:tblStyle w:val="19"/>
        <w:tblW w:w="856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36"/>
        <w:gridCol w:w="840"/>
        <w:gridCol w:w="1077"/>
        <w:gridCol w:w="1238"/>
        <w:gridCol w:w="376"/>
        <w:gridCol w:w="594"/>
        <w:gridCol w:w="1081"/>
        <w:gridCol w:w="536"/>
        <w:gridCol w:w="447"/>
        <w:gridCol w:w="18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667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16"/>
                <w:szCs w:val="16"/>
                <w:u w:val="none"/>
              </w:rPr>
            </w:pPr>
            <w:r>
              <w:rPr>
                <w:rFonts w:hint="eastAsia" w:ascii="黑体" w:hAnsi="宋体" w:eastAsia="黑体" w:cs="黑体"/>
                <w:b/>
                <w:bCs/>
                <w:i w:val="0"/>
                <w:iCs w:val="0"/>
                <w:color w:val="000000"/>
                <w:kern w:val="0"/>
                <w:sz w:val="16"/>
                <w:szCs w:val="16"/>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3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项目名称</w:t>
            </w:r>
          </w:p>
        </w:tc>
        <w:tc>
          <w:tcPr>
            <w:tcW w:w="537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51000021R000000019951-工资性支出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13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主管部门</w:t>
            </w:r>
          </w:p>
        </w:tc>
        <w:tc>
          <w:tcPr>
            <w:tcW w:w="33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红原县卫生健康局</w:t>
            </w:r>
          </w:p>
        </w:tc>
        <w:tc>
          <w:tcPr>
            <w:tcW w:w="1095"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iCs w:val="0"/>
                <w:color w:val="000000"/>
                <w:sz w:val="16"/>
                <w:szCs w:val="16"/>
                <w:u w:val="none"/>
              </w:rPr>
            </w:pPr>
            <w:r>
              <w:rPr>
                <w:rFonts w:hint="eastAsia" w:ascii="黑体" w:hAnsi="黑体" w:eastAsia="黑体" w:cs="黑体"/>
                <w:i w:val="0"/>
                <w:iCs w:val="0"/>
                <w:color w:val="000000"/>
                <w:kern w:val="0"/>
                <w:sz w:val="16"/>
                <w:szCs w:val="16"/>
                <w:u w:val="none"/>
                <w:lang w:val="en-US" w:eastAsia="zh-CN" w:bidi="ar"/>
              </w:rPr>
              <w:t>实施单位 （盖章）</w:t>
            </w:r>
          </w:p>
        </w:tc>
        <w:tc>
          <w:tcPr>
            <w:tcW w:w="2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红原县藏医院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项目基本情况</w:t>
            </w:r>
          </w:p>
        </w:tc>
        <w:tc>
          <w:tcPr>
            <w:tcW w:w="8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1.项目年度目标完成情况</w:t>
            </w:r>
          </w:p>
        </w:tc>
        <w:tc>
          <w:tcPr>
            <w:tcW w:w="33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项目年度目标</w:t>
            </w:r>
          </w:p>
        </w:tc>
        <w:tc>
          <w:tcPr>
            <w:tcW w:w="39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6"/>
                <w:szCs w:val="16"/>
                <w:u w:val="none"/>
              </w:rPr>
            </w:pPr>
            <w:r>
              <w:rPr>
                <w:rFonts w:hint="eastAsia" w:ascii="黑体" w:hAnsi="黑体" w:eastAsia="黑体" w:cs="黑体"/>
                <w:i w:val="0"/>
                <w:iCs w:val="0"/>
                <w:color w:val="000000"/>
                <w:kern w:val="0"/>
                <w:sz w:val="16"/>
                <w:szCs w:val="16"/>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6"/>
                <w:szCs w:val="16"/>
                <w:u w:val="none"/>
              </w:rPr>
            </w:pPr>
          </w:p>
        </w:tc>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6"/>
                <w:szCs w:val="16"/>
                <w:u w:val="none"/>
              </w:rPr>
            </w:pPr>
          </w:p>
        </w:tc>
        <w:tc>
          <w:tcPr>
            <w:tcW w:w="33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严格执行相关政策，保障工资及时发放、足额发放，预算编制科学合理，减少结余资金</w:t>
            </w:r>
          </w:p>
        </w:tc>
        <w:tc>
          <w:tcPr>
            <w:tcW w:w="39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6"/>
                <w:szCs w:val="16"/>
                <w:u w:val="none"/>
              </w:rPr>
            </w:pPr>
            <w:r>
              <w:rPr>
                <w:rFonts w:hint="eastAsia" w:ascii="黑体" w:hAnsi="黑体" w:eastAsia="黑体" w:cs="黑体"/>
                <w:i w:val="0"/>
                <w:iCs w:val="0"/>
                <w:color w:val="000000"/>
                <w:kern w:val="0"/>
                <w:sz w:val="16"/>
                <w:szCs w:val="16"/>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6"/>
                <w:szCs w:val="16"/>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2.项目实施内容及过程概述</w:t>
            </w:r>
          </w:p>
        </w:tc>
        <w:tc>
          <w:tcPr>
            <w:tcW w:w="537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预算执行情况（10分）</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年度预算数（万元）</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年初预算</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调整后预算数</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预算执行数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得分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总额</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429.86</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562.08</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562.07</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8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iCs/>
                <w:color w:val="000000"/>
                <w:sz w:val="16"/>
                <w:szCs w:val="16"/>
                <w:u w:val="none"/>
              </w:rPr>
            </w:pPr>
            <w:r>
              <w:rPr>
                <w:rFonts w:hint="eastAsia" w:ascii="黑体" w:hAnsi="黑体" w:eastAsia="黑体" w:cs="黑体"/>
                <w:i/>
                <w:iCs/>
                <w:color w:val="000000"/>
                <w:kern w:val="0"/>
                <w:sz w:val="16"/>
                <w:szCs w:val="16"/>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其中：财政资金</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429.86</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562.08</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562.07</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财政专户管理资金</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单位资金</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其他资金</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绩效指标（90分）</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一级指标</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二级指标</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三级指标</w:t>
            </w: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指标性质</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指标值</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得分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产出指标</w:t>
            </w:r>
          </w:p>
        </w:tc>
        <w:tc>
          <w:tcPr>
            <w:tcW w:w="10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数量指标</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足额保障率</w:t>
            </w: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22.5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科目调整次数</w:t>
            </w: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22.5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时效指标</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按时发放率</w:t>
            </w: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22.5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效益指标</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经济效益指标</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结余率（计算方法为：结余数/预算数）</w:t>
            </w: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5</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22.5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62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6"/>
                <w:szCs w:val="16"/>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评价结论</w:t>
            </w:r>
          </w:p>
        </w:tc>
        <w:tc>
          <w:tcPr>
            <w:tcW w:w="622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存在问题</w:t>
            </w:r>
          </w:p>
        </w:tc>
        <w:tc>
          <w:tcPr>
            <w:tcW w:w="622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改进措施</w:t>
            </w:r>
          </w:p>
        </w:tc>
        <w:tc>
          <w:tcPr>
            <w:tcW w:w="622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6"/>
                <w:szCs w:val="16"/>
                <w:u w:val="none"/>
              </w:rPr>
            </w:pPr>
            <w:r>
              <w:rPr>
                <w:rFonts w:hint="eastAsia" w:ascii="黑体" w:hAnsi="黑体" w:eastAsia="黑体" w:cs="黑体"/>
                <w:i w:val="0"/>
                <w:iCs w:val="0"/>
                <w:color w:val="000000"/>
                <w:kern w:val="0"/>
                <w:sz w:val="16"/>
                <w:szCs w:val="16"/>
                <w:u w:val="none"/>
                <w:lang w:val="en-US" w:eastAsia="zh-CN" w:bidi="ar"/>
              </w:rPr>
              <w:t>项目负责人：</w:t>
            </w:r>
          </w:p>
        </w:tc>
        <w:tc>
          <w:tcPr>
            <w:tcW w:w="265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6"/>
                <w:szCs w:val="16"/>
                <w:u w:val="none"/>
              </w:rPr>
            </w:pPr>
            <w:r>
              <w:rPr>
                <w:rFonts w:hint="eastAsia" w:ascii="黑体" w:hAnsi="黑体" w:eastAsia="黑体" w:cs="黑体"/>
                <w:i w:val="0"/>
                <w:iCs w:val="0"/>
                <w:color w:val="000000"/>
                <w:kern w:val="0"/>
                <w:sz w:val="16"/>
                <w:szCs w:val="16"/>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50"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855"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1095"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1245"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375"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600"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1095"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510"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450"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1890"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667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16"/>
                <w:szCs w:val="16"/>
                <w:u w:val="none"/>
              </w:rPr>
            </w:pPr>
            <w:r>
              <w:rPr>
                <w:rFonts w:hint="eastAsia" w:ascii="黑体" w:hAnsi="宋体" w:eastAsia="黑体" w:cs="黑体"/>
                <w:b/>
                <w:bCs/>
                <w:i w:val="0"/>
                <w:iCs w:val="0"/>
                <w:color w:val="000000"/>
                <w:kern w:val="0"/>
                <w:sz w:val="16"/>
                <w:szCs w:val="16"/>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3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项目名称</w:t>
            </w:r>
          </w:p>
        </w:tc>
        <w:tc>
          <w:tcPr>
            <w:tcW w:w="537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51000021R000000019956-离退休费支出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13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主管部门</w:t>
            </w:r>
          </w:p>
        </w:tc>
        <w:tc>
          <w:tcPr>
            <w:tcW w:w="33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红原县卫生健康局</w:t>
            </w:r>
          </w:p>
        </w:tc>
        <w:tc>
          <w:tcPr>
            <w:tcW w:w="1095"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6"/>
                <w:szCs w:val="16"/>
                <w:u w:val="none"/>
              </w:rPr>
            </w:pPr>
            <w:r>
              <w:rPr>
                <w:rFonts w:hint="eastAsia" w:ascii="黑体" w:hAnsi="黑体" w:eastAsia="黑体" w:cs="黑体"/>
                <w:i w:val="0"/>
                <w:iCs w:val="0"/>
                <w:color w:val="000000"/>
                <w:kern w:val="0"/>
                <w:sz w:val="16"/>
                <w:szCs w:val="16"/>
                <w:u w:val="none"/>
                <w:lang w:val="en-US" w:eastAsia="zh-CN" w:bidi="ar"/>
              </w:rPr>
              <w:t>实施单位 （盖章）</w:t>
            </w:r>
          </w:p>
        </w:tc>
        <w:tc>
          <w:tcPr>
            <w:tcW w:w="2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红原县藏医院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项目基本情况</w:t>
            </w:r>
          </w:p>
        </w:tc>
        <w:tc>
          <w:tcPr>
            <w:tcW w:w="8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1.项目年度目标完成情况</w:t>
            </w:r>
          </w:p>
        </w:tc>
        <w:tc>
          <w:tcPr>
            <w:tcW w:w="33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项目年度目标</w:t>
            </w:r>
          </w:p>
        </w:tc>
        <w:tc>
          <w:tcPr>
            <w:tcW w:w="39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6"/>
                <w:szCs w:val="16"/>
                <w:u w:val="none"/>
              </w:rPr>
            </w:pPr>
            <w:r>
              <w:rPr>
                <w:rFonts w:hint="eastAsia" w:ascii="黑体" w:hAnsi="黑体" w:eastAsia="黑体" w:cs="黑体"/>
                <w:i w:val="0"/>
                <w:iCs w:val="0"/>
                <w:color w:val="000000"/>
                <w:kern w:val="0"/>
                <w:sz w:val="16"/>
                <w:szCs w:val="16"/>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6"/>
                <w:szCs w:val="16"/>
                <w:u w:val="none"/>
              </w:rPr>
            </w:pPr>
          </w:p>
        </w:tc>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6"/>
                <w:szCs w:val="16"/>
                <w:u w:val="none"/>
              </w:rPr>
            </w:pPr>
          </w:p>
        </w:tc>
        <w:tc>
          <w:tcPr>
            <w:tcW w:w="33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严格执行相关政策，保障工资及时发放、足额发放，预算编制科学合理，减少结余资金</w:t>
            </w:r>
          </w:p>
        </w:tc>
        <w:tc>
          <w:tcPr>
            <w:tcW w:w="39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6"/>
                <w:szCs w:val="16"/>
                <w:u w:val="none"/>
              </w:rPr>
            </w:pPr>
            <w:r>
              <w:rPr>
                <w:rFonts w:hint="eastAsia" w:ascii="黑体" w:hAnsi="黑体" w:eastAsia="黑体" w:cs="黑体"/>
                <w:i w:val="0"/>
                <w:iCs w:val="0"/>
                <w:color w:val="000000"/>
                <w:kern w:val="0"/>
                <w:sz w:val="16"/>
                <w:szCs w:val="16"/>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6"/>
                <w:szCs w:val="16"/>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2.项目实施内容及过程概述</w:t>
            </w:r>
          </w:p>
        </w:tc>
        <w:tc>
          <w:tcPr>
            <w:tcW w:w="537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预算执行情况（10分）</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年度预算数（万元）</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年初预算</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调整后预算数</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预算执行数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得分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总额</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1.12</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12.84</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11.93</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92.94%</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8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iCs/>
                <w:color w:val="000000"/>
                <w:sz w:val="16"/>
                <w:szCs w:val="16"/>
                <w:u w:val="none"/>
              </w:rPr>
            </w:pPr>
            <w:r>
              <w:rPr>
                <w:rFonts w:hint="eastAsia" w:ascii="黑体" w:hAnsi="黑体" w:eastAsia="黑体" w:cs="黑体"/>
                <w:i/>
                <w:iCs/>
                <w:color w:val="000000"/>
                <w:kern w:val="0"/>
                <w:sz w:val="16"/>
                <w:szCs w:val="16"/>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其中：财政资金</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1.12</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12.84</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11.93</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92.94%</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财政专户管理资金</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单位资金</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其他资金</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绩效指标（90分）</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一级指标</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二级指标</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三级指标</w:t>
            </w: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指标性质</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指标值</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得分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产出指标</w:t>
            </w:r>
          </w:p>
        </w:tc>
        <w:tc>
          <w:tcPr>
            <w:tcW w:w="10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数量指标</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科目调整次数</w:t>
            </w: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22.5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足额保障率</w:t>
            </w: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22.5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时效指标</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按时发放率</w:t>
            </w: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22.5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效益指标</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经济效益指标</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结余率（计算方法为：结余数/预算数）</w:t>
            </w: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5</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22.5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62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6"/>
                <w:szCs w:val="16"/>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评价结论</w:t>
            </w:r>
          </w:p>
        </w:tc>
        <w:tc>
          <w:tcPr>
            <w:tcW w:w="622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存在问题</w:t>
            </w:r>
          </w:p>
        </w:tc>
        <w:tc>
          <w:tcPr>
            <w:tcW w:w="622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改进措施</w:t>
            </w:r>
          </w:p>
        </w:tc>
        <w:tc>
          <w:tcPr>
            <w:tcW w:w="622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6"/>
                <w:szCs w:val="16"/>
                <w:u w:val="none"/>
              </w:rPr>
            </w:pPr>
            <w:r>
              <w:rPr>
                <w:rFonts w:hint="eastAsia" w:ascii="黑体" w:hAnsi="黑体" w:eastAsia="黑体" w:cs="黑体"/>
                <w:i w:val="0"/>
                <w:iCs w:val="0"/>
                <w:color w:val="000000"/>
                <w:kern w:val="0"/>
                <w:sz w:val="16"/>
                <w:szCs w:val="16"/>
                <w:u w:val="none"/>
                <w:lang w:val="en-US" w:eastAsia="zh-CN" w:bidi="ar"/>
              </w:rPr>
              <w:t>项目负责人：</w:t>
            </w:r>
          </w:p>
        </w:tc>
        <w:tc>
          <w:tcPr>
            <w:tcW w:w="265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6"/>
                <w:szCs w:val="16"/>
                <w:u w:val="none"/>
              </w:rPr>
            </w:pPr>
            <w:r>
              <w:rPr>
                <w:rFonts w:hint="eastAsia" w:ascii="黑体" w:hAnsi="黑体" w:eastAsia="黑体" w:cs="黑体"/>
                <w:i w:val="0"/>
                <w:iCs w:val="0"/>
                <w:color w:val="000000"/>
                <w:kern w:val="0"/>
                <w:sz w:val="16"/>
                <w:szCs w:val="16"/>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50"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855"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1095"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1245"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375"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600"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1095"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510"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450"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1890"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667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16"/>
                <w:szCs w:val="16"/>
                <w:u w:val="none"/>
              </w:rPr>
            </w:pPr>
            <w:r>
              <w:rPr>
                <w:rFonts w:hint="eastAsia" w:ascii="黑体" w:hAnsi="宋体" w:eastAsia="黑体" w:cs="黑体"/>
                <w:b/>
                <w:bCs/>
                <w:i w:val="0"/>
                <w:iCs w:val="0"/>
                <w:color w:val="000000"/>
                <w:kern w:val="0"/>
                <w:sz w:val="16"/>
                <w:szCs w:val="16"/>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3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项目名称</w:t>
            </w:r>
          </w:p>
        </w:tc>
        <w:tc>
          <w:tcPr>
            <w:tcW w:w="537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51000021Y000000011490-定额公用经费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13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主管部门</w:t>
            </w:r>
          </w:p>
        </w:tc>
        <w:tc>
          <w:tcPr>
            <w:tcW w:w="33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红原县卫生健康局</w:t>
            </w:r>
          </w:p>
        </w:tc>
        <w:tc>
          <w:tcPr>
            <w:tcW w:w="1095"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6"/>
                <w:szCs w:val="16"/>
                <w:u w:val="none"/>
              </w:rPr>
            </w:pPr>
            <w:r>
              <w:rPr>
                <w:rFonts w:hint="eastAsia" w:ascii="黑体" w:hAnsi="黑体" w:eastAsia="黑体" w:cs="黑体"/>
                <w:i w:val="0"/>
                <w:iCs w:val="0"/>
                <w:color w:val="000000"/>
                <w:kern w:val="0"/>
                <w:sz w:val="16"/>
                <w:szCs w:val="16"/>
                <w:u w:val="none"/>
                <w:lang w:val="en-US" w:eastAsia="zh-CN" w:bidi="ar"/>
              </w:rPr>
              <w:t>实施单位 （盖章）</w:t>
            </w:r>
          </w:p>
        </w:tc>
        <w:tc>
          <w:tcPr>
            <w:tcW w:w="2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红原县藏医院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项目基本情况</w:t>
            </w:r>
          </w:p>
        </w:tc>
        <w:tc>
          <w:tcPr>
            <w:tcW w:w="8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1.项目年度目标完成情况</w:t>
            </w:r>
          </w:p>
        </w:tc>
        <w:tc>
          <w:tcPr>
            <w:tcW w:w="33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项目年度目标</w:t>
            </w:r>
          </w:p>
        </w:tc>
        <w:tc>
          <w:tcPr>
            <w:tcW w:w="39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6"/>
                <w:szCs w:val="16"/>
                <w:u w:val="none"/>
              </w:rPr>
            </w:pPr>
            <w:r>
              <w:rPr>
                <w:rFonts w:hint="eastAsia" w:ascii="黑体" w:hAnsi="黑体" w:eastAsia="黑体" w:cs="黑体"/>
                <w:i w:val="0"/>
                <w:iCs w:val="0"/>
                <w:color w:val="000000"/>
                <w:kern w:val="0"/>
                <w:sz w:val="16"/>
                <w:szCs w:val="16"/>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6"/>
                <w:szCs w:val="16"/>
                <w:u w:val="none"/>
              </w:rPr>
            </w:pPr>
          </w:p>
        </w:tc>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6"/>
                <w:szCs w:val="16"/>
                <w:u w:val="none"/>
              </w:rPr>
            </w:pPr>
          </w:p>
        </w:tc>
        <w:tc>
          <w:tcPr>
            <w:tcW w:w="33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保障单位日常运转，提高预算编制质量，严格执行预算</w:t>
            </w:r>
          </w:p>
        </w:tc>
        <w:tc>
          <w:tcPr>
            <w:tcW w:w="39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6"/>
                <w:szCs w:val="16"/>
                <w:u w:val="none"/>
              </w:rPr>
            </w:pPr>
            <w:r>
              <w:rPr>
                <w:rFonts w:hint="eastAsia" w:ascii="黑体" w:hAnsi="黑体" w:eastAsia="黑体" w:cs="黑体"/>
                <w:i w:val="0"/>
                <w:iCs w:val="0"/>
                <w:color w:val="000000"/>
                <w:kern w:val="0"/>
                <w:sz w:val="16"/>
                <w:szCs w:val="16"/>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6"/>
                <w:szCs w:val="16"/>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2.项目实施内容及过程概述</w:t>
            </w:r>
          </w:p>
        </w:tc>
        <w:tc>
          <w:tcPr>
            <w:tcW w:w="537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预算执行情况（10分）</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年度预算数（万元）</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年初预算</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调整后预算数</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预算执行数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得分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总额</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5.16</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5.16</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5.16</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8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iCs/>
                <w:color w:val="000000"/>
                <w:sz w:val="16"/>
                <w:szCs w:val="16"/>
                <w:u w:val="none"/>
              </w:rPr>
            </w:pPr>
            <w:r>
              <w:rPr>
                <w:rFonts w:hint="eastAsia" w:ascii="黑体" w:hAnsi="黑体" w:eastAsia="黑体" w:cs="黑体"/>
                <w:i/>
                <w:iCs/>
                <w:color w:val="000000"/>
                <w:kern w:val="0"/>
                <w:sz w:val="16"/>
                <w:szCs w:val="16"/>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其中：财政资金</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5.16</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5.16</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5.16</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财政专户管理资金</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单位资金</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其他资金</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绩效指标（90分）</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一级指标</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二级指标</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三级指标</w:t>
            </w: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指标性质</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指标值</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得分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产出指标</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数量指标</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科目调整次数</w:t>
            </w: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22.5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质量指标</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预算编制准确率（计算方法为：∣（执行数-预算数）/预算数∣）</w:t>
            </w: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5</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22.5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效益指标</w:t>
            </w:r>
          </w:p>
        </w:tc>
        <w:tc>
          <w:tcPr>
            <w:tcW w:w="10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经济效益指标</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运转保障率</w:t>
            </w: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22.5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“三公经费”控制率[计算方法为：（三公经费实际支出数/预算安排数]×100%）</w:t>
            </w: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22.5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62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6"/>
                <w:szCs w:val="16"/>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评价结论</w:t>
            </w:r>
          </w:p>
        </w:tc>
        <w:tc>
          <w:tcPr>
            <w:tcW w:w="622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存在问题</w:t>
            </w:r>
          </w:p>
        </w:tc>
        <w:tc>
          <w:tcPr>
            <w:tcW w:w="622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改进措施</w:t>
            </w:r>
          </w:p>
        </w:tc>
        <w:tc>
          <w:tcPr>
            <w:tcW w:w="622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6"/>
                <w:szCs w:val="16"/>
                <w:u w:val="none"/>
              </w:rPr>
            </w:pPr>
            <w:r>
              <w:rPr>
                <w:rFonts w:hint="eastAsia" w:ascii="黑体" w:hAnsi="黑体" w:eastAsia="黑体" w:cs="黑体"/>
                <w:i w:val="0"/>
                <w:iCs w:val="0"/>
                <w:color w:val="000000"/>
                <w:kern w:val="0"/>
                <w:sz w:val="16"/>
                <w:szCs w:val="16"/>
                <w:u w:val="none"/>
                <w:lang w:val="en-US" w:eastAsia="zh-CN" w:bidi="ar"/>
              </w:rPr>
              <w:t>项目负责人：</w:t>
            </w:r>
          </w:p>
        </w:tc>
        <w:tc>
          <w:tcPr>
            <w:tcW w:w="265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6"/>
                <w:szCs w:val="16"/>
                <w:u w:val="none"/>
              </w:rPr>
            </w:pPr>
            <w:r>
              <w:rPr>
                <w:rFonts w:hint="eastAsia" w:ascii="黑体" w:hAnsi="黑体" w:eastAsia="黑体" w:cs="黑体"/>
                <w:i w:val="0"/>
                <w:iCs w:val="0"/>
                <w:color w:val="000000"/>
                <w:kern w:val="0"/>
                <w:sz w:val="16"/>
                <w:szCs w:val="16"/>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50"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855"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1095"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1245"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375"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600"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1095"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510"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450"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1890"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667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16"/>
                <w:szCs w:val="16"/>
                <w:u w:val="none"/>
              </w:rPr>
            </w:pPr>
            <w:r>
              <w:rPr>
                <w:rFonts w:hint="eastAsia" w:ascii="黑体" w:hAnsi="宋体" w:eastAsia="黑体" w:cs="黑体"/>
                <w:b/>
                <w:bCs/>
                <w:i w:val="0"/>
                <w:iCs w:val="0"/>
                <w:color w:val="000000"/>
                <w:kern w:val="0"/>
                <w:sz w:val="16"/>
                <w:szCs w:val="16"/>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3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项目名称</w:t>
            </w:r>
          </w:p>
        </w:tc>
        <w:tc>
          <w:tcPr>
            <w:tcW w:w="537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51323321T000000076742-公立医院取消药品加成补助县级财政补助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13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主管部门</w:t>
            </w:r>
          </w:p>
        </w:tc>
        <w:tc>
          <w:tcPr>
            <w:tcW w:w="33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红原县卫生健康局</w:t>
            </w:r>
          </w:p>
        </w:tc>
        <w:tc>
          <w:tcPr>
            <w:tcW w:w="1095"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6"/>
                <w:szCs w:val="16"/>
                <w:u w:val="none"/>
              </w:rPr>
            </w:pPr>
            <w:r>
              <w:rPr>
                <w:rFonts w:hint="eastAsia" w:ascii="黑体" w:hAnsi="黑体" w:eastAsia="黑体" w:cs="黑体"/>
                <w:i w:val="0"/>
                <w:iCs w:val="0"/>
                <w:color w:val="000000"/>
                <w:kern w:val="0"/>
                <w:sz w:val="16"/>
                <w:szCs w:val="16"/>
                <w:u w:val="none"/>
                <w:lang w:val="en-US" w:eastAsia="zh-CN" w:bidi="ar"/>
              </w:rPr>
              <w:t>实施单位 （盖章）</w:t>
            </w:r>
          </w:p>
        </w:tc>
        <w:tc>
          <w:tcPr>
            <w:tcW w:w="2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红原县藏医院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项目基本情况</w:t>
            </w:r>
          </w:p>
        </w:tc>
        <w:tc>
          <w:tcPr>
            <w:tcW w:w="8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1.项目年度目标完成情况</w:t>
            </w:r>
          </w:p>
        </w:tc>
        <w:tc>
          <w:tcPr>
            <w:tcW w:w="33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项目年度目标</w:t>
            </w:r>
          </w:p>
        </w:tc>
        <w:tc>
          <w:tcPr>
            <w:tcW w:w="39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6"/>
                <w:szCs w:val="16"/>
                <w:u w:val="none"/>
              </w:rPr>
            </w:pPr>
            <w:r>
              <w:rPr>
                <w:rFonts w:hint="eastAsia" w:ascii="黑体" w:hAnsi="黑体" w:eastAsia="黑体" w:cs="黑体"/>
                <w:i w:val="0"/>
                <w:iCs w:val="0"/>
                <w:color w:val="000000"/>
                <w:kern w:val="0"/>
                <w:sz w:val="16"/>
                <w:szCs w:val="16"/>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6"/>
                <w:szCs w:val="16"/>
                <w:u w:val="none"/>
              </w:rPr>
            </w:pPr>
          </w:p>
        </w:tc>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6"/>
                <w:szCs w:val="16"/>
                <w:u w:val="none"/>
              </w:rPr>
            </w:pPr>
          </w:p>
        </w:tc>
        <w:tc>
          <w:tcPr>
            <w:tcW w:w="33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　服务对象收益人数12712人次</w:t>
            </w:r>
          </w:p>
        </w:tc>
        <w:tc>
          <w:tcPr>
            <w:tcW w:w="39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6"/>
                <w:szCs w:val="16"/>
                <w:u w:val="none"/>
              </w:rPr>
            </w:pPr>
            <w:r>
              <w:rPr>
                <w:rFonts w:hint="eastAsia" w:ascii="黑体" w:hAnsi="黑体" w:eastAsia="黑体" w:cs="黑体"/>
                <w:i w:val="0"/>
                <w:iCs w:val="0"/>
                <w:color w:val="000000"/>
                <w:kern w:val="0"/>
                <w:sz w:val="16"/>
                <w:szCs w:val="16"/>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6"/>
                <w:szCs w:val="16"/>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2.项目实施内容及过程概述</w:t>
            </w:r>
          </w:p>
        </w:tc>
        <w:tc>
          <w:tcPr>
            <w:tcW w:w="537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预算执行情况（10分）</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年度预算数（万元）</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年初预算</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调整后预算数</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预算执行数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得分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总额</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4.10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5.10</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5.10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8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iCs/>
                <w:color w:val="000000"/>
                <w:sz w:val="16"/>
                <w:szCs w:val="16"/>
                <w:u w:val="none"/>
              </w:rPr>
            </w:pPr>
            <w:r>
              <w:rPr>
                <w:rFonts w:hint="eastAsia" w:ascii="黑体" w:hAnsi="黑体" w:eastAsia="黑体" w:cs="黑体"/>
                <w:i/>
                <w:iCs/>
                <w:color w:val="000000"/>
                <w:kern w:val="0"/>
                <w:sz w:val="16"/>
                <w:szCs w:val="16"/>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其中：财政资金</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4.10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5.10</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5.10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财政专户管理资金</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单位资金</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其他资金</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绩效指标（90分）</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一级指标</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二级指标</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三级指标</w:t>
            </w: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指标性质</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指标值</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得分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产出指标</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成本指标</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取消药品加成补助持续实施降低药品成本费用</w:t>
            </w: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定性</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好坏</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70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效益指标</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社会效益指标</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减少患者就医负担覆盖率</w:t>
            </w: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90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满意度指标</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服务对象满意度指标</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患者满意度</w:t>
            </w: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95</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62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6"/>
                <w:szCs w:val="16"/>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评价结论</w:t>
            </w:r>
          </w:p>
        </w:tc>
        <w:tc>
          <w:tcPr>
            <w:tcW w:w="622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存在问题</w:t>
            </w:r>
          </w:p>
        </w:tc>
        <w:tc>
          <w:tcPr>
            <w:tcW w:w="622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改进措施</w:t>
            </w:r>
          </w:p>
        </w:tc>
        <w:tc>
          <w:tcPr>
            <w:tcW w:w="622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6"/>
                <w:szCs w:val="16"/>
                <w:u w:val="none"/>
              </w:rPr>
            </w:pPr>
            <w:r>
              <w:rPr>
                <w:rFonts w:hint="eastAsia" w:ascii="黑体" w:hAnsi="黑体" w:eastAsia="黑体" w:cs="黑体"/>
                <w:i w:val="0"/>
                <w:iCs w:val="0"/>
                <w:color w:val="000000"/>
                <w:kern w:val="0"/>
                <w:sz w:val="16"/>
                <w:szCs w:val="16"/>
                <w:u w:val="none"/>
                <w:lang w:val="en-US" w:eastAsia="zh-CN" w:bidi="ar"/>
              </w:rPr>
              <w:t>项目负责人：</w:t>
            </w:r>
          </w:p>
        </w:tc>
        <w:tc>
          <w:tcPr>
            <w:tcW w:w="265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6"/>
                <w:szCs w:val="16"/>
                <w:u w:val="none"/>
              </w:rPr>
            </w:pPr>
            <w:r>
              <w:rPr>
                <w:rFonts w:hint="eastAsia" w:ascii="黑体" w:hAnsi="黑体" w:eastAsia="黑体" w:cs="黑体"/>
                <w:i w:val="0"/>
                <w:iCs w:val="0"/>
                <w:color w:val="000000"/>
                <w:kern w:val="0"/>
                <w:sz w:val="16"/>
                <w:szCs w:val="16"/>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50"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855"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1095"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1245"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375"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600"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1095"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510"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450"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1890"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667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16"/>
                <w:szCs w:val="16"/>
                <w:u w:val="none"/>
              </w:rPr>
            </w:pPr>
            <w:r>
              <w:rPr>
                <w:rFonts w:hint="eastAsia" w:ascii="黑体" w:hAnsi="宋体" w:eastAsia="黑体" w:cs="黑体"/>
                <w:b/>
                <w:bCs/>
                <w:i w:val="0"/>
                <w:iCs w:val="0"/>
                <w:color w:val="000000"/>
                <w:kern w:val="0"/>
                <w:sz w:val="16"/>
                <w:szCs w:val="16"/>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3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项目名称</w:t>
            </w:r>
          </w:p>
        </w:tc>
        <w:tc>
          <w:tcPr>
            <w:tcW w:w="537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51323322R000000309914-社会保障缴费（机关事业单位基本养老保险缴费）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13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主管部门</w:t>
            </w:r>
          </w:p>
        </w:tc>
        <w:tc>
          <w:tcPr>
            <w:tcW w:w="33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红原县卫生健康局</w:t>
            </w:r>
          </w:p>
        </w:tc>
        <w:tc>
          <w:tcPr>
            <w:tcW w:w="1095"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6"/>
                <w:szCs w:val="16"/>
                <w:u w:val="none"/>
              </w:rPr>
            </w:pPr>
            <w:r>
              <w:rPr>
                <w:rFonts w:hint="eastAsia" w:ascii="黑体" w:hAnsi="黑体" w:eastAsia="黑体" w:cs="黑体"/>
                <w:i w:val="0"/>
                <w:iCs w:val="0"/>
                <w:color w:val="000000"/>
                <w:kern w:val="0"/>
                <w:sz w:val="16"/>
                <w:szCs w:val="16"/>
                <w:u w:val="none"/>
                <w:lang w:val="en-US" w:eastAsia="zh-CN" w:bidi="ar"/>
              </w:rPr>
              <w:t>实施单位 （盖章）</w:t>
            </w:r>
          </w:p>
        </w:tc>
        <w:tc>
          <w:tcPr>
            <w:tcW w:w="2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红原县藏医院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项目基本情况</w:t>
            </w:r>
          </w:p>
        </w:tc>
        <w:tc>
          <w:tcPr>
            <w:tcW w:w="8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1.项目年度目标完成情况</w:t>
            </w:r>
          </w:p>
        </w:tc>
        <w:tc>
          <w:tcPr>
            <w:tcW w:w="33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项目年度目标</w:t>
            </w:r>
          </w:p>
        </w:tc>
        <w:tc>
          <w:tcPr>
            <w:tcW w:w="39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6"/>
                <w:szCs w:val="16"/>
                <w:u w:val="none"/>
              </w:rPr>
            </w:pPr>
            <w:r>
              <w:rPr>
                <w:rFonts w:hint="eastAsia" w:ascii="黑体" w:hAnsi="黑体" w:eastAsia="黑体" w:cs="黑体"/>
                <w:i w:val="0"/>
                <w:iCs w:val="0"/>
                <w:color w:val="000000"/>
                <w:kern w:val="0"/>
                <w:sz w:val="16"/>
                <w:szCs w:val="16"/>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6"/>
                <w:szCs w:val="16"/>
                <w:u w:val="none"/>
              </w:rPr>
            </w:pPr>
          </w:p>
        </w:tc>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6"/>
                <w:szCs w:val="16"/>
                <w:u w:val="none"/>
              </w:rPr>
            </w:pPr>
          </w:p>
        </w:tc>
        <w:tc>
          <w:tcPr>
            <w:tcW w:w="33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严格执行相关政策，保障工资及时发放、足额发放，预算编制科学合理，减少结余资金</w:t>
            </w:r>
          </w:p>
        </w:tc>
        <w:tc>
          <w:tcPr>
            <w:tcW w:w="39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6"/>
                <w:szCs w:val="16"/>
                <w:u w:val="none"/>
              </w:rPr>
            </w:pPr>
            <w:r>
              <w:rPr>
                <w:rFonts w:hint="eastAsia" w:ascii="黑体" w:hAnsi="黑体" w:eastAsia="黑体" w:cs="黑体"/>
                <w:i w:val="0"/>
                <w:iCs w:val="0"/>
                <w:color w:val="000000"/>
                <w:kern w:val="0"/>
                <w:sz w:val="16"/>
                <w:szCs w:val="16"/>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6"/>
                <w:szCs w:val="16"/>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2.项目实施内容及过程概述</w:t>
            </w:r>
          </w:p>
        </w:tc>
        <w:tc>
          <w:tcPr>
            <w:tcW w:w="537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预算执行情况（10分）</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年度预算数（万元）</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年初预算</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调整后预算数</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预算执行数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得分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总额</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68.78</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77.47</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77.04</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99.45%</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8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iCs/>
                <w:color w:val="000000"/>
                <w:sz w:val="16"/>
                <w:szCs w:val="16"/>
                <w:u w:val="none"/>
              </w:rPr>
            </w:pPr>
            <w:r>
              <w:rPr>
                <w:rFonts w:hint="eastAsia" w:ascii="黑体" w:hAnsi="黑体" w:eastAsia="黑体" w:cs="黑体"/>
                <w:i/>
                <w:iCs/>
                <w:color w:val="000000"/>
                <w:kern w:val="0"/>
                <w:sz w:val="16"/>
                <w:szCs w:val="16"/>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其中：财政资金</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68.78</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77.47</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77.04</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99.45%</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财政专户管理资金</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单位资金</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其他资金</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绩效指标（90分）</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一级指标</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二级指标</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三级指标</w:t>
            </w: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指标性质</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指标值</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得分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产出指标</w:t>
            </w:r>
          </w:p>
        </w:tc>
        <w:tc>
          <w:tcPr>
            <w:tcW w:w="10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数量指标</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科目调整次数</w:t>
            </w: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22.5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足额保障率</w:t>
            </w: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22.5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时效指标</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按时发放率</w:t>
            </w: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22.5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效益指标</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经济效益指标</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结余率（计算方法为：结余数/预算数）</w:t>
            </w: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5</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22.5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62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6"/>
                <w:szCs w:val="16"/>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评价结论</w:t>
            </w:r>
          </w:p>
        </w:tc>
        <w:tc>
          <w:tcPr>
            <w:tcW w:w="622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存在问题</w:t>
            </w:r>
          </w:p>
        </w:tc>
        <w:tc>
          <w:tcPr>
            <w:tcW w:w="622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改进措施</w:t>
            </w:r>
          </w:p>
        </w:tc>
        <w:tc>
          <w:tcPr>
            <w:tcW w:w="622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6"/>
                <w:szCs w:val="16"/>
                <w:u w:val="none"/>
              </w:rPr>
            </w:pPr>
            <w:r>
              <w:rPr>
                <w:rFonts w:hint="eastAsia" w:ascii="黑体" w:hAnsi="黑体" w:eastAsia="黑体" w:cs="黑体"/>
                <w:i w:val="0"/>
                <w:iCs w:val="0"/>
                <w:color w:val="000000"/>
                <w:kern w:val="0"/>
                <w:sz w:val="16"/>
                <w:szCs w:val="16"/>
                <w:u w:val="none"/>
                <w:lang w:val="en-US" w:eastAsia="zh-CN" w:bidi="ar"/>
              </w:rPr>
              <w:t>项目负责人：</w:t>
            </w:r>
          </w:p>
        </w:tc>
        <w:tc>
          <w:tcPr>
            <w:tcW w:w="265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6"/>
                <w:szCs w:val="16"/>
                <w:u w:val="none"/>
              </w:rPr>
            </w:pPr>
            <w:r>
              <w:rPr>
                <w:rFonts w:hint="eastAsia" w:ascii="黑体" w:hAnsi="黑体" w:eastAsia="黑体" w:cs="黑体"/>
                <w:i w:val="0"/>
                <w:iCs w:val="0"/>
                <w:color w:val="000000"/>
                <w:kern w:val="0"/>
                <w:sz w:val="16"/>
                <w:szCs w:val="16"/>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50"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855"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1095"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1245"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375"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600"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1095"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510"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450"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1890"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667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16"/>
                <w:szCs w:val="16"/>
                <w:u w:val="none"/>
              </w:rPr>
            </w:pPr>
            <w:r>
              <w:rPr>
                <w:rFonts w:hint="eastAsia" w:ascii="黑体" w:hAnsi="宋体" w:eastAsia="黑体" w:cs="黑体"/>
                <w:b/>
                <w:bCs/>
                <w:i w:val="0"/>
                <w:iCs w:val="0"/>
                <w:color w:val="000000"/>
                <w:kern w:val="0"/>
                <w:sz w:val="16"/>
                <w:szCs w:val="16"/>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3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项目名称</w:t>
            </w:r>
          </w:p>
        </w:tc>
        <w:tc>
          <w:tcPr>
            <w:tcW w:w="537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51323322R000000309915-社会保障缴费（职业年金缴费）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13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主管部门</w:t>
            </w:r>
          </w:p>
        </w:tc>
        <w:tc>
          <w:tcPr>
            <w:tcW w:w="33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红原县卫生健康局</w:t>
            </w:r>
          </w:p>
        </w:tc>
        <w:tc>
          <w:tcPr>
            <w:tcW w:w="1095"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6"/>
                <w:szCs w:val="16"/>
                <w:u w:val="none"/>
              </w:rPr>
            </w:pPr>
            <w:r>
              <w:rPr>
                <w:rFonts w:hint="eastAsia" w:ascii="黑体" w:hAnsi="黑体" w:eastAsia="黑体" w:cs="黑体"/>
                <w:i w:val="0"/>
                <w:iCs w:val="0"/>
                <w:color w:val="000000"/>
                <w:kern w:val="0"/>
                <w:sz w:val="16"/>
                <w:szCs w:val="16"/>
                <w:u w:val="none"/>
                <w:lang w:val="en-US" w:eastAsia="zh-CN" w:bidi="ar"/>
              </w:rPr>
              <w:t>实施单位 （盖章）</w:t>
            </w:r>
          </w:p>
        </w:tc>
        <w:tc>
          <w:tcPr>
            <w:tcW w:w="2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红原县藏医院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项目基本情况</w:t>
            </w:r>
          </w:p>
        </w:tc>
        <w:tc>
          <w:tcPr>
            <w:tcW w:w="8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1.项目年度目标完成情况</w:t>
            </w:r>
          </w:p>
        </w:tc>
        <w:tc>
          <w:tcPr>
            <w:tcW w:w="33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项目年度目标</w:t>
            </w:r>
          </w:p>
        </w:tc>
        <w:tc>
          <w:tcPr>
            <w:tcW w:w="39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6"/>
                <w:szCs w:val="16"/>
                <w:u w:val="none"/>
              </w:rPr>
            </w:pPr>
            <w:r>
              <w:rPr>
                <w:rFonts w:hint="eastAsia" w:ascii="黑体" w:hAnsi="黑体" w:eastAsia="黑体" w:cs="黑体"/>
                <w:i w:val="0"/>
                <w:iCs w:val="0"/>
                <w:color w:val="000000"/>
                <w:kern w:val="0"/>
                <w:sz w:val="16"/>
                <w:szCs w:val="16"/>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6"/>
                <w:szCs w:val="16"/>
                <w:u w:val="none"/>
              </w:rPr>
            </w:pPr>
          </w:p>
        </w:tc>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6"/>
                <w:szCs w:val="16"/>
                <w:u w:val="none"/>
              </w:rPr>
            </w:pPr>
          </w:p>
        </w:tc>
        <w:tc>
          <w:tcPr>
            <w:tcW w:w="33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严格执行相关政策，保障工资及时发放、足额发放，预算编制科学合理，减少结余资金</w:t>
            </w:r>
          </w:p>
        </w:tc>
        <w:tc>
          <w:tcPr>
            <w:tcW w:w="39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6"/>
                <w:szCs w:val="16"/>
                <w:u w:val="none"/>
              </w:rPr>
            </w:pPr>
            <w:r>
              <w:rPr>
                <w:rFonts w:hint="eastAsia" w:ascii="黑体" w:hAnsi="黑体" w:eastAsia="黑体" w:cs="黑体"/>
                <w:i w:val="0"/>
                <w:iCs w:val="0"/>
                <w:color w:val="000000"/>
                <w:kern w:val="0"/>
                <w:sz w:val="16"/>
                <w:szCs w:val="16"/>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6"/>
                <w:szCs w:val="16"/>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2.项目实施内容及过程概述</w:t>
            </w:r>
          </w:p>
        </w:tc>
        <w:tc>
          <w:tcPr>
            <w:tcW w:w="537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预算执行情况（10分）</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年度预算数（万元）</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年初预算</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调整后预算数</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预算执行数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得分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总额</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34.39</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38.98</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38.52</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98.83%</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8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iCs/>
                <w:color w:val="000000"/>
                <w:sz w:val="16"/>
                <w:szCs w:val="16"/>
                <w:u w:val="none"/>
              </w:rPr>
            </w:pPr>
            <w:r>
              <w:rPr>
                <w:rFonts w:hint="eastAsia" w:ascii="黑体" w:hAnsi="黑体" w:eastAsia="黑体" w:cs="黑体"/>
                <w:i/>
                <w:iCs/>
                <w:color w:val="000000"/>
                <w:kern w:val="0"/>
                <w:sz w:val="16"/>
                <w:szCs w:val="16"/>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其中：财政资金</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34.39</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38.98</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38.52</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98.83%</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财政专户管理资金</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单位资金</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其他资金</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绩效指标（90分）</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一级指标</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二级指标</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三级指标</w:t>
            </w: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指标性质</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指标值</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得分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产出指标</w:t>
            </w:r>
          </w:p>
        </w:tc>
        <w:tc>
          <w:tcPr>
            <w:tcW w:w="10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数量指标</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科目调整次数</w:t>
            </w: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22.5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足额保障率</w:t>
            </w: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22.5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时效指标</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按时发放率</w:t>
            </w: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22.5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效益指标</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经济效益指标</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结余率（计算方法为：结余数/预算数）</w:t>
            </w: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5</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22.5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62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6"/>
                <w:szCs w:val="16"/>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评价结论</w:t>
            </w:r>
          </w:p>
        </w:tc>
        <w:tc>
          <w:tcPr>
            <w:tcW w:w="622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存在问题</w:t>
            </w:r>
          </w:p>
        </w:tc>
        <w:tc>
          <w:tcPr>
            <w:tcW w:w="622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改进措施</w:t>
            </w:r>
          </w:p>
        </w:tc>
        <w:tc>
          <w:tcPr>
            <w:tcW w:w="622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6"/>
                <w:szCs w:val="16"/>
                <w:u w:val="none"/>
              </w:rPr>
            </w:pPr>
            <w:r>
              <w:rPr>
                <w:rFonts w:hint="eastAsia" w:ascii="黑体" w:hAnsi="黑体" w:eastAsia="黑体" w:cs="黑体"/>
                <w:i w:val="0"/>
                <w:iCs w:val="0"/>
                <w:color w:val="000000"/>
                <w:kern w:val="0"/>
                <w:sz w:val="16"/>
                <w:szCs w:val="16"/>
                <w:u w:val="none"/>
                <w:lang w:val="en-US" w:eastAsia="zh-CN" w:bidi="ar"/>
              </w:rPr>
              <w:t>项目负责人：</w:t>
            </w:r>
          </w:p>
        </w:tc>
        <w:tc>
          <w:tcPr>
            <w:tcW w:w="265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6"/>
                <w:szCs w:val="16"/>
                <w:u w:val="none"/>
              </w:rPr>
            </w:pPr>
            <w:r>
              <w:rPr>
                <w:rFonts w:hint="eastAsia" w:ascii="黑体" w:hAnsi="黑体" w:eastAsia="黑体" w:cs="黑体"/>
                <w:i w:val="0"/>
                <w:iCs w:val="0"/>
                <w:color w:val="000000"/>
                <w:kern w:val="0"/>
                <w:sz w:val="16"/>
                <w:szCs w:val="16"/>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50"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855"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1095"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1245"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375"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600"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1095"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510"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450"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1890"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667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16"/>
                <w:szCs w:val="16"/>
                <w:u w:val="none"/>
              </w:rPr>
            </w:pPr>
            <w:r>
              <w:rPr>
                <w:rFonts w:hint="eastAsia" w:ascii="黑体" w:hAnsi="宋体" w:eastAsia="黑体" w:cs="黑体"/>
                <w:b/>
                <w:bCs/>
                <w:i w:val="0"/>
                <w:iCs w:val="0"/>
                <w:color w:val="000000"/>
                <w:kern w:val="0"/>
                <w:sz w:val="16"/>
                <w:szCs w:val="16"/>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3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项目名称</w:t>
            </w:r>
          </w:p>
        </w:tc>
        <w:tc>
          <w:tcPr>
            <w:tcW w:w="537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51323322R000000309918-社会保障缴费（职工基本医疗保险缴费事业）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13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主管部门</w:t>
            </w:r>
          </w:p>
        </w:tc>
        <w:tc>
          <w:tcPr>
            <w:tcW w:w="33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红原县卫生健康局</w:t>
            </w:r>
          </w:p>
        </w:tc>
        <w:tc>
          <w:tcPr>
            <w:tcW w:w="1095"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6"/>
                <w:szCs w:val="16"/>
                <w:u w:val="none"/>
              </w:rPr>
            </w:pPr>
            <w:r>
              <w:rPr>
                <w:rFonts w:hint="eastAsia" w:ascii="黑体" w:hAnsi="黑体" w:eastAsia="黑体" w:cs="黑体"/>
                <w:i w:val="0"/>
                <w:iCs w:val="0"/>
                <w:color w:val="000000"/>
                <w:kern w:val="0"/>
                <w:sz w:val="16"/>
                <w:szCs w:val="16"/>
                <w:u w:val="none"/>
                <w:lang w:val="en-US" w:eastAsia="zh-CN" w:bidi="ar"/>
              </w:rPr>
              <w:t>实施单位 （盖章）</w:t>
            </w:r>
          </w:p>
        </w:tc>
        <w:tc>
          <w:tcPr>
            <w:tcW w:w="2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红原县藏医院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项目基本情况</w:t>
            </w:r>
          </w:p>
        </w:tc>
        <w:tc>
          <w:tcPr>
            <w:tcW w:w="8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1.项目年度目标完成情况</w:t>
            </w:r>
          </w:p>
        </w:tc>
        <w:tc>
          <w:tcPr>
            <w:tcW w:w="33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项目年度目标</w:t>
            </w:r>
          </w:p>
        </w:tc>
        <w:tc>
          <w:tcPr>
            <w:tcW w:w="39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6"/>
                <w:szCs w:val="16"/>
                <w:u w:val="none"/>
              </w:rPr>
            </w:pPr>
            <w:r>
              <w:rPr>
                <w:rFonts w:hint="eastAsia" w:ascii="黑体" w:hAnsi="黑体" w:eastAsia="黑体" w:cs="黑体"/>
                <w:i w:val="0"/>
                <w:iCs w:val="0"/>
                <w:color w:val="000000"/>
                <w:kern w:val="0"/>
                <w:sz w:val="16"/>
                <w:szCs w:val="16"/>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6"/>
                <w:szCs w:val="16"/>
                <w:u w:val="none"/>
              </w:rPr>
            </w:pPr>
          </w:p>
        </w:tc>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6"/>
                <w:szCs w:val="16"/>
                <w:u w:val="none"/>
              </w:rPr>
            </w:pPr>
          </w:p>
        </w:tc>
        <w:tc>
          <w:tcPr>
            <w:tcW w:w="33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严格执行相关政策，保障工资及时、足额发放或社保及时、足额缴纳，预算编制科学合理，减少结余资金。</w:t>
            </w:r>
          </w:p>
        </w:tc>
        <w:tc>
          <w:tcPr>
            <w:tcW w:w="39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6"/>
                <w:szCs w:val="16"/>
                <w:u w:val="none"/>
              </w:rPr>
            </w:pPr>
            <w:r>
              <w:rPr>
                <w:rFonts w:hint="eastAsia" w:ascii="黑体" w:hAnsi="黑体" w:eastAsia="黑体" w:cs="黑体"/>
                <w:i w:val="0"/>
                <w:iCs w:val="0"/>
                <w:color w:val="000000"/>
                <w:kern w:val="0"/>
                <w:sz w:val="16"/>
                <w:szCs w:val="16"/>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6"/>
                <w:szCs w:val="16"/>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2.项目实施内容及过程概述</w:t>
            </w:r>
          </w:p>
        </w:tc>
        <w:tc>
          <w:tcPr>
            <w:tcW w:w="537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预算执行情况（10分）</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年度预算数（万元）</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年初预算</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调整后预算数</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预算执行数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得分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总额</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30.09</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40.32</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40.32</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8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iCs/>
                <w:color w:val="000000"/>
                <w:sz w:val="16"/>
                <w:szCs w:val="16"/>
                <w:u w:val="none"/>
              </w:rPr>
            </w:pPr>
            <w:r>
              <w:rPr>
                <w:rFonts w:hint="eastAsia" w:ascii="黑体" w:hAnsi="黑体" w:eastAsia="黑体" w:cs="黑体"/>
                <w:i/>
                <w:iCs/>
                <w:color w:val="000000"/>
                <w:kern w:val="0"/>
                <w:sz w:val="16"/>
                <w:szCs w:val="16"/>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其中：财政资金</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30.09</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40.32</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40.32</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财政专户管理资金</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单位资金</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其他资金</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绩效指标（90分）</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一级指标</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二级指标</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三级指标</w:t>
            </w: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指标性质</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指标值</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得分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产出指标</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数量指标</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发放（缴纳）覆盖率</w:t>
            </w: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60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效益指标</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社会效益指标</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足额保障率（参保率）</w:t>
            </w: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30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62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6"/>
                <w:szCs w:val="16"/>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评价结论</w:t>
            </w:r>
          </w:p>
        </w:tc>
        <w:tc>
          <w:tcPr>
            <w:tcW w:w="622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存在问题</w:t>
            </w:r>
          </w:p>
        </w:tc>
        <w:tc>
          <w:tcPr>
            <w:tcW w:w="622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改进措施</w:t>
            </w:r>
          </w:p>
        </w:tc>
        <w:tc>
          <w:tcPr>
            <w:tcW w:w="622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6"/>
                <w:szCs w:val="16"/>
                <w:u w:val="none"/>
              </w:rPr>
            </w:pPr>
            <w:r>
              <w:rPr>
                <w:rFonts w:hint="eastAsia" w:ascii="黑体" w:hAnsi="黑体" w:eastAsia="黑体" w:cs="黑体"/>
                <w:i w:val="0"/>
                <w:iCs w:val="0"/>
                <w:color w:val="000000"/>
                <w:kern w:val="0"/>
                <w:sz w:val="16"/>
                <w:szCs w:val="16"/>
                <w:u w:val="none"/>
                <w:lang w:val="en-US" w:eastAsia="zh-CN" w:bidi="ar"/>
              </w:rPr>
              <w:t>项目负责人：</w:t>
            </w:r>
          </w:p>
        </w:tc>
        <w:tc>
          <w:tcPr>
            <w:tcW w:w="265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6"/>
                <w:szCs w:val="16"/>
                <w:u w:val="none"/>
              </w:rPr>
            </w:pPr>
            <w:r>
              <w:rPr>
                <w:rFonts w:hint="eastAsia" w:ascii="黑体" w:hAnsi="黑体" w:eastAsia="黑体" w:cs="黑体"/>
                <w:i w:val="0"/>
                <w:iCs w:val="0"/>
                <w:color w:val="000000"/>
                <w:kern w:val="0"/>
                <w:sz w:val="16"/>
                <w:szCs w:val="16"/>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50"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855"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1095"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1245"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375"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600"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1095"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510"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450"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1890"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667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16"/>
                <w:szCs w:val="16"/>
                <w:u w:val="none"/>
              </w:rPr>
            </w:pPr>
            <w:r>
              <w:rPr>
                <w:rFonts w:hint="eastAsia" w:ascii="黑体" w:hAnsi="宋体" w:eastAsia="黑体" w:cs="黑体"/>
                <w:b/>
                <w:bCs/>
                <w:i w:val="0"/>
                <w:iCs w:val="0"/>
                <w:color w:val="000000"/>
                <w:kern w:val="0"/>
                <w:sz w:val="16"/>
                <w:szCs w:val="16"/>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3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项目名称</w:t>
            </w:r>
          </w:p>
        </w:tc>
        <w:tc>
          <w:tcPr>
            <w:tcW w:w="537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51323322R000000309920-社会保障缴费（公务员医疗补助缴费）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13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主管部门</w:t>
            </w:r>
          </w:p>
        </w:tc>
        <w:tc>
          <w:tcPr>
            <w:tcW w:w="33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红原县卫生健康局</w:t>
            </w:r>
          </w:p>
        </w:tc>
        <w:tc>
          <w:tcPr>
            <w:tcW w:w="1095"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6"/>
                <w:szCs w:val="16"/>
                <w:u w:val="none"/>
              </w:rPr>
            </w:pPr>
            <w:r>
              <w:rPr>
                <w:rFonts w:hint="eastAsia" w:ascii="黑体" w:hAnsi="黑体" w:eastAsia="黑体" w:cs="黑体"/>
                <w:i w:val="0"/>
                <w:iCs w:val="0"/>
                <w:color w:val="000000"/>
                <w:kern w:val="0"/>
                <w:sz w:val="16"/>
                <w:szCs w:val="16"/>
                <w:u w:val="none"/>
                <w:lang w:val="en-US" w:eastAsia="zh-CN" w:bidi="ar"/>
              </w:rPr>
              <w:t>实施单位 （盖章）</w:t>
            </w:r>
          </w:p>
        </w:tc>
        <w:tc>
          <w:tcPr>
            <w:tcW w:w="2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红原县藏医院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项目基本情况</w:t>
            </w:r>
          </w:p>
        </w:tc>
        <w:tc>
          <w:tcPr>
            <w:tcW w:w="8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1.项目年度目标完成情况</w:t>
            </w:r>
          </w:p>
        </w:tc>
        <w:tc>
          <w:tcPr>
            <w:tcW w:w="33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项目年度目标</w:t>
            </w:r>
          </w:p>
        </w:tc>
        <w:tc>
          <w:tcPr>
            <w:tcW w:w="39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6"/>
                <w:szCs w:val="16"/>
                <w:u w:val="none"/>
              </w:rPr>
            </w:pPr>
            <w:r>
              <w:rPr>
                <w:rFonts w:hint="eastAsia" w:ascii="黑体" w:hAnsi="黑体" w:eastAsia="黑体" w:cs="黑体"/>
                <w:i w:val="0"/>
                <w:iCs w:val="0"/>
                <w:color w:val="000000"/>
                <w:kern w:val="0"/>
                <w:sz w:val="16"/>
                <w:szCs w:val="16"/>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6"/>
                <w:szCs w:val="16"/>
                <w:u w:val="none"/>
              </w:rPr>
            </w:pPr>
          </w:p>
        </w:tc>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6"/>
                <w:szCs w:val="16"/>
                <w:u w:val="none"/>
              </w:rPr>
            </w:pPr>
          </w:p>
        </w:tc>
        <w:tc>
          <w:tcPr>
            <w:tcW w:w="33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严格执行相关政策，保障工资及时发放、足额发放，预算编制科学合理，减少结余资金</w:t>
            </w:r>
          </w:p>
        </w:tc>
        <w:tc>
          <w:tcPr>
            <w:tcW w:w="39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6"/>
                <w:szCs w:val="16"/>
                <w:u w:val="none"/>
              </w:rPr>
            </w:pPr>
            <w:r>
              <w:rPr>
                <w:rFonts w:hint="eastAsia" w:ascii="黑体" w:hAnsi="黑体" w:eastAsia="黑体" w:cs="黑体"/>
                <w:i w:val="0"/>
                <w:iCs w:val="0"/>
                <w:color w:val="000000"/>
                <w:kern w:val="0"/>
                <w:sz w:val="16"/>
                <w:szCs w:val="16"/>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6"/>
                <w:szCs w:val="16"/>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2.项目实施内容及过程概述</w:t>
            </w:r>
          </w:p>
        </w:tc>
        <w:tc>
          <w:tcPr>
            <w:tcW w:w="537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预算执行情况（10分）</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年度预算数（万元）</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年初预算</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调整后预算数</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预算执行数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得分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总额</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9.50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9.36</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9.36</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8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iCs/>
                <w:color w:val="000000"/>
                <w:sz w:val="16"/>
                <w:szCs w:val="16"/>
                <w:u w:val="none"/>
              </w:rPr>
            </w:pPr>
            <w:r>
              <w:rPr>
                <w:rFonts w:hint="eastAsia" w:ascii="黑体" w:hAnsi="黑体" w:eastAsia="黑体" w:cs="黑体"/>
                <w:i/>
                <w:iCs/>
                <w:color w:val="000000"/>
                <w:kern w:val="0"/>
                <w:sz w:val="16"/>
                <w:szCs w:val="16"/>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其中：财政资金</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9.50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9.36</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9.36</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财政专户管理资金</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单位资金</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其他资金</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绩效指标（90分）</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一级指标</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二级指标</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三级指标</w:t>
            </w: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指标性质</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指标值</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得分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产出指标</w:t>
            </w:r>
          </w:p>
        </w:tc>
        <w:tc>
          <w:tcPr>
            <w:tcW w:w="10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数量指标</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科目调整次数</w:t>
            </w: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22.5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足额保障率</w:t>
            </w: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22.5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时效指标</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按时发放率</w:t>
            </w: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22.5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效益指标</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经济效益指标</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结余率（计算方法为：结余数/预算数）</w:t>
            </w: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5</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22.5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62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6"/>
                <w:szCs w:val="16"/>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评价结论</w:t>
            </w:r>
          </w:p>
        </w:tc>
        <w:tc>
          <w:tcPr>
            <w:tcW w:w="622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存在问题</w:t>
            </w:r>
          </w:p>
        </w:tc>
        <w:tc>
          <w:tcPr>
            <w:tcW w:w="622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改进措施</w:t>
            </w:r>
          </w:p>
        </w:tc>
        <w:tc>
          <w:tcPr>
            <w:tcW w:w="622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6"/>
                <w:szCs w:val="16"/>
                <w:u w:val="none"/>
              </w:rPr>
            </w:pPr>
            <w:r>
              <w:rPr>
                <w:rFonts w:hint="eastAsia" w:ascii="黑体" w:hAnsi="黑体" w:eastAsia="黑体" w:cs="黑体"/>
                <w:i w:val="0"/>
                <w:iCs w:val="0"/>
                <w:color w:val="000000"/>
                <w:kern w:val="0"/>
                <w:sz w:val="16"/>
                <w:szCs w:val="16"/>
                <w:u w:val="none"/>
                <w:lang w:val="en-US" w:eastAsia="zh-CN" w:bidi="ar"/>
              </w:rPr>
              <w:t>项目负责人：</w:t>
            </w:r>
          </w:p>
        </w:tc>
        <w:tc>
          <w:tcPr>
            <w:tcW w:w="265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6"/>
                <w:szCs w:val="16"/>
                <w:u w:val="none"/>
              </w:rPr>
            </w:pPr>
            <w:r>
              <w:rPr>
                <w:rFonts w:hint="eastAsia" w:ascii="黑体" w:hAnsi="黑体" w:eastAsia="黑体" w:cs="黑体"/>
                <w:i w:val="0"/>
                <w:iCs w:val="0"/>
                <w:color w:val="000000"/>
                <w:kern w:val="0"/>
                <w:sz w:val="16"/>
                <w:szCs w:val="16"/>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50"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855"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1095"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1245"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375"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600"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1095"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510"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450"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1890"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667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16"/>
                <w:szCs w:val="16"/>
                <w:u w:val="none"/>
              </w:rPr>
            </w:pPr>
            <w:r>
              <w:rPr>
                <w:rFonts w:hint="eastAsia" w:ascii="黑体" w:hAnsi="宋体" w:eastAsia="黑体" w:cs="黑体"/>
                <w:b/>
                <w:bCs/>
                <w:i w:val="0"/>
                <w:iCs w:val="0"/>
                <w:color w:val="000000"/>
                <w:kern w:val="0"/>
                <w:sz w:val="16"/>
                <w:szCs w:val="16"/>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3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项目名称</w:t>
            </w:r>
          </w:p>
        </w:tc>
        <w:tc>
          <w:tcPr>
            <w:tcW w:w="537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51323322R000000309921-住房公积金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13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主管部门</w:t>
            </w:r>
          </w:p>
        </w:tc>
        <w:tc>
          <w:tcPr>
            <w:tcW w:w="33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红原县卫生健康局</w:t>
            </w:r>
          </w:p>
        </w:tc>
        <w:tc>
          <w:tcPr>
            <w:tcW w:w="1095"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6"/>
                <w:szCs w:val="16"/>
                <w:u w:val="none"/>
              </w:rPr>
            </w:pPr>
            <w:r>
              <w:rPr>
                <w:rFonts w:hint="eastAsia" w:ascii="黑体" w:hAnsi="黑体" w:eastAsia="黑体" w:cs="黑体"/>
                <w:i w:val="0"/>
                <w:iCs w:val="0"/>
                <w:color w:val="000000"/>
                <w:kern w:val="0"/>
                <w:sz w:val="16"/>
                <w:szCs w:val="16"/>
                <w:u w:val="none"/>
                <w:lang w:val="en-US" w:eastAsia="zh-CN" w:bidi="ar"/>
              </w:rPr>
              <w:t>实施单位 （盖章）</w:t>
            </w:r>
          </w:p>
        </w:tc>
        <w:tc>
          <w:tcPr>
            <w:tcW w:w="2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红原县藏医院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项目基本情况</w:t>
            </w:r>
          </w:p>
        </w:tc>
        <w:tc>
          <w:tcPr>
            <w:tcW w:w="8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1.项目年度目标完成情况</w:t>
            </w:r>
          </w:p>
        </w:tc>
        <w:tc>
          <w:tcPr>
            <w:tcW w:w="33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项目年度目标</w:t>
            </w:r>
          </w:p>
        </w:tc>
        <w:tc>
          <w:tcPr>
            <w:tcW w:w="39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6"/>
                <w:szCs w:val="16"/>
                <w:u w:val="none"/>
              </w:rPr>
            </w:pPr>
            <w:r>
              <w:rPr>
                <w:rFonts w:hint="eastAsia" w:ascii="黑体" w:hAnsi="黑体" w:eastAsia="黑体" w:cs="黑体"/>
                <w:i w:val="0"/>
                <w:iCs w:val="0"/>
                <w:color w:val="000000"/>
                <w:kern w:val="0"/>
                <w:sz w:val="16"/>
                <w:szCs w:val="16"/>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6"/>
                <w:szCs w:val="16"/>
                <w:u w:val="none"/>
              </w:rPr>
            </w:pPr>
          </w:p>
        </w:tc>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6"/>
                <w:szCs w:val="16"/>
                <w:u w:val="none"/>
              </w:rPr>
            </w:pPr>
          </w:p>
        </w:tc>
        <w:tc>
          <w:tcPr>
            <w:tcW w:w="33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严格执行相关政策，保障工资及时发放、足额发放，预算编制科学合理，减少结余资金</w:t>
            </w:r>
          </w:p>
        </w:tc>
        <w:tc>
          <w:tcPr>
            <w:tcW w:w="39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6"/>
                <w:szCs w:val="16"/>
                <w:u w:val="none"/>
              </w:rPr>
            </w:pPr>
            <w:r>
              <w:rPr>
                <w:rFonts w:hint="eastAsia" w:ascii="黑体" w:hAnsi="黑体" w:eastAsia="黑体" w:cs="黑体"/>
                <w:i w:val="0"/>
                <w:iCs w:val="0"/>
                <w:color w:val="000000"/>
                <w:kern w:val="0"/>
                <w:sz w:val="16"/>
                <w:szCs w:val="16"/>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6"/>
                <w:szCs w:val="16"/>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2.项目实施内容及过程概述</w:t>
            </w:r>
          </w:p>
        </w:tc>
        <w:tc>
          <w:tcPr>
            <w:tcW w:w="537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预算执行情况（10分）</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年度预算数（万元）</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年初预算</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调整后预算数</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预算执行数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得分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总额</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68.02</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63.43</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63.43</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8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iCs/>
                <w:color w:val="000000"/>
                <w:sz w:val="16"/>
                <w:szCs w:val="16"/>
                <w:u w:val="none"/>
              </w:rPr>
            </w:pPr>
            <w:r>
              <w:rPr>
                <w:rFonts w:hint="eastAsia" w:ascii="黑体" w:hAnsi="黑体" w:eastAsia="黑体" w:cs="黑体"/>
                <w:i/>
                <w:iCs/>
                <w:color w:val="000000"/>
                <w:kern w:val="0"/>
                <w:sz w:val="16"/>
                <w:szCs w:val="16"/>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其中：财政资金</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68.02</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63.43</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63.43</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财政专户管理资金</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单位资金</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其他资金</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绩效指标（90分）</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一级指标</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二级指标</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三级指标</w:t>
            </w: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指标性质</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指标值</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得分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产出指标</w:t>
            </w:r>
          </w:p>
        </w:tc>
        <w:tc>
          <w:tcPr>
            <w:tcW w:w="10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数量指标</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足额保障率</w:t>
            </w: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22.5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科目调整次数</w:t>
            </w: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22.5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时效指标</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按时发放率</w:t>
            </w: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22.5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效益指标</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经济效益指标</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结余率（计算方法为：结余数/预算数）</w:t>
            </w: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5</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22.5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62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6"/>
                <w:szCs w:val="16"/>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评价结论</w:t>
            </w:r>
          </w:p>
        </w:tc>
        <w:tc>
          <w:tcPr>
            <w:tcW w:w="622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存在问题</w:t>
            </w:r>
          </w:p>
        </w:tc>
        <w:tc>
          <w:tcPr>
            <w:tcW w:w="622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改进措施</w:t>
            </w:r>
          </w:p>
        </w:tc>
        <w:tc>
          <w:tcPr>
            <w:tcW w:w="622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6"/>
                <w:szCs w:val="16"/>
                <w:u w:val="none"/>
              </w:rPr>
            </w:pPr>
            <w:r>
              <w:rPr>
                <w:rFonts w:hint="eastAsia" w:ascii="黑体" w:hAnsi="黑体" w:eastAsia="黑体" w:cs="黑体"/>
                <w:i w:val="0"/>
                <w:iCs w:val="0"/>
                <w:color w:val="000000"/>
                <w:kern w:val="0"/>
                <w:sz w:val="16"/>
                <w:szCs w:val="16"/>
                <w:u w:val="none"/>
                <w:lang w:val="en-US" w:eastAsia="zh-CN" w:bidi="ar"/>
              </w:rPr>
              <w:t>项目负责人：</w:t>
            </w:r>
          </w:p>
        </w:tc>
        <w:tc>
          <w:tcPr>
            <w:tcW w:w="265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6"/>
                <w:szCs w:val="16"/>
                <w:u w:val="none"/>
              </w:rPr>
            </w:pPr>
            <w:r>
              <w:rPr>
                <w:rFonts w:hint="eastAsia" w:ascii="黑体" w:hAnsi="黑体" w:eastAsia="黑体" w:cs="黑体"/>
                <w:i w:val="0"/>
                <w:iCs w:val="0"/>
                <w:color w:val="000000"/>
                <w:kern w:val="0"/>
                <w:sz w:val="16"/>
                <w:szCs w:val="16"/>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50"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855"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1095"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1245"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375"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600"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1095"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510"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450"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1890"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667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16"/>
                <w:szCs w:val="16"/>
                <w:u w:val="none"/>
              </w:rPr>
            </w:pPr>
            <w:r>
              <w:rPr>
                <w:rFonts w:hint="eastAsia" w:ascii="黑体" w:hAnsi="宋体" w:eastAsia="黑体" w:cs="黑体"/>
                <w:b/>
                <w:bCs/>
                <w:i w:val="0"/>
                <w:iCs w:val="0"/>
                <w:color w:val="000000"/>
                <w:kern w:val="0"/>
                <w:sz w:val="16"/>
                <w:szCs w:val="16"/>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3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项目名称</w:t>
            </w:r>
          </w:p>
        </w:tc>
        <w:tc>
          <w:tcPr>
            <w:tcW w:w="537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51323322R000000309923-社会保障缴费（其他社保缴费）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13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主管部门</w:t>
            </w:r>
          </w:p>
        </w:tc>
        <w:tc>
          <w:tcPr>
            <w:tcW w:w="33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红原县卫生健康局</w:t>
            </w:r>
          </w:p>
        </w:tc>
        <w:tc>
          <w:tcPr>
            <w:tcW w:w="1095"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6"/>
                <w:szCs w:val="16"/>
                <w:u w:val="none"/>
              </w:rPr>
            </w:pPr>
            <w:r>
              <w:rPr>
                <w:rFonts w:hint="eastAsia" w:ascii="黑体" w:hAnsi="黑体" w:eastAsia="黑体" w:cs="黑体"/>
                <w:i w:val="0"/>
                <w:iCs w:val="0"/>
                <w:color w:val="000000"/>
                <w:kern w:val="0"/>
                <w:sz w:val="16"/>
                <w:szCs w:val="16"/>
                <w:u w:val="none"/>
                <w:lang w:val="en-US" w:eastAsia="zh-CN" w:bidi="ar"/>
              </w:rPr>
              <w:t>实施单位 （盖章）</w:t>
            </w:r>
          </w:p>
        </w:tc>
        <w:tc>
          <w:tcPr>
            <w:tcW w:w="2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红原县藏医院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项目基本情况</w:t>
            </w:r>
          </w:p>
        </w:tc>
        <w:tc>
          <w:tcPr>
            <w:tcW w:w="8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1.项目年度目标完成情况</w:t>
            </w:r>
          </w:p>
        </w:tc>
        <w:tc>
          <w:tcPr>
            <w:tcW w:w="33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项目年度目标</w:t>
            </w:r>
          </w:p>
        </w:tc>
        <w:tc>
          <w:tcPr>
            <w:tcW w:w="39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6"/>
                <w:szCs w:val="16"/>
                <w:u w:val="none"/>
              </w:rPr>
            </w:pPr>
            <w:r>
              <w:rPr>
                <w:rFonts w:hint="eastAsia" w:ascii="黑体" w:hAnsi="黑体" w:eastAsia="黑体" w:cs="黑体"/>
                <w:i w:val="0"/>
                <w:iCs w:val="0"/>
                <w:color w:val="000000"/>
                <w:kern w:val="0"/>
                <w:sz w:val="16"/>
                <w:szCs w:val="16"/>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6"/>
                <w:szCs w:val="16"/>
                <w:u w:val="none"/>
              </w:rPr>
            </w:pPr>
          </w:p>
        </w:tc>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6"/>
                <w:szCs w:val="16"/>
                <w:u w:val="none"/>
              </w:rPr>
            </w:pPr>
          </w:p>
        </w:tc>
        <w:tc>
          <w:tcPr>
            <w:tcW w:w="33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严格执行相关政策，保障工资及时发放、足额发放，预算编制科学合理，减少结余资金</w:t>
            </w:r>
          </w:p>
        </w:tc>
        <w:tc>
          <w:tcPr>
            <w:tcW w:w="39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6"/>
                <w:szCs w:val="16"/>
                <w:u w:val="none"/>
              </w:rPr>
            </w:pPr>
            <w:r>
              <w:rPr>
                <w:rFonts w:hint="eastAsia" w:ascii="黑体" w:hAnsi="黑体" w:eastAsia="黑体" w:cs="黑体"/>
                <w:i w:val="0"/>
                <w:iCs w:val="0"/>
                <w:color w:val="000000"/>
                <w:kern w:val="0"/>
                <w:sz w:val="16"/>
                <w:szCs w:val="16"/>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6"/>
                <w:szCs w:val="16"/>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2.项目实施内容及过程概述</w:t>
            </w:r>
          </w:p>
        </w:tc>
        <w:tc>
          <w:tcPr>
            <w:tcW w:w="537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预算执行情况（10分）</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年度预算数（万元）</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年初预算</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调整后预算数</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预算执行数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得分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总额</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11.18</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10.75</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10.75</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8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iCs/>
                <w:color w:val="000000"/>
                <w:sz w:val="16"/>
                <w:szCs w:val="16"/>
                <w:u w:val="none"/>
              </w:rPr>
            </w:pPr>
            <w:r>
              <w:rPr>
                <w:rFonts w:hint="eastAsia" w:ascii="黑体" w:hAnsi="黑体" w:eastAsia="黑体" w:cs="黑体"/>
                <w:i/>
                <w:iCs/>
                <w:color w:val="000000"/>
                <w:kern w:val="0"/>
                <w:sz w:val="16"/>
                <w:szCs w:val="16"/>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其中：财政资金</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11.18</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10.75</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10.75</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财政专户管理资金</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单位资金</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其他资金</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绩效指标（90分）</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一级指标</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二级指标</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三级指标</w:t>
            </w: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指标性质</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指标值</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得分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产出指标</w:t>
            </w:r>
          </w:p>
        </w:tc>
        <w:tc>
          <w:tcPr>
            <w:tcW w:w="10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数量指标</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科目调整次数</w:t>
            </w: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22.5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足额保障率</w:t>
            </w: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22.5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时效指标</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按时发放率</w:t>
            </w: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22.5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效益指标</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经济效益指标</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结余率（计算方法为：结余数/预算数）</w:t>
            </w: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5</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22.5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62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6"/>
                <w:szCs w:val="16"/>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评价结论</w:t>
            </w:r>
          </w:p>
        </w:tc>
        <w:tc>
          <w:tcPr>
            <w:tcW w:w="622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存在问题</w:t>
            </w:r>
          </w:p>
        </w:tc>
        <w:tc>
          <w:tcPr>
            <w:tcW w:w="622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改进措施</w:t>
            </w:r>
          </w:p>
        </w:tc>
        <w:tc>
          <w:tcPr>
            <w:tcW w:w="622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6"/>
                <w:szCs w:val="16"/>
                <w:u w:val="none"/>
              </w:rPr>
            </w:pPr>
            <w:r>
              <w:rPr>
                <w:rFonts w:hint="eastAsia" w:ascii="黑体" w:hAnsi="黑体" w:eastAsia="黑体" w:cs="黑体"/>
                <w:i w:val="0"/>
                <w:iCs w:val="0"/>
                <w:color w:val="000000"/>
                <w:kern w:val="0"/>
                <w:sz w:val="16"/>
                <w:szCs w:val="16"/>
                <w:u w:val="none"/>
                <w:lang w:val="en-US" w:eastAsia="zh-CN" w:bidi="ar"/>
              </w:rPr>
              <w:t>项目负责人：</w:t>
            </w:r>
          </w:p>
        </w:tc>
        <w:tc>
          <w:tcPr>
            <w:tcW w:w="265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6"/>
                <w:szCs w:val="16"/>
                <w:u w:val="none"/>
              </w:rPr>
            </w:pPr>
            <w:r>
              <w:rPr>
                <w:rFonts w:hint="eastAsia" w:ascii="黑体" w:hAnsi="黑体" w:eastAsia="黑体" w:cs="黑体"/>
                <w:i w:val="0"/>
                <w:iCs w:val="0"/>
                <w:color w:val="000000"/>
                <w:kern w:val="0"/>
                <w:sz w:val="16"/>
                <w:szCs w:val="16"/>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50"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855"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1095"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1245"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375"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600"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1095"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510"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450"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1890"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667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16"/>
                <w:szCs w:val="16"/>
                <w:u w:val="none"/>
              </w:rPr>
            </w:pPr>
            <w:r>
              <w:rPr>
                <w:rFonts w:hint="eastAsia" w:ascii="黑体" w:hAnsi="宋体" w:eastAsia="黑体" w:cs="黑体"/>
                <w:b/>
                <w:bCs/>
                <w:i w:val="0"/>
                <w:iCs w:val="0"/>
                <w:color w:val="000000"/>
                <w:kern w:val="0"/>
                <w:sz w:val="16"/>
                <w:szCs w:val="16"/>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3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项目名称</w:t>
            </w:r>
          </w:p>
        </w:tc>
        <w:tc>
          <w:tcPr>
            <w:tcW w:w="537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51323322R000000309926-体检费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13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主管部门</w:t>
            </w:r>
          </w:p>
        </w:tc>
        <w:tc>
          <w:tcPr>
            <w:tcW w:w="33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红原县卫生健康局</w:t>
            </w:r>
          </w:p>
        </w:tc>
        <w:tc>
          <w:tcPr>
            <w:tcW w:w="1095"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6"/>
                <w:szCs w:val="16"/>
                <w:u w:val="none"/>
              </w:rPr>
            </w:pPr>
            <w:r>
              <w:rPr>
                <w:rFonts w:hint="eastAsia" w:ascii="黑体" w:hAnsi="黑体" w:eastAsia="黑体" w:cs="黑体"/>
                <w:i w:val="0"/>
                <w:iCs w:val="0"/>
                <w:color w:val="000000"/>
                <w:kern w:val="0"/>
                <w:sz w:val="16"/>
                <w:szCs w:val="16"/>
                <w:u w:val="none"/>
                <w:lang w:val="en-US" w:eastAsia="zh-CN" w:bidi="ar"/>
              </w:rPr>
              <w:t>实施单位 （盖章）</w:t>
            </w:r>
          </w:p>
        </w:tc>
        <w:tc>
          <w:tcPr>
            <w:tcW w:w="2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红原县藏医院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项目基本情况</w:t>
            </w:r>
          </w:p>
        </w:tc>
        <w:tc>
          <w:tcPr>
            <w:tcW w:w="8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1.项目年度目标完成情况</w:t>
            </w:r>
          </w:p>
        </w:tc>
        <w:tc>
          <w:tcPr>
            <w:tcW w:w="33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项目年度目标</w:t>
            </w:r>
          </w:p>
        </w:tc>
        <w:tc>
          <w:tcPr>
            <w:tcW w:w="39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6"/>
                <w:szCs w:val="16"/>
                <w:u w:val="none"/>
              </w:rPr>
            </w:pPr>
            <w:r>
              <w:rPr>
                <w:rFonts w:hint="eastAsia" w:ascii="黑体" w:hAnsi="黑体" w:eastAsia="黑体" w:cs="黑体"/>
                <w:i w:val="0"/>
                <w:iCs w:val="0"/>
                <w:color w:val="000000"/>
                <w:kern w:val="0"/>
                <w:sz w:val="16"/>
                <w:szCs w:val="16"/>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6"/>
                <w:szCs w:val="16"/>
                <w:u w:val="none"/>
              </w:rPr>
            </w:pPr>
          </w:p>
        </w:tc>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6"/>
                <w:szCs w:val="16"/>
                <w:u w:val="none"/>
              </w:rPr>
            </w:pPr>
          </w:p>
        </w:tc>
        <w:tc>
          <w:tcPr>
            <w:tcW w:w="33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严格执行相关政策，保障工资及时发放、足额发放，预算编制科学合理，减少结余资金</w:t>
            </w:r>
          </w:p>
        </w:tc>
        <w:tc>
          <w:tcPr>
            <w:tcW w:w="39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6"/>
                <w:szCs w:val="16"/>
                <w:u w:val="none"/>
              </w:rPr>
            </w:pPr>
            <w:r>
              <w:rPr>
                <w:rFonts w:hint="eastAsia" w:ascii="黑体" w:hAnsi="黑体" w:eastAsia="黑体" w:cs="黑体"/>
                <w:i w:val="0"/>
                <w:iCs w:val="0"/>
                <w:color w:val="000000"/>
                <w:kern w:val="0"/>
                <w:sz w:val="16"/>
                <w:szCs w:val="16"/>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6"/>
                <w:szCs w:val="16"/>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2.项目实施内容及过程概述</w:t>
            </w:r>
          </w:p>
        </w:tc>
        <w:tc>
          <w:tcPr>
            <w:tcW w:w="537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预算执行情况（10分）</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年度预算数（万元）</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年初预算</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调整后预算数</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预算执行数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得分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总额</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4.68</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4.68</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8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iCs/>
                <w:color w:val="000000"/>
                <w:sz w:val="16"/>
                <w:szCs w:val="16"/>
                <w:u w:val="none"/>
              </w:rPr>
            </w:pPr>
            <w:r>
              <w:rPr>
                <w:rFonts w:hint="eastAsia" w:ascii="黑体" w:hAnsi="黑体" w:eastAsia="黑体" w:cs="黑体"/>
                <w:i/>
                <w:iCs/>
                <w:color w:val="000000"/>
                <w:kern w:val="0"/>
                <w:sz w:val="16"/>
                <w:szCs w:val="16"/>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其中：财政资金</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4.68</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4.68</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财政专户管理资金</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单位资金</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其他资金</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绩效指标（90分）</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一级指标</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二级指标</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三级指标</w:t>
            </w: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指标性质</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指标值</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得分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产出指标</w:t>
            </w:r>
          </w:p>
        </w:tc>
        <w:tc>
          <w:tcPr>
            <w:tcW w:w="10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数量指标</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足额保障率</w:t>
            </w: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22.5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科目调整次数</w:t>
            </w: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22.5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时效指标</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按时发放率</w:t>
            </w: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22.5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效益指标</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经济效益指标</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结余率（计算方法为：结余数/预算数）</w:t>
            </w: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5</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22.5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62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6"/>
                <w:szCs w:val="16"/>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评价结论</w:t>
            </w:r>
          </w:p>
        </w:tc>
        <w:tc>
          <w:tcPr>
            <w:tcW w:w="622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存在问题</w:t>
            </w:r>
          </w:p>
        </w:tc>
        <w:tc>
          <w:tcPr>
            <w:tcW w:w="622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改进措施</w:t>
            </w:r>
          </w:p>
        </w:tc>
        <w:tc>
          <w:tcPr>
            <w:tcW w:w="622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6"/>
                <w:szCs w:val="16"/>
                <w:u w:val="none"/>
              </w:rPr>
            </w:pPr>
            <w:r>
              <w:rPr>
                <w:rFonts w:hint="eastAsia" w:ascii="黑体" w:hAnsi="黑体" w:eastAsia="黑体" w:cs="黑体"/>
                <w:i w:val="0"/>
                <w:iCs w:val="0"/>
                <w:color w:val="000000"/>
                <w:kern w:val="0"/>
                <w:sz w:val="16"/>
                <w:szCs w:val="16"/>
                <w:u w:val="none"/>
                <w:lang w:val="en-US" w:eastAsia="zh-CN" w:bidi="ar"/>
              </w:rPr>
              <w:t>项目负责人：</w:t>
            </w:r>
          </w:p>
        </w:tc>
        <w:tc>
          <w:tcPr>
            <w:tcW w:w="265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6"/>
                <w:szCs w:val="16"/>
                <w:u w:val="none"/>
              </w:rPr>
            </w:pPr>
            <w:r>
              <w:rPr>
                <w:rFonts w:hint="eastAsia" w:ascii="黑体" w:hAnsi="黑体" w:eastAsia="黑体" w:cs="黑体"/>
                <w:i w:val="0"/>
                <w:iCs w:val="0"/>
                <w:color w:val="000000"/>
                <w:kern w:val="0"/>
                <w:sz w:val="16"/>
                <w:szCs w:val="16"/>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50"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855"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1095"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1245"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375"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600"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1095"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510"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450"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1890"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667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16"/>
                <w:szCs w:val="16"/>
                <w:u w:val="none"/>
              </w:rPr>
            </w:pPr>
            <w:r>
              <w:rPr>
                <w:rFonts w:hint="eastAsia" w:ascii="黑体" w:hAnsi="宋体" w:eastAsia="黑体" w:cs="黑体"/>
                <w:b/>
                <w:bCs/>
                <w:i w:val="0"/>
                <w:iCs w:val="0"/>
                <w:color w:val="000000"/>
                <w:kern w:val="0"/>
                <w:sz w:val="16"/>
                <w:szCs w:val="16"/>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3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项目名称</w:t>
            </w:r>
          </w:p>
        </w:tc>
        <w:tc>
          <w:tcPr>
            <w:tcW w:w="537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51323322T000005197517-十年行动计划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13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主管部门</w:t>
            </w:r>
          </w:p>
        </w:tc>
        <w:tc>
          <w:tcPr>
            <w:tcW w:w="33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红原县卫生健康局</w:t>
            </w:r>
          </w:p>
        </w:tc>
        <w:tc>
          <w:tcPr>
            <w:tcW w:w="1095"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6"/>
                <w:szCs w:val="16"/>
                <w:u w:val="none"/>
              </w:rPr>
            </w:pPr>
            <w:r>
              <w:rPr>
                <w:rFonts w:hint="eastAsia" w:ascii="黑体" w:hAnsi="黑体" w:eastAsia="黑体" w:cs="黑体"/>
                <w:i w:val="0"/>
                <w:iCs w:val="0"/>
                <w:color w:val="000000"/>
                <w:kern w:val="0"/>
                <w:sz w:val="16"/>
                <w:szCs w:val="16"/>
                <w:u w:val="none"/>
                <w:lang w:val="en-US" w:eastAsia="zh-CN" w:bidi="ar"/>
              </w:rPr>
              <w:t>实施单位 （盖章）</w:t>
            </w:r>
          </w:p>
        </w:tc>
        <w:tc>
          <w:tcPr>
            <w:tcW w:w="2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红原县藏医院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项目基本情况</w:t>
            </w:r>
          </w:p>
        </w:tc>
        <w:tc>
          <w:tcPr>
            <w:tcW w:w="8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1.项目年度目标完成情况</w:t>
            </w:r>
          </w:p>
        </w:tc>
        <w:tc>
          <w:tcPr>
            <w:tcW w:w="33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项目年度目标</w:t>
            </w:r>
          </w:p>
        </w:tc>
        <w:tc>
          <w:tcPr>
            <w:tcW w:w="39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6"/>
                <w:szCs w:val="16"/>
                <w:u w:val="none"/>
              </w:rPr>
            </w:pPr>
            <w:r>
              <w:rPr>
                <w:rFonts w:hint="eastAsia" w:ascii="黑体" w:hAnsi="黑体" w:eastAsia="黑体" w:cs="黑体"/>
                <w:i w:val="0"/>
                <w:iCs w:val="0"/>
                <w:color w:val="000000"/>
                <w:kern w:val="0"/>
                <w:sz w:val="16"/>
                <w:szCs w:val="16"/>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6"/>
                <w:szCs w:val="16"/>
                <w:u w:val="none"/>
              </w:rPr>
            </w:pPr>
          </w:p>
        </w:tc>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6"/>
                <w:szCs w:val="16"/>
                <w:u w:val="none"/>
              </w:rPr>
            </w:pPr>
          </w:p>
        </w:tc>
        <w:tc>
          <w:tcPr>
            <w:tcW w:w="33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6"/>
                <w:szCs w:val="16"/>
                <w:u w:val="none"/>
              </w:rPr>
            </w:pPr>
          </w:p>
        </w:tc>
        <w:tc>
          <w:tcPr>
            <w:tcW w:w="39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6"/>
                <w:szCs w:val="16"/>
                <w:u w:val="none"/>
              </w:rPr>
            </w:pPr>
            <w:r>
              <w:rPr>
                <w:rFonts w:hint="eastAsia" w:ascii="黑体" w:hAnsi="黑体" w:eastAsia="黑体" w:cs="黑体"/>
                <w:i w:val="0"/>
                <w:iCs w:val="0"/>
                <w:color w:val="000000"/>
                <w:kern w:val="0"/>
                <w:sz w:val="16"/>
                <w:szCs w:val="16"/>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6"/>
                <w:szCs w:val="16"/>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2.项目实施内容及过程概述</w:t>
            </w:r>
          </w:p>
        </w:tc>
        <w:tc>
          <w:tcPr>
            <w:tcW w:w="537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预算执行情况（10分）</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年度预算数（万元）</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年初预算</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调整后预算数</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预算执行数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得分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总额</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12.73</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2.55</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20.04%</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8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iCs/>
                <w:color w:val="000000"/>
                <w:sz w:val="16"/>
                <w:szCs w:val="16"/>
                <w:u w:val="none"/>
              </w:rPr>
            </w:pPr>
            <w:r>
              <w:rPr>
                <w:rFonts w:hint="eastAsia" w:ascii="黑体" w:hAnsi="黑体" w:eastAsia="黑体" w:cs="黑体"/>
                <w:i/>
                <w:iCs/>
                <w:color w:val="000000"/>
                <w:kern w:val="0"/>
                <w:sz w:val="16"/>
                <w:szCs w:val="16"/>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其中：财政资金</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12.73</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2.55</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20.04%</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财政专户管理资金</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单位资金</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其他资金</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绩效指标（90分）</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一级指标</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二级指标</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三级指标</w:t>
            </w: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指标性质</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指标值</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得分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62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6"/>
                <w:szCs w:val="16"/>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评价结论</w:t>
            </w:r>
          </w:p>
        </w:tc>
        <w:tc>
          <w:tcPr>
            <w:tcW w:w="622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存在问题</w:t>
            </w:r>
          </w:p>
        </w:tc>
        <w:tc>
          <w:tcPr>
            <w:tcW w:w="622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改进措施</w:t>
            </w:r>
          </w:p>
        </w:tc>
        <w:tc>
          <w:tcPr>
            <w:tcW w:w="622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6"/>
                <w:szCs w:val="16"/>
                <w:u w:val="none"/>
              </w:rPr>
            </w:pPr>
            <w:r>
              <w:rPr>
                <w:rFonts w:hint="eastAsia" w:ascii="黑体" w:hAnsi="黑体" w:eastAsia="黑体" w:cs="黑体"/>
                <w:i w:val="0"/>
                <w:iCs w:val="0"/>
                <w:color w:val="000000"/>
                <w:kern w:val="0"/>
                <w:sz w:val="16"/>
                <w:szCs w:val="16"/>
                <w:u w:val="none"/>
                <w:lang w:val="en-US" w:eastAsia="zh-CN" w:bidi="ar"/>
              </w:rPr>
              <w:t>项目负责人：</w:t>
            </w:r>
          </w:p>
        </w:tc>
        <w:tc>
          <w:tcPr>
            <w:tcW w:w="265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6"/>
                <w:szCs w:val="16"/>
                <w:u w:val="none"/>
              </w:rPr>
            </w:pPr>
            <w:r>
              <w:rPr>
                <w:rFonts w:hint="eastAsia" w:ascii="黑体" w:hAnsi="黑体" w:eastAsia="黑体" w:cs="黑体"/>
                <w:i w:val="0"/>
                <w:iCs w:val="0"/>
                <w:color w:val="000000"/>
                <w:kern w:val="0"/>
                <w:sz w:val="16"/>
                <w:szCs w:val="16"/>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50"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855"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1095"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1245"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375"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600"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1095"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510"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450"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1890"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667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16"/>
                <w:szCs w:val="16"/>
                <w:u w:val="none"/>
              </w:rPr>
            </w:pPr>
            <w:r>
              <w:rPr>
                <w:rFonts w:hint="eastAsia" w:ascii="黑体" w:hAnsi="宋体" w:eastAsia="黑体" w:cs="黑体"/>
                <w:b/>
                <w:bCs/>
                <w:i w:val="0"/>
                <w:iCs w:val="0"/>
                <w:color w:val="000000"/>
                <w:kern w:val="0"/>
                <w:sz w:val="16"/>
                <w:szCs w:val="16"/>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3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项目名称</w:t>
            </w:r>
          </w:p>
        </w:tc>
        <w:tc>
          <w:tcPr>
            <w:tcW w:w="537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51323322T000005197538-公共卫生体系建设和重大疫情防控救助体系建设补助资金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13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主管部门</w:t>
            </w:r>
          </w:p>
        </w:tc>
        <w:tc>
          <w:tcPr>
            <w:tcW w:w="33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红原县卫生健康局</w:t>
            </w:r>
          </w:p>
        </w:tc>
        <w:tc>
          <w:tcPr>
            <w:tcW w:w="1095"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6"/>
                <w:szCs w:val="16"/>
                <w:u w:val="none"/>
              </w:rPr>
            </w:pPr>
            <w:r>
              <w:rPr>
                <w:rFonts w:hint="eastAsia" w:ascii="黑体" w:hAnsi="黑体" w:eastAsia="黑体" w:cs="黑体"/>
                <w:i w:val="0"/>
                <w:iCs w:val="0"/>
                <w:color w:val="000000"/>
                <w:kern w:val="0"/>
                <w:sz w:val="16"/>
                <w:szCs w:val="16"/>
                <w:u w:val="none"/>
                <w:lang w:val="en-US" w:eastAsia="zh-CN" w:bidi="ar"/>
              </w:rPr>
              <w:t>实施单位 （盖章）</w:t>
            </w:r>
          </w:p>
        </w:tc>
        <w:tc>
          <w:tcPr>
            <w:tcW w:w="2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红原县藏医院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项目基本情况</w:t>
            </w:r>
          </w:p>
        </w:tc>
        <w:tc>
          <w:tcPr>
            <w:tcW w:w="8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1.项目年度目标完成情况</w:t>
            </w:r>
          </w:p>
        </w:tc>
        <w:tc>
          <w:tcPr>
            <w:tcW w:w="33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项目年度目标</w:t>
            </w:r>
          </w:p>
        </w:tc>
        <w:tc>
          <w:tcPr>
            <w:tcW w:w="39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6"/>
                <w:szCs w:val="16"/>
                <w:u w:val="none"/>
              </w:rPr>
            </w:pPr>
            <w:r>
              <w:rPr>
                <w:rFonts w:hint="eastAsia" w:ascii="黑体" w:hAnsi="黑体" w:eastAsia="黑体" w:cs="黑体"/>
                <w:i w:val="0"/>
                <w:iCs w:val="0"/>
                <w:color w:val="000000"/>
                <w:kern w:val="0"/>
                <w:sz w:val="16"/>
                <w:szCs w:val="16"/>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6"/>
                <w:szCs w:val="16"/>
                <w:u w:val="none"/>
              </w:rPr>
            </w:pPr>
          </w:p>
        </w:tc>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6"/>
                <w:szCs w:val="16"/>
                <w:u w:val="none"/>
              </w:rPr>
            </w:pPr>
          </w:p>
        </w:tc>
        <w:tc>
          <w:tcPr>
            <w:tcW w:w="33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6"/>
                <w:szCs w:val="16"/>
                <w:u w:val="none"/>
              </w:rPr>
            </w:pPr>
          </w:p>
        </w:tc>
        <w:tc>
          <w:tcPr>
            <w:tcW w:w="39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6"/>
                <w:szCs w:val="16"/>
                <w:u w:val="none"/>
              </w:rPr>
            </w:pPr>
            <w:r>
              <w:rPr>
                <w:rFonts w:hint="eastAsia" w:ascii="黑体" w:hAnsi="黑体" w:eastAsia="黑体" w:cs="黑体"/>
                <w:i w:val="0"/>
                <w:iCs w:val="0"/>
                <w:color w:val="000000"/>
                <w:kern w:val="0"/>
                <w:sz w:val="16"/>
                <w:szCs w:val="16"/>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6"/>
                <w:szCs w:val="16"/>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2.项目实施内容及过程概述</w:t>
            </w:r>
          </w:p>
        </w:tc>
        <w:tc>
          <w:tcPr>
            <w:tcW w:w="537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预算执行情况（10分）</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年度预算数（万元）</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年初预算</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调整后预算数</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预算执行数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得分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总额</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98.70</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98.70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8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iCs/>
                <w:color w:val="000000"/>
                <w:sz w:val="16"/>
                <w:szCs w:val="16"/>
                <w:u w:val="none"/>
              </w:rPr>
            </w:pPr>
            <w:r>
              <w:rPr>
                <w:rFonts w:hint="eastAsia" w:ascii="黑体" w:hAnsi="黑体" w:eastAsia="黑体" w:cs="黑体"/>
                <w:i/>
                <w:iCs/>
                <w:color w:val="000000"/>
                <w:kern w:val="0"/>
                <w:sz w:val="16"/>
                <w:szCs w:val="16"/>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其中：财政资金</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98.70</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98.70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财政专户管理资金</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单位资金</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其他资金</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绩效指标（90分）</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一级指标</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二级指标</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三级指标</w:t>
            </w: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指标性质</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指标值</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得分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62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6"/>
                <w:szCs w:val="16"/>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评价结论</w:t>
            </w:r>
          </w:p>
        </w:tc>
        <w:tc>
          <w:tcPr>
            <w:tcW w:w="622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存在问题</w:t>
            </w:r>
          </w:p>
        </w:tc>
        <w:tc>
          <w:tcPr>
            <w:tcW w:w="622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改进措施</w:t>
            </w:r>
          </w:p>
        </w:tc>
        <w:tc>
          <w:tcPr>
            <w:tcW w:w="622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6"/>
                <w:szCs w:val="16"/>
                <w:u w:val="none"/>
              </w:rPr>
            </w:pPr>
            <w:r>
              <w:rPr>
                <w:rFonts w:hint="eastAsia" w:ascii="黑体" w:hAnsi="黑体" w:eastAsia="黑体" w:cs="黑体"/>
                <w:i w:val="0"/>
                <w:iCs w:val="0"/>
                <w:color w:val="000000"/>
                <w:kern w:val="0"/>
                <w:sz w:val="16"/>
                <w:szCs w:val="16"/>
                <w:u w:val="none"/>
                <w:lang w:val="en-US" w:eastAsia="zh-CN" w:bidi="ar"/>
              </w:rPr>
              <w:t>项目负责人：</w:t>
            </w:r>
          </w:p>
        </w:tc>
        <w:tc>
          <w:tcPr>
            <w:tcW w:w="265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6"/>
                <w:szCs w:val="16"/>
                <w:u w:val="none"/>
              </w:rPr>
            </w:pPr>
            <w:r>
              <w:rPr>
                <w:rFonts w:hint="eastAsia" w:ascii="黑体" w:hAnsi="黑体" w:eastAsia="黑体" w:cs="黑体"/>
                <w:i w:val="0"/>
                <w:iCs w:val="0"/>
                <w:color w:val="000000"/>
                <w:kern w:val="0"/>
                <w:sz w:val="16"/>
                <w:szCs w:val="16"/>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50"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855"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1095"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1245"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375"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600"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1095"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510"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450"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1890"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667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16"/>
                <w:szCs w:val="16"/>
                <w:u w:val="none"/>
              </w:rPr>
            </w:pPr>
            <w:r>
              <w:rPr>
                <w:rFonts w:hint="eastAsia" w:ascii="黑体" w:hAnsi="宋体" w:eastAsia="黑体" w:cs="黑体"/>
                <w:b/>
                <w:bCs/>
                <w:i w:val="0"/>
                <w:iCs w:val="0"/>
                <w:color w:val="000000"/>
                <w:kern w:val="0"/>
                <w:sz w:val="16"/>
                <w:szCs w:val="16"/>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3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项目名称</w:t>
            </w:r>
          </w:p>
        </w:tc>
        <w:tc>
          <w:tcPr>
            <w:tcW w:w="537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51323322T000006178645-医疗服务与保障能力提升（中医药事业传承与发展部分）补助资金）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13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主管部门</w:t>
            </w:r>
          </w:p>
        </w:tc>
        <w:tc>
          <w:tcPr>
            <w:tcW w:w="33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红原县卫生健康局</w:t>
            </w:r>
          </w:p>
        </w:tc>
        <w:tc>
          <w:tcPr>
            <w:tcW w:w="1095"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6"/>
                <w:szCs w:val="16"/>
                <w:u w:val="none"/>
              </w:rPr>
            </w:pPr>
            <w:r>
              <w:rPr>
                <w:rFonts w:hint="eastAsia" w:ascii="黑体" w:hAnsi="黑体" w:eastAsia="黑体" w:cs="黑体"/>
                <w:i w:val="0"/>
                <w:iCs w:val="0"/>
                <w:color w:val="000000"/>
                <w:kern w:val="0"/>
                <w:sz w:val="16"/>
                <w:szCs w:val="16"/>
                <w:u w:val="none"/>
                <w:lang w:val="en-US" w:eastAsia="zh-CN" w:bidi="ar"/>
              </w:rPr>
              <w:t>实施单位 （盖章）</w:t>
            </w:r>
          </w:p>
        </w:tc>
        <w:tc>
          <w:tcPr>
            <w:tcW w:w="2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红原县藏医院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项目基本情况</w:t>
            </w:r>
          </w:p>
        </w:tc>
        <w:tc>
          <w:tcPr>
            <w:tcW w:w="8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1.项目年度目标完成情况</w:t>
            </w:r>
          </w:p>
        </w:tc>
        <w:tc>
          <w:tcPr>
            <w:tcW w:w="33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项目年度目标</w:t>
            </w:r>
          </w:p>
        </w:tc>
        <w:tc>
          <w:tcPr>
            <w:tcW w:w="39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6"/>
                <w:szCs w:val="16"/>
                <w:u w:val="none"/>
              </w:rPr>
            </w:pPr>
            <w:r>
              <w:rPr>
                <w:rFonts w:hint="eastAsia" w:ascii="黑体" w:hAnsi="黑体" w:eastAsia="黑体" w:cs="黑体"/>
                <w:i w:val="0"/>
                <w:iCs w:val="0"/>
                <w:color w:val="000000"/>
                <w:kern w:val="0"/>
                <w:sz w:val="16"/>
                <w:szCs w:val="16"/>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6"/>
                <w:szCs w:val="16"/>
                <w:u w:val="none"/>
              </w:rPr>
            </w:pPr>
          </w:p>
        </w:tc>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6"/>
                <w:szCs w:val="16"/>
                <w:u w:val="none"/>
              </w:rPr>
            </w:pPr>
          </w:p>
        </w:tc>
        <w:tc>
          <w:tcPr>
            <w:tcW w:w="33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6"/>
                <w:szCs w:val="16"/>
                <w:u w:val="none"/>
              </w:rPr>
            </w:pPr>
          </w:p>
        </w:tc>
        <w:tc>
          <w:tcPr>
            <w:tcW w:w="39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6"/>
                <w:szCs w:val="16"/>
                <w:u w:val="none"/>
              </w:rPr>
            </w:pPr>
            <w:r>
              <w:rPr>
                <w:rFonts w:hint="eastAsia" w:ascii="黑体" w:hAnsi="黑体" w:eastAsia="黑体" w:cs="黑体"/>
                <w:i w:val="0"/>
                <w:iCs w:val="0"/>
                <w:color w:val="000000"/>
                <w:kern w:val="0"/>
                <w:sz w:val="16"/>
                <w:szCs w:val="16"/>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6"/>
                <w:szCs w:val="16"/>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2.项目实施内容及过程概述</w:t>
            </w:r>
          </w:p>
        </w:tc>
        <w:tc>
          <w:tcPr>
            <w:tcW w:w="537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预算执行情况（10分）</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年度预算数（万元）</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年初预算</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调整后预算数</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预算执行数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得分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总额</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127.10</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105.69</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83.15%</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8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iCs/>
                <w:color w:val="000000"/>
                <w:sz w:val="16"/>
                <w:szCs w:val="16"/>
                <w:u w:val="none"/>
              </w:rPr>
            </w:pPr>
            <w:r>
              <w:rPr>
                <w:rFonts w:hint="eastAsia" w:ascii="黑体" w:hAnsi="黑体" w:eastAsia="黑体" w:cs="黑体"/>
                <w:i/>
                <w:iCs/>
                <w:color w:val="000000"/>
                <w:kern w:val="0"/>
                <w:sz w:val="16"/>
                <w:szCs w:val="16"/>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其中：财政资金</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127.10</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105.69</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83.15%</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财政专户管理资金</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单位资金</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其他资金</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绩效指标（90分）</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一级指标</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二级指标</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三级指标</w:t>
            </w: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指标性质</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指标值</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得分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62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6"/>
                <w:szCs w:val="16"/>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评价结论</w:t>
            </w:r>
          </w:p>
        </w:tc>
        <w:tc>
          <w:tcPr>
            <w:tcW w:w="622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存在问题</w:t>
            </w:r>
          </w:p>
        </w:tc>
        <w:tc>
          <w:tcPr>
            <w:tcW w:w="622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改进措施</w:t>
            </w:r>
          </w:p>
        </w:tc>
        <w:tc>
          <w:tcPr>
            <w:tcW w:w="622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6"/>
                <w:szCs w:val="16"/>
                <w:u w:val="none"/>
              </w:rPr>
            </w:pPr>
            <w:r>
              <w:rPr>
                <w:rFonts w:hint="eastAsia" w:ascii="黑体" w:hAnsi="黑体" w:eastAsia="黑体" w:cs="黑体"/>
                <w:i w:val="0"/>
                <w:iCs w:val="0"/>
                <w:color w:val="000000"/>
                <w:kern w:val="0"/>
                <w:sz w:val="16"/>
                <w:szCs w:val="16"/>
                <w:u w:val="none"/>
                <w:lang w:val="en-US" w:eastAsia="zh-CN" w:bidi="ar"/>
              </w:rPr>
              <w:t>项目负责人：</w:t>
            </w:r>
          </w:p>
        </w:tc>
        <w:tc>
          <w:tcPr>
            <w:tcW w:w="265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6"/>
                <w:szCs w:val="16"/>
                <w:u w:val="none"/>
              </w:rPr>
            </w:pPr>
            <w:r>
              <w:rPr>
                <w:rFonts w:hint="eastAsia" w:ascii="黑体" w:hAnsi="黑体" w:eastAsia="黑体" w:cs="黑体"/>
                <w:i w:val="0"/>
                <w:iCs w:val="0"/>
                <w:color w:val="000000"/>
                <w:kern w:val="0"/>
                <w:sz w:val="16"/>
                <w:szCs w:val="16"/>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50"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855"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1095"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1245"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375"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600"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1095"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510"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450"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1890"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667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16"/>
                <w:szCs w:val="16"/>
                <w:u w:val="none"/>
              </w:rPr>
            </w:pPr>
            <w:r>
              <w:rPr>
                <w:rFonts w:hint="eastAsia" w:ascii="黑体" w:hAnsi="宋体" w:eastAsia="黑体" w:cs="黑体"/>
                <w:b/>
                <w:bCs/>
                <w:i w:val="0"/>
                <w:iCs w:val="0"/>
                <w:color w:val="000000"/>
                <w:kern w:val="0"/>
                <w:sz w:val="16"/>
                <w:szCs w:val="16"/>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3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项目名称</w:t>
            </w:r>
          </w:p>
        </w:tc>
        <w:tc>
          <w:tcPr>
            <w:tcW w:w="537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51323322T000006178924-基本公共卫生服务补助资金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13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主管部门</w:t>
            </w:r>
          </w:p>
        </w:tc>
        <w:tc>
          <w:tcPr>
            <w:tcW w:w="33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红原县卫生健康局</w:t>
            </w:r>
          </w:p>
        </w:tc>
        <w:tc>
          <w:tcPr>
            <w:tcW w:w="1095"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6"/>
                <w:szCs w:val="16"/>
                <w:u w:val="none"/>
              </w:rPr>
            </w:pPr>
            <w:r>
              <w:rPr>
                <w:rFonts w:hint="eastAsia" w:ascii="黑体" w:hAnsi="黑体" w:eastAsia="黑体" w:cs="黑体"/>
                <w:i w:val="0"/>
                <w:iCs w:val="0"/>
                <w:color w:val="000000"/>
                <w:kern w:val="0"/>
                <w:sz w:val="16"/>
                <w:szCs w:val="16"/>
                <w:u w:val="none"/>
                <w:lang w:val="en-US" w:eastAsia="zh-CN" w:bidi="ar"/>
              </w:rPr>
              <w:t>实施单位 （盖章）</w:t>
            </w:r>
          </w:p>
        </w:tc>
        <w:tc>
          <w:tcPr>
            <w:tcW w:w="2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红原县藏医院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项目基本情况</w:t>
            </w:r>
          </w:p>
        </w:tc>
        <w:tc>
          <w:tcPr>
            <w:tcW w:w="8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1.项目年度目标完成情况</w:t>
            </w:r>
          </w:p>
        </w:tc>
        <w:tc>
          <w:tcPr>
            <w:tcW w:w="33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项目年度目标</w:t>
            </w:r>
          </w:p>
        </w:tc>
        <w:tc>
          <w:tcPr>
            <w:tcW w:w="39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6"/>
                <w:szCs w:val="16"/>
                <w:u w:val="none"/>
              </w:rPr>
            </w:pPr>
            <w:r>
              <w:rPr>
                <w:rFonts w:hint="eastAsia" w:ascii="黑体" w:hAnsi="黑体" w:eastAsia="黑体" w:cs="黑体"/>
                <w:i w:val="0"/>
                <w:iCs w:val="0"/>
                <w:color w:val="000000"/>
                <w:kern w:val="0"/>
                <w:sz w:val="16"/>
                <w:szCs w:val="16"/>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6"/>
                <w:szCs w:val="16"/>
                <w:u w:val="none"/>
              </w:rPr>
            </w:pPr>
          </w:p>
        </w:tc>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6"/>
                <w:szCs w:val="16"/>
                <w:u w:val="none"/>
              </w:rPr>
            </w:pPr>
          </w:p>
        </w:tc>
        <w:tc>
          <w:tcPr>
            <w:tcW w:w="33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6"/>
                <w:szCs w:val="16"/>
                <w:u w:val="none"/>
              </w:rPr>
            </w:pPr>
          </w:p>
        </w:tc>
        <w:tc>
          <w:tcPr>
            <w:tcW w:w="39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6"/>
                <w:szCs w:val="16"/>
                <w:u w:val="none"/>
              </w:rPr>
            </w:pPr>
            <w:r>
              <w:rPr>
                <w:rFonts w:hint="eastAsia" w:ascii="黑体" w:hAnsi="黑体" w:eastAsia="黑体" w:cs="黑体"/>
                <w:i w:val="0"/>
                <w:iCs w:val="0"/>
                <w:color w:val="000000"/>
                <w:kern w:val="0"/>
                <w:sz w:val="16"/>
                <w:szCs w:val="16"/>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6"/>
                <w:szCs w:val="16"/>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2.项目实施内容及过程概述</w:t>
            </w:r>
          </w:p>
        </w:tc>
        <w:tc>
          <w:tcPr>
            <w:tcW w:w="537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预算执行情况（10分）</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年度预算数（万元）</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年初预算</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调整后预算数</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预算执行数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得分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总额</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416.89</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377.55</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90.56%</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8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iCs/>
                <w:color w:val="000000"/>
                <w:sz w:val="16"/>
                <w:szCs w:val="16"/>
                <w:u w:val="none"/>
              </w:rPr>
            </w:pPr>
            <w:r>
              <w:rPr>
                <w:rFonts w:hint="eastAsia" w:ascii="黑体" w:hAnsi="黑体" w:eastAsia="黑体" w:cs="黑体"/>
                <w:i/>
                <w:iCs/>
                <w:color w:val="000000"/>
                <w:kern w:val="0"/>
                <w:sz w:val="16"/>
                <w:szCs w:val="16"/>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其中：财政资金</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416.89</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377.55</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90.56%</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财政专户管理资金</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单位资金</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其他资金</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绩效指标（90分）</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一级指标</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二级指标</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三级指标</w:t>
            </w: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指标性质</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指标值</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得分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62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6"/>
                <w:szCs w:val="16"/>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评价结论</w:t>
            </w:r>
          </w:p>
        </w:tc>
        <w:tc>
          <w:tcPr>
            <w:tcW w:w="622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存在问题</w:t>
            </w:r>
          </w:p>
        </w:tc>
        <w:tc>
          <w:tcPr>
            <w:tcW w:w="622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改进措施</w:t>
            </w:r>
          </w:p>
        </w:tc>
        <w:tc>
          <w:tcPr>
            <w:tcW w:w="622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6"/>
                <w:szCs w:val="16"/>
                <w:u w:val="none"/>
              </w:rPr>
            </w:pPr>
            <w:r>
              <w:rPr>
                <w:rFonts w:hint="eastAsia" w:ascii="黑体" w:hAnsi="黑体" w:eastAsia="黑体" w:cs="黑体"/>
                <w:i w:val="0"/>
                <w:iCs w:val="0"/>
                <w:color w:val="000000"/>
                <w:kern w:val="0"/>
                <w:sz w:val="16"/>
                <w:szCs w:val="16"/>
                <w:u w:val="none"/>
                <w:lang w:val="en-US" w:eastAsia="zh-CN" w:bidi="ar"/>
              </w:rPr>
              <w:t>项目负责人：</w:t>
            </w:r>
          </w:p>
        </w:tc>
        <w:tc>
          <w:tcPr>
            <w:tcW w:w="265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6"/>
                <w:szCs w:val="16"/>
                <w:u w:val="none"/>
              </w:rPr>
            </w:pPr>
            <w:r>
              <w:rPr>
                <w:rFonts w:hint="eastAsia" w:ascii="黑体" w:hAnsi="黑体" w:eastAsia="黑体" w:cs="黑体"/>
                <w:i w:val="0"/>
                <w:iCs w:val="0"/>
                <w:color w:val="000000"/>
                <w:kern w:val="0"/>
                <w:sz w:val="16"/>
                <w:szCs w:val="16"/>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50"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855"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1095"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1245"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375"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600"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1095"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510"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450"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1890"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667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16"/>
                <w:szCs w:val="16"/>
                <w:u w:val="none"/>
              </w:rPr>
            </w:pPr>
            <w:r>
              <w:rPr>
                <w:rFonts w:hint="eastAsia" w:ascii="黑体" w:hAnsi="宋体" w:eastAsia="黑体" w:cs="黑体"/>
                <w:b/>
                <w:bCs/>
                <w:i w:val="0"/>
                <w:iCs w:val="0"/>
                <w:color w:val="000000"/>
                <w:kern w:val="0"/>
                <w:sz w:val="16"/>
                <w:szCs w:val="16"/>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3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项目名称</w:t>
            </w:r>
          </w:p>
        </w:tc>
        <w:tc>
          <w:tcPr>
            <w:tcW w:w="537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51323322T000007075642-红原县藏医院业务用房消防安装建设项目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13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主管部门</w:t>
            </w:r>
          </w:p>
        </w:tc>
        <w:tc>
          <w:tcPr>
            <w:tcW w:w="33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红原县卫生健康局</w:t>
            </w:r>
          </w:p>
        </w:tc>
        <w:tc>
          <w:tcPr>
            <w:tcW w:w="1095"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6"/>
                <w:szCs w:val="16"/>
                <w:u w:val="none"/>
              </w:rPr>
            </w:pPr>
            <w:r>
              <w:rPr>
                <w:rFonts w:hint="eastAsia" w:ascii="黑体" w:hAnsi="黑体" w:eastAsia="黑体" w:cs="黑体"/>
                <w:i w:val="0"/>
                <w:iCs w:val="0"/>
                <w:color w:val="000000"/>
                <w:kern w:val="0"/>
                <w:sz w:val="16"/>
                <w:szCs w:val="16"/>
                <w:u w:val="none"/>
                <w:lang w:val="en-US" w:eastAsia="zh-CN" w:bidi="ar"/>
              </w:rPr>
              <w:t>实施单位 （盖章）</w:t>
            </w:r>
          </w:p>
        </w:tc>
        <w:tc>
          <w:tcPr>
            <w:tcW w:w="2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红原县藏医院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项目基本情况</w:t>
            </w:r>
          </w:p>
        </w:tc>
        <w:tc>
          <w:tcPr>
            <w:tcW w:w="8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1.项目年度目标完成情况</w:t>
            </w:r>
          </w:p>
        </w:tc>
        <w:tc>
          <w:tcPr>
            <w:tcW w:w="33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项目年度目标</w:t>
            </w:r>
          </w:p>
        </w:tc>
        <w:tc>
          <w:tcPr>
            <w:tcW w:w="39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6"/>
                <w:szCs w:val="16"/>
                <w:u w:val="none"/>
              </w:rPr>
            </w:pPr>
            <w:r>
              <w:rPr>
                <w:rFonts w:hint="eastAsia" w:ascii="黑体" w:hAnsi="黑体" w:eastAsia="黑体" w:cs="黑体"/>
                <w:i w:val="0"/>
                <w:iCs w:val="0"/>
                <w:color w:val="000000"/>
                <w:kern w:val="0"/>
                <w:sz w:val="16"/>
                <w:szCs w:val="16"/>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6"/>
                <w:szCs w:val="16"/>
                <w:u w:val="none"/>
              </w:rPr>
            </w:pPr>
          </w:p>
        </w:tc>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6"/>
                <w:szCs w:val="16"/>
                <w:u w:val="none"/>
              </w:rPr>
            </w:pPr>
          </w:p>
        </w:tc>
        <w:tc>
          <w:tcPr>
            <w:tcW w:w="33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6"/>
                <w:szCs w:val="16"/>
                <w:u w:val="none"/>
              </w:rPr>
            </w:pPr>
          </w:p>
        </w:tc>
        <w:tc>
          <w:tcPr>
            <w:tcW w:w="39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6"/>
                <w:szCs w:val="16"/>
                <w:u w:val="none"/>
              </w:rPr>
            </w:pPr>
            <w:r>
              <w:rPr>
                <w:rFonts w:hint="eastAsia" w:ascii="黑体" w:hAnsi="黑体" w:eastAsia="黑体" w:cs="黑体"/>
                <w:i w:val="0"/>
                <w:iCs w:val="0"/>
                <w:color w:val="000000"/>
                <w:kern w:val="0"/>
                <w:sz w:val="16"/>
                <w:szCs w:val="16"/>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6"/>
                <w:szCs w:val="16"/>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2.项目实施内容及过程概述</w:t>
            </w:r>
          </w:p>
        </w:tc>
        <w:tc>
          <w:tcPr>
            <w:tcW w:w="537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预算执行情况（10分）</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年度预算数（万元）</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年初预算</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调整后预算数</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预算执行数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得分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总额</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99.00</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8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iCs/>
                <w:color w:val="000000"/>
                <w:sz w:val="16"/>
                <w:szCs w:val="16"/>
                <w:u w:val="none"/>
              </w:rPr>
            </w:pPr>
            <w:r>
              <w:rPr>
                <w:rFonts w:hint="eastAsia" w:ascii="黑体" w:hAnsi="黑体" w:eastAsia="黑体" w:cs="黑体"/>
                <w:i/>
                <w:iCs/>
                <w:color w:val="000000"/>
                <w:kern w:val="0"/>
                <w:sz w:val="16"/>
                <w:szCs w:val="16"/>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其中：财政资金</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99.00</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财政专户管理资金</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单位资金</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其他资金</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绩效指标（90分）</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一级指标</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二级指标</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三级指标</w:t>
            </w: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指标性质</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指标值</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得分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62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6"/>
                <w:szCs w:val="16"/>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评价结论</w:t>
            </w:r>
          </w:p>
        </w:tc>
        <w:tc>
          <w:tcPr>
            <w:tcW w:w="622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存在问题</w:t>
            </w:r>
          </w:p>
        </w:tc>
        <w:tc>
          <w:tcPr>
            <w:tcW w:w="622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改进措施</w:t>
            </w:r>
          </w:p>
        </w:tc>
        <w:tc>
          <w:tcPr>
            <w:tcW w:w="622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6"/>
                <w:szCs w:val="16"/>
                <w:u w:val="none"/>
              </w:rPr>
            </w:pPr>
            <w:r>
              <w:rPr>
                <w:rFonts w:hint="eastAsia" w:ascii="黑体" w:hAnsi="黑体" w:eastAsia="黑体" w:cs="黑体"/>
                <w:i w:val="0"/>
                <w:iCs w:val="0"/>
                <w:color w:val="000000"/>
                <w:kern w:val="0"/>
                <w:sz w:val="16"/>
                <w:szCs w:val="16"/>
                <w:u w:val="none"/>
                <w:lang w:val="en-US" w:eastAsia="zh-CN" w:bidi="ar"/>
              </w:rPr>
              <w:t>项目负责人：</w:t>
            </w:r>
          </w:p>
        </w:tc>
        <w:tc>
          <w:tcPr>
            <w:tcW w:w="265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6"/>
                <w:szCs w:val="16"/>
                <w:u w:val="none"/>
              </w:rPr>
            </w:pPr>
            <w:r>
              <w:rPr>
                <w:rFonts w:hint="eastAsia" w:ascii="黑体" w:hAnsi="黑体" w:eastAsia="黑体" w:cs="黑体"/>
                <w:i w:val="0"/>
                <w:iCs w:val="0"/>
                <w:color w:val="000000"/>
                <w:kern w:val="0"/>
                <w:sz w:val="16"/>
                <w:szCs w:val="16"/>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50"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855"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1095"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1245"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375"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600"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1095"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510"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450"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1890"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667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16"/>
                <w:szCs w:val="16"/>
                <w:u w:val="none"/>
              </w:rPr>
            </w:pPr>
            <w:r>
              <w:rPr>
                <w:rFonts w:hint="eastAsia" w:ascii="黑体" w:hAnsi="宋体" w:eastAsia="黑体" w:cs="黑体"/>
                <w:b/>
                <w:bCs/>
                <w:i w:val="0"/>
                <w:iCs w:val="0"/>
                <w:color w:val="000000"/>
                <w:kern w:val="0"/>
                <w:sz w:val="16"/>
                <w:szCs w:val="16"/>
                <w:u w:val="none"/>
                <w:lang w:val="en-US" w:eastAsia="zh-CN" w:bidi="ar"/>
              </w:rPr>
              <w:t>部门预算项目支出绩效自评表（2022年度）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3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项目名称</w:t>
            </w:r>
          </w:p>
        </w:tc>
        <w:tc>
          <w:tcPr>
            <w:tcW w:w="537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51323322Y000000274175-党建群众工作经费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13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主管部门</w:t>
            </w:r>
          </w:p>
        </w:tc>
        <w:tc>
          <w:tcPr>
            <w:tcW w:w="33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红原县卫生健康局</w:t>
            </w:r>
          </w:p>
        </w:tc>
        <w:tc>
          <w:tcPr>
            <w:tcW w:w="1095"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6"/>
                <w:szCs w:val="16"/>
                <w:u w:val="none"/>
              </w:rPr>
            </w:pPr>
            <w:r>
              <w:rPr>
                <w:rFonts w:hint="eastAsia" w:ascii="黑体" w:hAnsi="黑体" w:eastAsia="黑体" w:cs="黑体"/>
                <w:i w:val="0"/>
                <w:iCs w:val="0"/>
                <w:color w:val="000000"/>
                <w:kern w:val="0"/>
                <w:sz w:val="16"/>
                <w:szCs w:val="16"/>
                <w:u w:val="none"/>
                <w:lang w:val="en-US" w:eastAsia="zh-CN" w:bidi="ar"/>
              </w:rPr>
              <w:t>实施单位 （盖章）</w:t>
            </w:r>
          </w:p>
        </w:tc>
        <w:tc>
          <w:tcPr>
            <w:tcW w:w="2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红原县藏医院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项目基本情况</w:t>
            </w:r>
          </w:p>
        </w:tc>
        <w:tc>
          <w:tcPr>
            <w:tcW w:w="8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1.项目年度目标完成情况</w:t>
            </w:r>
          </w:p>
        </w:tc>
        <w:tc>
          <w:tcPr>
            <w:tcW w:w="33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项目年度目标</w:t>
            </w:r>
          </w:p>
        </w:tc>
        <w:tc>
          <w:tcPr>
            <w:tcW w:w="39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黑体" w:eastAsia="黑体" w:cs="黑体"/>
                <w:i w:val="0"/>
                <w:iCs w:val="0"/>
                <w:color w:val="000000"/>
                <w:sz w:val="16"/>
                <w:szCs w:val="16"/>
                <w:u w:val="none"/>
              </w:rPr>
            </w:pPr>
            <w:r>
              <w:rPr>
                <w:rFonts w:hint="eastAsia" w:ascii="黑体" w:hAnsi="黑体" w:eastAsia="黑体" w:cs="黑体"/>
                <w:i w:val="0"/>
                <w:iCs w:val="0"/>
                <w:color w:val="000000"/>
                <w:kern w:val="0"/>
                <w:sz w:val="16"/>
                <w:szCs w:val="16"/>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6"/>
                <w:szCs w:val="16"/>
                <w:u w:val="none"/>
              </w:rPr>
            </w:pPr>
          </w:p>
        </w:tc>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6"/>
                <w:szCs w:val="16"/>
                <w:u w:val="none"/>
              </w:rPr>
            </w:pPr>
          </w:p>
        </w:tc>
        <w:tc>
          <w:tcPr>
            <w:tcW w:w="33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保障单位日常运转，提高预算编制质量，严格执行预算</w:t>
            </w:r>
          </w:p>
        </w:tc>
        <w:tc>
          <w:tcPr>
            <w:tcW w:w="39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6"/>
                <w:szCs w:val="16"/>
                <w:u w:val="none"/>
              </w:rPr>
            </w:pPr>
            <w:r>
              <w:rPr>
                <w:rFonts w:hint="eastAsia" w:ascii="黑体" w:hAnsi="黑体" w:eastAsia="黑体" w:cs="黑体"/>
                <w:i w:val="0"/>
                <w:iCs w:val="0"/>
                <w:color w:val="000000"/>
                <w:kern w:val="0"/>
                <w:sz w:val="16"/>
                <w:szCs w:val="16"/>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6"/>
                <w:szCs w:val="16"/>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2.项目实施内容及过程概述</w:t>
            </w:r>
          </w:p>
        </w:tc>
        <w:tc>
          <w:tcPr>
            <w:tcW w:w="537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预算执行情况（10分）</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年度预算数（万元）</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年初预算</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调整后预算数</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预算执行数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得分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总额</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4.30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4.30</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4.30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8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iCs/>
                <w:color w:val="000000"/>
                <w:sz w:val="16"/>
                <w:szCs w:val="16"/>
                <w:u w:val="none"/>
              </w:rPr>
            </w:pPr>
            <w:r>
              <w:rPr>
                <w:rFonts w:hint="eastAsia" w:ascii="黑体" w:hAnsi="黑体" w:eastAsia="黑体" w:cs="黑体"/>
                <w:i/>
                <w:iCs/>
                <w:color w:val="000000"/>
                <w:kern w:val="0"/>
                <w:sz w:val="16"/>
                <w:szCs w:val="16"/>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其中：财政资金</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4.30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4.30</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4.30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财政专户管理资金</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单位资金</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其他资金</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18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黑体" w:hAnsi="黑体" w:eastAsia="黑体" w:cs="黑体"/>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绩效指标（90分）</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一级指标</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二级指标</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三级指标</w:t>
            </w: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指标性质</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指标值</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得分</w:t>
            </w: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产出指标</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数量指标</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科目调整次数</w:t>
            </w: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22.5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质量指标</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预算编制准确率（计算方法为：∣（执行数-预算数）/预算数∣）</w:t>
            </w: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5</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22.5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效益指标</w:t>
            </w:r>
          </w:p>
        </w:tc>
        <w:tc>
          <w:tcPr>
            <w:tcW w:w="10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经济效益指标</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“三公经费”控制率[计算方法为：（三公经费实际支出数/预算安排数]×100%）</w:t>
            </w: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22.5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0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运转保障率</w:t>
            </w: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22.5</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62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6"/>
                <w:szCs w:val="16"/>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评价结论</w:t>
            </w:r>
          </w:p>
        </w:tc>
        <w:tc>
          <w:tcPr>
            <w:tcW w:w="622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存在问题</w:t>
            </w:r>
          </w:p>
        </w:tc>
        <w:tc>
          <w:tcPr>
            <w:tcW w:w="622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改进措施</w:t>
            </w:r>
          </w:p>
        </w:tc>
        <w:tc>
          <w:tcPr>
            <w:tcW w:w="622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02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6"/>
                <w:szCs w:val="16"/>
                <w:u w:val="none"/>
              </w:rPr>
            </w:pPr>
            <w:r>
              <w:rPr>
                <w:rFonts w:hint="eastAsia" w:ascii="黑体" w:hAnsi="黑体" w:eastAsia="黑体" w:cs="黑体"/>
                <w:i w:val="0"/>
                <w:iCs w:val="0"/>
                <w:color w:val="000000"/>
                <w:kern w:val="0"/>
                <w:sz w:val="16"/>
                <w:szCs w:val="16"/>
                <w:u w:val="none"/>
                <w:lang w:val="en-US" w:eastAsia="zh-CN" w:bidi="ar"/>
              </w:rPr>
              <w:t>项目负责人：</w:t>
            </w:r>
          </w:p>
        </w:tc>
        <w:tc>
          <w:tcPr>
            <w:tcW w:w="265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iCs w:val="0"/>
                <w:color w:val="000000"/>
                <w:sz w:val="16"/>
                <w:szCs w:val="16"/>
                <w:u w:val="none"/>
              </w:rPr>
            </w:pPr>
            <w:r>
              <w:rPr>
                <w:rFonts w:hint="eastAsia" w:ascii="黑体" w:hAnsi="黑体" w:eastAsia="黑体" w:cs="黑体"/>
                <w:i w:val="0"/>
                <w:iCs w:val="0"/>
                <w:color w:val="000000"/>
                <w:kern w:val="0"/>
                <w:sz w:val="16"/>
                <w:szCs w:val="16"/>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50"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855"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1095"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1245"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375"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600"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1095"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510"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450"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c>
          <w:tcPr>
            <w:tcW w:w="1890" w:type="dxa"/>
            <w:tcBorders>
              <w:top w:val="nil"/>
              <w:left w:val="nil"/>
              <w:bottom w:val="nil"/>
              <w:right w:val="nil"/>
            </w:tcBorders>
            <w:shd w:val="clear" w:color="auto" w:fill="auto"/>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675" w:type="dxa"/>
            <w:gridSpan w:val="10"/>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1、报表说明:该报表查询项目信息、绩效目标信息、预算及执行情况，用于预算单位查询导出开展项目自评。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675" w:type="dxa"/>
            <w:gridSpan w:val="10"/>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2、取数口径：部门项目绩效目标表信息，包括年初预算、追加预算、结转预算和调整预算的绩效目标（以项目的最终绩效目标为准）。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675" w:type="dxa"/>
            <w:gridSpan w:val="10"/>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适用地区：全省范围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675" w:type="dxa"/>
            <w:gridSpan w:val="10"/>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适用用户：部门用户、单位用户</w:t>
            </w:r>
          </w:p>
        </w:tc>
      </w:tr>
    </w:tbl>
    <w:p>
      <w:pPr>
        <w:pStyle w:val="18"/>
        <w:rPr>
          <w:rFonts w:hint="default" w:ascii="仿宋_GB2312" w:hAnsi="Times New Roman" w:cs="Times New Roman"/>
          <w:sz w:val="30"/>
          <w:szCs w:val="30"/>
          <w:lang w:val="en-US" w:eastAsia="zh-CN"/>
        </w:rPr>
      </w:pPr>
      <w:r>
        <w:rPr>
          <w:rFonts w:hint="eastAsia" w:ascii="仿宋_GB2312" w:hAnsi="Times New Roman" w:cs="Times New Roman"/>
          <w:sz w:val="30"/>
          <w:szCs w:val="30"/>
          <w:lang w:val="en-US" w:eastAsia="zh-CN"/>
        </w:rPr>
        <w:t xml:space="preserve">            </w:t>
      </w:r>
    </w:p>
    <w:p>
      <w:pPr>
        <w:pStyle w:val="18"/>
        <w:rPr>
          <w:rFonts w:hint="eastAsia" w:ascii="仿宋_GB2312" w:hAnsi="Times New Roman" w:cs="Times New Roman"/>
          <w:sz w:val="30"/>
          <w:szCs w:val="30"/>
          <w:lang w:val="en-US" w:eastAsia="zh-CN"/>
        </w:rPr>
      </w:pPr>
    </w:p>
    <w:p>
      <w:pPr>
        <w:pStyle w:val="18"/>
        <w:rPr>
          <w:rFonts w:hint="eastAsia" w:ascii="仿宋_GB2312" w:hAnsi="Times New Roman" w:cs="Times New Roman"/>
          <w:sz w:val="30"/>
          <w:szCs w:val="30"/>
          <w:lang w:val="en-US" w:eastAsia="zh-CN"/>
        </w:rPr>
      </w:pPr>
      <w:r>
        <w:rPr>
          <w:rFonts w:hint="eastAsia" w:ascii="仿宋_GB2312" w:hAnsi="Times New Roman" w:cs="Times New Roman"/>
          <w:sz w:val="30"/>
          <w:szCs w:val="30"/>
          <w:lang w:val="en-US" w:eastAsia="zh-CN"/>
        </w:rPr>
        <w:t xml:space="preserve">    </w:t>
      </w:r>
    </w:p>
    <w:p>
      <w:pPr>
        <w:pStyle w:val="3"/>
        <w:jc w:val="center"/>
        <w:rPr>
          <w:rFonts w:ascii="黑体" w:hAnsi="黑体" w:eastAsia="黑体" w:cs="黑体"/>
        </w:rPr>
      </w:pPr>
      <w:bookmarkStart w:id="72" w:name="_Toc5939"/>
      <w:bookmarkStart w:id="73" w:name="_Toc79163635"/>
      <w:bookmarkStart w:id="74" w:name="_Toc79163885"/>
      <w:bookmarkStart w:id="75" w:name="_Toc111208512"/>
      <w:r>
        <w:rPr>
          <w:rFonts w:hint="eastAsia" w:ascii="黑体" w:hAnsi="黑体" w:eastAsia="黑体" w:cs="黑体"/>
        </w:rPr>
        <w:t>第五部分 附表</w:t>
      </w:r>
      <w:bookmarkEnd w:id="72"/>
      <w:bookmarkEnd w:id="73"/>
      <w:bookmarkEnd w:id="74"/>
      <w:bookmarkEnd w:id="75"/>
    </w:p>
    <w:p>
      <w:pPr>
        <w:pStyle w:val="4"/>
        <w:ind w:firstLine="643" w:firstLineChars="200"/>
        <w:rPr>
          <w:rFonts w:ascii="黑体" w:eastAsia="黑体" w:cs="Times New Roman"/>
          <w:bCs w:val="0"/>
          <w:color w:val="000000"/>
        </w:rPr>
      </w:pPr>
      <w:bookmarkStart w:id="76" w:name="_Toc7558"/>
      <w:r>
        <w:rPr>
          <w:rFonts w:hint="eastAsia" w:ascii="黑体" w:eastAsia="黑体" w:cs="Times New Roman"/>
          <w:bCs w:val="0"/>
          <w:color w:val="000000"/>
        </w:rPr>
        <w:t>一、收入支出决算总表</w:t>
      </w:r>
      <w:bookmarkEnd w:id="76"/>
    </w:p>
    <w:p>
      <w:pPr>
        <w:pStyle w:val="4"/>
        <w:ind w:firstLine="643" w:firstLineChars="200"/>
        <w:rPr>
          <w:rFonts w:ascii="黑体" w:eastAsia="黑体" w:cs="Times New Roman"/>
          <w:bCs w:val="0"/>
          <w:color w:val="000000"/>
        </w:rPr>
      </w:pPr>
      <w:bookmarkStart w:id="77" w:name="_Toc23357"/>
      <w:r>
        <w:rPr>
          <w:rFonts w:hint="eastAsia" w:ascii="黑体" w:eastAsia="黑体" w:cs="Times New Roman"/>
          <w:bCs w:val="0"/>
          <w:color w:val="000000"/>
        </w:rPr>
        <w:t>二、收入决算表</w:t>
      </w:r>
      <w:bookmarkEnd w:id="77"/>
    </w:p>
    <w:p>
      <w:pPr>
        <w:pStyle w:val="4"/>
        <w:ind w:firstLine="643" w:firstLineChars="200"/>
        <w:rPr>
          <w:rFonts w:ascii="黑体" w:eastAsia="黑体" w:cs="Times New Roman"/>
          <w:bCs w:val="0"/>
          <w:color w:val="000000"/>
        </w:rPr>
      </w:pPr>
      <w:bookmarkStart w:id="78" w:name="_Toc8630"/>
      <w:r>
        <w:rPr>
          <w:rFonts w:hint="eastAsia" w:ascii="黑体" w:eastAsia="黑体" w:cs="Times New Roman"/>
          <w:bCs w:val="0"/>
          <w:color w:val="000000"/>
        </w:rPr>
        <w:t>三、支出决算表</w:t>
      </w:r>
      <w:bookmarkEnd w:id="78"/>
    </w:p>
    <w:p>
      <w:pPr>
        <w:pStyle w:val="4"/>
        <w:ind w:firstLine="643" w:firstLineChars="200"/>
        <w:rPr>
          <w:rFonts w:ascii="黑体" w:eastAsia="黑体" w:cs="Times New Roman"/>
          <w:bCs w:val="0"/>
          <w:color w:val="000000"/>
        </w:rPr>
      </w:pPr>
      <w:bookmarkStart w:id="79" w:name="_Toc14945"/>
      <w:r>
        <w:rPr>
          <w:rFonts w:hint="eastAsia" w:ascii="黑体" w:eastAsia="黑体" w:cs="Times New Roman"/>
          <w:bCs w:val="0"/>
          <w:color w:val="000000"/>
        </w:rPr>
        <w:t>四、财政拨款收入支出决算总表</w:t>
      </w:r>
      <w:bookmarkEnd w:id="79"/>
    </w:p>
    <w:p>
      <w:pPr>
        <w:pStyle w:val="4"/>
        <w:ind w:firstLine="643" w:firstLineChars="200"/>
        <w:rPr>
          <w:rFonts w:ascii="黑体" w:eastAsia="黑体" w:cs="Times New Roman"/>
          <w:bCs w:val="0"/>
          <w:color w:val="000000"/>
        </w:rPr>
      </w:pPr>
      <w:bookmarkStart w:id="80" w:name="_Toc11086"/>
      <w:r>
        <w:rPr>
          <w:rFonts w:hint="eastAsia" w:ascii="黑体" w:eastAsia="黑体" w:cs="Times New Roman"/>
          <w:bCs w:val="0"/>
          <w:color w:val="000000"/>
        </w:rPr>
        <w:t>五、财政拨款支出决算明细表</w:t>
      </w:r>
      <w:bookmarkEnd w:id="80"/>
    </w:p>
    <w:p>
      <w:pPr>
        <w:pStyle w:val="4"/>
        <w:ind w:firstLine="643" w:firstLineChars="200"/>
        <w:rPr>
          <w:rFonts w:ascii="黑体" w:eastAsia="黑体" w:cs="Times New Roman"/>
          <w:bCs w:val="0"/>
          <w:color w:val="000000"/>
        </w:rPr>
      </w:pPr>
      <w:bookmarkStart w:id="81" w:name="_Toc27180"/>
      <w:r>
        <w:rPr>
          <w:rFonts w:hint="eastAsia" w:ascii="黑体" w:eastAsia="黑体" w:cs="Times New Roman"/>
          <w:bCs w:val="0"/>
          <w:color w:val="000000"/>
        </w:rPr>
        <w:t>六、一般公共预算财政拨款支出决算表</w:t>
      </w:r>
      <w:bookmarkEnd w:id="81"/>
    </w:p>
    <w:p>
      <w:pPr>
        <w:pStyle w:val="4"/>
        <w:ind w:firstLine="643" w:firstLineChars="200"/>
        <w:rPr>
          <w:rFonts w:ascii="黑体" w:eastAsia="黑体" w:cs="Times New Roman"/>
          <w:bCs w:val="0"/>
          <w:color w:val="000000"/>
        </w:rPr>
      </w:pPr>
      <w:bookmarkStart w:id="82" w:name="_Toc29007"/>
      <w:r>
        <w:rPr>
          <w:rFonts w:hint="eastAsia" w:ascii="黑体" w:eastAsia="黑体" w:cs="Times New Roman"/>
          <w:bCs w:val="0"/>
          <w:color w:val="000000"/>
        </w:rPr>
        <w:t>七、一般公共预算财政拨款支出决算明细表</w:t>
      </w:r>
      <w:bookmarkEnd w:id="82"/>
    </w:p>
    <w:p>
      <w:pPr>
        <w:pStyle w:val="4"/>
        <w:ind w:firstLine="643" w:firstLineChars="200"/>
        <w:rPr>
          <w:rFonts w:ascii="黑体" w:eastAsia="黑体" w:cs="Times New Roman"/>
          <w:bCs w:val="0"/>
          <w:color w:val="000000"/>
        </w:rPr>
      </w:pPr>
      <w:bookmarkStart w:id="83" w:name="_Toc26272"/>
      <w:r>
        <w:rPr>
          <w:rFonts w:hint="eastAsia" w:ascii="黑体" w:eastAsia="黑体" w:cs="Times New Roman"/>
          <w:bCs w:val="0"/>
          <w:color w:val="000000"/>
        </w:rPr>
        <w:t>八、一般公共预算财政拨款基本支出决算表</w:t>
      </w:r>
      <w:bookmarkEnd w:id="83"/>
    </w:p>
    <w:p>
      <w:pPr>
        <w:pStyle w:val="4"/>
        <w:ind w:firstLine="643" w:firstLineChars="200"/>
        <w:rPr>
          <w:rFonts w:ascii="黑体" w:eastAsia="黑体" w:cs="Times New Roman"/>
          <w:bCs w:val="0"/>
          <w:color w:val="000000"/>
        </w:rPr>
      </w:pPr>
      <w:bookmarkStart w:id="84" w:name="_Toc9392"/>
      <w:r>
        <w:rPr>
          <w:rFonts w:hint="eastAsia" w:ascii="黑体" w:eastAsia="黑体" w:cs="Times New Roman"/>
          <w:bCs w:val="0"/>
          <w:color w:val="000000"/>
        </w:rPr>
        <w:t>九、一般公共预算财政拨款项目支出决算表</w:t>
      </w:r>
      <w:bookmarkEnd w:id="84"/>
    </w:p>
    <w:p>
      <w:pPr>
        <w:pStyle w:val="4"/>
        <w:ind w:firstLine="643" w:firstLineChars="200"/>
        <w:rPr>
          <w:rFonts w:ascii="黑体" w:eastAsia="黑体" w:cs="Times New Roman"/>
          <w:bCs w:val="0"/>
          <w:color w:val="000000"/>
        </w:rPr>
      </w:pPr>
      <w:bookmarkStart w:id="85" w:name="_Toc5609"/>
      <w:r>
        <w:rPr>
          <w:rFonts w:hint="eastAsia" w:ascii="黑体" w:eastAsia="黑体" w:cs="Times New Roman"/>
          <w:bCs w:val="0"/>
          <w:color w:val="000000"/>
        </w:rPr>
        <w:t>十、政府性基金预算财政拨款收入支出决算表</w:t>
      </w:r>
      <w:bookmarkEnd w:id="85"/>
    </w:p>
    <w:p>
      <w:pPr>
        <w:pStyle w:val="4"/>
        <w:ind w:firstLine="643" w:firstLineChars="200"/>
        <w:rPr>
          <w:rFonts w:ascii="黑体" w:eastAsia="黑体" w:cs="Times New Roman"/>
          <w:bCs w:val="0"/>
          <w:color w:val="000000"/>
        </w:rPr>
      </w:pPr>
      <w:bookmarkStart w:id="86" w:name="_Toc28596"/>
      <w:r>
        <w:rPr>
          <w:rFonts w:hint="eastAsia" w:ascii="黑体" w:eastAsia="黑体" w:cs="Times New Roman"/>
          <w:bCs w:val="0"/>
          <w:color w:val="000000"/>
        </w:rPr>
        <w:t>十一、国有资本经营预算财政拨款收入支出决算表</w:t>
      </w:r>
      <w:bookmarkEnd w:id="86"/>
    </w:p>
    <w:p>
      <w:pPr>
        <w:pStyle w:val="4"/>
        <w:ind w:firstLine="643" w:firstLineChars="200"/>
        <w:rPr>
          <w:rFonts w:ascii="黑体" w:eastAsia="黑体" w:cs="Times New Roman"/>
          <w:bCs w:val="0"/>
          <w:color w:val="000000"/>
        </w:rPr>
      </w:pPr>
      <w:bookmarkStart w:id="87" w:name="_Toc2782"/>
      <w:r>
        <w:rPr>
          <w:rFonts w:hint="eastAsia" w:ascii="黑体" w:eastAsia="黑体" w:cs="Times New Roman"/>
          <w:bCs w:val="0"/>
          <w:color w:val="000000"/>
        </w:rPr>
        <w:t>十二、国有资本经营预算财政拨款支出决算表</w:t>
      </w:r>
      <w:bookmarkEnd w:id="87"/>
    </w:p>
    <w:p>
      <w:pPr>
        <w:pStyle w:val="4"/>
        <w:ind w:firstLine="643" w:firstLineChars="200"/>
        <w:rPr>
          <w:rFonts w:ascii="黑体" w:eastAsia="黑体" w:cs="Times New Roman"/>
          <w:b w:val="0"/>
          <w:color w:val="000000"/>
        </w:rPr>
      </w:pPr>
      <w:bookmarkStart w:id="88" w:name="_Toc27892"/>
      <w:r>
        <w:rPr>
          <w:rFonts w:hint="eastAsia" w:ascii="黑体" w:eastAsia="黑体" w:cs="Times New Roman"/>
          <w:bCs w:val="0"/>
          <w:color w:val="000000"/>
        </w:rPr>
        <w:t>十三、财政拨款“三公”经费支出决算表</w:t>
      </w:r>
      <w:bookmarkEnd w:id="88"/>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华文中宋">
    <w:altName w:val="宋体"/>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12"/>
          <w:jc w:val="center"/>
        </w:pPr>
        <w:r>
          <w:fldChar w:fldCharType="begin"/>
        </w:r>
        <w:r>
          <w:instrText xml:space="preserve">PAGE   \* MERGEFORMAT</w:instrText>
        </w:r>
        <w:r>
          <w:fldChar w:fldCharType="separate"/>
        </w:r>
        <w:r>
          <w:rPr>
            <w:lang w:val="zh-CN"/>
          </w:rPr>
          <w:t>4</w:t>
        </w:r>
        <w:r>
          <w:fldChar w:fldCharType="end"/>
        </w:r>
      </w:p>
    </w:sdtContent>
  </w:sdt>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singleLevel"/>
    <w:tmpl w:val="0053208E"/>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IxNGE4OTliZWM5YTVkZjBjMzI2N2NjZDc4ZjVkMTIifQ=="/>
  </w:docVars>
  <w:rsids>
    <w:rsidRoot w:val="00F1361C"/>
    <w:rsid w:val="000000BC"/>
    <w:rsid w:val="00000665"/>
    <w:rsid w:val="00000B38"/>
    <w:rsid w:val="000015A2"/>
    <w:rsid w:val="00002628"/>
    <w:rsid w:val="00003E5B"/>
    <w:rsid w:val="00004806"/>
    <w:rsid w:val="00007EA6"/>
    <w:rsid w:val="00012FB7"/>
    <w:rsid w:val="00013357"/>
    <w:rsid w:val="00013C9E"/>
    <w:rsid w:val="00015450"/>
    <w:rsid w:val="000175E6"/>
    <w:rsid w:val="00017F98"/>
    <w:rsid w:val="00020F07"/>
    <w:rsid w:val="000222C6"/>
    <w:rsid w:val="00022FC0"/>
    <w:rsid w:val="000230B2"/>
    <w:rsid w:val="0002359B"/>
    <w:rsid w:val="00023DEB"/>
    <w:rsid w:val="00025226"/>
    <w:rsid w:val="0002549F"/>
    <w:rsid w:val="00025F1E"/>
    <w:rsid w:val="0002749D"/>
    <w:rsid w:val="0003013F"/>
    <w:rsid w:val="00031598"/>
    <w:rsid w:val="0003171E"/>
    <w:rsid w:val="00031926"/>
    <w:rsid w:val="000326D5"/>
    <w:rsid w:val="00033414"/>
    <w:rsid w:val="00034ABC"/>
    <w:rsid w:val="00034D1D"/>
    <w:rsid w:val="00034D24"/>
    <w:rsid w:val="00035A69"/>
    <w:rsid w:val="000366B3"/>
    <w:rsid w:val="00036E57"/>
    <w:rsid w:val="00047195"/>
    <w:rsid w:val="00047C09"/>
    <w:rsid w:val="00052D93"/>
    <w:rsid w:val="000551CF"/>
    <w:rsid w:val="000571AC"/>
    <w:rsid w:val="00063AA8"/>
    <w:rsid w:val="0006487A"/>
    <w:rsid w:val="00065F8F"/>
    <w:rsid w:val="00066365"/>
    <w:rsid w:val="00066A65"/>
    <w:rsid w:val="00070C93"/>
    <w:rsid w:val="00070D58"/>
    <w:rsid w:val="00070F40"/>
    <w:rsid w:val="00071796"/>
    <w:rsid w:val="00072BEC"/>
    <w:rsid w:val="00073345"/>
    <w:rsid w:val="000768F2"/>
    <w:rsid w:val="00077C80"/>
    <w:rsid w:val="00081156"/>
    <w:rsid w:val="000815F6"/>
    <w:rsid w:val="00083B72"/>
    <w:rsid w:val="000846FF"/>
    <w:rsid w:val="0008503A"/>
    <w:rsid w:val="000851B4"/>
    <w:rsid w:val="000859F0"/>
    <w:rsid w:val="00087C06"/>
    <w:rsid w:val="00090134"/>
    <w:rsid w:val="00090DB7"/>
    <w:rsid w:val="0009184B"/>
    <w:rsid w:val="00091AAC"/>
    <w:rsid w:val="000925CB"/>
    <w:rsid w:val="0009389E"/>
    <w:rsid w:val="0009593C"/>
    <w:rsid w:val="000A1370"/>
    <w:rsid w:val="000A17C4"/>
    <w:rsid w:val="000A37A2"/>
    <w:rsid w:val="000A500C"/>
    <w:rsid w:val="000B007F"/>
    <w:rsid w:val="000B047F"/>
    <w:rsid w:val="000B071C"/>
    <w:rsid w:val="000B1716"/>
    <w:rsid w:val="000B202D"/>
    <w:rsid w:val="000B26BE"/>
    <w:rsid w:val="000B2D44"/>
    <w:rsid w:val="000B2FD8"/>
    <w:rsid w:val="000B44F0"/>
    <w:rsid w:val="000B5923"/>
    <w:rsid w:val="000B5A48"/>
    <w:rsid w:val="000B6FF3"/>
    <w:rsid w:val="000C0A06"/>
    <w:rsid w:val="000C148A"/>
    <w:rsid w:val="000C2B6A"/>
    <w:rsid w:val="000C3467"/>
    <w:rsid w:val="000C3CA6"/>
    <w:rsid w:val="000C4E3D"/>
    <w:rsid w:val="000C7136"/>
    <w:rsid w:val="000D1267"/>
    <w:rsid w:val="000D1D50"/>
    <w:rsid w:val="000D304F"/>
    <w:rsid w:val="000D4033"/>
    <w:rsid w:val="000D5782"/>
    <w:rsid w:val="000D620F"/>
    <w:rsid w:val="000D74AA"/>
    <w:rsid w:val="000E3AC5"/>
    <w:rsid w:val="000E4C84"/>
    <w:rsid w:val="000E6613"/>
    <w:rsid w:val="000E6663"/>
    <w:rsid w:val="000E7119"/>
    <w:rsid w:val="000E75B2"/>
    <w:rsid w:val="000F0D1B"/>
    <w:rsid w:val="000F3E1D"/>
    <w:rsid w:val="000F7336"/>
    <w:rsid w:val="00101546"/>
    <w:rsid w:val="00106B75"/>
    <w:rsid w:val="0010727E"/>
    <w:rsid w:val="00107CCA"/>
    <w:rsid w:val="00110310"/>
    <w:rsid w:val="0011211B"/>
    <w:rsid w:val="00112787"/>
    <w:rsid w:val="00114E9B"/>
    <w:rsid w:val="0011649B"/>
    <w:rsid w:val="00116E5E"/>
    <w:rsid w:val="0012218E"/>
    <w:rsid w:val="0012398F"/>
    <w:rsid w:val="00124113"/>
    <w:rsid w:val="00124BFE"/>
    <w:rsid w:val="0012516D"/>
    <w:rsid w:val="00125224"/>
    <w:rsid w:val="00130F18"/>
    <w:rsid w:val="00133C7A"/>
    <w:rsid w:val="0013434B"/>
    <w:rsid w:val="00137E3C"/>
    <w:rsid w:val="001418EE"/>
    <w:rsid w:val="00142F42"/>
    <w:rsid w:val="00143AE1"/>
    <w:rsid w:val="00143C8F"/>
    <w:rsid w:val="001446FE"/>
    <w:rsid w:val="00144A59"/>
    <w:rsid w:val="00146A3D"/>
    <w:rsid w:val="0014729F"/>
    <w:rsid w:val="00147410"/>
    <w:rsid w:val="001506F6"/>
    <w:rsid w:val="00151128"/>
    <w:rsid w:val="0015213E"/>
    <w:rsid w:val="001544D9"/>
    <w:rsid w:val="00156D25"/>
    <w:rsid w:val="00156D5D"/>
    <w:rsid w:val="00157BAB"/>
    <w:rsid w:val="0016151A"/>
    <w:rsid w:val="00163B54"/>
    <w:rsid w:val="001654D1"/>
    <w:rsid w:val="00166A14"/>
    <w:rsid w:val="00166F25"/>
    <w:rsid w:val="0016730C"/>
    <w:rsid w:val="0017190C"/>
    <w:rsid w:val="00174145"/>
    <w:rsid w:val="0018106D"/>
    <w:rsid w:val="0018125C"/>
    <w:rsid w:val="00181856"/>
    <w:rsid w:val="00183B64"/>
    <w:rsid w:val="00184B52"/>
    <w:rsid w:val="001877A7"/>
    <w:rsid w:val="00187CD2"/>
    <w:rsid w:val="00191536"/>
    <w:rsid w:val="00191B2C"/>
    <w:rsid w:val="001927B3"/>
    <w:rsid w:val="00193E73"/>
    <w:rsid w:val="00193FE2"/>
    <w:rsid w:val="001959D9"/>
    <w:rsid w:val="00195AB7"/>
    <w:rsid w:val="00196687"/>
    <w:rsid w:val="001A0107"/>
    <w:rsid w:val="001A0B9F"/>
    <w:rsid w:val="001A0EA2"/>
    <w:rsid w:val="001A1DBF"/>
    <w:rsid w:val="001A41F1"/>
    <w:rsid w:val="001A5CF3"/>
    <w:rsid w:val="001A63BB"/>
    <w:rsid w:val="001B1840"/>
    <w:rsid w:val="001B1FA9"/>
    <w:rsid w:val="001B2FB3"/>
    <w:rsid w:val="001B6640"/>
    <w:rsid w:val="001B7FF7"/>
    <w:rsid w:val="001C0962"/>
    <w:rsid w:val="001C1941"/>
    <w:rsid w:val="001C1A81"/>
    <w:rsid w:val="001C38A5"/>
    <w:rsid w:val="001C597C"/>
    <w:rsid w:val="001C6464"/>
    <w:rsid w:val="001C746B"/>
    <w:rsid w:val="001D14B6"/>
    <w:rsid w:val="001D342B"/>
    <w:rsid w:val="001D6C1E"/>
    <w:rsid w:val="001D7531"/>
    <w:rsid w:val="001E0A1B"/>
    <w:rsid w:val="001E1402"/>
    <w:rsid w:val="001E2922"/>
    <w:rsid w:val="001E3680"/>
    <w:rsid w:val="001E6926"/>
    <w:rsid w:val="001E737D"/>
    <w:rsid w:val="001F0592"/>
    <w:rsid w:val="001F0C89"/>
    <w:rsid w:val="001F7506"/>
    <w:rsid w:val="002006CD"/>
    <w:rsid w:val="0020075A"/>
    <w:rsid w:val="00202B36"/>
    <w:rsid w:val="00202C44"/>
    <w:rsid w:val="00202F80"/>
    <w:rsid w:val="002030A5"/>
    <w:rsid w:val="00204B7A"/>
    <w:rsid w:val="00206616"/>
    <w:rsid w:val="0020689D"/>
    <w:rsid w:val="00206B0E"/>
    <w:rsid w:val="00207949"/>
    <w:rsid w:val="0021101A"/>
    <w:rsid w:val="0021190F"/>
    <w:rsid w:val="0021334C"/>
    <w:rsid w:val="00216B50"/>
    <w:rsid w:val="00220536"/>
    <w:rsid w:val="00220C02"/>
    <w:rsid w:val="00224F1D"/>
    <w:rsid w:val="00225CB7"/>
    <w:rsid w:val="0023060C"/>
    <w:rsid w:val="00234E40"/>
    <w:rsid w:val="00235629"/>
    <w:rsid w:val="00237AE4"/>
    <w:rsid w:val="00240C43"/>
    <w:rsid w:val="00240C5D"/>
    <w:rsid w:val="00243589"/>
    <w:rsid w:val="002527B1"/>
    <w:rsid w:val="0025301B"/>
    <w:rsid w:val="00253FF8"/>
    <w:rsid w:val="00260A32"/>
    <w:rsid w:val="00260C38"/>
    <w:rsid w:val="00260F84"/>
    <w:rsid w:val="002616C0"/>
    <w:rsid w:val="002620C0"/>
    <w:rsid w:val="002662AA"/>
    <w:rsid w:val="00267E1C"/>
    <w:rsid w:val="00272FB2"/>
    <w:rsid w:val="0027313F"/>
    <w:rsid w:val="00273F8B"/>
    <w:rsid w:val="002740FA"/>
    <w:rsid w:val="0027692F"/>
    <w:rsid w:val="0027703A"/>
    <w:rsid w:val="00277BF4"/>
    <w:rsid w:val="002803BD"/>
    <w:rsid w:val="00280496"/>
    <w:rsid w:val="00283D63"/>
    <w:rsid w:val="00283E91"/>
    <w:rsid w:val="002856F9"/>
    <w:rsid w:val="002866CA"/>
    <w:rsid w:val="00286C21"/>
    <w:rsid w:val="002875BF"/>
    <w:rsid w:val="0029076F"/>
    <w:rsid w:val="0029094E"/>
    <w:rsid w:val="00291DC2"/>
    <w:rsid w:val="00292626"/>
    <w:rsid w:val="00292E6B"/>
    <w:rsid w:val="00295495"/>
    <w:rsid w:val="002A0D55"/>
    <w:rsid w:val="002A0E88"/>
    <w:rsid w:val="002A1940"/>
    <w:rsid w:val="002A3F4C"/>
    <w:rsid w:val="002A5BEA"/>
    <w:rsid w:val="002A70D7"/>
    <w:rsid w:val="002A77B7"/>
    <w:rsid w:val="002A7AE1"/>
    <w:rsid w:val="002B133E"/>
    <w:rsid w:val="002B1B6D"/>
    <w:rsid w:val="002B2613"/>
    <w:rsid w:val="002B2C2A"/>
    <w:rsid w:val="002B2F51"/>
    <w:rsid w:val="002B44FC"/>
    <w:rsid w:val="002B5438"/>
    <w:rsid w:val="002B544A"/>
    <w:rsid w:val="002B5F40"/>
    <w:rsid w:val="002B79B7"/>
    <w:rsid w:val="002C00BF"/>
    <w:rsid w:val="002C0137"/>
    <w:rsid w:val="002C1004"/>
    <w:rsid w:val="002C1E97"/>
    <w:rsid w:val="002C4022"/>
    <w:rsid w:val="002C5275"/>
    <w:rsid w:val="002C6074"/>
    <w:rsid w:val="002D1F9E"/>
    <w:rsid w:val="002D30E8"/>
    <w:rsid w:val="002E0F9C"/>
    <w:rsid w:val="002E1F75"/>
    <w:rsid w:val="002E202A"/>
    <w:rsid w:val="002E5C3A"/>
    <w:rsid w:val="002E64D0"/>
    <w:rsid w:val="002F1818"/>
    <w:rsid w:val="002F1A28"/>
    <w:rsid w:val="002F2C84"/>
    <w:rsid w:val="002F335F"/>
    <w:rsid w:val="002F567B"/>
    <w:rsid w:val="002F66D8"/>
    <w:rsid w:val="002F7353"/>
    <w:rsid w:val="0030080A"/>
    <w:rsid w:val="0030298F"/>
    <w:rsid w:val="00302AF1"/>
    <w:rsid w:val="00305126"/>
    <w:rsid w:val="0030593B"/>
    <w:rsid w:val="00310306"/>
    <w:rsid w:val="0031156F"/>
    <w:rsid w:val="00311F7D"/>
    <w:rsid w:val="00317D41"/>
    <w:rsid w:val="00317FD1"/>
    <w:rsid w:val="00321358"/>
    <w:rsid w:val="003216A9"/>
    <w:rsid w:val="00322D89"/>
    <w:rsid w:val="00325332"/>
    <w:rsid w:val="00325856"/>
    <w:rsid w:val="00325985"/>
    <w:rsid w:val="003278AA"/>
    <w:rsid w:val="00332726"/>
    <w:rsid w:val="0033309F"/>
    <w:rsid w:val="00335ED6"/>
    <w:rsid w:val="00337694"/>
    <w:rsid w:val="003431B7"/>
    <w:rsid w:val="0034381A"/>
    <w:rsid w:val="003440C6"/>
    <w:rsid w:val="00350C26"/>
    <w:rsid w:val="003515CF"/>
    <w:rsid w:val="00353569"/>
    <w:rsid w:val="00354D51"/>
    <w:rsid w:val="0035612F"/>
    <w:rsid w:val="00356A32"/>
    <w:rsid w:val="0035779A"/>
    <w:rsid w:val="00360394"/>
    <w:rsid w:val="0036392A"/>
    <w:rsid w:val="003663FE"/>
    <w:rsid w:val="0036688B"/>
    <w:rsid w:val="00366A86"/>
    <w:rsid w:val="00367683"/>
    <w:rsid w:val="00367B91"/>
    <w:rsid w:val="0037013F"/>
    <w:rsid w:val="00373FCE"/>
    <w:rsid w:val="00377A4C"/>
    <w:rsid w:val="003802FF"/>
    <w:rsid w:val="00380C92"/>
    <w:rsid w:val="00383877"/>
    <w:rsid w:val="00385025"/>
    <w:rsid w:val="00386455"/>
    <w:rsid w:val="00390D36"/>
    <w:rsid w:val="00390F3B"/>
    <w:rsid w:val="0039111A"/>
    <w:rsid w:val="003936B4"/>
    <w:rsid w:val="00393AFD"/>
    <w:rsid w:val="003A079E"/>
    <w:rsid w:val="003A10FA"/>
    <w:rsid w:val="003A163E"/>
    <w:rsid w:val="003A32EC"/>
    <w:rsid w:val="003A36AE"/>
    <w:rsid w:val="003A3ACA"/>
    <w:rsid w:val="003A4404"/>
    <w:rsid w:val="003A484F"/>
    <w:rsid w:val="003A4F96"/>
    <w:rsid w:val="003A5540"/>
    <w:rsid w:val="003B0BE0"/>
    <w:rsid w:val="003B0C1A"/>
    <w:rsid w:val="003B0C1B"/>
    <w:rsid w:val="003B5601"/>
    <w:rsid w:val="003B688C"/>
    <w:rsid w:val="003C0291"/>
    <w:rsid w:val="003C2ECB"/>
    <w:rsid w:val="003C350E"/>
    <w:rsid w:val="003C39AE"/>
    <w:rsid w:val="003C6D0D"/>
    <w:rsid w:val="003C76CC"/>
    <w:rsid w:val="003C7B60"/>
    <w:rsid w:val="003D0821"/>
    <w:rsid w:val="003D1FB2"/>
    <w:rsid w:val="003D2303"/>
    <w:rsid w:val="003D3CC9"/>
    <w:rsid w:val="003D4221"/>
    <w:rsid w:val="003D644D"/>
    <w:rsid w:val="003D66DA"/>
    <w:rsid w:val="003E10D3"/>
    <w:rsid w:val="003E1310"/>
    <w:rsid w:val="003E2E1C"/>
    <w:rsid w:val="003E5BD3"/>
    <w:rsid w:val="003E6348"/>
    <w:rsid w:val="003E6F55"/>
    <w:rsid w:val="003F133D"/>
    <w:rsid w:val="003F26B9"/>
    <w:rsid w:val="003F2794"/>
    <w:rsid w:val="003F339D"/>
    <w:rsid w:val="003F363F"/>
    <w:rsid w:val="003F3A2A"/>
    <w:rsid w:val="003F3DED"/>
    <w:rsid w:val="003F3E94"/>
    <w:rsid w:val="003F44B8"/>
    <w:rsid w:val="003F7CD6"/>
    <w:rsid w:val="00400549"/>
    <w:rsid w:val="00401C71"/>
    <w:rsid w:val="004026F9"/>
    <w:rsid w:val="00402FCE"/>
    <w:rsid w:val="00405639"/>
    <w:rsid w:val="00406254"/>
    <w:rsid w:val="004071E0"/>
    <w:rsid w:val="00407AD0"/>
    <w:rsid w:val="00410C16"/>
    <w:rsid w:val="00422023"/>
    <w:rsid w:val="004223DE"/>
    <w:rsid w:val="004234B2"/>
    <w:rsid w:val="00426FA8"/>
    <w:rsid w:val="00427162"/>
    <w:rsid w:val="0043341C"/>
    <w:rsid w:val="004343F3"/>
    <w:rsid w:val="00434489"/>
    <w:rsid w:val="0043475E"/>
    <w:rsid w:val="0043497B"/>
    <w:rsid w:val="00435137"/>
    <w:rsid w:val="00436E88"/>
    <w:rsid w:val="00437085"/>
    <w:rsid w:val="004370D1"/>
    <w:rsid w:val="00440872"/>
    <w:rsid w:val="00440A29"/>
    <w:rsid w:val="00441C18"/>
    <w:rsid w:val="004422EF"/>
    <w:rsid w:val="00443880"/>
    <w:rsid w:val="00444CE1"/>
    <w:rsid w:val="0044578E"/>
    <w:rsid w:val="0044581C"/>
    <w:rsid w:val="004464F4"/>
    <w:rsid w:val="00446FA9"/>
    <w:rsid w:val="00447035"/>
    <w:rsid w:val="00450BFF"/>
    <w:rsid w:val="00454FA9"/>
    <w:rsid w:val="004571F2"/>
    <w:rsid w:val="0045723A"/>
    <w:rsid w:val="00460A67"/>
    <w:rsid w:val="00461A98"/>
    <w:rsid w:val="00462B33"/>
    <w:rsid w:val="0046346E"/>
    <w:rsid w:val="004708B9"/>
    <w:rsid w:val="00471401"/>
    <w:rsid w:val="00471CBB"/>
    <w:rsid w:val="00473F31"/>
    <w:rsid w:val="00474218"/>
    <w:rsid w:val="004750E8"/>
    <w:rsid w:val="00476F1B"/>
    <w:rsid w:val="0047729B"/>
    <w:rsid w:val="0048263A"/>
    <w:rsid w:val="0048368B"/>
    <w:rsid w:val="0048372E"/>
    <w:rsid w:val="00483F46"/>
    <w:rsid w:val="00484CD3"/>
    <w:rsid w:val="004857E4"/>
    <w:rsid w:val="00486073"/>
    <w:rsid w:val="0048694C"/>
    <w:rsid w:val="00486E3E"/>
    <w:rsid w:val="00487E5D"/>
    <w:rsid w:val="00491181"/>
    <w:rsid w:val="00492070"/>
    <w:rsid w:val="004941B6"/>
    <w:rsid w:val="00497E59"/>
    <w:rsid w:val="004A2A48"/>
    <w:rsid w:val="004A4A66"/>
    <w:rsid w:val="004A4B01"/>
    <w:rsid w:val="004A5576"/>
    <w:rsid w:val="004A6B85"/>
    <w:rsid w:val="004A711F"/>
    <w:rsid w:val="004A7B2B"/>
    <w:rsid w:val="004B01AE"/>
    <w:rsid w:val="004B199D"/>
    <w:rsid w:val="004B2279"/>
    <w:rsid w:val="004B25B9"/>
    <w:rsid w:val="004B3F00"/>
    <w:rsid w:val="004B4690"/>
    <w:rsid w:val="004B7108"/>
    <w:rsid w:val="004B778F"/>
    <w:rsid w:val="004B785F"/>
    <w:rsid w:val="004C01B1"/>
    <w:rsid w:val="004C062D"/>
    <w:rsid w:val="004C4638"/>
    <w:rsid w:val="004C5745"/>
    <w:rsid w:val="004C5DBD"/>
    <w:rsid w:val="004C62FA"/>
    <w:rsid w:val="004C6FB9"/>
    <w:rsid w:val="004D1DC6"/>
    <w:rsid w:val="004D31FB"/>
    <w:rsid w:val="004D4BB1"/>
    <w:rsid w:val="004D4D6E"/>
    <w:rsid w:val="004D4DA3"/>
    <w:rsid w:val="004D798C"/>
    <w:rsid w:val="004D7AEF"/>
    <w:rsid w:val="004E028C"/>
    <w:rsid w:val="004E0815"/>
    <w:rsid w:val="004E0A2D"/>
    <w:rsid w:val="004E206B"/>
    <w:rsid w:val="004E3DEC"/>
    <w:rsid w:val="004E67E0"/>
    <w:rsid w:val="004E6DF7"/>
    <w:rsid w:val="004F0FBD"/>
    <w:rsid w:val="00501436"/>
    <w:rsid w:val="00501B3E"/>
    <w:rsid w:val="00502053"/>
    <w:rsid w:val="005020BB"/>
    <w:rsid w:val="00505843"/>
    <w:rsid w:val="00505A47"/>
    <w:rsid w:val="0050679E"/>
    <w:rsid w:val="0051166F"/>
    <w:rsid w:val="0051173A"/>
    <w:rsid w:val="00512FDA"/>
    <w:rsid w:val="00513ED7"/>
    <w:rsid w:val="0051467D"/>
    <w:rsid w:val="00520DA0"/>
    <w:rsid w:val="005225FC"/>
    <w:rsid w:val="00524AC4"/>
    <w:rsid w:val="0052729E"/>
    <w:rsid w:val="0052733D"/>
    <w:rsid w:val="00530E19"/>
    <w:rsid w:val="00530F71"/>
    <w:rsid w:val="005322EB"/>
    <w:rsid w:val="0053459C"/>
    <w:rsid w:val="005455A3"/>
    <w:rsid w:val="00550726"/>
    <w:rsid w:val="00550F95"/>
    <w:rsid w:val="0055106D"/>
    <w:rsid w:val="005559A4"/>
    <w:rsid w:val="0056304B"/>
    <w:rsid w:val="005651E3"/>
    <w:rsid w:val="00565D17"/>
    <w:rsid w:val="005664BB"/>
    <w:rsid w:val="00566C08"/>
    <w:rsid w:val="0056722F"/>
    <w:rsid w:val="00567B67"/>
    <w:rsid w:val="00570C62"/>
    <w:rsid w:val="00572EB1"/>
    <w:rsid w:val="00572EC9"/>
    <w:rsid w:val="00573576"/>
    <w:rsid w:val="0057481D"/>
    <w:rsid w:val="0057798B"/>
    <w:rsid w:val="00577A75"/>
    <w:rsid w:val="00577DF2"/>
    <w:rsid w:val="00580D35"/>
    <w:rsid w:val="0058486E"/>
    <w:rsid w:val="00584F2B"/>
    <w:rsid w:val="005935E9"/>
    <w:rsid w:val="005939BC"/>
    <w:rsid w:val="00593D4E"/>
    <w:rsid w:val="005975DB"/>
    <w:rsid w:val="00597919"/>
    <w:rsid w:val="005A0204"/>
    <w:rsid w:val="005A0CF8"/>
    <w:rsid w:val="005A324B"/>
    <w:rsid w:val="005B186A"/>
    <w:rsid w:val="005B553C"/>
    <w:rsid w:val="005B57DB"/>
    <w:rsid w:val="005B58F9"/>
    <w:rsid w:val="005B5ACB"/>
    <w:rsid w:val="005B76E6"/>
    <w:rsid w:val="005C0AF7"/>
    <w:rsid w:val="005C0B82"/>
    <w:rsid w:val="005C0D5C"/>
    <w:rsid w:val="005C4A4C"/>
    <w:rsid w:val="005C52C6"/>
    <w:rsid w:val="005C7204"/>
    <w:rsid w:val="005D1C8B"/>
    <w:rsid w:val="005D5CED"/>
    <w:rsid w:val="005D6054"/>
    <w:rsid w:val="005E1522"/>
    <w:rsid w:val="005E3365"/>
    <w:rsid w:val="005E5517"/>
    <w:rsid w:val="005E6AFB"/>
    <w:rsid w:val="005F0705"/>
    <w:rsid w:val="005F0C83"/>
    <w:rsid w:val="005F1A4C"/>
    <w:rsid w:val="005F1F76"/>
    <w:rsid w:val="005F2C70"/>
    <w:rsid w:val="005F32B6"/>
    <w:rsid w:val="005F4162"/>
    <w:rsid w:val="005F44C7"/>
    <w:rsid w:val="005F632F"/>
    <w:rsid w:val="00600946"/>
    <w:rsid w:val="006044AC"/>
    <w:rsid w:val="00604551"/>
    <w:rsid w:val="00605688"/>
    <w:rsid w:val="006070AF"/>
    <w:rsid w:val="00607816"/>
    <w:rsid w:val="00607E6C"/>
    <w:rsid w:val="006101B1"/>
    <w:rsid w:val="00611AD3"/>
    <w:rsid w:val="00612209"/>
    <w:rsid w:val="00614423"/>
    <w:rsid w:val="00614E44"/>
    <w:rsid w:val="006155B0"/>
    <w:rsid w:val="006205F4"/>
    <w:rsid w:val="00620717"/>
    <w:rsid w:val="00622830"/>
    <w:rsid w:val="006256DB"/>
    <w:rsid w:val="00630AEF"/>
    <w:rsid w:val="00630BB3"/>
    <w:rsid w:val="006325F8"/>
    <w:rsid w:val="00633AE4"/>
    <w:rsid w:val="006348B1"/>
    <w:rsid w:val="00634C9A"/>
    <w:rsid w:val="00635FC7"/>
    <w:rsid w:val="00636040"/>
    <w:rsid w:val="00642529"/>
    <w:rsid w:val="0064301E"/>
    <w:rsid w:val="00643322"/>
    <w:rsid w:val="00643C0A"/>
    <w:rsid w:val="006440E4"/>
    <w:rsid w:val="00645301"/>
    <w:rsid w:val="00645F78"/>
    <w:rsid w:val="0064753B"/>
    <w:rsid w:val="00650D36"/>
    <w:rsid w:val="00650F17"/>
    <w:rsid w:val="006511E7"/>
    <w:rsid w:val="0065182B"/>
    <w:rsid w:val="00660339"/>
    <w:rsid w:val="00660F57"/>
    <w:rsid w:val="00661830"/>
    <w:rsid w:val="0066343B"/>
    <w:rsid w:val="00663BDD"/>
    <w:rsid w:val="00664777"/>
    <w:rsid w:val="00664ED7"/>
    <w:rsid w:val="0066615D"/>
    <w:rsid w:val="00666366"/>
    <w:rsid w:val="0066748A"/>
    <w:rsid w:val="0067155A"/>
    <w:rsid w:val="00671D25"/>
    <w:rsid w:val="00672345"/>
    <w:rsid w:val="00673381"/>
    <w:rsid w:val="006740AB"/>
    <w:rsid w:val="00674446"/>
    <w:rsid w:val="006748A4"/>
    <w:rsid w:val="006757D8"/>
    <w:rsid w:val="00680EF7"/>
    <w:rsid w:val="00683E73"/>
    <w:rsid w:val="0068590F"/>
    <w:rsid w:val="00686CF0"/>
    <w:rsid w:val="00687CAC"/>
    <w:rsid w:val="00691D82"/>
    <w:rsid w:val="006931FE"/>
    <w:rsid w:val="006947FC"/>
    <w:rsid w:val="006950FD"/>
    <w:rsid w:val="00695AD3"/>
    <w:rsid w:val="00696ACE"/>
    <w:rsid w:val="006A01D3"/>
    <w:rsid w:val="006A04FE"/>
    <w:rsid w:val="006A0C2C"/>
    <w:rsid w:val="006A0C51"/>
    <w:rsid w:val="006A1E7E"/>
    <w:rsid w:val="006A2BCD"/>
    <w:rsid w:val="006A3141"/>
    <w:rsid w:val="006A5E34"/>
    <w:rsid w:val="006A64AA"/>
    <w:rsid w:val="006A75B7"/>
    <w:rsid w:val="006B0ABA"/>
    <w:rsid w:val="006B2422"/>
    <w:rsid w:val="006B2B9A"/>
    <w:rsid w:val="006B2E2F"/>
    <w:rsid w:val="006B471C"/>
    <w:rsid w:val="006B4C59"/>
    <w:rsid w:val="006B533E"/>
    <w:rsid w:val="006C04D7"/>
    <w:rsid w:val="006C1937"/>
    <w:rsid w:val="006C397F"/>
    <w:rsid w:val="006C6427"/>
    <w:rsid w:val="006C76DB"/>
    <w:rsid w:val="006D1F0B"/>
    <w:rsid w:val="006D42C6"/>
    <w:rsid w:val="006E0081"/>
    <w:rsid w:val="006E3700"/>
    <w:rsid w:val="006E6C66"/>
    <w:rsid w:val="006F020C"/>
    <w:rsid w:val="006F3DF7"/>
    <w:rsid w:val="006F7849"/>
    <w:rsid w:val="006F7CBD"/>
    <w:rsid w:val="0070094B"/>
    <w:rsid w:val="007040F2"/>
    <w:rsid w:val="00705B7C"/>
    <w:rsid w:val="00705E24"/>
    <w:rsid w:val="00707EEC"/>
    <w:rsid w:val="007115FE"/>
    <w:rsid w:val="007127B7"/>
    <w:rsid w:val="00713977"/>
    <w:rsid w:val="00714DBE"/>
    <w:rsid w:val="007220F2"/>
    <w:rsid w:val="007231D9"/>
    <w:rsid w:val="007244D2"/>
    <w:rsid w:val="00725B08"/>
    <w:rsid w:val="007355BA"/>
    <w:rsid w:val="0074019B"/>
    <w:rsid w:val="007403C2"/>
    <w:rsid w:val="007410FA"/>
    <w:rsid w:val="007416B6"/>
    <w:rsid w:val="007426C0"/>
    <w:rsid w:val="00746F48"/>
    <w:rsid w:val="0074730D"/>
    <w:rsid w:val="0075129E"/>
    <w:rsid w:val="00751951"/>
    <w:rsid w:val="00751EE9"/>
    <w:rsid w:val="007522D6"/>
    <w:rsid w:val="007525C3"/>
    <w:rsid w:val="007537B3"/>
    <w:rsid w:val="00753DC2"/>
    <w:rsid w:val="0075404D"/>
    <w:rsid w:val="0075503D"/>
    <w:rsid w:val="0076078E"/>
    <w:rsid w:val="00760D5E"/>
    <w:rsid w:val="0076182A"/>
    <w:rsid w:val="00763BC1"/>
    <w:rsid w:val="0076499D"/>
    <w:rsid w:val="007656DB"/>
    <w:rsid w:val="007676D8"/>
    <w:rsid w:val="00767A7D"/>
    <w:rsid w:val="00767B7E"/>
    <w:rsid w:val="00767BE6"/>
    <w:rsid w:val="00775A39"/>
    <w:rsid w:val="00776900"/>
    <w:rsid w:val="007770C3"/>
    <w:rsid w:val="00780AAA"/>
    <w:rsid w:val="00781060"/>
    <w:rsid w:val="0078143E"/>
    <w:rsid w:val="0078201F"/>
    <w:rsid w:val="007820E1"/>
    <w:rsid w:val="00784D24"/>
    <w:rsid w:val="00784D4C"/>
    <w:rsid w:val="00784E42"/>
    <w:rsid w:val="00785FBA"/>
    <w:rsid w:val="00786E4A"/>
    <w:rsid w:val="007875EB"/>
    <w:rsid w:val="00787E51"/>
    <w:rsid w:val="00792C26"/>
    <w:rsid w:val="0079426B"/>
    <w:rsid w:val="00794D8C"/>
    <w:rsid w:val="00794F74"/>
    <w:rsid w:val="0079655C"/>
    <w:rsid w:val="007A0619"/>
    <w:rsid w:val="007A762F"/>
    <w:rsid w:val="007B0CA2"/>
    <w:rsid w:val="007B5C15"/>
    <w:rsid w:val="007B6032"/>
    <w:rsid w:val="007B6B9B"/>
    <w:rsid w:val="007C014E"/>
    <w:rsid w:val="007C0C20"/>
    <w:rsid w:val="007C0E0A"/>
    <w:rsid w:val="007C2008"/>
    <w:rsid w:val="007C26C9"/>
    <w:rsid w:val="007C57E7"/>
    <w:rsid w:val="007C6362"/>
    <w:rsid w:val="007C70B5"/>
    <w:rsid w:val="007C72D0"/>
    <w:rsid w:val="007D028D"/>
    <w:rsid w:val="007D0AE2"/>
    <w:rsid w:val="007D0C80"/>
    <w:rsid w:val="007D312A"/>
    <w:rsid w:val="007D3F19"/>
    <w:rsid w:val="007D40BF"/>
    <w:rsid w:val="007D598F"/>
    <w:rsid w:val="007D7F29"/>
    <w:rsid w:val="007E0391"/>
    <w:rsid w:val="007E2118"/>
    <w:rsid w:val="007E23B0"/>
    <w:rsid w:val="007E30F0"/>
    <w:rsid w:val="007E4E9E"/>
    <w:rsid w:val="007E4F63"/>
    <w:rsid w:val="007E5C1C"/>
    <w:rsid w:val="007E6821"/>
    <w:rsid w:val="007E6A33"/>
    <w:rsid w:val="007E6D1B"/>
    <w:rsid w:val="007F0CD6"/>
    <w:rsid w:val="007F0EAA"/>
    <w:rsid w:val="007F1991"/>
    <w:rsid w:val="007F1E4C"/>
    <w:rsid w:val="007F2C2F"/>
    <w:rsid w:val="007F2D6D"/>
    <w:rsid w:val="007F55FC"/>
    <w:rsid w:val="007F5665"/>
    <w:rsid w:val="007F57B1"/>
    <w:rsid w:val="007F5B1E"/>
    <w:rsid w:val="007F703A"/>
    <w:rsid w:val="007F772D"/>
    <w:rsid w:val="007F78DE"/>
    <w:rsid w:val="00800112"/>
    <w:rsid w:val="0080112E"/>
    <w:rsid w:val="008014B3"/>
    <w:rsid w:val="008031B0"/>
    <w:rsid w:val="008068DA"/>
    <w:rsid w:val="00806B6F"/>
    <w:rsid w:val="00807797"/>
    <w:rsid w:val="0081195D"/>
    <w:rsid w:val="00811C29"/>
    <w:rsid w:val="00812255"/>
    <w:rsid w:val="00813AEF"/>
    <w:rsid w:val="00815AF8"/>
    <w:rsid w:val="008169F8"/>
    <w:rsid w:val="00820AF4"/>
    <w:rsid w:val="008212F9"/>
    <w:rsid w:val="008244FA"/>
    <w:rsid w:val="008248EC"/>
    <w:rsid w:val="00824C90"/>
    <w:rsid w:val="00824CEE"/>
    <w:rsid w:val="00824FBA"/>
    <w:rsid w:val="008253BB"/>
    <w:rsid w:val="008273C2"/>
    <w:rsid w:val="00830A33"/>
    <w:rsid w:val="00830F24"/>
    <w:rsid w:val="0083234B"/>
    <w:rsid w:val="00833D7A"/>
    <w:rsid w:val="008347A0"/>
    <w:rsid w:val="00835B31"/>
    <w:rsid w:val="00836025"/>
    <w:rsid w:val="0083706E"/>
    <w:rsid w:val="00840550"/>
    <w:rsid w:val="008423A5"/>
    <w:rsid w:val="00843431"/>
    <w:rsid w:val="00845501"/>
    <w:rsid w:val="008503A5"/>
    <w:rsid w:val="00850625"/>
    <w:rsid w:val="008511F3"/>
    <w:rsid w:val="00851894"/>
    <w:rsid w:val="0085265B"/>
    <w:rsid w:val="00852C5C"/>
    <w:rsid w:val="00853718"/>
    <w:rsid w:val="00855221"/>
    <w:rsid w:val="00855AF5"/>
    <w:rsid w:val="00855E16"/>
    <w:rsid w:val="00857B79"/>
    <w:rsid w:val="00860645"/>
    <w:rsid w:val="00860C44"/>
    <w:rsid w:val="0086131A"/>
    <w:rsid w:val="00862A9D"/>
    <w:rsid w:val="00863483"/>
    <w:rsid w:val="00863CF0"/>
    <w:rsid w:val="00863D72"/>
    <w:rsid w:val="00865F20"/>
    <w:rsid w:val="00867695"/>
    <w:rsid w:val="00870000"/>
    <w:rsid w:val="00870C33"/>
    <w:rsid w:val="00871F71"/>
    <w:rsid w:val="008722FB"/>
    <w:rsid w:val="00872F95"/>
    <w:rsid w:val="00873D8F"/>
    <w:rsid w:val="0087464B"/>
    <w:rsid w:val="00875814"/>
    <w:rsid w:val="0088122F"/>
    <w:rsid w:val="00885AF4"/>
    <w:rsid w:val="00886435"/>
    <w:rsid w:val="008875FA"/>
    <w:rsid w:val="00887A58"/>
    <w:rsid w:val="008918AA"/>
    <w:rsid w:val="008918C9"/>
    <w:rsid w:val="008939CD"/>
    <w:rsid w:val="00893E7C"/>
    <w:rsid w:val="00895862"/>
    <w:rsid w:val="00896814"/>
    <w:rsid w:val="00897199"/>
    <w:rsid w:val="008A04BB"/>
    <w:rsid w:val="008A6293"/>
    <w:rsid w:val="008A6BC0"/>
    <w:rsid w:val="008A7CE3"/>
    <w:rsid w:val="008B045D"/>
    <w:rsid w:val="008B2B26"/>
    <w:rsid w:val="008B5614"/>
    <w:rsid w:val="008B6287"/>
    <w:rsid w:val="008B69A5"/>
    <w:rsid w:val="008B768C"/>
    <w:rsid w:val="008B7992"/>
    <w:rsid w:val="008C1D33"/>
    <w:rsid w:val="008C33D9"/>
    <w:rsid w:val="008C4DB1"/>
    <w:rsid w:val="008C4EAF"/>
    <w:rsid w:val="008C5176"/>
    <w:rsid w:val="008C7FD0"/>
    <w:rsid w:val="008D06D5"/>
    <w:rsid w:val="008D08E5"/>
    <w:rsid w:val="008D2C92"/>
    <w:rsid w:val="008D2DE2"/>
    <w:rsid w:val="008D55A6"/>
    <w:rsid w:val="008E0EF3"/>
    <w:rsid w:val="008E1DC6"/>
    <w:rsid w:val="008E1DE7"/>
    <w:rsid w:val="008E2847"/>
    <w:rsid w:val="008E380B"/>
    <w:rsid w:val="008E707C"/>
    <w:rsid w:val="008E7651"/>
    <w:rsid w:val="008F24AB"/>
    <w:rsid w:val="00900B08"/>
    <w:rsid w:val="00901E1C"/>
    <w:rsid w:val="00902155"/>
    <w:rsid w:val="00902BCF"/>
    <w:rsid w:val="00902FA3"/>
    <w:rsid w:val="009109D0"/>
    <w:rsid w:val="00910FAA"/>
    <w:rsid w:val="00912DEB"/>
    <w:rsid w:val="00913706"/>
    <w:rsid w:val="00913A29"/>
    <w:rsid w:val="00915BE4"/>
    <w:rsid w:val="009205F5"/>
    <w:rsid w:val="009215C3"/>
    <w:rsid w:val="00923564"/>
    <w:rsid w:val="0092392E"/>
    <w:rsid w:val="00923F58"/>
    <w:rsid w:val="00924FB0"/>
    <w:rsid w:val="00930109"/>
    <w:rsid w:val="00930E8F"/>
    <w:rsid w:val="009315F9"/>
    <w:rsid w:val="009337F3"/>
    <w:rsid w:val="009339C3"/>
    <w:rsid w:val="00934AB8"/>
    <w:rsid w:val="00935D57"/>
    <w:rsid w:val="00936283"/>
    <w:rsid w:val="00940B88"/>
    <w:rsid w:val="00940F73"/>
    <w:rsid w:val="0094526A"/>
    <w:rsid w:val="00945399"/>
    <w:rsid w:val="00945492"/>
    <w:rsid w:val="00945EEC"/>
    <w:rsid w:val="009461EE"/>
    <w:rsid w:val="00946945"/>
    <w:rsid w:val="00947929"/>
    <w:rsid w:val="00947BF1"/>
    <w:rsid w:val="009500E2"/>
    <w:rsid w:val="00951248"/>
    <w:rsid w:val="0095152F"/>
    <w:rsid w:val="009534A8"/>
    <w:rsid w:val="009540C0"/>
    <w:rsid w:val="00954C49"/>
    <w:rsid w:val="00955EAD"/>
    <w:rsid w:val="0095708C"/>
    <w:rsid w:val="00957098"/>
    <w:rsid w:val="00960F20"/>
    <w:rsid w:val="009620B2"/>
    <w:rsid w:val="00962131"/>
    <w:rsid w:val="00962556"/>
    <w:rsid w:val="00964305"/>
    <w:rsid w:val="0096477D"/>
    <w:rsid w:val="00964EBA"/>
    <w:rsid w:val="0097099F"/>
    <w:rsid w:val="009710DA"/>
    <w:rsid w:val="00971997"/>
    <w:rsid w:val="00971FFC"/>
    <w:rsid w:val="00972A49"/>
    <w:rsid w:val="00973726"/>
    <w:rsid w:val="00974188"/>
    <w:rsid w:val="0098033F"/>
    <w:rsid w:val="00985645"/>
    <w:rsid w:val="0098595E"/>
    <w:rsid w:val="00985C49"/>
    <w:rsid w:val="0098660A"/>
    <w:rsid w:val="009869AA"/>
    <w:rsid w:val="009931C3"/>
    <w:rsid w:val="00995CE3"/>
    <w:rsid w:val="009B2C43"/>
    <w:rsid w:val="009B4EAE"/>
    <w:rsid w:val="009B6C92"/>
    <w:rsid w:val="009B7573"/>
    <w:rsid w:val="009C0EF0"/>
    <w:rsid w:val="009C1B2D"/>
    <w:rsid w:val="009C22F4"/>
    <w:rsid w:val="009C2AE3"/>
    <w:rsid w:val="009C2E98"/>
    <w:rsid w:val="009C5896"/>
    <w:rsid w:val="009C6399"/>
    <w:rsid w:val="009D3447"/>
    <w:rsid w:val="009D3AA6"/>
    <w:rsid w:val="009D4711"/>
    <w:rsid w:val="009D5BA9"/>
    <w:rsid w:val="009D5EF4"/>
    <w:rsid w:val="009E0018"/>
    <w:rsid w:val="009E2320"/>
    <w:rsid w:val="009E576A"/>
    <w:rsid w:val="009E7FBF"/>
    <w:rsid w:val="009F1185"/>
    <w:rsid w:val="009F178D"/>
    <w:rsid w:val="009F18CD"/>
    <w:rsid w:val="009F2021"/>
    <w:rsid w:val="009F2A13"/>
    <w:rsid w:val="009F4A42"/>
    <w:rsid w:val="009F4D78"/>
    <w:rsid w:val="009F6A87"/>
    <w:rsid w:val="009F6B63"/>
    <w:rsid w:val="009F6F4A"/>
    <w:rsid w:val="00A02DD4"/>
    <w:rsid w:val="00A04EB0"/>
    <w:rsid w:val="00A05E7E"/>
    <w:rsid w:val="00A06741"/>
    <w:rsid w:val="00A06EF8"/>
    <w:rsid w:val="00A07DE7"/>
    <w:rsid w:val="00A07E24"/>
    <w:rsid w:val="00A1247B"/>
    <w:rsid w:val="00A13443"/>
    <w:rsid w:val="00A13CC1"/>
    <w:rsid w:val="00A15286"/>
    <w:rsid w:val="00A1571F"/>
    <w:rsid w:val="00A1637E"/>
    <w:rsid w:val="00A16684"/>
    <w:rsid w:val="00A16847"/>
    <w:rsid w:val="00A1745F"/>
    <w:rsid w:val="00A2301F"/>
    <w:rsid w:val="00A237D8"/>
    <w:rsid w:val="00A25634"/>
    <w:rsid w:val="00A268C4"/>
    <w:rsid w:val="00A27771"/>
    <w:rsid w:val="00A300FE"/>
    <w:rsid w:val="00A307CD"/>
    <w:rsid w:val="00A3233A"/>
    <w:rsid w:val="00A35068"/>
    <w:rsid w:val="00A3556D"/>
    <w:rsid w:val="00A35870"/>
    <w:rsid w:val="00A35FE0"/>
    <w:rsid w:val="00A40A00"/>
    <w:rsid w:val="00A4142F"/>
    <w:rsid w:val="00A41D4A"/>
    <w:rsid w:val="00A43522"/>
    <w:rsid w:val="00A4622C"/>
    <w:rsid w:val="00A462AA"/>
    <w:rsid w:val="00A46A63"/>
    <w:rsid w:val="00A47A0F"/>
    <w:rsid w:val="00A50F96"/>
    <w:rsid w:val="00A514F8"/>
    <w:rsid w:val="00A52260"/>
    <w:rsid w:val="00A53A03"/>
    <w:rsid w:val="00A53D20"/>
    <w:rsid w:val="00A54687"/>
    <w:rsid w:val="00A54CE0"/>
    <w:rsid w:val="00A55073"/>
    <w:rsid w:val="00A55447"/>
    <w:rsid w:val="00A55ED8"/>
    <w:rsid w:val="00A56DF2"/>
    <w:rsid w:val="00A56E1B"/>
    <w:rsid w:val="00A57F63"/>
    <w:rsid w:val="00A61738"/>
    <w:rsid w:val="00A62ECF"/>
    <w:rsid w:val="00A63814"/>
    <w:rsid w:val="00A64138"/>
    <w:rsid w:val="00A64421"/>
    <w:rsid w:val="00A659FC"/>
    <w:rsid w:val="00A65DE6"/>
    <w:rsid w:val="00A67AB5"/>
    <w:rsid w:val="00A70317"/>
    <w:rsid w:val="00A72FA8"/>
    <w:rsid w:val="00A76B3A"/>
    <w:rsid w:val="00A77CB7"/>
    <w:rsid w:val="00A804D8"/>
    <w:rsid w:val="00A85003"/>
    <w:rsid w:val="00A85A0C"/>
    <w:rsid w:val="00A91460"/>
    <w:rsid w:val="00A91760"/>
    <w:rsid w:val="00A93902"/>
    <w:rsid w:val="00A93B00"/>
    <w:rsid w:val="00A93C21"/>
    <w:rsid w:val="00A94004"/>
    <w:rsid w:val="00A95D33"/>
    <w:rsid w:val="00A96D42"/>
    <w:rsid w:val="00AA1212"/>
    <w:rsid w:val="00AA14EC"/>
    <w:rsid w:val="00AA2E83"/>
    <w:rsid w:val="00AA6693"/>
    <w:rsid w:val="00AA6D23"/>
    <w:rsid w:val="00AA7B07"/>
    <w:rsid w:val="00AB1A65"/>
    <w:rsid w:val="00AB26EC"/>
    <w:rsid w:val="00AB2A36"/>
    <w:rsid w:val="00AB5E60"/>
    <w:rsid w:val="00AB5E86"/>
    <w:rsid w:val="00AB6DD7"/>
    <w:rsid w:val="00AC20D9"/>
    <w:rsid w:val="00AC3237"/>
    <w:rsid w:val="00AC3A9E"/>
    <w:rsid w:val="00AC3C6A"/>
    <w:rsid w:val="00AC40DA"/>
    <w:rsid w:val="00AC6A20"/>
    <w:rsid w:val="00AD013F"/>
    <w:rsid w:val="00AD1561"/>
    <w:rsid w:val="00AD1E04"/>
    <w:rsid w:val="00AD4E89"/>
    <w:rsid w:val="00AD5090"/>
    <w:rsid w:val="00AD55F4"/>
    <w:rsid w:val="00AD5620"/>
    <w:rsid w:val="00AD654C"/>
    <w:rsid w:val="00AD712A"/>
    <w:rsid w:val="00AD7C1B"/>
    <w:rsid w:val="00AE16BA"/>
    <w:rsid w:val="00AE1B18"/>
    <w:rsid w:val="00AE1EBE"/>
    <w:rsid w:val="00AE3F47"/>
    <w:rsid w:val="00AE5217"/>
    <w:rsid w:val="00AE57E5"/>
    <w:rsid w:val="00AE5ACD"/>
    <w:rsid w:val="00AE7003"/>
    <w:rsid w:val="00AE78D4"/>
    <w:rsid w:val="00AF334F"/>
    <w:rsid w:val="00AF567D"/>
    <w:rsid w:val="00B03C9D"/>
    <w:rsid w:val="00B03D45"/>
    <w:rsid w:val="00B03DEF"/>
    <w:rsid w:val="00B04041"/>
    <w:rsid w:val="00B046DB"/>
    <w:rsid w:val="00B059FA"/>
    <w:rsid w:val="00B060AE"/>
    <w:rsid w:val="00B06EEB"/>
    <w:rsid w:val="00B07376"/>
    <w:rsid w:val="00B10406"/>
    <w:rsid w:val="00B10517"/>
    <w:rsid w:val="00B1323D"/>
    <w:rsid w:val="00B1364D"/>
    <w:rsid w:val="00B13D51"/>
    <w:rsid w:val="00B13F34"/>
    <w:rsid w:val="00B14E76"/>
    <w:rsid w:val="00B15718"/>
    <w:rsid w:val="00B15757"/>
    <w:rsid w:val="00B161B8"/>
    <w:rsid w:val="00B2048C"/>
    <w:rsid w:val="00B22224"/>
    <w:rsid w:val="00B22E19"/>
    <w:rsid w:val="00B268D9"/>
    <w:rsid w:val="00B30B06"/>
    <w:rsid w:val="00B310B9"/>
    <w:rsid w:val="00B3183E"/>
    <w:rsid w:val="00B330FA"/>
    <w:rsid w:val="00B35211"/>
    <w:rsid w:val="00B35F3F"/>
    <w:rsid w:val="00B36CBB"/>
    <w:rsid w:val="00B370EB"/>
    <w:rsid w:val="00B40532"/>
    <w:rsid w:val="00B425E0"/>
    <w:rsid w:val="00B440AA"/>
    <w:rsid w:val="00B44B70"/>
    <w:rsid w:val="00B47B8F"/>
    <w:rsid w:val="00B50563"/>
    <w:rsid w:val="00B507B7"/>
    <w:rsid w:val="00B51BBE"/>
    <w:rsid w:val="00B53703"/>
    <w:rsid w:val="00B53C56"/>
    <w:rsid w:val="00B53E4F"/>
    <w:rsid w:val="00B54341"/>
    <w:rsid w:val="00B545A6"/>
    <w:rsid w:val="00B5556B"/>
    <w:rsid w:val="00B60A7E"/>
    <w:rsid w:val="00B6427E"/>
    <w:rsid w:val="00B67CE3"/>
    <w:rsid w:val="00B706F1"/>
    <w:rsid w:val="00B725E6"/>
    <w:rsid w:val="00B736DE"/>
    <w:rsid w:val="00B74FE7"/>
    <w:rsid w:val="00B753E0"/>
    <w:rsid w:val="00B7569F"/>
    <w:rsid w:val="00B75C09"/>
    <w:rsid w:val="00B76674"/>
    <w:rsid w:val="00B77EA6"/>
    <w:rsid w:val="00B80439"/>
    <w:rsid w:val="00B80BAB"/>
    <w:rsid w:val="00B81598"/>
    <w:rsid w:val="00B82F7D"/>
    <w:rsid w:val="00B839DA"/>
    <w:rsid w:val="00B83EE2"/>
    <w:rsid w:val="00B841F1"/>
    <w:rsid w:val="00B8480B"/>
    <w:rsid w:val="00B91D3E"/>
    <w:rsid w:val="00B92400"/>
    <w:rsid w:val="00B93AA8"/>
    <w:rsid w:val="00B944D6"/>
    <w:rsid w:val="00B96CD2"/>
    <w:rsid w:val="00BA054C"/>
    <w:rsid w:val="00BA0777"/>
    <w:rsid w:val="00BA0AED"/>
    <w:rsid w:val="00BA22CD"/>
    <w:rsid w:val="00BA3028"/>
    <w:rsid w:val="00BA3356"/>
    <w:rsid w:val="00BA49E7"/>
    <w:rsid w:val="00BA5298"/>
    <w:rsid w:val="00BB1990"/>
    <w:rsid w:val="00BB2D7E"/>
    <w:rsid w:val="00BB4C52"/>
    <w:rsid w:val="00BB4DF0"/>
    <w:rsid w:val="00BC0AE4"/>
    <w:rsid w:val="00BC1202"/>
    <w:rsid w:val="00BC1A97"/>
    <w:rsid w:val="00BC2731"/>
    <w:rsid w:val="00BC289F"/>
    <w:rsid w:val="00BC5361"/>
    <w:rsid w:val="00BC5460"/>
    <w:rsid w:val="00BC6B50"/>
    <w:rsid w:val="00BD0E25"/>
    <w:rsid w:val="00BD2458"/>
    <w:rsid w:val="00BD5121"/>
    <w:rsid w:val="00BD6D67"/>
    <w:rsid w:val="00BD6E57"/>
    <w:rsid w:val="00BE01DE"/>
    <w:rsid w:val="00BE218A"/>
    <w:rsid w:val="00BE39F0"/>
    <w:rsid w:val="00BE5FB5"/>
    <w:rsid w:val="00BE7259"/>
    <w:rsid w:val="00BF060C"/>
    <w:rsid w:val="00BF2962"/>
    <w:rsid w:val="00BF2E85"/>
    <w:rsid w:val="00BF5BD6"/>
    <w:rsid w:val="00BF6316"/>
    <w:rsid w:val="00BF718F"/>
    <w:rsid w:val="00C01DBE"/>
    <w:rsid w:val="00C03E31"/>
    <w:rsid w:val="00C05BAF"/>
    <w:rsid w:val="00C05CAD"/>
    <w:rsid w:val="00C05F29"/>
    <w:rsid w:val="00C06A2B"/>
    <w:rsid w:val="00C11626"/>
    <w:rsid w:val="00C137AD"/>
    <w:rsid w:val="00C13B26"/>
    <w:rsid w:val="00C1480D"/>
    <w:rsid w:val="00C1658B"/>
    <w:rsid w:val="00C23BFD"/>
    <w:rsid w:val="00C24603"/>
    <w:rsid w:val="00C259D0"/>
    <w:rsid w:val="00C30983"/>
    <w:rsid w:val="00C30D73"/>
    <w:rsid w:val="00C313B9"/>
    <w:rsid w:val="00C31B41"/>
    <w:rsid w:val="00C33276"/>
    <w:rsid w:val="00C33E72"/>
    <w:rsid w:val="00C3423D"/>
    <w:rsid w:val="00C342CE"/>
    <w:rsid w:val="00C34C84"/>
    <w:rsid w:val="00C34EED"/>
    <w:rsid w:val="00C354B2"/>
    <w:rsid w:val="00C35554"/>
    <w:rsid w:val="00C36831"/>
    <w:rsid w:val="00C4133E"/>
    <w:rsid w:val="00C41611"/>
    <w:rsid w:val="00C41EB1"/>
    <w:rsid w:val="00C426CE"/>
    <w:rsid w:val="00C42709"/>
    <w:rsid w:val="00C516E5"/>
    <w:rsid w:val="00C5216D"/>
    <w:rsid w:val="00C533CC"/>
    <w:rsid w:val="00C54531"/>
    <w:rsid w:val="00C5751C"/>
    <w:rsid w:val="00C61BFC"/>
    <w:rsid w:val="00C62B85"/>
    <w:rsid w:val="00C634C6"/>
    <w:rsid w:val="00C63DE6"/>
    <w:rsid w:val="00C65438"/>
    <w:rsid w:val="00C65FA1"/>
    <w:rsid w:val="00C663B4"/>
    <w:rsid w:val="00C66789"/>
    <w:rsid w:val="00C677E0"/>
    <w:rsid w:val="00C71C3C"/>
    <w:rsid w:val="00C73C9E"/>
    <w:rsid w:val="00C77033"/>
    <w:rsid w:val="00C77575"/>
    <w:rsid w:val="00C77955"/>
    <w:rsid w:val="00C77D11"/>
    <w:rsid w:val="00C80BE1"/>
    <w:rsid w:val="00C80E5E"/>
    <w:rsid w:val="00C87773"/>
    <w:rsid w:val="00C91BEF"/>
    <w:rsid w:val="00C91CBB"/>
    <w:rsid w:val="00C94460"/>
    <w:rsid w:val="00C94755"/>
    <w:rsid w:val="00C9494C"/>
    <w:rsid w:val="00C976D8"/>
    <w:rsid w:val="00C9779E"/>
    <w:rsid w:val="00CA1D7E"/>
    <w:rsid w:val="00CA4889"/>
    <w:rsid w:val="00CA6417"/>
    <w:rsid w:val="00CA7A47"/>
    <w:rsid w:val="00CA7CBE"/>
    <w:rsid w:val="00CB2258"/>
    <w:rsid w:val="00CB37D6"/>
    <w:rsid w:val="00CB5AA7"/>
    <w:rsid w:val="00CC09B6"/>
    <w:rsid w:val="00CC2ECC"/>
    <w:rsid w:val="00CC42AE"/>
    <w:rsid w:val="00CC5828"/>
    <w:rsid w:val="00CC666F"/>
    <w:rsid w:val="00CD0159"/>
    <w:rsid w:val="00CD1E3F"/>
    <w:rsid w:val="00CD2CD4"/>
    <w:rsid w:val="00CD2F8E"/>
    <w:rsid w:val="00CD33CA"/>
    <w:rsid w:val="00CD41F7"/>
    <w:rsid w:val="00CD7039"/>
    <w:rsid w:val="00CE07D1"/>
    <w:rsid w:val="00CE10F5"/>
    <w:rsid w:val="00CE245D"/>
    <w:rsid w:val="00CE298B"/>
    <w:rsid w:val="00CE41E9"/>
    <w:rsid w:val="00CE4476"/>
    <w:rsid w:val="00CE44F6"/>
    <w:rsid w:val="00CE49DA"/>
    <w:rsid w:val="00CE6166"/>
    <w:rsid w:val="00CE7B61"/>
    <w:rsid w:val="00CF0C95"/>
    <w:rsid w:val="00CF303D"/>
    <w:rsid w:val="00CF32A8"/>
    <w:rsid w:val="00CF47D0"/>
    <w:rsid w:val="00CF537A"/>
    <w:rsid w:val="00CF5A38"/>
    <w:rsid w:val="00D00095"/>
    <w:rsid w:val="00D007A3"/>
    <w:rsid w:val="00D00CD9"/>
    <w:rsid w:val="00D01872"/>
    <w:rsid w:val="00D01D1C"/>
    <w:rsid w:val="00D03F76"/>
    <w:rsid w:val="00D07457"/>
    <w:rsid w:val="00D120DF"/>
    <w:rsid w:val="00D12260"/>
    <w:rsid w:val="00D14981"/>
    <w:rsid w:val="00D17582"/>
    <w:rsid w:val="00D20620"/>
    <w:rsid w:val="00D21AB8"/>
    <w:rsid w:val="00D21B96"/>
    <w:rsid w:val="00D21FCA"/>
    <w:rsid w:val="00D23CC1"/>
    <w:rsid w:val="00D253CD"/>
    <w:rsid w:val="00D26091"/>
    <w:rsid w:val="00D26765"/>
    <w:rsid w:val="00D30031"/>
    <w:rsid w:val="00D33950"/>
    <w:rsid w:val="00D34E7C"/>
    <w:rsid w:val="00D35489"/>
    <w:rsid w:val="00D41FB4"/>
    <w:rsid w:val="00D42D3C"/>
    <w:rsid w:val="00D43BB3"/>
    <w:rsid w:val="00D4531F"/>
    <w:rsid w:val="00D5056E"/>
    <w:rsid w:val="00D51276"/>
    <w:rsid w:val="00D577F9"/>
    <w:rsid w:val="00D6086D"/>
    <w:rsid w:val="00D60B63"/>
    <w:rsid w:val="00D6672E"/>
    <w:rsid w:val="00D66F3E"/>
    <w:rsid w:val="00D67949"/>
    <w:rsid w:val="00D70080"/>
    <w:rsid w:val="00D7035F"/>
    <w:rsid w:val="00D70D9E"/>
    <w:rsid w:val="00D7255A"/>
    <w:rsid w:val="00D729A5"/>
    <w:rsid w:val="00D7311E"/>
    <w:rsid w:val="00D74434"/>
    <w:rsid w:val="00D74948"/>
    <w:rsid w:val="00D75E52"/>
    <w:rsid w:val="00D769DB"/>
    <w:rsid w:val="00D8058B"/>
    <w:rsid w:val="00D811F1"/>
    <w:rsid w:val="00D81CF0"/>
    <w:rsid w:val="00D86259"/>
    <w:rsid w:val="00D87885"/>
    <w:rsid w:val="00D9128F"/>
    <w:rsid w:val="00D938FB"/>
    <w:rsid w:val="00D95A81"/>
    <w:rsid w:val="00DA2414"/>
    <w:rsid w:val="00DA2E7B"/>
    <w:rsid w:val="00DA376F"/>
    <w:rsid w:val="00DA4CF4"/>
    <w:rsid w:val="00DA517E"/>
    <w:rsid w:val="00DA64CE"/>
    <w:rsid w:val="00DA65AC"/>
    <w:rsid w:val="00DA73F4"/>
    <w:rsid w:val="00DB1913"/>
    <w:rsid w:val="00DB23A2"/>
    <w:rsid w:val="00DB31AE"/>
    <w:rsid w:val="00DB469B"/>
    <w:rsid w:val="00DB6217"/>
    <w:rsid w:val="00DB6D81"/>
    <w:rsid w:val="00DB7682"/>
    <w:rsid w:val="00DB774B"/>
    <w:rsid w:val="00DB7B27"/>
    <w:rsid w:val="00DB7ED3"/>
    <w:rsid w:val="00DC1D19"/>
    <w:rsid w:val="00DC29F0"/>
    <w:rsid w:val="00DC410D"/>
    <w:rsid w:val="00DC482F"/>
    <w:rsid w:val="00DC4E3B"/>
    <w:rsid w:val="00DC53AB"/>
    <w:rsid w:val="00DC68CA"/>
    <w:rsid w:val="00DC7CBA"/>
    <w:rsid w:val="00DD0F4D"/>
    <w:rsid w:val="00DD109B"/>
    <w:rsid w:val="00DD2D64"/>
    <w:rsid w:val="00DD73B7"/>
    <w:rsid w:val="00DE28E8"/>
    <w:rsid w:val="00DE57ED"/>
    <w:rsid w:val="00DE6D3D"/>
    <w:rsid w:val="00DF0369"/>
    <w:rsid w:val="00DF256A"/>
    <w:rsid w:val="00DF28BC"/>
    <w:rsid w:val="00DF2BBE"/>
    <w:rsid w:val="00DF34B9"/>
    <w:rsid w:val="00DF36DA"/>
    <w:rsid w:val="00DF4EE4"/>
    <w:rsid w:val="00DF69F2"/>
    <w:rsid w:val="00E00C0C"/>
    <w:rsid w:val="00E01053"/>
    <w:rsid w:val="00E032C4"/>
    <w:rsid w:val="00E03AB5"/>
    <w:rsid w:val="00E04FF6"/>
    <w:rsid w:val="00E07ACF"/>
    <w:rsid w:val="00E07C49"/>
    <w:rsid w:val="00E1142E"/>
    <w:rsid w:val="00E11EA9"/>
    <w:rsid w:val="00E13C23"/>
    <w:rsid w:val="00E17451"/>
    <w:rsid w:val="00E176E0"/>
    <w:rsid w:val="00E20F23"/>
    <w:rsid w:val="00E21189"/>
    <w:rsid w:val="00E22344"/>
    <w:rsid w:val="00E22D73"/>
    <w:rsid w:val="00E24A28"/>
    <w:rsid w:val="00E2598A"/>
    <w:rsid w:val="00E26D43"/>
    <w:rsid w:val="00E2719A"/>
    <w:rsid w:val="00E331A1"/>
    <w:rsid w:val="00E33202"/>
    <w:rsid w:val="00E336A9"/>
    <w:rsid w:val="00E339F9"/>
    <w:rsid w:val="00E34D61"/>
    <w:rsid w:val="00E352AD"/>
    <w:rsid w:val="00E35DF9"/>
    <w:rsid w:val="00E36162"/>
    <w:rsid w:val="00E4020E"/>
    <w:rsid w:val="00E41572"/>
    <w:rsid w:val="00E42E24"/>
    <w:rsid w:val="00E4326C"/>
    <w:rsid w:val="00E43716"/>
    <w:rsid w:val="00E43E83"/>
    <w:rsid w:val="00E4418C"/>
    <w:rsid w:val="00E442E7"/>
    <w:rsid w:val="00E47FEC"/>
    <w:rsid w:val="00E50624"/>
    <w:rsid w:val="00E50EC1"/>
    <w:rsid w:val="00E559C8"/>
    <w:rsid w:val="00E559F4"/>
    <w:rsid w:val="00E568DF"/>
    <w:rsid w:val="00E6091E"/>
    <w:rsid w:val="00E63E1C"/>
    <w:rsid w:val="00E64269"/>
    <w:rsid w:val="00E648BF"/>
    <w:rsid w:val="00E67B9B"/>
    <w:rsid w:val="00E70395"/>
    <w:rsid w:val="00E71182"/>
    <w:rsid w:val="00E7180C"/>
    <w:rsid w:val="00E71EE8"/>
    <w:rsid w:val="00E759C7"/>
    <w:rsid w:val="00E778AF"/>
    <w:rsid w:val="00E82267"/>
    <w:rsid w:val="00E82D19"/>
    <w:rsid w:val="00E8382C"/>
    <w:rsid w:val="00E84714"/>
    <w:rsid w:val="00E879E6"/>
    <w:rsid w:val="00E9375F"/>
    <w:rsid w:val="00E938AA"/>
    <w:rsid w:val="00E95293"/>
    <w:rsid w:val="00E95984"/>
    <w:rsid w:val="00E96D03"/>
    <w:rsid w:val="00EA010F"/>
    <w:rsid w:val="00EA039B"/>
    <w:rsid w:val="00EA2455"/>
    <w:rsid w:val="00EA262D"/>
    <w:rsid w:val="00EA4AA3"/>
    <w:rsid w:val="00EA4BCA"/>
    <w:rsid w:val="00EA545A"/>
    <w:rsid w:val="00EA5E4F"/>
    <w:rsid w:val="00EB2461"/>
    <w:rsid w:val="00EC1C2C"/>
    <w:rsid w:val="00EC25B6"/>
    <w:rsid w:val="00EC38BD"/>
    <w:rsid w:val="00EC3F04"/>
    <w:rsid w:val="00ED1B63"/>
    <w:rsid w:val="00ED29E6"/>
    <w:rsid w:val="00ED29EA"/>
    <w:rsid w:val="00ED360C"/>
    <w:rsid w:val="00ED3C1F"/>
    <w:rsid w:val="00ED4085"/>
    <w:rsid w:val="00ED420E"/>
    <w:rsid w:val="00ED6AD8"/>
    <w:rsid w:val="00ED71DF"/>
    <w:rsid w:val="00EE0963"/>
    <w:rsid w:val="00EE1FC9"/>
    <w:rsid w:val="00EE24E3"/>
    <w:rsid w:val="00EE2F57"/>
    <w:rsid w:val="00EE6332"/>
    <w:rsid w:val="00EF132A"/>
    <w:rsid w:val="00EF4C34"/>
    <w:rsid w:val="00EF5291"/>
    <w:rsid w:val="00EF64E8"/>
    <w:rsid w:val="00EF659B"/>
    <w:rsid w:val="00EF77C6"/>
    <w:rsid w:val="00EF7BDE"/>
    <w:rsid w:val="00EF7CA7"/>
    <w:rsid w:val="00F022B4"/>
    <w:rsid w:val="00F0292C"/>
    <w:rsid w:val="00F05438"/>
    <w:rsid w:val="00F0746A"/>
    <w:rsid w:val="00F110A1"/>
    <w:rsid w:val="00F113D8"/>
    <w:rsid w:val="00F118C3"/>
    <w:rsid w:val="00F1361C"/>
    <w:rsid w:val="00F14902"/>
    <w:rsid w:val="00F160C7"/>
    <w:rsid w:val="00F16FDE"/>
    <w:rsid w:val="00F20320"/>
    <w:rsid w:val="00F20532"/>
    <w:rsid w:val="00F21001"/>
    <w:rsid w:val="00F228F9"/>
    <w:rsid w:val="00F248A8"/>
    <w:rsid w:val="00F24E3F"/>
    <w:rsid w:val="00F26D60"/>
    <w:rsid w:val="00F30138"/>
    <w:rsid w:val="00F301B6"/>
    <w:rsid w:val="00F31EA1"/>
    <w:rsid w:val="00F3294D"/>
    <w:rsid w:val="00F354A9"/>
    <w:rsid w:val="00F36D8F"/>
    <w:rsid w:val="00F3744E"/>
    <w:rsid w:val="00F40698"/>
    <w:rsid w:val="00F406E9"/>
    <w:rsid w:val="00F417B1"/>
    <w:rsid w:val="00F460AB"/>
    <w:rsid w:val="00F50AC5"/>
    <w:rsid w:val="00F53E68"/>
    <w:rsid w:val="00F5454E"/>
    <w:rsid w:val="00F559FA"/>
    <w:rsid w:val="00F57903"/>
    <w:rsid w:val="00F602DF"/>
    <w:rsid w:val="00F6390A"/>
    <w:rsid w:val="00F6529E"/>
    <w:rsid w:val="00F6641D"/>
    <w:rsid w:val="00F75CC0"/>
    <w:rsid w:val="00F75CCC"/>
    <w:rsid w:val="00F75F9D"/>
    <w:rsid w:val="00F81FD9"/>
    <w:rsid w:val="00F82490"/>
    <w:rsid w:val="00F8281D"/>
    <w:rsid w:val="00F835D4"/>
    <w:rsid w:val="00F841AA"/>
    <w:rsid w:val="00F845B5"/>
    <w:rsid w:val="00F86932"/>
    <w:rsid w:val="00F875DB"/>
    <w:rsid w:val="00F87E73"/>
    <w:rsid w:val="00F905A4"/>
    <w:rsid w:val="00F92C70"/>
    <w:rsid w:val="00F93633"/>
    <w:rsid w:val="00F93DF5"/>
    <w:rsid w:val="00FA0947"/>
    <w:rsid w:val="00FA23E8"/>
    <w:rsid w:val="00FA2F5B"/>
    <w:rsid w:val="00FA4421"/>
    <w:rsid w:val="00FA4B00"/>
    <w:rsid w:val="00FA525F"/>
    <w:rsid w:val="00FA77AD"/>
    <w:rsid w:val="00FB0BBA"/>
    <w:rsid w:val="00FB1FF4"/>
    <w:rsid w:val="00FB55E6"/>
    <w:rsid w:val="00FC124C"/>
    <w:rsid w:val="00FC1E02"/>
    <w:rsid w:val="00FC3048"/>
    <w:rsid w:val="00FC4660"/>
    <w:rsid w:val="00FC46BC"/>
    <w:rsid w:val="00FC7DEF"/>
    <w:rsid w:val="00FD020D"/>
    <w:rsid w:val="00FD3016"/>
    <w:rsid w:val="00FD3828"/>
    <w:rsid w:val="00FD3CC1"/>
    <w:rsid w:val="00FD5BFE"/>
    <w:rsid w:val="00FE17BC"/>
    <w:rsid w:val="00FE2AD1"/>
    <w:rsid w:val="00FE4DB0"/>
    <w:rsid w:val="00FE5493"/>
    <w:rsid w:val="00FE625C"/>
    <w:rsid w:val="00FF1E02"/>
    <w:rsid w:val="00FF30B4"/>
    <w:rsid w:val="00FF66E8"/>
    <w:rsid w:val="014E73FB"/>
    <w:rsid w:val="01CF32DE"/>
    <w:rsid w:val="01D74DB7"/>
    <w:rsid w:val="01D86637"/>
    <w:rsid w:val="01F04616"/>
    <w:rsid w:val="03F359AA"/>
    <w:rsid w:val="0463543B"/>
    <w:rsid w:val="04A56E6E"/>
    <w:rsid w:val="051A6F96"/>
    <w:rsid w:val="06951176"/>
    <w:rsid w:val="07001BE1"/>
    <w:rsid w:val="07267DE7"/>
    <w:rsid w:val="089C4B49"/>
    <w:rsid w:val="09081517"/>
    <w:rsid w:val="091B747D"/>
    <w:rsid w:val="0A19737C"/>
    <w:rsid w:val="0B7218AA"/>
    <w:rsid w:val="0B99373B"/>
    <w:rsid w:val="0BA37CB5"/>
    <w:rsid w:val="0BCB2779"/>
    <w:rsid w:val="0D0429D6"/>
    <w:rsid w:val="0D093B48"/>
    <w:rsid w:val="0D322E51"/>
    <w:rsid w:val="0D6C338E"/>
    <w:rsid w:val="0DB37F58"/>
    <w:rsid w:val="0F5E6610"/>
    <w:rsid w:val="10C055FF"/>
    <w:rsid w:val="110F7602"/>
    <w:rsid w:val="11D56DF6"/>
    <w:rsid w:val="11ED6591"/>
    <w:rsid w:val="11FE09DA"/>
    <w:rsid w:val="13367661"/>
    <w:rsid w:val="13A10F7E"/>
    <w:rsid w:val="1548603E"/>
    <w:rsid w:val="16BB723D"/>
    <w:rsid w:val="17BC7656"/>
    <w:rsid w:val="17EA348C"/>
    <w:rsid w:val="1840212F"/>
    <w:rsid w:val="184656CF"/>
    <w:rsid w:val="19943114"/>
    <w:rsid w:val="1AB026BC"/>
    <w:rsid w:val="1ABB32B6"/>
    <w:rsid w:val="1BF70747"/>
    <w:rsid w:val="1C06153F"/>
    <w:rsid w:val="1C756A5A"/>
    <w:rsid w:val="1C986C96"/>
    <w:rsid w:val="1CC67594"/>
    <w:rsid w:val="1D7371C3"/>
    <w:rsid w:val="1DDC2BB3"/>
    <w:rsid w:val="1E34479D"/>
    <w:rsid w:val="1EF81F78"/>
    <w:rsid w:val="1F620905"/>
    <w:rsid w:val="201A6AB0"/>
    <w:rsid w:val="203B66A0"/>
    <w:rsid w:val="211A679A"/>
    <w:rsid w:val="21752AA9"/>
    <w:rsid w:val="23902475"/>
    <w:rsid w:val="240371BF"/>
    <w:rsid w:val="2435534E"/>
    <w:rsid w:val="24534F10"/>
    <w:rsid w:val="24DF6C66"/>
    <w:rsid w:val="253D03DB"/>
    <w:rsid w:val="25A20B86"/>
    <w:rsid w:val="25B1070F"/>
    <w:rsid w:val="25DD571A"/>
    <w:rsid w:val="265C1D1F"/>
    <w:rsid w:val="26BB36DB"/>
    <w:rsid w:val="271C5A93"/>
    <w:rsid w:val="276F1834"/>
    <w:rsid w:val="27B459F9"/>
    <w:rsid w:val="27C51E91"/>
    <w:rsid w:val="28513369"/>
    <w:rsid w:val="28BF6D42"/>
    <w:rsid w:val="296C7E72"/>
    <w:rsid w:val="29FD04D3"/>
    <w:rsid w:val="2CAE1BBE"/>
    <w:rsid w:val="2CCF04B2"/>
    <w:rsid w:val="2E4C04E0"/>
    <w:rsid w:val="2F803D16"/>
    <w:rsid w:val="31810DA9"/>
    <w:rsid w:val="31903F88"/>
    <w:rsid w:val="319F7F4E"/>
    <w:rsid w:val="323A1C2F"/>
    <w:rsid w:val="329448A6"/>
    <w:rsid w:val="32F45598"/>
    <w:rsid w:val="35244754"/>
    <w:rsid w:val="35547036"/>
    <w:rsid w:val="364D41F6"/>
    <w:rsid w:val="36FD0156"/>
    <w:rsid w:val="38F8371D"/>
    <w:rsid w:val="39226F5F"/>
    <w:rsid w:val="39902098"/>
    <w:rsid w:val="3A120E44"/>
    <w:rsid w:val="3A3A0F35"/>
    <w:rsid w:val="3A4E1148"/>
    <w:rsid w:val="3AB23B0F"/>
    <w:rsid w:val="3C8D2F9D"/>
    <w:rsid w:val="3CE0510E"/>
    <w:rsid w:val="3D1927CA"/>
    <w:rsid w:val="3D1E4B3E"/>
    <w:rsid w:val="3D8344ED"/>
    <w:rsid w:val="3E03620E"/>
    <w:rsid w:val="3E343C22"/>
    <w:rsid w:val="3F512FA9"/>
    <w:rsid w:val="3FAC4683"/>
    <w:rsid w:val="3FEA5DFB"/>
    <w:rsid w:val="401C35B7"/>
    <w:rsid w:val="4119235A"/>
    <w:rsid w:val="41677310"/>
    <w:rsid w:val="422C2C46"/>
    <w:rsid w:val="4251506E"/>
    <w:rsid w:val="42A3477C"/>
    <w:rsid w:val="42E33BAB"/>
    <w:rsid w:val="43684120"/>
    <w:rsid w:val="444F07DA"/>
    <w:rsid w:val="44601E28"/>
    <w:rsid w:val="46D931B3"/>
    <w:rsid w:val="475E72DC"/>
    <w:rsid w:val="47F514AF"/>
    <w:rsid w:val="4839282C"/>
    <w:rsid w:val="487144D7"/>
    <w:rsid w:val="48FD75BD"/>
    <w:rsid w:val="4A745623"/>
    <w:rsid w:val="4D135D42"/>
    <w:rsid w:val="4D1D7734"/>
    <w:rsid w:val="4D846266"/>
    <w:rsid w:val="4D8D78A2"/>
    <w:rsid w:val="4DF123A8"/>
    <w:rsid w:val="4E832A53"/>
    <w:rsid w:val="4F6F7A34"/>
    <w:rsid w:val="4FD74194"/>
    <w:rsid w:val="4FDA49F5"/>
    <w:rsid w:val="50772EA8"/>
    <w:rsid w:val="50AE413E"/>
    <w:rsid w:val="51E1640E"/>
    <w:rsid w:val="51EE42CA"/>
    <w:rsid w:val="52302EF2"/>
    <w:rsid w:val="52ED6284"/>
    <w:rsid w:val="5322283B"/>
    <w:rsid w:val="532B0C13"/>
    <w:rsid w:val="533E0A2A"/>
    <w:rsid w:val="53A60E02"/>
    <w:rsid w:val="53BE2B80"/>
    <w:rsid w:val="541505F1"/>
    <w:rsid w:val="54992FD0"/>
    <w:rsid w:val="55872E29"/>
    <w:rsid w:val="56D0674C"/>
    <w:rsid w:val="58BA52C3"/>
    <w:rsid w:val="59E11CD3"/>
    <w:rsid w:val="5ACD39D4"/>
    <w:rsid w:val="5BE202EA"/>
    <w:rsid w:val="5CFA7F1D"/>
    <w:rsid w:val="5D4E5909"/>
    <w:rsid w:val="5E2506F8"/>
    <w:rsid w:val="5EA316D6"/>
    <w:rsid w:val="5F3A07D2"/>
    <w:rsid w:val="5F593A88"/>
    <w:rsid w:val="60651EAC"/>
    <w:rsid w:val="60BB3927"/>
    <w:rsid w:val="62A42EE2"/>
    <w:rsid w:val="630D013F"/>
    <w:rsid w:val="63347FC4"/>
    <w:rsid w:val="63604CB9"/>
    <w:rsid w:val="64A36D0B"/>
    <w:rsid w:val="64C656C1"/>
    <w:rsid w:val="65DF63C9"/>
    <w:rsid w:val="662A7F2C"/>
    <w:rsid w:val="68DA2DB6"/>
    <w:rsid w:val="69725134"/>
    <w:rsid w:val="6B4666B6"/>
    <w:rsid w:val="6CC85DA9"/>
    <w:rsid w:val="6D8F2D6B"/>
    <w:rsid w:val="6DC31436"/>
    <w:rsid w:val="6ECB49CF"/>
    <w:rsid w:val="6ECB5A2B"/>
    <w:rsid w:val="6FC525E8"/>
    <w:rsid w:val="70202A42"/>
    <w:rsid w:val="72227D09"/>
    <w:rsid w:val="72E476B5"/>
    <w:rsid w:val="73BE3A62"/>
    <w:rsid w:val="746C7E4B"/>
    <w:rsid w:val="750E6C6B"/>
    <w:rsid w:val="751228D6"/>
    <w:rsid w:val="755E374E"/>
    <w:rsid w:val="76377F56"/>
    <w:rsid w:val="764B35A7"/>
    <w:rsid w:val="78A4106B"/>
    <w:rsid w:val="79975481"/>
    <w:rsid w:val="79F60BE5"/>
    <w:rsid w:val="7A1B4027"/>
    <w:rsid w:val="7A965738"/>
    <w:rsid w:val="7ABC1C9C"/>
    <w:rsid w:val="7B022DCE"/>
    <w:rsid w:val="7B272834"/>
    <w:rsid w:val="7B8F71DF"/>
    <w:rsid w:val="7C9C442D"/>
    <w:rsid w:val="7CB2612E"/>
    <w:rsid w:val="7CC25607"/>
    <w:rsid w:val="7DE859ED"/>
    <w:rsid w:val="7E4C610E"/>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qFormat="1"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0"/>
      <w:szCs w:val="24"/>
      <w:lang w:val="en-US" w:eastAsia="zh-CN" w:bidi="ar-SA"/>
    </w:rPr>
  </w:style>
  <w:style w:type="paragraph" w:styleId="3">
    <w:name w:val="heading 1"/>
    <w:basedOn w:val="1"/>
    <w:next w:val="1"/>
    <w:link w:val="32"/>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3"/>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9"/>
    <w:unhideWhenUsed/>
    <w:qFormat/>
    <w:uiPriority w:val="9"/>
    <w:pPr>
      <w:keepNext/>
      <w:keepLines/>
      <w:spacing w:before="260" w:after="260" w:line="416" w:lineRule="auto"/>
      <w:outlineLvl w:val="2"/>
    </w:pPr>
    <w:rPr>
      <w:b/>
      <w:bCs/>
      <w:sz w:val="32"/>
      <w:szCs w:val="32"/>
    </w:rPr>
  </w:style>
  <w:style w:type="character" w:default="1" w:styleId="20">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38"/>
    <w:qFormat/>
    <w:uiPriority w:val="99"/>
    <w:pPr>
      <w:spacing w:beforeLines="30"/>
    </w:pPr>
    <w:rPr>
      <w:rFonts w:ascii="仿宋_GB2312" w:eastAsia="仿宋_GB2312"/>
      <w:kern w:val="0"/>
      <w:sz w:val="30"/>
    </w:rPr>
  </w:style>
  <w:style w:type="paragraph" w:styleId="6">
    <w:name w:val="Normal Indent"/>
    <w:basedOn w:val="1"/>
    <w:unhideWhenUsed/>
    <w:qFormat/>
    <w:uiPriority w:val="99"/>
    <w:pPr>
      <w:ind w:firstLine="680"/>
    </w:pPr>
  </w:style>
  <w:style w:type="paragraph" w:styleId="7">
    <w:name w:val="annotation text"/>
    <w:basedOn w:val="1"/>
    <w:link w:val="37"/>
    <w:semiHidden/>
    <w:unhideWhenUsed/>
    <w:qFormat/>
    <w:uiPriority w:val="99"/>
    <w:pPr>
      <w:jc w:val="left"/>
    </w:pPr>
  </w:style>
  <w:style w:type="paragraph" w:styleId="8">
    <w:name w:val="Body Text Indent"/>
    <w:basedOn w:val="1"/>
    <w:qFormat/>
    <w:uiPriority w:val="0"/>
    <w:pPr>
      <w:spacing w:line="240" w:lineRule="atLeast"/>
      <w:ind w:firstLine="570"/>
    </w:pPr>
    <w:rPr>
      <w:rFonts w:ascii="宋体"/>
      <w:sz w:val="28"/>
    </w:rPr>
  </w:style>
  <w:style w:type="paragraph" w:styleId="9">
    <w:name w:val="toc 3"/>
    <w:basedOn w:val="1"/>
    <w:next w:val="1"/>
    <w:unhideWhenUsed/>
    <w:qFormat/>
    <w:uiPriority w:val="39"/>
    <w:pPr>
      <w:tabs>
        <w:tab w:val="right" w:leader="dot" w:pos="8296"/>
      </w:tabs>
      <w:ind w:left="840" w:leftChars="400"/>
    </w:pPr>
  </w:style>
  <w:style w:type="paragraph" w:styleId="10">
    <w:name w:val="Plain Text"/>
    <w:basedOn w:val="1"/>
    <w:qFormat/>
    <w:uiPriority w:val="0"/>
    <w:rPr>
      <w:rFonts w:ascii="宋体" w:hAnsi="Courier New"/>
    </w:rPr>
  </w:style>
  <w:style w:type="paragraph" w:styleId="11">
    <w:name w:val="Balloon Text"/>
    <w:basedOn w:val="1"/>
    <w:link w:val="35"/>
    <w:qFormat/>
    <w:uiPriority w:val="0"/>
    <w:rPr>
      <w:sz w:val="18"/>
      <w:szCs w:val="18"/>
    </w:rPr>
  </w:style>
  <w:style w:type="paragraph" w:styleId="12">
    <w:name w:val="footer"/>
    <w:basedOn w:val="1"/>
    <w:link w:val="28"/>
    <w:qFormat/>
    <w:uiPriority w:val="99"/>
    <w:pPr>
      <w:tabs>
        <w:tab w:val="center" w:pos="4153"/>
        <w:tab w:val="right" w:pos="8306"/>
      </w:tabs>
      <w:snapToGrid w:val="0"/>
      <w:jc w:val="left"/>
    </w:pPr>
    <w:rPr>
      <w:sz w:val="18"/>
      <w:szCs w:val="18"/>
    </w:rPr>
  </w:style>
  <w:style w:type="paragraph" w:styleId="13">
    <w:name w:val="header"/>
    <w:basedOn w:val="1"/>
    <w:link w:val="26"/>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5">
    <w:name w:val="table of figures"/>
    <w:basedOn w:val="1"/>
    <w:next w:val="1"/>
    <w:qFormat/>
    <w:uiPriority w:val="0"/>
    <w:pPr>
      <w:ind w:left="200" w:leftChars="200" w:hanging="200" w:hangingChars="200"/>
    </w:pPr>
  </w:style>
  <w:style w:type="paragraph" w:styleId="16">
    <w:name w:val="toc 2"/>
    <w:basedOn w:val="1"/>
    <w:next w:val="1"/>
    <w:unhideWhenUsed/>
    <w:qFormat/>
    <w:uiPriority w:val="39"/>
    <w:pPr>
      <w:tabs>
        <w:tab w:val="right" w:leader="dot" w:pos="8296"/>
      </w:tabs>
      <w:ind w:left="420" w:leftChars="200"/>
    </w:pPr>
  </w:style>
  <w:style w:type="paragraph" w:styleId="17">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8">
    <w:name w:val="Body Text First Indent 2"/>
    <w:basedOn w:val="3"/>
    <w:qFormat/>
    <w:uiPriority w:val="0"/>
    <w:pPr>
      <w:ind w:firstLine="420" w:firstLineChars="200"/>
    </w:pPr>
  </w:style>
  <w:style w:type="character" w:styleId="21">
    <w:name w:val="Strong"/>
    <w:basedOn w:val="20"/>
    <w:qFormat/>
    <w:uiPriority w:val="99"/>
    <w:rPr>
      <w:b/>
    </w:rPr>
  </w:style>
  <w:style w:type="character" w:styleId="22">
    <w:name w:val="Hyperlink"/>
    <w:basedOn w:val="20"/>
    <w:unhideWhenUsed/>
    <w:qFormat/>
    <w:uiPriority w:val="99"/>
    <w:rPr>
      <w:color w:val="0000FF" w:themeColor="hyperlink"/>
      <w:u w:val="single"/>
      <w14:textFill>
        <w14:solidFill>
          <w14:schemeClr w14:val="hlink"/>
        </w14:solidFill>
      </w14:textFill>
    </w:rPr>
  </w:style>
  <w:style w:type="character" w:styleId="23">
    <w:name w:val="annotation reference"/>
    <w:basedOn w:val="20"/>
    <w:semiHidden/>
    <w:unhideWhenUsed/>
    <w:qFormat/>
    <w:uiPriority w:val="99"/>
    <w:rPr>
      <w:sz w:val="21"/>
      <w:szCs w:val="21"/>
    </w:rPr>
  </w:style>
  <w:style w:type="paragraph" w:customStyle="1" w:styleId="24">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character" w:customStyle="1" w:styleId="25">
    <w:name w:val="Header Char"/>
    <w:basedOn w:val="20"/>
    <w:semiHidden/>
    <w:qFormat/>
    <w:uiPriority w:val="99"/>
    <w:rPr>
      <w:rFonts w:ascii="Times New Roman" w:hAnsi="Times New Roman"/>
      <w:sz w:val="18"/>
      <w:szCs w:val="18"/>
    </w:rPr>
  </w:style>
  <w:style w:type="character" w:customStyle="1" w:styleId="26">
    <w:name w:val="页眉 字符"/>
    <w:link w:val="13"/>
    <w:semiHidden/>
    <w:qFormat/>
    <w:locked/>
    <w:uiPriority w:val="99"/>
    <w:rPr>
      <w:sz w:val="18"/>
    </w:rPr>
  </w:style>
  <w:style w:type="character" w:customStyle="1" w:styleId="27">
    <w:name w:val="Footer Char"/>
    <w:basedOn w:val="20"/>
    <w:semiHidden/>
    <w:qFormat/>
    <w:uiPriority w:val="99"/>
    <w:rPr>
      <w:rFonts w:ascii="Times New Roman" w:hAnsi="Times New Roman"/>
      <w:sz w:val="18"/>
      <w:szCs w:val="18"/>
    </w:rPr>
  </w:style>
  <w:style w:type="character" w:customStyle="1" w:styleId="28">
    <w:name w:val="页脚 字符"/>
    <w:link w:val="12"/>
    <w:qFormat/>
    <w:locked/>
    <w:uiPriority w:val="99"/>
    <w:rPr>
      <w:sz w:val="18"/>
    </w:rPr>
  </w:style>
  <w:style w:type="character" w:customStyle="1" w:styleId="29">
    <w:name w:val="Body Text Char"/>
    <w:basedOn w:val="20"/>
    <w:semiHidden/>
    <w:qFormat/>
    <w:uiPriority w:val="99"/>
    <w:rPr>
      <w:rFonts w:ascii="Times New Roman" w:hAnsi="Times New Roman"/>
      <w:szCs w:val="24"/>
    </w:rPr>
  </w:style>
  <w:style w:type="character" w:customStyle="1" w:styleId="30">
    <w:name w:val="正文文本 字符"/>
    <w:link w:val="2"/>
    <w:qFormat/>
    <w:locked/>
    <w:uiPriority w:val="99"/>
    <w:rPr>
      <w:rFonts w:ascii="仿宋_GB2312" w:hAnsi="Times New Roman" w:eastAsia="仿宋_GB2312"/>
      <w:sz w:val="24"/>
    </w:rPr>
  </w:style>
  <w:style w:type="paragraph" w:styleId="31">
    <w:name w:val="List Paragraph"/>
    <w:basedOn w:val="1"/>
    <w:qFormat/>
    <w:uiPriority w:val="34"/>
    <w:pPr>
      <w:ind w:firstLine="420" w:firstLineChars="200"/>
    </w:pPr>
  </w:style>
  <w:style w:type="character" w:customStyle="1" w:styleId="32">
    <w:name w:val="标题 1 字符"/>
    <w:basedOn w:val="20"/>
    <w:link w:val="3"/>
    <w:qFormat/>
    <w:uiPriority w:val="9"/>
    <w:rPr>
      <w:rFonts w:ascii="Times New Roman" w:hAnsi="Times New Roman"/>
      <w:b/>
      <w:bCs/>
      <w:kern w:val="44"/>
      <w:sz w:val="44"/>
      <w:szCs w:val="44"/>
    </w:rPr>
  </w:style>
  <w:style w:type="character" w:customStyle="1" w:styleId="33">
    <w:name w:val="标题 2 字符"/>
    <w:basedOn w:val="20"/>
    <w:link w:val="4"/>
    <w:qFormat/>
    <w:uiPriority w:val="9"/>
    <w:rPr>
      <w:rFonts w:asciiTheme="majorHAnsi" w:hAnsiTheme="majorHAnsi" w:eastAsiaTheme="majorEastAsia" w:cstheme="majorBidi"/>
      <w:b/>
      <w:bCs/>
      <w:kern w:val="2"/>
      <w:sz w:val="32"/>
      <w:szCs w:val="32"/>
    </w:rPr>
  </w:style>
  <w:style w:type="paragraph" w:customStyle="1" w:styleId="34">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5">
    <w:name w:val="批注框文本 字符"/>
    <w:basedOn w:val="20"/>
    <w:link w:val="11"/>
    <w:semiHidden/>
    <w:qFormat/>
    <w:uiPriority w:val="99"/>
    <w:rPr>
      <w:rFonts w:ascii="Times New Roman" w:hAnsi="Times New Roman"/>
      <w:kern w:val="2"/>
      <w:sz w:val="18"/>
      <w:szCs w:val="18"/>
    </w:rPr>
  </w:style>
  <w:style w:type="character" w:customStyle="1" w:styleId="36">
    <w:name w:val="标题 3 字符"/>
    <w:basedOn w:val="20"/>
    <w:link w:val="5"/>
    <w:qFormat/>
    <w:uiPriority w:val="9"/>
    <w:rPr>
      <w:rFonts w:ascii="Times New Roman" w:hAnsi="Times New Roman"/>
      <w:b/>
      <w:bCs/>
      <w:kern w:val="2"/>
      <w:sz w:val="32"/>
      <w:szCs w:val="32"/>
    </w:rPr>
  </w:style>
  <w:style w:type="character" w:customStyle="1" w:styleId="37">
    <w:name w:val="页脚 Char"/>
    <w:basedOn w:val="20"/>
    <w:link w:val="7"/>
    <w:qFormat/>
    <w:uiPriority w:val="99"/>
    <w:rPr>
      <w:rFonts w:eastAsia="仿宋_GB2312"/>
      <w:kern w:val="2"/>
      <w:sz w:val="18"/>
      <w:szCs w:val="18"/>
    </w:rPr>
  </w:style>
  <w:style w:type="character" w:customStyle="1" w:styleId="38">
    <w:name w:val="页眉 Char"/>
    <w:basedOn w:val="20"/>
    <w:link w:val="2"/>
    <w:qFormat/>
    <w:uiPriority w:val="0"/>
    <w:rPr>
      <w:rFonts w:eastAsia="仿宋_GB2312"/>
      <w:kern w:val="2"/>
      <w:sz w:val="18"/>
      <w:szCs w:val="18"/>
    </w:rPr>
  </w:style>
  <w:style w:type="character" w:customStyle="1" w:styleId="39">
    <w:name w:val="批注框文本 Char"/>
    <w:basedOn w:val="20"/>
    <w:link w:val="5"/>
    <w:qFormat/>
    <w:uiPriority w:val="0"/>
    <w:rPr>
      <w:rFonts w:eastAsia="仿宋_GB2312"/>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收、支决算总计变动情况图</a:t>
            </a:r>
            <a:endParaRPr lang="en-US" sz="1100"/>
          </a:p>
        </c:rich>
      </c:tx>
      <c:layout/>
      <c:overlay val="0"/>
    </c:title>
    <c:autoTitleDeleted val="0"/>
    <c:plotArea>
      <c:layout>
        <c:manualLayout>
          <c:layoutTarget val="inner"/>
          <c:xMode val="edge"/>
          <c:yMode val="edge"/>
          <c:x val="0.0559816218099468"/>
          <c:y val="0.247865112907836"/>
          <c:w val="0.800713012477719"/>
          <c:h val="0.654027777777778"/>
        </c:manualLayout>
      </c:layout>
      <c:barChart>
        <c:barDir val="col"/>
        <c:grouping val="clustered"/>
        <c:varyColors val="0"/>
        <c:ser>
          <c:idx val="1"/>
          <c:order val="0"/>
          <c:tx>
            <c:strRef>
              <c:f>收入</c:f>
              <c:strCache>
                <c:ptCount val="1"/>
                <c:pt idx="0">
                  <c:v>收入</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{"2021","2022"}</c:f>
              <c:strCache>
                <c:ptCount val="2"/>
                <c:pt idx="0">
                  <c:v>2021</c:v>
                </c:pt>
                <c:pt idx="1">
                  <c:v>2022</c:v>
                </c:pt>
              </c:strCache>
            </c:strRef>
          </c:cat>
          <c:val>
            <c:numRef>
              <c:f>{3056.02,1793.92}</c:f>
              <c:numCache>
                <c:formatCode>General</c:formatCode>
                <c:ptCount val="2"/>
                <c:pt idx="0">
                  <c:v>3056.02</c:v>
                </c:pt>
                <c:pt idx="1">
                  <c:v>1793.92</c:v>
                </c:pt>
              </c:numCache>
            </c:numRef>
          </c:val>
        </c:ser>
        <c:ser>
          <c:idx val="2"/>
          <c:order val="1"/>
          <c:tx>
            <c:strRef>
              <c:f>支出</c:f>
              <c:strCache>
                <c:ptCount val="1"/>
                <c:pt idx="0">
                  <c:v>支出</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{"2021","2022"}</c:f>
              <c:strCache>
                <c:ptCount val="2"/>
                <c:pt idx="0">
                  <c:v>2021</c:v>
                </c:pt>
                <c:pt idx="1">
                  <c:v>2022</c:v>
                </c:pt>
              </c:strCache>
            </c:strRef>
          </c:cat>
          <c:val>
            <c:numRef>
              <c:f>{3056.02,1793.92}</c:f>
              <c:numCache>
                <c:formatCode>General</c:formatCode>
                <c:ptCount val="2"/>
                <c:pt idx="0">
                  <c:v>3056.02</c:v>
                </c:pt>
                <c:pt idx="1">
                  <c:v>1793.92</c:v>
                </c:pt>
              </c:numCache>
            </c:numRef>
          </c:val>
        </c:ser>
        <c:dLbls>
          <c:showLegendKey val="0"/>
          <c:showVal val="1"/>
          <c:showCatName val="0"/>
          <c:showSerName val="0"/>
          <c:showPercent val="0"/>
          <c:showBubbleSize val="0"/>
        </c:dLbls>
        <c:gapWidth val="41"/>
        <c:axId val="261387392"/>
        <c:axId val="261388928"/>
      </c:barChart>
      <c:catAx>
        <c:axId val="261387392"/>
        <c:scaling>
          <c:orientation val="minMax"/>
        </c:scaling>
        <c:delete val="0"/>
        <c:axPos val="b"/>
        <c:title>
          <c:tx>
            <c:rich>
              <a:bodyPr rot="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单位：万元</a:t>
                </a:r>
                <a:endParaRPr lang="en-US" sz="1100"/>
              </a:p>
            </c:rich>
          </c:tx>
          <c:layout/>
          <c:overlay val="0"/>
        </c:title>
        <c:numFmt formatCode="General" sourceLinked="0"/>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dk1">
                    <a:lumMod val="65000"/>
                    <a:lumOff val="35000"/>
                  </a:schemeClr>
                </a:solidFill>
                <a:effectLst/>
                <a:latin typeface="+mn-lt"/>
                <a:ea typeface="+mn-ea"/>
                <a:cs typeface="+mn-cs"/>
              </a:defRPr>
            </a:pPr>
          </a:p>
        </c:txPr>
        <c:crossAx val="261388928"/>
        <c:crosses val="autoZero"/>
        <c:auto val="1"/>
        <c:lblAlgn val="ctr"/>
        <c:lblOffset val="100"/>
        <c:noMultiLvlLbl val="0"/>
      </c:catAx>
      <c:valAx>
        <c:axId val="261388928"/>
        <c:scaling>
          <c:orientation val="minMax"/>
        </c:scaling>
        <c:delete val="1"/>
        <c:axPos val="l"/>
        <c:title>
          <c:tx>
            <c:rich>
              <a:bodyPr rot="-540000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 </a:t>
                </a:r>
                <a:endParaRPr lang="en-US" sz="1100"/>
              </a:p>
            </c:rich>
          </c:tx>
          <c:layout/>
          <c:overlay val="0"/>
        </c:title>
        <c:numFmt formatCode="General" sourceLinked="1"/>
        <c:majorTickMark val="none"/>
        <c:minorTickMark val="none"/>
        <c:tickLblPos val="none"/>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61387392"/>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legend>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prstDash val="solid"/>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收入决算结构图</a:t>
            </a:r>
            <a:endParaRPr lang="en-US" sz="1100"/>
          </a:p>
        </c:rich>
      </c:tx>
      <c:layout/>
      <c:overlay val="0"/>
    </c:title>
    <c:autoTitleDeleted val="0"/>
    <c:plotArea>
      <c:layout/>
      <c:pieChart>
        <c:varyColors val="1"/>
        <c:ser>
          <c:idx val="1"/>
          <c:order val="0"/>
          <c:explosion val="0"/>
          <c:dPt>
            <c:idx val="0"/>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{"一般公共预算财政拨款收入"}</c:f>
              <c:strCache>
                <c:ptCount val="1"/>
                <c:pt idx="0">
                  <c:v>一般公共预算财政拨款收入</c:v>
                </c:pt>
              </c:strCache>
            </c:strRef>
          </c:cat>
          <c:val>
            <c:numRef>
              <c:f>{1412.47}</c:f>
              <c:numCache>
                <c:formatCode>General</c:formatCode>
                <c:ptCount val="1"/>
                <c:pt idx="0">
                  <c:v>1412.47</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prstDash val="solid"/>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支出决算结构图</a:t>
            </a:r>
            <a:endParaRPr lang="en-US" sz="1100"/>
          </a:p>
        </c:rich>
      </c:tx>
      <c:layout/>
      <c:overlay val="0"/>
    </c:title>
    <c:autoTitleDeleted val="0"/>
    <c:plotArea>
      <c:layout/>
      <c:pieChart>
        <c:varyColors val="1"/>
        <c:ser>
          <c:idx val="1"/>
          <c:order val="0"/>
          <c:explosion val="0"/>
          <c:dPt>
            <c:idx val="0"/>
            <c:bubble3D val="0"/>
          </c:dPt>
          <c:dPt>
            <c:idx val="1"/>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{"基本支出","项目支出"}</c:f>
              <c:strCache>
                <c:ptCount val="2"/>
                <c:pt idx="0">
                  <c:v>基本支出</c:v>
                </c:pt>
                <c:pt idx="1">
                  <c:v>项目支出</c:v>
                </c:pt>
              </c:strCache>
            </c:strRef>
          </c:cat>
          <c:val>
            <c:numRef>
              <c:f>{1204.34,589.58}</c:f>
              <c:numCache>
                <c:formatCode>General</c:formatCode>
                <c:ptCount val="2"/>
                <c:pt idx="0">
                  <c:v>1204.34</c:v>
                </c:pt>
                <c:pt idx="1">
                  <c:v>589.58</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prstDash val="solid"/>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600" b="1" i="0" u="none" strike="noStrike" kern="1200" baseline="0">
                <a:solidFill>
                  <a:schemeClr val="tx2"/>
                </a:solidFill>
                <a:latin typeface="+mn-lt"/>
                <a:ea typeface="+mn-ea"/>
                <a:cs typeface="+mn-cs"/>
              </a:defRPr>
            </a:pPr>
            <a:r>
              <a:rPr lang="en-US" altLang="zh-CN"/>
              <a:t>财政拨款收、支决算总计变动情况</a:t>
            </a:r>
            <a:endParaRPr lang="en-US" altLang="zh-CN"/>
          </a:p>
        </c:rich>
      </c:tx>
      <c:layout/>
      <c:overlay val="0"/>
      <c:spPr>
        <a:noFill/>
        <a:ln>
          <a:noFill/>
        </a:ln>
        <a:effectLst/>
      </c:spPr>
    </c:title>
    <c:autoTitleDeleted val="0"/>
    <c:plotArea>
      <c:layout/>
      <c:barChart>
        <c:barDir val="col"/>
        <c:grouping val="clustered"/>
        <c:varyColors val="0"/>
        <c:ser>
          <c:idx val="1"/>
          <c:order val="0"/>
          <c:tx>
            <c:strRef>
              <c:f>收入</c:f>
              <c:strCache>
                <c:ptCount val="1"/>
                <c:pt idx="0">
                  <c:v>收入</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{"2021","2022"}</c:f>
              <c:strCache>
                <c:ptCount val="2"/>
                <c:pt idx="0">
                  <c:v>2021</c:v>
                </c:pt>
                <c:pt idx="1">
                  <c:v>2022</c:v>
                </c:pt>
              </c:strCache>
            </c:strRef>
          </c:cat>
          <c:val>
            <c:numRef>
              <c:f>{1685.55,1412.47}</c:f>
              <c:numCache>
                <c:formatCode>General</c:formatCode>
                <c:ptCount val="2"/>
                <c:pt idx="0">
                  <c:v>1685.55</c:v>
                </c:pt>
                <c:pt idx="1">
                  <c:v>1412.47</c:v>
                </c:pt>
              </c:numCache>
            </c:numRef>
          </c:val>
        </c:ser>
        <c:ser>
          <c:idx val="2"/>
          <c:order val="1"/>
          <c:tx>
            <c:strRef>
              <c:f>支出</c:f>
              <c:strCache>
                <c:ptCount val="1"/>
                <c:pt idx="0">
                  <c:v>支出</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{"2021","2022"}</c:f>
              <c:strCache>
                <c:ptCount val="2"/>
                <c:pt idx="0">
                  <c:v>2021</c:v>
                </c:pt>
                <c:pt idx="1">
                  <c:v>2022</c:v>
                </c:pt>
              </c:strCache>
            </c:strRef>
          </c:cat>
          <c:val>
            <c:numRef>
              <c:f>{1685.55,1412.47}</c:f>
              <c:numCache>
                <c:formatCode>General</c:formatCode>
                <c:ptCount val="2"/>
                <c:pt idx="0">
                  <c:v>1685.55</c:v>
                </c:pt>
                <c:pt idx="1">
                  <c:v>1412.47</c:v>
                </c:pt>
              </c:numCache>
            </c:numRef>
          </c:val>
        </c:ser>
        <c:dLbls>
          <c:showLegendKey val="0"/>
          <c:showVal val="1"/>
          <c:showCatName val="0"/>
          <c:showSerName val="0"/>
          <c:showPercent val="0"/>
          <c:showBubbleSize val="0"/>
        </c:dLbls>
        <c:gapWidth val="100"/>
        <c:overlap val="-24"/>
        <c:axId val="263359104"/>
        <c:axId val="263373184"/>
      </c:barChart>
      <c:catAx>
        <c:axId val="263359104"/>
        <c:scaling>
          <c:orientation val="minMax"/>
        </c:scaling>
        <c:delete val="0"/>
        <c:axPos val="b"/>
        <c:title>
          <c:tx>
            <c:rich>
              <a:bodyPr rot="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单位：万元</a:t>
                </a:r>
                <a:endParaRPr lang="en-US" sz="1100"/>
              </a:p>
            </c:rich>
          </c:tx>
          <c:layout/>
          <c:overlay val="0"/>
        </c:title>
        <c:numFmt formatCode="General" sourceLinked="0"/>
        <c:majorTickMark val="none"/>
        <c:minorTickMark val="none"/>
        <c:tickLblPos val="nextTo"/>
        <c:spPr>
          <a:noFill/>
          <a:ln w="9525" cap="flat" cmpd="sng" algn="ctr">
            <a:solidFill>
              <a:schemeClr val="tx2">
                <a:lumMod val="15000"/>
                <a:lumOff val="85000"/>
              </a:schemeClr>
            </a:solidFill>
            <a:prstDash val="solid"/>
            <a:round/>
          </a:ln>
          <a:effectLst/>
        </c:spPr>
        <c:txPr>
          <a:bodyPr rot="-60000000" spcFirstLastPara="1" vertOverflow="ellipsis" vert="horz" wrap="square" anchor="ctr" anchorCtr="1"/>
          <a:lstStyle/>
          <a:p>
            <a:pPr>
              <a:defRPr lang="zh-CN" sz="900" b="0" i="0" u="none" strike="noStrike" kern="1200" baseline="0">
                <a:solidFill>
                  <a:schemeClr val="tx2"/>
                </a:solidFill>
                <a:latin typeface="+mn-lt"/>
                <a:ea typeface="+mn-ea"/>
                <a:cs typeface="+mn-cs"/>
              </a:defRPr>
            </a:pPr>
          </a:p>
        </c:txPr>
        <c:crossAx val="263373184"/>
        <c:crosses val="autoZero"/>
        <c:auto val="1"/>
        <c:lblAlgn val="ctr"/>
        <c:lblOffset val="100"/>
        <c:noMultiLvlLbl val="0"/>
      </c:catAx>
      <c:valAx>
        <c:axId val="263373184"/>
        <c:scaling>
          <c:orientation val="minMax"/>
        </c:scaling>
        <c:delete val="0"/>
        <c:axPos val="l"/>
        <c:majorGridlines>
          <c:spPr>
            <a:ln w="9525" cap="flat" cmpd="sng" algn="ctr">
              <a:solidFill>
                <a:schemeClr val="tx2">
                  <a:lumMod val="15000"/>
                  <a:lumOff val="85000"/>
                </a:schemeClr>
              </a:solidFill>
              <a:prstDash val="solid"/>
              <a:round/>
            </a:ln>
            <a:effectLst/>
          </c:spPr>
        </c:majorGridlines>
        <c:title>
          <c:tx>
            <c:rich>
              <a:bodyPr rot="-540000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 </a:t>
                </a:r>
                <a:endParaRPr lang="en-US" sz="1100"/>
              </a:p>
            </c:rich>
          </c:tx>
          <c:layout/>
          <c:overlay val="0"/>
        </c:title>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2"/>
                </a:solidFill>
                <a:latin typeface="+mn-lt"/>
                <a:ea typeface="+mn-ea"/>
                <a:cs typeface="+mn-cs"/>
              </a:defRPr>
            </a:pPr>
          </a:p>
        </c:txPr>
        <c:crossAx val="263359104"/>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2"/>
              </a:solidFill>
              <a:latin typeface="+mn-lt"/>
              <a:ea typeface="+mn-ea"/>
              <a:cs typeface="+mn-cs"/>
            </a:defRPr>
          </a:pPr>
        </a:p>
      </c:txPr>
    </c:legend>
    <c:plotVisOnly val="1"/>
    <c:dispBlanksAs val="gap"/>
    <c:showDLblsOverMax val="0"/>
  </c:chart>
  <c:spPr>
    <a:solidFill>
      <a:schemeClr val="bg1"/>
    </a:solidFill>
    <a:ln w="9525" cap="flat" cmpd="sng" algn="ctr">
      <a:solidFill>
        <a:schemeClr val="tx2">
          <a:lumMod val="15000"/>
          <a:lumOff val="85000"/>
        </a:schemeClr>
      </a:solidFill>
      <a:prstDash val="solid"/>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600" b="1" i="0" u="none" strike="noStrike" kern="1200" baseline="0">
                <a:solidFill>
                  <a:schemeClr val="tx1">
                    <a:lumMod val="65000"/>
                    <a:lumOff val="35000"/>
                  </a:schemeClr>
                </a:solidFill>
                <a:latin typeface="+mn-lt"/>
                <a:ea typeface="+mn-ea"/>
                <a:cs typeface="+mn-cs"/>
              </a:defRPr>
            </a:pPr>
            <a:r>
              <a:rPr lang="zh-CN" altLang="en-US" sz="1200"/>
              <a:t>一般公共预算财政拨款支出</a:t>
            </a:r>
            <a:endParaRPr lang="zh-CN" altLang="en-US" sz="1200"/>
          </a:p>
        </c:rich>
      </c:tx>
      <c:layout/>
      <c:overlay val="0"/>
      <c:spPr>
        <a:noFill/>
        <a:ln>
          <a:noFill/>
        </a:ln>
        <a:effectLst/>
      </c:spPr>
    </c:title>
    <c:autoTitleDeleted val="0"/>
    <c:plotArea>
      <c:layout>
        <c:manualLayout>
          <c:layoutTarget val="inner"/>
          <c:xMode val="edge"/>
          <c:yMode val="edge"/>
          <c:x val="0.0736333103993069"/>
          <c:y val="0.199582873033408"/>
          <c:w val="0.767623678108199"/>
          <c:h val="0.708506514060342"/>
        </c:manualLayout>
      </c:layout>
      <c:barChart>
        <c:barDir val="col"/>
        <c:grouping val="clustered"/>
        <c:varyColors val="0"/>
        <c:ser>
          <c:idx val="1"/>
          <c:order val="0"/>
          <c:tx>
            <c:strRef>
              <c:f>2021</c:f>
              <c:strCache>
                <c:ptCount val="1"/>
                <c:pt idx="0">
                  <c:v>2021</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{"一般公共预算财政拨款支出"}</c:f>
              <c:strCache>
                <c:ptCount val="1"/>
                <c:pt idx="0">
                  <c:v>一般公共预算财政拨款支出</c:v>
                </c:pt>
              </c:strCache>
            </c:strRef>
          </c:cat>
          <c:val>
            <c:numRef>
              <c:f>{1685.55}</c:f>
              <c:numCache>
                <c:formatCode>General</c:formatCode>
                <c:ptCount val="1"/>
                <c:pt idx="0">
                  <c:v>1685.55</c:v>
                </c:pt>
              </c:numCache>
            </c:numRef>
          </c:val>
        </c:ser>
        <c:ser>
          <c:idx val="2"/>
          <c:order val="1"/>
          <c:tx>
            <c:strRef>
              <c:f>2022</c:f>
              <c:strCache>
                <c:ptCount val="1"/>
                <c:pt idx="0">
                  <c:v>2022</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{"一般公共预算财政拨款支出"}</c:f>
              <c:strCache>
                <c:ptCount val="1"/>
                <c:pt idx="0">
                  <c:v>一般公共预算财政拨款支出</c:v>
                </c:pt>
              </c:strCache>
            </c:strRef>
          </c:cat>
          <c:val>
            <c:numRef>
              <c:f>{1412.47}</c:f>
              <c:numCache>
                <c:formatCode>General</c:formatCode>
                <c:ptCount val="1"/>
                <c:pt idx="0">
                  <c:v>1412.47</c:v>
                </c:pt>
              </c:numCache>
            </c:numRef>
          </c:val>
        </c:ser>
        <c:dLbls>
          <c:showLegendKey val="0"/>
          <c:showVal val="1"/>
          <c:showCatName val="0"/>
          <c:showSerName val="0"/>
          <c:showPercent val="0"/>
          <c:showBubbleSize val="0"/>
        </c:dLbls>
        <c:gapWidth val="100"/>
        <c:overlap val="-24"/>
        <c:axId val="263440640"/>
        <c:axId val="263135232"/>
      </c:barChart>
      <c:catAx>
        <c:axId val="263440640"/>
        <c:scaling>
          <c:orientation val="minMax"/>
        </c:scaling>
        <c:delete val="1"/>
        <c:axPos val="b"/>
        <c:title>
          <c:tx>
            <c:rich>
              <a:bodyPr rot="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单位：万元</a:t>
                </a:r>
                <a:endParaRPr lang="en-US" sz="1100"/>
              </a:p>
            </c:rich>
          </c:tx>
          <c:layout/>
          <c:overlay val="0"/>
        </c:title>
        <c:numFmt formatCode="General" sourceLinked="0"/>
        <c:majorTickMark val="none"/>
        <c:minorTickMark val="none"/>
        <c:tickLblPos val="none"/>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63135232"/>
        <c:crosses val="autoZero"/>
        <c:auto val="1"/>
        <c:lblAlgn val="ctr"/>
        <c:lblOffset val="100"/>
        <c:noMultiLvlLbl val="0"/>
      </c:catAx>
      <c:valAx>
        <c:axId val="263135232"/>
        <c:scaling>
          <c:orientation val="minMax"/>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 </a:t>
                </a:r>
                <a:endParaRPr lang="en-US" sz="1100"/>
              </a:p>
            </c:rich>
          </c:tx>
          <c:layout/>
          <c:overlay val="0"/>
        </c:title>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63440640"/>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一般公共预算财政拨款支出</a:t>
            </a:r>
            <a:endParaRPr lang="en-US" sz="1100"/>
          </a:p>
        </c:rich>
      </c:tx>
      <c:layout/>
      <c:overlay val="0"/>
    </c:title>
    <c:autoTitleDeleted val="0"/>
    <c:plotArea>
      <c:layout/>
      <c:pieChart>
        <c:varyColors val="1"/>
        <c:ser>
          <c:idx val="1"/>
          <c:order val="0"/>
          <c:explosion val="0"/>
          <c:dPt>
            <c:idx val="0"/>
            <c:bubble3D val="0"/>
          </c:dPt>
          <c:dPt>
            <c:idx val="1"/>
            <c:bubble3D val="0"/>
          </c:dPt>
          <c:dPt>
            <c:idx val="2"/>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{"社会保障和就业支出","卫生健康支出","住房保障支出"}</c:f>
              <c:strCache>
                <c:ptCount val="3"/>
                <c:pt idx="0">
                  <c:v>社会保障和就业支出</c:v>
                </c:pt>
                <c:pt idx="1">
                  <c:v>卫生健康支出</c:v>
                </c:pt>
                <c:pt idx="2">
                  <c:v>住房保障支出</c:v>
                </c:pt>
              </c:strCache>
            </c:strRef>
          </c:cat>
          <c:val>
            <c:numRef>
              <c:f>{115.57,1233.47,63.43}</c:f>
              <c:numCache>
                <c:formatCode>General</c:formatCode>
                <c:ptCount val="3"/>
                <c:pt idx="0">
                  <c:v>115.57</c:v>
                </c:pt>
                <c:pt idx="1">
                  <c:v>1233.47</c:v>
                </c:pt>
                <c:pt idx="2">
                  <c:v>63.43</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三公经费</a:t>
            </a:r>
            <a:endParaRPr lang="en-US" sz="1100"/>
          </a:p>
        </c:rich>
      </c:tx>
      <c:layout/>
      <c:overlay val="0"/>
    </c:title>
    <c:autoTitleDeleted val="0"/>
    <c:plotArea>
      <c:layout/>
      <c:pieChart>
        <c:varyColors val="1"/>
        <c:ser>
          <c:idx val="1"/>
          <c:order val="0"/>
          <c:explosion val="0"/>
          <c:dPt>
            <c:idx val="0"/>
            <c:bubble3D val="0"/>
          </c:dPt>
          <c:dPt>
            <c:idx val="1"/>
            <c:bubble3D val="0"/>
          </c:dPt>
          <c:dPt>
            <c:idx val="2"/>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{"因公出国（境）费","公务用车购置及运行维护费","公务接待费"}</c:f>
              <c:strCache>
                <c:ptCount val="3"/>
                <c:pt idx="0">
                  <c:v>因公出国（境）费</c:v>
                </c:pt>
                <c:pt idx="1">
                  <c:v>公务用车购置及运行维护费</c:v>
                </c:pt>
                <c:pt idx="2">
                  <c:v>公务接待费</c:v>
                </c:pt>
              </c:strCache>
            </c:strRef>
          </c:cat>
          <c:val>
            <c:numRef>
              <c:f>{0,0,0}</c:f>
              <c:numCache>
                <c:formatCode>General</c:formatCode>
                <c:ptCount val="3"/>
                <c:pt idx="0">
                  <c:v>0</c:v>
                </c:pt>
                <c:pt idx="1">
                  <c:v>0</c:v>
                </c:pt>
                <c:pt idx="2">
                  <c:v>0</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4FC5A5-8DE4-4565-B639-6D345C1D7E6D}">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15</Pages>
  <Words>1005</Words>
  <Characters>5729</Characters>
  <Lines>47</Lines>
  <Paragraphs>13</Paragraphs>
  <TotalTime>1</TotalTime>
  <ScaleCrop>false</ScaleCrop>
  <LinksUpToDate>false</LinksUpToDate>
  <CharactersWithSpaces>6721</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2023-08-18T07:28:00Z</dcterms:created>
  <dc:creator>pjf</dc:creator>
  <cp:lastModifiedBy>Administrator</cp:lastModifiedBy>
  <cp:lastPrinted>2021-09-26T08:39:00Z</cp:lastPrinted>
  <dcterms:modified xsi:type="dcterms:W3CDTF">2023-11-01T02:26:30Z</dcterms:modified>
  <dc:title>四川省决算编制说明</dc:title>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8902D790FB6640CA96B97C7F717614DD_13</vt:lpwstr>
  </property>
</Properties>
</file>