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2022年度</w:t>
      </w:r>
    </w:p>
    <w:p>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bookmarkStart w:id="0" w:name="_Toc15378442"/>
      <w:bookmarkStart w:id="1" w:name="_Toc15377194"/>
      <w:bookmarkStart w:id="2" w:name="_Toc15396598"/>
      <w:bookmarkStart w:id="3" w:name="_Toc15377426"/>
      <w:bookmarkStart w:id="4" w:name="_Toc15396476"/>
      <w:r>
        <w:rPr>
          <w:rFonts w:ascii="方正小标宋简体" w:eastAsia="方正小标宋简体" w:cs="方正小标宋简体"/>
          <w:sz w:val="72"/>
          <w:szCs w:val="72"/>
        </w:rPr>
        <w:t>阿坝州</w:t>
      </w:r>
      <w:bookmarkStart w:id="5" w:name="_Toc15306268"/>
      <w:r>
        <w:rPr>
          <w:rFonts w:hint="eastAsia" w:ascii="方正小标宋简体" w:eastAsia="方正小标宋简体" w:cs="方正小标宋简体"/>
          <w:sz w:val="72"/>
          <w:szCs w:val="72"/>
          <w:lang w:val="en-US" w:eastAsia="zh-CN"/>
        </w:rPr>
        <w:t>红原县行政审批局</w:t>
      </w:r>
      <w:r>
        <w:rPr>
          <w:rFonts w:hint="eastAsia" w:ascii="方正小标宋简体" w:eastAsia="方正小标宋简体" w:cs="方正小标宋简体"/>
          <w:sz w:val="72"/>
          <w:szCs w:val="72"/>
        </w:rPr>
        <w:t>部门</w:t>
      </w:r>
      <w:bookmarkEnd w:id="0"/>
      <w:bookmarkEnd w:id="1"/>
      <w:bookmarkEnd w:id="2"/>
      <w:bookmarkEnd w:id="3"/>
      <w:bookmarkEnd w:id="4"/>
      <w:bookmarkEnd w:id="5"/>
      <w:r>
        <w:rPr>
          <w:rFonts w:hint="eastAsia" w:ascii="方正小标宋简体" w:eastAsia="方正小标宋简体" w:cs="方正小标宋简体"/>
          <w:sz w:val="72"/>
          <w:szCs w:val="72"/>
          <w:lang w:val="en-US" w:eastAsia="zh-CN"/>
        </w:rPr>
        <w:t>预算</w:t>
      </w: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pStyle w:val="9"/>
        <w:keepNext w:val="0"/>
        <w:keepLines w:val="0"/>
        <w:widowControl/>
        <w:suppressLineNumbers w:val="0"/>
        <w:ind w:left="0" w:right="75"/>
        <w:jc w:val="left"/>
      </w:pPr>
      <w:r>
        <w:rPr>
          <w:sz w:val="24"/>
          <w:szCs w:val="24"/>
          <w:shd w:val="clear" w:color="auto" w:fill="FFFFFF"/>
        </w:rPr>
        <w:t>保密审查情况：已审查，内容审定</w:t>
      </w:r>
    </w:p>
    <w:p>
      <w:pPr>
        <w:pStyle w:val="9"/>
        <w:keepNext w:val="0"/>
        <w:keepLines w:val="0"/>
        <w:widowControl/>
        <w:suppressLineNumbers w:val="0"/>
        <w:ind w:left="0" w:right="75"/>
        <w:jc w:val="left"/>
        <w:rPr>
          <w:rStyle w:val="12"/>
          <w:sz w:val="30"/>
          <w:szCs w:val="30"/>
          <w:shd w:val="clear" w:color="auto" w:fill="FFFFFF"/>
        </w:rPr>
        <w:sectPr>
          <w:pgSz w:w="11906" w:h="16838"/>
          <w:pgMar w:top="1440" w:right="1800" w:bottom="1440" w:left="1800" w:header="851" w:footer="992" w:gutter="0"/>
          <w:cols w:space="720" w:num="1"/>
          <w:docGrid w:type="lines" w:linePitch="312" w:charSpace="0"/>
        </w:sectPr>
      </w:pPr>
      <w:r>
        <w:rPr>
          <w:sz w:val="24"/>
          <w:szCs w:val="24"/>
          <w:shd w:val="clear" w:color="auto" w:fill="FFFFFF"/>
        </w:rPr>
        <w:t>部门主要负责人审签情况：已审签，同意对外公开</w:t>
      </w:r>
    </w:p>
    <w:p>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w:t>
      </w:r>
    </w:p>
    <w:p>
      <w:pPr>
        <w:rPr>
          <w:rFonts w:hint="eastAsia" w:ascii="仿宋_GB2312" w:hAnsi="仿宋_GB2312" w:eastAsia="仿宋_GB2312" w:cs="仿宋_GB2312"/>
          <w:sz w:val="32"/>
          <w:szCs w:val="32"/>
        </w:rPr>
      </w:pPr>
    </w:p>
    <w:p>
      <w:pPr>
        <w:pStyle w:val="8"/>
        <w:adjustRightInd w:val="0"/>
        <w:snapToGrid w:val="0"/>
        <w:spacing w:line="440" w:lineRule="exact"/>
        <w:ind w:left="0" w:leftChars="0"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lang w:val="en-US" w:eastAsia="zh-CN"/>
        </w:rPr>
        <w:t>..................................4</w:t>
      </w:r>
    </w:p>
    <w:p>
      <w:pPr>
        <w:pStyle w:val="8"/>
        <w:adjustRightInd w:val="0"/>
        <w:snapToGrid w:val="0"/>
        <w:spacing w:line="440" w:lineRule="exact"/>
        <w:ind w:left="420" w:firstLine="320" w:firstLineChars="1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一、部门职责</w:t>
      </w:r>
      <w:r>
        <w:rPr>
          <w:rFonts w:hint="eastAsia" w:ascii="仿宋_GB2312" w:hAnsi="仿宋_GB2312" w:eastAsia="仿宋_GB2312" w:cs="仿宋_GB2312"/>
          <w:sz w:val="32"/>
          <w:szCs w:val="32"/>
          <w:lang w:val="en-US" w:eastAsia="zh-CN"/>
        </w:rPr>
        <w:t>及主要工作.........................4</w:t>
      </w:r>
    </w:p>
    <w:p>
      <w:pPr>
        <w:pStyle w:val="8"/>
        <w:adjustRightInd w:val="0"/>
        <w:snapToGrid w:val="0"/>
        <w:spacing w:line="440" w:lineRule="exact"/>
        <w:ind w:left="420" w:firstLine="320" w:firstLineChars="1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lang w:val="en-US" w:eastAsia="zh-CN"/>
        </w:rPr>
        <w:t>...................................7</w:t>
      </w:r>
    </w:p>
    <w:p>
      <w:pPr>
        <w:pStyle w:val="7"/>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第二部分 2022年度部门</w:t>
      </w:r>
      <w:r>
        <w:rPr>
          <w:rFonts w:hint="eastAsia" w:ascii="仿宋_GB2312" w:hAnsi="仿宋_GB2312" w:eastAsia="仿宋_GB2312" w:cs="仿宋_GB2312"/>
          <w:sz w:val="32"/>
          <w:szCs w:val="32"/>
          <w:lang w:val="en-US" w:eastAsia="zh-CN"/>
        </w:rPr>
        <w:t>预算</w:t>
      </w:r>
      <w:r>
        <w:rPr>
          <w:rFonts w:hint="eastAsia" w:ascii="仿宋_GB2312" w:hAnsi="仿宋_GB2312" w:eastAsia="仿宋_GB2312" w:cs="仿宋_GB2312"/>
          <w:sz w:val="32"/>
          <w:szCs w:val="32"/>
        </w:rPr>
        <w:t>情况</w:t>
      </w:r>
      <w:r>
        <w:rPr>
          <w:rFonts w:hint="eastAsia" w:ascii="仿宋_GB2312" w:hAnsi="仿宋_GB2312" w:eastAsia="仿宋_GB2312" w:cs="仿宋_GB2312"/>
          <w:sz w:val="32"/>
          <w:szCs w:val="32"/>
          <w:lang w:val="en-US" w:eastAsia="zh-CN"/>
        </w:rPr>
        <w:t>......................8</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一、收支预算总体情况</w:t>
      </w:r>
      <w:r>
        <w:rPr>
          <w:rFonts w:hint="eastAsia" w:ascii="仿宋_GB2312" w:hAnsi="仿宋_GB2312" w:eastAsia="仿宋_GB2312" w:cs="仿宋_GB2312"/>
          <w:sz w:val="32"/>
          <w:szCs w:val="32"/>
          <w:lang w:val="en-US" w:eastAsia="zh-CN"/>
        </w:rPr>
        <w:t>............................8</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二、支出预算安排情况</w:t>
      </w:r>
      <w:r>
        <w:rPr>
          <w:rFonts w:hint="eastAsia" w:ascii="仿宋_GB2312" w:hAnsi="仿宋_GB2312" w:eastAsia="仿宋_GB2312" w:cs="仿宋_GB2312"/>
          <w:sz w:val="32"/>
          <w:szCs w:val="32"/>
          <w:lang w:val="en-US" w:eastAsia="zh-CN"/>
        </w:rPr>
        <w:t>............................8</w:t>
      </w:r>
    </w:p>
    <w:p>
      <w:pPr>
        <w:keepNext w:val="0"/>
        <w:keepLines w:val="0"/>
        <w:pageBreakBefore w:val="0"/>
        <w:numPr>
          <w:numId w:val="0"/>
        </w:numPr>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三、</w:t>
      </w:r>
      <w:r>
        <w:rPr>
          <w:rFonts w:hint="eastAsia" w:ascii="仿宋_GB2312" w:hAnsi="仿宋_GB2312" w:eastAsia="仿宋_GB2312" w:cs="仿宋_GB2312"/>
          <w:color w:val="333333"/>
          <w:kern w:val="0"/>
          <w:sz w:val="32"/>
          <w:szCs w:val="32"/>
          <w:shd w:val="clear" w:color="auto" w:fill="FFFFFF"/>
          <w:lang w:val="en-US" w:eastAsia="zh-CN" w:bidi="ar"/>
        </w:rPr>
        <w:t>较上年度增减变化</w:t>
      </w:r>
      <w:r>
        <w:rPr>
          <w:rFonts w:hint="eastAsia" w:ascii="仿宋_GB2312" w:hAnsi="仿宋_GB2312" w:eastAsia="仿宋_GB2312" w:cs="仿宋_GB2312"/>
          <w:sz w:val="32"/>
          <w:szCs w:val="32"/>
          <w:lang w:val="en-US" w:eastAsia="zh-CN"/>
        </w:rPr>
        <w:t>............................9</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sz w:val="32"/>
          <w:szCs w:val="32"/>
        </w:rPr>
        <w:t>四、</w:t>
      </w:r>
      <w:r>
        <w:rPr>
          <w:rFonts w:hint="eastAsia" w:ascii="仿宋_GB2312" w:hAnsi="仿宋_GB2312" w:eastAsia="仿宋_GB2312" w:cs="仿宋_GB2312"/>
          <w:color w:val="333333"/>
          <w:kern w:val="0"/>
          <w:sz w:val="32"/>
          <w:szCs w:val="32"/>
          <w:shd w:val="clear" w:color="auto" w:fill="FFFFFF"/>
          <w:lang w:val="en-US" w:eastAsia="zh-CN" w:bidi="ar"/>
        </w:rPr>
        <w:t>“三公”经费预算</w:t>
      </w:r>
      <w:r>
        <w:rPr>
          <w:rFonts w:hint="eastAsia" w:ascii="仿宋_GB2312" w:hAnsi="仿宋_GB2312" w:eastAsia="仿宋_GB2312" w:cs="仿宋_GB2312"/>
          <w:sz w:val="32"/>
          <w:szCs w:val="32"/>
          <w:lang w:val="en-US" w:eastAsia="zh-CN"/>
        </w:rPr>
        <w:t>............................10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sz w:val="32"/>
          <w:szCs w:val="32"/>
        </w:rPr>
        <w:t>五、</w:t>
      </w:r>
      <w:r>
        <w:rPr>
          <w:rFonts w:hint="eastAsia" w:ascii="仿宋_GB2312" w:hAnsi="仿宋_GB2312" w:eastAsia="仿宋_GB2312" w:cs="仿宋_GB2312"/>
          <w:color w:val="333333"/>
          <w:kern w:val="0"/>
          <w:sz w:val="32"/>
          <w:szCs w:val="32"/>
          <w:shd w:val="clear" w:color="auto" w:fill="FFFFFF"/>
          <w:lang w:val="en-US" w:eastAsia="zh-CN" w:bidi="ar"/>
        </w:rPr>
        <w:t>政府性基金预算收支情况说明</w:t>
      </w:r>
      <w:r>
        <w:rPr>
          <w:rFonts w:hint="eastAsia" w:ascii="仿宋_GB2312" w:hAnsi="仿宋_GB2312" w:eastAsia="仿宋_GB2312" w:cs="仿宋_GB2312"/>
          <w:sz w:val="32"/>
          <w:szCs w:val="32"/>
          <w:lang w:val="en-US" w:eastAsia="zh-CN"/>
        </w:rPr>
        <w:t>..................10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sz w:val="32"/>
          <w:szCs w:val="32"/>
        </w:rPr>
        <w:t>六、</w:t>
      </w:r>
      <w:r>
        <w:rPr>
          <w:rFonts w:hint="eastAsia" w:ascii="仿宋_GB2312" w:hAnsi="仿宋_GB2312" w:eastAsia="仿宋_GB2312" w:cs="仿宋_GB2312"/>
          <w:color w:val="333333"/>
          <w:kern w:val="0"/>
          <w:sz w:val="32"/>
          <w:szCs w:val="32"/>
          <w:shd w:val="clear" w:color="auto" w:fill="FFFFFF"/>
          <w:lang w:val="en-US" w:eastAsia="zh-CN" w:bidi="ar"/>
        </w:rPr>
        <w:t>国有资本经营预算收支情况说明</w:t>
      </w:r>
      <w:r>
        <w:rPr>
          <w:rFonts w:hint="eastAsia" w:ascii="仿宋_GB2312" w:hAnsi="仿宋_GB2312" w:eastAsia="仿宋_GB2312" w:cs="仿宋_GB2312"/>
          <w:sz w:val="32"/>
          <w:szCs w:val="32"/>
          <w:lang w:val="en-US" w:eastAsia="zh-CN"/>
        </w:rPr>
        <w:t>................10</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default" w:ascii="仿宋_GB2312" w:hAnsi="仿宋_GB2312" w:eastAsia="仿宋_GB2312" w:cs="仿宋_GB2312"/>
          <w:color w:val="333333"/>
          <w:kern w:val="0"/>
          <w:sz w:val="32"/>
          <w:szCs w:val="32"/>
          <w:shd w:val="clear" w:color="auto" w:fill="FFFFFF"/>
          <w:lang w:val="en-US" w:eastAsia="zh-CN" w:bidi="ar"/>
        </w:rPr>
      </w:pPr>
      <w:r>
        <w:rPr>
          <w:rFonts w:hint="eastAsia" w:ascii="仿宋_GB2312" w:hAnsi="仿宋_GB2312" w:eastAsia="仿宋_GB2312" w:cs="仿宋_GB2312"/>
          <w:sz w:val="32"/>
          <w:szCs w:val="32"/>
        </w:rPr>
        <w:t>七、</w:t>
      </w:r>
      <w:r>
        <w:rPr>
          <w:rFonts w:hint="eastAsia" w:ascii="仿宋_GB2312" w:hAnsi="仿宋_GB2312" w:eastAsia="仿宋_GB2312" w:cs="仿宋_GB2312"/>
          <w:color w:val="333333"/>
          <w:kern w:val="0"/>
          <w:sz w:val="32"/>
          <w:szCs w:val="32"/>
          <w:shd w:val="clear" w:color="auto" w:fill="FFFFFF"/>
          <w:lang w:val="en-US" w:eastAsia="zh-CN" w:bidi="ar"/>
        </w:rPr>
        <w:t>其他重要事项的情况说明</w:t>
      </w:r>
      <w:r>
        <w:rPr>
          <w:rFonts w:hint="eastAsia" w:ascii="仿宋_GB2312" w:hAnsi="仿宋_GB2312" w:eastAsia="仿宋_GB2312" w:cs="仿宋_GB2312"/>
          <w:sz w:val="32"/>
          <w:szCs w:val="32"/>
          <w:lang w:val="en-US" w:eastAsia="zh-CN"/>
        </w:rPr>
        <w:t>......................10</w:t>
      </w:r>
    </w:p>
    <w:p>
      <w:pPr>
        <w:pStyle w:val="7"/>
        <w:adjustRightInd w:val="0"/>
        <w:snapToGrid w:val="0"/>
        <w:spacing w:before="0" w:line="440" w:lineRule="exact"/>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lang w:val="en-US" w:eastAsia="zh-CN"/>
        </w:rPr>
        <w:t>...................................11</w:t>
      </w:r>
    </w:p>
    <w:p>
      <w:pPr>
        <w:pStyle w:val="7"/>
        <w:adjustRightInd w:val="0"/>
        <w:snapToGrid w:val="0"/>
        <w:spacing w:before="0" w:line="440" w:lineRule="exact"/>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lang w:val="en-US" w:eastAsia="zh-CN"/>
        </w:rPr>
        <w:t>.......................................11</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表1.财政拨款收支总表............................11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表2.一般公共预算支出表....................11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表3.一般公共预算基本支出表................11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表4.一般公共预算“三公”经费支出表........11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表5.政府性基金预算支出表..................12</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表6.政府性基金预算“三公”经费支出表......12</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表7.部门收支总表..........................12</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表8.部门收入总表</w:t>
      </w:r>
      <w:r>
        <w:rPr>
          <w:rFonts w:hint="eastAsia" w:ascii="仿宋_GB2312" w:hAnsi="仿宋_GB2312" w:eastAsia="仿宋_GB2312" w:cs="仿宋_GB2312"/>
          <w:sz w:val="32"/>
          <w:szCs w:val="32"/>
          <w:lang w:val="en-US" w:eastAsia="zh-CN"/>
        </w:rPr>
        <w:t>..........................12</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表9.部门支出总表</w:t>
      </w:r>
      <w:r>
        <w:rPr>
          <w:rFonts w:hint="eastAsia" w:ascii="仿宋_GB2312" w:hAnsi="仿宋_GB2312" w:eastAsia="仿宋_GB2312" w:cs="仿宋_GB2312"/>
          <w:sz w:val="32"/>
          <w:szCs w:val="32"/>
          <w:lang w:val="en-US" w:eastAsia="zh-CN"/>
        </w:rPr>
        <w:t>..........................12</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算）..................................12</w:t>
      </w:r>
    </w:p>
    <w:p>
      <w:pPr>
        <w:widowControl/>
        <w:adjustRightInd w:val="0"/>
        <w:snapToGrid w:val="0"/>
        <w:spacing w:line="440" w:lineRule="exact"/>
        <w:ind w:firstLine="1760" w:firstLineChars="550"/>
        <w:jc w:val="left"/>
        <w:rPr>
          <w:rFonts w:hint="eastAsia" w:ascii="仿宋_GB2312" w:hAnsi="仿宋_GB2312" w:eastAsia="仿宋_GB2312" w:cs="仿宋_GB2312"/>
          <w:sz w:val="32"/>
          <w:szCs w:val="32"/>
        </w:rPr>
      </w:pPr>
    </w:p>
    <w:p>
      <w:pPr>
        <w:widowControl/>
        <w:spacing w:line="440" w:lineRule="exact"/>
        <w:jc w:val="left"/>
        <w:rPr>
          <w:rFonts w:hint="eastAsia" w:ascii="仿宋_GB2312" w:hAnsi="仿宋_GB2312" w:eastAsia="仿宋_GB2312" w:cs="仿宋_GB2312"/>
          <w:bCs/>
          <w:kern w:val="44"/>
          <w:sz w:val="32"/>
          <w:szCs w:val="32"/>
        </w:rPr>
      </w:pPr>
      <w:r>
        <w:rPr>
          <w:rFonts w:hint="eastAsia" w:ascii="仿宋_GB2312" w:hAnsi="仿宋_GB2312" w:eastAsia="仿宋_GB2312" w:cs="仿宋_GB2312"/>
          <w:b/>
          <w:sz w:val="32"/>
          <w:szCs w:val="32"/>
        </w:rPr>
        <w:br w:type="page"/>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红原县行政审批局</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2022</w:t>
      </w:r>
      <w:r>
        <w:rPr>
          <w:rFonts w:hint="eastAsia" w:ascii="方正小标宋简体" w:hAnsi="方正小标宋简体" w:eastAsia="方正小标宋简体" w:cs="方正小标宋简体"/>
          <w:b w:val="0"/>
          <w:bCs/>
          <w:sz w:val="44"/>
          <w:szCs w:val="44"/>
        </w:rPr>
        <w:t>年部门预算编制的说明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负责制定规范县政务服务</w:t>
      </w:r>
      <w:r>
        <w:rPr>
          <w:rFonts w:hint="eastAsia" w:ascii="仿宋_GB2312" w:hAnsi="仿宋" w:eastAsia="仿宋_GB2312"/>
          <w:sz w:val="32"/>
          <w:szCs w:val="32"/>
          <w:lang w:val="en-US" w:eastAsia="zh-CN"/>
        </w:rPr>
        <w:t>中心</w:t>
      </w:r>
      <w:r>
        <w:rPr>
          <w:rFonts w:hint="eastAsia" w:ascii="仿宋_GB2312" w:hAnsi="仿宋" w:eastAsia="仿宋_GB2312"/>
          <w:sz w:val="32"/>
          <w:szCs w:val="32"/>
        </w:rPr>
        <w:t>的各项业务运行和人员管理的规章制度、管理办法，并组织实施；负责对涉及两个以上部门平行审批的事项进行组织协调；负责对审批项目的运转情况进行协调、督查。</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2.</w:t>
      </w:r>
      <w:r>
        <w:rPr>
          <w:rFonts w:hint="eastAsia" w:ascii="仿宋_GB2312" w:hAnsi="仿宋" w:eastAsia="仿宋_GB2312"/>
          <w:sz w:val="32"/>
          <w:szCs w:val="32"/>
        </w:rPr>
        <w:t>负责对进入县政务服务中心的“窗口”单位和工作人员进行管理；负责组织各“窗口”单位规范、高效、优质服务，并提供法律政策咨询；负责对“窗口”工作人员进行考核；受理当事人对“窗口”及工作人员服务质量、效率等方面的投诉。</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对进入或者退出县政务服务中心集中受理、办理的要求进行初审并报县人民政府决定。</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负责政务服务中心电子政务建设、维护和管理。</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5.</w:t>
      </w:r>
      <w:r>
        <w:rPr>
          <w:rFonts w:hint="eastAsia" w:ascii="仿宋_GB2312" w:hAnsi="仿宋" w:eastAsia="仿宋_GB2312"/>
          <w:sz w:val="32"/>
          <w:szCs w:val="32"/>
        </w:rPr>
        <w:t>负责政务服务中心行政效能建设。</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负责网格化服务管理系统监管，下级平台报送事件进行分流，监督检查。</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7.</w:t>
      </w:r>
      <w:r>
        <w:rPr>
          <w:rFonts w:hint="eastAsia" w:ascii="仿宋_GB2312" w:hAnsi="仿宋" w:eastAsia="仿宋_GB2312"/>
          <w:sz w:val="32"/>
          <w:szCs w:val="32"/>
        </w:rPr>
        <w:t>负责完成县委、县政府交办的其他工作事项。</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left="0" w:firstLine="640"/>
        <w:jc w:val="left"/>
        <w:textAlignment w:val="auto"/>
        <w:rPr>
          <w:rFonts w:hint="eastAsia" w:ascii="仿宋_GB2312" w:hAnsi="仿宋" w:eastAsia="仿宋_GB2312"/>
          <w:sz w:val="32"/>
          <w:szCs w:val="32"/>
        </w:rPr>
      </w:pP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（二）2022年重点工作任务</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2022</w:t>
      </w:r>
      <w:r>
        <w:rPr>
          <w:rFonts w:hint="eastAsia"/>
          <w:bCs/>
          <w:sz w:val="32"/>
          <w:szCs w:val="32"/>
        </w:rPr>
        <w:t>年重点工作任务介绍</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1.党组织凝心聚力抓党建强引领完成情况。1.截止目前，共开展中心组政治理论学习15次，党支部集中学习13次，领导干部上党课6次，干部讲学5次，开展专题学习研讨会6次；利用“党员活动日”，组织全局干部职工及大厅入驻窗口工作人员开展“学党史、守初心、优服务”党史专题我来讲.微党课主题活动。2.坚持以党史学习教育为主线，以提升政务服务效能为重点，通过“红色领航下好一盘棋”、“红色细胞激活内生力”、“红色引擎给力放管服”三大行动，着力打造“红色政务服务大厅”，努力创建政务服务“样板间”、大美红原为民服务“新名片”。3.开展“红旗窗口”“服务标兵”评选。出台可量化的评选办法，重点考核全体人员工作绩效、创新表现等，每季度评选满意之星、服务之星、效率之星、创新之星、品德之星，激励用心用情做好政务服务工作，营造争先树优的良好氛围。4.开展“我为群众办实事”活动，设立政务中心开放日、党员干部双报到等活动，请进来、走出去，倾听群众企业对政务服务工作的意见与建议，将“群众满意度”纳入考核范围，好差评直接对应办理业务、受理人员，精准反映服务质量，不断推进政务服务的标准化、精细化、专业化。5.依托“大学习、大讨论、大调研”活动与“党史”学习教育有机结合合，形成“人人谋实情、人人干实事、人人讲奉献”的工作状态。6.拟定学习计划，推动党内组织生活常态化，把组织优势转化为发展动力，围绕中心，服务大局，为做好“放管服”改革和行政审批制度改革工作提供强力支撑和组织保障。8.完成藏汉双语版《红原县便民服务群众“一件事一次办”清单》，并发放到10个乡镇。</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　</w:t>
      </w:r>
      <w:r>
        <w:rPr>
          <w:rFonts w:hint="eastAsia" w:ascii="仿宋_GB2312" w:eastAsia="仿宋_GB2312" w:cstheme="minorBidi"/>
          <w:bCs/>
          <w:kern w:val="2"/>
          <w:sz w:val="32"/>
          <w:szCs w:val="32"/>
          <w:lang w:val="en-US" w:eastAsia="zh-CN" w:bidi="ar-SA"/>
        </w:rPr>
        <w:t>2.</w:t>
      </w:r>
      <w:r>
        <w:rPr>
          <w:rFonts w:hint="eastAsia" w:ascii="仿宋_GB2312" w:eastAsia="仿宋_GB2312" w:hAnsiTheme="minorHAnsi" w:cstheme="minorBidi"/>
          <w:bCs/>
          <w:kern w:val="2"/>
          <w:sz w:val="32"/>
          <w:szCs w:val="32"/>
          <w:lang w:val="en-US" w:eastAsia="zh-CN" w:bidi="ar-SA"/>
        </w:rPr>
        <w:t>以深化改革为动力，塑造政务新形象</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 xml:space="preserve">一是推进政务服务“只进一扇门”。持续实施“三集中，三到位”工作机制，在前期已入驻的基础上，整合资源，优化服务方式，为企业群众提供“一站式”服务，逐步实现群众和企业办事“只进一扇门、办成所有事”的目标。目前，共有23个行政机关和6个企业，58名工作人员（包含A、B岗）集中在县愍政务服务中心办公，入驻单位行政审批事项130项，公共服务事项 132项。二是对照权力清单，梳理细化“最多跑一次”的行政许可事项清单，并在门户网分批、分类公布。经清理，我县共有行政权力7182项，其中：行政许可622项，行政处罚4297项，行政强制157项，行政征收114项，行政裁决9项，行政确认98项，行政给付7项，行政检查238项，行政奖励113项，其他行政权力312项,公共服务830项。持续推进省政务服务一体化平台工作。截至目前，通过省政务服务一体化平台（3.0版本）办理：行政许可受理2830件，办结1767件。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　 二是多措并举，全面做好疫情防控工作。加强疫情防控工作，我局认真贯彻落实中央、省、州、县防控工作精神，多措并举切实打好“防疫战”，为办事群众保驾护航。1.加强宣传，优化服务。提升群众网办意识，加强天府通办App的宣传，引导群众网上办理，必须现场办理的非紧急类事项预约办理、延期办理，确保政务服务不打烊、群众安全有保障。2.严格把控，入厅必测。防疫期间，对进入办事大厅的所有工作人员和办事群众要求必须佩戴口罩，并进行体温监测和登记，工作人员每日测量体温，每日登记，做好严防严控与为民服务两不误。3.强化管理，消毒防疫。安排保洁员每日3次对大厅全区域进行清洁消毒，保证大厅通风，防止因人员聚集等造成交叉感染，切断疫情传播途径。4.加强物资管理，保障后勤供应。提前储备防护口罩、消毒水、红外线体温枪等物资，并要求严格规范使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　</w:t>
      </w:r>
      <w:r>
        <w:rPr>
          <w:rFonts w:hint="eastAsia" w:ascii="仿宋_GB2312" w:eastAsia="仿宋_GB2312" w:cstheme="minorBidi"/>
          <w:bCs/>
          <w:kern w:val="2"/>
          <w:sz w:val="32"/>
          <w:szCs w:val="32"/>
          <w:lang w:val="en-US" w:eastAsia="zh-CN" w:bidi="ar-SA"/>
        </w:rPr>
        <w:t>3.</w:t>
      </w:r>
      <w:r>
        <w:rPr>
          <w:rFonts w:hint="eastAsia" w:ascii="仿宋_GB2312" w:eastAsia="仿宋_GB2312" w:hAnsiTheme="minorHAnsi" w:cstheme="minorBidi"/>
          <w:bCs/>
          <w:kern w:val="2"/>
          <w:sz w:val="32"/>
          <w:szCs w:val="32"/>
          <w:lang w:val="en-US" w:eastAsia="zh-CN" w:bidi="ar-SA"/>
        </w:rPr>
        <w:t>创新监管机制，规范公共资源交易行为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　　</w:t>
      </w:r>
      <w:r>
        <w:rPr>
          <w:rFonts w:hint="eastAsia" w:ascii="仿宋_GB2312" w:eastAsia="仿宋_GB2312" w:cstheme="minorBidi"/>
          <w:bCs/>
          <w:kern w:val="2"/>
          <w:sz w:val="32"/>
          <w:szCs w:val="32"/>
          <w:lang w:val="en-US" w:eastAsia="zh-CN" w:bidi="ar-SA"/>
        </w:rPr>
        <w:t>（1）</w:t>
      </w:r>
      <w:r>
        <w:rPr>
          <w:rFonts w:hint="eastAsia" w:ascii="仿宋_GB2312" w:eastAsia="仿宋_GB2312" w:hAnsiTheme="minorHAnsi" w:cstheme="minorBidi"/>
          <w:bCs/>
          <w:kern w:val="2"/>
          <w:sz w:val="32"/>
          <w:szCs w:val="32"/>
          <w:lang w:val="en-US" w:eastAsia="zh-CN" w:bidi="ar-SA"/>
        </w:rPr>
        <w:t>完善岗位管理，不断修订和完善采购业务流程，强化和细化岗位职责，建立内部监督制约机制，充分发挥岗位之间相互监督的作用。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　　（</w:t>
      </w:r>
      <w:r>
        <w:rPr>
          <w:rFonts w:hint="eastAsia" w:ascii="仿宋_GB2312" w:eastAsia="仿宋_GB2312" w:cstheme="minorBidi"/>
          <w:bCs/>
          <w:kern w:val="2"/>
          <w:sz w:val="32"/>
          <w:szCs w:val="32"/>
          <w:lang w:val="en-US" w:eastAsia="zh-CN" w:bidi="ar-SA"/>
        </w:rPr>
        <w:t>2</w:t>
      </w:r>
      <w:r>
        <w:rPr>
          <w:rFonts w:hint="eastAsia" w:ascii="仿宋_GB2312" w:eastAsia="仿宋_GB2312" w:hAnsiTheme="minorHAnsi" w:cstheme="minorBidi"/>
          <w:bCs/>
          <w:kern w:val="2"/>
          <w:sz w:val="32"/>
          <w:szCs w:val="32"/>
          <w:lang w:val="en-US" w:eastAsia="zh-CN" w:bidi="ar-SA"/>
        </w:rPr>
        <w:t>）强化制度管理建设，完善“政府采购工作流程”、“政府采购工作职责”、“内部管理制度”、“政府采购档案管理制度”等系列规章制度。</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　　（</w:t>
      </w:r>
      <w:r>
        <w:rPr>
          <w:rFonts w:hint="eastAsia" w:ascii="仿宋_GB2312" w:eastAsia="仿宋_GB2312" w:cstheme="minorBidi"/>
          <w:bCs/>
          <w:kern w:val="2"/>
          <w:sz w:val="32"/>
          <w:szCs w:val="32"/>
          <w:lang w:val="en-US" w:eastAsia="zh-CN" w:bidi="ar-SA"/>
        </w:rPr>
        <w:t>3</w:t>
      </w:r>
      <w:r>
        <w:rPr>
          <w:rFonts w:hint="eastAsia" w:ascii="仿宋_GB2312" w:eastAsia="仿宋_GB2312" w:hAnsiTheme="minorHAnsi" w:cstheme="minorBidi"/>
          <w:bCs/>
          <w:kern w:val="2"/>
          <w:sz w:val="32"/>
          <w:szCs w:val="32"/>
          <w:lang w:val="en-US" w:eastAsia="zh-CN" w:bidi="ar-SA"/>
        </w:rPr>
        <w:t>）严把三关，规范工作程序。一是严把采购业务信息制作发布关，确保信息公开；二是严把采购文件的制作关，确保文件内容客观公平；三是严把评审关，确保结果公正。</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仿宋_GB2312" w:eastAsia="仿宋_GB2312" w:hAnsiTheme="minorHAnsi" w:cstheme="minorBidi"/>
          <w:bCs/>
          <w:kern w:val="2"/>
          <w:sz w:val="32"/>
          <w:szCs w:val="32"/>
          <w:lang w:val="en-US" w:eastAsia="zh-CN" w:bidi="ar-SA"/>
        </w:rPr>
        <w:t>　　（</w:t>
      </w:r>
      <w:r>
        <w:rPr>
          <w:rFonts w:hint="eastAsia" w:ascii="仿宋_GB2312" w:eastAsia="仿宋_GB2312" w:cstheme="minorBidi"/>
          <w:bCs/>
          <w:kern w:val="2"/>
          <w:sz w:val="32"/>
          <w:szCs w:val="32"/>
          <w:lang w:val="en-US" w:eastAsia="zh-CN" w:bidi="ar-SA"/>
        </w:rPr>
        <w:t>4</w:t>
      </w:r>
      <w:r>
        <w:rPr>
          <w:rFonts w:hint="eastAsia" w:ascii="仿宋_GB2312" w:eastAsia="仿宋_GB2312" w:hAnsiTheme="minorHAnsi" w:cstheme="minorBidi"/>
          <w:bCs/>
          <w:kern w:val="2"/>
          <w:sz w:val="32"/>
          <w:szCs w:val="32"/>
          <w:lang w:val="en-US" w:eastAsia="zh-CN" w:bidi="ar-SA"/>
        </w:rPr>
        <w:t>）积极探索新的采购方式和采购方法，在确保公平、公正、公开的基础上，依托州网上竞价管理系统，开展网上竞价、商场直购两种采购方式，极大的提高采购效率，降低采购成本。</w:t>
      </w: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eastAsia="zh-CN"/>
        </w:rPr>
        <w:t>红原县行政审批局内设一个二级事业单位：红原县公共资源交易服务中心，</w:t>
      </w:r>
      <w:r>
        <w:rPr>
          <w:rFonts w:hint="eastAsia" w:ascii="仿宋_GB2312" w:hAnsi="仿宋" w:eastAsia="仿宋_GB2312"/>
          <w:sz w:val="32"/>
          <w:szCs w:val="32"/>
          <w:lang w:val="en-US" w:eastAsia="zh-CN"/>
        </w:rPr>
        <w:t>2022年部门预算编制范围包括一个行政单位：行政审批局本级，一个事业单位：</w:t>
      </w:r>
      <w:r>
        <w:rPr>
          <w:rFonts w:hint="eastAsia" w:ascii="仿宋_GB2312" w:hAnsi="仿宋" w:eastAsia="仿宋_GB2312"/>
          <w:sz w:val="32"/>
          <w:szCs w:val="32"/>
          <w:lang w:eastAsia="zh-CN"/>
        </w:rPr>
        <w:t>红原县公共资源交易服务中心，红原县行政审批局为全额拨款行政单位，截止</w:t>
      </w:r>
      <w:r>
        <w:rPr>
          <w:rFonts w:hint="eastAsia" w:ascii="仿宋_GB2312" w:hAnsi="仿宋" w:eastAsia="仿宋_GB2312"/>
          <w:sz w:val="32"/>
          <w:szCs w:val="32"/>
          <w:lang w:val="en-US" w:eastAsia="zh-CN"/>
        </w:rPr>
        <w:t>2021年底在职公务员3人，行政工勤1人，事业人员8人。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w:t>
      </w:r>
      <w:r>
        <w:rPr>
          <w:rFonts w:hint="eastAsia" w:ascii="仿宋_GB2312" w:eastAsia="仿宋_GB2312"/>
          <w:sz w:val="32"/>
          <w:szCs w:val="32"/>
          <w:lang w:eastAsia="zh-CN"/>
        </w:rPr>
        <w:t>红原县行政审批局</w:t>
      </w:r>
      <w:r>
        <w:rPr>
          <w:rFonts w:hint="eastAsia" w:ascii="仿宋_GB2312" w:eastAsia="仿宋_GB2312"/>
          <w:sz w:val="32"/>
          <w:szCs w:val="32"/>
        </w:rPr>
        <w:t>收入预算总额为288.43万元，其中：当年财政拨款收入288.43万元。相应安排支出预算288.43万元，其中：一般公共服务225.53万元，社会保障和就业30.45万元，医疗卫生11.26万元，住房保障支出21.19万元。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红原县行政审批局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行政审批及公共资源交易服务</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基本支出214.41</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rPr>
        <w:t>194.02</w:t>
      </w:r>
      <w:r>
        <w:rPr>
          <w:rFonts w:hint="eastAsia" w:ascii="仿宋_GB2312" w:eastAsia="仿宋_GB2312"/>
          <w:sz w:val="32"/>
          <w:szCs w:val="32"/>
          <w:lang w:val="en-US" w:eastAsia="zh-CN"/>
        </w:rPr>
        <w:t>万元，机关运行经费</w:t>
      </w:r>
      <w:r>
        <w:rPr>
          <w:rFonts w:hint="eastAsia" w:ascii="仿宋_GB2312" w:eastAsia="仿宋_GB2312"/>
          <w:sz w:val="32"/>
          <w:szCs w:val="32"/>
        </w:rPr>
        <w:t>20.39</w:t>
      </w:r>
      <w:r>
        <w:rPr>
          <w:rFonts w:hint="eastAsia" w:ascii="仿宋_GB2312" w:eastAsia="仿宋_GB2312"/>
          <w:sz w:val="32"/>
          <w:szCs w:val="32"/>
          <w:lang w:val="en-US" w:eastAsia="zh-CN"/>
        </w:rPr>
        <w:t>万元，其中：办公费</w:t>
      </w:r>
      <w:r>
        <w:rPr>
          <w:rFonts w:hint="eastAsia" w:ascii="仿宋_GB2312" w:eastAsia="仿宋_GB2312"/>
          <w:sz w:val="32"/>
          <w:szCs w:val="32"/>
        </w:rPr>
        <w:t>7.07</w:t>
      </w:r>
      <w:r>
        <w:rPr>
          <w:rFonts w:hint="eastAsia" w:ascii="仿宋_GB2312" w:eastAsia="仿宋_GB2312"/>
          <w:sz w:val="32"/>
          <w:szCs w:val="32"/>
          <w:lang w:val="en-US" w:eastAsia="zh-CN"/>
        </w:rPr>
        <w:t>万元，印刷费0.50万元，水费0.40万元，电费0.6万元，邮电费1万元，差旅费</w:t>
      </w:r>
      <w:r>
        <w:rPr>
          <w:rFonts w:hint="eastAsia" w:ascii="仿宋_GB2312" w:eastAsia="仿宋_GB2312"/>
          <w:sz w:val="32"/>
          <w:szCs w:val="32"/>
        </w:rPr>
        <w:t>4.15</w:t>
      </w:r>
      <w:r>
        <w:rPr>
          <w:rFonts w:hint="eastAsia" w:ascii="仿宋_GB2312" w:eastAsia="仿宋_GB2312"/>
          <w:sz w:val="32"/>
          <w:szCs w:val="32"/>
          <w:lang w:val="en-US" w:eastAsia="zh-CN"/>
        </w:rPr>
        <w:t>万元，培训费0.48万元，公务接待费0.07万元，工会经费1.52万元，公务用车运行维护费4.6万元。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（一）2010</w:t>
      </w:r>
      <w:r>
        <w:rPr>
          <w:rFonts w:hint="eastAsia" w:ascii="仿宋_GB2312" w:eastAsia="仿宋_GB2312"/>
          <w:sz w:val="32"/>
          <w:szCs w:val="32"/>
          <w:lang w:val="en-US" w:eastAsia="zh-CN"/>
        </w:rPr>
        <w:t>3</w:t>
      </w:r>
      <w:r>
        <w:rPr>
          <w:rFonts w:hint="eastAsia" w:ascii="仿宋_GB2312" w:eastAsia="仿宋_GB2312"/>
          <w:sz w:val="32"/>
          <w:szCs w:val="32"/>
        </w:rPr>
        <w:t>01</w:t>
      </w:r>
      <w:r>
        <w:rPr>
          <w:rFonts w:hint="eastAsia" w:ascii="仿宋_GB2312" w:eastAsia="仿宋_GB2312"/>
          <w:sz w:val="32"/>
          <w:szCs w:val="32"/>
          <w:lang w:val="en-US" w:eastAsia="zh-CN"/>
        </w:rPr>
        <w:t>-</w:t>
      </w:r>
      <w:r>
        <w:rPr>
          <w:rFonts w:hint="eastAsia" w:ascii="仿宋_GB2312" w:eastAsia="仿宋_GB2312"/>
          <w:sz w:val="32"/>
          <w:szCs w:val="32"/>
        </w:rPr>
        <w:t>行政运行67.07</w:t>
      </w:r>
      <w:r>
        <w:rPr>
          <w:rFonts w:hint="eastAsia" w:ascii="仿宋_GB2312" w:eastAsia="仿宋_GB2312"/>
          <w:sz w:val="32"/>
          <w:szCs w:val="32"/>
          <w:lang w:eastAsia="zh-CN"/>
        </w:rPr>
        <w:t>万元</w:t>
      </w:r>
      <w:r>
        <w:rPr>
          <w:rFonts w:hint="eastAsia" w:ascii="仿宋_GB2312" w:eastAsia="仿宋_GB2312"/>
          <w:sz w:val="32"/>
          <w:szCs w:val="32"/>
        </w:rPr>
        <w:t>，主要用于</w:t>
      </w:r>
      <w:r>
        <w:rPr>
          <w:rFonts w:hint="eastAsia" w:ascii="仿宋_GB2312" w:eastAsia="仿宋_GB2312"/>
          <w:sz w:val="32"/>
          <w:szCs w:val="32"/>
          <w:lang w:eastAsia="zh-CN"/>
        </w:rPr>
        <w:t>行政</w:t>
      </w:r>
      <w:r>
        <w:rPr>
          <w:rFonts w:hint="eastAsia" w:ascii="仿宋_GB2312" w:eastAsia="仿宋_GB2312"/>
          <w:sz w:val="32"/>
          <w:szCs w:val="32"/>
        </w:rPr>
        <w:t>单位人员工资</w:t>
      </w:r>
      <w:r>
        <w:rPr>
          <w:rFonts w:hint="eastAsia" w:ascii="仿宋_GB2312" w:eastAsia="仿宋_GB2312"/>
          <w:sz w:val="32"/>
          <w:szCs w:val="32"/>
          <w:lang w:eastAsia="zh-CN"/>
        </w:rPr>
        <w:t>、个人部分保险</w:t>
      </w:r>
      <w:r>
        <w:rPr>
          <w:rFonts w:hint="eastAsia" w:ascii="仿宋_GB2312" w:eastAsia="仿宋_GB2312"/>
          <w:sz w:val="32"/>
          <w:szCs w:val="32"/>
        </w:rPr>
        <w:t>、日常运转</w:t>
      </w:r>
      <w:r>
        <w:rPr>
          <w:rFonts w:hint="eastAsia" w:ascii="仿宋_GB2312" w:eastAsia="仿宋_GB2312"/>
          <w:sz w:val="32"/>
          <w:szCs w:val="32"/>
          <w:lang w:eastAsia="zh-CN"/>
        </w:rPr>
        <w:t>等</w:t>
      </w:r>
      <w:r>
        <w:rPr>
          <w:rFonts w:hint="eastAsia" w:ascii="仿宋_GB2312" w:eastAsia="仿宋_GB2312"/>
          <w:sz w:val="32"/>
          <w:szCs w:val="32"/>
        </w:rPr>
        <w:t>支出</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（二）2010102</w:t>
      </w:r>
      <w:r>
        <w:rPr>
          <w:rFonts w:hint="eastAsia" w:ascii="仿宋_GB2312" w:eastAsia="仿宋_GB2312"/>
          <w:sz w:val="32"/>
          <w:szCs w:val="32"/>
          <w:lang w:val="en-US" w:eastAsia="zh-CN"/>
        </w:rPr>
        <w:t>-</w:t>
      </w:r>
      <w:r>
        <w:rPr>
          <w:rFonts w:hint="eastAsia" w:ascii="仿宋_GB2312" w:eastAsia="仿宋_GB2312"/>
          <w:sz w:val="32"/>
          <w:szCs w:val="32"/>
          <w:lang w:eastAsia="zh-CN"/>
        </w:rPr>
        <w:t>一般行政管理事务74.0</w:t>
      </w:r>
      <w:r>
        <w:rPr>
          <w:rFonts w:hint="eastAsia" w:ascii="仿宋_GB2312" w:eastAsia="仿宋_GB2312"/>
          <w:sz w:val="32"/>
          <w:szCs w:val="32"/>
          <w:lang w:val="en-US" w:eastAsia="zh-CN"/>
        </w:rPr>
        <w:t>0</w:t>
      </w:r>
      <w:r>
        <w:rPr>
          <w:rFonts w:hint="eastAsia" w:ascii="仿宋_GB2312" w:eastAsia="仿宋_GB2312"/>
          <w:sz w:val="32"/>
          <w:szCs w:val="32"/>
          <w:lang w:eastAsia="zh-CN"/>
        </w:rPr>
        <w:t>万元，为专项办公费，主要用于保障政务大厅</w:t>
      </w:r>
      <w:r>
        <w:rPr>
          <w:rFonts w:hint="eastAsia" w:ascii="仿宋_GB2312" w:eastAsia="仿宋_GB2312"/>
          <w:sz w:val="32"/>
          <w:szCs w:val="32"/>
          <w:lang w:val="en-US" w:eastAsia="zh-CN"/>
        </w:rPr>
        <w:t>A.B区的正常运转所需水费、办公费、印刷费</w:t>
      </w:r>
      <w:r>
        <w:rPr>
          <w:rFonts w:hint="eastAsia" w:ascii="仿宋_GB2312" w:eastAsia="仿宋_GB2312"/>
          <w:sz w:val="32"/>
          <w:szCs w:val="32"/>
          <w:lang w:eastAsia="zh-CN"/>
        </w:rPr>
        <w:t>等费用；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（三）2010</w:t>
      </w:r>
      <w:r>
        <w:rPr>
          <w:rFonts w:hint="eastAsia" w:ascii="仿宋_GB2312" w:eastAsia="仿宋_GB2312"/>
          <w:sz w:val="32"/>
          <w:szCs w:val="32"/>
          <w:lang w:val="en-US" w:eastAsia="zh-CN"/>
        </w:rPr>
        <w:t>350-</w:t>
      </w:r>
      <w:r>
        <w:rPr>
          <w:rFonts w:hint="eastAsia" w:ascii="仿宋_GB2312" w:eastAsia="仿宋_GB2312"/>
          <w:sz w:val="32"/>
          <w:szCs w:val="32"/>
          <w:lang w:eastAsia="zh-CN"/>
        </w:rPr>
        <w:t>事业运行84.45万元，</w:t>
      </w:r>
      <w:r>
        <w:rPr>
          <w:rFonts w:hint="eastAsia" w:ascii="仿宋_GB2312" w:eastAsia="仿宋_GB2312"/>
          <w:sz w:val="32"/>
          <w:szCs w:val="32"/>
        </w:rPr>
        <w:t>主要用于</w:t>
      </w:r>
      <w:r>
        <w:rPr>
          <w:rFonts w:hint="eastAsia" w:ascii="仿宋_GB2312" w:eastAsia="仿宋_GB2312"/>
          <w:sz w:val="32"/>
          <w:szCs w:val="32"/>
          <w:lang w:eastAsia="zh-CN"/>
        </w:rPr>
        <w:t>公共资源交易中心</w:t>
      </w:r>
      <w:r>
        <w:rPr>
          <w:rFonts w:hint="eastAsia" w:ascii="仿宋_GB2312" w:eastAsia="仿宋_GB2312"/>
          <w:sz w:val="32"/>
          <w:szCs w:val="32"/>
        </w:rPr>
        <w:t>人员工资</w:t>
      </w:r>
      <w:r>
        <w:rPr>
          <w:rFonts w:hint="eastAsia" w:ascii="仿宋_GB2312" w:eastAsia="仿宋_GB2312"/>
          <w:sz w:val="32"/>
          <w:szCs w:val="32"/>
          <w:lang w:eastAsia="zh-CN"/>
        </w:rPr>
        <w:t>、个人部分保险</w:t>
      </w:r>
      <w:r>
        <w:rPr>
          <w:rFonts w:hint="eastAsia" w:ascii="仿宋_GB2312" w:eastAsia="仿宋_GB2312"/>
          <w:sz w:val="32"/>
          <w:szCs w:val="32"/>
        </w:rPr>
        <w:t>、日常运转</w:t>
      </w:r>
      <w:r>
        <w:rPr>
          <w:rFonts w:hint="eastAsia" w:ascii="仿宋_GB2312" w:eastAsia="仿宋_GB2312"/>
          <w:sz w:val="32"/>
          <w:szCs w:val="32"/>
          <w:lang w:eastAsia="zh-CN"/>
        </w:rPr>
        <w:t>等</w:t>
      </w:r>
      <w:r>
        <w:rPr>
          <w:rFonts w:hint="eastAsia" w:ascii="仿宋_GB2312" w:eastAsia="仿宋_GB2312"/>
          <w:sz w:val="32"/>
          <w:szCs w:val="32"/>
        </w:rPr>
        <w:t>支出</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（六）2080505</w:t>
      </w:r>
      <w:r>
        <w:rPr>
          <w:rFonts w:hint="eastAsia" w:ascii="仿宋_GB2312" w:eastAsia="仿宋_GB2312"/>
          <w:sz w:val="32"/>
          <w:szCs w:val="32"/>
          <w:lang w:val="en-US" w:eastAsia="zh-CN"/>
        </w:rPr>
        <w:t>-</w:t>
      </w:r>
      <w:r>
        <w:rPr>
          <w:rFonts w:hint="eastAsia" w:ascii="仿宋_GB2312" w:eastAsia="仿宋_GB2312"/>
          <w:sz w:val="32"/>
          <w:szCs w:val="32"/>
          <w:lang w:eastAsia="zh-CN"/>
        </w:rPr>
        <w:t>机关事业单位基本养老保险缴费支出20.30万元，全部用于在职职工缴纳单位部分养老保险；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（七）2080506-机关事业单位职业年金缴费支出10.15万元，全部用于在职职工缴纳单位部分职业年金；</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（八）2101101-行政单位医疗3.83万元，全部用于缴纳行政在职职工单位部分医疗保险；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lang w:val="en-US" w:eastAsia="zh-CN"/>
        </w:rPr>
      </w:pPr>
      <w:r>
        <w:rPr>
          <w:rFonts w:hint="eastAsia" w:ascii="仿宋_GB2312" w:eastAsia="仿宋_GB2312"/>
          <w:sz w:val="32"/>
          <w:szCs w:val="32"/>
          <w:lang w:val="en-US" w:eastAsia="zh-CN"/>
        </w:rPr>
        <w:t>（）2101102-事业单位医疗5.06万元，全部用于缴纳事业在职职工单位部分医疗保险；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（九）2101103-公务员医疗补助支出0.92万元，全部用于缴纳行政在职职工公务员医疗保险；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lang w:val="en-US" w:eastAsia="zh-CN"/>
        </w:rPr>
      </w:pPr>
      <w:r>
        <w:rPr>
          <w:rFonts w:hint="eastAsia" w:ascii="仿宋_GB2312" w:eastAsia="仿宋_GB2312"/>
          <w:sz w:val="32"/>
          <w:szCs w:val="32"/>
          <w:lang w:val="en-US" w:eastAsia="zh-CN"/>
        </w:rPr>
        <w:t>（）2101199-其他行政事业单位医疗支出1.46万元，全部用于缴纳事业在职职工公务员医疗保险；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（十）2210201-住房公积金支出21.19万元，全部用于缴纳在职职工单位部分住房公积金。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2"/>
          <w:szCs w:val="32"/>
        </w:rPr>
        <w:t>288.43</w:t>
      </w:r>
      <w:r>
        <w:rPr>
          <w:rFonts w:hint="eastAsia" w:ascii="仿宋_GB2312" w:eastAsia="仿宋_GB2312"/>
          <w:sz w:val="32"/>
          <w:szCs w:val="32"/>
          <w:lang w:val="en-US" w:eastAsia="zh-CN"/>
        </w:rPr>
        <w:t xml:space="preserve">万元较上年度预算307.4万元减少了18.97万元，下降6.17%，其中基本行政运行经费预算214.41万元，占全部总预算的74.34%，较上年197.99万元增加了16.42万元，增长了8.29%，增长主要原因是2022年预算编制在职人员比2021年预算编制在职人员多1人，产生1人工资，保险及公用经费预算；专项业务工作经费预算74.01万元，占总预算的25.99%，较上年109.41万元减少35.4万元，减少主要原因是窗口人员减少及厉行节约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6.17万元，其中：出国费0万元，与上年持平，主要原因为未安排因公出国；公车购置费0元，与上年持平；公务用车维护费支出6.1万元，较上年度预算7.1万元减少1万元，主要原因严格执行“八项规定、六项禁令”；二是将有关股室的工作有机地结合起来，减少不必要的资源浪费；公务接待费0.07万元，与上年持平，主要原因为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pStyle w:val="6"/>
        <w:numPr>
          <w:ilvl w:val="0"/>
          <w:numId w:val="0"/>
        </w:num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截止2021年底，实际共有固定资产价值原值186.29万</w:t>
      </w:r>
    </w:p>
    <w:p>
      <w:pPr>
        <w:pStyle w:val="6"/>
        <w:numPr>
          <w:ilvl w:val="0"/>
          <w:numId w:val="0"/>
        </w:numPr>
        <w:rPr>
          <w:rFonts w:hint="eastAsia" w:ascii="仿宋_GB2312" w:eastAsia="仿宋_GB2312"/>
          <w:sz w:val="32"/>
          <w:szCs w:val="32"/>
          <w:lang w:val="en-US" w:eastAsia="zh-CN"/>
        </w:rPr>
      </w:pPr>
      <w:r>
        <w:rPr>
          <w:rFonts w:hint="eastAsia" w:ascii="仿宋_GB2312" w:eastAsia="仿宋_GB2312"/>
          <w:sz w:val="32"/>
          <w:szCs w:val="32"/>
          <w:lang w:eastAsia="zh-CN"/>
        </w:rPr>
        <w:t>元：其中：其他通用设备</w:t>
      </w:r>
      <w:r>
        <w:rPr>
          <w:rFonts w:hint="eastAsia" w:ascii="仿宋_GB2312" w:eastAsia="仿宋_GB2312"/>
          <w:sz w:val="32"/>
          <w:szCs w:val="32"/>
          <w:lang w:val="en-US" w:eastAsia="zh-CN"/>
        </w:rPr>
        <w:t>价值161.83万元，专业设备1.14万元，家具用具23.32万元。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2021年我单位项目支出按要求编制了事前绩效目标，并上传了事前绩效评估报告，从项目完成、项目效益、满意度等方面做了测评，具体情况详见附表6.</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bookmarkStart w:id="6" w:name="_GoBack"/>
      <w:bookmarkEnd w:id="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13"/>
      </w:rPr>
    </w:pPr>
    <w:r>
      <w:fldChar w:fldCharType="begin"/>
    </w:r>
    <w:r>
      <w:rPr>
        <w:rStyle w:val="13"/>
      </w:rPr>
      <w:instrText xml:space="preserve">PAGE  </w:instrText>
    </w:r>
    <w:r>
      <w:fldChar w:fldCharType="separate"/>
    </w:r>
    <w:r>
      <w:rPr>
        <w:rStyle w:val="13"/>
      </w:rPr>
      <w:t>2</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13"/>
      </w:rPr>
    </w:pPr>
    <w:r>
      <w:fldChar w:fldCharType="begin"/>
    </w:r>
    <w:r>
      <w:rPr>
        <w:rStyle w:val="13"/>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9121D09"/>
    <w:rsid w:val="0A1F3070"/>
    <w:rsid w:val="0C264537"/>
    <w:rsid w:val="10B92046"/>
    <w:rsid w:val="150507F9"/>
    <w:rsid w:val="17443462"/>
    <w:rsid w:val="18870CA9"/>
    <w:rsid w:val="194D289E"/>
    <w:rsid w:val="1CEB47D9"/>
    <w:rsid w:val="1EA21A14"/>
    <w:rsid w:val="27A44875"/>
    <w:rsid w:val="28AF655E"/>
    <w:rsid w:val="29121599"/>
    <w:rsid w:val="2B8E393C"/>
    <w:rsid w:val="2D241839"/>
    <w:rsid w:val="2F270E7E"/>
    <w:rsid w:val="352367C0"/>
    <w:rsid w:val="37BB3A09"/>
    <w:rsid w:val="3C09394B"/>
    <w:rsid w:val="3E115F7A"/>
    <w:rsid w:val="3E2C192B"/>
    <w:rsid w:val="41C14C68"/>
    <w:rsid w:val="44DE2F1A"/>
    <w:rsid w:val="46A538B6"/>
    <w:rsid w:val="4B6220EE"/>
    <w:rsid w:val="54715195"/>
    <w:rsid w:val="555E53B0"/>
    <w:rsid w:val="56F015BA"/>
    <w:rsid w:val="577B1E53"/>
    <w:rsid w:val="57BB7549"/>
    <w:rsid w:val="5C1941D5"/>
    <w:rsid w:val="5D7E22DD"/>
    <w:rsid w:val="636966A0"/>
    <w:rsid w:val="670175BB"/>
    <w:rsid w:val="6CCB713F"/>
    <w:rsid w:val="6D9E2C3B"/>
    <w:rsid w:val="6FBF4B32"/>
    <w:rsid w:val="70F00356"/>
    <w:rsid w:val="75AD6676"/>
    <w:rsid w:val="778B2178"/>
    <w:rsid w:val="7B312348"/>
    <w:rsid w:val="7BB04544"/>
    <w:rsid w:val="7DEC2A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 w:type="paragraph" w:styleId="3">
    <w:name w:val="Body Text"/>
    <w:basedOn w:val="1"/>
    <w:qFormat/>
    <w:uiPriority w:val="0"/>
    <w:pPr>
      <w:spacing w:before="93" w:beforeLines="30"/>
    </w:pPr>
    <w:rPr>
      <w:rFonts w:ascii="仿宋_GB2312" w:eastAsia="仿宋_GB2312"/>
      <w:sz w:val="30"/>
    </w:rPr>
  </w:style>
  <w:style w:type="paragraph" w:styleId="4">
    <w:name w:val="Body Text Indent"/>
    <w:basedOn w:val="1"/>
    <w:next w:val="5"/>
    <w:qFormat/>
    <w:uiPriority w:val="6"/>
    <w:pPr>
      <w:ind w:firstLine="567"/>
      <w:jc w:val="both"/>
    </w:pPr>
    <w:rPr>
      <w:kern w:val="1"/>
      <w:sz w:val="28"/>
    </w:rPr>
  </w:style>
  <w:style w:type="paragraph" w:styleId="5">
    <w:name w:val="Body Text First Indent 2"/>
    <w:basedOn w:val="4"/>
    <w:next w:val="6"/>
    <w:qFormat/>
    <w:uiPriority w:val="0"/>
    <w:pPr>
      <w:ind w:firstLine="420" w:firstLineChars="200"/>
    </w:pPr>
  </w:style>
  <w:style w:type="paragraph" w:styleId="6">
    <w:name w:val="Plain Text"/>
    <w:basedOn w:val="1"/>
    <w:unhideWhenUsed/>
    <w:qFormat/>
    <w:uiPriority w:val="99"/>
    <w:rPr>
      <w:rFonts w:ascii="宋体" w:hAnsi="Courier New"/>
    </w:rPr>
  </w:style>
  <w:style w:type="paragraph" w:styleId="7">
    <w:name w:val="toc 1"/>
    <w:basedOn w:val="1"/>
    <w:next w:val="1"/>
    <w:qFormat/>
    <w:uiPriority w:val="0"/>
    <w:pPr>
      <w:tabs>
        <w:tab w:val="right" w:leader="dot" w:pos="8296"/>
      </w:tabs>
      <w:spacing w:before="93"/>
      <w:jc w:val="center"/>
    </w:pPr>
    <w:rPr>
      <w:rFonts w:ascii="仿宋" w:eastAsia="仿宋"/>
      <w:sz w:val="28"/>
      <w:szCs w:val="28"/>
    </w:rPr>
  </w:style>
  <w:style w:type="paragraph" w:styleId="8">
    <w:name w:val="toc 2"/>
    <w:basedOn w:val="1"/>
    <w:next w:val="1"/>
    <w:uiPriority w:val="0"/>
    <w:pPr>
      <w:tabs>
        <w:tab w:val="right" w:leader="dot" w:pos="8296"/>
      </w:tabs>
      <w:ind w:left="200" w:leftChars="200"/>
    </w:pPr>
  </w:style>
  <w:style w:type="paragraph" w:styleId="9">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2">
    <w:name w:val="Strong"/>
    <w:basedOn w:val="11"/>
    <w:qFormat/>
    <w:uiPriority w:val="0"/>
    <w:rPr>
      <w:b/>
    </w:rPr>
  </w:style>
  <w:style w:type="character" w:styleId="13">
    <w:name w:val="page number"/>
    <w:basedOn w:val="11"/>
    <w:qFormat/>
    <w:uiPriority w:val="0"/>
  </w:style>
  <w:style w:type="character" w:styleId="14">
    <w:name w:val="line number"/>
    <w:basedOn w:val="11"/>
    <w:qFormat/>
    <w:uiPriority w:val="0"/>
    <w:rPr>
      <w:rFonts w:hint="default"/>
      <w:sz w:val="22"/>
    </w:rPr>
  </w:style>
  <w:style w:type="character" w:styleId="15">
    <w:name w:val="Hyperlink"/>
    <w:basedOn w:val="11"/>
    <w:uiPriority w:val="0"/>
    <w:rPr>
      <w:rFonts w:hint="default"/>
      <w:sz w:val="22"/>
    </w:rPr>
  </w:style>
  <w:style w:type="paragraph" w:customStyle="1" w:styleId="16">
    <w:name w:val="正文首行缩进 21"/>
    <w:basedOn w:val="1"/>
    <w:qFormat/>
    <w:uiPriority w:val="0"/>
    <w:pPr>
      <w:spacing w:line="540" w:lineRule="exact"/>
      <w:ind w:firstLine="200" w:firstLineChars="200"/>
      <w:textAlignment w:val="baseline"/>
    </w:pPr>
    <w:rPr>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湜娝茬洧泩と姩</cp:lastModifiedBy>
  <dcterms:modified xsi:type="dcterms:W3CDTF">2023-10-24T09:01:27Z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9AE8E3CC54D64220A1FFC5BD93880ED7</vt:lpwstr>
  </property>
</Properties>
</file>