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42"/>
          <w:szCs w:val="42"/>
          <w:shd w:val="clear" w:fill="FFFFFF"/>
        </w:rPr>
        <w:t>202</w:t>
      </w:r>
      <w:r>
        <w:rPr>
          <w:rFonts w:hint="eastAsia" w:cs="宋体"/>
          <w:kern w:val="0"/>
          <w:sz w:val="42"/>
          <w:szCs w:val="42"/>
          <w:shd w:val="clear" w:fill="FFFFFF"/>
          <w:lang w:val="en-US" w:eastAsia="zh-CN"/>
        </w:rPr>
        <w:t>2</w:t>
      </w:r>
      <w:r>
        <w:rPr>
          <w:rFonts w:hint="eastAsia" w:ascii="宋体" w:hAnsi="宋体" w:eastAsia="宋体" w:cs="宋体"/>
          <w:kern w:val="0"/>
          <w:sz w:val="42"/>
          <w:szCs w:val="42"/>
          <w:shd w:val="clear" w:fill="FFFFFF"/>
        </w:rPr>
        <w:t>年度</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42"/>
          <w:szCs w:val="42"/>
          <w:shd w:val="clear" w:fill="FFFFFF"/>
        </w:rPr>
        <w:t>阿坝州红原县统计局部门决算</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bookmarkStart w:id="0" w:name="_GoBack"/>
      <w:bookmarkEnd w:id="0"/>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已经保密审查、内容审定，同意对外公开</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br w:type="textWrapping"/>
      </w:r>
      <w:r>
        <w:rPr>
          <w:rFonts w:hint="eastAsia" w:ascii="宋体" w:hAnsi="宋体" w:eastAsia="宋体" w:cs="宋体"/>
          <w:kern w:val="0"/>
          <w:sz w:val="24"/>
          <w:szCs w:val="24"/>
          <w:shd w:val="clear" w:fill="FFFFFF"/>
        </w:rPr>
        <w:t>目录</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公开时间：202</w:t>
      </w:r>
      <w:r>
        <w:rPr>
          <w:rFonts w:hint="eastAsia" w:cs="宋体"/>
          <w:kern w:val="0"/>
          <w:sz w:val="24"/>
          <w:szCs w:val="24"/>
          <w:shd w:val="clear" w:fill="FFFFFF"/>
          <w:lang w:val="en-US" w:eastAsia="zh-CN"/>
        </w:rPr>
        <w:t>3</w:t>
      </w:r>
      <w:r>
        <w:rPr>
          <w:rFonts w:hint="eastAsia" w:ascii="宋体" w:hAnsi="宋体" w:eastAsia="宋体" w:cs="宋体"/>
          <w:kern w:val="0"/>
          <w:sz w:val="24"/>
          <w:szCs w:val="24"/>
          <w:shd w:val="clear" w:fill="FFFFFF"/>
        </w:rPr>
        <w:t>年1</w:t>
      </w:r>
      <w:r>
        <w:rPr>
          <w:rFonts w:hint="eastAsia" w:cs="宋体"/>
          <w:kern w:val="0"/>
          <w:sz w:val="24"/>
          <w:szCs w:val="24"/>
          <w:shd w:val="clear" w:fill="FFFFFF"/>
          <w:lang w:val="en-US" w:eastAsia="zh-CN"/>
        </w:rPr>
        <w:t>0</w:t>
      </w:r>
      <w:r>
        <w:rPr>
          <w:rFonts w:hint="eastAsia" w:ascii="宋体" w:hAnsi="宋体" w:eastAsia="宋体" w:cs="宋体"/>
          <w:kern w:val="0"/>
          <w:sz w:val="24"/>
          <w:szCs w:val="24"/>
          <w:shd w:val="clear" w:fill="FFFFFF"/>
        </w:rPr>
        <w:t>月</w:t>
      </w:r>
      <w:r>
        <w:rPr>
          <w:rFonts w:hint="eastAsia" w:cs="宋体"/>
          <w:kern w:val="0"/>
          <w:sz w:val="24"/>
          <w:szCs w:val="24"/>
          <w:shd w:val="clear" w:fill="FFFFFF"/>
          <w:lang w:val="en-US" w:eastAsia="zh-CN"/>
        </w:rPr>
        <w:t>30</w:t>
      </w:r>
      <w:r>
        <w:rPr>
          <w:rFonts w:hint="eastAsia" w:ascii="宋体" w:hAnsi="宋体" w:eastAsia="宋体" w:cs="宋体"/>
          <w:kern w:val="0"/>
          <w:sz w:val="24"/>
          <w:szCs w:val="24"/>
          <w:shd w:val="clear" w:fill="FFFFFF"/>
        </w:rPr>
        <w:t>日</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第一部分 部门概况</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一、基本职能及主要工作</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二、机构设置</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第二部分 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年度部门决算情况说明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一、收入支出决算总体情况说明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二、收入决算情况说明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三、支出决算情况说明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四、财政拨款收入支出决算总体情况说明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五、一般公共预算财政拨款支出决算情况说明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六、一般公共预算财政拨款基本支出决算情况说明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七、“三公”经费财政拨款支出决算情况说明</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八、政府性基金预算支出决算情况说明</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九、国有资本经营预算支出决算情况说明</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十、其他重要事项的情况说明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第三部分 名词解释</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第四部分 附件</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第五部分 附表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一、收入支出决算总表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二、收入决算表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三、支出决算表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四、财政拨款收入支出决算总表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五、财政拨款支出决算明细表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六、一般公共预算财政拨款支出决算表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七、一般公共预算财政拨款支出决算明细表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八、一般公共预算财政拨款基本支出决算表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九、一般公共预算财政拨款项目支出决算表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十、一般公共预算财政拨款“三公”经费支出决算表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十一、政府性基金预算财政拨款收入支出决算表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十二、政府性基金预算财政拨款“三公”经费支出决算表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十三、国有资本经营预算财政拨款收入支出决算表</w:t>
      </w:r>
    </w:p>
    <w:p>
      <w:pPr>
        <w:pStyle w:val="11"/>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十四、国有资本经营预算财政拨款支出决算表</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3"/>
        <w:keepNext w:val="0"/>
        <w:keepLines w:val="0"/>
        <w:widowControl/>
        <w:suppressLineNumbers w:val="0"/>
        <w:spacing w:before="0" w:beforeAutospacing="0"/>
        <w:ind w:left="0"/>
        <w:jc w:val="center"/>
        <w:rPr>
          <w:rFonts w:hint="eastAsia" w:ascii="宋体" w:hAnsi="宋体" w:eastAsia="宋体" w:cs="宋体"/>
          <w:b/>
          <w:bCs/>
          <w:kern w:val="44"/>
          <w:sz w:val="48"/>
          <w:szCs w:val="48"/>
        </w:rPr>
      </w:pPr>
      <w:r>
        <w:rPr>
          <w:rFonts w:hint="eastAsia" w:ascii="宋体" w:hAnsi="宋体" w:eastAsia="宋体" w:cs="宋体"/>
          <w:b/>
          <w:bCs/>
          <w:kern w:val="44"/>
          <w:sz w:val="48"/>
          <w:szCs w:val="48"/>
          <w:shd w:val="clear" w:fill="FFFFFF"/>
        </w:rPr>
        <w:t>第一部分 部门概况</w:t>
      </w:r>
    </w:p>
    <w:p>
      <w:pPr>
        <w:pStyle w:val="4"/>
        <w:keepNext w:val="0"/>
        <w:keepLines w:val="0"/>
        <w:widowControl/>
        <w:suppressLineNumbers w:val="0"/>
        <w:spacing w:before="0" w:beforeAutospacing="0"/>
        <w:ind w:left="0"/>
        <w:jc w:val="left"/>
        <w:rPr>
          <w:rFonts w:hint="eastAsia" w:ascii="宋体" w:hAnsi="宋体" w:eastAsia="宋体" w:cs="宋体"/>
          <w:b/>
          <w:bCs/>
          <w:kern w:val="0"/>
          <w:sz w:val="36"/>
          <w:szCs w:val="36"/>
        </w:rPr>
      </w:pPr>
      <w:r>
        <w:rPr>
          <w:rFonts w:hint="eastAsia" w:ascii="宋体" w:hAnsi="宋体" w:eastAsia="宋体" w:cs="宋体"/>
          <w:b/>
          <w:bCs/>
          <w:kern w:val="0"/>
          <w:sz w:val="36"/>
          <w:szCs w:val="36"/>
          <w:shd w:val="clear" w:fill="FFFFFF"/>
        </w:rPr>
        <w:t>一、基本职能及主要工作</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（一）主要职能。（职能参照州政府批准的三定方案）</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1、负责组织实施上级业务主管部门及县委、县政府规定和下达的统计调查任务，统计现代化建设规划；组织领导和综合协调各乡镇、各部门的统计和国民经济核算工作。</w:t>
      </w:r>
    </w:p>
    <w:p>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2、在县委、县政府统一领导下，会同有关部门组织实施重大的国情国力普查；负责组织协调各乡镇、各部门的统计调查、社会经济调查、社会监测；组织全县统计报表的管理工作。</w:t>
      </w:r>
    </w:p>
    <w:p>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3、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4、统一核定、管理、公布全县性的基本统计资料，定期发布全县国民经济和社会发展情况统计公报。</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5、逐步建立、健全和管理全县统计信息自动化系统和全县统计数据数据库体系；组织协调和统一管理各乡镇、各部门的统计数据库网络。</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6、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7、依照《统计法》和《统计法实施细则》及《四川省统计管理条例》的有关规定，监督检查统计法律法规在我县的贯彻实施，组织统计执法检查，查处统计违法案件。</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8、承担国家统计局阿坝调查队交办的各项统计调查任务。</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9、加强本机关的党建、廉政建设及精神文明建设等工作。</w:t>
      </w:r>
    </w:p>
    <w:p>
      <w:pPr>
        <w:keepNext w:val="0"/>
        <w:keepLines w:val="0"/>
        <w:widowControl/>
        <w:suppressLineNumbers w:val="0"/>
        <w:ind w:left="0" w:firstLine="480" w:firstLineChars="200"/>
        <w:rPr>
          <w:rFonts w:hint="eastAsia" w:ascii="宋体" w:hAnsi="宋体" w:eastAsia="宋体" w:cs="宋体"/>
          <w:kern w:val="0"/>
          <w:sz w:val="24"/>
          <w:szCs w:val="24"/>
          <w:shd w:val="clear" w:fill="FFFFFF"/>
        </w:rPr>
      </w:pPr>
      <w:r>
        <w:rPr>
          <w:rFonts w:hint="eastAsia" w:ascii="宋体" w:hAnsi="宋体" w:eastAsia="宋体" w:cs="宋体"/>
          <w:kern w:val="0"/>
          <w:sz w:val="24"/>
          <w:szCs w:val="24"/>
        </w:rPr>
        <w:t>10、承办县委、县政府和上级业务主管部门交办的其他事项。</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（二）202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年重点工作完成情况。</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ind w:lef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2022年</w:t>
      </w:r>
      <w:r>
        <w:rPr>
          <w:rFonts w:hint="eastAsia" w:ascii="宋体" w:hAnsi="宋体" w:eastAsia="宋体" w:cs="宋体"/>
          <w:kern w:val="0"/>
          <w:sz w:val="24"/>
          <w:szCs w:val="24"/>
        </w:rPr>
        <w:t>以来</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红原县统计局</w:t>
      </w:r>
      <w:r>
        <w:rPr>
          <w:rFonts w:hint="eastAsia" w:ascii="宋体" w:hAnsi="宋体" w:eastAsia="宋体" w:cs="宋体"/>
          <w:kern w:val="0"/>
          <w:sz w:val="24"/>
          <w:szCs w:val="24"/>
          <w:lang w:eastAsia="zh-CN"/>
        </w:rPr>
        <w:t>在县委、县政府的正确领导下，在</w:t>
      </w:r>
      <w:r>
        <w:rPr>
          <w:rFonts w:hint="eastAsia" w:ascii="宋体" w:hAnsi="宋体" w:eastAsia="宋体" w:cs="宋体"/>
          <w:kern w:val="0"/>
          <w:sz w:val="24"/>
          <w:szCs w:val="24"/>
          <w:lang w:val="en-US" w:eastAsia="zh-CN"/>
        </w:rPr>
        <w:t>阿坝</w:t>
      </w:r>
      <w:r>
        <w:rPr>
          <w:rFonts w:hint="eastAsia" w:ascii="宋体" w:hAnsi="宋体" w:eastAsia="宋体" w:cs="宋体"/>
          <w:kern w:val="0"/>
          <w:sz w:val="24"/>
          <w:szCs w:val="24"/>
          <w:lang w:eastAsia="zh-CN"/>
        </w:rPr>
        <w:t>州统计局、国家统计局阿坝调查队的精心指导下，</w:t>
      </w:r>
      <w:r>
        <w:rPr>
          <w:rFonts w:hint="eastAsia" w:ascii="宋体" w:hAnsi="宋体" w:eastAsia="宋体" w:cs="宋体"/>
          <w:kern w:val="0"/>
          <w:sz w:val="24"/>
          <w:szCs w:val="24"/>
          <w:lang w:val="en-US" w:eastAsia="zh-CN"/>
        </w:rPr>
        <w:t>紧紧围绕县委、县政府中心工作，坚持以提高统计数据质量为中心，以深化统计改革创新为动力，以夯实统计基层基础为抓手，以依法实施统计监督为保障，全面深化统计现代化改革，全面提高统计数据质量，全面提升统计服务水平，</w:t>
      </w:r>
      <w:r>
        <w:rPr>
          <w:rFonts w:hint="eastAsia" w:ascii="宋体" w:hAnsi="宋体" w:eastAsia="宋体" w:cs="宋体"/>
          <w:kern w:val="0"/>
          <w:sz w:val="24"/>
          <w:szCs w:val="24"/>
        </w:rPr>
        <w:t>认真贯彻落实</w:t>
      </w:r>
      <w:r>
        <w:rPr>
          <w:rFonts w:hint="eastAsia" w:ascii="宋体" w:hAnsi="宋体" w:eastAsia="宋体" w:cs="宋体"/>
          <w:kern w:val="0"/>
          <w:sz w:val="24"/>
          <w:szCs w:val="24"/>
          <w:lang w:val="en-US" w:eastAsia="zh-CN"/>
        </w:rPr>
        <w:t>党的十九届六中全会、</w:t>
      </w:r>
      <w:r>
        <w:rPr>
          <w:rFonts w:hint="eastAsia" w:ascii="宋体" w:hAnsi="宋体" w:eastAsia="宋体" w:cs="宋体"/>
          <w:kern w:val="0"/>
          <w:sz w:val="24"/>
          <w:szCs w:val="24"/>
        </w:rPr>
        <w:t>省委十一届</w:t>
      </w:r>
      <w:r>
        <w:rPr>
          <w:rFonts w:hint="eastAsia" w:ascii="宋体" w:hAnsi="宋体" w:eastAsia="宋体" w:cs="宋体"/>
          <w:kern w:val="0"/>
          <w:sz w:val="24"/>
          <w:szCs w:val="24"/>
          <w:lang w:eastAsia="zh-CN"/>
        </w:rPr>
        <w:t>十</w:t>
      </w:r>
      <w:r>
        <w:rPr>
          <w:rFonts w:hint="eastAsia" w:ascii="宋体" w:hAnsi="宋体" w:eastAsia="宋体" w:cs="宋体"/>
          <w:kern w:val="0"/>
          <w:sz w:val="24"/>
          <w:szCs w:val="24"/>
        </w:rPr>
        <w:t>次、</w:t>
      </w:r>
      <w:r>
        <w:rPr>
          <w:rFonts w:hint="eastAsia" w:ascii="宋体" w:hAnsi="宋体" w:eastAsia="宋体" w:cs="宋体"/>
          <w:kern w:val="0"/>
          <w:sz w:val="24"/>
          <w:szCs w:val="24"/>
          <w:lang w:eastAsia="zh-CN"/>
        </w:rPr>
        <w:t>十一</w:t>
      </w:r>
      <w:r>
        <w:rPr>
          <w:rFonts w:hint="eastAsia" w:ascii="宋体" w:hAnsi="宋体" w:eastAsia="宋体" w:cs="宋体"/>
          <w:kern w:val="0"/>
          <w:sz w:val="24"/>
          <w:szCs w:val="24"/>
          <w:lang w:val="en-US" w:eastAsia="zh-CN"/>
        </w:rPr>
        <w:t>次全会、</w:t>
      </w:r>
      <w:r>
        <w:rPr>
          <w:rFonts w:hint="eastAsia" w:ascii="宋体" w:hAnsi="宋体" w:eastAsia="宋体" w:cs="宋体"/>
          <w:kern w:val="0"/>
          <w:sz w:val="24"/>
          <w:szCs w:val="24"/>
        </w:rPr>
        <w:t>阿坝州委十一届</w:t>
      </w:r>
      <w:r>
        <w:rPr>
          <w:rFonts w:hint="eastAsia" w:ascii="宋体" w:hAnsi="宋体" w:eastAsia="宋体" w:cs="宋体"/>
          <w:kern w:val="0"/>
          <w:sz w:val="24"/>
          <w:szCs w:val="24"/>
          <w:lang w:eastAsia="zh-CN"/>
        </w:rPr>
        <w:t>十一</w:t>
      </w:r>
      <w:r>
        <w:rPr>
          <w:rFonts w:hint="eastAsia" w:ascii="宋体" w:hAnsi="宋体" w:eastAsia="宋体" w:cs="宋体"/>
          <w:kern w:val="0"/>
          <w:sz w:val="24"/>
          <w:szCs w:val="24"/>
        </w:rPr>
        <w:t>次</w:t>
      </w:r>
      <w:r>
        <w:rPr>
          <w:rFonts w:hint="eastAsia" w:ascii="宋体" w:hAnsi="宋体" w:eastAsia="宋体" w:cs="宋体"/>
          <w:kern w:val="0"/>
          <w:sz w:val="24"/>
          <w:szCs w:val="24"/>
          <w:lang w:eastAsia="zh-CN"/>
        </w:rPr>
        <w:t>、十二次</w:t>
      </w:r>
      <w:r>
        <w:rPr>
          <w:rFonts w:hint="eastAsia" w:ascii="宋体" w:hAnsi="宋体" w:eastAsia="宋体" w:cs="宋体"/>
          <w:kern w:val="0"/>
          <w:sz w:val="24"/>
          <w:szCs w:val="24"/>
        </w:rPr>
        <w:t>全会等精神,</w:t>
      </w:r>
      <w:r>
        <w:rPr>
          <w:rFonts w:hint="eastAsia" w:ascii="宋体" w:hAnsi="宋体" w:eastAsia="宋体" w:cs="宋体"/>
          <w:kern w:val="0"/>
          <w:sz w:val="24"/>
          <w:szCs w:val="24"/>
          <w:lang w:val="en-US" w:eastAsia="zh-CN"/>
        </w:rPr>
        <w:t>努力开创统计工作新局面，</w:t>
      </w:r>
      <w:r>
        <w:rPr>
          <w:rFonts w:hint="eastAsia" w:ascii="宋体" w:hAnsi="宋体" w:eastAsia="宋体" w:cs="宋体"/>
          <w:kern w:val="0"/>
          <w:sz w:val="24"/>
          <w:szCs w:val="24"/>
          <w:lang w:eastAsia="zh-CN"/>
        </w:rPr>
        <w:t>为全县经济社会发展提供坚实的统计保障，为县委、县政府科学决策提供优质的统计服务。</w:t>
      </w:r>
      <w:r>
        <w:rPr>
          <w:rFonts w:hint="eastAsia" w:ascii="宋体" w:hAnsi="宋体" w:eastAsia="宋体" w:cs="宋体"/>
          <w:b/>
          <w:bCs/>
          <w:kern w:val="0"/>
          <w:sz w:val="24"/>
          <w:szCs w:val="24"/>
        </w:rPr>
        <w:t>一是</w:t>
      </w:r>
      <w:r>
        <w:rPr>
          <w:rFonts w:hint="eastAsia" w:ascii="宋体" w:hAnsi="宋体" w:eastAsia="宋体" w:cs="宋体"/>
          <w:kern w:val="0"/>
          <w:sz w:val="24"/>
          <w:szCs w:val="24"/>
          <w:lang w:eastAsia="zh-CN"/>
        </w:rPr>
        <w:t>抓基础保质量。</w:t>
      </w:r>
      <w:r>
        <w:rPr>
          <w:rFonts w:hint="eastAsia" w:ascii="宋体" w:hAnsi="宋体" w:eastAsia="宋体" w:cs="宋体"/>
          <w:kern w:val="0"/>
          <w:sz w:val="24"/>
          <w:szCs w:val="24"/>
        </w:rPr>
        <w:t>高质量完成各专业定期报表工作；</w:t>
      </w:r>
      <w:r>
        <w:rPr>
          <w:rFonts w:hint="eastAsia" w:ascii="宋体" w:hAnsi="宋体" w:eastAsia="宋体" w:cs="宋体"/>
          <w:b/>
          <w:bCs/>
          <w:kern w:val="0"/>
          <w:sz w:val="24"/>
          <w:szCs w:val="24"/>
        </w:rPr>
        <w:t>二是</w:t>
      </w:r>
      <w:r>
        <w:rPr>
          <w:rFonts w:hint="eastAsia" w:ascii="宋体" w:hAnsi="宋体" w:eastAsia="宋体" w:cs="宋体"/>
          <w:kern w:val="0"/>
          <w:sz w:val="24"/>
          <w:szCs w:val="24"/>
          <w:lang w:val="en-US" w:eastAsia="zh-CN" w:bidi="ar"/>
        </w:rPr>
        <w:t>扎实开展统计调查监测工作，为县委、县政府科学决策提供优质的统计服务。</w:t>
      </w:r>
      <w:r>
        <w:rPr>
          <w:rFonts w:hint="eastAsia" w:ascii="宋体" w:hAnsi="宋体" w:eastAsia="宋体" w:cs="宋体"/>
          <w:b/>
          <w:bCs/>
          <w:kern w:val="0"/>
          <w:sz w:val="24"/>
          <w:szCs w:val="24"/>
          <w:lang w:val="en-US" w:eastAsia="zh-CN"/>
        </w:rPr>
        <w:t>三是</w:t>
      </w:r>
      <w:r>
        <w:rPr>
          <w:rFonts w:hint="eastAsia" w:ascii="宋体" w:hAnsi="宋体" w:eastAsia="宋体" w:cs="宋体"/>
          <w:kern w:val="0"/>
          <w:sz w:val="24"/>
          <w:szCs w:val="24"/>
          <w:lang w:val="en-US" w:eastAsia="zh-CN" w:bidi="ar"/>
        </w:rPr>
        <w:t>抓执法,重宣传。将各级防范和惩治统计造假的决心和要求传达给每一位统计工作人员，促进基层统计人员法律意识提升。</w:t>
      </w:r>
      <w:r>
        <w:rPr>
          <w:rFonts w:hint="eastAsia" w:ascii="宋体" w:hAnsi="宋体" w:eastAsia="宋体" w:cs="宋体"/>
          <w:b/>
          <w:bCs/>
          <w:kern w:val="0"/>
          <w:sz w:val="24"/>
          <w:szCs w:val="24"/>
        </w:rPr>
        <w:t>四是</w:t>
      </w:r>
      <w:r>
        <w:rPr>
          <w:rFonts w:hint="eastAsia" w:ascii="宋体" w:hAnsi="宋体" w:eastAsia="宋体" w:cs="宋体"/>
          <w:kern w:val="0"/>
          <w:sz w:val="24"/>
          <w:szCs w:val="24"/>
          <w:lang w:val="en-US" w:eastAsia="zh-CN" w:bidi="ar"/>
        </w:rPr>
        <w:t>精心组织努力做好各项重点业务工作。</w:t>
      </w:r>
      <w:r>
        <w:rPr>
          <w:rFonts w:hint="eastAsia" w:ascii="宋体" w:hAnsi="宋体" w:eastAsia="宋体" w:cs="宋体"/>
          <w:b/>
          <w:bCs/>
          <w:kern w:val="0"/>
          <w:sz w:val="24"/>
          <w:szCs w:val="24"/>
          <w:lang w:val="en-US" w:eastAsia="zh-CN" w:bidi="ar"/>
        </w:rPr>
        <w:t>1、</w:t>
      </w:r>
      <w:r>
        <w:rPr>
          <w:rFonts w:hint="eastAsia" w:ascii="宋体" w:hAnsi="宋体" w:eastAsia="宋体" w:cs="宋体"/>
          <w:kern w:val="0"/>
          <w:sz w:val="24"/>
          <w:szCs w:val="24"/>
          <w:lang w:val="en-US" w:eastAsia="zh-CN" w:bidi="ar"/>
        </w:rPr>
        <w:t>抓好第七次全国人口普查资料开发与应用并完成第七次人口普查全部收尾工作；</w:t>
      </w:r>
      <w:r>
        <w:rPr>
          <w:rFonts w:hint="eastAsia" w:ascii="宋体" w:hAnsi="宋体" w:eastAsia="宋体" w:cs="宋体"/>
          <w:b/>
          <w:bCs/>
          <w:kern w:val="0"/>
          <w:sz w:val="24"/>
          <w:szCs w:val="24"/>
          <w:lang w:val="en-US" w:eastAsia="zh-CN" w:bidi="ar"/>
        </w:rPr>
        <w:t>2、</w:t>
      </w:r>
      <w:r>
        <w:rPr>
          <w:rFonts w:hint="eastAsia" w:ascii="宋体" w:hAnsi="宋体" w:eastAsia="宋体" w:cs="宋体"/>
          <w:kern w:val="0"/>
          <w:sz w:val="24"/>
          <w:szCs w:val="24"/>
          <w:lang w:val="en-US" w:eastAsia="zh-CN" w:bidi="ar"/>
        </w:rPr>
        <w:t>配合相关部门做好乡村振兴战略统计监测工作，完成2021年度村、乡、县表的数据录入、县级审核、上报工作；</w:t>
      </w:r>
      <w:r>
        <w:rPr>
          <w:rFonts w:hint="eastAsia" w:ascii="宋体" w:hAnsi="宋体" w:eastAsia="宋体" w:cs="宋体"/>
          <w:b/>
          <w:bCs/>
          <w:kern w:val="0"/>
          <w:sz w:val="24"/>
          <w:szCs w:val="24"/>
          <w:lang w:val="en-US" w:eastAsia="zh-CN" w:bidi="ar"/>
        </w:rPr>
        <w:t>3、</w:t>
      </w:r>
      <w:r>
        <w:rPr>
          <w:rFonts w:hint="eastAsia" w:ascii="宋体" w:hAnsi="宋体" w:eastAsia="宋体" w:cs="宋体"/>
          <w:kern w:val="0"/>
          <w:sz w:val="24"/>
          <w:szCs w:val="24"/>
          <w:lang w:val="en-US" w:eastAsia="zh-CN" w:bidi="ar"/>
        </w:rPr>
        <w:t>开展第五次全国经济普查筹备工作。目前已成立了红原县统计局第五次全国经济普查筹备领导小组及办公室，制定了《筹备领导小组办公室组成人员名单及各工作组职责》、《筹备领导组办公室2022年主要工作安排》、《第五次全国经济普查工作计划表(2022-2026年)》，并召开领导小组办公室第一次全体会议，全面启动第五次全国经济普查筹备工作；</w:t>
      </w:r>
      <w:r>
        <w:rPr>
          <w:rFonts w:hint="eastAsia" w:ascii="宋体" w:hAnsi="宋体" w:eastAsia="宋体" w:cs="宋体"/>
          <w:b/>
          <w:bCs/>
          <w:kern w:val="0"/>
          <w:sz w:val="24"/>
          <w:szCs w:val="24"/>
          <w:lang w:val="en-US" w:eastAsia="zh-CN" w:bidi="ar"/>
        </w:rPr>
        <w:t>4、</w:t>
      </w:r>
      <w:r>
        <w:rPr>
          <w:rFonts w:hint="eastAsia" w:ascii="宋体" w:hAnsi="宋体" w:eastAsia="宋体" w:cs="宋体"/>
          <w:kern w:val="0"/>
          <w:sz w:val="24"/>
          <w:szCs w:val="24"/>
          <w:lang w:val="en-US" w:eastAsia="zh-CN" w:bidi="ar"/>
        </w:rPr>
        <w:t>协调配合乡村振兴局、科农局推进我县《进一步做好乡村统计工作六条措施》落地落实，并下发《红原县统计局关于进一步做好乡村统计工作六条措施的实施方案》到相关部门和乡镇。</w:t>
      </w:r>
      <w:r>
        <w:rPr>
          <w:rFonts w:hint="eastAsia" w:ascii="宋体" w:hAnsi="宋体" w:eastAsia="宋体" w:cs="宋体"/>
          <w:b/>
          <w:bCs/>
          <w:kern w:val="0"/>
          <w:sz w:val="24"/>
          <w:szCs w:val="24"/>
          <w:lang w:val="en-US" w:eastAsia="zh-CN" w:bidi="ar"/>
        </w:rPr>
        <w:t>5、</w:t>
      </w:r>
      <w:r>
        <w:rPr>
          <w:rFonts w:hint="eastAsia" w:ascii="宋体" w:hAnsi="宋体" w:eastAsia="宋体" w:cs="宋体"/>
          <w:kern w:val="0"/>
          <w:sz w:val="24"/>
          <w:szCs w:val="24"/>
          <w:lang w:val="en-US" w:eastAsia="zh-CN" w:bidi="ar"/>
        </w:rPr>
        <w:t>全面落实国家、省、州工作部署要求，认真执行国家和省、州制定的调查方案及具体实施细则，对2022年全县住户调查大样本轮换工作进行动员部署。9月份召开了住户调查大样本轮换工作专题推进会，并针对全县15个调查点（城镇5个、城乡结合部1个、农村9个）组织开展培训、数据审核、轮换评估、业务督促指导、样本抽选、试记账、现场抽样调查等工作，确保样本的随机性和代表性，依法依规开展样本轮换工作。目前，已完成两图一表及相关数据录入工作，正在进行开户问卷填报工作，针对试记账和开户等业务加大培训力度，计划于11月进行试记账，12月正式记账。</w:t>
      </w:r>
      <w:r>
        <w:rPr>
          <w:rFonts w:hint="eastAsia" w:ascii="宋体" w:hAnsi="宋体" w:eastAsia="宋体" w:cs="宋体"/>
          <w:b/>
          <w:bCs/>
          <w:kern w:val="0"/>
          <w:sz w:val="24"/>
          <w:szCs w:val="24"/>
          <w:lang w:val="en-US" w:eastAsia="zh-CN" w:bidi="ar"/>
        </w:rPr>
        <w:t>6、</w:t>
      </w:r>
      <w:r>
        <w:rPr>
          <w:rFonts w:hint="eastAsia" w:ascii="宋体" w:hAnsi="宋体" w:eastAsia="宋体" w:cs="宋体"/>
          <w:kern w:val="0"/>
          <w:sz w:val="24"/>
          <w:szCs w:val="24"/>
          <w:lang w:val="en-US" w:eastAsia="zh-CN" w:bidi="ar"/>
        </w:rPr>
        <w:t>稳步推进“四上”企业培育工作。今年，已完成新入库零售业企业1户（红原县四川中油泓禹晟能源有限责任公司），并积极加强与县经信、住建等部门沟通，及时了解掌握新增企业情况，调查符合“四上”标准的企业，并帮助协调完善其相关手续，拟在年底实现规模以上工业、限额以上批零住餐、国家重点服务业等行业有新纳入企业。</w:t>
      </w:r>
      <w:r>
        <w:rPr>
          <w:rFonts w:hint="eastAsia" w:ascii="宋体" w:hAnsi="宋体" w:eastAsia="宋体" w:cs="宋体"/>
          <w:b/>
          <w:bCs/>
          <w:kern w:val="0"/>
          <w:sz w:val="24"/>
          <w:szCs w:val="24"/>
          <w:lang w:val="en-US" w:eastAsia="zh-CN" w:bidi="ar"/>
        </w:rPr>
        <w:t>7、</w:t>
      </w:r>
      <w:r>
        <w:rPr>
          <w:rFonts w:hint="eastAsia" w:ascii="宋体" w:hAnsi="宋体" w:eastAsia="宋体" w:cs="宋体"/>
          <w:kern w:val="0"/>
          <w:sz w:val="24"/>
          <w:szCs w:val="24"/>
          <w:lang w:val="en-US" w:eastAsia="zh-CN" w:bidi="ar"/>
        </w:rPr>
        <w:t>全面实现项目应统尽统，红原县2022年全年实施重点项目68个，“山水项目”32个，总共实施项目100个，符合固定资产投资入库项目84个（其中重点项目57个，“山水项目”27个），计划总投资47.5285亿元，年内84个项目将全部入库成功，预计完成全社会固定资产投资36亿，同比上升20%，力争投资增速排名全州前两位。8、有序开展住户调查与样本大轮换工作。</w:t>
      </w:r>
      <w:r>
        <w:rPr>
          <w:rFonts w:hint="eastAsia" w:ascii="宋体" w:hAnsi="宋体" w:eastAsia="宋体" w:cs="宋体"/>
          <w:b/>
          <w:bCs/>
          <w:kern w:val="0"/>
          <w:sz w:val="24"/>
          <w:szCs w:val="24"/>
        </w:rPr>
        <w:t>五是</w:t>
      </w:r>
      <w:r>
        <w:rPr>
          <w:rFonts w:hint="eastAsia" w:ascii="宋体" w:hAnsi="宋体" w:eastAsia="宋体" w:cs="宋体"/>
          <w:kern w:val="0"/>
          <w:sz w:val="24"/>
          <w:szCs w:val="24"/>
        </w:rPr>
        <w:t>围绕全县经济发展战略，积极提供统计服务；</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ascii="宋体" w:hAnsi="宋体" w:eastAsia="宋体" w:cs="宋体"/>
          <w:b/>
          <w:bCs/>
          <w:kern w:val="0"/>
          <w:sz w:val="36"/>
          <w:szCs w:val="36"/>
        </w:rPr>
      </w:pPr>
      <w:r>
        <w:rPr>
          <w:rFonts w:hint="eastAsia" w:ascii="宋体" w:hAnsi="宋体" w:eastAsia="宋体" w:cs="宋体"/>
          <w:b/>
          <w:bCs/>
          <w:kern w:val="0"/>
          <w:sz w:val="36"/>
          <w:szCs w:val="36"/>
          <w:shd w:val="clear" w:fill="FFFFFF"/>
        </w:rPr>
        <w:t>二、机构设置</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ind w:left="0" w:leftChars="0" w:right="0" w:righ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阿坝州红原县统计局为</w:t>
      </w:r>
      <w:r>
        <w:rPr>
          <w:rFonts w:hint="eastAsia" w:ascii="宋体" w:hAnsi="宋体" w:eastAsia="宋体" w:cs="宋体"/>
          <w:kern w:val="2"/>
          <w:sz w:val="24"/>
          <w:szCs w:val="24"/>
        </w:rPr>
        <w:t>独立核算全额拨款行政单位。</w:t>
      </w:r>
      <w:r>
        <w:rPr>
          <w:rFonts w:hint="eastAsia" w:ascii="宋体" w:hAnsi="宋体" w:eastAsia="宋体" w:cs="宋体"/>
          <w:kern w:val="0"/>
          <w:sz w:val="24"/>
          <w:szCs w:val="24"/>
        </w:rPr>
        <w:t>下属二级单位1个，红原县普查中心是参照公务员法管理的事业单位。</w:t>
      </w:r>
    </w:p>
    <w:p>
      <w:pPr>
        <w:pStyle w:val="11"/>
        <w:keepNext w:val="0"/>
        <w:keepLines w:val="0"/>
        <w:widowControl/>
        <w:suppressLineNumbers w:val="0"/>
        <w:spacing w:before="0" w:beforeAutospacing="0"/>
        <w:ind w:left="0" w:leftChars="0" w:right="0" w:rightChars="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纳入阿坝州红原县统计局202</w:t>
      </w:r>
      <w:r>
        <w:rPr>
          <w:rFonts w:hint="eastAsia" w:cs="宋体"/>
          <w:kern w:val="0"/>
          <w:sz w:val="24"/>
          <w:szCs w:val="24"/>
          <w:lang w:val="en-US" w:eastAsia="zh-CN"/>
        </w:rPr>
        <w:t>2</w:t>
      </w:r>
      <w:r>
        <w:rPr>
          <w:rFonts w:hint="eastAsia" w:ascii="宋体" w:hAnsi="宋体" w:eastAsia="宋体" w:cs="宋体"/>
          <w:kern w:val="0"/>
          <w:sz w:val="24"/>
          <w:szCs w:val="24"/>
        </w:rPr>
        <w:t>年度部门决算编制范围的二级预算单位包括：红原县普查中心。</w:t>
      </w:r>
      <w:r>
        <w:rPr>
          <w:rFonts w:hint="eastAsia" w:ascii="宋体" w:hAnsi="宋体" w:eastAsia="宋体" w:cs="宋体"/>
          <w:kern w:val="0"/>
          <w:sz w:val="24"/>
          <w:szCs w:val="24"/>
          <w:shd w:val="clear" w:fill="FFFFFF"/>
        </w:rPr>
        <w:t xml:space="preserve"> </w:t>
      </w:r>
    </w:p>
    <w:p>
      <w:pPr>
        <w:pStyle w:val="3"/>
        <w:keepNext w:val="0"/>
        <w:keepLines w:val="0"/>
        <w:widowControl/>
        <w:suppressLineNumbers w:val="0"/>
        <w:spacing w:before="0" w:beforeAutospacing="0"/>
        <w:ind w:left="0"/>
        <w:jc w:val="center"/>
        <w:rPr>
          <w:rFonts w:hint="eastAsia" w:ascii="宋体" w:hAnsi="宋体" w:eastAsia="宋体" w:cs="宋体"/>
          <w:b/>
          <w:bCs/>
          <w:kern w:val="44"/>
          <w:sz w:val="48"/>
          <w:szCs w:val="48"/>
        </w:rPr>
      </w:pPr>
      <w:r>
        <w:rPr>
          <w:rFonts w:hint="eastAsia" w:ascii="宋体" w:hAnsi="宋体" w:eastAsia="宋体" w:cs="宋体"/>
          <w:b/>
          <w:bCs/>
          <w:kern w:val="44"/>
          <w:sz w:val="48"/>
          <w:szCs w:val="48"/>
          <w:shd w:val="clear" w:fill="FFFFFF"/>
        </w:rPr>
        <w:t>第二部分 202</w:t>
      </w:r>
      <w:r>
        <w:rPr>
          <w:rFonts w:hint="eastAsia" w:cs="宋体"/>
          <w:b/>
          <w:bCs/>
          <w:kern w:val="44"/>
          <w:sz w:val="48"/>
          <w:szCs w:val="48"/>
          <w:shd w:val="clear" w:fill="FFFFFF"/>
          <w:lang w:val="en-US" w:eastAsia="zh-CN"/>
        </w:rPr>
        <w:t>2</w:t>
      </w:r>
      <w:r>
        <w:rPr>
          <w:rFonts w:hint="eastAsia" w:ascii="宋体" w:hAnsi="宋体" w:eastAsia="宋体" w:cs="宋体"/>
          <w:b/>
          <w:bCs/>
          <w:kern w:val="44"/>
          <w:sz w:val="48"/>
          <w:szCs w:val="48"/>
          <w:shd w:val="clear" w:fill="FFFFFF"/>
        </w:rPr>
        <w:t>年度部门决算情况说明</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ascii="宋体" w:hAnsi="宋体" w:eastAsia="宋体" w:cs="宋体"/>
          <w:b/>
          <w:bCs/>
          <w:kern w:val="0"/>
          <w:sz w:val="36"/>
          <w:szCs w:val="36"/>
          <w:shd w:val="clear" w:fill="FFFFFF"/>
        </w:rPr>
      </w:pPr>
      <w:r>
        <w:rPr>
          <w:rFonts w:hint="eastAsia" w:ascii="宋体" w:hAnsi="宋体" w:eastAsia="宋体" w:cs="宋体"/>
          <w:b/>
          <w:bCs/>
          <w:kern w:val="0"/>
          <w:sz w:val="36"/>
          <w:szCs w:val="36"/>
          <w:shd w:val="clear" w:fill="FFFFFF"/>
        </w:rPr>
        <w:t>一、收入支出决算总体情况说明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年度收、支总计</w:t>
      </w:r>
      <w:r>
        <w:rPr>
          <w:rFonts w:hint="eastAsia"/>
        </w:rPr>
        <w:t>401.31万元</w:t>
      </w:r>
      <w:r>
        <w:rPr>
          <w:rFonts w:hint="eastAsia" w:ascii="宋体" w:hAnsi="宋体" w:eastAsia="宋体" w:cs="宋体"/>
          <w:kern w:val="0"/>
          <w:sz w:val="24"/>
          <w:szCs w:val="24"/>
          <w:shd w:val="clear" w:fill="FFFFFF"/>
        </w:rPr>
        <w:t>与202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年相比，收、支总计增</w:t>
      </w:r>
      <w:r>
        <w:rPr>
          <w:rFonts w:hint="eastAsia" w:cs="宋体"/>
          <w:kern w:val="0"/>
          <w:sz w:val="24"/>
          <w:szCs w:val="24"/>
          <w:shd w:val="clear" w:fill="FFFFFF"/>
          <w:lang w:eastAsia="zh-CN"/>
        </w:rPr>
        <w:t>加</w:t>
      </w:r>
      <w:r>
        <w:rPr>
          <w:rFonts w:hint="eastAsia" w:cs="宋体"/>
          <w:kern w:val="0"/>
          <w:sz w:val="24"/>
          <w:szCs w:val="24"/>
          <w:shd w:val="clear" w:fill="FFFFFF"/>
          <w:lang w:val="en-US" w:eastAsia="zh-CN"/>
        </w:rPr>
        <w:t>26.56</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7.09</w:t>
      </w:r>
      <w:r>
        <w:rPr>
          <w:rFonts w:hint="eastAsia" w:ascii="宋体" w:hAnsi="宋体" w:eastAsia="宋体" w:cs="宋体"/>
          <w:kern w:val="0"/>
          <w:sz w:val="24"/>
          <w:szCs w:val="24"/>
          <w:shd w:val="clear" w:fill="FFFFFF"/>
        </w:rPr>
        <w:t>%。主要变动原因</w:t>
      </w:r>
      <w:r>
        <w:rPr>
          <w:rStyle w:val="10"/>
          <w:rFonts w:hint="eastAsia"/>
          <w:b w:val="0"/>
        </w:rPr>
        <w:t>主要原因为</w:t>
      </w:r>
      <w:r>
        <w:rPr>
          <w:rStyle w:val="10"/>
          <w:rFonts w:hint="eastAsia"/>
          <w:b/>
          <w:bCs w:val="0"/>
        </w:rPr>
        <w:t>一是</w:t>
      </w:r>
      <w:r>
        <w:rPr>
          <w:rStyle w:val="10"/>
          <w:rFonts w:hint="eastAsia"/>
          <w:b w:val="0"/>
        </w:rPr>
        <w:t>增加了住户调查大样本轮换工作；</w:t>
      </w:r>
      <w:r>
        <w:rPr>
          <w:rStyle w:val="10"/>
          <w:rFonts w:hint="eastAsia"/>
          <w:b/>
          <w:bCs w:val="0"/>
        </w:rPr>
        <w:t>二是</w:t>
      </w:r>
      <w:r>
        <w:rPr>
          <w:rStyle w:val="10"/>
          <w:rFonts w:hint="eastAsia"/>
          <w:b w:val="0"/>
        </w:rPr>
        <w:t>本年度增加了统计专网租赁费</w:t>
      </w:r>
      <w:r>
        <w:rPr>
          <w:rFonts w:hint="eastAsia"/>
          <w:b/>
        </w:rPr>
        <w:t>。</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drawing>
          <wp:inline distT="0" distB="0" distL="114300" distR="114300">
            <wp:extent cx="4572000" cy="3267710"/>
            <wp:effectExtent l="4445" t="4445" r="14605" b="2349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（图1：收、支决算总计变动情况图）（柱状图）</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ascii="宋体" w:hAnsi="宋体" w:eastAsia="宋体" w:cs="宋体"/>
          <w:b/>
          <w:bCs/>
          <w:kern w:val="0"/>
          <w:sz w:val="36"/>
          <w:szCs w:val="36"/>
          <w:shd w:val="clear" w:fill="FFFFFF"/>
        </w:rPr>
      </w:pPr>
      <w:r>
        <w:rPr>
          <w:rFonts w:hint="eastAsia" w:ascii="宋体" w:hAnsi="宋体" w:eastAsia="宋体" w:cs="宋体"/>
          <w:b/>
          <w:bCs/>
          <w:kern w:val="0"/>
          <w:sz w:val="36"/>
          <w:szCs w:val="36"/>
          <w:shd w:val="clear" w:fill="FFFFFF"/>
        </w:rPr>
        <w:t>二、收入决算情况说明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drawing>
          <wp:anchor distT="0" distB="0" distL="114300" distR="114300" simplePos="0" relativeHeight="251659264" behindDoc="1" locked="0" layoutInCell="1" allowOverlap="1">
            <wp:simplePos x="0" y="0"/>
            <wp:positionH relativeFrom="column">
              <wp:posOffset>271145</wp:posOffset>
            </wp:positionH>
            <wp:positionV relativeFrom="page">
              <wp:posOffset>6412865</wp:posOffset>
            </wp:positionV>
            <wp:extent cx="4572000" cy="2609850"/>
            <wp:effectExtent l="4445" t="4445" r="14605" b="52705"/>
            <wp:wrapTight wrapText="bothSides">
              <wp:wrapPolygon>
                <wp:start x="-21" y="-37"/>
                <wp:lineTo x="-21" y="21879"/>
                <wp:lineTo x="21579" y="21879"/>
                <wp:lineTo x="21579" y="-37"/>
                <wp:lineTo x="-21" y="-37"/>
              </wp:wrapPolygon>
            </wp:wrapTight>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宋体" w:hAnsi="宋体" w:eastAsia="宋体" w:cs="宋体"/>
          <w:kern w:val="0"/>
          <w:sz w:val="24"/>
          <w:szCs w:val="24"/>
          <w:shd w:val="clear" w:fill="FFFFFF"/>
        </w:rPr>
        <w:t>202</w:t>
      </w:r>
      <w:r>
        <w:rPr>
          <w:rFonts w:hint="eastAsia" w:ascii="宋体" w:hAnsi="宋体" w:eastAsia="宋体" w:cs="宋体"/>
          <w:kern w:val="0"/>
          <w:sz w:val="24"/>
          <w:szCs w:val="24"/>
          <w:shd w:val="clear" w:fill="FFFFFF"/>
          <w:lang w:val="en-US" w:eastAsia="zh-CN"/>
        </w:rPr>
        <w:t>2</w:t>
      </w:r>
      <w:r>
        <w:rPr>
          <w:rFonts w:hint="eastAsia" w:ascii="宋体" w:hAnsi="宋体" w:eastAsia="宋体" w:cs="宋体"/>
          <w:kern w:val="0"/>
          <w:sz w:val="24"/>
          <w:szCs w:val="24"/>
          <w:shd w:val="clear" w:fill="FFFFFF"/>
        </w:rPr>
        <w:t>年本年收入合计399</w:t>
      </w:r>
      <w:r>
        <w:rPr>
          <w:rFonts w:hint="eastAsia" w:ascii="宋体" w:hAnsi="宋体" w:eastAsia="宋体" w:cs="宋体"/>
          <w:kern w:val="0"/>
          <w:sz w:val="24"/>
          <w:szCs w:val="24"/>
          <w:shd w:val="clear" w:fill="FFFFFF"/>
          <w:lang w:val="en-US" w:eastAsia="zh-CN"/>
        </w:rPr>
        <w:t>.</w:t>
      </w:r>
      <w:r>
        <w:rPr>
          <w:rFonts w:hint="eastAsia" w:ascii="宋体" w:hAnsi="宋体" w:eastAsia="宋体" w:cs="宋体"/>
          <w:kern w:val="0"/>
          <w:sz w:val="24"/>
          <w:szCs w:val="24"/>
          <w:shd w:val="clear" w:fill="FFFFFF"/>
        </w:rPr>
        <w:t>79万元，其中：一般公共预算财政拨款收入</w:t>
      </w:r>
      <w:r>
        <w:rPr>
          <w:rFonts w:hint="eastAsia" w:ascii="宋体" w:hAnsi="宋体" w:eastAsia="宋体" w:cs="宋体"/>
          <w:kern w:val="0"/>
          <w:sz w:val="24"/>
          <w:szCs w:val="24"/>
          <w:shd w:val="clear" w:fill="FFFFFF"/>
          <w:lang w:val="en-US" w:eastAsia="zh-CN"/>
        </w:rPr>
        <w:t>399.79</w:t>
      </w:r>
      <w:r>
        <w:rPr>
          <w:rFonts w:hint="eastAsia" w:ascii="宋体" w:hAnsi="宋体" w:eastAsia="宋体" w:cs="宋体"/>
          <w:kern w:val="0"/>
          <w:sz w:val="24"/>
          <w:szCs w:val="24"/>
          <w:shd w:val="clear" w:fill="FFFFFF"/>
        </w:rPr>
        <w:t>万元，占</w:t>
      </w:r>
      <w:r>
        <w:rPr>
          <w:rFonts w:hint="eastAsia" w:ascii="宋体" w:hAnsi="宋体" w:eastAsia="宋体" w:cs="宋体"/>
          <w:kern w:val="0"/>
          <w:sz w:val="24"/>
          <w:szCs w:val="24"/>
          <w:shd w:val="clear" w:fill="FFFFFF"/>
          <w:lang w:val="en-US" w:eastAsia="zh-CN"/>
        </w:rPr>
        <w:t>100</w:t>
      </w:r>
      <w:r>
        <w:rPr>
          <w:rFonts w:hint="eastAsia" w:ascii="宋体" w:hAnsi="宋体" w:eastAsia="宋体" w:cs="宋体"/>
          <w:kern w:val="0"/>
          <w:sz w:val="24"/>
          <w:szCs w:val="24"/>
          <w:shd w:val="clear" w:fill="FFFFFF"/>
        </w:rPr>
        <w:t>%；政府性基金预算财政拨款收入0.00万元，占0.00%；国有资本经营预算财政拨款收入0.00万元，占0.00%；上级补助收入0.00万元，占0.00%；事业收入0.00万元，占0.00%%；经营收入0.00万元，占0.00%%；附属单位上缴收入0.00万元，占0.00%；其他收入</w:t>
      </w:r>
      <w:r>
        <w:rPr>
          <w:rFonts w:hint="eastAsia" w:ascii="宋体" w:hAnsi="宋体" w:eastAsia="宋体" w:cs="宋体"/>
          <w:kern w:val="0"/>
          <w:sz w:val="24"/>
          <w:szCs w:val="24"/>
          <w:shd w:val="clear" w:fill="FFFFFF"/>
          <w:lang w:val="en-US" w:eastAsia="zh-CN"/>
        </w:rPr>
        <w:t>0</w:t>
      </w:r>
      <w:r>
        <w:rPr>
          <w:rFonts w:hint="eastAsia" w:ascii="宋体" w:hAnsi="宋体" w:eastAsia="宋体" w:cs="宋体"/>
          <w:kern w:val="0"/>
          <w:sz w:val="24"/>
          <w:szCs w:val="24"/>
          <w:shd w:val="clear" w:fill="FFFFFF"/>
        </w:rPr>
        <w:t>万元，占</w:t>
      </w:r>
      <w:r>
        <w:rPr>
          <w:rFonts w:hint="eastAsia" w:ascii="宋体" w:hAnsi="宋体" w:eastAsia="宋体" w:cs="宋体"/>
          <w:kern w:val="0"/>
          <w:sz w:val="24"/>
          <w:szCs w:val="24"/>
          <w:shd w:val="clear" w:fill="FFFFFF"/>
          <w:lang w:val="en-US" w:eastAsia="zh-CN"/>
        </w:rPr>
        <w:t>0</w:t>
      </w:r>
      <w:r>
        <w:rPr>
          <w:rFonts w:hint="eastAsia" w:ascii="宋体" w:hAnsi="宋体" w:eastAsia="宋体" w:cs="宋体"/>
          <w:kern w:val="0"/>
          <w:sz w:val="24"/>
          <w:szCs w:val="24"/>
          <w:shd w:val="clear" w:fill="FFFFFF"/>
        </w:rPr>
        <w:t>%。</w:t>
      </w:r>
      <w:r>
        <w:rPr>
          <w:rFonts w:hint="eastAsia" w:ascii="宋体" w:hAnsi="宋体" w:eastAsia="宋体" w:cs="宋体"/>
          <w:kern w:val="0"/>
          <w:sz w:val="24"/>
          <w:szCs w:val="24"/>
          <w:shd w:val="clear" w:fill="FFFFFF"/>
          <w:lang w:val="en-US" w:eastAsia="zh-CN"/>
        </w:rPr>
        <w:t xml:space="preserve">  </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（图2：收入决算结构图）（饼状图）</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ascii="宋体" w:hAnsi="宋体" w:eastAsia="宋体" w:cs="宋体"/>
          <w:b/>
          <w:bCs/>
          <w:kern w:val="0"/>
          <w:sz w:val="36"/>
          <w:szCs w:val="36"/>
          <w:shd w:val="clear" w:fill="FFFFFF"/>
        </w:rPr>
      </w:pPr>
      <w:r>
        <w:rPr>
          <w:rFonts w:hint="eastAsia" w:cs="宋体"/>
          <w:b/>
          <w:bCs/>
          <w:kern w:val="0"/>
          <w:sz w:val="36"/>
          <w:szCs w:val="36"/>
          <w:shd w:val="clear" w:fill="FFFFFF"/>
          <w:lang w:eastAsia="zh-CN"/>
        </w:rPr>
        <w:t>三、</w:t>
      </w:r>
      <w:r>
        <w:rPr>
          <w:rFonts w:hint="eastAsia" w:ascii="宋体" w:hAnsi="宋体" w:eastAsia="宋体" w:cs="宋体"/>
          <w:b/>
          <w:bCs/>
          <w:kern w:val="0"/>
          <w:sz w:val="36"/>
          <w:szCs w:val="36"/>
          <w:shd w:val="clear" w:fill="FFFFFF"/>
        </w:rPr>
        <w:t>支出决算情况说明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ascii="宋体" w:hAnsi="宋体" w:eastAsia="宋体" w:cs="宋体"/>
          <w:kern w:val="0"/>
          <w:sz w:val="24"/>
          <w:szCs w:val="24"/>
          <w:shd w:val="clear" w:fill="FFFFFF"/>
          <w:lang w:val="en-US" w:eastAsia="zh-CN"/>
        </w:rPr>
        <w:t>2</w:t>
      </w:r>
      <w:r>
        <w:rPr>
          <w:rFonts w:hint="eastAsia" w:ascii="宋体" w:hAnsi="宋体" w:eastAsia="宋体" w:cs="宋体"/>
          <w:kern w:val="0"/>
          <w:sz w:val="24"/>
          <w:szCs w:val="24"/>
          <w:shd w:val="clear" w:fill="FFFFFF"/>
        </w:rPr>
        <w:t>年本年支出合计</w:t>
      </w:r>
      <w:r>
        <w:rPr>
          <w:rFonts w:hint="eastAsia" w:ascii="宋体" w:hAnsi="宋体" w:eastAsia="宋体" w:cs="宋体"/>
          <w:kern w:val="0"/>
          <w:sz w:val="24"/>
          <w:szCs w:val="24"/>
          <w:shd w:val="clear" w:fill="FFFFFF"/>
          <w:lang w:val="en-US" w:eastAsia="zh-CN"/>
        </w:rPr>
        <w:t>401.31</w:t>
      </w:r>
      <w:r>
        <w:rPr>
          <w:rFonts w:hint="eastAsia" w:ascii="宋体" w:hAnsi="宋体" w:eastAsia="宋体" w:cs="宋体"/>
          <w:kern w:val="0"/>
          <w:sz w:val="24"/>
          <w:szCs w:val="24"/>
          <w:shd w:val="clear" w:fill="FFFFFF"/>
        </w:rPr>
        <w:t>其中：基本支出</w:t>
      </w:r>
      <w:r>
        <w:rPr>
          <w:rFonts w:hint="eastAsia" w:ascii="宋体" w:hAnsi="宋体" w:eastAsia="宋体" w:cs="宋体"/>
          <w:kern w:val="0"/>
          <w:sz w:val="24"/>
          <w:szCs w:val="24"/>
          <w:shd w:val="clear" w:fill="FFFFFF"/>
          <w:lang w:val="en-US" w:eastAsia="zh-CN"/>
        </w:rPr>
        <w:t>348.14</w:t>
      </w:r>
      <w:r>
        <w:rPr>
          <w:rFonts w:hint="eastAsia" w:ascii="宋体" w:hAnsi="宋体" w:eastAsia="宋体" w:cs="宋体"/>
          <w:kern w:val="0"/>
          <w:sz w:val="24"/>
          <w:szCs w:val="24"/>
          <w:shd w:val="clear" w:fill="FFFFFF"/>
        </w:rPr>
        <w:t>万元，占</w:t>
      </w:r>
      <w:r>
        <w:rPr>
          <w:rFonts w:hint="eastAsia" w:ascii="宋体" w:hAnsi="宋体" w:eastAsia="宋体" w:cs="宋体"/>
          <w:kern w:val="0"/>
          <w:sz w:val="24"/>
          <w:szCs w:val="24"/>
          <w:shd w:val="clear" w:fill="FFFFFF"/>
          <w:lang w:val="en-US" w:eastAsia="zh-CN"/>
        </w:rPr>
        <w:t>86.75</w:t>
      </w:r>
      <w:r>
        <w:rPr>
          <w:rFonts w:hint="eastAsia" w:ascii="宋体" w:hAnsi="宋体" w:eastAsia="宋体" w:cs="宋体"/>
          <w:kern w:val="0"/>
          <w:sz w:val="24"/>
          <w:szCs w:val="24"/>
          <w:shd w:val="clear" w:fill="FFFFFF"/>
        </w:rPr>
        <w:t>%；项目支出</w:t>
      </w:r>
      <w:r>
        <w:rPr>
          <w:rFonts w:hint="eastAsia" w:ascii="宋体" w:hAnsi="宋体" w:eastAsia="宋体" w:cs="宋体"/>
          <w:kern w:val="0"/>
          <w:sz w:val="24"/>
          <w:szCs w:val="24"/>
          <w:shd w:val="clear" w:fill="FFFFFF"/>
          <w:lang w:val="en-US" w:eastAsia="zh-CN"/>
        </w:rPr>
        <w:t>53.17</w:t>
      </w:r>
      <w:r>
        <w:rPr>
          <w:rFonts w:hint="eastAsia" w:ascii="宋体" w:hAnsi="宋体" w:eastAsia="宋体" w:cs="宋体"/>
          <w:kern w:val="0"/>
          <w:sz w:val="24"/>
          <w:szCs w:val="24"/>
          <w:shd w:val="clear" w:fill="FFFFFF"/>
        </w:rPr>
        <w:t>万元，占</w:t>
      </w:r>
      <w:r>
        <w:rPr>
          <w:rFonts w:hint="eastAsia" w:ascii="宋体" w:hAnsi="宋体" w:eastAsia="宋体" w:cs="宋体"/>
          <w:kern w:val="0"/>
          <w:sz w:val="24"/>
          <w:szCs w:val="24"/>
          <w:shd w:val="clear" w:fill="FFFFFF"/>
          <w:lang w:val="en-US" w:eastAsia="zh-CN"/>
        </w:rPr>
        <w:t>13.25</w:t>
      </w:r>
      <w:r>
        <w:rPr>
          <w:rFonts w:hint="eastAsia" w:ascii="宋体" w:hAnsi="宋体" w:eastAsia="宋体" w:cs="宋体"/>
          <w:kern w:val="0"/>
          <w:sz w:val="24"/>
          <w:szCs w:val="24"/>
          <w:shd w:val="clear" w:fill="FFFFFF"/>
        </w:rPr>
        <w:t>%；上缴上级支出0.00万元，占0.00%；经营支出0.00万元，占经营支出0.00万元，占 0.00%；对附属单位补助支出0.00万元，占0.00%。</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4572000" cy="2505075"/>
            <wp:effectExtent l="4445" t="4445" r="14605" b="62230"/>
            <wp:docPr id="11" name="图表 6" descr="7b0a202020202263686172745265734964223a202232303437363132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eastAsia" w:ascii="宋体" w:hAnsi="宋体" w:eastAsia="宋体" w:cs="宋体"/>
          <w:kern w:val="0"/>
          <w:sz w:val="24"/>
          <w:szCs w:val="24"/>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（图3：支出决算结构图）（饼状图）</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cs="宋体"/>
          <w:b/>
          <w:bCs/>
          <w:kern w:val="0"/>
          <w:sz w:val="36"/>
          <w:szCs w:val="36"/>
          <w:shd w:val="clear" w:fill="FFFFFF"/>
          <w:lang w:eastAsia="zh-CN"/>
        </w:rPr>
      </w:pPr>
      <w:r>
        <w:rPr>
          <w:rFonts w:hint="eastAsia" w:cs="宋体"/>
          <w:b/>
          <w:bCs/>
          <w:kern w:val="0"/>
          <w:sz w:val="36"/>
          <w:szCs w:val="36"/>
          <w:shd w:val="clear" w:fill="FFFFFF"/>
          <w:lang w:eastAsia="zh-CN"/>
        </w:rPr>
        <w:t xml:space="preserve"> 四、财政拨款收入支出决算总体情况说明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年财政拨款收、支总计</w:t>
      </w:r>
      <w:r>
        <w:rPr>
          <w:rFonts w:hint="eastAsia" w:cs="宋体"/>
          <w:kern w:val="0"/>
          <w:sz w:val="24"/>
          <w:szCs w:val="24"/>
          <w:shd w:val="clear" w:fill="FFFFFF"/>
          <w:lang w:val="en-US" w:eastAsia="zh-CN"/>
        </w:rPr>
        <w:t>399.79</w:t>
      </w:r>
      <w:r>
        <w:rPr>
          <w:rFonts w:hint="eastAsia" w:ascii="宋体" w:hAnsi="宋体" w:eastAsia="宋体" w:cs="宋体"/>
          <w:kern w:val="0"/>
          <w:sz w:val="24"/>
          <w:szCs w:val="24"/>
          <w:shd w:val="clear" w:fill="FFFFFF"/>
        </w:rPr>
        <w:t>万元。与202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年相比，财政拨款收、支总计各增加</w:t>
      </w:r>
      <w:r>
        <w:rPr>
          <w:rFonts w:hint="eastAsia" w:cs="宋体"/>
          <w:kern w:val="0"/>
          <w:sz w:val="24"/>
          <w:szCs w:val="24"/>
          <w:shd w:val="clear" w:fill="FFFFFF"/>
          <w:lang w:val="en-US" w:eastAsia="zh-CN"/>
        </w:rPr>
        <w:t>34.54</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9.46</w:t>
      </w:r>
      <w:r>
        <w:rPr>
          <w:rFonts w:hint="eastAsia" w:ascii="宋体" w:hAnsi="宋体" w:eastAsia="宋体" w:cs="宋体"/>
          <w:kern w:val="0"/>
          <w:sz w:val="24"/>
          <w:szCs w:val="24"/>
          <w:shd w:val="clear" w:fill="FFFFFF"/>
        </w:rPr>
        <w:t>%。主要变动原因</w:t>
      </w:r>
      <w:r>
        <w:rPr>
          <w:rStyle w:val="10"/>
          <w:rFonts w:hint="eastAsia"/>
          <w:b/>
          <w:bCs w:val="0"/>
        </w:rPr>
        <w:t>一是</w:t>
      </w:r>
      <w:r>
        <w:rPr>
          <w:rStyle w:val="10"/>
          <w:rFonts w:hint="eastAsia"/>
          <w:b w:val="0"/>
        </w:rPr>
        <w:t>增加了住户调查大样本轮换工作；</w:t>
      </w:r>
      <w:r>
        <w:rPr>
          <w:rStyle w:val="10"/>
          <w:rFonts w:hint="eastAsia"/>
          <w:b/>
          <w:bCs w:val="0"/>
        </w:rPr>
        <w:t>二是</w:t>
      </w:r>
      <w:r>
        <w:rPr>
          <w:rStyle w:val="10"/>
          <w:rFonts w:hint="eastAsia"/>
          <w:b w:val="0"/>
        </w:rPr>
        <w:t>本年度增加了统计专网租赁费</w:t>
      </w:r>
      <w:r>
        <w:rPr>
          <w:rFonts w:hint="eastAsia"/>
          <w:b/>
        </w:rPr>
        <w:t>。</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drawing>
          <wp:inline distT="0" distB="0" distL="114300" distR="114300">
            <wp:extent cx="4572000" cy="2325370"/>
            <wp:effectExtent l="5080" t="4445" r="13970" b="13335"/>
            <wp:docPr id="14" name="图表 13" descr="7b0a202020202263686172745265734964223a20223436363938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宋体" w:hAnsi="宋体" w:eastAsia="宋体" w:cs="宋体"/>
          <w:kern w:val="0"/>
          <w:sz w:val="24"/>
          <w:szCs w:val="24"/>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（图4：财政拨款收、支决算总计变动情况）（柱状图）</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cs="宋体"/>
          <w:b/>
          <w:bCs/>
          <w:kern w:val="0"/>
          <w:sz w:val="36"/>
          <w:szCs w:val="36"/>
          <w:shd w:val="clear" w:fill="FFFFFF"/>
          <w:lang w:eastAsia="zh-CN"/>
        </w:rPr>
      </w:pPr>
      <w:r>
        <w:rPr>
          <w:rFonts w:hint="eastAsia" w:cs="宋体"/>
          <w:b/>
          <w:bCs/>
          <w:kern w:val="0"/>
          <w:sz w:val="36"/>
          <w:szCs w:val="36"/>
          <w:shd w:val="clear" w:fill="FFFFFF"/>
          <w:lang w:eastAsia="zh-CN"/>
        </w:rPr>
        <w:t>五、一般公共预算财政拨款支出决算情况说明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年一般公共预算财政拨款支出</w:t>
      </w:r>
      <w:r>
        <w:rPr>
          <w:rFonts w:hint="eastAsia" w:cs="宋体"/>
          <w:kern w:val="0"/>
          <w:sz w:val="24"/>
          <w:szCs w:val="24"/>
          <w:shd w:val="clear" w:fill="FFFFFF"/>
          <w:lang w:val="en-US" w:eastAsia="zh-CN"/>
        </w:rPr>
        <w:t>315.17</w:t>
      </w:r>
      <w:r>
        <w:rPr>
          <w:rFonts w:hint="eastAsia" w:ascii="宋体" w:hAnsi="宋体" w:eastAsia="宋体" w:cs="宋体"/>
          <w:kern w:val="0"/>
          <w:sz w:val="24"/>
          <w:szCs w:val="24"/>
          <w:shd w:val="clear" w:fill="FFFFFF"/>
        </w:rPr>
        <w:t>万元，占本年支出合计的</w:t>
      </w:r>
      <w:r>
        <w:rPr>
          <w:rFonts w:hint="eastAsia" w:cs="宋体"/>
          <w:kern w:val="0"/>
          <w:sz w:val="24"/>
          <w:szCs w:val="24"/>
          <w:shd w:val="clear" w:fill="FFFFFF"/>
          <w:lang w:val="en-US" w:eastAsia="zh-CN"/>
        </w:rPr>
        <w:t>78.54</w:t>
      </w:r>
      <w:r>
        <w:rPr>
          <w:rFonts w:hint="eastAsia" w:ascii="宋体" w:hAnsi="宋体" w:eastAsia="宋体" w:cs="宋体"/>
          <w:kern w:val="0"/>
          <w:sz w:val="24"/>
          <w:szCs w:val="24"/>
          <w:shd w:val="clear" w:fill="FFFFFF"/>
        </w:rPr>
        <w:t>%。与202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年相比，一般公共预算财政拨款支出增加</w:t>
      </w:r>
      <w:r>
        <w:rPr>
          <w:rFonts w:hint="eastAsia" w:cs="宋体"/>
          <w:kern w:val="0"/>
          <w:sz w:val="24"/>
          <w:szCs w:val="24"/>
          <w:shd w:val="clear" w:fill="FFFFFF"/>
          <w:lang w:val="en-US" w:eastAsia="zh-CN"/>
        </w:rPr>
        <w:t>20.52</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6.96</w:t>
      </w:r>
      <w:r>
        <w:rPr>
          <w:rFonts w:hint="eastAsia" w:ascii="宋体" w:hAnsi="宋体" w:eastAsia="宋体" w:cs="宋体"/>
          <w:kern w:val="0"/>
          <w:sz w:val="24"/>
          <w:szCs w:val="24"/>
          <w:shd w:val="clear" w:fill="FFFFFF"/>
        </w:rPr>
        <w:t>%。主要变动原因：</w:t>
      </w:r>
      <w:r>
        <w:rPr>
          <w:rFonts w:hint="eastAsia" w:ascii="宋体" w:hAnsi="宋体" w:eastAsia="宋体" w:cs="宋体"/>
          <w:b/>
          <w:bCs/>
          <w:kern w:val="0"/>
          <w:sz w:val="24"/>
          <w:szCs w:val="24"/>
          <w:shd w:val="clear" w:fill="FFFFFF"/>
        </w:rPr>
        <w:t>一是</w:t>
      </w:r>
      <w:r>
        <w:rPr>
          <w:rFonts w:hint="eastAsia" w:ascii="宋体" w:hAnsi="宋体" w:eastAsia="宋体" w:cs="宋体"/>
          <w:kern w:val="0"/>
          <w:sz w:val="24"/>
          <w:szCs w:val="24"/>
          <w:shd w:val="clear" w:fill="FFFFFF"/>
        </w:rPr>
        <w:t>本年度</w:t>
      </w:r>
      <w:r>
        <w:rPr>
          <w:rFonts w:hint="eastAsia" w:cs="宋体"/>
          <w:kern w:val="0"/>
          <w:sz w:val="24"/>
          <w:szCs w:val="24"/>
          <w:shd w:val="clear" w:fill="FFFFFF"/>
          <w:lang w:eastAsia="zh-CN"/>
        </w:rPr>
        <w:t>增加了</w:t>
      </w:r>
      <w:r>
        <w:rPr>
          <w:rFonts w:hint="eastAsia" w:ascii="宋体" w:hAnsi="宋体" w:eastAsia="宋体" w:cs="宋体"/>
          <w:kern w:val="0"/>
          <w:sz w:val="24"/>
          <w:szCs w:val="24"/>
          <w:shd w:val="clear" w:fill="FFFFFF"/>
        </w:rPr>
        <w:t>人员</w:t>
      </w:r>
      <w:r>
        <w:rPr>
          <w:rFonts w:hint="eastAsia" w:cs="宋体"/>
          <w:kern w:val="0"/>
          <w:sz w:val="24"/>
          <w:szCs w:val="24"/>
          <w:shd w:val="clear" w:fill="FFFFFF"/>
          <w:lang w:eastAsia="zh-CN"/>
        </w:rPr>
        <w:t>绩效</w:t>
      </w:r>
      <w:r>
        <w:rPr>
          <w:rFonts w:hint="eastAsia" w:ascii="宋体" w:hAnsi="宋体" w:eastAsia="宋体" w:cs="宋体"/>
          <w:kern w:val="0"/>
          <w:sz w:val="24"/>
          <w:szCs w:val="24"/>
          <w:shd w:val="clear" w:fill="FFFFFF"/>
        </w:rPr>
        <w:t>；</w:t>
      </w:r>
      <w:r>
        <w:rPr>
          <w:rFonts w:hint="eastAsia" w:ascii="宋体" w:hAnsi="宋体" w:eastAsia="宋体" w:cs="宋体"/>
          <w:b/>
          <w:bCs/>
          <w:kern w:val="0"/>
          <w:sz w:val="24"/>
          <w:szCs w:val="24"/>
          <w:shd w:val="clear" w:fill="FFFFFF"/>
        </w:rPr>
        <w:t>二是</w:t>
      </w:r>
      <w:r>
        <w:rPr>
          <w:rFonts w:hint="eastAsia" w:ascii="宋体" w:hAnsi="宋体" w:eastAsia="宋体" w:cs="宋体"/>
          <w:kern w:val="0"/>
          <w:sz w:val="24"/>
          <w:szCs w:val="24"/>
          <w:shd w:val="clear" w:fill="FFFFFF"/>
        </w:rPr>
        <w:t>增加了</w:t>
      </w:r>
      <w:r>
        <w:rPr>
          <w:rFonts w:hint="eastAsia" w:cs="宋体"/>
          <w:kern w:val="0"/>
          <w:sz w:val="24"/>
          <w:szCs w:val="24"/>
          <w:shd w:val="clear" w:fill="FFFFFF"/>
          <w:lang w:eastAsia="zh-CN"/>
        </w:rPr>
        <w:t>住户调查大样本轮换工作</w:t>
      </w:r>
      <w:r>
        <w:rPr>
          <w:rFonts w:hint="eastAsia" w:ascii="宋体" w:hAnsi="宋体" w:eastAsia="宋体" w:cs="宋体"/>
          <w:kern w:val="0"/>
          <w:sz w:val="24"/>
          <w:szCs w:val="24"/>
          <w:shd w:val="clear" w:fill="FFFFFF"/>
        </w:rPr>
        <w:t>。</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drawing>
          <wp:inline distT="0" distB="0" distL="114300" distR="114300">
            <wp:extent cx="4572000" cy="2743200"/>
            <wp:effectExtent l="4445" t="4445" r="14605" b="14605"/>
            <wp:docPr id="12" name="图表 15" descr="7b0a202020202263686172745265734964223a202232303437343938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shd w:val="clear" w:fill="FFFFFF"/>
        </w:rPr>
        <w:t>（图5：一般公共预算财政拨款支出决算变动情况）（柱状图）</w:t>
      </w:r>
    </w:p>
    <w:p>
      <w:pPr>
        <w:pStyle w:val="11"/>
        <w:keepNext w:val="0"/>
        <w:keepLines w:val="0"/>
        <w:widowControl/>
        <w:suppressLineNumbers w:val="0"/>
        <w:spacing w:before="0" w:beforeAutospacing="0"/>
        <w:ind w:left="0"/>
        <w:jc w:val="left"/>
        <w:rPr>
          <w:rFonts w:hint="eastAsia" w:ascii="宋体" w:hAnsi="宋体" w:eastAsia="宋体" w:cs="宋体"/>
          <w:color w:val="auto"/>
          <w:kern w:val="0"/>
          <w:sz w:val="24"/>
          <w:szCs w:val="24"/>
        </w:rPr>
      </w:pPr>
      <w:r>
        <w:rPr>
          <w:rStyle w:val="12"/>
          <w:rFonts w:hint="eastAsia" w:ascii="宋体" w:hAnsi="宋体" w:eastAsia="宋体" w:cs="宋体"/>
          <w:b/>
          <w:bCs/>
          <w:color w:val="auto"/>
          <w:shd w:val="clear" w:fill="FFFFFF"/>
        </w:rPr>
        <w:t>（二）一般公共预算财政拨款支出决算结构情况</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color w:val="auto"/>
          <w:kern w:val="0"/>
          <w:sz w:val="24"/>
          <w:szCs w:val="24"/>
          <w:shd w:val="clear" w:fill="FFFFFF"/>
        </w:rPr>
      </w:pPr>
      <w:r>
        <w:rPr>
          <w:rFonts w:hint="eastAsia" w:ascii="宋体" w:hAnsi="宋体" w:eastAsia="宋体" w:cs="宋体"/>
          <w:color w:val="auto"/>
          <w:kern w:val="0"/>
          <w:sz w:val="24"/>
          <w:szCs w:val="24"/>
          <w:shd w:val="clear" w:fill="FFFFFF"/>
        </w:rPr>
        <w:t>202</w:t>
      </w:r>
      <w:r>
        <w:rPr>
          <w:rFonts w:hint="eastAsia" w:cs="宋体"/>
          <w:color w:val="auto"/>
          <w:kern w:val="0"/>
          <w:sz w:val="24"/>
          <w:szCs w:val="24"/>
          <w:shd w:val="clear" w:fill="FFFFFF"/>
          <w:lang w:val="en-US" w:eastAsia="zh-CN"/>
        </w:rPr>
        <w:t>2</w:t>
      </w:r>
      <w:r>
        <w:rPr>
          <w:rFonts w:hint="eastAsia" w:ascii="宋体" w:hAnsi="宋体" w:eastAsia="宋体" w:cs="宋体"/>
          <w:color w:val="auto"/>
          <w:kern w:val="0"/>
          <w:sz w:val="24"/>
          <w:szCs w:val="24"/>
          <w:shd w:val="clear" w:fill="FFFFFF"/>
        </w:rPr>
        <w:t>年一般公共预算财政拨款支出</w:t>
      </w:r>
      <w:r>
        <w:rPr>
          <w:rFonts w:hint="eastAsia" w:cs="宋体"/>
          <w:color w:val="auto"/>
          <w:kern w:val="0"/>
          <w:sz w:val="24"/>
          <w:szCs w:val="24"/>
          <w:shd w:val="clear" w:fill="FFFFFF"/>
          <w:lang w:val="en-US" w:eastAsia="zh-CN"/>
        </w:rPr>
        <w:t>399.79</w:t>
      </w:r>
      <w:r>
        <w:rPr>
          <w:rFonts w:hint="eastAsia" w:ascii="宋体" w:hAnsi="宋体" w:eastAsia="宋体" w:cs="宋体"/>
          <w:color w:val="auto"/>
          <w:kern w:val="0"/>
          <w:sz w:val="24"/>
          <w:szCs w:val="24"/>
          <w:shd w:val="clear" w:fill="FFFFFF"/>
        </w:rPr>
        <w:t>万元，主要用于以下方面:</w:t>
      </w:r>
      <w:r>
        <w:rPr>
          <w:rStyle w:val="12"/>
          <w:rFonts w:hint="eastAsia" w:ascii="宋体" w:hAnsi="宋体" w:eastAsia="宋体" w:cs="宋体"/>
          <w:b/>
          <w:bCs/>
          <w:color w:val="auto"/>
          <w:shd w:val="clear" w:fill="FFFFFF"/>
        </w:rPr>
        <w:t>一般公共服务（类）</w:t>
      </w:r>
      <w:r>
        <w:rPr>
          <w:rFonts w:hint="eastAsia" w:ascii="宋体" w:hAnsi="宋体" w:eastAsia="宋体" w:cs="宋体"/>
          <w:color w:val="auto"/>
          <w:kern w:val="0"/>
          <w:sz w:val="24"/>
          <w:szCs w:val="24"/>
          <w:shd w:val="clear" w:fill="FFFFFF"/>
        </w:rPr>
        <w:t>支出</w:t>
      </w:r>
      <w:r>
        <w:rPr>
          <w:rFonts w:hint="eastAsia" w:cs="宋体"/>
          <w:color w:val="auto"/>
          <w:kern w:val="0"/>
          <w:sz w:val="24"/>
          <w:szCs w:val="24"/>
          <w:shd w:val="clear" w:fill="FFFFFF"/>
          <w:lang w:val="en-US" w:eastAsia="zh-CN"/>
        </w:rPr>
        <w:t>315.17</w:t>
      </w:r>
      <w:r>
        <w:rPr>
          <w:rFonts w:hint="eastAsia" w:ascii="宋体" w:hAnsi="宋体" w:eastAsia="宋体" w:cs="宋体"/>
          <w:color w:val="auto"/>
          <w:kern w:val="0"/>
          <w:sz w:val="24"/>
          <w:szCs w:val="24"/>
          <w:shd w:val="clear" w:fill="FFFFFF"/>
        </w:rPr>
        <w:t>万元，占</w:t>
      </w:r>
      <w:r>
        <w:rPr>
          <w:rFonts w:hint="eastAsia" w:cs="宋体"/>
          <w:color w:val="auto"/>
          <w:kern w:val="0"/>
          <w:sz w:val="24"/>
          <w:szCs w:val="24"/>
          <w:shd w:val="clear" w:fill="FFFFFF"/>
          <w:lang w:val="en-US" w:eastAsia="zh-CN"/>
        </w:rPr>
        <w:t>78.83</w:t>
      </w:r>
      <w:r>
        <w:rPr>
          <w:rFonts w:hint="eastAsia" w:ascii="宋体" w:hAnsi="宋体" w:eastAsia="宋体" w:cs="宋体"/>
          <w:color w:val="auto"/>
          <w:kern w:val="0"/>
          <w:sz w:val="24"/>
          <w:szCs w:val="24"/>
          <w:shd w:val="clear" w:fill="FFFFFF"/>
        </w:rPr>
        <w:t>%；</w:t>
      </w:r>
      <w:r>
        <w:rPr>
          <w:rStyle w:val="12"/>
          <w:rFonts w:hint="eastAsia" w:ascii="宋体" w:hAnsi="宋体" w:eastAsia="宋体" w:cs="宋体"/>
          <w:b/>
          <w:bCs/>
          <w:color w:val="auto"/>
          <w:shd w:val="clear" w:fill="FFFFFF"/>
        </w:rPr>
        <w:t>教育支出（类）</w:t>
      </w:r>
      <w:r>
        <w:rPr>
          <w:rFonts w:hint="eastAsia" w:ascii="宋体" w:hAnsi="宋体" w:eastAsia="宋体" w:cs="宋体"/>
          <w:color w:val="auto"/>
          <w:kern w:val="0"/>
          <w:sz w:val="24"/>
          <w:szCs w:val="24"/>
          <w:shd w:val="clear" w:fill="FFFFFF"/>
        </w:rPr>
        <w:t>0.00万元，占0.00%；</w:t>
      </w:r>
      <w:r>
        <w:rPr>
          <w:rStyle w:val="12"/>
          <w:rFonts w:hint="eastAsia" w:ascii="宋体" w:hAnsi="宋体" w:eastAsia="宋体" w:cs="宋体"/>
          <w:b/>
          <w:bCs/>
          <w:color w:val="auto"/>
          <w:shd w:val="clear" w:fill="FFFFFF"/>
        </w:rPr>
        <w:t>科学技术（类）</w:t>
      </w:r>
      <w:r>
        <w:rPr>
          <w:rFonts w:hint="eastAsia" w:ascii="宋体" w:hAnsi="宋体" w:eastAsia="宋体" w:cs="宋体"/>
          <w:color w:val="auto"/>
          <w:kern w:val="0"/>
          <w:sz w:val="24"/>
          <w:szCs w:val="24"/>
          <w:shd w:val="clear" w:fill="FFFFFF"/>
        </w:rPr>
        <w:t>支出0.00万元，占0.00%；</w:t>
      </w:r>
      <w:r>
        <w:rPr>
          <w:rStyle w:val="12"/>
          <w:rFonts w:hint="eastAsia" w:ascii="宋体" w:hAnsi="宋体" w:eastAsia="宋体" w:cs="宋体"/>
          <w:b/>
          <w:bCs/>
          <w:color w:val="auto"/>
          <w:shd w:val="clear" w:fill="FFFFFF"/>
        </w:rPr>
        <w:t>文化旅游体育与传媒（类）支出</w:t>
      </w:r>
      <w:r>
        <w:rPr>
          <w:rStyle w:val="12"/>
          <w:rFonts w:hint="default" w:ascii="Times New Roman" w:hAnsi="Times New Roman" w:cs="Times New Roman"/>
          <w:b/>
          <w:bCs/>
          <w:color w:val="auto"/>
          <w:shd w:val="clear" w:fill="FFFFFF"/>
        </w:rPr>
        <w:t>0.00</w:t>
      </w:r>
      <w:r>
        <w:rPr>
          <w:rStyle w:val="12"/>
          <w:rFonts w:hint="eastAsia" w:ascii="宋体" w:hAnsi="宋体" w:eastAsia="宋体" w:cs="宋体"/>
          <w:b/>
          <w:bCs/>
          <w:color w:val="auto"/>
          <w:shd w:val="clear" w:fill="FFFFFF"/>
        </w:rPr>
        <w:t>万元，占</w:t>
      </w:r>
      <w:r>
        <w:rPr>
          <w:rStyle w:val="12"/>
          <w:rFonts w:hint="default" w:ascii="Times New Roman" w:hAnsi="Times New Roman" w:cs="Times New Roman"/>
          <w:b/>
          <w:bCs/>
          <w:color w:val="auto"/>
          <w:shd w:val="clear" w:fill="FFFFFF"/>
        </w:rPr>
        <w:t>0.00%</w:t>
      </w:r>
      <w:r>
        <w:rPr>
          <w:rStyle w:val="12"/>
          <w:rFonts w:hint="eastAsia" w:ascii="宋体" w:hAnsi="宋体" w:eastAsia="宋体" w:cs="宋体"/>
          <w:b/>
          <w:bCs/>
          <w:color w:val="auto"/>
          <w:shd w:val="clear" w:fill="FFFFFF"/>
        </w:rPr>
        <w:t>；社会保障和就业（类）</w:t>
      </w:r>
      <w:r>
        <w:rPr>
          <w:rFonts w:hint="eastAsia" w:ascii="宋体" w:hAnsi="宋体" w:eastAsia="宋体" w:cs="宋体"/>
          <w:color w:val="auto"/>
          <w:kern w:val="0"/>
          <w:sz w:val="24"/>
          <w:szCs w:val="24"/>
          <w:shd w:val="clear" w:fill="FFFFFF"/>
        </w:rPr>
        <w:t>支出</w:t>
      </w:r>
      <w:r>
        <w:rPr>
          <w:rFonts w:hint="eastAsia" w:cs="宋体"/>
          <w:color w:val="auto"/>
          <w:kern w:val="0"/>
          <w:sz w:val="24"/>
          <w:szCs w:val="24"/>
          <w:shd w:val="clear" w:fill="FFFFFF"/>
          <w:lang w:val="en-US" w:eastAsia="zh-CN"/>
        </w:rPr>
        <w:t>43.97</w:t>
      </w:r>
      <w:r>
        <w:rPr>
          <w:rFonts w:hint="eastAsia" w:ascii="宋体" w:hAnsi="宋体" w:eastAsia="宋体" w:cs="宋体"/>
          <w:color w:val="auto"/>
          <w:kern w:val="0"/>
          <w:sz w:val="24"/>
          <w:szCs w:val="24"/>
          <w:shd w:val="clear" w:fill="FFFFFF"/>
        </w:rPr>
        <w:t>万元，占</w:t>
      </w:r>
      <w:r>
        <w:rPr>
          <w:rFonts w:hint="eastAsia" w:cs="宋体"/>
          <w:color w:val="auto"/>
          <w:kern w:val="0"/>
          <w:sz w:val="24"/>
          <w:szCs w:val="24"/>
          <w:shd w:val="clear" w:fill="FFFFFF"/>
          <w:lang w:val="en-US" w:eastAsia="zh-CN"/>
        </w:rPr>
        <w:t>11</w:t>
      </w:r>
      <w:r>
        <w:rPr>
          <w:rFonts w:hint="eastAsia" w:ascii="宋体" w:hAnsi="宋体" w:eastAsia="宋体" w:cs="宋体"/>
          <w:color w:val="auto"/>
          <w:kern w:val="0"/>
          <w:sz w:val="24"/>
          <w:szCs w:val="24"/>
          <w:shd w:val="clear" w:fill="FFFFFF"/>
        </w:rPr>
        <w:t>%；</w:t>
      </w:r>
      <w:r>
        <w:rPr>
          <w:rStyle w:val="12"/>
          <w:rFonts w:hint="eastAsia" w:ascii="宋体" w:hAnsi="宋体" w:eastAsia="宋体" w:cs="宋体"/>
          <w:b/>
          <w:bCs/>
          <w:color w:val="auto"/>
          <w:shd w:val="clear" w:fill="FFFFFF"/>
        </w:rPr>
        <w:t>卫生健康支出</w:t>
      </w:r>
      <w:r>
        <w:rPr>
          <w:rFonts w:hint="eastAsia" w:cs="宋体"/>
          <w:color w:val="auto"/>
          <w:kern w:val="0"/>
          <w:sz w:val="24"/>
          <w:szCs w:val="24"/>
          <w:shd w:val="clear" w:fill="FFFFFF"/>
          <w:lang w:val="en-US" w:eastAsia="zh-CN"/>
        </w:rPr>
        <w:t>17.68</w:t>
      </w:r>
      <w:r>
        <w:rPr>
          <w:rFonts w:hint="eastAsia" w:ascii="宋体" w:hAnsi="宋体" w:eastAsia="宋体" w:cs="宋体"/>
          <w:color w:val="auto"/>
          <w:kern w:val="0"/>
          <w:sz w:val="24"/>
          <w:szCs w:val="24"/>
          <w:shd w:val="clear" w:fill="FFFFFF"/>
        </w:rPr>
        <w:t>万元，占</w:t>
      </w:r>
      <w:r>
        <w:rPr>
          <w:rFonts w:hint="eastAsia" w:cs="宋体"/>
          <w:color w:val="auto"/>
          <w:kern w:val="0"/>
          <w:sz w:val="24"/>
          <w:szCs w:val="24"/>
          <w:shd w:val="clear" w:fill="FFFFFF"/>
          <w:lang w:val="en-US" w:eastAsia="zh-CN"/>
        </w:rPr>
        <w:t>4.42</w:t>
      </w:r>
      <w:r>
        <w:rPr>
          <w:rFonts w:hint="eastAsia" w:ascii="宋体" w:hAnsi="宋体" w:eastAsia="宋体" w:cs="宋体"/>
          <w:color w:val="auto"/>
          <w:kern w:val="0"/>
          <w:sz w:val="24"/>
          <w:szCs w:val="24"/>
          <w:shd w:val="clear" w:fill="FFFFFF"/>
        </w:rPr>
        <w:t>%；住房保障支出</w:t>
      </w:r>
      <w:r>
        <w:rPr>
          <w:rFonts w:hint="eastAsia" w:cs="宋体"/>
          <w:color w:val="auto"/>
          <w:kern w:val="0"/>
          <w:sz w:val="24"/>
          <w:szCs w:val="24"/>
          <w:shd w:val="clear" w:fill="FFFFFF"/>
          <w:lang w:val="en-US" w:eastAsia="zh-CN"/>
        </w:rPr>
        <w:t>22.97</w:t>
      </w:r>
      <w:r>
        <w:rPr>
          <w:rFonts w:hint="eastAsia" w:ascii="宋体" w:hAnsi="宋体" w:eastAsia="宋体" w:cs="宋体"/>
          <w:color w:val="auto"/>
          <w:kern w:val="0"/>
          <w:sz w:val="24"/>
          <w:szCs w:val="24"/>
          <w:shd w:val="clear" w:fill="FFFFFF"/>
        </w:rPr>
        <w:t>万元，占</w:t>
      </w:r>
      <w:r>
        <w:rPr>
          <w:rFonts w:hint="eastAsia" w:cs="宋体"/>
          <w:color w:val="auto"/>
          <w:kern w:val="0"/>
          <w:sz w:val="24"/>
          <w:szCs w:val="24"/>
          <w:shd w:val="clear" w:fill="FFFFFF"/>
          <w:lang w:val="en-US" w:eastAsia="zh-CN"/>
        </w:rPr>
        <w:t>5.75</w:t>
      </w:r>
      <w:r>
        <w:rPr>
          <w:rFonts w:hint="eastAsia" w:ascii="宋体" w:hAnsi="宋体" w:eastAsia="宋体" w:cs="宋体"/>
          <w:color w:val="auto"/>
          <w:kern w:val="0"/>
          <w:sz w:val="24"/>
          <w:szCs w:val="24"/>
          <w:shd w:val="clear" w:fill="FFFFFF"/>
        </w:rPr>
        <w:t>%。</w:t>
      </w:r>
    </w:p>
    <w:p>
      <w:pPr>
        <w:pStyle w:val="11"/>
        <w:keepNext w:val="0"/>
        <w:keepLines w:val="0"/>
        <w:widowControl/>
        <w:suppressLineNumbers w:val="0"/>
        <w:spacing w:before="0" w:beforeAutospacing="0"/>
        <w:ind w:left="960" w:leftChars="200" w:hanging="480" w:hangingChars="200"/>
        <w:jc w:val="left"/>
        <w:rPr>
          <w:rFonts w:hint="eastAsia" w:ascii="宋体" w:hAnsi="宋体" w:eastAsia="宋体" w:cs="宋体"/>
          <w:kern w:val="0"/>
          <w:sz w:val="24"/>
          <w:szCs w:val="24"/>
        </w:rPr>
      </w:pPr>
      <w:r>
        <w:drawing>
          <wp:inline distT="0" distB="0" distL="114300" distR="114300">
            <wp:extent cx="4572000" cy="2391410"/>
            <wp:effectExtent l="4445" t="4445" r="14605" b="23495"/>
            <wp:docPr id="1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宋体" w:hAnsi="宋体" w:eastAsia="宋体" w:cs="宋体"/>
          <w:kern w:val="0"/>
          <w:sz w:val="24"/>
          <w:szCs w:val="24"/>
        </w:rPr>
        <w:t xml:space="preserve"> </w:t>
      </w:r>
      <w:r>
        <w:rPr>
          <w:rFonts w:hint="eastAsia" w:cs="宋体"/>
          <w:kern w:val="0"/>
          <w:sz w:val="24"/>
          <w:szCs w:val="24"/>
          <w:lang w:val="en-US" w:eastAsia="zh-CN"/>
        </w:rPr>
        <w:t xml:space="preserve">  </w:t>
      </w:r>
      <w:r>
        <w:rPr>
          <w:rFonts w:hint="eastAsia" w:ascii="宋体" w:hAnsi="宋体" w:eastAsia="宋体" w:cs="宋体"/>
          <w:kern w:val="0"/>
          <w:sz w:val="24"/>
          <w:szCs w:val="24"/>
          <w:shd w:val="clear" w:fill="FFFFFF"/>
        </w:rPr>
        <w:t>（图6：一般公共预算财政拨款支出决算结构）（饼状图）</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2"/>
          <w:rFonts w:hint="eastAsia" w:ascii="宋体" w:hAnsi="宋体" w:eastAsia="宋体" w:cs="宋体"/>
          <w:b/>
          <w:bCs/>
          <w:shd w:val="clear" w:fill="FFFFFF"/>
        </w:rPr>
        <w:t>（三）一般公共预算财政拨款支出决算具体情况</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b/>
          <w:bCs/>
          <w:kern w:val="0"/>
          <w:sz w:val="24"/>
          <w:szCs w:val="24"/>
        </w:rPr>
      </w:pPr>
      <w:r>
        <w:rPr>
          <w:rStyle w:val="12"/>
          <w:rFonts w:hint="default" w:ascii="Times New Roman" w:hAnsi="Times New Roman" w:cs="Times New Roman"/>
          <w:b w:val="0"/>
          <w:bCs w:val="0"/>
          <w:shd w:val="clear" w:fill="FFFFFF"/>
        </w:rPr>
        <w:t>202</w:t>
      </w:r>
      <w:r>
        <w:rPr>
          <w:rStyle w:val="12"/>
          <w:rFonts w:hint="eastAsia" w:ascii="Times New Roman" w:hAnsi="Times New Roman" w:cs="Times New Roman"/>
          <w:b w:val="0"/>
          <w:bCs w:val="0"/>
          <w:shd w:val="clear" w:fill="FFFFFF"/>
          <w:lang w:val="en-US" w:eastAsia="zh-CN"/>
        </w:rPr>
        <w:t>2</w:t>
      </w:r>
      <w:r>
        <w:rPr>
          <w:rStyle w:val="12"/>
          <w:rFonts w:hint="eastAsia" w:ascii="宋体" w:hAnsi="宋体" w:eastAsia="宋体" w:cs="宋体"/>
          <w:b w:val="0"/>
          <w:bCs w:val="0"/>
          <w:shd w:val="clear" w:fill="FFFFFF"/>
        </w:rPr>
        <w:t>年一般公共预算</w:t>
      </w:r>
      <w:r>
        <w:rPr>
          <w:rStyle w:val="12"/>
          <w:rFonts w:hint="eastAsia" w:cs="宋体"/>
          <w:b w:val="0"/>
          <w:bCs w:val="0"/>
          <w:shd w:val="clear" w:fill="FFFFFF"/>
          <w:lang w:eastAsia="zh-CN"/>
        </w:rPr>
        <w:t>财政拨款</w:t>
      </w:r>
      <w:r>
        <w:rPr>
          <w:rStyle w:val="12"/>
          <w:rFonts w:hint="eastAsia" w:ascii="宋体" w:hAnsi="宋体" w:eastAsia="宋体" w:cs="宋体"/>
          <w:b w:val="0"/>
          <w:bCs w:val="0"/>
          <w:shd w:val="clear" w:fill="FFFFFF"/>
        </w:rPr>
        <w:t>支出决算数为</w:t>
      </w:r>
      <w:r>
        <w:rPr>
          <w:rStyle w:val="12"/>
          <w:rFonts w:hint="eastAsia" w:ascii="Times New Roman" w:hAnsi="Times New Roman" w:cs="Times New Roman"/>
          <w:b w:val="0"/>
          <w:bCs w:val="0"/>
          <w:shd w:val="clear" w:fill="FFFFFF"/>
          <w:lang w:val="en-US" w:eastAsia="zh-CN"/>
        </w:rPr>
        <w:t>399.79</w:t>
      </w:r>
      <w:r>
        <w:rPr>
          <w:rFonts w:hint="eastAsia" w:ascii="宋体" w:hAnsi="宋体" w:eastAsia="宋体" w:cs="宋体"/>
          <w:b w:val="0"/>
          <w:bCs w:val="0"/>
          <w:kern w:val="0"/>
          <w:sz w:val="24"/>
          <w:szCs w:val="24"/>
          <w:shd w:val="clear" w:fill="FFFFFF"/>
        </w:rPr>
        <w:t>，</w:t>
      </w:r>
      <w:r>
        <w:rPr>
          <w:rStyle w:val="12"/>
          <w:rFonts w:hint="eastAsia" w:ascii="宋体" w:hAnsi="宋体" w:eastAsia="宋体" w:cs="宋体"/>
          <w:b w:val="0"/>
          <w:bCs w:val="0"/>
          <w:shd w:val="clear" w:fill="FFFFFF"/>
        </w:rPr>
        <w:t>完成预算</w:t>
      </w:r>
      <w:r>
        <w:rPr>
          <w:rStyle w:val="12"/>
          <w:rFonts w:hint="default" w:ascii="Times New Roman" w:hAnsi="Times New Roman" w:cs="Times New Roman"/>
          <w:b w:val="0"/>
          <w:bCs w:val="0"/>
          <w:shd w:val="clear" w:fill="FFFFFF"/>
        </w:rPr>
        <w:t>100.00%</w:t>
      </w:r>
      <w:r>
        <w:rPr>
          <w:rStyle w:val="12"/>
          <w:rFonts w:hint="eastAsia" w:ascii="宋体" w:hAnsi="宋体" w:eastAsia="宋体" w:cs="宋体"/>
          <w:b w:val="0"/>
          <w:bCs w:val="0"/>
          <w:shd w:val="clear" w:fill="FFFFFF"/>
        </w:rPr>
        <w:t>。其中：</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b w:val="0"/>
          <w:bCs w:val="0"/>
          <w:kern w:val="0"/>
          <w:sz w:val="24"/>
          <w:szCs w:val="24"/>
          <w:shd w:val="clear" w:fill="FFFFFF"/>
        </w:rPr>
      </w:pPr>
      <w:r>
        <w:rPr>
          <w:rFonts w:hint="eastAsia" w:ascii="宋体" w:hAnsi="宋体" w:eastAsia="宋体" w:cs="宋体"/>
          <w:b/>
          <w:bCs/>
          <w:kern w:val="0"/>
          <w:sz w:val="24"/>
          <w:szCs w:val="24"/>
          <w:shd w:val="clear" w:fill="FFFFFF"/>
        </w:rPr>
        <w:t>1.一般公共服务统计信息事务类（20105）：</w:t>
      </w:r>
      <w:r>
        <w:rPr>
          <w:rFonts w:hint="eastAsia" w:ascii="宋体" w:hAnsi="宋体" w:eastAsia="宋体" w:cs="宋体"/>
          <w:b w:val="0"/>
          <w:bCs w:val="0"/>
          <w:kern w:val="0"/>
          <w:sz w:val="24"/>
          <w:szCs w:val="24"/>
          <w:shd w:val="clear" w:fill="FFFFFF"/>
        </w:rPr>
        <w:t xml:space="preserve"> 支出决算为</w:t>
      </w:r>
      <w:r>
        <w:rPr>
          <w:rFonts w:hint="eastAsia" w:cs="宋体"/>
          <w:b w:val="0"/>
          <w:bCs w:val="0"/>
          <w:kern w:val="0"/>
          <w:sz w:val="24"/>
          <w:szCs w:val="24"/>
          <w:shd w:val="clear" w:fill="FFFFFF"/>
          <w:lang w:val="en-US" w:eastAsia="zh-CN"/>
        </w:rPr>
        <w:t>315.17</w:t>
      </w:r>
      <w:r>
        <w:rPr>
          <w:rFonts w:hint="eastAsia" w:ascii="宋体" w:hAnsi="宋体" w:eastAsia="宋体" w:cs="宋体"/>
          <w:b w:val="0"/>
          <w:bCs w:val="0"/>
          <w:kern w:val="0"/>
          <w:sz w:val="24"/>
          <w:szCs w:val="24"/>
          <w:shd w:val="clear" w:fill="FFFFFF"/>
        </w:rPr>
        <w:t>万元，完成预算100%，决算数等于预算数。</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b w:val="0"/>
          <w:bCs w:val="0"/>
          <w:kern w:val="0"/>
          <w:sz w:val="24"/>
          <w:szCs w:val="24"/>
        </w:rPr>
      </w:pPr>
      <w:r>
        <w:rPr>
          <w:rFonts w:hint="eastAsia" w:ascii="宋体" w:hAnsi="宋体" w:eastAsia="宋体" w:cs="宋体"/>
          <w:b/>
          <w:bCs/>
          <w:kern w:val="0"/>
          <w:sz w:val="24"/>
          <w:szCs w:val="24"/>
          <w:shd w:val="clear" w:fill="FFFFFF"/>
        </w:rPr>
        <w:t>2.社会保障和就业类（20805）:</w:t>
      </w:r>
      <w:r>
        <w:rPr>
          <w:rFonts w:hint="eastAsia" w:ascii="宋体" w:hAnsi="宋体" w:eastAsia="宋体" w:cs="宋体"/>
          <w:b w:val="0"/>
          <w:bCs w:val="0"/>
          <w:kern w:val="0"/>
          <w:sz w:val="24"/>
          <w:szCs w:val="24"/>
          <w:shd w:val="clear" w:fill="FFFFFF"/>
        </w:rPr>
        <w:t xml:space="preserve"> 支出决算为</w:t>
      </w:r>
      <w:r>
        <w:rPr>
          <w:rFonts w:hint="eastAsia" w:cs="宋体"/>
          <w:b w:val="0"/>
          <w:bCs w:val="0"/>
          <w:kern w:val="0"/>
          <w:sz w:val="24"/>
          <w:szCs w:val="24"/>
          <w:shd w:val="clear" w:fill="FFFFFF"/>
          <w:lang w:val="en-US" w:eastAsia="zh-CN"/>
        </w:rPr>
        <w:t>43.97</w:t>
      </w:r>
      <w:r>
        <w:rPr>
          <w:rFonts w:hint="eastAsia" w:ascii="宋体" w:hAnsi="宋体" w:eastAsia="宋体" w:cs="宋体"/>
          <w:b w:val="0"/>
          <w:bCs w:val="0"/>
          <w:kern w:val="0"/>
          <w:sz w:val="24"/>
          <w:szCs w:val="24"/>
          <w:shd w:val="clear" w:fill="FFFFFF"/>
        </w:rPr>
        <w:t>万元，完成预算100%，决算数等于预算数。</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b w:val="0"/>
          <w:bCs w:val="0"/>
          <w:kern w:val="0"/>
          <w:sz w:val="24"/>
          <w:szCs w:val="24"/>
          <w:shd w:val="clear" w:fill="FFFFFF"/>
        </w:rPr>
      </w:pPr>
      <w:r>
        <w:rPr>
          <w:rFonts w:hint="eastAsia" w:ascii="宋体" w:hAnsi="宋体" w:eastAsia="宋体" w:cs="宋体"/>
          <w:b/>
          <w:bCs/>
          <w:kern w:val="0"/>
          <w:sz w:val="24"/>
          <w:szCs w:val="24"/>
          <w:shd w:val="clear" w:fill="FFFFFF"/>
        </w:rPr>
        <w:t>3.卫生健康类（21011）:</w:t>
      </w:r>
      <w:r>
        <w:rPr>
          <w:rFonts w:hint="eastAsia" w:ascii="宋体" w:hAnsi="宋体" w:eastAsia="宋体" w:cs="宋体"/>
          <w:b w:val="0"/>
          <w:bCs w:val="0"/>
          <w:kern w:val="0"/>
          <w:sz w:val="24"/>
          <w:szCs w:val="24"/>
          <w:shd w:val="clear" w:fill="FFFFFF"/>
        </w:rPr>
        <w:t>支出决算为</w:t>
      </w:r>
      <w:r>
        <w:rPr>
          <w:rFonts w:hint="eastAsia" w:cs="宋体"/>
          <w:b w:val="0"/>
          <w:bCs w:val="0"/>
          <w:kern w:val="0"/>
          <w:sz w:val="24"/>
          <w:szCs w:val="24"/>
          <w:shd w:val="clear" w:fill="FFFFFF"/>
          <w:lang w:val="en-US" w:eastAsia="zh-CN"/>
        </w:rPr>
        <w:t>17.68</w:t>
      </w:r>
      <w:r>
        <w:rPr>
          <w:rFonts w:hint="eastAsia" w:ascii="宋体" w:hAnsi="宋体" w:eastAsia="宋体" w:cs="宋体"/>
          <w:b w:val="0"/>
          <w:bCs w:val="0"/>
          <w:kern w:val="0"/>
          <w:sz w:val="24"/>
          <w:szCs w:val="24"/>
          <w:shd w:val="clear" w:fill="FFFFFF"/>
        </w:rPr>
        <w:t>万元，完成预算100%，决算数等于预算数。</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b w:val="0"/>
          <w:bCs w:val="0"/>
          <w:kern w:val="0"/>
          <w:sz w:val="24"/>
          <w:szCs w:val="24"/>
          <w:shd w:val="clear" w:fill="FFFFFF"/>
        </w:rPr>
      </w:pPr>
      <w:r>
        <w:rPr>
          <w:rFonts w:hint="eastAsia" w:ascii="宋体" w:hAnsi="宋体" w:eastAsia="宋体" w:cs="宋体"/>
          <w:b/>
          <w:bCs/>
          <w:kern w:val="0"/>
          <w:sz w:val="24"/>
          <w:szCs w:val="24"/>
          <w:shd w:val="clear" w:fill="FFFFFF"/>
        </w:rPr>
        <w:t>4.住房保障类（22102）：</w:t>
      </w:r>
      <w:r>
        <w:rPr>
          <w:rFonts w:hint="eastAsia" w:ascii="宋体" w:hAnsi="宋体" w:eastAsia="宋体" w:cs="宋体"/>
          <w:b w:val="0"/>
          <w:bCs w:val="0"/>
          <w:kern w:val="0"/>
          <w:sz w:val="24"/>
          <w:szCs w:val="24"/>
          <w:shd w:val="clear" w:fill="FFFFFF"/>
        </w:rPr>
        <w:t>支出决算为</w:t>
      </w:r>
      <w:r>
        <w:rPr>
          <w:rFonts w:hint="eastAsia" w:cs="宋体"/>
          <w:b w:val="0"/>
          <w:bCs w:val="0"/>
          <w:kern w:val="0"/>
          <w:sz w:val="24"/>
          <w:szCs w:val="24"/>
          <w:shd w:val="clear" w:fill="FFFFFF"/>
          <w:lang w:val="en-US" w:eastAsia="zh-CN"/>
        </w:rPr>
        <w:t>22.97</w:t>
      </w:r>
      <w:r>
        <w:rPr>
          <w:rFonts w:hint="eastAsia" w:ascii="宋体" w:hAnsi="宋体" w:eastAsia="宋体" w:cs="宋体"/>
          <w:b w:val="0"/>
          <w:bCs w:val="0"/>
          <w:kern w:val="0"/>
          <w:sz w:val="24"/>
          <w:szCs w:val="24"/>
          <w:shd w:val="clear" w:fill="FFFFFF"/>
        </w:rPr>
        <w:t>万元，完成预算100%，决算数等于预算数。</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cs="宋体"/>
          <w:b/>
          <w:bCs/>
          <w:kern w:val="0"/>
          <w:sz w:val="36"/>
          <w:szCs w:val="36"/>
          <w:shd w:val="clear" w:fill="FFFFFF"/>
          <w:lang w:eastAsia="zh-CN"/>
        </w:rPr>
      </w:pPr>
      <w:r>
        <w:rPr>
          <w:rFonts w:hint="eastAsia" w:cs="宋体"/>
          <w:b/>
          <w:bCs/>
          <w:kern w:val="0"/>
          <w:sz w:val="36"/>
          <w:szCs w:val="36"/>
          <w:shd w:val="clear" w:fill="FFFFFF"/>
          <w:lang w:eastAsia="zh-CN"/>
        </w:rPr>
        <w:t xml:space="preserve">六、一般公共预算财政拨款基本支出决算情况说明   </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年一般公共预算财政拨款基本支出</w:t>
      </w:r>
      <w:r>
        <w:rPr>
          <w:rFonts w:hint="eastAsia" w:cs="宋体"/>
          <w:kern w:val="0"/>
          <w:sz w:val="24"/>
          <w:szCs w:val="24"/>
          <w:shd w:val="clear" w:fill="FFFFFF"/>
          <w:lang w:val="en-US" w:eastAsia="zh-CN"/>
        </w:rPr>
        <w:t>348.11</w:t>
      </w:r>
      <w:r>
        <w:rPr>
          <w:rFonts w:hint="eastAsia" w:ascii="宋体" w:hAnsi="宋体" w:eastAsia="宋体" w:cs="宋体"/>
          <w:kern w:val="0"/>
          <w:sz w:val="24"/>
          <w:szCs w:val="24"/>
          <w:shd w:val="clear" w:fill="FFFFFF"/>
        </w:rPr>
        <w:t>万元，其中：人员经费</w:t>
      </w:r>
      <w:r>
        <w:rPr>
          <w:rFonts w:hint="eastAsia" w:cs="宋体"/>
          <w:kern w:val="0"/>
          <w:sz w:val="24"/>
          <w:szCs w:val="24"/>
          <w:shd w:val="clear" w:fill="FFFFFF"/>
          <w:lang w:val="en-US" w:eastAsia="zh-CN"/>
        </w:rPr>
        <w:t>321.55</w:t>
      </w:r>
      <w:r>
        <w:rPr>
          <w:rFonts w:hint="eastAsia" w:ascii="宋体" w:hAnsi="宋体" w:eastAsia="宋体" w:cs="宋体"/>
          <w:kern w:val="0"/>
          <w:sz w:val="24"/>
          <w:szCs w:val="24"/>
          <w:shd w:val="clear" w:fill="FFFFFF"/>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公用经费</w:t>
      </w:r>
      <w:r>
        <w:rPr>
          <w:rFonts w:hint="eastAsia" w:cs="宋体"/>
          <w:kern w:val="0"/>
          <w:sz w:val="24"/>
          <w:szCs w:val="24"/>
          <w:shd w:val="clear" w:fill="FFFFFF"/>
          <w:lang w:val="en-US" w:eastAsia="zh-CN"/>
        </w:rPr>
        <w:t>26.56</w:t>
      </w:r>
      <w:r>
        <w:rPr>
          <w:rFonts w:hint="eastAsia" w:ascii="宋体" w:hAnsi="宋体" w:eastAsia="宋体" w:cs="宋体"/>
          <w:kern w:val="0"/>
          <w:sz w:val="24"/>
          <w:szCs w:val="24"/>
          <w:shd w:val="clear" w:fill="FFFFFF"/>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cs="宋体"/>
          <w:b/>
          <w:bCs/>
          <w:kern w:val="0"/>
          <w:sz w:val="36"/>
          <w:szCs w:val="36"/>
          <w:shd w:val="clear" w:fill="FFFFFF"/>
          <w:lang w:eastAsia="zh-CN"/>
        </w:rPr>
      </w:pPr>
      <w:r>
        <w:rPr>
          <w:rFonts w:hint="eastAsia" w:cs="宋体"/>
          <w:b/>
          <w:bCs/>
          <w:kern w:val="0"/>
          <w:sz w:val="36"/>
          <w:szCs w:val="36"/>
          <w:shd w:val="clear" w:fill="FFFFFF"/>
          <w:lang w:eastAsia="zh-CN"/>
        </w:rPr>
        <w:t>七、“三公”经费财政拨款支出决算情况说明</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2"/>
          <w:rFonts w:hint="eastAsia" w:ascii="宋体" w:hAnsi="宋体" w:eastAsia="宋体" w:cs="宋体"/>
          <w:b/>
          <w:bCs/>
          <w:shd w:val="clear" w:fill="FFFFFF"/>
        </w:rPr>
        <w:t>（一）</w:t>
      </w:r>
      <w:r>
        <w:rPr>
          <w:rStyle w:val="12"/>
          <w:rFonts w:hint="default" w:ascii="Times New Roman" w:hAnsi="Times New Roman" w:cs="Times New Roman"/>
          <w:b/>
          <w:bCs/>
          <w:shd w:val="clear" w:fill="FFFFFF"/>
        </w:rPr>
        <w:t>“</w:t>
      </w:r>
      <w:r>
        <w:rPr>
          <w:rStyle w:val="12"/>
          <w:rFonts w:hint="eastAsia" w:ascii="宋体" w:hAnsi="宋体" w:eastAsia="宋体" w:cs="宋体"/>
          <w:b/>
          <w:bCs/>
          <w:shd w:val="clear" w:fill="FFFFFF"/>
        </w:rPr>
        <w:t>三公</w:t>
      </w:r>
      <w:r>
        <w:rPr>
          <w:rStyle w:val="12"/>
          <w:rFonts w:hint="default" w:ascii="Times New Roman" w:hAnsi="Times New Roman" w:cs="Times New Roman"/>
          <w:b/>
          <w:bCs/>
          <w:shd w:val="clear" w:fill="FFFFFF"/>
        </w:rPr>
        <w:t>”</w:t>
      </w:r>
      <w:r>
        <w:rPr>
          <w:rStyle w:val="12"/>
          <w:rFonts w:hint="eastAsia" w:ascii="宋体" w:hAnsi="宋体" w:eastAsia="宋体" w:cs="宋体"/>
          <w:b/>
          <w:bCs/>
          <w:shd w:val="clear" w:fill="FFFFFF"/>
        </w:rPr>
        <w:t>经费财政拨款支出决算总体情况说明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年“三公”经费财政拨款支出决算为5.</w:t>
      </w:r>
      <w:r>
        <w:rPr>
          <w:rFonts w:hint="eastAsia" w:cs="宋体"/>
          <w:kern w:val="0"/>
          <w:sz w:val="24"/>
          <w:szCs w:val="24"/>
          <w:shd w:val="clear" w:fill="FFFFFF"/>
          <w:lang w:val="en-US" w:eastAsia="zh-CN"/>
        </w:rPr>
        <w:t>27</w:t>
      </w:r>
      <w:r>
        <w:rPr>
          <w:rFonts w:hint="eastAsia" w:ascii="宋体" w:hAnsi="宋体" w:eastAsia="宋体" w:cs="宋体"/>
          <w:kern w:val="0"/>
          <w:sz w:val="24"/>
          <w:szCs w:val="24"/>
          <w:shd w:val="clear" w:fill="FFFFFF"/>
        </w:rPr>
        <w:t>万元，完成预算100.00%，决算数等于预算数。</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2"/>
          <w:rFonts w:hint="eastAsia" w:ascii="宋体" w:hAnsi="宋体" w:eastAsia="宋体" w:cs="宋体"/>
          <w:b/>
          <w:bCs/>
          <w:shd w:val="clear" w:fill="FFFFFF"/>
        </w:rPr>
        <w:t>（二）</w:t>
      </w:r>
      <w:r>
        <w:rPr>
          <w:rStyle w:val="12"/>
          <w:rFonts w:hint="default" w:ascii="Times New Roman" w:hAnsi="Times New Roman" w:cs="Times New Roman"/>
          <w:b/>
          <w:bCs/>
          <w:shd w:val="clear" w:fill="FFFFFF"/>
        </w:rPr>
        <w:t>“</w:t>
      </w:r>
      <w:r>
        <w:rPr>
          <w:rStyle w:val="12"/>
          <w:rFonts w:hint="eastAsia" w:ascii="宋体" w:hAnsi="宋体" w:eastAsia="宋体" w:cs="宋体"/>
          <w:b/>
          <w:bCs/>
          <w:shd w:val="clear" w:fill="FFFFFF"/>
        </w:rPr>
        <w:t>三公</w:t>
      </w:r>
      <w:r>
        <w:rPr>
          <w:rStyle w:val="12"/>
          <w:rFonts w:hint="default" w:ascii="Times New Roman" w:hAnsi="Times New Roman" w:cs="Times New Roman"/>
          <w:b/>
          <w:bCs/>
          <w:shd w:val="clear" w:fill="FFFFFF"/>
        </w:rPr>
        <w:t>”</w:t>
      </w:r>
      <w:r>
        <w:rPr>
          <w:rStyle w:val="12"/>
          <w:rFonts w:hint="eastAsia" w:ascii="宋体" w:hAnsi="宋体" w:eastAsia="宋体" w:cs="宋体"/>
          <w:b/>
          <w:bCs/>
          <w:shd w:val="clear" w:fill="FFFFFF"/>
        </w:rPr>
        <w:t>经费财政拨款支出决算具体情况说明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年“三公”经费财政拨款支出决算中，因公出国（境）费支出决算0.00万元，占0.00%；公务用车购置及运行维护费支出决算</w:t>
      </w:r>
      <w:r>
        <w:rPr>
          <w:rFonts w:hint="eastAsia" w:cs="宋体"/>
          <w:kern w:val="0"/>
          <w:sz w:val="24"/>
          <w:szCs w:val="24"/>
          <w:shd w:val="clear" w:fill="FFFFFF"/>
          <w:lang w:val="en-US" w:eastAsia="zh-CN"/>
        </w:rPr>
        <w:t>5.03</w:t>
      </w:r>
      <w:r>
        <w:rPr>
          <w:rFonts w:hint="eastAsia" w:ascii="宋体" w:hAnsi="宋体" w:eastAsia="宋体" w:cs="宋体"/>
          <w:kern w:val="0"/>
          <w:sz w:val="24"/>
          <w:szCs w:val="24"/>
          <w:shd w:val="clear" w:fill="FFFFFF"/>
        </w:rPr>
        <w:t>万元，</w:t>
      </w:r>
      <w:r>
        <w:rPr>
          <w:rFonts w:hint="eastAsia" w:cs="宋体"/>
          <w:kern w:val="0"/>
          <w:sz w:val="24"/>
          <w:szCs w:val="24"/>
          <w:shd w:val="clear" w:fill="FFFFFF"/>
          <w:lang w:val="en-US" w:eastAsia="zh-CN"/>
        </w:rPr>
        <w:t>95.45</w:t>
      </w:r>
      <w:r>
        <w:rPr>
          <w:rFonts w:hint="eastAsia" w:ascii="宋体" w:hAnsi="宋体" w:eastAsia="宋体" w:cs="宋体"/>
          <w:kern w:val="0"/>
          <w:sz w:val="24"/>
          <w:szCs w:val="24"/>
          <w:shd w:val="clear" w:fill="FFFFFF"/>
        </w:rPr>
        <w:t>%；公务接待费支出决算</w:t>
      </w:r>
      <w:r>
        <w:rPr>
          <w:rFonts w:hint="eastAsia" w:cs="宋体"/>
          <w:kern w:val="0"/>
          <w:sz w:val="24"/>
          <w:szCs w:val="24"/>
          <w:shd w:val="clear" w:fill="FFFFFF"/>
          <w:lang w:val="en-US" w:eastAsia="zh-CN"/>
        </w:rPr>
        <w:t>0.24</w:t>
      </w:r>
      <w:r>
        <w:rPr>
          <w:rFonts w:hint="eastAsia" w:ascii="宋体" w:hAnsi="宋体" w:eastAsia="宋体" w:cs="宋体"/>
          <w:kern w:val="0"/>
          <w:sz w:val="24"/>
          <w:szCs w:val="24"/>
          <w:shd w:val="clear" w:fill="FFFFFF"/>
        </w:rPr>
        <w:t>万元，占</w:t>
      </w:r>
      <w:r>
        <w:rPr>
          <w:rFonts w:hint="eastAsia" w:cs="宋体"/>
          <w:kern w:val="0"/>
          <w:sz w:val="24"/>
          <w:szCs w:val="24"/>
          <w:shd w:val="clear" w:fill="FFFFFF"/>
          <w:lang w:val="en-US" w:eastAsia="zh-CN"/>
        </w:rPr>
        <w:t>4.55</w:t>
      </w:r>
      <w:r>
        <w:rPr>
          <w:rFonts w:hint="eastAsia" w:ascii="宋体" w:hAnsi="宋体" w:eastAsia="宋体" w:cs="宋体"/>
          <w:kern w:val="0"/>
          <w:sz w:val="24"/>
          <w:szCs w:val="24"/>
          <w:shd w:val="clear" w:fill="FFFFFF"/>
        </w:rPr>
        <w:t>%。具体情况如下：</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drawing>
          <wp:inline distT="0" distB="0" distL="114300" distR="114300">
            <wp:extent cx="4572000" cy="2743200"/>
            <wp:effectExtent l="4445" t="4445" r="14605" b="14605"/>
            <wp:docPr id="22" name="图表 21" descr="7b0a202020202263686172745265734964223a202232303437363132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（图7：“三公”经费财政拨款支出结构）（饼状图）</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kern w:val="0"/>
          <w:sz w:val="24"/>
          <w:szCs w:val="24"/>
        </w:rPr>
      </w:pPr>
      <w:r>
        <w:rPr>
          <w:rStyle w:val="12"/>
          <w:rFonts w:hint="default" w:ascii="Times New Roman" w:hAnsi="Times New Roman" w:cs="Times New Roman"/>
          <w:b/>
          <w:bCs/>
          <w:shd w:val="clear" w:fill="FFFFFF"/>
        </w:rPr>
        <w:t>1.</w:t>
      </w:r>
      <w:r>
        <w:rPr>
          <w:rStyle w:val="12"/>
          <w:rFonts w:hint="eastAsia" w:ascii="宋体" w:hAnsi="宋体" w:eastAsia="宋体" w:cs="宋体"/>
          <w:b/>
          <w:bCs/>
          <w:shd w:val="clear" w:fill="FFFFFF"/>
        </w:rPr>
        <w:t>因公出国（境）经费支出</w:t>
      </w:r>
      <w:r>
        <w:rPr>
          <w:rFonts w:hint="eastAsia" w:ascii="宋体" w:hAnsi="宋体" w:eastAsia="宋体" w:cs="宋体"/>
          <w:kern w:val="0"/>
          <w:sz w:val="24"/>
          <w:szCs w:val="24"/>
          <w:shd w:val="clear" w:fill="FFFFFF"/>
        </w:rPr>
        <w:t>0.00万元，</w:t>
      </w:r>
      <w:r>
        <w:rPr>
          <w:rStyle w:val="12"/>
          <w:rFonts w:hint="eastAsia" w:ascii="宋体" w:hAnsi="宋体" w:eastAsia="宋体" w:cs="宋体"/>
          <w:b/>
          <w:bCs/>
          <w:shd w:val="clear" w:fill="FFFFFF"/>
        </w:rPr>
        <w:t>完成预算</w:t>
      </w:r>
      <w:r>
        <w:rPr>
          <w:rStyle w:val="12"/>
          <w:rFonts w:hint="default" w:ascii="Times New Roman" w:hAnsi="Times New Roman" w:cs="Times New Roman"/>
          <w:b/>
          <w:bCs/>
          <w:shd w:val="clear" w:fill="FFFFFF"/>
        </w:rPr>
        <w:t>0.00%</w:t>
      </w:r>
      <w:r>
        <w:rPr>
          <w:rStyle w:val="12"/>
          <w:rFonts w:hint="eastAsia" w:ascii="宋体" w:hAnsi="宋体" w:eastAsia="宋体" w:cs="宋体"/>
          <w:b/>
          <w:bCs/>
          <w:shd w:val="clear" w:fill="FFFFFF"/>
        </w:rPr>
        <w:t>。</w:t>
      </w:r>
      <w:r>
        <w:rPr>
          <w:rFonts w:hint="eastAsia" w:ascii="宋体" w:hAnsi="宋体" w:eastAsia="宋体" w:cs="宋体"/>
          <w:kern w:val="0"/>
          <w:sz w:val="24"/>
          <w:szCs w:val="24"/>
          <w:shd w:val="clear" w:fill="FFFFFF"/>
        </w:rPr>
        <w:t>全年安排因公出国（境）团组0次，出国（境）0人。因公出国（境）支出决算比202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年增加0.00万元，增长0.00%。主要原因我局无因公出国事项。</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kern w:val="0"/>
          <w:sz w:val="24"/>
          <w:szCs w:val="24"/>
        </w:rPr>
      </w:pPr>
      <w:r>
        <w:rPr>
          <w:rStyle w:val="12"/>
          <w:rFonts w:hint="default" w:ascii="Times New Roman" w:hAnsi="Times New Roman" w:cs="Times New Roman"/>
          <w:b/>
          <w:bCs/>
          <w:shd w:val="clear" w:fill="FFFFFF"/>
        </w:rPr>
        <w:t>2.</w:t>
      </w:r>
      <w:r>
        <w:rPr>
          <w:rStyle w:val="12"/>
          <w:rFonts w:hint="eastAsia" w:ascii="宋体" w:hAnsi="宋体" w:eastAsia="宋体" w:cs="宋体"/>
          <w:b/>
          <w:bCs/>
          <w:shd w:val="clear" w:fill="FFFFFF"/>
        </w:rPr>
        <w:t>公务用车购置及运行维护费支出</w:t>
      </w:r>
      <w:r>
        <w:rPr>
          <w:rFonts w:hint="eastAsia" w:ascii="宋体" w:hAnsi="宋体" w:eastAsia="宋体" w:cs="宋体"/>
          <w:kern w:val="0"/>
          <w:sz w:val="24"/>
          <w:szCs w:val="24"/>
          <w:shd w:val="clear" w:fill="FFFFFF"/>
        </w:rPr>
        <w:t>5.</w:t>
      </w:r>
      <w:r>
        <w:rPr>
          <w:rFonts w:hint="eastAsia" w:cs="宋体"/>
          <w:kern w:val="0"/>
          <w:sz w:val="24"/>
          <w:szCs w:val="24"/>
          <w:shd w:val="clear" w:fill="FFFFFF"/>
          <w:lang w:val="en-US" w:eastAsia="zh-CN"/>
        </w:rPr>
        <w:t>03</w:t>
      </w:r>
      <w:r>
        <w:rPr>
          <w:rFonts w:hint="eastAsia" w:ascii="宋体" w:hAnsi="宋体" w:eastAsia="宋体" w:cs="宋体"/>
          <w:kern w:val="0"/>
          <w:sz w:val="24"/>
          <w:szCs w:val="24"/>
          <w:shd w:val="clear" w:fill="FFFFFF"/>
        </w:rPr>
        <w:t>万元,</w:t>
      </w:r>
      <w:r>
        <w:rPr>
          <w:rStyle w:val="12"/>
          <w:rFonts w:hint="eastAsia" w:ascii="宋体" w:hAnsi="宋体" w:eastAsia="宋体" w:cs="宋体"/>
          <w:b/>
          <w:bCs/>
          <w:shd w:val="clear" w:fill="FFFFFF"/>
        </w:rPr>
        <w:t>完成预算</w:t>
      </w:r>
      <w:r>
        <w:rPr>
          <w:rStyle w:val="12"/>
          <w:rFonts w:hint="default" w:ascii="Times New Roman" w:hAnsi="Times New Roman" w:cs="Times New Roman"/>
          <w:b/>
          <w:bCs/>
          <w:shd w:val="clear" w:fill="FFFFFF"/>
        </w:rPr>
        <w:t>0.00%</w:t>
      </w:r>
      <w:r>
        <w:rPr>
          <w:rStyle w:val="12"/>
          <w:rFonts w:hint="eastAsia" w:ascii="宋体" w:hAnsi="宋体" w:eastAsia="宋体" w:cs="宋体"/>
          <w:b/>
          <w:bCs/>
          <w:shd w:val="clear" w:fill="FFFFFF"/>
        </w:rPr>
        <w:t>。</w:t>
      </w:r>
      <w:r>
        <w:rPr>
          <w:rFonts w:hint="eastAsia" w:ascii="宋体" w:hAnsi="宋体" w:eastAsia="宋体" w:cs="宋体"/>
          <w:kern w:val="0"/>
          <w:sz w:val="24"/>
          <w:szCs w:val="24"/>
          <w:shd w:val="clear" w:fill="FFFFFF"/>
        </w:rPr>
        <w:t>公务用车购置及运行维护费支出决算比202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年增加</w:t>
      </w:r>
      <w:r>
        <w:rPr>
          <w:rFonts w:hint="eastAsia" w:cs="宋体"/>
          <w:kern w:val="0"/>
          <w:sz w:val="24"/>
          <w:szCs w:val="24"/>
          <w:shd w:val="clear" w:fill="FFFFFF"/>
          <w:lang w:val="en-US" w:eastAsia="zh-CN"/>
        </w:rPr>
        <w:t>-0.23</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4.37</w:t>
      </w:r>
      <w:r>
        <w:rPr>
          <w:rFonts w:hint="eastAsia" w:ascii="宋体" w:hAnsi="宋体" w:eastAsia="宋体" w:cs="宋体"/>
          <w:kern w:val="0"/>
          <w:sz w:val="24"/>
          <w:szCs w:val="24"/>
          <w:shd w:val="clear" w:fill="FFFFFF"/>
        </w:rPr>
        <w:t>%。主要原因是厉行节约加之县上考虑到我局车辆老旧，统计工作任务繁重，调拨了新的车辆，车辆车况比原车辆好，减少了车辆运行成本。其中：</w:t>
      </w:r>
      <w:r>
        <w:rPr>
          <w:rStyle w:val="12"/>
          <w:rFonts w:hint="eastAsia" w:ascii="宋体" w:hAnsi="宋体" w:eastAsia="宋体" w:cs="宋体"/>
          <w:b/>
          <w:bCs/>
          <w:shd w:val="clear" w:fill="FFFFFF"/>
        </w:rPr>
        <w:t>公务用车购置支出</w:t>
      </w:r>
      <w:r>
        <w:rPr>
          <w:rFonts w:hint="eastAsia" w:ascii="宋体" w:hAnsi="宋体" w:eastAsia="宋体" w:cs="宋体"/>
          <w:kern w:val="0"/>
          <w:sz w:val="24"/>
          <w:szCs w:val="24"/>
          <w:shd w:val="clear" w:fill="FFFFFF"/>
        </w:rPr>
        <w:t>0.00万元。全年按规定更新购置公务用车0辆。截至202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年12月底，单位共有公务用车1辆，其中：轿车0辆、越野车1辆、载客汽车0辆。</w:t>
      </w:r>
      <w:r>
        <w:rPr>
          <w:rStyle w:val="12"/>
          <w:rFonts w:hint="eastAsia" w:ascii="宋体" w:hAnsi="宋体" w:eastAsia="宋体" w:cs="宋体"/>
          <w:b/>
          <w:bCs/>
          <w:shd w:val="clear" w:fill="FFFFFF"/>
        </w:rPr>
        <w:t>公务用车运行维护费支出</w:t>
      </w:r>
      <w:r>
        <w:rPr>
          <w:rFonts w:hint="eastAsia" w:ascii="宋体" w:hAnsi="宋体" w:eastAsia="宋体" w:cs="宋体"/>
          <w:kern w:val="0"/>
          <w:sz w:val="24"/>
          <w:szCs w:val="24"/>
          <w:shd w:val="clear" w:fill="FFFFFF"/>
        </w:rPr>
        <w:t>5.</w:t>
      </w:r>
      <w:r>
        <w:rPr>
          <w:rFonts w:hint="eastAsia" w:cs="宋体"/>
          <w:kern w:val="0"/>
          <w:sz w:val="24"/>
          <w:szCs w:val="24"/>
          <w:shd w:val="clear" w:fill="FFFFFF"/>
          <w:lang w:val="en-US" w:eastAsia="zh-CN"/>
        </w:rPr>
        <w:t>03</w:t>
      </w:r>
      <w:r>
        <w:rPr>
          <w:rFonts w:hint="eastAsia" w:ascii="宋体" w:hAnsi="宋体" w:eastAsia="宋体" w:cs="宋体"/>
          <w:kern w:val="0"/>
          <w:sz w:val="24"/>
          <w:szCs w:val="24"/>
          <w:shd w:val="clear" w:fill="FFFFFF"/>
        </w:rPr>
        <w:t>万元。主要用于主要用于统计事务下乡、出差等所需的公务用车燃料费、维修费、过路过桥费、洗车费、车辆保险费等支出。</w:t>
      </w:r>
    </w:p>
    <w:p>
      <w:pPr>
        <w:pStyle w:val="11"/>
        <w:keepNext w:val="0"/>
        <w:keepLines w:val="0"/>
        <w:widowControl/>
        <w:suppressLineNumbers w:val="0"/>
        <w:spacing w:before="0" w:beforeAutospacing="0"/>
        <w:ind w:left="0" w:firstLine="482" w:firstLineChars="200"/>
        <w:jc w:val="left"/>
        <w:rPr>
          <w:rFonts w:hint="eastAsia" w:ascii="宋体" w:hAnsi="宋体" w:eastAsia="宋体" w:cs="宋体"/>
          <w:kern w:val="0"/>
          <w:sz w:val="24"/>
          <w:szCs w:val="24"/>
        </w:rPr>
      </w:pPr>
      <w:r>
        <w:rPr>
          <w:rStyle w:val="12"/>
          <w:rFonts w:hint="default" w:ascii="Times New Roman" w:hAnsi="Times New Roman" w:cs="Times New Roman"/>
          <w:b/>
          <w:bCs/>
          <w:shd w:val="clear" w:fill="FFFFFF"/>
        </w:rPr>
        <w:t>3.</w:t>
      </w:r>
      <w:r>
        <w:rPr>
          <w:rStyle w:val="12"/>
          <w:rFonts w:hint="eastAsia" w:ascii="宋体" w:hAnsi="宋体" w:eastAsia="宋体" w:cs="宋体"/>
          <w:b/>
          <w:bCs/>
          <w:shd w:val="clear" w:fill="FFFFFF"/>
        </w:rPr>
        <w:t>公务接待费支出</w:t>
      </w:r>
      <w:r>
        <w:rPr>
          <w:rFonts w:hint="eastAsia" w:ascii="宋体" w:hAnsi="宋体" w:eastAsia="宋体" w:cs="宋体"/>
          <w:kern w:val="0"/>
          <w:sz w:val="24"/>
          <w:szCs w:val="24"/>
          <w:shd w:val="clear" w:fill="FFFFFF"/>
        </w:rPr>
        <w:t>0.2</w:t>
      </w:r>
      <w:r>
        <w:rPr>
          <w:rFonts w:hint="eastAsia" w:cs="宋体"/>
          <w:kern w:val="0"/>
          <w:sz w:val="24"/>
          <w:szCs w:val="24"/>
          <w:shd w:val="clear" w:fill="FFFFFF"/>
          <w:lang w:val="en-US" w:eastAsia="zh-CN"/>
        </w:rPr>
        <w:t>4</w:t>
      </w:r>
      <w:r>
        <w:rPr>
          <w:rFonts w:hint="eastAsia" w:ascii="宋体" w:hAnsi="宋体" w:eastAsia="宋体" w:cs="宋体"/>
          <w:kern w:val="0"/>
          <w:sz w:val="24"/>
          <w:szCs w:val="24"/>
          <w:shd w:val="clear" w:fill="FFFFFF"/>
        </w:rPr>
        <w:t>万元，</w:t>
      </w:r>
      <w:r>
        <w:rPr>
          <w:rStyle w:val="12"/>
          <w:rFonts w:hint="eastAsia" w:ascii="宋体" w:hAnsi="宋体" w:eastAsia="宋体" w:cs="宋体"/>
          <w:b/>
          <w:bCs/>
          <w:shd w:val="clear" w:fill="FFFFFF"/>
        </w:rPr>
        <w:t>完成预算</w:t>
      </w:r>
      <w:r>
        <w:rPr>
          <w:rStyle w:val="12"/>
          <w:rFonts w:hint="default" w:ascii="Times New Roman" w:hAnsi="Times New Roman" w:cs="Times New Roman"/>
          <w:b/>
          <w:bCs/>
          <w:shd w:val="clear" w:fill="FFFFFF"/>
        </w:rPr>
        <w:t>100%</w:t>
      </w:r>
      <w:r>
        <w:rPr>
          <w:rStyle w:val="12"/>
          <w:rFonts w:hint="eastAsia" w:ascii="宋体" w:hAnsi="宋体" w:eastAsia="宋体" w:cs="宋体"/>
          <w:b/>
          <w:bCs/>
          <w:shd w:val="clear" w:fill="FFFFFF"/>
        </w:rPr>
        <w:t>。</w:t>
      </w:r>
      <w:r>
        <w:rPr>
          <w:rFonts w:hint="eastAsia" w:ascii="宋体" w:hAnsi="宋体" w:eastAsia="宋体" w:cs="宋体"/>
          <w:kern w:val="0"/>
          <w:sz w:val="24"/>
          <w:szCs w:val="24"/>
          <w:shd w:val="clear" w:fill="FFFFFF"/>
        </w:rPr>
        <w:t>公务接待费支出决算比202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年增加-0.0</w:t>
      </w:r>
      <w:r>
        <w:rPr>
          <w:rFonts w:hint="eastAsia" w:cs="宋体"/>
          <w:kern w:val="0"/>
          <w:sz w:val="24"/>
          <w:szCs w:val="24"/>
          <w:shd w:val="clear" w:fill="FFFFFF"/>
          <w:lang w:val="en-US" w:eastAsia="zh-CN"/>
        </w:rPr>
        <w:t>4</w:t>
      </w:r>
      <w:r>
        <w:rPr>
          <w:rFonts w:hint="eastAsia" w:ascii="宋体" w:hAnsi="宋体" w:eastAsia="宋体" w:cs="宋体"/>
          <w:kern w:val="0"/>
          <w:sz w:val="24"/>
          <w:szCs w:val="24"/>
          <w:shd w:val="clear" w:fill="FFFFFF"/>
        </w:rPr>
        <w:t>万元，增长-14.</w:t>
      </w:r>
      <w:r>
        <w:rPr>
          <w:rFonts w:hint="eastAsia" w:cs="宋体"/>
          <w:kern w:val="0"/>
          <w:sz w:val="24"/>
          <w:szCs w:val="24"/>
          <w:shd w:val="clear" w:fill="FFFFFF"/>
          <w:lang w:val="en-US" w:eastAsia="zh-CN"/>
        </w:rPr>
        <w:t>29</w:t>
      </w:r>
      <w:r>
        <w:rPr>
          <w:rFonts w:hint="eastAsia" w:ascii="宋体" w:hAnsi="宋体" w:eastAsia="宋体" w:cs="宋体"/>
          <w:kern w:val="0"/>
          <w:sz w:val="24"/>
          <w:szCs w:val="24"/>
          <w:shd w:val="clear" w:fill="FFFFFF"/>
        </w:rPr>
        <w:t>%。主要原因是厉行节约。其中：</w:t>
      </w:r>
      <w:r>
        <w:rPr>
          <w:rStyle w:val="12"/>
          <w:rFonts w:hint="eastAsia" w:ascii="宋体" w:hAnsi="宋体" w:eastAsia="宋体" w:cs="宋体"/>
          <w:b/>
          <w:bCs/>
          <w:shd w:val="clear" w:fill="FFFFFF"/>
        </w:rPr>
        <w:t>国内公务接待支出</w:t>
      </w:r>
      <w:r>
        <w:rPr>
          <w:rFonts w:hint="eastAsia" w:ascii="宋体" w:hAnsi="宋体" w:eastAsia="宋体" w:cs="宋体"/>
          <w:kern w:val="0"/>
          <w:sz w:val="24"/>
          <w:szCs w:val="24"/>
          <w:shd w:val="clear" w:fill="FFFFFF"/>
        </w:rPr>
        <w:t>0.2</w:t>
      </w:r>
      <w:r>
        <w:rPr>
          <w:rFonts w:hint="eastAsia" w:cs="宋体"/>
          <w:kern w:val="0"/>
          <w:sz w:val="24"/>
          <w:szCs w:val="24"/>
          <w:shd w:val="clear" w:fill="FFFFFF"/>
          <w:lang w:val="en-US" w:eastAsia="zh-CN"/>
        </w:rPr>
        <w:t>4</w:t>
      </w:r>
      <w:r>
        <w:rPr>
          <w:rFonts w:hint="eastAsia" w:ascii="宋体" w:hAnsi="宋体" w:eastAsia="宋体" w:cs="宋体"/>
          <w:kern w:val="0"/>
          <w:sz w:val="24"/>
          <w:szCs w:val="24"/>
          <w:shd w:val="clear" w:fill="FFFFFF"/>
        </w:rPr>
        <w:t>万元，主要用于开展统计业务活动开支的用餐费。国内公务接待</w:t>
      </w:r>
      <w:r>
        <w:rPr>
          <w:rFonts w:hint="eastAsia" w:cs="宋体"/>
          <w:kern w:val="0"/>
          <w:sz w:val="24"/>
          <w:szCs w:val="24"/>
          <w:shd w:val="clear" w:fill="FFFFFF"/>
          <w:lang w:val="en-US" w:eastAsia="zh-CN"/>
        </w:rPr>
        <w:t>3</w:t>
      </w:r>
      <w:r>
        <w:rPr>
          <w:rFonts w:hint="eastAsia" w:ascii="宋体" w:hAnsi="宋体" w:eastAsia="宋体" w:cs="宋体"/>
          <w:kern w:val="0"/>
          <w:sz w:val="24"/>
          <w:szCs w:val="24"/>
          <w:shd w:val="clear" w:fill="FFFFFF"/>
        </w:rPr>
        <w:t>批次，</w:t>
      </w:r>
      <w:r>
        <w:rPr>
          <w:rFonts w:hint="eastAsia" w:cs="宋体"/>
          <w:kern w:val="0"/>
          <w:sz w:val="24"/>
          <w:szCs w:val="24"/>
          <w:shd w:val="clear" w:fill="FFFFFF"/>
          <w:lang w:val="en-US" w:eastAsia="zh-CN"/>
        </w:rPr>
        <w:t>26</w:t>
      </w:r>
      <w:r>
        <w:rPr>
          <w:rFonts w:hint="eastAsia" w:ascii="宋体" w:hAnsi="宋体" w:eastAsia="宋体" w:cs="宋体"/>
          <w:kern w:val="0"/>
          <w:sz w:val="24"/>
          <w:szCs w:val="24"/>
          <w:shd w:val="clear" w:fill="FFFFFF"/>
        </w:rPr>
        <w:t>人次（不包括陪同人员），共计支出0.2</w:t>
      </w:r>
      <w:r>
        <w:rPr>
          <w:rFonts w:hint="eastAsia" w:cs="宋体"/>
          <w:kern w:val="0"/>
          <w:sz w:val="24"/>
          <w:szCs w:val="24"/>
          <w:shd w:val="clear" w:fill="FFFFFF"/>
          <w:lang w:val="en-US" w:eastAsia="zh-CN"/>
        </w:rPr>
        <w:t>4</w:t>
      </w:r>
      <w:r>
        <w:rPr>
          <w:rFonts w:hint="eastAsia" w:ascii="宋体" w:hAnsi="宋体" w:eastAsia="宋体" w:cs="宋体"/>
          <w:kern w:val="0"/>
          <w:sz w:val="24"/>
          <w:szCs w:val="24"/>
          <w:shd w:val="clear" w:fill="FFFFFF"/>
        </w:rPr>
        <w:t>万元。</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cs="宋体"/>
          <w:b/>
          <w:bCs/>
          <w:kern w:val="0"/>
          <w:sz w:val="36"/>
          <w:szCs w:val="36"/>
          <w:shd w:val="clear" w:fill="FFFFFF"/>
          <w:lang w:eastAsia="zh-CN"/>
        </w:rPr>
      </w:pPr>
      <w:r>
        <w:rPr>
          <w:rFonts w:hint="eastAsia" w:cs="宋体"/>
          <w:b/>
          <w:bCs/>
          <w:kern w:val="0"/>
          <w:sz w:val="36"/>
          <w:szCs w:val="36"/>
          <w:shd w:val="clear" w:fill="FFFFFF"/>
          <w:lang w:eastAsia="zh-CN"/>
        </w:rPr>
        <w:t>八、政府性基金预算支出决算情况说明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年政府性基金预算财政拨款支出0.00万元。</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line="240" w:lineRule="atLeast"/>
        <w:jc w:val="left"/>
        <w:textAlignment w:val="auto"/>
        <w:rPr>
          <w:rFonts w:hint="eastAsia" w:cs="宋体"/>
          <w:b/>
          <w:bCs/>
          <w:kern w:val="0"/>
          <w:sz w:val="36"/>
          <w:szCs w:val="36"/>
          <w:shd w:val="clear" w:fill="FFFFFF"/>
          <w:lang w:eastAsia="zh-CN"/>
        </w:rPr>
      </w:pPr>
      <w:r>
        <w:rPr>
          <w:rFonts w:hint="eastAsia" w:cs="宋体"/>
          <w:b/>
          <w:bCs/>
          <w:kern w:val="0"/>
          <w:sz w:val="36"/>
          <w:szCs w:val="36"/>
          <w:shd w:val="clear" w:fill="FFFFFF"/>
          <w:lang w:eastAsia="zh-CN"/>
        </w:rPr>
        <w:t>九、国有资本经营预算支出决算情况说明</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 xml:space="preserve">年国有资本经营预算财政拨款支出0.00万元。 </w:t>
      </w:r>
    </w:p>
    <w:p>
      <w:pPr>
        <w:keepNext w:val="0"/>
        <w:keepLines w:val="0"/>
        <w:widowControl/>
        <w:suppressLineNumbers w:val="0"/>
        <w:spacing w:before="0" w:beforeAutospacing="0" w:after="0" w:afterAutospacing="1"/>
        <w:jc w:val="left"/>
        <w:rPr>
          <w:rFonts w:hint="eastAsia" w:ascii="宋体" w:hAnsi="宋体" w:eastAsia="宋体" w:cs="宋体"/>
          <w:b/>
          <w:bCs/>
          <w:kern w:val="0"/>
          <w:sz w:val="36"/>
          <w:szCs w:val="36"/>
          <w:shd w:val="clear" w:fill="FFFFFF"/>
          <w:lang w:val="en-US" w:eastAsia="zh-CN" w:bidi="ar"/>
        </w:rPr>
      </w:pPr>
      <w:r>
        <w:rPr>
          <w:rFonts w:hint="eastAsia" w:ascii="宋体" w:hAnsi="宋体" w:eastAsia="宋体" w:cs="宋体"/>
          <w:b/>
          <w:bCs/>
          <w:kern w:val="0"/>
          <w:sz w:val="36"/>
          <w:szCs w:val="36"/>
          <w:shd w:val="clear" w:fill="FFFFFF"/>
          <w:lang w:val="en-US" w:eastAsia="zh-CN" w:bidi="ar"/>
        </w:rPr>
        <w:t>十、其他重要事项的情况说明</w:t>
      </w:r>
    </w:p>
    <w:p>
      <w:pPr>
        <w:pStyle w:val="11"/>
        <w:keepNext w:val="0"/>
        <w:keepLines w:val="0"/>
        <w:widowControl/>
        <w:suppressLineNumbers w:val="0"/>
        <w:spacing w:before="0" w:beforeAutospacing="0"/>
        <w:jc w:val="left"/>
        <w:rPr>
          <w:rFonts w:hint="eastAsia" w:ascii="宋体" w:hAnsi="宋体" w:eastAsia="宋体" w:cs="宋体"/>
          <w:kern w:val="0"/>
          <w:sz w:val="24"/>
          <w:szCs w:val="24"/>
        </w:rPr>
      </w:pPr>
      <w:r>
        <w:rPr>
          <w:rStyle w:val="12"/>
          <w:rFonts w:hint="eastAsia" w:ascii="宋体" w:hAnsi="宋体" w:eastAsia="宋体" w:cs="宋体"/>
          <w:b/>
          <w:bCs/>
          <w:shd w:val="clear" w:fill="FFFFFF"/>
        </w:rPr>
        <w:t>（一）机关运行经费支出情况</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年，阿坝州红原县统计局机关运行经费支出</w:t>
      </w:r>
      <w:r>
        <w:rPr>
          <w:rFonts w:hint="eastAsia" w:cs="宋体"/>
          <w:kern w:val="0"/>
          <w:sz w:val="24"/>
          <w:szCs w:val="24"/>
          <w:shd w:val="clear" w:fill="FFFFFF"/>
          <w:lang w:val="en-US" w:eastAsia="zh-CN"/>
        </w:rPr>
        <w:t>26.56</w:t>
      </w:r>
      <w:r>
        <w:rPr>
          <w:rFonts w:hint="eastAsia" w:ascii="宋体" w:hAnsi="宋体" w:eastAsia="宋体" w:cs="宋体"/>
          <w:kern w:val="0"/>
          <w:sz w:val="24"/>
          <w:szCs w:val="24"/>
          <w:shd w:val="clear" w:fill="FFFFFF"/>
        </w:rPr>
        <w:t>万元，比202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年增加</w:t>
      </w:r>
      <w:r>
        <w:rPr>
          <w:rFonts w:hint="eastAsia" w:cs="宋体"/>
          <w:kern w:val="0"/>
          <w:sz w:val="24"/>
          <w:szCs w:val="24"/>
          <w:shd w:val="clear" w:fill="FFFFFF"/>
          <w:lang w:val="en-US" w:eastAsia="zh-CN"/>
        </w:rPr>
        <w:t>2.53</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10.53</w:t>
      </w:r>
      <w:r>
        <w:rPr>
          <w:rFonts w:hint="eastAsia" w:ascii="宋体" w:hAnsi="宋体" w:eastAsia="宋体" w:cs="宋体"/>
          <w:kern w:val="0"/>
          <w:sz w:val="24"/>
          <w:szCs w:val="24"/>
          <w:shd w:val="clear" w:fill="FFFFFF"/>
        </w:rPr>
        <w:t>%。主要原因是增加</w:t>
      </w:r>
      <w:r>
        <w:rPr>
          <w:rFonts w:hint="eastAsia" w:cs="宋体"/>
          <w:kern w:val="0"/>
          <w:sz w:val="24"/>
          <w:szCs w:val="24"/>
          <w:shd w:val="clear" w:fill="FFFFFF"/>
          <w:lang w:eastAsia="zh-CN"/>
        </w:rPr>
        <w:t>了住户调查样本大轮换</w:t>
      </w:r>
      <w:r>
        <w:rPr>
          <w:rFonts w:hint="eastAsia" w:ascii="宋体" w:hAnsi="宋体" w:eastAsia="宋体" w:cs="宋体"/>
          <w:kern w:val="0"/>
          <w:sz w:val="24"/>
          <w:szCs w:val="24"/>
          <w:shd w:val="clear" w:fill="FFFFFF"/>
        </w:rPr>
        <w:t>工作。</w:t>
      </w:r>
    </w:p>
    <w:p>
      <w:pPr>
        <w:pStyle w:val="11"/>
        <w:keepNext w:val="0"/>
        <w:keepLines w:val="0"/>
        <w:widowControl/>
        <w:suppressLineNumbers w:val="0"/>
        <w:spacing w:before="0" w:beforeAutospacing="0"/>
        <w:jc w:val="left"/>
        <w:rPr>
          <w:rFonts w:hint="eastAsia" w:ascii="宋体" w:hAnsi="宋体" w:eastAsia="宋体" w:cs="宋体"/>
          <w:kern w:val="0"/>
          <w:sz w:val="24"/>
          <w:szCs w:val="24"/>
        </w:rPr>
      </w:pPr>
      <w:r>
        <w:rPr>
          <w:rStyle w:val="12"/>
          <w:rFonts w:hint="eastAsia" w:ascii="宋体" w:hAnsi="宋体" w:eastAsia="宋体" w:cs="宋体"/>
          <w:b/>
          <w:bCs/>
          <w:shd w:val="clear" w:fill="FFFFFF"/>
        </w:rPr>
        <w:t>（二）政府采购支出情况</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年，阿坝州红原县统计局政府采购支出总额</w:t>
      </w:r>
      <w:r>
        <w:rPr>
          <w:rFonts w:hint="eastAsia" w:cs="宋体"/>
          <w:kern w:val="0"/>
          <w:sz w:val="24"/>
          <w:szCs w:val="24"/>
          <w:shd w:val="clear" w:fill="FFFFFF"/>
          <w:lang w:val="en-US" w:eastAsia="zh-CN"/>
        </w:rPr>
        <w:t>0</w:t>
      </w:r>
      <w:r>
        <w:rPr>
          <w:rFonts w:hint="eastAsia" w:ascii="宋体" w:hAnsi="宋体" w:eastAsia="宋体" w:cs="宋体"/>
          <w:kern w:val="0"/>
          <w:sz w:val="24"/>
          <w:szCs w:val="24"/>
          <w:shd w:val="clear" w:fill="FFFFFF"/>
        </w:rPr>
        <w:t>万元，其中：政府采购货物支出</w:t>
      </w:r>
      <w:r>
        <w:rPr>
          <w:rFonts w:hint="eastAsia" w:cs="宋体"/>
          <w:kern w:val="0"/>
          <w:sz w:val="24"/>
          <w:szCs w:val="24"/>
          <w:shd w:val="clear" w:fill="FFFFFF"/>
          <w:lang w:val="en-US" w:eastAsia="zh-CN"/>
        </w:rPr>
        <w:t>0</w:t>
      </w:r>
      <w:r>
        <w:rPr>
          <w:rFonts w:hint="eastAsia" w:ascii="宋体" w:hAnsi="宋体" w:eastAsia="宋体" w:cs="宋体"/>
          <w:kern w:val="0"/>
          <w:sz w:val="24"/>
          <w:szCs w:val="24"/>
          <w:shd w:val="clear" w:fill="FFFFFF"/>
        </w:rPr>
        <w:t>万元、政府采购工程支出0.00万元、政府采购服务支出0.00万元。授予中小企业合同金额</w:t>
      </w:r>
      <w:r>
        <w:rPr>
          <w:rFonts w:hint="eastAsia" w:cs="宋体"/>
          <w:kern w:val="0"/>
          <w:sz w:val="24"/>
          <w:szCs w:val="24"/>
          <w:shd w:val="clear" w:fill="FFFFFF"/>
          <w:lang w:val="en-US" w:eastAsia="zh-CN"/>
        </w:rPr>
        <w:t>0</w:t>
      </w:r>
      <w:r>
        <w:rPr>
          <w:rFonts w:hint="eastAsia" w:ascii="宋体" w:hAnsi="宋体" w:eastAsia="宋体" w:cs="宋体"/>
          <w:kern w:val="0"/>
          <w:sz w:val="24"/>
          <w:szCs w:val="24"/>
          <w:shd w:val="clear" w:fill="FFFFFF"/>
        </w:rPr>
        <w:t>万元。</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2"/>
          <w:rFonts w:hint="eastAsia" w:ascii="宋体" w:hAnsi="宋体" w:eastAsia="宋体" w:cs="宋体"/>
          <w:b/>
          <w:bCs/>
          <w:shd w:val="clear" w:fill="FFFFFF"/>
        </w:rPr>
        <w:t>（三）国有资产占有使用情况</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截至202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12月31日，阿坝州红原县统计局共有车辆1辆，其中：主要领导干部用车0辆、机要通信用车0辆、应急保障用车0辆、其他用车1辆，主要是用于保障统计工作顺利开展。单价50万元以上通用设备0台（套），单价100万元以上专用设备0台（套）。</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12"/>
          <w:rFonts w:hint="eastAsia" w:ascii="宋体" w:hAnsi="宋体" w:eastAsia="宋体" w:cs="宋体"/>
          <w:b/>
          <w:bCs/>
          <w:sz w:val="39"/>
          <w:szCs w:val="39"/>
          <w:shd w:val="clear" w:fill="FFFFFF"/>
        </w:rPr>
        <w:t>第三部分</w:t>
      </w:r>
      <w:r>
        <w:rPr>
          <w:rStyle w:val="12"/>
          <w:rFonts w:hint="default" w:ascii="Times New Roman" w:hAnsi="Times New Roman" w:cs="Times New Roman"/>
          <w:b/>
          <w:bCs/>
          <w:sz w:val="39"/>
          <w:szCs w:val="39"/>
          <w:shd w:val="clear" w:fill="FFFFFF"/>
        </w:rPr>
        <w:t xml:space="preserve"> </w:t>
      </w:r>
      <w:r>
        <w:rPr>
          <w:rStyle w:val="12"/>
          <w:rFonts w:hint="eastAsia" w:ascii="宋体" w:hAnsi="宋体" w:eastAsia="宋体" w:cs="宋体"/>
          <w:b/>
          <w:bCs/>
          <w:sz w:val="39"/>
          <w:szCs w:val="39"/>
          <w:shd w:val="clear" w:fill="FFFFFF"/>
        </w:rPr>
        <w:t>名词解释</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1.财政拨款收入：指单位从同级财政部门取得的财政预算资金。</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2.事业收入：指事业单位开展专业业务活动及辅助活动取得的收入。如…（二级预算单位事业收入情况）等。</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3.经营收入：指事业单位在专业业务活动及其辅助活动之外开展非独立核算经营活动取得的收入。如…（二级预算单位经营收入情况）等。</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4.其他收入：指单位取得的除上述收入以外的各项收入。主要是…（收入类型）等。</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5.使用非财政拨款结余：指事业单位使用以前年度积累的非财政拨款结余弥补当年收支差额的金额。</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6.年初结转和结余：指以前年度尚未完成、结转到本年按有关规定继续使用的资金。</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7.结余分配：指事业单位按照会计制度规定缴纳的所得税、提取的专用结余以及转入非财政拨款结余的金额等。</w:t>
      </w:r>
    </w:p>
    <w:p>
      <w:pPr>
        <w:keepNext w:val="0"/>
        <w:keepLines w:val="0"/>
        <w:widowControl/>
        <w:suppressLineNumbers w:val="0"/>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8、年末结转和结余：指单位按有关规定结转到下年或以后年度继续使用的资金。</w:t>
      </w:r>
    </w:p>
    <w:p>
      <w:pPr>
        <w:keepNext w:val="0"/>
        <w:keepLines w:val="0"/>
        <w:widowControl/>
        <w:suppressLineNumbers w:val="0"/>
        <w:rPr>
          <w:rFonts w:hint="eastAsia" w:ascii="仿宋_GB2312" w:hAnsi="宋体" w:eastAsia="仿宋_GB2312" w:cs="宋体"/>
          <w:kern w:val="0"/>
          <w:sz w:val="32"/>
          <w:szCs w:val="32"/>
        </w:rPr>
      </w:pPr>
      <w:r>
        <w:rPr>
          <w:rFonts w:hint="eastAsia" w:ascii="宋体" w:hAnsi="宋体" w:eastAsia="宋体" w:cs="宋体"/>
          <w:kern w:val="0"/>
          <w:sz w:val="24"/>
          <w:szCs w:val="24"/>
        </w:rPr>
        <w:t>9.一般公共服务统计信息事务：指行政单位（包括实行公务员管理的事业单位）的基本支出。</w:t>
      </w:r>
    </w:p>
    <w:p>
      <w:pPr>
        <w:keepNext w:val="0"/>
        <w:keepLines w:val="0"/>
        <w:widowControl/>
        <w:suppressLineNumbers w:val="0"/>
        <w:spacing w:line="600" w:lineRule="exact"/>
        <w:rPr>
          <w:rFonts w:hint="eastAsia" w:ascii="宋体" w:hAnsi="宋体" w:eastAsia="宋体" w:cs="宋体"/>
          <w:b w:val="0"/>
          <w:bCs w:val="0"/>
          <w:kern w:val="0"/>
          <w:sz w:val="24"/>
          <w:szCs w:val="24"/>
        </w:rPr>
      </w:pPr>
      <w:r>
        <w:rPr>
          <w:rFonts w:hint="eastAsia" w:ascii="宋体" w:hAnsi="宋体" w:eastAsia="宋体" w:cs="宋体"/>
          <w:kern w:val="0"/>
          <w:sz w:val="24"/>
          <w:szCs w:val="24"/>
        </w:rPr>
        <w:t>10.</w:t>
      </w:r>
      <w:r>
        <w:rPr>
          <w:rStyle w:val="13"/>
          <w:rFonts w:hint="eastAsia" w:ascii="宋体" w:hAnsi="宋体" w:eastAsia="宋体" w:cs="宋体"/>
          <w:b w:val="0"/>
          <w:bCs w:val="0"/>
          <w:sz w:val="24"/>
          <w:szCs w:val="24"/>
        </w:rPr>
        <w:t>一般公共服务统计信息事务专项普查活动：指统计部门开展人口普查、经济普查、农业普查、投入产出调查等周期性普查工作的支出。</w:t>
      </w:r>
    </w:p>
    <w:p>
      <w:pPr>
        <w:keepNext w:val="0"/>
        <w:keepLines w:val="0"/>
        <w:widowControl/>
        <w:suppressLineNumbers w:val="0"/>
        <w:spacing w:line="600" w:lineRule="exact"/>
        <w:rPr>
          <w:rFonts w:hint="eastAsia" w:ascii="宋体" w:hAnsi="宋体" w:eastAsia="宋体" w:cs="宋体"/>
          <w:b w:val="0"/>
          <w:bCs w:val="0"/>
          <w:kern w:val="0"/>
          <w:sz w:val="24"/>
          <w:szCs w:val="24"/>
        </w:rPr>
      </w:pPr>
      <w:r>
        <w:rPr>
          <w:rStyle w:val="13"/>
          <w:rFonts w:hint="eastAsia" w:ascii="宋体" w:hAnsi="宋体" w:eastAsia="宋体" w:cs="宋体"/>
          <w:b w:val="0"/>
          <w:bCs w:val="0"/>
          <w:sz w:val="24"/>
          <w:szCs w:val="24"/>
        </w:rPr>
        <w:t>11.社会保障和就业</w:t>
      </w:r>
      <w:r>
        <w:rPr>
          <w:rFonts w:hint="eastAsia" w:ascii="宋体" w:hAnsi="宋体" w:eastAsia="宋体" w:cs="宋体"/>
          <w:kern w:val="0"/>
          <w:sz w:val="24"/>
          <w:szCs w:val="24"/>
        </w:rPr>
        <w:t>行政事业单位离退休机关事业单位基本养老保险缴费：指机关事业单位实施养老保险制度由单位缴纳的基本养老保险支出</w:t>
      </w:r>
      <w:r>
        <w:rPr>
          <w:rStyle w:val="13"/>
          <w:rFonts w:hint="eastAsia" w:ascii="宋体" w:hAnsi="宋体" w:eastAsia="宋体" w:cs="宋体"/>
          <w:b w:val="0"/>
          <w:bCs w:val="0"/>
          <w:sz w:val="24"/>
          <w:szCs w:val="24"/>
        </w:rPr>
        <w:t>。</w:t>
      </w:r>
    </w:p>
    <w:p>
      <w:pPr>
        <w:keepNext w:val="0"/>
        <w:keepLines w:val="0"/>
        <w:widowControl/>
        <w:suppressLineNumbers w:val="0"/>
        <w:spacing w:line="600" w:lineRule="exact"/>
        <w:rPr>
          <w:rFonts w:hint="eastAsia" w:ascii="宋体" w:hAnsi="宋体" w:eastAsia="宋体" w:cs="宋体"/>
          <w:b w:val="0"/>
          <w:bCs w:val="0"/>
          <w:kern w:val="0"/>
          <w:sz w:val="24"/>
          <w:szCs w:val="24"/>
        </w:rPr>
      </w:pPr>
      <w:r>
        <w:rPr>
          <w:rStyle w:val="13"/>
          <w:rFonts w:hint="eastAsia" w:ascii="宋体" w:hAnsi="宋体" w:eastAsia="宋体" w:cs="宋体"/>
          <w:b w:val="0"/>
          <w:bCs w:val="0"/>
          <w:sz w:val="24"/>
          <w:szCs w:val="24"/>
        </w:rPr>
        <w:t>12.社会保障和就业</w:t>
      </w:r>
      <w:r>
        <w:rPr>
          <w:rFonts w:hint="eastAsia" w:ascii="宋体" w:hAnsi="宋体" w:eastAsia="宋体" w:cs="宋体"/>
          <w:kern w:val="0"/>
          <w:sz w:val="24"/>
          <w:szCs w:val="24"/>
        </w:rPr>
        <w:t>行政事业单位离退休机关事业单位职业年金缴费：指机关事业单位实施养老保险制度由单位实际缴纳的职业年金支出</w:t>
      </w:r>
      <w:r>
        <w:rPr>
          <w:rStyle w:val="13"/>
          <w:rFonts w:hint="eastAsia" w:ascii="宋体" w:hAnsi="宋体" w:eastAsia="宋体" w:cs="宋体"/>
          <w:b w:val="0"/>
          <w:bCs w:val="0"/>
          <w:sz w:val="24"/>
          <w:szCs w:val="24"/>
        </w:rPr>
        <w:t>。</w:t>
      </w:r>
    </w:p>
    <w:p>
      <w:pPr>
        <w:keepNext w:val="0"/>
        <w:keepLines w:val="0"/>
        <w:widowControl/>
        <w:suppressLineNumbers w:val="0"/>
        <w:spacing w:line="600" w:lineRule="exact"/>
        <w:rPr>
          <w:rFonts w:hint="eastAsia" w:ascii="宋体" w:hAnsi="宋体" w:eastAsia="宋体" w:cs="宋体"/>
          <w:b w:val="0"/>
          <w:bCs w:val="0"/>
          <w:kern w:val="0"/>
          <w:sz w:val="24"/>
          <w:szCs w:val="24"/>
        </w:rPr>
      </w:pPr>
      <w:r>
        <w:rPr>
          <w:rStyle w:val="13"/>
          <w:rFonts w:hint="eastAsia" w:ascii="宋体" w:hAnsi="宋体" w:eastAsia="宋体" w:cs="宋体"/>
          <w:b w:val="0"/>
          <w:bCs w:val="0"/>
          <w:sz w:val="24"/>
          <w:szCs w:val="24"/>
        </w:rPr>
        <w:t>13.医疗卫生与计划生育行政单位医疗：指财政部门安排的行政单位（包括实行公务员管理的事业单位）基本医疗保险缴费经费，未参加医疗保险的行政单位的公费医疗经费，按国家规定享受离休人员、红军老战士待遇人员的医疗经费。</w:t>
      </w:r>
    </w:p>
    <w:p>
      <w:pPr>
        <w:keepNext w:val="0"/>
        <w:keepLines w:val="0"/>
        <w:widowControl/>
        <w:suppressLineNumbers w:val="0"/>
        <w:spacing w:line="600" w:lineRule="exact"/>
        <w:rPr>
          <w:rFonts w:hint="eastAsia" w:ascii="宋体" w:hAnsi="宋体" w:eastAsia="宋体" w:cs="宋体"/>
          <w:b w:val="0"/>
          <w:bCs w:val="0"/>
          <w:kern w:val="0"/>
          <w:sz w:val="24"/>
          <w:szCs w:val="24"/>
        </w:rPr>
      </w:pPr>
      <w:r>
        <w:rPr>
          <w:rStyle w:val="13"/>
          <w:rFonts w:hint="eastAsia" w:ascii="宋体" w:hAnsi="宋体" w:eastAsia="宋体" w:cs="宋体"/>
          <w:b w:val="0"/>
          <w:bCs w:val="0"/>
          <w:sz w:val="24"/>
          <w:szCs w:val="24"/>
        </w:rPr>
        <w:t>14.医疗卫生与计划生育公务员医疗补助：指财政部门安排的公务员医疗补助经费。</w:t>
      </w:r>
    </w:p>
    <w:p>
      <w:pPr>
        <w:keepNext w:val="0"/>
        <w:keepLines w:val="0"/>
        <w:widowControl/>
        <w:suppressLineNumbers w:val="0"/>
        <w:rPr>
          <w:rFonts w:hint="eastAsia" w:ascii="宋体" w:hAnsi="宋体" w:eastAsia="宋体" w:cs="宋体"/>
          <w:kern w:val="0"/>
          <w:sz w:val="24"/>
          <w:szCs w:val="24"/>
        </w:rPr>
      </w:pPr>
      <w:r>
        <w:rPr>
          <w:rStyle w:val="13"/>
          <w:rFonts w:hint="eastAsia" w:ascii="宋体" w:hAnsi="宋体" w:eastAsia="宋体" w:cs="宋体"/>
          <w:b w:val="0"/>
          <w:bCs w:val="0"/>
          <w:sz w:val="24"/>
          <w:szCs w:val="24"/>
        </w:rPr>
        <w:t>15.住房保障住房公积：指行政事业单位按人力资源和社会保障部、财政部规定的基本工资和津贴补贴一级规定比例为职工缴纳的住房公积金。</w:t>
      </w:r>
    </w:p>
    <w:p>
      <w:pPr>
        <w:keepNext w:val="0"/>
        <w:keepLines w:val="0"/>
        <w:widowControl/>
        <w:suppressLineNumbers w:val="0"/>
        <w:spacing w:line="520" w:lineRule="exact"/>
        <w:rPr>
          <w:rFonts w:hint="eastAsia" w:ascii="宋体" w:hAnsi="宋体" w:eastAsia="宋体" w:cs="宋体"/>
          <w:kern w:val="0"/>
          <w:sz w:val="24"/>
          <w:szCs w:val="24"/>
        </w:rPr>
      </w:pPr>
      <w:r>
        <w:rPr>
          <w:rFonts w:hint="eastAsia" w:ascii="宋体" w:hAnsi="宋体" w:eastAsia="宋体" w:cs="宋体"/>
          <w:kern w:val="0"/>
          <w:sz w:val="24"/>
          <w:szCs w:val="24"/>
        </w:rPr>
        <w:t>16.基本支出：指为保障机构正常运转、完成日常工作任务而发生的人员支出和公用支出。</w:t>
      </w:r>
    </w:p>
    <w:p>
      <w:pPr>
        <w:keepNext w:val="0"/>
        <w:keepLines w:val="0"/>
        <w:widowControl/>
        <w:suppressLineNumbers w:val="0"/>
        <w:spacing w:line="52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17.项目支出：指在基本支出之外为完成特定行政任务和事业发展目标所发生的支出。 </w:t>
      </w:r>
    </w:p>
    <w:p>
      <w:pPr>
        <w:pStyle w:val="14"/>
        <w:spacing w:line="52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三公”经费：指部门用财政拨款安排的公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14"/>
        <w:spacing w:line="52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19.机关运行经费：为保障行政单位运行用于购买货物和服务的各项资金，包括办公费、印刷费、邮电费、差旅费、日常维修费、办公用房水电费、办公用房取暖费、公务用车运行维护费以及其他费用。</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12"/>
          <w:rFonts w:hint="eastAsia" w:ascii="宋体" w:hAnsi="宋体" w:eastAsia="宋体" w:cs="宋体"/>
          <w:b/>
          <w:bCs/>
          <w:sz w:val="39"/>
          <w:szCs w:val="39"/>
          <w:shd w:val="clear" w:fill="FFFFFF"/>
        </w:rPr>
        <w:t>第四部分</w:t>
      </w:r>
      <w:r>
        <w:rPr>
          <w:rStyle w:val="12"/>
          <w:rFonts w:hint="default" w:ascii="Times New Roman" w:hAnsi="Times New Roman" w:cs="Times New Roman"/>
          <w:b/>
          <w:bCs/>
          <w:sz w:val="39"/>
          <w:szCs w:val="39"/>
          <w:shd w:val="clear" w:fill="FFFFFF"/>
        </w:rPr>
        <w:t xml:space="preserve"> </w:t>
      </w:r>
      <w:r>
        <w:rPr>
          <w:rStyle w:val="12"/>
          <w:rFonts w:hint="eastAsia" w:ascii="宋体" w:hAnsi="宋体" w:eastAsia="宋体" w:cs="宋体"/>
          <w:b/>
          <w:bCs/>
          <w:sz w:val="39"/>
          <w:szCs w:val="39"/>
          <w:shd w:val="clear" w:fill="FFFFFF"/>
        </w:rPr>
        <w:t>附件</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附件</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39"/>
          <w:szCs w:val="39"/>
          <w:shd w:val="clear" w:fill="FFFFFF"/>
        </w:rPr>
        <w:t>202</w:t>
      </w:r>
      <w:r>
        <w:rPr>
          <w:rFonts w:hint="eastAsia" w:cs="宋体"/>
          <w:kern w:val="0"/>
          <w:sz w:val="39"/>
          <w:szCs w:val="39"/>
          <w:shd w:val="clear" w:fill="FFFFFF"/>
          <w:lang w:val="en-US" w:eastAsia="zh-CN"/>
        </w:rPr>
        <w:t>2</w:t>
      </w:r>
      <w:r>
        <w:rPr>
          <w:rFonts w:hint="eastAsia" w:ascii="宋体" w:hAnsi="宋体" w:eastAsia="宋体" w:cs="宋体"/>
          <w:kern w:val="0"/>
          <w:sz w:val="39"/>
          <w:szCs w:val="39"/>
          <w:shd w:val="clear" w:fill="FFFFFF"/>
        </w:rPr>
        <w:t>年统计局部门整体绩效评价报告</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（报告范围包括机关和下属单位）</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一、部门（单位）概况</w:t>
      </w:r>
    </w:p>
    <w:p>
      <w:pPr>
        <w:pStyle w:val="11"/>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（一）机构组成。</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红原县统计局是独立核算的机构，是独立编报预算的单位。下设3个内设机构分别为：办公室（挂统计执法监督局牌子）、国民经济综合股、工农业股，一个参公事业单位为普查中心。</w:t>
      </w:r>
    </w:p>
    <w:p>
      <w:pPr>
        <w:keepNext w:val="0"/>
        <w:keepLines w:val="0"/>
        <w:widowControl/>
        <w:suppressLineNumbers w:val="0"/>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（二）机构职能。</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1、负责组织实施上级业务主管部门及县委、县政府规定和下达的统计调查任务，统计现代化建设规划；组织领导和综合协调各乡镇、各部门的统计和国民经济核算工作。</w:t>
      </w:r>
    </w:p>
    <w:p>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2、在县委、县政府统一领导下，会同有关部门组织实施重大的国情国力普查；负责组织协调各乡镇、各部门的统计调查、社会经济调查、社会监测；组织全县统计报表的管理工作。</w:t>
      </w:r>
    </w:p>
    <w:p>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3、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4、统一核定、管理、公布全县性的基本统计资料，定期发布全县国民经济和社会发展情况统计公报。</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5、逐步建立、健全和管理全县统计信息自动化系统和全县统计数据数据库体系；组织协调和统一管理各乡镇、各部门的统计数据库网络。</w:t>
      </w:r>
    </w:p>
    <w:p>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6、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7、依照《统计法》和《统计法实施细则》及《四川省统计管理条例》的有关规定，监督检查统计法律法规在我县的贯彻实施，组织统计执法检查，查处统计违法案件。</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8、承担国家统计局阿坝调查队交办的各项统计调查任务。</w:t>
      </w:r>
    </w:p>
    <w:p>
      <w:pPr>
        <w:keepNext w:val="0"/>
        <w:keepLines w:val="0"/>
        <w:widowControl/>
        <w:suppressLineNumbers w:val="0"/>
        <w:ind w:lef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9、加强本机关的党建、廉政建设及精神文明建设等工作。</w:t>
      </w:r>
    </w:p>
    <w:p>
      <w:pPr>
        <w:keepNext w:val="0"/>
        <w:keepLines w:val="0"/>
        <w:widowControl/>
        <w:suppressLineNumbers w:val="0"/>
        <w:ind w:left="0" w:firstLine="480" w:firstLineChars="200"/>
        <w:rPr>
          <w:rFonts w:hint="eastAsia" w:ascii="仿宋_GB2312" w:hAnsi="宋体" w:eastAsia="仿宋_GB2312" w:cs="宋体"/>
          <w:kern w:val="0"/>
          <w:sz w:val="32"/>
          <w:szCs w:val="32"/>
          <w:shd w:val="clear" w:fill="FFFFFF"/>
        </w:rPr>
      </w:pPr>
      <w:r>
        <w:rPr>
          <w:rFonts w:hint="eastAsia" w:ascii="宋体" w:hAnsi="宋体" w:eastAsia="宋体" w:cs="宋体"/>
          <w:kern w:val="0"/>
          <w:sz w:val="24"/>
          <w:szCs w:val="24"/>
        </w:rPr>
        <w:t>10、承办县委、县政府和上级业务主管部门交办的其他事项。</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（三）人员概况。</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rPr>
        <w:t>红原县统计局人事核定人员编制14人（其中行政5人，行政工勤1人，参公事业8人），年末在职人员15人（其中行政6人，行政工勤1人，参公事业8人）。本年比上年行政人员增加</w:t>
      </w:r>
      <w:r>
        <w:rPr>
          <w:rFonts w:hint="eastAsia" w:cs="宋体"/>
          <w:kern w:val="0"/>
          <w:sz w:val="24"/>
          <w:szCs w:val="24"/>
          <w:lang w:val="en-US" w:eastAsia="zh-CN"/>
        </w:rPr>
        <w:t>0</w:t>
      </w:r>
      <w:r>
        <w:rPr>
          <w:rFonts w:hint="eastAsia" w:ascii="宋体" w:hAnsi="宋体" w:eastAsia="宋体" w:cs="宋体"/>
          <w:kern w:val="0"/>
          <w:sz w:val="24"/>
          <w:szCs w:val="24"/>
        </w:rPr>
        <w:t>人。</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二、部门财政资金收支情况</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（一）部门财政资金收入情况。202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年财政拨款收入总计</w:t>
      </w:r>
      <w:r>
        <w:rPr>
          <w:rFonts w:hint="eastAsia" w:cs="宋体"/>
          <w:kern w:val="0"/>
          <w:sz w:val="24"/>
          <w:szCs w:val="24"/>
          <w:shd w:val="clear" w:fill="FFFFFF"/>
          <w:lang w:val="en-US" w:eastAsia="zh-CN"/>
        </w:rPr>
        <w:t>399.79</w:t>
      </w:r>
      <w:r>
        <w:rPr>
          <w:rFonts w:hint="eastAsia" w:ascii="宋体" w:hAnsi="宋体" w:eastAsia="宋体" w:cs="宋体"/>
          <w:kern w:val="0"/>
          <w:sz w:val="24"/>
          <w:szCs w:val="24"/>
          <w:shd w:val="clear" w:fill="FFFFFF"/>
        </w:rPr>
        <w:t>万元。与202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年相比，财政拨款收入总计</w:t>
      </w:r>
      <w:r>
        <w:rPr>
          <w:rFonts w:hint="eastAsia" w:cs="宋体"/>
          <w:kern w:val="0"/>
          <w:sz w:val="24"/>
          <w:szCs w:val="24"/>
          <w:shd w:val="clear" w:fill="FFFFFF"/>
          <w:lang w:eastAsia="zh-CN"/>
        </w:rPr>
        <w:t>增加</w:t>
      </w:r>
      <w:r>
        <w:rPr>
          <w:rFonts w:hint="eastAsia" w:cs="宋体"/>
          <w:kern w:val="0"/>
          <w:sz w:val="24"/>
          <w:szCs w:val="24"/>
          <w:shd w:val="clear" w:fill="FFFFFF"/>
          <w:lang w:val="en-US" w:eastAsia="zh-CN"/>
        </w:rPr>
        <w:t>34.54</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9.46</w:t>
      </w:r>
      <w:r>
        <w:rPr>
          <w:rFonts w:hint="eastAsia" w:ascii="宋体" w:hAnsi="宋体" w:eastAsia="宋体" w:cs="宋体"/>
          <w:kern w:val="0"/>
          <w:sz w:val="24"/>
          <w:szCs w:val="24"/>
          <w:shd w:val="clear" w:fill="FFFFFF"/>
        </w:rPr>
        <w:t>%。</w:t>
      </w:r>
    </w:p>
    <w:p>
      <w:pPr>
        <w:pStyle w:val="11"/>
        <w:keepNext w:val="0"/>
        <w:keepLines w:val="0"/>
        <w:widowControl/>
        <w:suppressLineNumbers w:val="0"/>
        <w:spacing w:before="0" w:beforeAutospacing="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（二）部门财政资金支出情况。202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年财政拨款支出总计</w:t>
      </w:r>
      <w:r>
        <w:rPr>
          <w:rFonts w:hint="eastAsia" w:cs="宋体"/>
          <w:kern w:val="0"/>
          <w:sz w:val="24"/>
          <w:szCs w:val="24"/>
          <w:shd w:val="clear" w:fill="FFFFFF"/>
          <w:lang w:val="en-US" w:eastAsia="zh-CN"/>
        </w:rPr>
        <w:t>399.79</w:t>
      </w:r>
      <w:r>
        <w:rPr>
          <w:rFonts w:hint="eastAsia" w:ascii="宋体" w:hAnsi="宋体" w:eastAsia="宋体" w:cs="宋体"/>
          <w:kern w:val="0"/>
          <w:sz w:val="24"/>
          <w:szCs w:val="24"/>
          <w:shd w:val="clear" w:fill="FFFFFF"/>
        </w:rPr>
        <w:t>万元。与202</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年相比，财政拨款支出总计减少</w:t>
      </w:r>
      <w:r>
        <w:rPr>
          <w:rFonts w:hint="eastAsia" w:cs="宋体"/>
          <w:kern w:val="0"/>
          <w:sz w:val="24"/>
          <w:szCs w:val="24"/>
          <w:shd w:val="clear" w:fill="FFFFFF"/>
          <w:lang w:val="en-US" w:eastAsia="zh-CN"/>
        </w:rPr>
        <w:t>34.54</w:t>
      </w:r>
      <w:r>
        <w:rPr>
          <w:rFonts w:hint="eastAsia" w:ascii="宋体" w:hAnsi="宋体" w:eastAsia="宋体" w:cs="宋体"/>
          <w:kern w:val="0"/>
          <w:sz w:val="24"/>
          <w:szCs w:val="24"/>
          <w:shd w:val="clear" w:fill="FFFFFF"/>
        </w:rPr>
        <w:t>万元，增长</w:t>
      </w:r>
      <w:r>
        <w:rPr>
          <w:rFonts w:hint="eastAsia" w:cs="宋体"/>
          <w:kern w:val="0"/>
          <w:sz w:val="24"/>
          <w:szCs w:val="24"/>
          <w:shd w:val="clear" w:fill="FFFFFF"/>
          <w:lang w:val="en-US" w:eastAsia="zh-CN"/>
        </w:rPr>
        <w:t>9.46</w:t>
      </w:r>
      <w:r>
        <w:rPr>
          <w:rFonts w:hint="eastAsia" w:ascii="宋体" w:hAnsi="宋体" w:eastAsia="宋体" w:cs="宋体"/>
          <w:kern w:val="0"/>
          <w:sz w:val="24"/>
          <w:szCs w:val="24"/>
          <w:shd w:val="clear" w:fill="FFFFFF"/>
        </w:rPr>
        <w:t>%。</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三、部门整体预算绩效管理情况</w:t>
      </w:r>
    </w:p>
    <w:p>
      <w:pPr>
        <w:pStyle w:val="1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（一）部门预算管理。</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根据全县部门编制预算口径和要求，确保我局部门机构正常运转、完成日常工作任务，编制202</w:t>
      </w:r>
      <w:r>
        <w:rPr>
          <w:rFonts w:hint="eastAsia" w:cs="宋体"/>
          <w:kern w:val="0"/>
          <w:sz w:val="24"/>
          <w:szCs w:val="24"/>
          <w:lang w:val="en-US" w:eastAsia="zh-CN"/>
        </w:rPr>
        <w:t>2</w:t>
      </w:r>
      <w:r>
        <w:rPr>
          <w:rFonts w:hint="eastAsia" w:ascii="宋体" w:hAnsi="宋体" w:eastAsia="宋体" w:cs="宋体"/>
          <w:kern w:val="0"/>
          <w:sz w:val="24"/>
          <w:szCs w:val="24"/>
        </w:rPr>
        <w:t>年预算。基本支出，是用于保障我局正常运转的日常支出，包括基本工资、津贴补贴等人员经费以及办公费、印刷费、水电费、办公设备购置等日常公用经费。项目支出，是用于保障我局完成人口普查、城乡一体化工作</w:t>
      </w:r>
      <w:r>
        <w:rPr>
          <w:rFonts w:hint="eastAsia" w:cs="宋体"/>
          <w:kern w:val="0"/>
          <w:sz w:val="24"/>
          <w:szCs w:val="24"/>
          <w:lang w:eastAsia="zh-CN"/>
        </w:rPr>
        <w:t>、住户调查大样本轮换、统计专网租赁</w:t>
      </w:r>
      <w:r>
        <w:rPr>
          <w:rFonts w:hint="eastAsia" w:ascii="宋体" w:hAnsi="宋体" w:eastAsia="宋体" w:cs="宋体"/>
          <w:kern w:val="0"/>
          <w:sz w:val="24"/>
          <w:szCs w:val="24"/>
        </w:rPr>
        <w:t>及劳动力调查工作的经费支出。</w:t>
      </w:r>
    </w:p>
    <w:p>
      <w:pPr>
        <w:pStyle w:val="1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我局按照预算支出数进行预算数安排支出，财务管理坚持由领导审核，分管副局长签字报销原则。重大开支项目，由局党组会议集体研究决定，实行政府采购。经费支出由财务人员审核后签署意见，再报分管副院长签字报销；实行“办理（具体经办人）、审核（局长、会计）、审签（分管副局长）、报销（出纳）”四分离的财务管理办法。按照年度预算,统筹安排各项资金;定期编制财务报告,及时、准确反映预算执行情况,进行财务活动分析;建立健全财务管理制度,对财务活动进行监督;加强机关资产管理,防止资产流失。</w:t>
      </w:r>
      <w:r>
        <w:rPr>
          <w:rFonts w:hint="eastAsia" w:ascii="宋体" w:hAnsi="宋体" w:eastAsia="宋体" w:cs="宋体"/>
          <w:kern w:val="0"/>
          <w:sz w:val="32"/>
          <w:szCs w:val="32"/>
        </w:rPr>
        <w:t xml:space="preserve">   </w:t>
      </w:r>
    </w:p>
    <w:p>
      <w:pPr>
        <w:pStyle w:val="11"/>
        <w:keepNext w:val="0"/>
        <w:keepLines w:val="0"/>
        <w:widowControl/>
        <w:numPr>
          <w:ilvl w:val="0"/>
          <w:numId w:val="1"/>
        </w:numPr>
        <w:suppressLineNumbers w:val="0"/>
        <w:spacing w:before="0" w:beforeAutospacing="0"/>
        <w:ind w:left="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结果应用情况。</w:t>
      </w:r>
    </w:p>
    <w:p>
      <w:pPr>
        <w:pStyle w:val="11"/>
        <w:keepNext w:val="0"/>
        <w:keepLines w:val="0"/>
        <w:widowControl/>
        <w:suppressLineNumbers w:val="0"/>
        <w:spacing w:before="0" w:beforeAutospacing="0"/>
        <w:ind w:left="0" w:right="0" w:rightChars="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绩效管理严格按照上级部门要求，开展自评工作，对评价结果及时总结上报。</w:t>
      </w:r>
    </w:p>
    <w:p>
      <w:pPr>
        <w:pStyle w:val="11"/>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四、评价结论及建议</w:t>
      </w:r>
    </w:p>
    <w:p>
      <w:pPr>
        <w:pStyle w:val="11"/>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（一）评价结论。</w:t>
      </w:r>
    </w:p>
    <w:p>
      <w:pPr>
        <w:pStyle w:val="11"/>
        <w:keepNext w:val="0"/>
        <w:keepLines w:val="0"/>
        <w:widowControl/>
        <w:suppressLineNumbers w:val="0"/>
        <w:spacing w:before="0" w:beforeAutospacing="0"/>
        <w:ind w:left="0" w:leftChars="0" w:right="0" w:rightChars="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红原县统计局部门预算执行情况良好，整体评价得分为</w:t>
      </w:r>
      <w:r>
        <w:rPr>
          <w:rFonts w:hint="eastAsia" w:cs="宋体"/>
          <w:kern w:val="0"/>
          <w:sz w:val="24"/>
          <w:szCs w:val="24"/>
          <w:lang w:val="en-US" w:eastAsia="zh-CN"/>
        </w:rPr>
        <w:t>94</w:t>
      </w:r>
      <w:r>
        <w:rPr>
          <w:rFonts w:hint="eastAsia" w:ascii="宋体" w:hAnsi="宋体" w:eastAsia="宋体" w:cs="宋体"/>
          <w:kern w:val="0"/>
          <w:sz w:val="24"/>
          <w:szCs w:val="24"/>
        </w:rPr>
        <w:t>分。无不良记录及违规违纪行为，预算支出和决算支出情况相符。</w:t>
      </w:r>
    </w:p>
    <w:p>
      <w:pPr>
        <w:pStyle w:val="11"/>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（二）存在问题。</w:t>
      </w:r>
    </w:p>
    <w:p>
      <w:pPr>
        <w:pStyle w:val="11"/>
        <w:keepNext w:val="0"/>
        <w:keepLines w:val="0"/>
        <w:widowControl/>
        <w:suppressLineNumbers w:val="0"/>
        <w:spacing w:before="0" w:beforeAutospacing="0"/>
        <w:ind w:left="0" w:leftChars="0" w:right="0" w:rightChars="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rPr>
        <w:t>项目资金的使用未严格按照全年工作计划和步骤支出，前期支出进度缓慢。</w:t>
      </w:r>
    </w:p>
    <w:p>
      <w:pPr>
        <w:keepNext w:val="0"/>
        <w:keepLines w:val="0"/>
        <w:widowControl/>
        <w:suppressLineNumbers w:val="0"/>
        <w:adjustRightInd w:val="0"/>
        <w:snapToGrid w:val="0"/>
        <w:spacing w:line="580" w:lineRule="exact"/>
        <w:contextualSpacing/>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（三）改进建议。</w:t>
      </w:r>
    </w:p>
    <w:p>
      <w:pPr>
        <w:pStyle w:val="11"/>
        <w:keepNext w:val="0"/>
        <w:keepLines w:val="0"/>
        <w:widowControl/>
        <w:suppressLineNumbers w:val="0"/>
        <w:spacing w:before="93" w:beforeAutospacing="0" w:after="150" w:afterAutospacing="0" w:line="560" w:lineRule="exact"/>
        <w:ind w:left="0" w:firstLine="600" w:firstLineChars="250"/>
        <w:rPr>
          <w:rFonts w:hint="eastAsia" w:ascii="宋体" w:hAnsi="宋体" w:eastAsia="宋体" w:cs="宋体"/>
          <w:kern w:val="0"/>
          <w:sz w:val="24"/>
          <w:szCs w:val="24"/>
        </w:rPr>
      </w:pPr>
      <w:r>
        <w:rPr>
          <w:rFonts w:hint="eastAsia" w:ascii="宋体" w:hAnsi="宋体" w:eastAsia="宋体" w:cs="宋体"/>
          <w:kern w:val="0"/>
          <w:sz w:val="24"/>
          <w:szCs w:val="24"/>
        </w:rPr>
        <w:t>1、制定合理的年度工作计划和年度经费支出预算，确保全年经费支出均衡。对经费使用情况及时统计，并将统计情况反馈至各个股室，对不合理的支出及时进行调整，提高经费使用效益。</w:t>
      </w:r>
    </w:p>
    <w:p>
      <w:pPr>
        <w:pStyle w:val="11"/>
        <w:keepNext w:val="0"/>
        <w:keepLines w:val="0"/>
        <w:widowControl/>
        <w:suppressLineNumbers w:val="0"/>
        <w:spacing w:before="93" w:beforeAutospacing="0" w:after="150" w:afterAutospacing="0" w:line="560" w:lineRule="exact"/>
        <w:ind w:left="0" w:firstLine="600" w:firstLineChars="250"/>
        <w:rPr>
          <w:rFonts w:hint="eastAsia" w:ascii="宋体" w:hAnsi="宋体" w:eastAsia="宋体" w:cs="宋体"/>
          <w:kern w:val="0"/>
          <w:sz w:val="24"/>
          <w:szCs w:val="24"/>
        </w:rPr>
      </w:pPr>
      <w:r>
        <w:rPr>
          <w:rFonts w:hint="eastAsia" w:ascii="宋体" w:hAnsi="宋体" w:eastAsia="宋体" w:cs="宋体"/>
          <w:kern w:val="0"/>
          <w:sz w:val="24"/>
          <w:szCs w:val="24"/>
        </w:rPr>
        <w:t>2、建立和完善内部控制建设，形成系统的内部财务管理制度。加强对专项资金的管理，按工作要求加快专项资金使用进度，切实发挥资金效益。</w:t>
      </w:r>
    </w:p>
    <w:p>
      <w:pPr>
        <w:pStyle w:val="11"/>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12"/>
          <w:rFonts w:hint="eastAsia" w:ascii="宋体" w:hAnsi="宋体" w:eastAsia="宋体" w:cs="宋体"/>
          <w:b/>
          <w:bCs/>
          <w:sz w:val="39"/>
          <w:szCs w:val="39"/>
          <w:shd w:val="clear" w:fill="FFFFFF"/>
        </w:rPr>
        <w:t>第五部分</w:t>
      </w:r>
      <w:r>
        <w:rPr>
          <w:rStyle w:val="12"/>
          <w:rFonts w:hint="default" w:ascii="Times New Roman" w:hAnsi="Times New Roman" w:cs="Times New Roman"/>
          <w:b/>
          <w:bCs/>
          <w:sz w:val="39"/>
          <w:szCs w:val="39"/>
          <w:shd w:val="clear" w:fill="FFFFFF"/>
        </w:rPr>
        <w:t xml:space="preserve"> </w:t>
      </w:r>
      <w:r>
        <w:rPr>
          <w:rStyle w:val="12"/>
          <w:rFonts w:hint="eastAsia" w:ascii="宋体" w:hAnsi="宋体" w:eastAsia="宋体" w:cs="宋体"/>
          <w:b/>
          <w:bCs/>
          <w:sz w:val="39"/>
          <w:szCs w:val="39"/>
          <w:shd w:val="clear" w:fill="FFFFFF"/>
        </w:rPr>
        <w:t>附表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一、收入支出决算总表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二、收入决算表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三、支出决算表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四、财政拨款收入支出决算总表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五、财政拨款支出决算明细表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六、一般公共预算财政拨款支出决算表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七、一般公共预算财政拨款支出决算明细表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八、一般公共预算财政拨款基本支出决算表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九、一般公共预算财政拨款项目支出决算表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十、一般公共预算财政拨款“三公”经费支出决算表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十一、政府性基金预算财政拨款收入支出决算表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十二、政府性基金预算财政拨款“三公”经费支出决算表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十三、国有资本经营预算财政拨款收入支出决算表</w:t>
      </w:r>
    </w:p>
    <w:p>
      <w:pPr>
        <w:pStyle w:val="4"/>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shd w:val="clear" w:fill="FFFFFF"/>
        </w:rPr>
        <w:t>十四、国有资本经营预算财政拨款支出决算表</w:t>
      </w:r>
    </w:p>
    <w:p>
      <w:pPr>
        <w:pStyle w:val="11"/>
        <w:keepNext w:val="0"/>
        <w:keepLines w:val="0"/>
        <w:widowControl/>
        <w:suppressLineNumbers w:val="0"/>
        <w:spacing w:before="0" w:beforeAutospacing="0"/>
        <w:ind w:left="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 xml:space="preserve"> </w:t>
      </w:r>
    </w:p>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Impact">
    <w:panose1 w:val="020B0806030902050204"/>
    <w:charset w:val="00"/>
    <w:family w:val="auto"/>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C9116D"/>
    <w:multiLevelType w:val="multilevel"/>
    <w:tmpl w:val="0AC9116D"/>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MTZmZTY3NWFhN2M4ODg3NTk1Y2U4YmQ3ZDAwNzgifQ=="/>
  </w:docVars>
  <w:rsids>
    <w:rsidRoot w:val="37A915AC"/>
    <w:rsid w:val="01E772A7"/>
    <w:rsid w:val="0AE505FA"/>
    <w:rsid w:val="134578A4"/>
    <w:rsid w:val="3710594F"/>
    <w:rsid w:val="37A915AC"/>
    <w:rsid w:val="649966D5"/>
    <w:rsid w:val="72750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unhideWhenUsed/>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1"/>
    <w:basedOn w:val="1"/>
    <w:next w:val="1"/>
    <w:qFormat/>
    <w:uiPriority w:val="0"/>
    <w:pPr>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0" w:beforeLines="30" w:beforeAutospacing="0" w:after="0" w:afterAutospacing="0"/>
      <w:ind w:left="0" w:right="0"/>
      <w:jc w:val="left"/>
    </w:pPr>
    <w:rPr>
      <w:rFonts w:hint="eastAsia" w:ascii="仿宋_GB2312" w:hAnsi="宋体" w:eastAsia="仿宋_GB2312" w:cs="宋体"/>
      <w:kern w:val="0"/>
      <w:sz w:val="30"/>
      <w:szCs w:val="30"/>
      <w:lang w:val="en-US" w:eastAsia="zh-CN" w:bidi="ar"/>
    </w:rPr>
  </w:style>
  <w:style w:type="paragraph" w:styleId="5">
    <w:name w:val="Body Text Indent"/>
    <w:basedOn w:val="1"/>
    <w:next w:val="6"/>
    <w:qFormat/>
    <w:uiPriority w:val="0"/>
    <w:pPr>
      <w:ind w:firstLine="640" w:firstLineChars="200"/>
    </w:pPr>
    <w:rPr>
      <w:rFonts w:ascii="宋体"/>
      <w:sz w:val="32"/>
    </w:rPr>
  </w:style>
  <w:style w:type="paragraph" w:styleId="6">
    <w:name w:val="Body Text First Indent 2"/>
    <w:basedOn w:val="5"/>
    <w:qFormat/>
    <w:uiPriority w:val="99"/>
    <w:pPr>
      <w:ind w:firstLine="420" w:firstLineChars="200"/>
    </w:pPr>
    <w:rPr>
      <w:rFonts w:ascii="Times New Roman" w:hAnsi="Times New Roman"/>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paragraph" w:customStyle="1" w:styleId="1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2">
    <w:name w:val="16"/>
    <w:basedOn w:val="9"/>
    <w:qFormat/>
    <w:uiPriority w:val="0"/>
    <w:rPr>
      <w:rFonts w:hint="default" w:ascii="Times New Roman" w:hAnsi="Times New Roman" w:cs="Times New Roman"/>
      <w:b/>
      <w:bCs/>
    </w:rPr>
  </w:style>
  <w:style w:type="character" w:customStyle="1" w:styleId="13">
    <w:name w:val="18"/>
    <w:basedOn w:val="9"/>
    <w:qFormat/>
    <w:uiPriority w:val="0"/>
    <w:rPr>
      <w:rFonts w:hint="default" w:ascii="Times New Roman" w:hAnsi="Times New Roman" w:cs="Times New Roman"/>
      <w:b/>
      <w:bCs/>
    </w:rPr>
  </w:style>
  <w:style w:type="paragraph" w:customStyle="1" w:styleId="14">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7" Type="http://schemas.microsoft.com/office/2011/relationships/chartColorStyle" Target="colors4.xml"/><Relationship Id="rId6" Type="http://schemas.microsoft.com/office/2011/relationships/chartStyle" Target="style4.xml"/><Relationship Id="rId5" Type="http://schemas.openxmlformats.org/officeDocument/2006/relationships/image" Target="../media/image3.png"/><Relationship Id="rId4" Type="http://schemas.openxmlformats.org/officeDocument/2006/relationships/image" Target="../media/image2.png"/><Relationship Id="rId3" Type="http://schemas.openxmlformats.org/officeDocument/2006/relationships/image" Target="../media/image1.png"/><Relationship Id="rId2" Type="http://schemas.openxmlformats.org/officeDocument/2006/relationships/themeOverride" Target="../theme/themeOverrid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5" Type="http://schemas.microsoft.com/office/2011/relationships/chartColorStyle" Target="colors7.xml"/><Relationship Id="rId4" Type="http://schemas.microsoft.com/office/2011/relationships/chartStyle" Target="style7.xml"/><Relationship Id="rId3" Type="http://schemas.openxmlformats.org/officeDocument/2006/relationships/image" Target="../media/image5.png"/><Relationship Id="rId2" Type="http://schemas.openxmlformats.org/officeDocument/2006/relationships/themeOverride" Target="../theme/themeOverrid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cap="all" spc="120" normalizeH="0" baseline="0">
                <a:solidFill>
                  <a:schemeClr val="tx1"/>
                </a:solidFill>
                <a:latin typeface="+mn-lt"/>
                <a:ea typeface="+mn-ea"/>
                <a:cs typeface="+mn-cs"/>
              </a:defRPr>
            </a:pPr>
            <a:r>
              <a:t>收、支决算总计变动情况表</a:t>
            </a:r>
          </a:p>
        </c:rich>
      </c:tx>
      <c:layout/>
      <c:overlay val="0"/>
      <c:spPr>
        <a:noFill/>
        <a:ln>
          <a:noFill/>
        </a:ln>
        <a:effectLst/>
      </c:spPr>
    </c:title>
    <c:autoTitleDeleted val="0"/>
    <c:plotArea>
      <c:layout/>
      <c:barChart>
        <c:barDir val="col"/>
        <c:grouping val="clustered"/>
        <c:varyColors val="0"/>
        <c:ser>
          <c:idx val="0"/>
          <c:order val="0"/>
          <c:tx>
            <c:strRef>
              <c:f>[工作簿1]Sheet1!$A$1</c:f>
              <c:strCache>
                <c:ptCount val="1"/>
                <c:pt idx="0">
                  <c:v>2021年度收、支总计</c:v>
                </c:pt>
              </c:strCache>
            </c:strRef>
          </c:tx>
          <c:spPr>
            <a:solidFill>
              <a:schemeClr val="accent1"/>
            </a:solidFill>
            <a:ln>
              <a:noFill/>
            </a:ln>
            <a:effectLst/>
          </c:spPr>
          <c:invertIfNegative val="0"/>
          <c:dLbls>
            <c:numFmt formatCode="General" sourceLinked="1"/>
            <c:spPr>
              <a:solidFill>
                <a:schemeClr val="bg1"/>
              </a:solidFill>
              <a:ln>
                <a:solidFill>
                  <a:schemeClr val="accent1"/>
                </a:solidFill>
              </a:ln>
              <a:effectLst/>
            </c:spPr>
            <c:txPr>
              <a:bodyPr rot="0" spcFirstLastPara="1" vertOverflow="clip" horzOverflow="clip" vert="horz" wrap="square" lIns="36576" tIns="18288" rIns="36576" bIns="18288" anchor="ctr" anchorCtr="1" forceAA="0">
                <a:spAutoFit/>
              </a:bodyPr>
              <a:lstStyle/>
              <a:p>
                <a:pPr>
                  <a:defRPr lang="zh-CN" sz="800" b="1" i="0" u="none" strike="noStrike" kern="1200" baseline="0">
                    <a:solidFill>
                      <a:schemeClr val="accent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a:solidFill>
                        <a:schemeClr val="tx1">
                          <a:lumMod val="35000"/>
                          <a:lumOff val="65000"/>
                        </a:schemeClr>
                      </a:solidFill>
                    </a:ln>
                    <a:effectLst/>
                  </c:spPr>
                </c15:leaderLines>
              </c:ext>
            </c:extLst>
          </c:dLbls>
          <c:val>
            <c:numRef>
              <c:f>[工作簿1]Sheet1!$B$1</c:f>
              <c:numCache>
                <c:formatCode>General</c:formatCode>
                <c:ptCount val="1"/>
                <c:pt idx="0">
                  <c:v>374.75</c:v>
                </c:pt>
              </c:numCache>
            </c:numRef>
          </c:val>
        </c:ser>
        <c:ser>
          <c:idx val="1"/>
          <c:order val="1"/>
          <c:tx>
            <c:strRef>
              <c:f>[工作簿1]Sheet1!$A$2</c:f>
              <c:strCache>
                <c:ptCount val="1"/>
                <c:pt idx="0">
                  <c:v>2022年度收、支总计</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1"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[工作簿1]Sheet1!$B$2</c:f>
              <c:numCache>
                <c:formatCode>General</c:formatCode>
                <c:ptCount val="1"/>
                <c:pt idx="0">
                  <c:v>401.31</c:v>
                </c:pt>
              </c:numCache>
            </c:numRef>
          </c:val>
        </c:ser>
        <c:dLbls>
          <c:showLegendKey val="0"/>
          <c:showVal val="1"/>
          <c:showCatName val="0"/>
          <c:showSerName val="0"/>
          <c:showPercent val="0"/>
          <c:showBubbleSize val="0"/>
        </c:dLbls>
        <c:gapWidth val="250"/>
        <c:overlap val="-61"/>
        <c:axId val="920700875"/>
        <c:axId val="621472312"/>
      </c:barChart>
      <c:catAx>
        <c:axId val="920700875"/>
        <c:scaling>
          <c:orientation val="minMax"/>
        </c:scaling>
        <c:delete val="1"/>
        <c:axPos val="b"/>
        <c:majorGridlines>
          <c:spPr>
            <a:ln w="9525" cap="flat" cmpd="sng" algn="ctr">
              <a:solidFill>
                <a:schemeClr val="tx1">
                  <a:lumMod val="15000"/>
                  <a:lumOff val="85000"/>
                </a:schemeClr>
              </a:solidFill>
              <a:round/>
            </a:ln>
            <a:effectLst/>
          </c:spPr>
        </c:majorGridlines>
        <c:title>
          <c:layout/>
          <c:overlay val="0"/>
          <c:spPr>
            <a:noFill/>
            <a:ln>
              <a:noFill/>
            </a:ln>
            <a:effectLst/>
          </c:spPr>
          <c:txPr>
            <a:bodyPr rot="0" spcFirstLastPara="0" vertOverflow="ellipsis" vert="horz" wrap="square" anchor="ctr" anchorCtr="1"/>
            <a:lstStyle/>
            <a:p>
              <a:pPr>
                <a:defRPr lang="zh-CN" sz="900" b="1" i="0" u="none" strike="noStrike" kern="1200" cap="all" baseline="0">
                  <a:solidFill>
                    <a:schemeClr val="tx1">
                      <a:lumMod val="65000"/>
                      <a:lumOff val="35000"/>
                    </a:schemeClr>
                  </a:solidFill>
                  <a:latin typeface="+mn-lt"/>
                  <a:ea typeface="+mn-ea"/>
                  <a:cs typeface="+mn-cs"/>
                </a:defRPr>
              </a:pPr>
            </a:p>
          </c:txPr>
        </c:title>
        <c:numFmt formatCode="General" sourceLinked="1"/>
        <c:majorTickMark val="out"/>
        <c:minorTickMark val="none"/>
        <c:tickLblPos val="nextTo"/>
        <c:txPr>
          <a:bodyPr rot="-60000000" spcFirstLastPara="0" vertOverflow="ellipsis" vert="horz" wrap="square" anchor="ctr" anchorCtr="1" forceAA="0"/>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621472312"/>
        <c:crosses val="autoZero"/>
        <c:auto val="1"/>
        <c:lblAlgn val="ctr"/>
        <c:lblOffset val="100"/>
        <c:noMultiLvlLbl val="0"/>
      </c:catAx>
      <c:valAx>
        <c:axId val="621472312"/>
        <c:scaling>
          <c:orientation val="minMax"/>
        </c:scaling>
        <c:delete val="0"/>
        <c:axPos val="l"/>
        <c:numFmt formatCode="General"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forceAA="0"/>
          <a:lstStyle/>
          <a:p>
            <a:pPr>
              <a:defRPr lang="zh-CN" sz="900" b="1" i="0" u="none" strike="noStrike" kern="1200" baseline="0">
                <a:solidFill>
                  <a:schemeClr val="tx1">
                    <a:lumMod val="65000"/>
                    <a:lumOff val="35000"/>
                  </a:schemeClr>
                </a:solidFill>
                <a:latin typeface="+mn-lt"/>
                <a:ea typeface="+mn-ea"/>
                <a:cs typeface="+mn-cs"/>
              </a:defRPr>
            </a:pPr>
          </a:p>
        </c:txPr>
        <c:crossAx val="92070087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1" i="0" u="none" strike="noStrike" kern="1200" spc="0" baseline="0">
                <a:gradFill>
                  <a:gsLst>
                    <a:gs pos="23000">
                      <a:srgbClr val="FF8957"/>
                    </a:gs>
                    <a:gs pos="0">
                      <a:srgbClr val="FD536D"/>
                    </a:gs>
                    <a:gs pos="43000">
                      <a:srgbClr val="EDCF4D"/>
                    </a:gs>
                    <a:gs pos="84000">
                      <a:srgbClr val="00C182"/>
                    </a:gs>
                    <a:gs pos="63000">
                      <a:srgbClr val="CAD849"/>
                    </a:gs>
                    <a:gs pos="100000">
                      <a:srgbClr val="429EB0"/>
                    </a:gs>
                  </a:gsLst>
                  <a:lin ang="0" scaled="0"/>
                </a:gra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收入决算结构图（单位：万元）</a:t>
            </a:r>
          </a:p>
        </c:rich>
      </c:tx>
      <c:layout/>
      <c:overlay val="0"/>
      <c:spPr>
        <a:solidFill>
          <a:sysClr val="window" lastClr="FFFFFF"/>
        </a:solidFill>
        <a:ln w="28575" cmpd="dbl">
          <a:solidFill>
            <a:srgbClr val="5B9BD5"/>
          </a:solidFill>
          <a:prstDash val="sysDot"/>
        </a:ln>
        <a:effectLst/>
      </c:spPr>
    </c:title>
    <c:autoTitleDeleted val="0"/>
    <c:plotArea>
      <c:layout/>
      <c:pieChart>
        <c:varyColors val="1"/>
        <c:ser>
          <c:idx val="0"/>
          <c:order val="0"/>
          <c:tx>
            <c:strRef>
              <c:f>[工作簿1]Sheet1!$A$1</c:f>
              <c:strCache>
                <c:ptCount val="1"/>
                <c:pt idx="0">
                  <c:v>一般公共预算财政拨款收入</c:v>
                </c:pt>
              </c:strCache>
            </c:strRef>
          </c:tx>
          <c:spPr>
            <a:solidFill>
              <a:srgbClr val="FD536D"/>
            </a:solidFill>
            <a:effectLst/>
          </c:spPr>
          <c:explosion val="5"/>
          <c:dPt>
            <c:idx val="0"/>
            <c:bubble3D val="0"/>
            <c:spPr>
              <a:solidFill>
                <a:srgbClr val="FD536D"/>
              </a:solidFill>
              <a:ln>
                <a:noFill/>
              </a:ln>
              <a:effectLst/>
            </c:spPr>
          </c:dPt>
          <c:dLbls>
            <c:dLbl>
              <c:idx val="0"/>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Impact" panose="020B0806030902050204" charset="0"/>
                        <a:ea typeface="Impact" panose="020B0806030902050204" charset="0"/>
                        <a:cs typeface="Impact" panose="020B0806030902050204" charset="0"/>
                        <a:sym typeface="Impact" panose="020B0806030902050204" charset="0"/>
                      </a:defRPr>
                    </a:pPr>
                    <a:r>
                      <a:t>一般公共财政拨款收入</a:t>
                    </a:r>
                  </a:p>
                  <a:p>
                    <a:pPr defTabSz="914400">
                      <a:defRPr lang="zh-CN" sz="900" b="0" i="0" u="none" strike="noStrike" kern="1200" baseline="0">
                        <a:solidFill>
                          <a:schemeClr val="bg1"/>
                        </a:solidFill>
                        <a:latin typeface="Impact" panose="020B0806030902050204" charset="0"/>
                        <a:ea typeface="Impact" panose="020B0806030902050204" charset="0"/>
                        <a:cs typeface="Impact" panose="020B0806030902050204" charset="0"/>
                        <a:sym typeface="Impact" panose="020B0806030902050204" charset="0"/>
                      </a:defRPr>
                    </a:pPr>
                    <a:r>
                      <a:rPr lang="en-US" altLang="zh-CN"/>
                      <a:t>399.79</a:t>
                    </a:r>
                    <a:r>
                      <a:t>100%</a:t>
                    </a:r>
                  </a:p>
                </c:rich>
              </c:tx>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287916666666667"/>
                      <c:h val="0.346715328467153"/>
                    </c:manualLayout>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Impact" panose="020B0806030902050204" charset="0"/>
                    <a:ea typeface="Impact" panose="020B0806030902050204" charset="0"/>
                    <a:cs typeface="Impact" panose="020B0806030902050204" charset="0"/>
                    <a:sym typeface="Impact" panose="020B0806030902050204" charset="0"/>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[工作簿1]Sheet1!$B$1</c:f>
              <c:numCache>
                <c:formatCode>General</c:formatCode>
                <c:ptCount val="1"/>
                <c:pt idx="0">
                  <c:v>399.79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solidFill>
                <a:latin typeface="+mn-lt"/>
                <a:ea typeface="+mn-ea"/>
                <a:cs typeface="+mn-cs"/>
              </a:defRPr>
            </a:pPr>
            <a:r>
              <a:t>支出决算结构图（单位：万元）</a:t>
            </a:r>
          </a:p>
        </c:rich>
      </c:tx>
      <c:layout>
        <c:manualLayout>
          <c:xMode val="edge"/>
          <c:yMode val="edge"/>
          <c:x val="0.328041290996995"/>
          <c:y val="0.0297684674751929"/>
        </c:manualLayout>
      </c:layout>
      <c:overlay val="0"/>
      <c:spPr>
        <a:noFill/>
        <a:ln>
          <a:noFill/>
        </a:ln>
        <a:effectLst/>
      </c:spPr>
    </c:title>
    <c:autoTitleDeleted val="0"/>
    <c:plotArea>
      <c:layout/>
      <c:pieChart>
        <c:varyColors val="1"/>
        <c:ser>
          <c:idx val="0"/>
          <c:order val="0"/>
          <c:spPr/>
          <c:explosion val="0"/>
          <c:dPt>
            <c:idx val="0"/>
            <c:bubble3D val="0"/>
            <c:spPr>
              <a:gradFill>
                <a:gsLst>
                  <a:gs pos="70000">
                    <a:schemeClr val="accent1"/>
                  </a:gs>
                  <a:gs pos="0">
                    <a:schemeClr val="accent1">
                      <a:lumMod val="60000"/>
                      <a:lumOff val="40000"/>
                    </a:schemeClr>
                  </a:gs>
                </a:gsLst>
                <a:lin ang="5400000"/>
              </a:gradFill>
              <a:ln w="19050">
                <a:noFill/>
              </a:ln>
              <a:effectLst>
                <a:outerShdw blurRad="63500" sx="102000" sy="102000" algn="ctr" rotWithShape="0">
                  <a:prstClr val="black">
                    <a:alpha val="25000"/>
                  </a:prstClr>
                </a:outerShdw>
              </a:effectLst>
            </c:spPr>
          </c:dPt>
          <c:dPt>
            <c:idx val="1"/>
            <c:bubble3D val="0"/>
            <c:spPr>
              <a:gradFill>
                <a:gsLst>
                  <a:gs pos="70000">
                    <a:schemeClr val="accent2"/>
                  </a:gs>
                  <a:gs pos="0">
                    <a:schemeClr val="accent2">
                      <a:lumMod val="60000"/>
                      <a:lumOff val="40000"/>
                    </a:schemeClr>
                  </a:gs>
                </a:gsLst>
                <a:lin ang="5400000" scaled="0"/>
              </a:gradFill>
              <a:ln w="19050">
                <a:noFill/>
              </a:ln>
              <a:effectLst>
                <a:outerShdw blurRad="63500" sx="102000" sy="102000" algn="ctr" rotWithShape="0">
                  <a:prstClr val="black">
                    <a:alpha val="25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100" b="0" i="0" u="none" strike="noStrike" kern="1200" baseline="0">
                    <a:solidFill>
                      <a:schemeClr val="bg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基本支出348.14万元</c:v>
                </c:pt>
                <c:pt idx="1">
                  <c:v>项目支出53.17万元</c:v>
                </c:pt>
              </c:strCache>
            </c:strRef>
          </c:cat>
          <c:val>
            <c:numRef>
              <c:f>[工作簿1]Sheet1!$B$1:$B$2</c:f>
              <c:numCache>
                <c:formatCode>General</c:formatCode>
                <c:ptCount val="2"/>
                <c:pt idx="0">
                  <c:v>348.14</c:v>
                </c:pt>
                <c:pt idx="1">
                  <c:v>53.17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65972222222222"/>
          <c:y val="0.891666666666667"/>
          <c:w val="0.754166666666667"/>
          <c:h val="0.0805555555555556"/>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sz="11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财政拨款收支决算总计变动情况图</a:t>
            </a:r>
          </a:p>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（单位：万元</a:t>
            </a:r>
            <a:r>
              <a:rPr altLang="en-US"/>
              <a:t>）</a:t>
            </a:r>
            <a:endParaRPr altLang="en-US"/>
          </a:p>
        </c:rich>
      </c:tx>
      <c:layout/>
      <c:overlay val="0"/>
      <c:spPr>
        <a:noFill/>
        <a:ln>
          <a:noFill/>
        </a:ln>
        <a:effectLst/>
      </c:spPr>
    </c:title>
    <c:autoTitleDeleted val="0"/>
    <c:plotArea>
      <c:layout>
        <c:manualLayout>
          <c:layoutTarget val="inner"/>
          <c:xMode val="edge"/>
          <c:yMode val="edge"/>
          <c:x val="0.0546119675986412"/>
          <c:y val="0.301928618931501"/>
          <c:w val="0.912725372354324"/>
          <c:h val="0.592861893150078"/>
        </c:manualLayout>
      </c:layout>
      <c:barChart>
        <c:barDir val="col"/>
        <c:grouping val="clustered"/>
        <c:varyColors val="0"/>
        <c:ser>
          <c:idx val="0"/>
          <c:order val="0"/>
          <c:spPr>
            <a:blipFill rotWithShape="1">
              <a:blip xmlns:r="http://schemas.openxmlformats.org/officeDocument/2006/relationships" r:embed="rId3"/>
              <a:stretch>
                <a:fillRect/>
              </a:stretch>
            </a:blipFill>
            <a:ln>
              <a:noFill/>
            </a:ln>
            <a:effectLst>
              <a:outerShdw blurRad="76200" dir="2400000" sy="23000" kx="-1200000" algn="bl" rotWithShape="0">
                <a:schemeClr val="bg1">
                  <a:lumMod val="50000"/>
                  <a:alpha val="20000"/>
                </a:schemeClr>
              </a:outerShdw>
            </a:effectLst>
          </c:spPr>
          <c:invertIfNegative val="0"/>
          <c:dPt>
            <c:idx val="0"/>
            <c:invertIfNegative val="0"/>
            <c:bubble3D val="0"/>
            <c:spPr>
              <a:blipFill rotWithShape="1">
                <a:blip xmlns:r="http://schemas.openxmlformats.org/officeDocument/2006/relationships" r:embed="rId4"/>
                <a:stretch>
                  <a:fillRect/>
                </a:stretch>
              </a:blipFill>
              <a:ln>
                <a:noFill/>
              </a:ln>
              <a:effectLst>
                <a:outerShdw blurRad="76200" dir="2400000" sy="23000" kx="-1200000" algn="bl" rotWithShape="0">
                  <a:schemeClr val="bg1">
                    <a:lumMod val="50000"/>
                    <a:alpha val="20000"/>
                  </a:schemeClr>
                </a:outerShdw>
              </a:effectLst>
            </c:spPr>
          </c:dPt>
          <c:dPt>
            <c:idx val="1"/>
            <c:invertIfNegative val="0"/>
            <c:bubble3D val="0"/>
            <c:spPr>
              <a:blipFill rotWithShape="1">
                <a:blip xmlns:r="http://schemas.openxmlformats.org/officeDocument/2006/relationships" r:embed="rId5"/>
                <a:stretch>
                  <a:fillRect/>
                </a:stretch>
              </a:blipFill>
              <a:ln>
                <a:noFill/>
              </a:ln>
              <a:effectLst>
                <a:outerShdw blurRad="76200" dir="2400000" sy="23000" kx="-1200000" algn="bl" rotWithShape="0">
                  <a:schemeClr val="bg1">
                    <a:lumMod val="50000"/>
                    <a:alpha val="20000"/>
                  </a:schemeClr>
                </a:outerShdw>
              </a:effectLst>
            </c:spPr>
          </c:dPt>
          <c:dLbls>
            <c:dLbl>
              <c:idx val="0"/>
              <c:layout/>
              <c:numFmt formatCode="General" sourceLinked="1"/>
              <c:spPr>
                <a:solidFill>
                  <a:srgbClr val="08B0C5"/>
                </a:solidFill>
                <a:ln>
                  <a:noFill/>
                </a:ln>
                <a:effectLst/>
              </c:spPr>
              <c:txPr>
                <a:bodyPr rot="0" spcFirstLastPara="0" vertOverflow="ellipsis" vert="horz" wrap="square" lIns="107950" tIns="19050" rIns="107950" bIns="19050" anchor="ctr" anchorCtr="1" forceAA="0"/>
                <a:lstStyle/>
                <a:p>
                  <a:pPr>
                    <a:defRPr lang="zh-CN" sz="900" b="0" i="0" u="none" strike="noStrike" kern="1200" baseline="0">
                      <a:solidFill>
                        <a:schemeClr val="bg1"/>
                      </a:solidFill>
                      <a:latin typeface="Impact" panose="020B0806030902050204" charset="0"/>
                      <a:ea typeface="Impact" panose="020B0806030902050204" charset="0"/>
                      <a:cs typeface="Impact" panose="020B0806030902050204" charset="0"/>
                      <a:sym typeface="Impact" panose="020B0806030902050204" charset="0"/>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rgbClr val="FAC295"/>
                </a:solidFill>
                <a:ln>
                  <a:noFill/>
                </a:ln>
                <a:effectLst/>
              </c:spPr>
              <c:txPr>
                <a:bodyPr rot="0" spcFirstLastPara="0" vertOverflow="ellipsis" vert="horz" wrap="square" lIns="107950" tIns="19050" rIns="107950" bIns="19050" anchor="ctr" anchorCtr="1" forceAA="0"/>
                <a:lstStyle/>
                <a:p>
                  <a:pPr>
                    <a:defRPr lang="zh-CN" sz="900" b="0" i="0" u="none" strike="noStrike" kern="1200" baseline="0">
                      <a:solidFill>
                        <a:schemeClr val="bg1"/>
                      </a:solidFill>
                      <a:latin typeface="Impact" panose="020B0806030902050204" charset="0"/>
                      <a:ea typeface="Impact" panose="020B0806030902050204" charset="0"/>
                      <a:cs typeface="Impact" panose="020B0806030902050204" charset="0"/>
                      <a:sym typeface="Impact" panose="020B0806030902050204" charset="0"/>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107950" tIns="19050" rIns="107950" bIns="19050" anchor="ctr" anchorCtr="1" forceAA="0"/>
              <a:lstStyle/>
              <a:p>
                <a:pPr>
                  <a:defRPr lang="zh-CN" sz="900" b="0" i="0" u="none" strike="noStrike" kern="1200" baseline="0">
                    <a:solidFill>
                      <a:schemeClr val="bg1"/>
                    </a:solidFill>
                    <a:latin typeface="Impact" panose="020B0806030902050204" charset="0"/>
                    <a:ea typeface="Impact" panose="020B0806030902050204" charset="0"/>
                    <a:cs typeface="Impact" panose="020B0806030902050204" charset="0"/>
                    <a:sym typeface="Impact" panose="020B08060309020502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2021年财政拨款收、支总计</c:v>
                </c:pt>
                <c:pt idx="1">
                  <c:v>2022年财政拨款收、支总计</c:v>
                </c:pt>
              </c:strCache>
            </c:strRef>
          </c:cat>
          <c:val>
            <c:numRef>
              <c:f>[工作簿1]Sheet1!$B$1:$B$2</c:f>
              <c:numCache>
                <c:formatCode>General</c:formatCode>
                <c:ptCount val="2"/>
                <c:pt idx="0">
                  <c:v>365.25</c:v>
                </c:pt>
                <c:pt idx="1">
                  <c:v>399.79</c:v>
                </c:pt>
              </c:numCache>
            </c:numRef>
          </c:val>
        </c:ser>
        <c:dLbls>
          <c:showLegendKey val="0"/>
          <c:showVal val="1"/>
          <c:showCatName val="0"/>
          <c:showSerName val="0"/>
          <c:showPercent val="0"/>
          <c:showBubbleSize val="0"/>
        </c:dLbls>
        <c:gapWidth val="128"/>
        <c:overlap val="-27"/>
        <c:axId val="654166779"/>
        <c:axId val="962447705"/>
      </c:barChart>
      <c:catAx>
        <c:axId val="654166779"/>
        <c:scaling>
          <c:orientation val="minMax"/>
        </c:scaling>
        <c:delete val="0"/>
        <c:axPos val="b"/>
        <c:majorGridlines>
          <c:spPr>
            <a:ln w="3175" cap="flat" cmpd="sng" algn="ctr">
              <a:solidFill>
                <a:schemeClr val="bg1">
                  <a:lumMod val="9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62447705"/>
        <c:crosses val="autoZero"/>
        <c:auto val="1"/>
        <c:lblAlgn val="ctr"/>
        <c:lblOffset val="100"/>
        <c:noMultiLvlLbl val="0"/>
      </c:catAx>
      <c:valAx>
        <c:axId val="962447705"/>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4166779"/>
        <c:crosses val="autoZero"/>
        <c:crossBetween val="between"/>
      </c:valAx>
      <c:spPr>
        <a:noFill/>
        <a:ln w="3175">
          <a:solidFill>
            <a:schemeClr val="bg1">
              <a:lumMod val="95000"/>
            </a:schemeClr>
          </a:solidFill>
        </a:ln>
        <a:effectLst/>
      </c:spPr>
    </c:plotArea>
    <c:legend>
      <c:legendPos val="t"/>
      <c:layout>
        <c:manualLayout>
          <c:xMode val="edge"/>
          <c:yMode val="edge"/>
          <c:x val="0.152291666666667"/>
          <c:y val="0.253404381290705"/>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mj-ea"/>
                <a:ea typeface="+mj-ea"/>
                <a:cs typeface="+mj-ea"/>
                <a:sym typeface="+mj-ea"/>
              </a:defRPr>
            </a:pPr>
            <a:r>
              <a:t>一般公共预算财政拨款支出决算变动情况</a:t>
            </a:r>
          </a:p>
          <a:p>
            <a:pPr>
              <a:defRPr lang="zh-CN" sz="1400" b="0" i="0" u="none" strike="noStrike" kern="1200" spc="0" baseline="0">
                <a:solidFill>
                  <a:schemeClr val="tx1">
                    <a:lumMod val="75000"/>
                    <a:lumOff val="25000"/>
                  </a:schemeClr>
                </a:solidFill>
                <a:latin typeface="+mj-ea"/>
                <a:ea typeface="+mj-ea"/>
                <a:cs typeface="+mj-ea"/>
                <a:sym typeface="+mj-ea"/>
              </a:defRPr>
            </a:pPr>
            <a:r>
              <a:t>（单位：万元）</a:t>
            </a:r>
          </a:p>
        </c:rich>
      </c:tx>
      <c:layout/>
      <c:overlay val="0"/>
      <c:spPr>
        <a:noFill/>
        <a:ln>
          <a:noFill/>
        </a:ln>
        <a:effectLst/>
      </c:spPr>
    </c:title>
    <c:autoTitleDeleted val="0"/>
    <c:plotArea>
      <c:layout/>
      <c:barChart>
        <c:barDir val="col"/>
        <c:grouping val="clustered"/>
        <c:varyColors val="0"/>
        <c:ser>
          <c:idx val="0"/>
          <c:order val="0"/>
          <c:spPr>
            <a:blipFill rotWithShape="1">
              <a:blip xmlns:r="http://schemas.openxmlformats.org/officeDocument/2006/relationships" r:embed="rId3"/>
              <a:stretch>
                <a:fillRect/>
              </a:stretch>
            </a:blipFill>
            <a:ln>
              <a:noFill/>
            </a:ln>
            <a:effectLst/>
          </c:spPr>
          <c:invertIfNegative val="0"/>
          <c:dPt>
            <c:idx val="0"/>
            <c:invertIfNegative val="0"/>
            <c:bubble3D val="0"/>
            <c:spPr>
              <a:blipFill rotWithShape="1">
                <a:blip xmlns:r="http://schemas.openxmlformats.org/officeDocument/2006/relationships" r:embed="rId3"/>
                <a:stretch>
                  <a:fillRect/>
                </a:stretch>
              </a:blipFill>
              <a:ln>
                <a:noFill/>
              </a:ln>
              <a:effectLst/>
            </c:spPr>
          </c:dPt>
          <c:dPt>
            <c:idx val="1"/>
            <c:invertIfNegative val="0"/>
            <c:bubble3D val="0"/>
            <c:spPr>
              <a:blipFill rotWithShape="1">
                <a:blip xmlns:r="http://schemas.openxmlformats.org/officeDocument/2006/relationships" r:embed="rId3"/>
                <a:stretch>
                  <a:fillRect/>
                </a:stretch>
              </a:blipFill>
              <a:ln>
                <a:no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mj-ea"/>
                    <a:ea typeface="+mj-ea"/>
                    <a:cs typeface="+mj-ea"/>
                    <a:sym typeface="+mj-ea"/>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2021年一般公共预算财政拨款支出</c:v>
                </c:pt>
                <c:pt idx="1">
                  <c:v>2022年一般公共预算财政拨款支出</c:v>
                </c:pt>
              </c:strCache>
            </c:strRef>
          </c:cat>
          <c:val>
            <c:numRef>
              <c:f>[工作簿1]Sheet1!$B$1:$B$2</c:f>
              <c:numCache>
                <c:formatCode>General</c:formatCode>
                <c:ptCount val="2"/>
                <c:pt idx="0">
                  <c:v>365.25</c:v>
                </c:pt>
                <c:pt idx="1">
                  <c:v>399.79</c:v>
                </c:pt>
              </c:numCache>
            </c:numRef>
          </c:val>
        </c:ser>
        <c:dLbls>
          <c:showLegendKey val="0"/>
          <c:showVal val="1"/>
          <c:showCatName val="0"/>
          <c:showSerName val="0"/>
          <c:showPercent val="0"/>
          <c:showBubbleSize val="0"/>
        </c:dLbls>
        <c:gapWidth val="41"/>
        <c:overlap val="60"/>
        <c:axId val="15429911"/>
        <c:axId val="957036096"/>
      </c:barChart>
      <c:catAx>
        <c:axId val="1542991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mj-ea"/>
                <a:ea typeface="+mj-ea"/>
                <a:cs typeface="+mj-ea"/>
                <a:sym typeface="+mj-ea"/>
              </a:defRPr>
            </a:pPr>
          </a:p>
        </c:txPr>
        <c:crossAx val="957036096"/>
        <c:crosses val="autoZero"/>
        <c:auto val="1"/>
        <c:lblAlgn val="ctr"/>
        <c:lblOffset val="100"/>
        <c:noMultiLvlLbl val="0"/>
      </c:catAx>
      <c:valAx>
        <c:axId val="95703609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mj-ea"/>
                <a:ea typeface="+mj-ea"/>
                <a:cs typeface="+mj-ea"/>
                <a:sym typeface="+mj-ea"/>
              </a:defRPr>
            </a:pPr>
          </a:p>
        </c:txPr>
        <c:crossAx val="1542991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mj-ea"/>
              <a:ea typeface="+mj-ea"/>
              <a:cs typeface="+mj-ea"/>
              <a:sym typeface="+mj-ea"/>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solidFill>
            <a:schemeClr val="tx1">
              <a:lumMod val="75000"/>
              <a:lumOff val="25000"/>
            </a:schemeClr>
          </a:solidFill>
          <a:latin typeface="+mj-ea"/>
          <a:ea typeface="+mj-ea"/>
          <a:cs typeface="+mj-ea"/>
          <a:sym typeface="+mj-ea"/>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alpha val="97000"/>
                  </a:schemeClr>
                </a:solidFill>
                <a:latin typeface="+mn-lt"/>
                <a:ea typeface="+mn-ea"/>
                <a:cs typeface="+mn-cs"/>
              </a:defRPr>
            </a:pPr>
            <a:r>
              <a:rPr>
                <a:solidFill>
                  <a:schemeClr val="tx1">
                    <a:alpha val="97000"/>
                  </a:schemeClr>
                </a:solidFill>
              </a:rPr>
              <a:t>一般公共预算财政拨款支出结构图</a:t>
            </a:r>
            <a:endParaRPr>
              <a:solidFill>
                <a:schemeClr val="tx1">
                  <a:alpha val="97000"/>
                </a:schemeClr>
              </a:solidFill>
            </a:endParaRPr>
          </a:p>
          <a:p>
            <a:pPr defTabSz="914400">
              <a:defRPr lang="zh-CN" sz="1400" b="0" i="0" u="none" strike="noStrike" kern="1200" spc="0" baseline="0">
                <a:solidFill>
                  <a:schemeClr val="tx1">
                    <a:alpha val="97000"/>
                  </a:schemeClr>
                </a:solidFill>
                <a:latin typeface="+mn-lt"/>
                <a:ea typeface="+mn-ea"/>
                <a:cs typeface="+mn-cs"/>
              </a:defRPr>
            </a:pPr>
            <a:r>
              <a:rPr>
                <a:solidFill>
                  <a:schemeClr val="tx1">
                    <a:alpha val="97000"/>
                  </a:schemeClr>
                </a:solidFill>
              </a:rPr>
              <a:t>（单位：万元）</a:t>
            </a:r>
            <a:endParaRPr>
              <a:solidFill>
                <a:schemeClr val="tx1">
                  <a:alpha val="97000"/>
                </a:schemeClr>
              </a:solidFill>
            </a:endParaRPr>
          </a:p>
        </c:rich>
      </c:tx>
      <c:layout>
        <c:manualLayout>
          <c:xMode val="edge"/>
          <c:yMode val="edge"/>
          <c:x val="0.200555555555556"/>
          <c:y val="0.0069444444444444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alpha val="97000"/>
                          </a:schemeClr>
                        </a:solidFill>
                        <a:latin typeface="+mn-lt"/>
                        <a:ea typeface="+mn-ea"/>
                        <a:cs typeface="+mn-cs"/>
                      </a:defRPr>
                    </a:pPr>
                    <a:r>
                      <a:t>78.83%</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alpha val="97000"/>
                          </a:schemeClr>
                        </a:solidFill>
                        <a:latin typeface="+mn-lt"/>
                        <a:ea typeface="+mn-ea"/>
                        <a:cs typeface="+mn-cs"/>
                      </a:defRPr>
                    </a:pPr>
                    <a:r>
                      <a:rPr lang="en-US" altLang="zh-CN"/>
                      <a:t>4.42</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3"/>
              <c:layout>
                <c:manualLayout>
                  <c:x val="0.0149544173898744"/>
                  <c:y val="0.14370628801594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alpha val="97000"/>
                          </a:schemeClr>
                        </a:solidFill>
                        <a:latin typeface="+mn-lt"/>
                        <a:ea typeface="+mn-ea"/>
                        <a:cs typeface="+mn-cs"/>
                      </a:defRPr>
                    </a:pPr>
                    <a:r>
                      <a:t>5.75%</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alpha val="97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[工作簿1]Sheet1!$A$1:$A$4</c:f>
              <c:strCache>
                <c:ptCount val="4"/>
                <c:pt idx="0">
                  <c:v>一般公共服务类支出315.17</c:v>
                </c:pt>
                <c:pt idx="1">
                  <c:v>社会保障盒就业（类）支出43.97</c:v>
                </c:pt>
                <c:pt idx="2">
                  <c:v>卫生健康支出17.68</c:v>
                </c:pt>
                <c:pt idx="3">
                  <c:v>住房保障支出22.97</c:v>
                </c:pt>
              </c:strCache>
            </c:strRef>
          </c:cat>
          <c:val>
            <c:numRef>
              <c:f>[工作簿1]Sheet1!$B$1:$B$4</c:f>
              <c:numCache>
                <c:formatCode>General</c:formatCode>
                <c:ptCount val="4"/>
                <c:pt idx="0">
                  <c:v>315.17</c:v>
                </c:pt>
                <c:pt idx="1">
                  <c:v>43.97</c:v>
                </c:pt>
                <c:pt idx="2">
                  <c:v>17.68</c:v>
                </c:pt>
                <c:pt idx="3">
                  <c:v>22.97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baseline="0">
                <a:solidFill>
                  <a:schemeClr val="tx1">
                    <a:alpha val="97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alpha val="97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alpha val="97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alpha val="97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alpha val="97000"/>
                </a:schemeClr>
              </a:solidFill>
              <a:latin typeface="+mn-lt"/>
              <a:ea typeface="+mn-ea"/>
              <a:cs typeface="+mn-cs"/>
            </a:defRPr>
          </a:pPr>
        </a:p>
      </c:txPr>
    </c:legend>
    <c:plotVisOnly val="1"/>
    <c:dispBlanksAs val="gap"/>
    <c:showDLblsOverMax val="0"/>
  </c:chart>
  <c:spPr>
    <a:pattFill prst="pct5">
      <a:fgClr>
        <a:schemeClr val="accent1"/>
      </a:fgClr>
      <a:bgClr>
        <a:schemeClr val="bg1"/>
      </a:bgClr>
    </a:pattFill>
    <a:ln w="9525" cap="flat" cmpd="sng" algn="ctr">
      <a:solidFill>
        <a:schemeClr val="tx1">
          <a:lumMod val="15000"/>
          <a:lumOff val="85000"/>
        </a:schemeClr>
      </a:solidFill>
      <a:round/>
    </a:ln>
    <a:effectLst/>
  </c:spPr>
  <c:txPr>
    <a:bodyPr/>
    <a:lstStyle/>
    <a:p>
      <a:pPr>
        <a:defRPr lang="zh-CN">
          <a:solidFill>
            <a:schemeClr val="tx1">
              <a:alpha val="97000"/>
            </a:schemeClr>
          </a:solidFill>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“三公”经费财政拨款支出结构</a:t>
            </a:r>
          </a:p>
          <a:p>
            <a:pPr>
              <a:defRPr lang="zh-CN" sz="1400" b="0" i="0" u="none" strike="noStrike" kern="1200" spc="0" baseline="0">
                <a:solidFill>
                  <a:schemeClr val="tx1">
                    <a:lumMod val="65000"/>
                    <a:lumOff val="35000"/>
                  </a:schemeClr>
                </a:solidFill>
                <a:latin typeface="+mn-lt"/>
                <a:ea typeface="+mn-ea"/>
                <a:cs typeface="+mn-cs"/>
              </a:defRPr>
            </a:pPr>
            <a:r>
              <a:rPr altLang="en-US"/>
              <a:t>（单位：万元）</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95.45</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manualLayout>
                  <c:x val="0.0133203925222013"/>
                  <c:y val="0.14603732019404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4.55</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07361111111111"/>
                      <c:h val="0.0775462962962963"/>
                    </c:manualLayout>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[工作簿1]Sheet1!$A$1:$A$3</c:f>
              <c:strCache>
                <c:ptCount val="3"/>
                <c:pt idx="0">
                  <c:v>因公出国（境）费支出0</c:v>
                </c:pt>
                <c:pt idx="1">
                  <c:v>公务用车购置及运行维护费5.03</c:v>
                </c:pt>
                <c:pt idx="2">
                  <c:v>公务接待费0.24</c:v>
                </c:pt>
              </c:strCache>
            </c:strRef>
          </c:cat>
          <c:val>
            <c:numRef>
              <c:f>[工作簿1]Sheet1!$B$1:$B$3</c:f>
              <c:numCache>
                <c:formatCode>General</c:formatCode>
                <c:ptCount val="3"/>
                <c:pt idx="0">
                  <c:v>0</c:v>
                </c:pt>
                <c:pt idx="1">
                  <c:v>5.03</c:v>
                </c:pt>
                <c:pt idx="2">
                  <c:v>0.24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pattFill prst="dkDnDiag">
      <a:fgClr>
        <a:schemeClr val="bg1"/>
      </a:fgClr>
      <a:bgClr>
        <a:schemeClr val="bg2"/>
      </a:bgClr>
    </a:patt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Override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4】">
    <a:dk1>
      <a:srgbClr val="000000"/>
    </a:dk1>
    <a:lt1>
      <a:srgbClr val="FFFFFF"/>
    </a:lt1>
    <a:dk2>
      <a:srgbClr val="0C0E1F"/>
    </a:dk2>
    <a:lt2>
      <a:srgbClr val="FEFFFF"/>
    </a:lt2>
    <a:accent1>
      <a:srgbClr val="FEB348"/>
    </a:accent1>
    <a:accent2>
      <a:srgbClr val="FE7B48"/>
    </a:accent2>
    <a:accent3>
      <a:srgbClr val="5FB6FF"/>
    </a:accent3>
    <a:accent4>
      <a:srgbClr val="3787FF"/>
    </a:accent4>
    <a:accent5>
      <a:srgbClr val="4165FF"/>
    </a:accent5>
    <a:accent6>
      <a:srgbClr val="48C8AC"/>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2">
    <a:dk1>
      <a:srgbClr val="000000"/>
    </a:dk1>
    <a:lt1>
      <a:srgbClr val="FFFFFF"/>
    </a:lt1>
    <a:dk2>
      <a:srgbClr val="0C0E1F"/>
    </a:dk2>
    <a:lt2>
      <a:srgbClr val="FEFFFF"/>
    </a:lt2>
    <a:accent1>
      <a:srgbClr val="4F81FF"/>
    </a:accent1>
    <a:accent2>
      <a:srgbClr val="16CC8A"/>
    </a:accent2>
    <a:accent3>
      <a:srgbClr val="83D8FF"/>
    </a:accent3>
    <a:accent4>
      <a:srgbClr val="646BFE"/>
    </a:accent4>
    <a:accent5>
      <a:srgbClr val="F64699"/>
    </a:accent5>
    <a:accent6>
      <a:srgbClr val="FFC619"/>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NewsPrint">
    <a:fillStyleLst>
      <a:solidFill>
        <a:schemeClr val="phClr"/>
      </a:solidFill>
      <a:gradFill rotWithShape="1">
        <a:gsLst>
          <a:gs pos="0">
            <a:schemeClr val="phClr">
              <a:tint val="37000"/>
              <a:hueMod val="100000"/>
              <a:satMod val="200000"/>
              <a:lumMod val="88000"/>
            </a:schemeClr>
          </a:gs>
          <a:gs pos="100000">
            <a:schemeClr val="phClr">
              <a:tint val="53000"/>
              <a:shade val="100000"/>
              <a:hueMod val="100000"/>
              <a:satMod val="350000"/>
              <a:lumMod val="79000"/>
            </a:schemeClr>
          </a:gs>
        </a:gsLst>
        <a:lin ang="5400000" scaled="1"/>
      </a:gradFill>
      <a:gradFill rotWithShape="1">
        <a:gsLst>
          <a:gs pos="0">
            <a:schemeClr val="phClr">
              <a:tint val="83000"/>
              <a:shade val="100000"/>
              <a:alpha val="100000"/>
              <a:hueMod val="100000"/>
              <a:satMod val="220000"/>
              <a:lumMod val="90000"/>
            </a:schemeClr>
          </a:gs>
          <a:gs pos="76000">
            <a:schemeClr val="phClr">
              <a:shade val="100000"/>
            </a:schemeClr>
          </a:gs>
          <a:gs pos="100000">
            <a:schemeClr val="phClr">
              <a:shade val="93000"/>
              <a:alpha val="100000"/>
              <a:satMod val="100000"/>
              <a:lumMod val="93000"/>
            </a:schemeClr>
          </a:gs>
        </a:gsLst>
        <a:path path="circle">
          <a:fillToRect l="15000" t="15000" r="100000" b="100000"/>
        </a:path>
      </a:gradFill>
    </a:fillStyleLst>
    <a:lnStyleLst>
      <a:ln w="15875" cap="flat" cmpd="sng" algn="ctr">
        <a:solidFill>
          <a:schemeClr val="phClr"/>
        </a:solidFill>
        <a:prstDash val="solid"/>
      </a:ln>
      <a:ln w="22225" cap="flat" cmpd="sng" algn="ctr">
        <a:solidFill>
          <a:schemeClr val="phClr"/>
        </a:solidFill>
        <a:prstDash val="solid"/>
      </a:ln>
      <a:ln w="34925" cap="flat" cmpd="sng" algn="ctr">
        <a:solidFill>
          <a:schemeClr val="phClr"/>
        </a:solidFill>
        <a:prstDash val="solid"/>
      </a:ln>
    </a:lnStyleLst>
    <a:effectStyleLst>
      <a:effectStyle>
        <a:effectLst>
          <a:outerShdw blurRad="50800" dist="12700" dir="5280000" rotWithShape="0">
            <a:srgbClr val="000000">
              <a:alpha val="40000"/>
            </a:srgbClr>
          </a:outerShdw>
        </a:effectLst>
      </a:effectStyle>
      <a:effectStyle>
        <a:effectLst>
          <a:outerShdw blurRad="38100" dist="38100" dir="5400000" rotWithShape="0">
            <a:srgbClr val="000000">
              <a:alpha val="35000"/>
            </a:srgbClr>
          </a:outerShdw>
        </a:effectLst>
      </a:effectStyle>
      <a:effectStyle>
        <a:effectLst>
          <a:outerShdw blurRad="38100" dist="38100" dir="5400000" rotWithShape="0">
            <a:srgbClr val="000000">
              <a:alpha val="35000"/>
            </a:srgbClr>
          </a:outerShdw>
        </a:effectLst>
        <a:scene3d>
          <a:camera prst="orthographicFront">
            <a:rot lat="0" lon="0" rev="0"/>
          </a:camera>
          <a:lightRig rig="brightRoom" dir="tl"/>
        </a:scene3d>
        <a:sp3d contourW="12700">
          <a:bevelT w="31750" h="12700"/>
          <a:contourClr>
            <a:schemeClr val="phClr"/>
          </a:contourClr>
        </a:sp3d>
      </a:effectStyle>
    </a:effectStyleLst>
    <a:bgFillStyleLst>
      <a:solidFill>
        <a:schemeClr val="phClr"/>
      </a:solidFill>
      <a:gradFill rotWithShape="1">
        <a:gsLst>
          <a:gs pos="0">
            <a:schemeClr val="phClr">
              <a:tint val="93000"/>
            </a:schemeClr>
          </a:gs>
          <a:gs pos="100000">
            <a:schemeClr val="phClr">
              <a:shade val="55000"/>
            </a:schemeClr>
          </a:gs>
        </a:gsLst>
        <a:lin ang="5400000" scaled="1"/>
      </a:gradFill>
      <a:blipFill rotWithShape="1">
        <a:blip xmlns:r="http://schemas.openxmlformats.org/officeDocument/2006/relationships" r:embed="rId1">
          <a:duotone>
            <a:schemeClr val="phClr">
              <a:shade val="20000"/>
              <a:satMod val="350000"/>
              <a:lumMod val="125000"/>
            </a:schemeClr>
            <a:schemeClr val="phClr">
              <a:tint val="90000"/>
              <a:satMod val="250000"/>
            </a:schemeClr>
          </a:duotone>
        </a:blip>
        <a:stretch>
          <a:fillRect/>
        </a:stretch>
      </a:blip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16</Pages>
  <Words>8065</Words>
  <Characters>8706</Characters>
  <Lines>0</Lines>
  <Paragraphs>0</Paragraphs>
  <TotalTime>253</TotalTime>
  <ScaleCrop>false</ScaleCrop>
  <LinksUpToDate>false</LinksUpToDate>
  <CharactersWithSpaces>8801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2023-10-30T02:11:00Z</dcterms:created>
  <dc:creator>梧桐雨</dc:creator>
  <cp:lastModifiedBy>梧桐雨</cp:lastModifiedBy>
  <cp:lastPrinted>2023-10-31T03:47:46Z</cp:lastPrinted>
  <dcterms:modified xsi:type="dcterms:W3CDTF">2023-10-31T06:30:04Z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D3D61962F68449C393C728F3CDE23268_11</vt:lpwstr>
  </property>
</Properties>
</file>